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12B1" w14:textId="4B72153E" w:rsidR="00F06E14" w:rsidRPr="00E162C4" w:rsidRDefault="00310B64" w:rsidP="00A11445">
      <w:pPr>
        <w:pStyle w:val="Reporttitle"/>
        <w:spacing w:after="480"/>
      </w:pPr>
      <w:r w:rsidRPr="00310B64">
        <w:t xml:space="preserve">Draft Telecommunications (Numbering Charges) (Allocation Charge) Amendment Determination 2022 (No. 1) </w:t>
      </w:r>
      <w:r w:rsidR="007041EE">
        <w:t xml:space="preserve">– </w:t>
      </w:r>
      <w:r w:rsidR="00910A12">
        <w:t>c</w:t>
      </w:r>
      <w:r w:rsidR="00910A12" w:rsidRPr="00E162C4">
        <w:t xml:space="preserve">onsultation </w:t>
      </w:r>
      <w:r w:rsidR="004B0F92">
        <w:t>paper</w:t>
      </w:r>
    </w:p>
    <w:p w14:paraId="06EEDA69" w14:textId="396FD9B1" w:rsidR="00C97736" w:rsidRPr="00E162C4" w:rsidRDefault="00D65327" w:rsidP="00EC2B68">
      <w:pPr>
        <w:pStyle w:val="Reportdate"/>
        <w:spacing w:after="720"/>
        <w:rPr>
          <w:rFonts w:cs="Arial"/>
        </w:rPr>
        <w:sectPr w:rsidR="00C97736" w:rsidRPr="00E162C4" w:rsidSect="0021426C">
          <w:headerReference w:type="default" r:id="rId12"/>
          <w:footerReference w:type="default" r:id="rId13"/>
          <w:headerReference w:type="first" r:id="rId14"/>
          <w:pgSz w:w="11906" w:h="16838" w:code="9"/>
          <w:pgMar w:top="3924" w:right="992" w:bottom="1440" w:left="1134" w:header="709" w:footer="454" w:gutter="0"/>
          <w:cols w:space="708"/>
          <w:docGrid w:linePitch="360"/>
        </w:sectPr>
      </w:pPr>
      <w:r>
        <w:t>June</w:t>
      </w:r>
      <w:r w:rsidR="001E1F4A" w:rsidRPr="00E162C4">
        <w:t xml:space="preserve"> </w:t>
      </w:r>
      <w:r w:rsidR="00BD4421" w:rsidRPr="00E162C4">
        <w:t>20</w:t>
      </w:r>
      <w:r w:rsidR="008E0428" w:rsidRPr="00E162C4">
        <w:t>2</w:t>
      </w:r>
      <w:r w:rsidR="00E162C4">
        <w:t>2</w:t>
      </w:r>
    </w:p>
    <w:p w14:paraId="143D93E9" w14:textId="77777777" w:rsidR="0005011A" w:rsidRPr="00E162C4" w:rsidRDefault="0005011A" w:rsidP="00FC07B9">
      <w:pPr>
        <w:pStyle w:val="ACMACorporateAddressHeader"/>
      </w:pPr>
      <w:r w:rsidRPr="00E162C4">
        <w:lastRenderedPageBreak/>
        <w:t>Canberra</w:t>
      </w:r>
    </w:p>
    <w:p w14:paraId="19601A1A" w14:textId="77777777" w:rsidR="0005011A" w:rsidRPr="00E162C4" w:rsidRDefault="0005011A" w:rsidP="00FC07B9">
      <w:pPr>
        <w:pStyle w:val="ACMACorporateAddresses"/>
      </w:pPr>
      <w:r w:rsidRPr="00E162C4">
        <w:t xml:space="preserve">Red Building </w:t>
      </w:r>
      <w:r w:rsidRPr="00E162C4">
        <w:br/>
        <w:t>Benjamin Offices</w:t>
      </w:r>
      <w:r w:rsidRPr="00E162C4">
        <w:br/>
        <w:t xml:space="preserve">Chan Street </w:t>
      </w:r>
      <w:r w:rsidRPr="00E162C4">
        <w:br/>
        <w:t>Belconnen ACT</w:t>
      </w:r>
    </w:p>
    <w:p w14:paraId="16D623BA" w14:textId="77777777" w:rsidR="0005011A" w:rsidRPr="00E162C4" w:rsidRDefault="0005011A" w:rsidP="00FC07B9">
      <w:pPr>
        <w:pStyle w:val="ACMACorporateAddresses"/>
      </w:pPr>
      <w:r w:rsidRPr="00E162C4">
        <w:t>PO Box 78</w:t>
      </w:r>
      <w:r w:rsidRPr="00E162C4">
        <w:br/>
        <w:t>Belconnen ACT 2616</w:t>
      </w:r>
    </w:p>
    <w:p w14:paraId="3025469A" w14:textId="77777777" w:rsidR="00FE1823" w:rsidRPr="00E162C4" w:rsidRDefault="0005011A" w:rsidP="00FC07B9">
      <w:pPr>
        <w:pStyle w:val="ACMACorporateAddresses"/>
      </w:pPr>
      <w:r w:rsidRPr="00E162C4">
        <w:t>T</w:t>
      </w:r>
      <w:r w:rsidR="00537604" w:rsidRPr="00E162C4">
        <w:tab/>
      </w:r>
      <w:r w:rsidRPr="00E162C4">
        <w:t>+61 2 6219 5555</w:t>
      </w:r>
      <w:r w:rsidRPr="00E162C4">
        <w:br/>
        <w:t>F</w:t>
      </w:r>
      <w:r w:rsidR="00537604" w:rsidRPr="00E162C4">
        <w:tab/>
      </w:r>
      <w:r w:rsidRPr="00E162C4">
        <w:t>+61 2 6219 5353</w:t>
      </w:r>
    </w:p>
    <w:p w14:paraId="211245FB" w14:textId="77777777" w:rsidR="0005011A" w:rsidRPr="00E162C4" w:rsidRDefault="0005011A" w:rsidP="00FC07B9">
      <w:pPr>
        <w:pStyle w:val="ACMACorporateAddressHeader"/>
      </w:pPr>
      <w:r w:rsidRPr="00E162C4">
        <w:t>Melbourne</w:t>
      </w:r>
    </w:p>
    <w:p w14:paraId="55138553" w14:textId="77777777" w:rsidR="0005011A" w:rsidRPr="00E162C4" w:rsidRDefault="0005011A" w:rsidP="00FC07B9">
      <w:pPr>
        <w:pStyle w:val="ACMACorporateAddresses"/>
      </w:pPr>
      <w:r w:rsidRPr="00E162C4">
        <w:t xml:space="preserve">Level 32 </w:t>
      </w:r>
      <w:r w:rsidRPr="00E162C4">
        <w:br/>
        <w:t>Melbourne Central Tower</w:t>
      </w:r>
      <w:r w:rsidRPr="00E162C4">
        <w:br/>
        <w:t xml:space="preserve">360 Elizabeth Street </w:t>
      </w:r>
      <w:r w:rsidR="008C10F4" w:rsidRPr="00E162C4">
        <w:br/>
      </w:r>
      <w:r w:rsidRPr="00E162C4">
        <w:t>Melbourne VIC</w:t>
      </w:r>
    </w:p>
    <w:p w14:paraId="68EEA481" w14:textId="77777777" w:rsidR="0005011A" w:rsidRPr="00E162C4" w:rsidRDefault="0005011A" w:rsidP="00FC07B9">
      <w:pPr>
        <w:pStyle w:val="ACMACorporateAddresses"/>
      </w:pPr>
      <w:r w:rsidRPr="00E162C4">
        <w:t>PO Box 13112</w:t>
      </w:r>
      <w:r w:rsidRPr="00E162C4">
        <w:br/>
        <w:t xml:space="preserve">Law Courts </w:t>
      </w:r>
      <w:r w:rsidRPr="00E162C4">
        <w:br/>
        <w:t>Melbourne VIC 8010</w:t>
      </w:r>
    </w:p>
    <w:p w14:paraId="2629E386" w14:textId="77777777" w:rsidR="0005011A" w:rsidRPr="00E162C4" w:rsidRDefault="0005011A" w:rsidP="00FC07B9">
      <w:pPr>
        <w:pStyle w:val="ACMACorporateAddresses"/>
      </w:pPr>
      <w:r w:rsidRPr="00E162C4">
        <w:t>T</w:t>
      </w:r>
      <w:r w:rsidR="00140318" w:rsidRPr="00E162C4">
        <w:tab/>
      </w:r>
      <w:r w:rsidRPr="00E162C4">
        <w:t>+61 3 9963 6800</w:t>
      </w:r>
      <w:r w:rsidRPr="00E162C4">
        <w:br/>
        <w:t>F</w:t>
      </w:r>
      <w:r w:rsidR="00140318" w:rsidRPr="00E162C4">
        <w:tab/>
      </w:r>
      <w:r w:rsidRPr="00E162C4">
        <w:t>+61 3 9963 6899</w:t>
      </w:r>
    </w:p>
    <w:p w14:paraId="300A4C6B" w14:textId="77777777" w:rsidR="0005011A" w:rsidRPr="00E162C4" w:rsidRDefault="0005011A" w:rsidP="00FC07B9">
      <w:pPr>
        <w:pStyle w:val="ACMACorporateAddressHeader"/>
      </w:pPr>
      <w:r w:rsidRPr="00E162C4">
        <w:t>Sydney</w:t>
      </w:r>
    </w:p>
    <w:p w14:paraId="16227C51" w14:textId="77777777" w:rsidR="0005011A" w:rsidRPr="00E162C4" w:rsidRDefault="0005011A" w:rsidP="00FC07B9">
      <w:pPr>
        <w:pStyle w:val="ACMACorporateAddresses"/>
      </w:pPr>
      <w:r w:rsidRPr="00E162C4">
        <w:t xml:space="preserve">Level 5 </w:t>
      </w:r>
      <w:r w:rsidRPr="00E162C4">
        <w:br/>
        <w:t>The Bay Centre</w:t>
      </w:r>
      <w:r w:rsidRPr="00E162C4">
        <w:br/>
        <w:t xml:space="preserve">65 Pirrama Road </w:t>
      </w:r>
      <w:r w:rsidRPr="00E162C4">
        <w:br/>
        <w:t>Pyrmont NSW</w:t>
      </w:r>
    </w:p>
    <w:p w14:paraId="4407E1ED" w14:textId="77777777" w:rsidR="0005011A" w:rsidRPr="00E162C4" w:rsidRDefault="0005011A" w:rsidP="00FC07B9">
      <w:pPr>
        <w:pStyle w:val="ACMACorporateAddresses"/>
      </w:pPr>
      <w:r w:rsidRPr="00E162C4">
        <w:t>PO Box Q500</w:t>
      </w:r>
      <w:r w:rsidRPr="00E162C4">
        <w:br/>
        <w:t xml:space="preserve">Queen Victoria Building </w:t>
      </w:r>
      <w:r w:rsidRPr="00E162C4">
        <w:br/>
        <w:t>NSW 1230</w:t>
      </w:r>
    </w:p>
    <w:p w14:paraId="7D732B45" w14:textId="77777777" w:rsidR="0005011A" w:rsidRPr="00E162C4" w:rsidRDefault="0005011A" w:rsidP="00FC07B9">
      <w:pPr>
        <w:pStyle w:val="ACMACorporateAddresses"/>
      </w:pPr>
      <w:r w:rsidRPr="00E162C4">
        <w:t>T</w:t>
      </w:r>
      <w:r w:rsidR="00140318" w:rsidRPr="00E162C4">
        <w:tab/>
      </w:r>
      <w:r w:rsidRPr="00E162C4">
        <w:t>+61 2 9334 7700</w:t>
      </w:r>
      <w:r w:rsidR="00140318" w:rsidRPr="00E162C4">
        <w:t xml:space="preserve"> or</w:t>
      </w:r>
      <w:r w:rsidRPr="00E162C4">
        <w:t xml:space="preserve"> 1800 226 667</w:t>
      </w:r>
      <w:r w:rsidRPr="00E162C4">
        <w:br/>
        <w:t>F</w:t>
      </w:r>
      <w:r w:rsidR="00140318" w:rsidRPr="00E162C4">
        <w:tab/>
      </w:r>
      <w:r w:rsidRPr="00E162C4">
        <w:t>+61 2 9334 7799</w:t>
      </w:r>
    </w:p>
    <w:p w14:paraId="464FDEAB" w14:textId="77777777" w:rsidR="00140318" w:rsidRPr="00E162C4" w:rsidRDefault="00140318" w:rsidP="00FC07B9">
      <w:pPr>
        <w:pStyle w:val="ACMACopyrightHeader"/>
      </w:pPr>
      <w:r w:rsidRPr="00E162C4">
        <w:t>Copyright notice</w:t>
      </w:r>
    </w:p>
    <w:p w14:paraId="011E0F7B" w14:textId="77777777" w:rsidR="00140318" w:rsidRPr="00E162C4" w:rsidRDefault="00623FF9" w:rsidP="00623FF9">
      <w:pPr>
        <w:pStyle w:val="ACMACClogo"/>
      </w:pPr>
      <w:r w:rsidRPr="00E162C4">
        <w:rPr>
          <w:noProof/>
        </w:rPr>
        <w:drawing>
          <wp:inline distT="0" distB="0" distL="0" distR="0" wp14:anchorId="06C18DEC" wp14:editId="4A6E523B">
            <wp:extent cx="838200" cy="295275"/>
            <wp:effectExtent l="0" t="0" r="0" b="0"/>
            <wp:docPr id="1" name="Picture 1"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5"/>
                    </pic:cNvPr>
                    <pic:cNvPicPr>
                      <a:picLocks noChangeAspect="1" noChangeArrowheads="1"/>
                    </pic:cNvPicPr>
                  </pic:nvPicPr>
                  <pic:blipFill>
                    <a:blip r:embed="rId16" cstate="print"/>
                    <a:srcRect/>
                    <a:stretch>
                      <a:fillRect/>
                    </a:stretch>
                  </pic:blipFill>
                  <pic:spPr bwMode="auto">
                    <a:xfrm>
                      <a:off x="0" y="0"/>
                      <a:ext cx="838200" cy="295275"/>
                    </a:xfrm>
                    <a:prstGeom prst="rect">
                      <a:avLst/>
                    </a:prstGeom>
                    <a:noFill/>
                  </pic:spPr>
                </pic:pic>
              </a:graphicData>
            </a:graphic>
          </wp:inline>
        </w:drawing>
      </w:r>
    </w:p>
    <w:p w14:paraId="79448E7D" w14:textId="77777777" w:rsidR="00AA2DE5" w:rsidRPr="00E162C4" w:rsidRDefault="005C383B" w:rsidP="00AA2DE5">
      <w:pPr>
        <w:pStyle w:val="ACMACorporateAddresses"/>
        <w:rPr>
          <w:rStyle w:val="Hyperlink"/>
        </w:rPr>
      </w:pPr>
      <w:hyperlink r:id="rId17" w:history="1">
        <w:r w:rsidR="00AA2DE5" w:rsidRPr="00E162C4">
          <w:rPr>
            <w:rStyle w:val="Hyperlink"/>
          </w:rPr>
          <w:t>https://creativecommons.org/licenses/by/4.0/</w:t>
        </w:r>
      </w:hyperlink>
    </w:p>
    <w:p w14:paraId="561B4314" w14:textId="23EE7ED2" w:rsidR="00AA2DE5" w:rsidRPr="00E162C4" w:rsidRDefault="00AA2DE5" w:rsidP="00AA2DE5">
      <w:pPr>
        <w:pStyle w:val="ACMACorporateAddresses"/>
      </w:pPr>
      <w:r w:rsidRPr="00E162C4">
        <w:t xml:space="preserve">With the exception of coats of arms, logos, emblems, images, other third-party </w:t>
      </w:r>
      <w:r w:rsidR="00357DFB" w:rsidRPr="00E162C4">
        <w:t>material,</w:t>
      </w:r>
      <w:r w:rsidRPr="00E162C4">
        <w:t xml:space="preserve"> or devices protected by a trademark, this content is made available under the terms of the Creative Commons Attribution 4.0 International (CC BY 4.0) licence. </w:t>
      </w:r>
    </w:p>
    <w:p w14:paraId="6EE92A68" w14:textId="77777777" w:rsidR="00AA2DE5" w:rsidRPr="00E162C4" w:rsidRDefault="00AA2DE5" w:rsidP="00AA2DE5">
      <w:pPr>
        <w:pStyle w:val="ACMACorporateAddresses"/>
      </w:pPr>
      <w:r w:rsidRPr="00E162C4">
        <w:t>We request attribution as © Commonwealth of Australia (Australian Communications and Media Authority) 20</w:t>
      </w:r>
      <w:r w:rsidR="00C41F21" w:rsidRPr="00E162C4">
        <w:t>2</w:t>
      </w:r>
      <w:r w:rsidR="00E162C4">
        <w:t>2</w:t>
      </w:r>
      <w:r w:rsidRPr="00E162C4">
        <w:t>.</w:t>
      </w:r>
    </w:p>
    <w:p w14:paraId="020CD750" w14:textId="77777777" w:rsidR="00AA2DE5" w:rsidRPr="00E162C4" w:rsidRDefault="00AA2DE5" w:rsidP="00AA2DE5">
      <w:pPr>
        <w:pStyle w:val="ACMACorporateAddresses"/>
      </w:pPr>
      <w:r w:rsidRPr="00E162C4">
        <w:t>All other rights are reserved.</w:t>
      </w:r>
    </w:p>
    <w:p w14:paraId="41ACD188" w14:textId="77777777" w:rsidR="00AA2DE5" w:rsidRPr="00E162C4" w:rsidRDefault="00AA2DE5" w:rsidP="00AA2DE5">
      <w:pPr>
        <w:pStyle w:val="ACMACorporateAddresses"/>
      </w:pPr>
      <w:r w:rsidRPr="00E162C4">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DEF3477" w14:textId="77777777" w:rsidR="00AA2DE5" w:rsidRPr="00E162C4" w:rsidRDefault="00AA2DE5" w:rsidP="00AA2DE5">
      <w:pPr>
        <w:pStyle w:val="ACMACorporateAddresses"/>
      </w:pPr>
      <w:r w:rsidRPr="00E162C4">
        <w:t>Written enquiries may be sent to:</w:t>
      </w:r>
    </w:p>
    <w:p w14:paraId="7CBC6C7A" w14:textId="77777777" w:rsidR="00AA2DE5" w:rsidRPr="00E162C4" w:rsidRDefault="00AA2DE5" w:rsidP="00AA2DE5">
      <w:pPr>
        <w:pStyle w:val="ACMACorporateAddresses"/>
        <w:rPr>
          <w:rStyle w:val="Hyperlink"/>
        </w:rPr>
      </w:pPr>
      <w:r w:rsidRPr="00E162C4">
        <w:t xml:space="preserve">Manager, Editorial </w:t>
      </w:r>
      <w:r w:rsidR="000245E5" w:rsidRPr="00E162C4">
        <w:t>Services</w:t>
      </w:r>
      <w:r w:rsidRPr="00E162C4">
        <w:br/>
        <w:t>PO Box 13112</w:t>
      </w:r>
      <w:r w:rsidRPr="00E162C4">
        <w:br/>
        <w:t>Law Courts</w:t>
      </w:r>
      <w:r w:rsidRPr="00E162C4">
        <w:br/>
        <w:t>Melbourne VIC 8010</w:t>
      </w:r>
      <w:r w:rsidRPr="00E162C4">
        <w:br/>
        <w:t xml:space="preserve">Email: </w:t>
      </w:r>
      <w:hyperlink r:id="rId18" w:history="1">
        <w:r w:rsidRPr="00E162C4">
          <w:rPr>
            <w:rStyle w:val="Hyperlink"/>
          </w:rPr>
          <w:t>info@acma.gov.au</w:t>
        </w:r>
      </w:hyperlink>
    </w:p>
    <w:p w14:paraId="639A8DD0" w14:textId="77777777" w:rsidR="00D16FE3" w:rsidRPr="00E162C4" w:rsidRDefault="00D16FE3" w:rsidP="00D16FE3">
      <w:pPr>
        <w:pStyle w:val="ACMACorporateAddresses"/>
        <w:rPr>
          <w:rStyle w:val="Hyperlink"/>
        </w:rPr>
      </w:pPr>
    </w:p>
    <w:p w14:paraId="3B3F4A64" w14:textId="77777777" w:rsidR="00D16FE3" w:rsidRPr="00E162C4" w:rsidRDefault="00D16FE3" w:rsidP="00D16FE3">
      <w:pPr>
        <w:pStyle w:val="ACMACorporateAddresses"/>
        <w:sectPr w:rsidR="00D16FE3" w:rsidRPr="00E162C4">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0DF090F3" w14:textId="371E2A51" w:rsidR="005635C8" w:rsidRPr="00172D5F" w:rsidRDefault="005635C8">
      <w:pPr>
        <w:pStyle w:val="TOC1"/>
        <w:rPr>
          <w:rFonts w:cs="Arial"/>
          <w:sz w:val="40"/>
          <w:szCs w:val="40"/>
        </w:rPr>
      </w:pPr>
      <w:r w:rsidRPr="00172D5F">
        <w:rPr>
          <w:rFonts w:cs="Arial"/>
          <w:sz w:val="40"/>
          <w:szCs w:val="40"/>
        </w:rPr>
        <w:lastRenderedPageBreak/>
        <w:t>Contents</w:t>
      </w:r>
    </w:p>
    <w:p w14:paraId="3C77B471" w14:textId="0C027270" w:rsidR="00945659" w:rsidRDefault="00777392">
      <w:pPr>
        <w:pStyle w:val="TOC1"/>
        <w:rPr>
          <w:rFonts w:asciiTheme="minorHAnsi" w:eastAsiaTheme="minorEastAsia" w:hAnsiTheme="minorHAnsi" w:cstheme="minorBidi"/>
          <w:b w:val="0"/>
          <w:spacing w:val="0"/>
          <w:sz w:val="22"/>
          <w:szCs w:val="22"/>
        </w:rPr>
      </w:pPr>
      <w:r w:rsidRPr="00E162C4">
        <w:rPr>
          <w:rFonts w:cs="Arial"/>
        </w:rPr>
        <w:fldChar w:fldCharType="begin"/>
      </w:r>
      <w:r w:rsidRPr="00E162C4">
        <w:rPr>
          <w:rFonts w:cs="Arial"/>
        </w:rPr>
        <w:instrText xml:space="preserve"> TOC \o "1-2" \h \z \t "Exec summary heading,1" </w:instrText>
      </w:r>
      <w:r w:rsidRPr="00E162C4">
        <w:rPr>
          <w:rFonts w:cs="Arial"/>
        </w:rPr>
        <w:fldChar w:fldCharType="separate"/>
      </w:r>
      <w:hyperlink w:anchor="_Toc106697683" w:history="1">
        <w:r w:rsidR="00945659" w:rsidRPr="00AB6D24">
          <w:rPr>
            <w:rStyle w:val="Hyperlink"/>
          </w:rPr>
          <w:t>Summary</w:t>
        </w:r>
        <w:r w:rsidR="00945659">
          <w:rPr>
            <w:webHidden/>
          </w:rPr>
          <w:tab/>
        </w:r>
        <w:r w:rsidR="00945659">
          <w:rPr>
            <w:webHidden/>
          </w:rPr>
          <w:fldChar w:fldCharType="begin"/>
        </w:r>
        <w:r w:rsidR="00945659">
          <w:rPr>
            <w:webHidden/>
          </w:rPr>
          <w:instrText xml:space="preserve"> PAGEREF _Toc106697683 \h </w:instrText>
        </w:r>
        <w:r w:rsidR="00945659">
          <w:rPr>
            <w:webHidden/>
          </w:rPr>
        </w:r>
        <w:r w:rsidR="00945659">
          <w:rPr>
            <w:webHidden/>
          </w:rPr>
          <w:fldChar w:fldCharType="separate"/>
        </w:r>
        <w:r w:rsidR="00945659">
          <w:rPr>
            <w:webHidden/>
          </w:rPr>
          <w:t>2</w:t>
        </w:r>
        <w:r w:rsidR="00945659">
          <w:rPr>
            <w:webHidden/>
          </w:rPr>
          <w:fldChar w:fldCharType="end"/>
        </w:r>
      </w:hyperlink>
    </w:p>
    <w:p w14:paraId="57521583" w14:textId="23BC0150" w:rsidR="00945659" w:rsidRDefault="005C383B">
      <w:pPr>
        <w:pStyle w:val="TOC1"/>
        <w:rPr>
          <w:rFonts w:asciiTheme="minorHAnsi" w:eastAsiaTheme="minorEastAsia" w:hAnsiTheme="minorHAnsi" w:cstheme="minorBidi"/>
          <w:b w:val="0"/>
          <w:spacing w:val="0"/>
          <w:sz w:val="22"/>
          <w:szCs w:val="22"/>
        </w:rPr>
      </w:pPr>
      <w:hyperlink w:anchor="_Toc106697684" w:history="1">
        <w:r w:rsidR="00945659" w:rsidRPr="00AB6D24">
          <w:rPr>
            <w:rStyle w:val="Hyperlink"/>
          </w:rPr>
          <w:t>Issues for comment</w:t>
        </w:r>
        <w:r w:rsidR="00945659">
          <w:rPr>
            <w:webHidden/>
          </w:rPr>
          <w:tab/>
        </w:r>
        <w:r w:rsidR="00945659">
          <w:rPr>
            <w:webHidden/>
          </w:rPr>
          <w:fldChar w:fldCharType="begin"/>
        </w:r>
        <w:r w:rsidR="00945659">
          <w:rPr>
            <w:webHidden/>
          </w:rPr>
          <w:instrText xml:space="preserve"> PAGEREF _Toc106697684 \h </w:instrText>
        </w:r>
        <w:r w:rsidR="00945659">
          <w:rPr>
            <w:webHidden/>
          </w:rPr>
        </w:r>
        <w:r w:rsidR="00945659">
          <w:rPr>
            <w:webHidden/>
          </w:rPr>
          <w:fldChar w:fldCharType="separate"/>
        </w:r>
        <w:r w:rsidR="00945659">
          <w:rPr>
            <w:webHidden/>
          </w:rPr>
          <w:t>3</w:t>
        </w:r>
        <w:r w:rsidR="00945659">
          <w:rPr>
            <w:webHidden/>
          </w:rPr>
          <w:fldChar w:fldCharType="end"/>
        </w:r>
      </w:hyperlink>
    </w:p>
    <w:p w14:paraId="031020DB" w14:textId="0E509E42" w:rsidR="00945659" w:rsidRDefault="005C383B">
      <w:pPr>
        <w:pStyle w:val="TOC1"/>
        <w:rPr>
          <w:rFonts w:asciiTheme="minorHAnsi" w:eastAsiaTheme="minorEastAsia" w:hAnsiTheme="minorHAnsi" w:cstheme="minorBidi"/>
          <w:b w:val="0"/>
          <w:spacing w:val="0"/>
          <w:sz w:val="22"/>
          <w:szCs w:val="22"/>
        </w:rPr>
      </w:pPr>
      <w:hyperlink w:anchor="_Toc106697685" w:history="1">
        <w:r w:rsidR="00945659" w:rsidRPr="00AB6D24">
          <w:rPr>
            <w:rStyle w:val="Hyperlink"/>
          </w:rPr>
          <w:t>Introduction</w:t>
        </w:r>
        <w:r w:rsidR="00945659">
          <w:rPr>
            <w:webHidden/>
          </w:rPr>
          <w:tab/>
        </w:r>
        <w:r w:rsidR="00945659">
          <w:rPr>
            <w:webHidden/>
          </w:rPr>
          <w:fldChar w:fldCharType="begin"/>
        </w:r>
        <w:r w:rsidR="00945659">
          <w:rPr>
            <w:webHidden/>
          </w:rPr>
          <w:instrText xml:space="preserve"> PAGEREF _Toc106697685 \h </w:instrText>
        </w:r>
        <w:r w:rsidR="00945659">
          <w:rPr>
            <w:webHidden/>
          </w:rPr>
        </w:r>
        <w:r w:rsidR="00945659">
          <w:rPr>
            <w:webHidden/>
          </w:rPr>
          <w:fldChar w:fldCharType="separate"/>
        </w:r>
        <w:r w:rsidR="00945659">
          <w:rPr>
            <w:webHidden/>
          </w:rPr>
          <w:t>4</w:t>
        </w:r>
        <w:r w:rsidR="00945659">
          <w:rPr>
            <w:webHidden/>
          </w:rPr>
          <w:fldChar w:fldCharType="end"/>
        </w:r>
      </w:hyperlink>
    </w:p>
    <w:p w14:paraId="1CC91201" w14:textId="01BDA221" w:rsidR="00945659" w:rsidRDefault="005C383B">
      <w:pPr>
        <w:pStyle w:val="TOC2"/>
        <w:rPr>
          <w:rFonts w:asciiTheme="minorHAnsi" w:eastAsiaTheme="minorEastAsia" w:hAnsiTheme="minorHAnsi" w:cstheme="minorBidi"/>
          <w:spacing w:val="0"/>
          <w:sz w:val="22"/>
          <w:szCs w:val="22"/>
        </w:rPr>
      </w:pPr>
      <w:hyperlink w:anchor="_Toc106697686" w:history="1">
        <w:r w:rsidR="00945659" w:rsidRPr="00AB6D24">
          <w:rPr>
            <w:rStyle w:val="Hyperlink"/>
          </w:rPr>
          <w:t>Background and description of activity</w:t>
        </w:r>
        <w:r w:rsidR="00945659">
          <w:rPr>
            <w:webHidden/>
          </w:rPr>
          <w:tab/>
        </w:r>
        <w:r w:rsidR="00945659">
          <w:rPr>
            <w:webHidden/>
          </w:rPr>
          <w:fldChar w:fldCharType="begin"/>
        </w:r>
        <w:r w:rsidR="00945659">
          <w:rPr>
            <w:webHidden/>
          </w:rPr>
          <w:instrText xml:space="preserve"> PAGEREF _Toc106697686 \h </w:instrText>
        </w:r>
        <w:r w:rsidR="00945659">
          <w:rPr>
            <w:webHidden/>
          </w:rPr>
        </w:r>
        <w:r w:rsidR="00945659">
          <w:rPr>
            <w:webHidden/>
          </w:rPr>
          <w:fldChar w:fldCharType="separate"/>
        </w:r>
        <w:r w:rsidR="00945659">
          <w:rPr>
            <w:webHidden/>
          </w:rPr>
          <w:t>4</w:t>
        </w:r>
        <w:r w:rsidR="00945659">
          <w:rPr>
            <w:webHidden/>
          </w:rPr>
          <w:fldChar w:fldCharType="end"/>
        </w:r>
      </w:hyperlink>
    </w:p>
    <w:p w14:paraId="68C47CCA" w14:textId="4E59F653" w:rsidR="00945659" w:rsidRDefault="005C383B">
      <w:pPr>
        <w:pStyle w:val="TOC2"/>
        <w:rPr>
          <w:rFonts w:asciiTheme="minorHAnsi" w:eastAsiaTheme="minorEastAsia" w:hAnsiTheme="minorHAnsi" w:cstheme="minorBidi"/>
          <w:spacing w:val="0"/>
          <w:sz w:val="22"/>
          <w:szCs w:val="22"/>
        </w:rPr>
      </w:pPr>
      <w:hyperlink w:anchor="_Toc106697687" w:history="1">
        <w:r w:rsidR="00945659" w:rsidRPr="00AB6D24">
          <w:rPr>
            <w:rStyle w:val="Hyperlink"/>
          </w:rPr>
          <w:t>Charging framework</w:t>
        </w:r>
        <w:r w:rsidR="00945659">
          <w:rPr>
            <w:webHidden/>
          </w:rPr>
          <w:tab/>
        </w:r>
        <w:r w:rsidR="00945659">
          <w:rPr>
            <w:webHidden/>
          </w:rPr>
          <w:fldChar w:fldCharType="begin"/>
        </w:r>
        <w:r w:rsidR="00945659">
          <w:rPr>
            <w:webHidden/>
          </w:rPr>
          <w:instrText xml:space="preserve"> PAGEREF _Toc106697687 \h </w:instrText>
        </w:r>
        <w:r w:rsidR="00945659">
          <w:rPr>
            <w:webHidden/>
          </w:rPr>
        </w:r>
        <w:r w:rsidR="00945659">
          <w:rPr>
            <w:webHidden/>
          </w:rPr>
          <w:fldChar w:fldCharType="separate"/>
        </w:r>
        <w:r w:rsidR="00945659">
          <w:rPr>
            <w:webHidden/>
          </w:rPr>
          <w:t>4</w:t>
        </w:r>
        <w:r w:rsidR="00945659">
          <w:rPr>
            <w:webHidden/>
          </w:rPr>
          <w:fldChar w:fldCharType="end"/>
        </w:r>
      </w:hyperlink>
    </w:p>
    <w:p w14:paraId="54F44CB7" w14:textId="7DC6A361" w:rsidR="00945659" w:rsidRDefault="005C383B">
      <w:pPr>
        <w:pStyle w:val="TOC1"/>
        <w:rPr>
          <w:rFonts w:asciiTheme="minorHAnsi" w:eastAsiaTheme="minorEastAsia" w:hAnsiTheme="minorHAnsi" w:cstheme="minorBidi"/>
          <w:b w:val="0"/>
          <w:spacing w:val="0"/>
          <w:sz w:val="22"/>
          <w:szCs w:val="22"/>
        </w:rPr>
      </w:pPr>
      <w:hyperlink w:anchor="_Toc106697688" w:history="1">
        <w:r w:rsidR="00945659" w:rsidRPr="00AB6D24">
          <w:rPr>
            <w:rStyle w:val="Hyperlink"/>
          </w:rPr>
          <w:t>Proposed fee</w:t>
        </w:r>
        <w:r w:rsidR="00945659">
          <w:rPr>
            <w:webHidden/>
          </w:rPr>
          <w:tab/>
        </w:r>
        <w:r w:rsidR="00945659">
          <w:rPr>
            <w:webHidden/>
          </w:rPr>
          <w:fldChar w:fldCharType="begin"/>
        </w:r>
        <w:r w:rsidR="00945659">
          <w:rPr>
            <w:webHidden/>
          </w:rPr>
          <w:instrText xml:space="preserve"> PAGEREF _Toc106697688 \h </w:instrText>
        </w:r>
        <w:r w:rsidR="00945659">
          <w:rPr>
            <w:webHidden/>
          </w:rPr>
        </w:r>
        <w:r w:rsidR="00945659">
          <w:rPr>
            <w:webHidden/>
          </w:rPr>
          <w:fldChar w:fldCharType="separate"/>
        </w:r>
        <w:r w:rsidR="00945659">
          <w:rPr>
            <w:webHidden/>
          </w:rPr>
          <w:t>5</w:t>
        </w:r>
        <w:r w:rsidR="00945659">
          <w:rPr>
            <w:webHidden/>
          </w:rPr>
          <w:fldChar w:fldCharType="end"/>
        </w:r>
      </w:hyperlink>
    </w:p>
    <w:p w14:paraId="3B2FE192" w14:textId="75C98D56" w:rsidR="00945659" w:rsidRDefault="005C383B">
      <w:pPr>
        <w:pStyle w:val="TOC2"/>
        <w:rPr>
          <w:rFonts w:asciiTheme="minorHAnsi" w:eastAsiaTheme="minorEastAsia" w:hAnsiTheme="minorHAnsi" w:cstheme="minorBidi"/>
          <w:spacing w:val="0"/>
          <w:sz w:val="22"/>
          <w:szCs w:val="22"/>
        </w:rPr>
      </w:pPr>
      <w:hyperlink w:anchor="_Toc106697689" w:history="1">
        <w:r w:rsidR="00945659" w:rsidRPr="00AB6D24">
          <w:rPr>
            <w:rStyle w:val="Hyperlink"/>
          </w:rPr>
          <w:t>Costs to be recovered</w:t>
        </w:r>
        <w:r w:rsidR="00945659">
          <w:rPr>
            <w:webHidden/>
          </w:rPr>
          <w:tab/>
        </w:r>
        <w:r w:rsidR="00945659">
          <w:rPr>
            <w:webHidden/>
          </w:rPr>
          <w:fldChar w:fldCharType="begin"/>
        </w:r>
        <w:r w:rsidR="00945659">
          <w:rPr>
            <w:webHidden/>
          </w:rPr>
          <w:instrText xml:space="preserve"> PAGEREF _Toc106697689 \h </w:instrText>
        </w:r>
        <w:r w:rsidR="00945659">
          <w:rPr>
            <w:webHidden/>
          </w:rPr>
        </w:r>
        <w:r w:rsidR="00945659">
          <w:rPr>
            <w:webHidden/>
          </w:rPr>
          <w:fldChar w:fldCharType="separate"/>
        </w:r>
        <w:r w:rsidR="00945659">
          <w:rPr>
            <w:webHidden/>
          </w:rPr>
          <w:t>5</w:t>
        </w:r>
        <w:r w:rsidR="00945659">
          <w:rPr>
            <w:webHidden/>
          </w:rPr>
          <w:fldChar w:fldCharType="end"/>
        </w:r>
      </w:hyperlink>
    </w:p>
    <w:p w14:paraId="36ED76C1" w14:textId="40B0B0C0" w:rsidR="00945659" w:rsidRDefault="005C383B">
      <w:pPr>
        <w:pStyle w:val="TOC2"/>
        <w:rPr>
          <w:rFonts w:asciiTheme="minorHAnsi" w:eastAsiaTheme="minorEastAsia" w:hAnsiTheme="minorHAnsi" w:cstheme="minorBidi"/>
          <w:spacing w:val="0"/>
          <w:sz w:val="22"/>
          <w:szCs w:val="22"/>
        </w:rPr>
      </w:pPr>
      <w:hyperlink w:anchor="_Toc106697690" w:history="1">
        <w:r w:rsidR="00945659" w:rsidRPr="00AB6D24">
          <w:rPr>
            <w:rStyle w:val="Hyperlink"/>
          </w:rPr>
          <w:t>Reason for under recovery of costs</w:t>
        </w:r>
        <w:r w:rsidR="00945659">
          <w:rPr>
            <w:webHidden/>
          </w:rPr>
          <w:tab/>
        </w:r>
        <w:r w:rsidR="00945659">
          <w:rPr>
            <w:webHidden/>
          </w:rPr>
          <w:fldChar w:fldCharType="begin"/>
        </w:r>
        <w:r w:rsidR="00945659">
          <w:rPr>
            <w:webHidden/>
          </w:rPr>
          <w:instrText xml:space="preserve"> PAGEREF _Toc106697690 \h </w:instrText>
        </w:r>
        <w:r w:rsidR="00945659">
          <w:rPr>
            <w:webHidden/>
          </w:rPr>
        </w:r>
        <w:r w:rsidR="00945659">
          <w:rPr>
            <w:webHidden/>
          </w:rPr>
          <w:fldChar w:fldCharType="separate"/>
        </w:r>
        <w:r w:rsidR="00945659">
          <w:rPr>
            <w:webHidden/>
          </w:rPr>
          <w:t>5</w:t>
        </w:r>
        <w:r w:rsidR="00945659">
          <w:rPr>
            <w:webHidden/>
          </w:rPr>
          <w:fldChar w:fldCharType="end"/>
        </w:r>
      </w:hyperlink>
    </w:p>
    <w:p w14:paraId="4EF1A659" w14:textId="00EE616C" w:rsidR="00945659" w:rsidRDefault="005C383B">
      <w:pPr>
        <w:pStyle w:val="TOC2"/>
        <w:rPr>
          <w:rFonts w:asciiTheme="minorHAnsi" w:eastAsiaTheme="minorEastAsia" w:hAnsiTheme="minorHAnsi" w:cstheme="minorBidi"/>
          <w:spacing w:val="0"/>
          <w:sz w:val="22"/>
          <w:szCs w:val="22"/>
        </w:rPr>
      </w:pPr>
      <w:hyperlink w:anchor="_Toc106697691" w:history="1">
        <w:r w:rsidR="00945659" w:rsidRPr="00AB6D24">
          <w:rPr>
            <w:rStyle w:val="Hyperlink"/>
          </w:rPr>
          <w:t>Calculating the new transaction fee</w:t>
        </w:r>
        <w:r w:rsidR="00945659">
          <w:rPr>
            <w:webHidden/>
          </w:rPr>
          <w:tab/>
        </w:r>
        <w:r w:rsidR="00945659">
          <w:rPr>
            <w:webHidden/>
          </w:rPr>
          <w:fldChar w:fldCharType="begin"/>
        </w:r>
        <w:r w:rsidR="00945659">
          <w:rPr>
            <w:webHidden/>
          </w:rPr>
          <w:instrText xml:space="preserve"> PAGEREF _Toc106697691 \h </w:instrText>
        </w:r>
        <w:r w:rsidR="00945659">
          <w:rPr>
            <w:webHidden/>
          </w:rPr>
        </w:r>
        <w:r w:rsidR="00945659">
          <w:rPr>
            <w:webHidden/>
          </w:rPr>
          <w:fldChar w:fldCharType="separate"/>
        </w:r>
        <w:r w:rsidR="00945659">
          <w:rPr>
            <w:webHidden/>
          </w:rPr>
          <w:t>8</w:t>
        </w:r>
        <w:r w:rsidR="00945659">
          <w:rPr>
            <w:webHidden/>
          </w:rPr>
          <w:fldChar w:fldCharType="end"/>
        </w:r>
      </w:hyperlink>
    </w:p>
    <w:p w14:paraId="2787952D" w14:textId="5D7DB094" w:rsidR="00945659" w:rsidRDefault="005C383B">
      <w:pPr>
        <w:pStyle w:val="TOC1"/>
        <w:rPr>
          <w:rFonts w:asciiTheme="minorHAnsi" w:eastAsiaTheme="minorEastAsia" w:hAnsiTheme="minorHAnsi" w:cstheme="minorBidi"/>
          <w:b w:val="0"/>
          <w:spacing w:val="0"/>
          <w:sz w:val="22"/>
          <w:szCs w:val="22"/>
        </w:rPr>
      </w:pPr>
      <w:hyperlink w:anchor="_Toc106697692" w:history="1">
        <w:r w:rsidR="00945659" w:rsidRPr="00AB6D24">
          <w:rPr>
            <w:rStyle w:val="Hyperlink"/>
          </w:rPr>
          <w:t>Financial estimates</w:t>
        </w:r>
        <w:r w:rsidR="00945659">
          <w:rPr>
            <w:webHidden/>
          </w:rPr>
          <w:tab/>
        </w:r>
        <w:r w:rsidR="00945659">
          <w:rPr>
            <w:webHidden/>
          </w:rPr>
          <w:fldChar w:fldCharType="begin"/>
        </w:r>
        <w:r w:rsidR="00945659">
          <w:rPr>
            <w:webHidden/>
          </w:rPr>
          <w:instrText xml:space="preserve"> PAGEREF _Toc106697692 \h </w:instrText>
        </w:r>
        <w:r w:rsidR="00945659">
          <w:rPr>
            <w:webHidden/>
          </w:rPr>
        </w:r>
        <w:r w:rsidR="00945659">
          <w:rPr>
            <w:webHidden/>
          </w:rPr>
          <w:fldChar w:fldCharType="separate"/>
        </w:r>
        <w:r w:rsidR="00945659">
          <w:rPr>
            <w:webHidden/>
          </w:rPr>
          <w:t>9</w:t>
        </w:r>
        <w:r w:rsidR="00945659">
          <w:rPr>
            <w:webHidden/>
          </w:rPr>
          <w:fldChar w:fldCharType="end"/>
        </w:r>
      </w:hyperlink>
    </w:p>
    <w:p w14:paraId="1772A7F5" w14:textId="57511F02" w:rsidR="00945659" w:rsidRDefault="005C383B">
      <w:pPr>
        <w:pStyle w:val="TOC1"/>
        <w:rPr>
          <w:rFonts w:asciiTheme="minorHAnsi" w:eastAsiaTheme="minorEastAsia" w:hAnsiTheme="minorHAnsi" w:cstheme="minorBidi"/>
          <w:b w:val="0"/>
          <w:spacing w:val="0"/>
          <w:sz w:val="22"/>
          <w:szCs w:val="22"/>
        </w:rPr>
      </w:pPr>
      <w:hyperlink w:anchor="_Toc106697693" w:history="1">
        <w:r w:rsidR="00945659" w:rsidRPr="00AB6D24">
          <w:rPr>
            <w:rStyle w:val="Hyperlink"/>
          </w:rPr>
          <w:t>Invitation to comment</w:t>
        </w:r>
        <w:r w:rsidR="00945659">
          <w:rPr>
            <w:webHidden/>
          </w:rPr>
          <w:tab/>
        </w:r>
        <w:r w:rsidR="00945659">
          <w:rPr>
            <w:webHidden/>
          </w:rPr>
          <w:fldChar w:fldCharType="begin"/>
        </w:r>
        <w:r w:rsidR="00945659">
          <w:rPr>
            <w:webHidden/>
          </w:rPr>
          <w:instrText xml:space="preserve"> PAGEREF _Toc106697693 \h </w:instrText>
        </w:r>
        <w:r w:rsidR="00945659">
          <w:rPr>
            <w:webHidden/>
          </w:rPr>
        </w:r>
        <w:r w:rsidR="00945659">
          <w:rPr>
            <w:webHidden/>
          </w:rPr>
          <w:fldChar w:fldCharType="separate"/>
        </w:r>
        <w:r w:rsidR="00945659">
          <w:rPr>
            <w:webHidden/>
          </w:rPr>
          <w:t>10</w:t>
        </w:r>
        <w:r w:rsidR="00945659">
          <w:rPr>
            <w:webHidden/>
          </w:rPr>
          <w:fldChar w:fldCharType="end"/>
        </w:r>
      </w:hyperlink>
    </w:p>
    <w:p w14:paraId="24A215DB" w14:textId="6CA66A70" w:rsidR="00945659" w:rsidRDefault="005C383B">
      <w:pPr>
        <w:pStyle w:val="TOC2"/>
        <w:rPr>
          <w:rFonts w:asciiTheme="minorHAnsi" w:eastAsiaTheme="minorEastAsia" w:hAnsiTheme="minorHAnsi" w:cstheme="minorBidi"/>
          <w:spacing w:val="0"/>
          <w:sz w:val="22"/>
          <w:szCs w:val="22"/>
        </w:rPr>
      </w:pPr>
      <w:hyperlink w:anchor="_Toc106697694" w:history="1">
        <w:r w:rsidR="00945659" w:rsidRPr="00AB6D24">
          <w:rPr>
            <w:rStyle w:val="Hyperlink"/>
          </w:rPr>
          <w:t>Making a submission</w:t>
        </w:r>
        <w:r w:rsidR="00945659">
          <w:rPr>
            <w:webHidden/>
          </w:rPr>
          <w:tab/>
        </w:r>
        <w:r w:rsidR="00945659">
          <w:rPr>
            <w:webHidden/>
          </w:rPr>
          <w:fldChar w:fldCharType="begin"/>
        </w:r>
        <w:r w:rsidR="00945659">
          <w:rPr>
            <w:webHidden/>
          </w:rPr>
          <w:instrText xml:space="preserve"> PAGEREF _Toc106697694 \h </w:instrText>
        </w:r>
        <w:r w:rsidR="00945659">
          <w:rPr>
            <w:webHidden/>
          </w:rPr>
        </w:r>
        <w:r w:rsidR="00945659">
          <w:rPr>
            <w:webHidden/>
          </w:rPr>
          <w:fldChar w:fldCharType="separate"/>
        </w:r>
        <w:r w:rsidR="00945659">
          <w:rPr>
            <w:webHidden/>
          </w:rPr>
          <w:t>10</w:t>
        </w:r>
        <w:r w:rsidR="00945659">
          <w:rPr>
            <w:webHidden/>
          </w:rPr>
          <w:fldChar w:fldCharType="end"/>
        </w:r>
      </w:hyperlink>
    </w:p>
    <w:p w14:paraId="3186E87C" w14:textId="5FA185A0" w:rsidR="009D6C71" w:rsidRPr="009F3628" w:rsidRDefault="00777392" w:rsidP="005635C8">
      <w:pPr>
        <w:pStyle w:val="Heading1"/>
      </w:pPr>
      <w:r w:rsidRPr="00E162C4">
        <w:rPr>
          <w:noProof/>
          <w:spacing w:val="-14"/>
          <w:sz w:val="28"/>
        </w:rPr>
        <w:lastRenderedPageBreak/>
        <w:fldChar w:fldCharType="end"/>
      </w:r>
      <w:bookmarkStart w:id="0" w:name="_Toc106697683"/>
      <w:r w:rsidR="009F1A58">
        <w:t>S</w:t>
      </w:r>
      <w:r w:rsidR="009D6C71" w:rsidRPr="009F3628">
        <w:t>ummary</w:t>
      </w:r>
      <w:bookmarkEnd w:id="0"/>
    </w:p>
    <w:p w14:paraId="19212142" w14:textId="280C4F92" w:rsidR="000730B3" w:rsidRDefault="006A23D1" w:rsidP="00A11445">
      <w:pPr>
        <w:pStyle w:val="Paragraph"/>
      </w:pPr>
      <w:bookmarkStart w:id="1" w:name="_Toc59622594"/>
      <w:bookmarkStart w:id="2" w:name="_Toc92265079"/>
      <w:bookmarkStart w:id="3" w:name="_Toc433122125"/>
      <w:r w:rsidRPr="006A23D1">
        <w:t xml:space="preserve">The Australian Communications and Media Authority </w:t>
      </w:r>
      <w:r w:rsidR="00910A12">
        <w:t xml:space="preserve">(ACMA) </w:t>
      </w:r>
      <w:r w:rsidRPr="006A23D1">
        <w:t xml:space="preserve">is responsible for the administration, </w:t>
      </w:r>
      <w:r w:rsidR="00357DFB" w:rsidRPr="006A23D1">
        <w:t>allocation,</w:t>
      </w:r>
      <w:r w:rsidRPr="006A23D1">
        <w:t xml:space="preserve"> and regulation of Australian telephone numbers. </w:t>
      </w:r>
    </w:p>
    <w:p w14:paraId="2705B114" w14:textId="4D9C9A5F" w:rsidR="000730B3" w:rsidRDefault="000730B3" w:rsidP="00A11445">
      <w:pPr>
        <w:pStyle w:val="Paragraph"/>
      </w:pPr>
      <w:r>
        <w:t xml:space="preserve">In 2014, the </w:t>
      </w:r>
      <w:r w:rsidR="00910A12">
        <w:t xml:space="preserve">Australian Government </w:t>
      </w:r>
      <w:r>
        <w:t>awarded a contract to ZOAK Solutions Pty Ltd (ZOAK) to provide</w:t>
      </w:r>
      <w:r w:rsidR="005635C8">
        <w:t xml:space="preserve"> </w:t>
      </w:r>
      <w:r w:rsidR="005A3491">
        <w:t xml:space="preserve">number </w:t>
      </w:r>
      <w:r>
        <w:t>allocation and administrative services in relation to most of Australia’s telephone numbers</w:t>
      </w:r>
      <w:r w:rsidR="005A3491">
        <w:t>.</w:t>
      </w:r>
      <w:r>
        <w:t xml:space="preserve"> </w:t>
      </w:r>
      <w:r w:rsidR="00F54F38" w:rsidRPr="00F54F38">
        <w:t xml:space="preserve">The </w:t>
      </w:r>
      <w:r w:rsidR="00F54F38" w:rsidRPr="00A11445">
        <w:t xml:space="preserve">contract is for </w:t>
      </w:r>
      <w:r w:rsidR="00910A12" w:rsidRPr="00A11445">
        <w:t xml:space="preserve">7 </w:t>
      </w:r>
      <w:r w:rsidR="00F54F38" w:rsidRPr="00A11445">
        <w:t xml:space="preserve">years from 3 August 2015 to 2 August 2022, </w:t>
      </w:r>
      <w:r w:rsidR="00A44028" w:rsidRPr="00A11445">
        <w:t xml:space="preserve">and has recently been extended for another 2 years to </w:t>
      </w:r>
      <w:r w:rsidR="00F54F38" w:rsidRPr="00A11445">
        <w:t>2024</w:t>
      </w:r>
      <w:r w:rsidR="00662500" w:rsidRPr="00A11445">
        <w:t xml:space="preserve">. </w:t>
      </w:r>
      <w:r w:rsidRPr="00A11445">
        <w:t xml:space="preserve">Consistent with </w:t>
      </w:r>
      <w:r w:rsidR="00910A12" w:rsidRPr="00A11445">
        <w:t>g</w:t>
      </w:r>
      <w:r w:rsidRPr="00A11445">
        <w:t xml:space="preserve">overnment policy, </w:t>
      </w:r>
      <w:r w:rsidR="00910A12" w:rsidRPr="00A11445">
        <w:t>we</w:t>
      </w:r>
      <w:r w:rsidR="00910A12">
        <w:t xml:space="preserve"> </w:t>
      </w:r>
      <w:r>
        <w:t xml:space="preserve">recover the cost of the contract by imposing numbering charges on entities that use numbering services. </w:t>
      </w:r>
    </w:p>
    <w:p w14:paraId="66D644AE" w14:textId="58335D43" w:rsidR="00910A12" w:rsidRDefault="00910A12" w:rsidP="00A11445">
      <w:pPr>
        <w:pStyle w:val="Paragraphbeforelist"/>
      </w:pPr>
      <w:r>
        <w:t>We</w:t>
      </w:r>
      <w:r w:rsidR="00E5520F">
        <w:t xml:space="preserve"> </w:t>
      </w:r>
      <w:r w:rsidR="00B27ED7">
        <w:t>set</w:t>
      </w:r>
      <w:r w:rsidR="00E5520F">
        <w:t xml:space="preserve"> fees to recover the cost of </w:t>
      </w:r>
      <w:r w:rsidR="005A3491">
        <w:t>the</w:t>
      </w:r>
      <w:r w:rsidR="00E5520F">
        <w:t xml:space="preserve"> contract with ZOAK through </w:t>
      </w:r>
      <w:r>
        <w:t xml:space="preserve">2 </w:t>
      </w:r>
      <w:r w:rsidR="00E5520F">
        <w:t xml:space="preserve">separate charging instruments: </w:t>
      </w:r>
    </w:p>
    <w:p w14:paraId="68C91DA0" w14:textId="458DC707" w:rsidR="00910A12" w:rsidRDefault="005A3491" w:rsidP="00910A12">
      <w:pPr>
        <w:pStyle w:val="Bulletlevel1"/>
      </w:pPr>
      <w:r>
        <w:t xml:space="preserve">the </w:t>
      </w:r>
      <w:hyperlink r:id="rId23" w:history="1">
        <w:r w:rsidR="0002254D" w:rsidRPr="005635C8">
          <w:rPr>
            <w:rStyle w:val="Hyperlink"/>
          </w:rPr>
          <w:t>Telecommunications Charges Determination 2012</w:t>
        </w:r>
      </w:hyperlink>
      <w:r w:rsidR="0002254D">
        <w:rPr>
          <w:rStyle w:val="Hyperlink"/>
        </w:rPr>
        <w:t xml:space="preserve"> </w:t>
      </w:r>
      <w:r w:rsidR="00E5520F">
        <w:t xml:space="preserve">made under the </w:t>
      </w:r>
      <w:hyperlink r:id="rId24" w:history="1">
        <w:r w:rsidR="0002254D" w:rsidRPr="00E62A39">
          <w:rPr>
            <w:rStyle w:val="Hyperlink"/>
            <w:i/>
          </w:rPr>
          <w:t>Australian Communications and Media Authority Act 2005</w:t>
        </w:r>
      </w:hyperlink>
      <w:r w:rsidR="0002254D">
        <w:t xml:space="preserve"> </w:t>
      </w:r>
      <w:r w:rsidR="00E5520F">
        <w:t>(ACMA Act)</w:t>
      </w:r>
    </w:p>
    <w:p w14:paraId="3BABBE57" w14:textId="6EAFC944" w:rsidR="00B27ED7" w:rsidRDefault="00B27ED7" w:rsidP="00A11445">
      <w:pPr>
        <w:pStyle w:val="Bulletlevel1last"/>
      </w:pPr>
      <w:r>
        <w:t xml:space="preserve">the </w:t>
      </w:r>
      <w:hyperlink r:id="rId25" w:history="1">
        <w:r w:rsidR="0002254D" w:rsidRPr="00E62A39">
          <w:rPr>
            <w:rStyle w:val="Hyperlink"/>
          </w:rPr>
          <w:t>Telecommunications (Numbering Charges) (Allocation Charge)</w:t>
        </w:r>
        <w:r w:rsidR="0002254D">
          <w:rPr>
            <w:rStyle w:val="Hyperlink"/>
          </w:rPr>
          <w:t xml:space="preserve"> </w:t>
        </w:r>
        <w:r w:rsidR="0002254D" w:rsidRPr="00E62A39">
          <w:rPr>
            <w:rStyle w:val="Hyperlink"/>
          </w:rPr>
          <w:t>Determination 2015</w:t>
        </w:r>
      </w:hyperlink>
      <w:r>
        <w:t xml:space="preserve"> made under </w:t>
      </w:r>
      <w:r w:rsidR="00E5520F">
        <w:t xml:space="preserve">the </w:t>
      </w:r>
      <w:hyperlink r:id="rId26" w:history="1">
        <w:r w:rsidR="0002254D" w:rsidRPr="00E62A39">
          <w:rPr>
            <w:rStyle w:val="Hyperlink"/>
            <w:i/>
          </w:rPr>
          <w:t>Telecommunications (Numbering Charges) Act 1997</w:t>
        </w:r>
      </w:hyperlink>
      <w:r w:rsidR="00E5520F">
        <w:t xml:space="preserve"> (Numbering Charges Act). </w:t>
      </w:r>
    </w:p>
    <w:p w14:paraId="23826034" w14:textId="6C15DF4A" w:rsidR="00E5520F" w:rsidRDefault="00E5520F" w:rsidP="00A11445">
      <w:pPr>
        <w:pStyle w:val="Paragraph"/>
      </w:pPr>
      <w:r>
        <w:t>The</w:t>
      </w:r>
      <w:r w:rsidR="00B27ED7">
        <w:t>se</w:t>
      </w:r>
      <w:r>
        <w:t xml:space="preserve"> instruments set the same flat transaction fee</w:t>
      </w:r>
      <w:r w:rsidR="00910A12">
        <w:t>,</w:t>
      </w:r>
      <w:r>
        <w:t xml:space="preserve"> calculated using the same </w:t>
      </w:r>
      <w:r w:rsidR="006C1C0D">
        <w:t>charging model</w:t>
      </w:r>
      <w:r>
        <w:t xml:space="preserve">, noting all applicable transactions occur in the same </w:t>
      </w:r>
      <w:r w:rsidR="005A3491">
        <w:t>N</w:t>
      </w:r>
      <w:r>
        <w:t xml:space="preserve">umbering </w:t>
      </w:r>
      <w:r w:rsidR="005A3491">
        <w:t>S</w:t>
      </w:r>
      <w:r>
        <w:t xml:space="preserve">ystem, are largely automated and use the same amount of processing time per transaction. Accordingly, the fees </w:t>
      </w:r>
      <w:r w:rsidR="006C1C0D">
        <w:t>in</w:t>
      </w:r>
      <w:r>
        <w:t xml:space="preserve"> each instrument have previously</w:t>
      </w:r>
      <w:r w:rsidR="00F8502B">
        <w:t xml:space="preserve"> been </w:t>
      </w:r>
      <w:r w:rsidR="006C1C0D">
        <w:t>and are currently</w:t>
      </w:r>
      <w:r w:rsidR="00910A12">
        <w:t>,</w:t>
      </w:r>
      <w:r w:rsidR="006C1C0D">
        <w:t xml:space="preserve"> </w:t>
      </w:r>
      <w:r>
        <w:t>be</w:t>
      </w:r>
      <w:r w:rsidR="006C1C0D">
        <w:t>ing</w:t>
      </w:r>
      <w:r w:rsidR="00B27ED7">
        <w:t xml:space="preserve"> consulted on and made </w:t>
      </w:r>
      <w:r>
        <w:t>together.</w:t>
      </w:r>
    </w:p>
    <w:p w14:paraId="77F7D733" w14:textId="74341BF8" w:rsidR="006A24EE" w:rsidRDefault="006C1C0D" w:rsidP="00A11445">
      <w:pPr>
        <w:pStyle w:val="Paragraph"/>
      </w:pPr>
      <w:r>
        <w:t>As a result of a sustained downward trend in demand</w:t>
      </w:r>
      <w:r w:rsidR="007E2E3D">
        <w:t xml:space="preserve"> from users</w:t>
      </w:r>
      <w:r w:rsidR="005A3491">
        <w:t xml:space="preserve">, revenue generated from the current fee of $35 per transaction is insufficient to meet the cost of the contract </w:t>
      </w:r>
      <w:r w:rsidR="007E2E3D">
        <w:t>and</w:t>
      </w:r>
      <w:r w:rsidR="005635C8">
        <w:t xml:space="preserve"> </w:t>
      </w:r>
      <w:r w:rsidR="007E2E3D">
        <w:t xml:space="preserve">has resulted </w:t>
      </w:r>
      <w:r w:rsidR="00EC08E1">
        <w:t xml:space="preserve">in </w:t>
      </w:r>
      <w:r w:rsidR="005635C8">
        <w:t>a</w:t>
      </w:r>
      <w:r w:rsidR="0002254D">
        <w:t xml:space="preserve"> cumulative </w:t>
      </w:r>
      <w:r w:rsidR="007E2E3D">
        <w:t>under-recovery</w:t>
      </w:r>
      <w:r w:rsidR="00910A12">
        <w:t>,</w:t>
      </w:r>
      <w:r w:rsidR="0044390B">
        <w:t xml:space="preserve"> </w:t>
      </w:r>
      <w:r w:rsidR="00F54F38" w:rsidRPr="00F54F38">
        <w:t>as of April 2022</w:t>
      </w:r>
      <w:r w:rsidR="00910A12">
        <w:t>,</w:t>
      </w:r>
      <w:r w:rsidR="00F54F38" w:rsidRPr="00F54F38">
        <w:t xml:space="preserve"> </w:t>
      </w:r>
      <w:r w:rsidR="00910A12">
        <w:t>of</w:t>
      </w:r>
      <w:r w:rsidR="00910A12" w:rsidRPr="00F54F38">
        <w:t xml:space="preserve"> </w:t>
      </w:r>
      <w:r w:rsidR="00F54F38" w:rsidRPr="00F54F38">
        <w:t>$215,851</w:t>
      </w:r>
      <w:r>
        <w:t xml:space="preserve">. </w:t>
      </w:r>
      <w:r w:rsidR="007E2E3D">
        <w:t>This</w:t>
      </w:r>
      <w:r w:rsidR="006A24EE">
        <w:t xml:space="preserve"> under-recover</w:t>
      </w:r>
      <w:r w:rsidR="007E2E3D">
        <w:t xml:space="preserve">y is </w:t>
      </w:r>
      <w:r w:rsidR="0002254D">
        <w:t xml:space="preserve">estimated </w:t>
      </w:r>
      <w:r w:rsidR="007E2E3D">
        <w:t>to increase to</w:t>
      </w:r>
      <w:r w:rsidR="006A24EE">
        <w:t xml:space="preserve"> </w:t>
      </w:r>
      <w:r w:rsidR="006A24EE" w:rsidRPr="006A24EE">
        <w:t>$412,816</w:t>
      </w:r>
      <w:r w:rsidR="006A24EE">
        <w:t xml:space="preserve"> by the end of the current </w:t>
      </w:r>
      <w:r w:rsidR="0002254D">
        <w:t xml:space="preserve">Numbering Services </w:t>
      </w:r>
      <w:r w:rsidR="006A24EE">
        <w:t>contract</w:t>
      </w:r>
      <w:r w:rsidR="0002254D">
        <w:t>.</w:t>
      </w:r>
    </w:p>
    <w:p w14:paraId="2CBF6F53" w14:textId="5EBFBE04" w:rsidR="000730B3" w:rsidRDefault="00910A12" w:rsidP="00A11445">
      <w:pPr>
        <w:pStyle w:val="Paragraph"/>
      </w:pPr>
      <w:r>
        <w:t>We engaged e</w:t>
      </w:r>
      <w:r w:rsidR="0076079F">
        <w:t>conomic consultants</w:t>
      </w:r>
      <w:r>
        <w:t>,</w:t>
      </w:r>
      <w:r w:rsidR="0076079F">
        <w:t xml:space="preserve"> </w:t>
      </w:r>
      <w:proofErr w:type="spellStart"/>
      <w:r w:rsidR="0076079F">
        <w:t>HoustonKemp</w:t>
      </w:r>
      <w:proofErr w:type="spellEnd"/>
      <w:r>
        <w:t>,</w:t>
      </w:r>
      <w:r w:rsidR="000730B3">
        <w:t xml:space="preserve"> in </w:t>
      </w:r>
      <w:r w:rsidR="008D1FC2">
        <w:t xml:space="preserve">March </w:t>
      </w:r>
      <w:r w:rsidR="000730B3">
        <w:t>2022 to review</w:t>
      </w:r>
      <w:r w:rsidR="005D7997">
        <w:t xml:space="preserve"> and update</w:t>
      </w:r>
      <w:r w:rsidR="000730B3">
        <w:t xml:space="preserve"> </w:t>
      </w:r>
      <w:r w:rsidR="0076079F">
        <w:t xml:space="preserve">the </w:t>
      </w:r>
      <w:r w:rsidR="0002254D">
        <w:t xml:space="preserve">fee and cost recovery </w:t>
      </w:r>
      <w:r w:rsidR="0076079F">
        <w:t>model</w:t>
      </w:r>
      <w:r w:rsidR="005D7997">
        <w:t>. This included</w:t>
      </w:r>
      <w:r w:rsidR="0076079F">
        <w:t xml:space="preserve"> </w:t>
      </w:r>
      <w:r w:rsidR="005D7997">
        <w:t xml:space="preserve">reviewing </w:t>
      </w:r>
      <w:r w:rsidR="0076079F">
        <w:t>all assumptions, forecast</w:t>
      </w:r>
      <w:r w:rsidR="005D7997">
        <w:t>ing</w:t>
      </w:r>
      <w:r w:rsidR="0076079F">
        <w:t xml:space="preserve"> future </w:t>
      </w:r>
      <w:r w:rsidR="00357DFB">
        <w:t>demand</w:t>
      </w:r>
      <w:r w:rsidR="0076079F">
        <w:t xml:space="preserve"> and </w:t>
      </w:r>
      <w:r w:rsidR="005D7997">
        <w:t>estimating</w:t>
      </w:r>
      <w:r w:rsidR="0076079F">
        <w:t xml:space="preserve"> the fee required to obtain neutral cost recovery</w:t>
      </w:r>
      <w:r w:rsidR="004A7B19">
        <w:t xml:space="preserve"> by 2024</w:t>
      </w:r>
      <w:r w:rsidR="005D7997">
        <w:t xml:space="preserve">. </w:t>
      </w:r>
    </w:p>
    <w:p w14:paraId="3B0B41D9" w14:textId="277440DA" w:rsidR="00556713" w:rsidRPr="00556713" w:rsidRDefault="001F1F17" w:rsidP="00A11445">
      <w:pPr>
        <w:pStyle w:val="Paragraph"/>
      </w:pPr>
      <w:r>
        <w:t>T</w:t>
      </w:r>
      <w:r w:rsidR="00AA2F6F">
        <w:t>o</w:t>
      </w:r>
      <w:r w:rsidR="00556713" w:rsidRPr="00556713">
        <w:t xml:space="preserve"> address </w:t>
      </w:r>
      <w:r w:rsidR="00DB61CE">
        <w:t>the existing and forecasted</w:t>
      </w:r>
      <w:r w:rsidR="00556713" w:rsidRPr="00556713">
        <w:t xml:space="preserve"> under</w:t>
      </w:r>
      <w:r w:rsidR="00910A12">
        <w:t>-</w:t>
      </w:r>
      <w:r w:rsidR="00556713" w:rsidRPr="00556713">
        <w:t>recovery</w:t>
      </w:r>
      <w:r w:rsidR="004F425E">
        <w:t>,</w:t>
      </w:r>
      <w:r w:rsidR="00556713" w:rsidRPr="00556713">
        <w:t xml:space="preserve"> </w:t>
      </w:r>
      <w:r w:rsidR="00910A12">
        <w:t xml:space="preserve">we </w:t>
      </w:r>
      <w:r w:rsidR="008E0CC0">
        <w:t xml:space="preserve">propose to </w:t>
      </w:r>
      <w:r w:rsidR="00556713" w:rsidRPr="00556713">
        <w:t>increase the flat transaction fee in the Numbering System to $57</w:t>
      </w:r>
      <w:r w:rsidR="00910A12">
        <w:t>,</w:t>
      </w:r>
      <w:r w:rsidR="00556713" w:rsidRPr="00556713">
        <w:t xml:space="preserve"> which is the fee calculated to generate revenue required to achieve neutral cumulative cost recovery by the anticipated end of the contract</w:t>
      </w:r>
      <w:r w:rsidR="00910A12">
        <w:t>,</w:t>
      </w:r>
      <w:r w:rsidR="00556713" w:rsidRPr="00556713">
        <w:t xml:space="preserve"> noting </w:t>
      </w:r>
      <w:r w:rsidR="00376B4E">
        <w:t xml:space="preserve">that </w:t>
      </w:r>
      <w:r w:rsidR="00556713" w:rsidRPr="00556713">
        <w:t>demand is forecast to continue to decline over this period.</w:t>
      </w:r>
    </w:p>
    <w:p w14:paraId="39959178" w14:textId="69583A16" w:rsidR="00A30A2E" w:rsidRPr="00A30A2E" w:rsidRDefault="00715722" w:rsidP="00A30A2E">
      <w:pPr>
        <w:pStyle w:val="Heading1"/>
      </w:pPr>
      <w:bookmarkStart w:id="4" w:name="_Toc106697684"/>
      <w:bookmarkEnd w:id="1"/>
      <w:bookmarkEnd w:id="2"/>
      <w:r w:rsidRPr="00E162C4">
        <w:lastRenderedPageBreak/>
        <w:t>Issues for comment</w:t>
      </w:r>
      <w:bookmarkEnd w:id="3"/>
      <w:bookmarkEnd w:id="4"/>
    </w:p>
    <w:p w14:paraId="57D4D223" w14:textId="3B27E1FD" w:rsidR="00A72000" w:rsidRDefault="00CA1688" w:rsidP="00662500">
      <w:pPr>
        <w:pStyle w:val="Paragraph"/>
      </w:pPr>
      <w:r>
        <w:t>T</w:t>
      </w:r>
      <w:r w:rsidR="00662500">
        <w:t xml:space="preserve">he ACMA seeks submissions from interested parties </w:t>
      </w:r>
      <w:r>
        <w:t>on the new fee</w:t>
      </w:r>
      <w:r w:rsidR="00C50774">
        <w:t xml:space="preserve"> of $57</w:t>
      </w:r>
      <w:r>
        <w:t xml:space="preserve"> as set out in the</w:t>
      </w:r>
      <w:r w:rsidR="00662500">
        <w:t xml:space="preserve"> draft Telecommunications (Numbering Charges (Allocation Charge) Amendment Determination 2022 (No 1). </w:t>
      </w:r>
      <w:r w:rsidR="00945659">
        <w:t>The draft determination is available on the landing page for this consultation paper.</w:t>
      </w:r>
    </w:p>
    <w:p w14:paraId="543935A4" w14:textId="15C44AC1" w:rsidR="00662500" w:rsidRDefault="00910A12" w:rsidP="00C50774">
      <w:pPr>
        <w:pStyle w:val="Paragraph"/>
      </w:pPr>
      <w:r>
        <w:t>We are</w:t>
      </w:r>
      <w:r w:rsidR="00A4114C">
        <w:t xml:space="preserve"> </w:t>
      </w:r>
      <w:r w:rsidR="00C70538">
        <w:t>simultaneously</w:t>
      </w:r>
      <w:r w:rsidR="00A4114C">
        <w:t xml:space="preserve"> </w:t>
      </w:r>
      <w:r w:rsidR="00C70538">
        <w:t>consulting</w:t>
      </w:r>
      <w:r w:rsidR="00A4114C" w:rsidRPr="00A4114C">
        <w:t xml:space="preserve"> on </w:t>
      </w:r>
      <w:r w:rsidR="003D2EF7">
        <w:t xml:space="preserve">the proposed new </w:t>
      </w:r>
      <w:r w:rsidR="00AE0077">
        <w:t>fee set</w:t>
      </w:r>
      <w:r w:rsidR="003D2EF7">
        <w:t xml:space="preserve"> out in the </w:t>
      </w:r>
      <w:r w:rsidR="00221293">
        <w:t>draft</w:t>
      </w:r>
      <w:r w:rsidR="004C5EFD">
        <w:t xml:space="preserve"> </w:t>
      </w:r>
      <w:r w:rsidR="00A4114C" w:rsidRPr="00A4114C">
        <w:t>Telecommunications (Charges) Determination 2022 (covering geographic number allocations and carriage service provider and smartnumber account registrations) and associated Cost Recovery Implementation Statement</w:t>
      </w:r>
      <w:r>
        <w:t>,</w:t>
      </w:r>
      <w:r w:rsidR="00A4114C" w:rsidRPr="00A4114C">
        <w:t xml:space="preserve"> </w:t>
      </w:r>
      <w:r w:rsidR="001C3D02">
        <w:t>noting</w:t>
      </w:r>
      <w:r w:rsidR="00775010">
        <w:t xml:space="preserve"> the </w:t>
      </w:r>
      <w:r w:rsidR="00D220F7" w:rsidRPr="00D220F7">
        <w:t xml:space="preserve">ACMA sets fees </w:t>
      </w:r>
      <w:r w:rsidR="00E3333E">
        <w:t xml:space="preserve">for </w:t>
      </w:r>
      <w:r w:rsidR="006F6A3C">
        <w:t>n</w:t>
      </w:r>
      <w:r w:rsidR="00800223">
        <w:t xml:space="preserve">umbering </w:t>
      </w:r>
      <w:r w:rsidR="006F6A3C">
        <w:t>s</w:t>
      </w:r>
      <w:r w:rsidR="00800223">
        <w:t>ervices</w:t>
      </w:r>
      <w:r w:rsidR="00D220F7" w:rsidRPr="00D220F7">
        <w:t xml:space="preserve"> through </w:t>
      </w:r>
      <w:r>
        <w:t xml:space="preserve">2 </w:t>
      </w:r>
      <w:r w:rsidR="00D220F7" w:rsidRPr="00D220F7">
        <w:t>separate charging instruments</w:t>
      </w:r>
      <w:r w:rsidR="006F6A3C">
        <w:t xml:space="preserve">. </w:t>
      </w:r>
    </w:p>
    <w:p w14:paraId="31CBB0AB" w14:textId="6697175D" w:rsidR="00662500" w:rsidRDefault="00752B16" w:rsidP="00662500">
      <w:pPr>
        <w:pStyle w:val="Paragraph"/>
      </w:pPr>
      <w:r>
        <w:t xml:space="preserve">Interested parties </w:t>
      </w:r>
      <w:r w:rsidR="005A0990">
        <w:t>may, if they wish,</w:t>
      </w:r>
      <w:r>
        <w:t xml:space="preserve"> make </w:t>
      </w:r>
      <w:r w:rsidR="00027B6F">
        <w:t xml:space="preserve">one submission in regard to </w:t>
      </w:r>
      <w:r w:rsidR="00FA22C7">
        <w:t>the proposed change</w:t>
      </w:r>
      <w:r w:rsidR="00ED46B2">
        <w:t>s</w:t>
      </w:r>
      <w:r w:rsidR="00FA22C7">
        <w:t xml:space="preserve"> in </w:t>
      </w:r>
      <w:r w:rsidR="00ED46B2">
        <w:t>both instruments</w:t>
      </w:r>
      <w:r w:rsidR="0000294F">
        <w:t xml:space="preserve">. </w:t>
      </w:r>
    </w:p>
    <w:p w14:paraId="18945658" w14:textId="10F8BB99" w:rsidR="003E3483" w:rsidRPr="005635C8" w:rsidRDefault="003E3483" w:rsidP="00D61243">
      <w:pPr>
        <w:pStyle w:val="Paragraph"/>
      </w:pPr>
    </w:p>
    <w:p w14:paraId="5DBE398E" w14:textId="77777777" w:rsidR="00285E80" w:rsidRDefault="007438F1" w:rsidP="000B4664">
      <w:pPr>
        <w:pStyle w:val="Heading1"/>
      </w:pPr>
      <w:bookmarkStart w:id="5" w:name="_Toc106697685"/>
      <w:r>
        <w:lastRenderedPageBreak/>
        <w:t>I</w:t>
      </w:r>
      <w:r w:rsidR="00285E80">
        <w:t>ntroduction</w:t>
      </w:r>
      <w:bookmarkEnd w:id="5"/>
    </w:p>
    <w:p w14:paraId="08505CEF" w14:textId="314187BE" w:rsidR="000B4664" w:rsidRPr="00E162C4" w:rsidRDefault="007F6A7A" w:rsidP="005635C8">
      <w:pPr>
        <w:pStyle w:val="Heading2"/>
      </w:pPr>
      <w:bookmarkStart w:id="6" w:name="_Toc106697686"/>
      <w:r>
        <w:t>Background and description of activity</w:t>
      </w:r>
      <w:bookmarkEnd w:id="6"/>
    </w:p>
    <w:p w14:paraId="551861C7" w14:textId="515F522A" w:rsidR="00803484" w:rsidRDefault="00687792" w:rsidP="00A11445">
      <w:pPr>
        <w:pStyle w:val="Paragraph"/>
      </w:pPr>
      <w:bookmarkStart w:id="7" w:name="_Hlk23154685"/>
      <w:bookmarkStart w:id="8" w:name="_Toc468451281"/>
      <w:r>
        <w:t>Telep</w:t>
      </w:r>
      <w:r w:rsidR="00133E99">
        <w:t xml:space="preserve">hone numbers are used by carriage service providers (CSPs) to provide </w:t>
      </w:r>
      <w:r w:rsidR="006C1233">
        <w:t>carriage services to the public</w:t>
      </w:r>
      <w:r w:rsidR="00BD36E9">
        <w:t xml:space="preserve">. </w:t>
      </w:r>
      <w:r w:rsidR="004315C4" w:rsidRPr="001D6C4F">
        <w:t xml:space="preserve">The </w:t>
      </w:r>
      <w:hyperlink r:id="rId27" w:history="1">
        <w:r w:rsidR="004315C4" w:rsidRPr="007F7016">
          <w:rPr>
            <w:rStyle w:val="Hyperlink"/>
          </w:rPr>
          <w:t>Telecommunications Numbering Plan 2015</w:t>
        </w:r>
      </w:hyperlink>
      <w:r w:rsidR="004315C4" w:rsidRPr="001D6C4F">
        <w:t xml:space="preserve"> </w:t>
      </w:r>
      <w:r w:rsidR="004315C4">
        <w:t xml:space="preserve">(the Numbering Plan) </w:t>
      </w:r>
      <w:r w:rsidR="00803484">
        <w:t xml:space="preserve">is made </w:t>
      </w:r>
      <w:r w:rsidR="00BD36E9">
        <w:t xml:space="preserve">by the ACMA </w:t>
      </w:r>
      <w:r w:rsidR="00803484">
        <w:t xml:space="preserve">under section 455 of </w:t>
      </w:r>
      <w:hyperlink r:id="rId28" w:history="1">
        <w:r w:rsidR="00803484" w:rsidRPr="00E62A39">
          <w:rPr>
            <w:rStyle w:val="Hyperlink"/>
            <w:i/>
          </w:rPr>
          <w:t>Telecommunications Act 1997</w:t>
        </w:r>
      </w:hyperlink>
      <w:r w:rsidR="00803484">
        <w:t xml:space="preserve"> (the Telecommunications Act). It </w:t>
      </w:r>
      <w:r w:rsidR="004315C4" w:rsidRPr="001D6C4F">
        <w:t xml:space="preserve">sets out the framework for the numbering of carriage services in Australia and </w:t>
      </w:r>
      <w:r w:rsidR="000469CB">
        <w:t xml:space="preserve">the use of numbers in connection with the </w:t>
      </w:r>
      <w:r w:rsidR="009B2A89">
        <w:t>supply of such services</w:t>
      </w:r>
      <w:r w:rsidR="004315C4" w:rsidRPr="001D6C4F">
        <w:t xml:space="preserve">. </w:t>
      </w:r>
    </w:p>
    <w:p w14:paraId="17F9312A" w14:textId="26747BAC" w:rsidR="00343355" w:rsidRDefault="00343355" w:rsidP="00A11445">
      <w:pPr>
        <w:pStyle w:val="Paragraph"/>
      </w:pPr>
      <w:r>
        <w:t xml:space="preserve">The Numbering Plan sets out </w:t>
      </w:r>
      <w:r w:rsidRPr="00343355">
        <w:t xml:space="preserve">rules </w:t>
      </w:r>
      <w:r>
        <w:t>about</w:t>
      </w:r>
      <w:r w:rsidRPr="00343355">
        <w:t xml:space="preserve"> the allocation</w:t>
      </w:r>
      <w:r w:rsidR="00920648">
        <w:t xml:space="preserve"> of numbers to carriage service providers (CSPs)</w:t>
      </w:r>
      <w:r w:rsidRPr="00343355">
        <w:t xml:space="preserve">, </w:t>
      </w:r>
      <w:r w:rsidR="005F29B3">
        <w:t xml:space="preserve">the </w:t>
      </w:r>
      <w:r w:rsidRPr="00343355">
        <w:t>transfer</w:t>
      </w:r>
      <w:r w:rsidR="005F29B3">
        <w:t xml:space="preserve"> of allocated </w:t>
      </w:r>
      <w:r w:rsidR="001C5C4B">
        <w:t>numbers between CSPs</w:t>
      </w:r>
      <w:r w:rsidRPr="00343355">
        <w:t xml:space="preserve">, </w:t>
      </w:r>
      <w:r w:rsidR="001C5C4B">
        <w:t xml:space="preserve"> </w:t>
      </w:r>
      <w:r w:rsidRPr="00343355">
        <w:t>surrender</w:t>
      </w:r>
      <w:r w:rsidR="001C5C4B">
        <w:t xml:space="preserve"> and withdrawal</w:t>
      </w:r>
      <w:r w:rsidR="008A7A48">
        <w:t xml:space="preserve">, as well as </w:t>
      </w:r>
      <w:r w:rsidR="009A7442">
        <w:t xml:space="preserve">rules around the </w:t>
      </w:r>
      <w:r w:rsidRPr="00343355">
        <w:t>portability and use of different types of numbers in connection with the supply of carriage services</w:t>
      </w:r>
      <w:r w:rsidR="009A7442">
        <w:t>.</w:t>
      </w:r>
    </w:p>
    <w:p w14:paraId="54CD5A79" w14:textId="7010B91C" w:rsidR="00A262F2" w:rsidRDefault="00045C85" w:rsidP="00A11445">
      <w:pPr>
        <w:pStyle w:val="Paragraph"/>
      </w:pPr>
      <w:r w:rsidRPr="00045C85">
        <w:t xml:space="preserve">ZOAK </w:t>
      </w:r>
      <w:r w:rsidR="00F441B5">
        <w:t xml:space="preserve">operates the Numbering System </w:t>
      </w:r>
      <w:r w:rsidR="00A262F2">
        <w:t>on behalf of the ACMA under contract</w:t>
      </w:r>
      <w:r w:rsidR="00FD0E6B">
        <w:t>. The Numbering System</w:t>
      </w:r>
      <w:r w:rsidR="009710E9" w:rsidRPr="009710E9">
        <w:t xml:space="preserve"> provid</w:t>
      </w:r>
      <w:r w:rsidR="00FD0E6B">
        <w:t>es</w:t>
      </w:r>
      <w:r w:rsidR="009710E9" w:rsidRPr="009710E9">
        <w:t xml:space="preserve"> </w:t>
      </w:r>
      <w:r w:rsidR="00B50705">
        <w:t xml:space="preserve">registration, </w:t>
      </w:r>
      <w:r w:rsidR="009710E9" w:rsidRPr="009710E9">
        <w:t>allocation</w:t>
      </w:r>
      <w:r w:rsidR="00B50705">
        <w:t>, transfer</w:t>
      </w:r>
      <w:r w:rsidR="00775A66">
        <w:t>, surrender</w:t>
      </w:r>
      <w:r w:rsidR="009710E9" w:rsidRPr="009710E9">
        <w:t xml:space="preserve"> and </w:t>
      </w:r>
      <w:r w:rsidR="00775A66">
        <w:t xml:space="preserve">other </w:t>
      </w:r>
      <w:r w:rsidR="009710E9" w:rsidRPr="009710E9">
        <w:t xml:space="preserve">administrative services to </w:t>
      </w:r>
      <w:r w:rsidR="00450174">
        <w:t>CSPs</w:t>
      </w:r>
      <w:r w:rsidR="009710E9" w:rsidRPr="009710E9">
        <w:t xml:space="preserve"> for most of Australia’s telephone numbers </w:t>
      </w:r>
      <w:r w:rsidR="00B50705">
        <w:t xml:space="preserve">consistent with </w:t>
      </w:r>
      <w:r w:rsidR="009710E9" w:rsidRPr="009710E9">
        <w:t xml:space="preserve">the </w:t>
      </w:r>
      <w:r w:rsidR="00B632E6">
        <w:t xml:space="preserve">rules in the </w:t>
      </w:r>
      <w:r w:rsidR="009710E9" w:rsidRPr="009710E9">
        <w:t xml:space="preserve">Numbering Plan.  </w:t>
      </w:r>
    </w:p>
    <w:p w14:paraId="774DE521" w14:textId="4BCFB320" w:rsidR="005116E3" w:rsidRDefault="005116E3" w:rsidP="005635C8">
      <w:pPr>
        <w:pStyle w:val="Heading2"/>
        <w:keepNext w:val="0"/>
      </w:pPr>
      <w:bookmarkStart w:id="9" w:name="_Toc106697687"/>
      <w:bookmarkEnd w:id="7"/>
      <w:r>
        <w:t xml:space="preserve">Charging </w:t>
      </w:r>
      <w:r w:rsidR="003B2919">
        <w:t>framework</w:t>
      </w:r>
      <w:bookmarkEnd w:id="8"/>
      <w:bookmarkEnd w:id="9"/>
    </w:p>
    <w:p w14:paraId="2DA521EC" w14:textId="36A879F7" w:rsidR="001D7320" w:rsidRPr="001D7320" w:rsidRDefault="001D7320" w:rsidP="00A11445">
      <w:pPr>
        <w:pStyle w:val="Paragraph"/>
      </w:pPr>
      <w:r w:rsidRPr="001D7320">
        <w:t xml:space="preserve">The ACMA recovers the cost of </w:t>
      </w:r>
      <w:r w:rsidR="007C579F">
        <w:t xml:space="preserve">the </w:t>
      </w:r>
      <w:r w:rsidRPr="001D7320">
        <w:t xml:space="preserve">contract with ZOAK through numbering charges consistent with the </w:t>
      </w:r>
      <w:hyperlink r:id="rId29" w:history="1">
        <w:r w:rsidR="00084925" w:rsidRPr="00DD090F">
          <w:rPr>
            <w:rStyle w:val="Hyperlink"/>
          </w:rPr>
          <w:t>Australian Government Charging Framework</w:t>
        </w:r>
      </w:hyperlink>
      <w:r w:rsidRPr="001D7320">
        <w:t xml:space="preserve">. The </w:t>
      </w:r>
      <w:r w:rsidR="000D585D">
        <w:t xml:space="preserve">Charging </w:t>
      </w:r>
      <w:r w:rsidRPr="001D7320">
        <w:t>Framework sets out that direct cost recovery is preferred where the cost of the specific function can be easily attributed to and recovered from the user.</w:t>
      </w:r>
    </w:p>
    <w:p w14:paraId="4A45B679" w14:textId="54112D99" w:rsidR="002C48A5" w:rsidRDefault="001D7320" w:rsidP="00A11445">
      <w:pPr>
        <w:pStyle w:val="Paragraph"/>
      </w:pPr>
      <w:r w:rsidRPr="001D7320">
        <w:t xml:space="preserve">Recovering the costs for numbering services </w:t>
      </w:r>
      <w:r w:rsidR="00954399">
        <w:t>means</w:t>
      </w:r>
      <w:r w:rsidR="00954399" w:rsidRPr="001D7320">
        <w:t xml:space="preserve"> </w:t>
      </w:r>
      <w:r w:rsidRPr="001D7320">
        <w:t xml:space="preserve">that those who create the demand for the service contribute towards its costs. </w:t>
      </w:r>
    </w:p>
    <w:p w14:paraId="3E389ECF" w14:textId="6425BB79" w:rsidR="00B11944" w:rsidRPr="00B11944" w:rsidRDefault="007F5CC9" w:rsidP="00A11445">
      <w:pPr>
        <w:pStyle w:val="Paragraph"/>
      </w:pPr>
      <w:r>
        <w:t>We</w:t>
      </w:r>
      <w:r w:rsidR="00B11944" w:rsidRPr="00B11944">
        <w:t xml:space="preserve"> charge fees to recover the cost of </w:t>
      </w:r>
      <w:r>
        <w:t xml:space="preserve">our </w:t>
      </w:r>
      <w:r w:rsidR="00B11944" w:rsidRPr="00B11944">
        <w:t xml:space="preserve">contract with ZOAK through </w:t>
      </w:r>
      <w:r>
        <w:t xml:space="preserve">2 </w:t>
      </w:r>
      <w:r w:rsidR="00B11944" w:rsidRPr="00B11944">
        <w:t>separate charging instruments</w:t>
      </w:r>
      <w:r>
        <w:t xml:space="preserve"> –</w:t>
      </w:r>
      <w:r w:rsidR="00B11944" w:rsidRPr="00B11944">
        <w:t xml:space="preserve"> one made under </w:t>
      </w:r>
      <w:r w:rsidR="00963427">
        <w:t>the ACMA Act</w:t>
      </w:r>
      <w:r>
        <w:t>,</w:t>
      </w:r>
      <w:r w:rsidRPr="00B11944">
        <w:t xml:space="preserve"> </w:t>
      </w:r>
      <w:r w:rsidR="00B11944" w:rsidRPr="00B11944">
        <w:t xml:space="preserve">and one under </w:t>
      </w:r>
      <w:r w:rsidR="00963427">
        <w:t>the Numbering Charges Act</w:t>
      </w:r>
      <w:r w:rsidR="00B11944" w:rsidRPr="00B11944">
        <w:t xml:space="preserve">. </w:t>
      </w:r>
    </w:p>
    <w:p w14:paraId="1D31474A" w14:textId="1695F224" w:rsidR="00B11944" w:rsidRPr="00B11944" w:rsidRDefault="00B11944" w:rsidP="00A11445">
      <w:pPr>
        <w:pStyle w:val="Paragraph"/>
      </w:pPr>
      <w:r w:rsidRPr="00B11944">
        <w:t xml:space="preserve">Charges related to the allocation of geographic numbers and charges to register as a </w:t>
      </w:r>
      <w:r w:rsidR="00DD5B79">
        <w:t>CSP</w:t>
      </w:r>
      <w:r w:rsidRPr="00B11944">
        <w:t xml:space="preserve"> or a </w:t>
      </w:r>
      <w:proofErr w:type="spellStart"/>
      <w:r w:rsidRPr="00B11944">
        <w:t>smartnumbers</w:t>
      </w:r>
      <w:proofErr w:type="spellEnd"/>
      <w:r w:rsidRPr="00B11944">
        <w:t xml:space="preserve"> user are set out in the </w:t>
      </w:r>
      <w:r w:rsidR="0002254D" w:rsidRPr="00172D5F">
        <w:rPr>
          <w:u w:color="0000FF"/>
        </w:rPr>
        <w:t>Telecommunications Charges Determination 2012</w:t>
      </w:r>
      <w:r w:rsidR="007F5CC9">
        <w:rPr>
          <w:u w:color="0000FF"/>
        </w:rPr>
        <w:t>,</w:t>
      </w:r>
      <w:r w:rsidR="00570AFB" w:rsidRPr="005635C8">
        <w:t xml:space="preserve"> </w:t>
      </w:r>
      <w:r w:rsidRPr="00B11944">
        <w:t xml:space="preserve">made under the ACMA Act. Charges for these functions must comply with the Charging Framework and the </w:t>
      </w:r>
      <w:hyperlink r:id="rId30" w:anchor="-part-i-australian-government-cost-recovery-policy-" w:history="1">
        <w:r w:rsidR="000D585D" w:rsidRPr="00F36281">
          <w:rPr>
            <w:rStyle w:val="Hyperlink"/>
          </w:rPr>
          <w:t>Cost Recovery</w:t>
        </w:r>
        <w:r w:rsidR="00F36281" w:rsidRPr="00F36281">
          <w:rPr>
            <w:rStyle w:val="Hyperlink"/>
          </w:rPr>
          <w:t xml:space="preserve"> </w:t>
        </w:r>
        <w:r w:rsidRPr="00F36281">
          <w:rPr>
            <w:rStyle w:val="Hyperlink"/>
          </w:rPr>
          <w:t>Guidelines</w:t>
        </w:r>
      </w:hyperlink>
      <w:r w:rsidRPr="00B11944">
        <w:t xml:space="preserve"> and are included in the draft </w:t>
      </w:r>
      <w:r w:rsidR="001B554F" w:rsidRPr="00A11445">
        <w:rPr>
          <w:i/>
          <w:iCs/>
        </w:rPr>
        <w:t>Cost Recovery Implementation Statement</w:t>
      </w:r>
      <w:r w:rsidR="00361FA5" w:rsidRPr="00A11445">
        <w:rPr>
          <w:i/>
          <w:iCs/>
        </w:rPr>
        <w:t xml:space="preserve"> </w:t>
      </w:r>
      <w:r w:rsidR="007F5CC9" w:rsidRPr="00A11445">
        <w:rPr>
          <w:i/>
          <w:iCs/>
        </w:rPr>
        <w:t xml:space="preserve">– </w:t>
      </w:r>
      <w:r w:rsidR="00BF159D">
        <w:rPr>
          <w:i/>
          <w:iCs/>
        </w:rPr>
        <w:t>f</w:t>
      </w:r>
      <w:r w:rsidR="001B554F" w:rsidRPr="00A11445">
        <w:rPr>
          <w:i/>
          <w:iCs/>
        </w:rPr>
        <w:t>ees for radiocommunications, telecommunications and broadcasting services</w:t>
      </w:r>
      <w:r w:rsidR="00BF159D">
        <w:rPr>
          <w:i/>
          <w:iCs/>
        </w:rPr>
        <w:t>: Budget year 2022–23</w:t>
      </w:r>
      <w:r w:rsidRPr="00B11944">
        <w:t xml:space="preserve">. </w:t>
      </w:r>
    </w:p>
    <w:p w14:paraId="06889E6E" w14:textId="4B438568" w:rsidR="00B11944" w:rsidRPr="00B11944" w:rsidRDefault="00B11944" w:rsidP="00A11445">
      <w:pPr>
        <w:pStyle w:val="Paragraph"/>
      </w:pPr>
      <w:r w:rsidRPr="00B11944">
        <w:t>Charges for the allocation of all other numbers</w:t>
      </w:r>
      <w:r w:rsidR="00784F6E">
        <w:t>,</w:t>
      </w:r>
      <w:r w:rsidRPr="00B11944">
        <w:t xml:space="preserve"> including </w:t>
      </w:r>
      <w:r w:rsidR="007F5CC9">
        <w:t>f</w:t>
      </w:r>
      <w:r w:rsidRPr="00B11944">
        <w:t xml:space="preserve">ree and </w:t>
      </w:r>
      <w:r w:rsidR="007F5CC9">
        <w:t>l</w:t>
      </w:r>
      <w:r w:rsidRPr="00B11944">
        <w:t xml:space="preserve">ocal </w:t>
      </w:r>
      <w:r w:rsidR="007F5CC9">
        <w:t>r</w:t>
      </w:r>
      <w:r w:rsidRPr="00B11944">
        <w:t xml:space="preserve">ate </w:t>
      </w:r>
      <w:r w:rsidR="007F5CC9">
        <w:t>n</w:t>
      </w:r>
      <w:r w:rsidRPr="00B11944">
        <w:t>umbers</w:t>
      </w:r>
      <w:r w:rsidR="00117026">
        <w:t xml:space="preserve"> (FLRNs)</w:t>
      </w:r>
      <w:r w:rsidR="00043575">
        <w:t>,</w:t>
      </w:r>
      <w:r w:rsidR="00C548EC">
        <w:t xml:space="preserve"> </w:t>
      </w:r>
      <w:r w:rsidR="00117026">
        <w:t>premium</w:t>
      </w:r>
      <w:r w:rsidR="00C548EC">
        <w:t xml:space="preserve"> </w:t>
      </w:r>
      <w:r w:rsidR="00117026">
        <w:t>r</w:t>
      </w:r>
      <w:r w:rsidR="00C548EC">
        <w:t xml:space="preserve">ate </w:t>
      </w:r>
      <w:r w:rsidR="00117026">
        <w:t>n</w:t>
      </w:r>
      <w:r w:rsidR="00C548EC">
        <w:t>umbers</w:t>
      </w:r>
      <w:r w:rsidR="00F96605">
        <w:t xml:space="preserve"> (PRN)</w:t>
      </w:r>
      <w:r w:rsidR="00117026">
        <w:t xml:space="preserve">, </w:t>
      </w:r>
      <w:r w:rsidRPr="00B11944">
        <w:t>and mobile numbers</w:t>
      </w:r>
      <w:r w:rsidR="00784F6E">
        <w:t>,</w:t>
      </w:r>
      <w:r w:rsidRPr="00B11944">
        <w:t xml:space="preserve"> are set out in the </w:t>
      </w:r>
      <w:r w:rsidR="0002254D" w:rsidRPr="00172D5F">
        <w:rPr>
          <w:u w:color="0000FF"/>
        </w:rPr>
        <w:t>Telecommunications (Numbering Charges) (Allocation Charge) Determination 2015</w:t>
      </w:r>
      <w:r w:rsidRPr="00B11944">
        <w:t xml:space="preserve">, made under the Numbering Charges Act. </w:t>
      </w:r>
      <w:r w:rsidR="00D44F16">
        <w:t>T</w:t>
      </w:r>
      <w:r w:rsidRPr="00B11944">
        <w:t xml:space="preserve">he </w:t>
      </w:r>
      <w:r w:rsidR="00D44F16">
        <w:t xml:space="preserve">same </w:t>
      </w:r>
      <w:r w:rsidRPr="00B11944">
        <w:t xml:space="preserve">cost recovery approach has been used </w:t>
      </w:r>
      <w:r w:rsidR="00D44F16">
        <w:t>here</w:t>
      </w:r>
      <w:r w:rsidRPr="00B11944">
        <w:t xml:space="preserve"> as it represents a robust and defensible methodology on which to charge. </w:t>
      </w:r>
    </w:p>
    <w:p w14:paraId="5572EC1D" w14:textId="7861C0B1" w:rsidR="00321C11" w:rsidRDefault="00B11944" w:rsidP="00A11445">
      <w:pPr>
        <w:pStyle w:val="Paragraph"/>
        <w:rPr>
          <w:szCs w:val="20"/>
        </w:rPr>
      </w:pPr>
      <w:r w:rsidRPr="00B11944">
        <w:t xml:space="preserve">The instruments made under the ACMA Act and Numbering Charges Act set the same flat transaction fee calculated using the same methodology, noting all applicable transactions occur in the </w:t>
      </w:r>
      <w:r w:rsidR="00D015BD">
        <w:t>N</w:t>
      </w:r>
      <w:r w:rsidRPr="00B11944">
        <w:t xml:space="preserve">umbering </w:t>
      </w:r>
      <w:r w:rsidR="00D015BD">
        <w:t>S</w:t>
      </w:r>
      <w:r w:rsidRPr="00B11944">
        <w:t>ystem, are largely automated and use the same amount of processing time per transaction</w:t>
      </w:r>
      <w:r w:rsidR="00784F6E">
        <w:t>.</w:t>
      </w:r>
      <w:r w:rsidR="000B4025">
        <w:rPr>
          <w:rStyle w:val="FootnoteReference"/>
        </w:rPr>
        <w:footnoteReference w:id="2"/>
      </w:r>
      <w:r w:rsidRPr="00B11944">
        <w:t xml:space="preserve"> Accordingly, the proposed fees in each instrument are proposed to be amended together (as per past practice). </w:t>
      </w:r>
      <w:bookmarkStart w:id="10" w:name="_Hlk104983647"/>
    </w:p>
    <w:p w14:paraId="0353AB36" w14:textId="770F014C" w:rsidR="005C6805" w:rsidRPr="00E162C4" w:rsidRDefault="00F065C6" w:rsidP="005C6805">
      <w:pPr>
        <w:pStyle w:val="Heading1"/>
      </w:pPr>
      <w:bookmarkStart w:id="11" w:name="_Toc106697688"/>
      <w:bookmarkEnd w:id="10"/>
      <w:r>
        <w:lastRenderedPageBreak/>
        <w:t>Proposed fee</w:t>
      </w:r>
      <w:bookmarkEnd w:id="11"/>
    </w:p>
    <w:p w14:paraId="1536C061" w14:textId="707F1404" w:rsidR="00E97247" w:rsidRDefault="00E97247" w:rsidP="00D85304">
      <w:pPr>
        <w:pStyle w:val="Heading2"/>
      </w:pPr>
      <w:bookmarkStart w:id="12" w:name="_Toc106697689"/>
      <w:bookmarkStart w:id="13" w:name="_Toc413939826"/>
      <w:bookmarkStart w:id="14" w:name="_Toc468451284"/>
      <w:r>
        <w:t>Costs to be recovered</w:t>
      </w:r>
      <w:bookmarkEnd w:id="12"/>
    </w:p>
    <w:p w14:paraId="1C9AC176" w14:textId="69D0D9D2" w:rsidR="0037530F" w:rsidRDefault="00792225" w:rsidP="0073713A">
      <w:pPr>
        <w:pStyle w:val="Paragraph"/>
      </w:pPr>
      <w:r>
        <w:t xml:space="preserve">Since August 2015, the majority of the ACMA’s numbering-related allocation and </w:t>
      </w:r>
      <w:r w:rsidR="00203572">
        <w:t xml:space="preserve">other </w:t>
      </w:r>
      <w:r>
        <w:t xml:space="preserve">administration functions have been provided under contract by ZOAK. The initial </w:t>
      </w:r>
      <w:r w:rsidR="00B8657D">
        <w:t>total value of this contract</w:t>
      </w:r>
      <w:r>
        <w:t xml:space="preserve"> was $9,322,102 (GST- exclusive</w:t>
      </w:r>
      <w:r>
        <w:rPr>
          <w:rStyle w:val="FootnoteReference"/>
          <w:szCs w:val="20"/>
        </w:rPr>
        <w:footnoteReference w:id="3"/>
      </w:r>
      <w:r>
        <w:t xml:space="preserve">) over seven years. </w:t>
      </w:r>
      <w:r w:rsidR="008C6F19" w:rsidRPr="008C6F19">
        <w:t xml:space="preserve">Under the contract, the ACMA </w:t>
      </w:r>
      <w:r w:rsidR="003B1876" w:rsidRPr="00331920">
        <w:t>had the option to</w:t>
      </w:r>
      <w:r w:rsidR="00FE2F2E" w:rsidRPr="00331920">
        <w:t xml:space="preserve"> </w:t>
      </w:r>
      <w:r w:rsidR="008C6F19" w:rsidRPr="00331920">
        <w:t>extend the term for two periods of 12 months</w:t>
      </w:r>
      <w:r w:rsidR="00DE10D0" w:rsidRPr="00331920">
        <w:t xml:space="preserve">. The ACMA </w:t>
      </w:r>
      <w:r w:rsidR="00A44028" w:rsidRPr="00331920">
        <w:t>recently extended</w:t>
      </w:r>
      <w:r w:rsidR="00C86F5C" w:rsidRPr="00331920">
        <w:t xml:space="preserve"> the contract to August 2024.</w:t>
      </w:r>
    </w:p>
    <w:p w14:paraId="2C19EA62" w14:textId="2D2A2E61" w:rsidR="008A590E" w:rsidRDefault="0037530F" w:rsidP="0073713A">
      <w:pPr>
        <w:pStyle w:val="Paragraph"/>
      </w:pPr>
      <w:r>
        <w:t xml:space="preserve">Table 1 sets out the contract costs </w:t>
      </w:r>
      <w:r w:rsidR="00070BEE">
        <w:t>to be recovered by the ACMA</w:t>
      </w:r>
      <w:r w:rsidR="0002254D">
        <w:t xml:space="preserve">. As </w:t>
      </w:r>
      <w:proofErr w:type="gramStart"/>
      <w:r w:rsidR="00A44028" w:rsidRPr="00A11445">
        <w:t>at</w:t>
      </w:r>
      <w:proofErr w:type="gramEnd"/>
      <w:r w:rsidR="0002254D" w:rsidRPr="00A11445">
        <w:t xml:space="preserve"> 30</w:t>
      </w:r>
      <w:r w:rsidR="0002254D">
        <w:t xml:space="preserve"> April 2022, </w:t>
      </w:r>
      <w:r w:rsidR="0002254D" w:rsidRPr="0002254D">
        <w:t>$5,412,382</w:t>
      </w:r>
      <w:r w:rsidR="00BF2388">
        <w:t xml:space="preserve"> of these costs have been recovered</w:t>
      </w:r>
      <w:r w:rsidR="00BB769A">
        <w:t xml:space="preserve"> through revenue generated by fees.</w:t>
      </w:r>
      <w:r w:rsidR="00BF2388">
        <w:t xml:space="preserve"> </w:t>
      </w:r>
      <w:r w:rsidR="00575182">
        <w:t>The</w:t>
      </w:r>
      <w:r w:rsidR="00A677B3">
        <w:t xml:space="preserve"> contract costs </w:t>
      </w:r>
      <w:r w:rsidR="00BB769A">
        <w:t xml:space="preserve">associated with the calculation </w:t>
      </w:r>
      <w:r w:rsidR="00116041">
        <w:t xml:space="preserve">of, </w:t>
      </w:r>
      <w:r w:rsidR="00141966">
        <w:t>and support</w:t>
      </w:r>
      <w:r w:rsidR="00116041">
        <w:t xml:space="preserve"> for</w:t>
      </w:r>
      <w:r w:rsidR="00141966">
        <w:t xml:space="preserve"> the collection of the Annual Numbering Charge </w:t>
      </w:r>
      <w:r w:rsidR="00D07567">
        <w:t xml:space="preserve">and sale of </w:t>
      </w:r>
      <w:proofErr w:type="spellStart"/>
      <w:r w:rsidR="00D07567">
        <w:t>smartnumbers</w:t>
      </w:r>
      <w:proofErr w:type="spellEnd"/>
      <w:r w:rsidR="00D07567">
        <w:t xml:space="preserve"> are excluded</w:t>
      </w:r>
      <w:r w:rsidR="00B425A2">
        <w:t xml:space="preserve">. Costs of system </w:t>
      </w:r>
      <w:r w:rsidR="00F328B7">
        <w:t xml:space="preserve">enhancements provided by ZOAK </w:t>
      </w:r>
      <w:r w:rsidR="00E667A5">
        <w:t xml:space="preserve">in 2015 and 2016 </w:t>
      </w:r>
      <w:r w:rsidR="00F328B7">
        <w:t xml:space="preserve">under the contract as additional services have </w:t>
      </w:r>
      <w:r w:rsidR="002F3C01">
        <w:t xml:space="preserve">been added to the recoverable costs. </w:t>
      </w:r>
    </w:p>
    <w:p w14:paraId="0FC5647F" w14:textId="592A454E" w:rsidR="00792225" w:rsidRPr="00D85304" w:rsidRDefault="00AF4B48" w:rsidP="00A11445">
      <w:pPr>
        <w:pStyle w:val="Tableheading"/>
      </w:pPr>
      <w:bookmarkStart w:id="15" w:name="_Hlk105538558"/>
      <w:r w:rsidRPr="00D85304">
        <w:t xml:space="preserve">Costs to be </w:t>
      </w:r>
      <w:r w:rsidRPr="00A11445">
        <w:rPr>
          <w:i/>
          <w:iCs/>
        </w:rPr>
        <w:t>recovered</w:t>
      </w:r>
      <w:r w:rsidR="00F91E93" w:rsidRPr="00D85304">
        <w:t xml:space="preserve"> </w:t>
      </w:r>
      <w:r w:rsidR="00C86F5C" w:rsidRPr="00D85304">
        <w:t xml:space="preserve"> </w:t>
      </w:r>
    </w:p>
    <w:tbl>
      <w:tblPr>
        <w:tblStyle w:val="ACMAtablestyle"/>
        <w:tblW w:w="8789" w:type="dxa"/>
        <w:tblLook w:val="04A0" w:firstRow="1" w:lastRow="0" w:firstColumn="1" w:lastColumn="0" w:noHBand="0" w:noVBand="1"/>
      </w:tblPr>
      <w:tblGrid>
        <w:gridCol w:w="4684"/>
        <w:gridCol w:w="4105"/>
      </w:tblGrid>
      <w:tr w:rsidR="002C4167" w:rsidRPr="00DB1E82" w14:paraId="2F732DE2" w14:textId="77777777" w:rsidTr="00A11445">
        <w:trPr>
          <w:cnfStyle w:val="100000000000" w:firstRow="1" w:lastRow="0" w:firstColumn="0" w:lastColumn="0" w:oddVBand="0" w:evenVBand="0" w:oddHBand="0" w:evenHBand="0" w:firstRowFirstColumn="0" w:firstRowLastColumn="0" w:lastRowFirstColumn="0" w:lastRowLastColumn="0"/>
        </w:trPr>
        <w:tc>
          <w:tcPr>
            <w:tcW w:w="0" w:type="dxa"/>
          </w:tcPr>
          <w:p w14:paraId="338ACE66" w14:textId="654E1067" w:rsidR="002C4167" w:rsidRPr="00D85304" w:rsidRDefault="002C4167" w:rsidP="00DB1E82">
            <w:pPr>
              <w:keepNext/>
              <w:keepLines/>
              <w:spacing w:after="0"/>
              <w:rPr>
                <w:b/>
                <w:sz w:val="18"/>
                <w:szCs w:val="18"/>
              </w:rPr>
            </w:pPr>
            <w:bookmarkStart w:id="16" w:name="_Hlk105523817"/>
            <w:r w:rsidRPr="00D85304">
              <w:rPr>
                <w:b/>
                <w:sz w:val="18"/>
                <w:szCs w:val="18"/>
              </w:rPr>
              <w:t>Cost</w:t>
            </w:r>
            <w:r w:rsidR="008A32D5">
              <w:rPr>
                <w:b/>
                <w:sz w:val="18"/>
                <w:szCs w:val="18"/>
              </w:rPr>
              <w:t>s</w:t>
            </w:r>
          </w:p>
        </w:tc>
        <w:tc>
          <w:tcPr>
            <w:tcW w:w="0" w:type="dxa"/>
          </w:tcPr>
          <w:p w14:paraId="6F1CE6FC" w14:textId="77777777" w:rsidR="002C4167" w:rsidRPr="00D85304" w:rsidRDefault="002C4167" w:rsidP="00A11445">
            <w:pPr>
              <w:keepNext/>
              <w:keepLines/>
              <w:spacing w:after="0"/>
              <w:jc w:val="right"/>
              <w:rPr>
                <w:b/>
                <w:sz w:val="18"/>
                <w:szCs w:val="18"/>
              </w:rPr>
            </w:pPr>
            <w:r w:rsidRPr="00D85304">
              <w:rPr>
                <w:b/>
                <w:sz w:val="18"/>
                <w:szCs w:val="18"/>
              </w:rPr>
              <w:t>Amount</w:t>
            </w:r>
          </w:p>
        </w:tc>
      </w:tr>
      <w:tr w:rsidR="002C4167" w:rsidRPr="00DB1E82" w14:paraId="791EB8EE" w14:textId="77777777" w:rsidTr="00A11445">
        <w:trPr>
          <w:cnfStyle w:val="000000100000" w:firstRow="0" w:lastRow="0" w:firstColumn="0" w:lastColumn="0" w:oddVBand="0" w:evenVBand="0" w:oddHBand="1" w:evenHBand="0" w:firstRowFirstColumn="0" w:firstRowLastColumn="0" w:lastRowFirstColumn="0" w:lastRowLastColumn="0"/>
        </w:trPr>
        <w:tc>
          <w:tcPr>
            <w:tcW w:w="0" w:type="dxa"/>
          </w:tcPr>
          <w:p w14:paraId="70B3FF7B" w14:textId="77777777" w:rsidR="002C4167" w:rsidRPr="00D85304" w:rsidRDefault="002C4167" w:rsidP="00DB1E82">
            <w:pPr>
              <w:keepNext/>
              <w:keepLines/>
              <w:spacing w:after="0" w:line="240" w:lineRule="auto"/>
              <w:rPr>
                <w:sz w:val="18"/>
                <w:szCs w:val="18"/>
              </w:rPr>
            </w:pPr>
            <w:r w:rsidRPr="00D85304">
              <w:rPr>
                <w:sz w:val="18"/>
                <w:szCs w:val="18"/>
              </w:rPr>
              <w:t>Initial contract price</w:t>
            </w:r>
          </w:p>
        </w:tc>
        <w:tc>
          <w:tcPr>
            <w:tcW w:w="0" w:type="dxa"/>
          </w:tcPr>
          <w:p w14:paraId="445CFD5B" w14:textId="289468FF" w:rsidR="002C4167" w:rsidRPr="00D85304" w:rsidRDefault="002C4167" w:rsidP="00A11445">
            <w:pPr>
              <w:keepNext/>
              <w:keepLines/>
              <w:spacing w:after="0" w:line="240" w:lineRule="auto"/>
              <w:jc w:val="right"/>
              <w:rPr>
                <w:sz w:val="18"/>
                <w:szCs w:val="18"/>
              </w:rPr>
            </w:pPr>
            <w:r w:rsidRPr="00D85304">
              <w:rPr>
                <w:sz w:val="18"/>
                <w:szCs w:val="18"/>
              </w:rPr>
              <w:t>$9,322,102</w:t>
            </w:r>
          </w:p>
        </w:tc>
      </w:tr>
      <w:tr w:rsidR="002C4167" w:rsidRPr="00DB1E82" w14:paraId="20D839E4" w14:textId="77777777" w:rsidTr="00A11445">
        <w:trPr>
          <w:cnfStyle w:val="000000010000" w:firstRow="0" w:lastRow="0" w:firstColumn="0" w:lastColumn="0" w:oddVBand="0" w:evenVBand="0" w:oddHBand="0" w:evenHBand="1" w:firstRowFirstColumn="0" w:firstRowLastColumn="0" w:lastRowFirstColumn="0" w:lastRowLastColumn="0"/>
        </w:trPr>
        <w:tc>
          <w:tcPr>
            <w:tcW w:w="0" w:type="dxa"/>
          </w:tcPr>
          <w:p w14:paraId="2AA97F5E" w14:textId="39EB5F80" w:rsidR="002C4167" w:rsidRPr="00D85304" w:rsidRDefault="002C4167" w:rsidP="00DB1E82">
            <w:pPr>
              <w:keepNext/>
              <w:keepLines/>
              <w:spacing w:after="0" w:line="240" w:lineRule="auto"/>
              <w:rPr>
                <w:sz w:val="18"/>
                <w:szCs w:val="18"/>
              </w:rPr>
            </w:pPr>
            <w:r w:rsidRPr="00D85304">
              <w:rPr>
                <w:b/>
                <w:i/>
                <w:sz w:val="18"/>
                <w:szCs w:val="18"/>
              </w:rPr>
              <w:t>Less</w:t>
            </w:r>
            <w:r w:rsidRPr="00D85304">
              <w:rPr>
                <w:sz w:val="18"/>
                <w:szCs w:val="18"/>
              </w:rPr>
              <w:t xml:space="preserve"> contract cost supporting the collection of the annual numbering charge</w:t>
            </w:r>
          </w:p>
        </w:tc>
        <w:tc>
          <w:tcPr>
            <w:tcW w:w="0" w:type="dxa"/>
          </w:tcPr>
          <w:p w14:paraId="43880B32" w14:textId="0EF75C45" w:rsidR="002C4167" w:rsidRPr="00D85304" w:rsidRDefault="002C4167" w:rsidP="00A11445">
            <w:pPr>
              <w:keepNext/>
              <w:keepLines/>
              <w:spacing w:after="0" w:line="240" w:lineRule="auto"/>
              <w:jc w:val="right"/>
              <w:rPr>
                <w:sz w:val="18"/>
                <w:szCs w:val="18"/>
              </w:rPr>
            </w:pPr>
            <w:r w:rsidRPr="00D85304">
              <w:rPr>
                <w:sz w:val="18"/>
                <w:szCs w:val="18"/>
              </w:rPr>
              <w:t>($1,128,553)</w:t>
            </w:r>
          </w:p>
        </w:tc>
      </w:tr>
      <w:tr w:rsidR="002C4167" w:rsidRPr="00DB1E82" w14:paraId="27DF8612" w14:textId="77777777" w:rsidTr="00A11445">
        <w:trPr>
          <w:cnfStyle w:val="000000100000" w:firstRow="0" w:lastRow="0" w:firstColumn="0" w:lastColumn="0" w:oddVBand="0" w:evenVBand="0" w:oddHBand="1" w:evenHBand="0" w:firstRowFirstColumn="0" w:firstRowLastColumn="0" w:lastRowFirstColumn="0" w:lastRowLastColumn="0"/>
        </w:trPr>
        <w:tc>
          <w:tcPr>
            <w:tcW w:w="0" w:type="dxa"/>
          </w:tcPr>
          <w:p w14:paraId="2804307B" w14:textId="1C2215D3" w:rsidR="002C4167" w:rsidRPr="00D85304" w:rsidRDefault="002C4167" w:rsidP="007777AF">
            <w:pPr>
              <w:keepNext/>
              <w:keepLines/>
              <w:spacing w:after="0" w:line="240" w:lineRule="auto"/>
              <w:rPr>
                <w:b/>
                <w:i/>
                <w:sz w:val="18"/>
                <w:szCs w:val="18"/>
              </w:rPr>
            </w:pPr>
            <w:r w:rsidRPr="00D85304">
              <w:rPr>
                <w:b/>
                <w:i/>
                <w:sz w:val="18"/>
                <w:szCs w:val="18"/>
              </w:rPr>
              <w:t>Less</w:t>
            </w:r>
            <w:r w:rsidRPr="00D85304">
              <w:rPr>
                <w:sz w:val="18"/>
                <w:szCs w:val="18"/>
              </w:rPr>
              <w:t xml:space="preserve"> contract cost of providing </w:t>
            </w:r>
            <w:proofErr w:type="spellStart"/>
            <w:r w:rsidRPr="00D85304">
              <w:rPr>
                <w:sz w:val="18"/>
                <w:szCs w:val="18"/>
              </w:rPr>
              <w:t>smartnumbers</w:t>
            </w:r>
            <w:proofErr w:type="spellEnd"/>
          </w:p>
        </w:tc>
        <w:tc>
          <w:tcPr>
            <w:tcW w:w="0" w:type="dxa"/>
          </w:tcPr>
          <w:p w14:paraId="43C49BC0" w14:textId="3BF4F5C1" w:rsidR="002C4167" w:rsidRPr="00D85304" w:rsidRDefault="002C4167" w:rsidP="00A11445">
            <w:pPr>
              <w:keepNext/>
              <w:keepLines/>
              <w:spacing w:after="0" w:line="240" w:lineRule="auto"/>
              <w:jc w:val="right"/>
              <w:rPr>
                <w:sz w:val="18"/>
                <w:szCs w:val="18"/>
              </w:rPr>
            </w:pPr>
            <w:r w:rsidRPr="00D85304">
              <w:rPr>
                <w:sz w:val="18"/>
                <w:szCs w:val="18"/>
              </w:rPr>
              <w:t>($2,625,679)</w:t>
            </w:r>
          </w:p>
        </w:tc>
      </w:tr>
      <w:tr w:rsidR="008A32D5" w:rsidRPr="00DB1E82" w14:paraId="65D16D0F" w14:textId="77777777" w:rsidTr="00A11445">
        <w:trPr>
          <w:cnfStyle w:val="000000010000" w:firstRow="0" w:lastRow="0" w:firstColumn="0" w:lastColumn="0" w:oddVBand="0" w:evenVBand="0" w:oddHBand="0" w:evenHBand="1" w:firstRowFirstColumn="0" w:firstRowLastColumn="0" w:lastRowFirstColumn="0" w:lastRowLastColumn="0"/>
        </w:trPr>
        <w:tc>
          <w:tcPr>
            <w:tcW w:w="0" w:type="dxa"/>
          </w:tcPr>
          <w:p w14:paraId="392FB41D" w14:textId="05D33F8B" w:rsidR="008A32D5" w:rsidRPr="00363F80" w:rsidRDefault="008A32D5" w:rsidP="008A32D5">
            <w:pPr>
              <w:keepNext/>
              <w:keepLines/>
              <w:spacing w:after="0" w:line="240" w:lineRule="auto"/>
              <w:rPr>
                <w:sz w:val="18"/>
                <w:szCs w:val="18"/>
              </w:rPr>
            </w:pPr>
            <w:proofErr w:type="gramStart"/>
            <w:r w:rsidRPr="00317DA9">
              <w:rPr>
                <w:b/>
                <w:bCs/>
                <w:i/>
                <w:iCs/>
                <w:sz w:val="18"/>
                <w:szCs w:val="18"/>
              </w:rPr>
              <w:t>Plus</w:t>
            </w:r>
            <w:proofErr w:type="gramEnd"/>
            <w:r w:rsidRPr="00317DA9">
              <w:rPr>
                <w:sz w:val="18"/>
                <w:szCs w:val="18"/>
              </w:rPr>
              <w:t xml:space="preserve"> additional ZOAK services for system enhancements</w:t>
            </w:r>
          </w:p>
        </w:tc>
        <w:tc>
          <w:tcPr>
            <w:tcW w:w="0" w:type="dxa"/>
          </w:tcPr>
          <w:p w14:paraId="761D8703" w14:textId="14395C37" w:rsidR="008A32D5" w:rsidRPr="00363F80" w:rsidRDefault="008A32D5" w:rsidP="00A11445">
            <w:pPr>
              <w:keepNext/>
              <w:keepLines/>
              <w:spacing w:after="0" w:line="240" w:lineRule="auto"/>
              <w:jc w:val="right"/>
              <w:rPr>
                <w:sz w:val="18"/>
                <w:szCs w:val="18"/>
              </w:rPr>
            </w:pPr>
            <w:r w:rsidRPr="00317DA9">
              <w:rPr>
                <w:sz w:val="18"/>
                <w:szCs w:val="18"/>
              </w:rPr>
              <w:t>$268,816</w:t>
            </w:r>
          </w:p>
        </w:tc>
      </w:tr>
      <w:tr w:rsidR="008A32D5" w:rsidRPr="00DB1E82" w14:paraId="6DD512F7" w14:textId="77777777" w:rsidTr="00A11445">
        <w:trPr>
          <w:cnfStyle w:val="000000100000" w:firstRow="0" w:lastRow="0" w:firstColumn="0" w:lastColumn="0" w:oddVBand="0" w:evenVBand="0" w:oddHBand="1" w:evenHBand="0" w:firstRowFirstColumn="0" w:firstRowLastColumn="0" w:lastRowFirstColumn="0" w:lastRowLastColumn="0"/>
        </w:trPr>
        <w:tc>
          <w:tcPr>
            <w:tcW w:w="0" w:type="dxa"/>
            <w:shd w:val="clear" w:color="auto" w:fill="404040" w:themeFill="text1" w:themeFillTint="BF"/>
          </w:tcPr>
          <w:p w14:paraId="67178F28" w14:textId="18386AEB" w:rsidR="008A32D5" w:rsidRPr="00A11445" w:rsidRDefault="008A32D5" w:rsidP="008A32D5">
            <w:pPr>
              <w:keepNext/>
              <w:keepLines/>
              <w:spacing w:after="0" w:line="240" w:lineRule="auto"/>
              <w:rPr>
                <w:color w:val="FFFFFF" w:themeColor="background1"/>
                <w:sz w:val="18"/>
                <w:szCs w:val="18"/>
              </w:rPr>
            </w:pPr>
            <w:r w:rsidRPr="00A11445">
              <w:rPr>
                <w:b/>
                <w:bCs/>
                <w:i/>
                <w:iCs/>
                <w:color w:val="FFFFFF" w:themeColor="background1"/>
                <w:sz w:val="18"/>
                <w:szCs w:val="18"/>
              </w:rPr>
              <w:t xml:space="preserve">Subtotal </w:t>
            </w:r>
            <w:r w:rsidRPr="00A11445">
              <w:rPr>
                <w:color w:val="FFFFFF" w:themeColor="background1"/>
                <w:sz w:val="18"/>
                <w:szCs w:val="18"/>
              </w:rPr>
              <w:t>Contract costs to be recovered in first seven years</w:t>
            </w:r>
          </w:p>
        </w:tc>
        <w:tc>
          <w:tcPr>
            <w:tcW w:w="0" w:type="dxa"/>
            <w:shd w:val="clear" w:color="auto" w:fill="404040" w:themeFill="text1" w:themeFillTint="BF"/>
          </w:tcPr>
          <w:p w14:paraId="0DDBD291" w14:textId="4A7C2697" w:rsidR="008A32D5" w:rsidRPr="00A11445" w:rsidRDefault="008A32D5" w:rsidP="00A11445">
            <w:pPr>
              <w:keepNext/>
              <w:keepLines/>
              <w:spacing w:after="0" w:line="240" w:lineRule="auto"/>
              <w:jc w:val="right"/>
              <w:rPr>
                <w:b/>
                <w:bCs/>
                <w:color w:val="FFFFFF" w:themeColor="background1"/>
                <w:sz w:val="18"/>
                <w:szCs w:val="18"/>
              </w:rPr>
            </w:pPr>
            <w:r w:rsidRPr="00A11445">
              <w:rPr>
                <w:b/>
                <w:bCs/>
                <w:color w:val="FFFFFF" w:themeColor="background1"/>
                <w:sz w:val="18"/>
                <w:szCs w:val="18"/>
              </w:rPr>
              <w:t>$5,836,686</w:t>
            </w:r>
          </w:p>
        </w:tc>
      </w:tr>
      <w:tr w:rsidR="008A32D5" w:rsidRPr="00DB1E82" w14:paraId="1FAA235A" w14:textId="77777777" w:rsidTr="00A11445">
        <w:trPr>
          <w:cnfStyle w:val="000000010000" w:firstRow="0" w:lastRow="0" w:firstColumn="0" w:lastColumn="0" w:oddVBand="0" w:evenVBand="0" w:oddHBand="0" w:evenHBand="1" w:firstRowFirstColumn="0" w:firstRowLastColumn="0" w:lastRowFirstColumn="0" w:lastRowLastColumn="0"/>
        </w:trPr>
        <w:tc>
          <w:tcPr>
            <w:tcW w:w="0" w:type="dxa"/>
          </w:tcPr>
          <w:p w14:paraId="22457FEC" w14:textId="3E8C7970" w:rsidR="008A32D5" w:rsidRPr="005635C8" w:rsidRDefault="008A32D5" w:rsidP="008A32D5">
            <w:pPr>
              <w:keepNext/>
              <w:keepLines/>
              <w:spacing w:after="0" w:line="240" w:lineRule="auto"/>
              <w:rPr>
                <w:sz w:val="18"/>
                <w:szCs w:val="18"/>
              </w:rPr>
            </w:pPr>
            <w:proofErr w:type="gramStart"/>
            <w:r w:rsidRPr="005635C8">
              <w:rPr>
                <w:b/>
                <w:bCs/>
                <w:i/>
                <w:iCs/>
                <w:sz w:val="18"/>
                <w:szCs w:val="18"/>
              </w:rPr>
              <w:t>Plus</w:t>
            </w:r>
            <w:proofErr w:type="gramEnd"/>
            <w:r w:rsidRPr="005635C8">
              <w:rPr>
                <w:sz w:val="18"/>
                <w:szCs w:val="18"/>
              </w:rPr>
              <w:t xml:space="preserve"> estimated contract price year 8</w:t>
            </w:r>
            <w:r>
              <w:rPr>
                <w:sz w:val="18"/>
                <w:szCs w:val="18"/>
              </w:rPr>
              <w:t xml:space="preserve"> and 9 </w:t>
            </w:r>
            <w:r w:rsidRPr="005635C8">
              <w:rPr>
                <w:sz w:val="18"/>
                <w:szCs w:val="18"/>
              </w:rPr>
              <w:t>*</w:t>
            </w:r>
          </w:p>
        </w:tc>
        <w:tc>
          <w:tcPr>
            <w:tcW w:w="0" w:type="dxa"/>
          </w:tcPr>
          <w:p w14:paraId="5F4953AE" w14:textId="2E1B92CF" w:rsidR="008A32D5" w:rsidRPr="005635C8" w:rsidRDefault="008A32D5" w:rsidP="00A11445">
            <w:pPr>
              <w:keepNext/>
              <w:keepLines/>
              <w:spacing w:after="0" w:line="240" w:lineRule="auto"/>
              <w:jc w:val="right"/>
              <w:rPr>
                <w:sz w:val="18"/>
                <w:szCs w:val="18"/>
              </w:rPr>
            </w:pPr>
            <w:r w:rsidRPr="005635C8">
              <w:rPr>
                <w:sz w:val="18"/>
                <w:szCs w:val="18"/>
              </w:rPr>
              <w:t>$</w:t>
            </w:r>
            <w:r>
              <w:rPr>
                <w:sz w:val="18"/>
                <w:szCs w:val="18"/>
              </w:rPr>
              <w:t>964,243</w:t>
            </w:r>
          </w:p>
        </w:tc>
      </w:tr>
      <w:tr w:rsidR="008A32D5" w:rsidRPr="00DB1E82" w14:paraId="0A7E428B" w14:textId="77777777" w:rsidTr="00A11445">
        <w:trPr>
          <w:cnfStyle w:val="000000100000" w:firstRow="0" w:lastRow="0" w:firstColumn="0" w:lastColumn="0" w:oddVBand="0" w:evenVBand="0" w:oddHBand="1" w:evenHBand="0" w:firstRowFirstColumn="0" w:firstRowLastColumn="0" w:lastRowFirstColumn="0" w:lastRowLastColumn="0"/>
        </w:trPr>
        <w:tc>
          <w:tcPr>
            <w:tcW w:w="0" w:type="dxa"/>
            <w:shd w:val="clear" w:color="auto" w:fill="404040" w:themeFill="text1" w:themeFillTint="BF"/>
          </w:tcPr>
          <w:p w14:paraId="5D1B05D1" w14:textId="54BEC83F" w:rsidR="008A32D5" w:rsidRPr="005635C8" w:rsidRDefault="008A32D5" w:rsidP="008A32D5">
            <w:pPr>
              <w:keepNext/>
              <w:keepLines/>
              <w:spacing w:after="0" w:line="240" w:lineRule="auto"/>
              <w:rPr>
                <w:sz w:val="18"/>
                <w:szCs w:val="18"/>
              </w:rPr>
            </w:pPr>
            <w:r>
              <w:rPr>
                <w:b/>
                <w:color w:val="FFFFFF" w:themeColor="background1"/>
                <w:sz w:val="18"/>
                <w:szCs w:val="18"/>
              </w:rPr>
              <w:t>Tot</w:t>
            </w:r>
            <w:r w:rsidR="00FF7E29">
              <w:rPr>
                <w:b/>
                <w:color w:val="FFFFFF" w:themeColor="background1"/>
                <w:sz w:val="18"/>
                <w:szCs w:val="18"/>
              </w:rPr>
              <w:t>al co</w:t>
            </w:r>
            <w:r w:rsidRPr="005635C8">
              <w:rPr>
                <w:b/>
                <w:color w:val="FFFFFF" w:themeColor="background1"/>
                <w:sz w:val="18"/>
                <w:szCs w:val="18"/>
              </w:rPr>
              <w:t xml:space="preserve">sts to be recovered </w:t>
            </w:r>
          </w:p>
        </w:tc>
        <w:tc>
          <w:tcPr>
            <w:tcW w:w="0" w:type="dxa"/>
            <w:shd w:val="clear" w:color="auto" w:fill="404040" w:themeFill="text1" w:themeFillTint="BF"/>
          </w:tcPr>
          <w:p w14:paraId="70BAFFC2" w14:textId="5B82C8D2" w:rsidR="008A32D5" w:rsidRPr="005635C8" w:rsidRDefault="008A32D5" w:rsidP="00A11445">
            <w:pPr>
              <w:keepNext/>
              <w:keepLines/>
              <w:spacing w:after="0" w:line="240" w:lineRule="auto"/>
              <w:jc w:val="right"/>
              <w:rPr>
                <w:sz w:val="18"/>
                <w:szCs w:val="18"/>
              </w:rPr>
            </w:pPr>
            <w:r w:rsidRPr="005635C8">
              <w:rPr>
                <w:b/>
                <w:color w:val="FFFFFF" w:themeColor="background1"/>
                <w:sz w:val="18"/>
                <w:szCs w:val="18"/>
              </w:rPr>
              <w:t>$6,800,929</w:t>
            </w:r>
          </w:p>
        </w:tc>
      </w:tr>
    </w:tbl>
    <w:bookmarkEnd w:id="15"/>
    <w:bookmarkEnd w:id="16"/>
    <w:p w14:paraId="562FC1EE" w14:textId="40757D00" w:rsidR="00E97247" w:rsidRPr="00172D5F" w:rsidRDefault="00643118" w:rsidP="00172D5F">
      <w:pPr>
        <w:pStyle w:val="BodyText"/>
        <w:rPr>
          <w:rFonts w:cs="Arial"/>
          <w:i w:val="0"/>
          <w:color w:val="auto"/>
          <w:sz w:val="16"/>
          <w:szCs w:val="16"/>
        </w:rPr>
      </w:pPr>
      <w:r w:rsidRPr="00172D5F">
        <w:rPr>
          <w:rFonts w:cs="Arial"/>
          <w:i w:val="0"/>
          <w:color w:val="auto"/>
          <w:sz w:val="16"/>
          <w:szCs w:val="16"/>
        </w:rPr>
        <w:t>*</w:t>
      </w:r>
      <w:r w:rsidR="004D5A4C" w:rsidRPr="00172D5F">
        <w:rPr>
          <w:rFonts w:cs="Arial"/>
          <w:i w:val="0"/>
          <w:color w:val="auto"/>
          <w:sz w:val="16"/>
          <w:szCs w:val="16"/>
        </w:rPr>
        <w:t>C</w:t>
      </w:r>
      <w:r w:rsidR="005604C7" w:rsidRPr="00172D5F">
        <w:rPr>
          <w:rFonts w:cs="Arial"/>
          <w:i w:val="0"/>
          <w:color w:val="auto"/>
          <w:sz w:val="16"/>
          <w:szCs w:val="16"/>
        </w:rPr>
        <w:t>ontract price for year</w:t>
      </w:r>
      <w:r w:rsidR="001549A4" w:rsidRPr="00172D5F">
        <w:rPr>
          <w:rFonts w:cs="Arial"/>
          <w:i w:val="0"/>
          <w:color w:val="auto"/>
          <w:sz w:val="16"/>
          <w:szCs w:val="16"/>
        </w:rPr>
        <w:t>s</w:t>
      </w:r>
      <w:r w:rsidR="005604C7" w:rsidRPr="00172D5F">
        <w:rPr>
          <w:rFonts w:cs="Arial"/>
          <w:i w:val="0"/>
          <w:color w:val="auto"/>
          <w:sz w:val="16"/>
          <w:szCs w:val="16"/>
        </w:rPr>
        <w:t xml:space="preserve"> 8 and 9 to be recovered </w:t>
      </w:r>
      <w:r w:rsidR="00501C39" w:rsidRPr="00172D5F">
        <w:rPr>
          <w:rFonts w:cs="Arial"/>
          <w:i w:val="0"/>
          <w:color w:val="auto"/>
          <w:sz w:val="16"/>
          <w:szCs w:val="16"/>
        </w:rPr>
        <w:t xml:space="preserve">has been </w:t>
      </w:r>
      <w:r w:rsidR="00F6445D" w:rsidRPr="00172D5F">
        <w:rPr>
          <w:rFonts w:cs="Arial"/>
          <w:i w:val="0"/>
          <w:color w:val="auto"/>
          <w:sz w:val="16"/>
          <w:szCs w:val="16"/>
        </w:rPr>
        <w:t>estimated</w:t>
      </w:r>
      <w:r w:rsidR="00501C39" w:rsidRPr="00172D5F">
        <w:rPr>
          <w:rFonts w:cs="Arial"/>
          <w:i w:val="0"/>
          <w:color w:val="auto"/>
          <w:sz w:val="16"/>
          <w:szCs w:val="16"/>
        </w:rPr>
        <w:t xml:space="preserve"> by deducting the proportion of costs attributable to </w:t>
      </w:r>
      <w:proofErr w:type="spellStart"/>
      <w:r w:rsidR="00501C39" w:rsidRPr="00172D5F">
        <w:rPr>
          <w:rFonts w:cs="Arial"/>
          <w:i w:val="0"/>
          <w:color w:val="auto"/>
          <w:sz w:val="16"/>
          <w:szCs w:val="16"/>
        </w:rPr>
        <w:t>smartnumbers</w:t>
      </w:r>
      <w:proofErr w:type="spellEnd"/>
      <w:r w:rsidR="00501C39" w:rsidRPr="00172D5F">
        <w:rPr>
          <w:rFonts w:cs="Arial"/>
          <w:i w:val="0"/>
          <w:color w:val="auto"/>
          <w:sz w:val="16"/>
          <w:szCs w:val="16"/>
        </w:rPr>
        <w:t xml:space="preserve"> and ANC </w:t>
      </w:r>
      <w:r w:rsidR="00AE0E28" w:rsidRPr="00172D5F">
        <w:rPr>
          <w:rFonts w:cs="Arial"/>
          <w:i w:val="0"/>
          <w:color w:val="auto"/>
          <w:sz w:val="16"/>
          <w:szCs w:val="16"/>
        </w:rPr>
        <w:t>– approximately 40% -</w:t>
      </w:r>
      <w:r w:rsidR="00F32041" w:rsidRPr="00172D5F">
        <w:rPr>
          <w:rFonts w:cs="Arial"/>
          <w:i w:val="0"/>
          <w:color w:val="auto"/>
          <w:sz w:val="16"/>
          <w:szCs w:val="16"/>
        </w:rPr>
        <w:t xml:space="preserve"> from the total contract price for years 8 and 9. </w:t>
      </w:r>
    </w:p>
    <w:p w14:paraId="02678367" w14:textId="5E3EE8E5" w:rsidR="005C6805" w:rsidRDefault="008D577F" w:rsidP="005635C8">
      <w:pPr>
        <w:pStyle w:val="Heading2"/>
      </w:pPr>
      <w:bookmarkStart w:id="17" w:name="_Toc106697690"/>
      <w:r>
        <w:t>Reason for u</w:t>
      </w:r>
      <w:r w:rsidR="005C6805">
        <w:t>nder recovery</w:t>
      </w:r>
      <w:bookmarkEnd w:id="13"/>
      <w:bookmarkEnd w:id="14"/>
      <w:r w:rsidR="00316F27">
        <w:t xml:space="preserve"> of costs</w:t>
      </w:r>
      <w:bookmarkEnd w:id="17"/>
    </w:p>
    <w:p w14:paraId="2DD6A808" w14:textId="4053CCEB" w:rsidR="00190B4C" w:rsidRDefault="00A321AE" w:rsidP="00A11445">
      <w:pPr>
        <w:pStyle w:val="Paragraph"/>
      </w:pPr>
      <w:r>
        <w:t xml:space="preserve">Following the commencement of the </w:t>
      </w:r>
      <w:r w:rsidR="008F222F">
        <w:t>contract</w:t>
      </w:r>
      <w:r w:rsidR="003161EE">
        <w:t>,</w:t>
      </w:r>
      <w:r w:rsidR="008F222F">
        <w:t xml:space="preserve"> the ACMA set</w:t>
      </w:r>
      <w:r w:rsidR="00190B4C" w:rsidRPr="00190B4C">
        <w:t xml:space="preserve"> a flat-fee allocation and registration charge of $19.50. The charge was calculated by dividing the annual</w:t>
      </w:r>
      <w:r w:rsidR="00B37DE1">
        <w:t>ised</w:t>
      </w:r>
      <w:r w:rsidR="00190B4C" w:rsidRPr="00190B4C">
        <w:t xml:space="preserve"> cost of the contract to be recovered from Numbering System users</w:t>
      </w:r>
      <w:r w:rsidR="004B59CD">
        <w:t xml:space="preserve"> (then $8</w:t>
      </w:r>
      <w:r w:rsidR="006E3BE2">
        <w:t>54,000)</w:t>
      </w:r>
      <w:r w:rsidR="00190B4C" w:rsidRPr="00190B4C">
        <w:t xml:space="preserve"> by the anticipated number of transactions </w:t>
      </w:r>
      <w:r w:rsidR="006E3BE2">
        <w:t>(43,</w:t>
      </w:r>
      <w:r w:rsidR="001667F1">
        <w:t xml:space="preserve">795) </w:t>
      </w:r>
      <w:r w:rsidR="00190B4C" w:rsidRPr="00190B4C">
        <w:t>per annum.</w:t>
      </w:r>
    </w:p>
    <w:p w14:paraId="352BB4DC" w14:textId="5873EAC4" w:rsidR="00AE2759" w:rsidRDefault="00190B4C" w:rsidP="00A11445">
      <w:pPr>
        <w:pStyle w:val="Paragraph"/>
      </w:pPr>
      <w:r w:rsidRPr="00190B4C">
        <w:t xml:space="preserve">Following lower than anticipated numbers of transactions </w:t>
      </w:r>
      <w:r w:rsidR="00A418B8">
        <w:t>in the first 18 months</w:t>
      </w:r>
      <w:r w:rsidRPr="00190B4C">
        <w:t xml:space="preserve"> of the contract</w:t>
      </w:r>
      <w:r w:rsidR="004037F3">
        <w:t>, that</w:t>
      </w:r>
      <w:r w:rsidR="00140DC5">
        <w:t xml:space="preserve"> result</w:t>
      </w:r>
      <w:r w:rsidR="004037F3">
        <w:t>ed</w:t>
      </w:r>
      <w:r w:rsidR="00140DC5">
        <w:t xml:space="preserve"> in </w:t>
      </w:r>
      <w:r w:rsidR="00D84A66">
        <w:t xml:space="preserve">a significant </w:t>
      </w:r>
      <w:r w:rsidR="00140DC5">
        <w:t>under-recovery</w:t>
      </w:r>
      <w:r w:rsidR="00D84A66">
        <w:t xml:space="preserve"> of $748,879</w:t>
      </w:r>
      <w:r w:rsidRPr="00190B4C">
        <w:t xml:space="preserve">, a further review of the cost recovery arrangements was undertaken and a new fee of $35 was introduced on 1 April 2017. </w:t>
      </w:r>
      <w:r w:rsidR="00C17C4F">
        <w:t>This fee was c</w:t>
      </w:r>
      <w:r w:rsidR="00DB68EA" w:rsidRPr="00DB68EA">
        <w:t xml:space="preserve">alculated by </w:t>
      </w:r>
      <w:r w:rsidR="00385AEF" w:rsidRPr="00DB68EA">
        <w:t>annual</w:t>
      </w:r>
      <w:r w:rsidR="00385AEF">
        <w:t>ising the</w:t>
      </w:r>
      <w:r w:rsidR="00DB68EA" w:rsidRPr="00DB68EA">
        <w:t xml:space="preserve"> cost of the contract </w:t>
      </w:r>
      <w:r w:rsidR="00385AEF">
        <w:t xml:space="preserve">still </w:t>
      </w:r>
      <w:r w:rsidR="00DB68EA" w:rsidRPr="00DB68EA">
        <w:t>to be recovered (</w:t>
      </w:r>
      <w:r w:rsidR="00EC1144">
        <w:t>$986,347)</w:t>
      </w:r>
      <w:r w:rsidR="00DB68EA" w:rsidRPr="00DB68EA">
        <w:t xml:space="preserve"> by the </w:t>
      </w:r>
      <w:r w:rsidR="00AE2759">
        <w:t>revised estimated</w:t>
      </w:r>
      <w:r w:rsidR="00DB68EA" w:rsidRPr="00DB68EA">
        <w:t xml:space="preserve"> number of transactions (</w:t>
      </w:r>
      <w:r w:rsidR="002D4AFD">
        <w:t>28</w:t>
      </w:r>
      <w:r w:rsidR="00A418B8">
        <w:t>,287</w:t>
      </w:r>
      <w:r w:rsidR="00DB68EA" w:rsidRPr="00DB68EA">
        <w:t>) per annum.</w:t>
      </w:r>
      <w:r w:rsidR="00A418B8">
        <w:t xml:space="preserve"> </w:t>
      </w:r>
    </w:p>
    <w:p w14:paraId="3D2DF469" w14:textId="3E5BFB47" w:rsidR="005C6805" w:rsidRDefault="00F35395" w:rsidP="00A11445">
      <w:pPr>
        <w:pStyle w:val="Paragraph"/>
      </w:pPr>
      <w:r>
        <w:t xml:space="preserve">While </w:t>
      </w:r>
      <w:r w:rsidR="00DA5452">
        <w:t xml:space="preserve">initially this resulted in revenues </w:t>
      </w:r>
      <w:r w:rsidR="00F1104B">
        <w:t xml:space="preserve">tracking </w:t>
      </w:r>
      <w:r w:rsidR="00025BAD">
        <w:t xml:space="preserve">to recover </w:t>
      </w:r>
      <w:r w:rsidR="00F1104B">
        <w:t xml:space="preserve">costs, </w:t>
      </w:r>
      <w:r w:rsidR="00D91129">
        <w:t xml:space="preserve">the actual number of transactions </w:t>
      </w:r>
      <w:r w:rsidR="00BE2417">
        <w:t>(demand from users) has continued to decline</w:t>
      </w:r>
      <w:r w:rsidR="00784F6E">
        <w:t>,</w:t>
      </w:r>
      <w:r w:rsidR="00416723">
        <w:t xml:space="preserve"> and in 20</w:t>
      </w:r>
      <w:r w:rsidR="000D358B">
        <w:t>20</w:t>
      </w:r>
      <w:r w:rsidR="00784F6E">
        <w:t>–</w:t>
      </w:r>
      <w:r w:rsidR="000D358B">
        <w:t>21 and 2021</w:t>
      </w:r>
      <w:r w:rsidR="00784F6E">
        <w:t>–</w:t>
      </w:r>
      <w:r w:rsidR="000D358B">
        <w:t xml:space="preserve">22 (to </w:t>
      </w:r>
      <w:r w:rsidR="008D418F">
        <w:t>30 April 2022</w:t>
      </w:r>
      <w:r w:rsidR="000D358B">
        <w:t xml:space="preserve">) </w:t>
      </w:r>
      <w:r w:rsidR="00A83F00">
        <w:t xml:space="preserve">there </w:t>
      </w:r>
      <w:r w:rsidR="000D358B">
        <w:t xml:space="preserve">have been significantly lower than the </w:t>
      </w:r>
      <w:r w:rsidR="00595F06">
        <w:t>number of</w:t>
      </w:r>
      <w:r w:rsidR="005C6805">
        <w:t xml:space="preserve"> transaction</w:t>
      </w:r>
      <w:r w:rsidR="00595F06">
        <w:t>s</w:t>
      </w:r>
      <w:r w:rsidR="005C6805">
        <w:t xml:space="preserve"> </w:t>
      </w:r>
      <w:r w:rsidR="005528AB">
        <w:t xml:space="preserve">required by the model to achieve neutral cost </w:t>
      </w:r>
      <w:r w:rsidR="0014370F">
        <w:t>recovery (see Table 2</w:t>
      </w:r>
      <w:r w:rsidR="006B5596">
        <w:t xml:space="preserve"> and </w:t>
      </w:r>
      <w:r w:rsidR="00784F6E">
        <w:t>f</w:t>
      </w:r>
      <w:r w:rsidR="006B5596">
        <w:t>igures 1 and 2</w:t>
      </w:r>
      <w:r w:rsidR="0014370F">
        <w:t xml:space="preserve">). </w:t>
      </w:r>
    </w:p>
    <w:p w14:paraId="489F486A" w14:textId="5D57875F" w:rsidR="001A42B9" w:rsidRPr="00390370" w:rsidRDefault="001A42B9" w:rsidP="00A11445">
      <w:pPr>
        <w:pStyle w:val="Paragraph"/>
      </w:pPr>
      <w:r>
        <w:t>As a result</w:t>
      </w:r>
      <w:r w:rsidR="00A83F00">
        <w:t>,</w:t>
      </w:r>
      <w:r>
        <w:t xml:space="preserve"> </w:t>
      </w:r>
      <w:proofErr w:type="gramStart"/>
      <w:r w:rsidR="00DC4589">
        <w:t>at</w:t>
      </w:r>
      <w:proofErr w:type="gramEnd"/>
      <w:r w:rsidR="00DC4589">
        <w:t xml:space="preserve"> </w:t>
      </w:r>
      <w:r w:rsidR="004607B1">
        <w:t xml:space="preserve">31 </w:t>
      </w:r>
      <w:r w:rsidR="00A51410">
        <w:t>April</w:t>
      </w:r>
      <w:r w:rsidR="00A83F00">
        <w:t xml:space="preserve"> 2021</w:t>
      </w:r>
      <w:r w:rsidRPr="001A42B9">
        <w:t>, the contract was under-recovered by $</w:t>
      </w:r>
      <w:r w:rsidR="004607B1">
        <w:t>215,851</w:t>
      </w:r>
      <w:r w:rsidRPr="001A42B9">
        <w:t xml:space="preserve">, and is predicted to be under-recovered by $412,816 by </w:t>
      </w:r>
      <w:r w:rsidR="00944E78">
        <w:t>the end of the contract</w:t>
      </w:r>
      <w:r w:rsidRPr="001A42B9">
        <w:t xml:space="preserve"> </w:t>
      </w:r>
      <w:r w:rsidR="005373F3">
        <w:t xml:space="preserve">extension </w:t>
      </w:r>
      <w:r w:rsidRPr="001A42B9">
        <w:t xml:space="preserve">in August 2024.  </w:t>
      </w:r>
    </w:p>
    <w:p w14:paraId="2706418E" w14:textId="4D8A77DB" w:rsidR="005C6805" w:rsidRDefault="007A2D9B" w:rsidP="00A11445">
      <w:pPr>
        <w:pStyle w:val="Tableheading"/>
      </w:pPr>
      <w:r>
        <w:lastRenderedPageBreak/>
        <w:t xml:space="preserve">Required </w:t>
      </w:r>
      <w:r w:rsidR="007941FD">
        <w:t>transactions verses actual</w:t>
      </w:r>
      <w:r>
        <w:t xml:space="preserve"> </w:t>
      </w:r>
      <w:r w:rsidR="007941FD">
        <w:t>transactions</w:t>
      </w:r>
    </w:p>
    <w:tbl>
      <w:tblPr>
        <w:tblStyle w:val="ACMAtablestyle"/>
        <w:tblW w:w="8647" w:type="dxa"/>
        <w:tblLook w:val="04A0" w:firstRow="1" w:lastRow="0" w:firstColumn="1" w:lastColumn="0" w:noHBand="0" w:noVBand="1"/>
      </w:tblPr>
      <w:tblGrid>
        <w:gridCol w:w="1832"/>
        <w:gridCol w:w="1445"/>
        <w:gridCol w:w="1074"/>
        <w:gridCol w:w="1074"/>
        <w:gridCol w:w="1074"/>
        <w:gridCol w:w="1074"/>
        <w:gridCol w:w="1074"/>
      </w:tblGrid>
      <w:tr w:rsidR="00E21D30" w:rsidRPr="00DB1E82" w14:paraId="2BDF05F6" w14:textId="6F15E6B7" w:rsidTr="00A11445">
        <w:trPr>
          <w:cnfStyle w:val="100000000000" w:firstRow="1" w:lastRow="0" w:firstColumn="0" w:lastColumn="0" w:oddVBand="0" w:evenVBand="0" w:oddHBand="0" w:evenHBand="0" w:firstRowFirstColumn="0" w:firstRowLastColumn="0" w:lastRowFirstColumn="0" w:lastRowLastColumn="0"/>
        </w:trPr>
        <w:tc>
          <w:tcPr>
            <w:tcW w:w="0" w:type="dxa"/>
          </w:tcPr>
          <w:p w14:paraId="26A4CD54" w14:textId="1C1C9B76" w:rsidR="00FD2D76" w:rsidRPr="005635C8" w:rsidRDefault="00FD2D76" w:rsidP="00A11445">
            <w:pPr>
              <w:keepNext/>
              <w:keepLines/>
              <w:spacing w:after="0"/>
              <w:rPr>
                <w:b/>
                <w:sz w:val="18"/>
                <w:szCs w:val="18"/>
              </w:rPr>
            </w:pPr>
            <w:r w:rsidRPr="005635C8">
              <w:rPr>
                <w:b/>
                <w:sz w:val="18"/>
                <w:szCs w:val="18"/>
              </w:rPr>
              <w:t>Transaction</w:t>
            </w:r>
          </w:p>
        </w:tc>
        <w:tc>
          <w:tcPr>
            <w:tcW w:w="0" w:type="dxa"/>
          </w:tcPr>
          <w:p w14:paraId="1B65CFBB" w14:textId="4DDEB0DF" w:rsidR="00FD2D76" w:rsidRPr="005635C8" w:rsidRDefault="00D015C8" w:rsidP="00A11445">
            <w:pPr>
              <w:keepNext/>
              <w:keepLines/>
              <w:spacing w:after="0"/>
              <w:jc w:val="right"/>
              <w:rPr>
                <w:b/>
                <w:sz w:val="18"/>
                <w:szCs w:val="18"/>
              </w:rPr>
            </w:pPr>
            <w:r>
              <w:rPr>
                <w:b/>
                <w:sz w:val="18"/>
                <w:szCs w:val="18"/>
              </w:rPr>
              <w:t>Required</w:t>
            </w:r>
          </w:p>
        </w:tc>
        <w:tc>
          <w:tcPr>
            <w:tcW w:w="0" w:type="dxa"/>
          </w:tcPr>
          <w:p w14:paraId="01981ED6" w14:textId="5424E51F" w:rsidR="00FD2D76" w:rsidRPr="005635C8" w:rsidRDefault="00FD2D76" w:rsidP="00A11445">
            <w:pPr>
              <w:keepNext/>
              <w:keepLines/>
              <w:spacing w:after="0"/>
              <w:jc w:val="right"/>
              <w:rPr>
                <w:b/>
                <w:sz w:val="18"/>
                <w:szCs w:val="18"/>
              </w:rPr>
            </w:pPr>
            <w:r w:rsidRPr="005635C8">
              <w:rPr>
                <w:b/>
                <w:sz w:val="18"/>
                <w:szCs w:val="18"/>
              </w:rPr>
              <w:t>2017</w:t>
            </w:r>
            <w:r w:rsidR="00784F6E">
              <w:rPr>
                <w:b/>
                <w:sz w:val="18"/>
                <w:szCs w:val="18"/>
              </w:rPr>
              <w:t>–</w:t>
            </w:r>
            <w:r w:rsidRPr="005635C8">
              <w:rPr>
                <w:b/>
                <w:sz w:val="18"/>
                <w:szCs w:val="18"/>
              </w:rPr>
              <w:t>18</w:t>
            </w:r>
          </w:p>
        </w:tc>
        <w:tc>
          <w:tcPr>
            <w:tcW w:w="0" w:type="dxa"/>
          </w:tcPr>
          <w:p w14:paraId="44864B90" w14:textId="2676CAED" w:rsidR="00FD2D76" w:rsidRPr="005635C8" w:rsidRDefault="00FD2D76" w:rsidP="00A11445">
            <w:pPr>
              <w:keepNext/>
              <w:keepLines/>
              <w:spacing w:after="0"/>
              <w:jc w:val="right"/>
              <w:rPr>
                <w:b/>
                <w:sz w:val="18"/>
                <w:szCs w:val="18"/>
              </w:rPr>
            </w:pPr>
            <w:r w:rsidRPr="005635C8">
              <w:rPr>
                <w:b/>
                <w:sz w:val="18"/>
                <w:szCs w:val="18"/>
              </w:rPr>
              <w:t>2018</w:t>
            </w:r>
            <w:r w:rsidR="00784F6E">
              <w:rPr>
                <w:b/>
                <w:sz w:val="18"/>
                <w:szCs w:val="18"/>
              </w:rPr>
              <w:t>–</w:t>
            </w:r>
            <w:r w:rsidRPr="005635C8">
              <w:rPr>
                <w:b/>
                <w:sz w:val="18"/>
                <w:szCs w:val="18"/>
              </w:rPr>
              <w:t>19</w:t>
            </w:r>
          </w:p>
        </w:tc>
        <w:tc>
          <w:tcPr>
            <w:tcW w:w="0" w:type="dxa"/>
          </w:tcPr>
          <w:p w14:paraId="6F0DB3D1" w14:textId="3653B8D2" w:rsidR="00FD2D76" w:rsidRPr="005635C8" w:rsidRDefault="00FD2D76" w:rsidP="00A11445">
            <w:pPr>
              <w:keepNext/>
              <w:keepLines/>
              <w:spacing w:after="0"/>
              <w:jc w:val="right"/>
              <w:rPr>
                <w:b/>
                <w:sz w:val="18"/>
                <w:szCs w:val="18"/>
              </w:rPr>
            </w:pPr>
            <w:r w:rsidRPr="005635C8">
              <w:rPr>
                <w:b/>
                <w:sz w:val="18"/>
                <w:szCs w:val="18"/>
              </w:rPr>
              <w:t>2019</w:t>
            </w:r>
            <w:r w:rsidR="00784F6E">
              <w:rPr>
                <w:b/>
                <w:sz w:val="18"/>
                <w:szCs w:val="18"/>
              </w:rPr>
              <w:t>–</w:t>
            </w:r>
            <w:r w:rsidRPr="005635C8">
              <w:rPr>
                <w:b/>
                <w:sz w:val="18"/>
                <w:szCs w:val="18"/>
              </w:rPr>
              <w:t>20</w:t>
            </w:r>
          </w:p>
        </w:tc>
        <w:tc>
          <w:tcPr>
            <w:tcW w:w="0" w:type="dxa"/>
          </w:tcPr>
          <w:p w14:paraId="432404C3" w14:textId="44E61825" w:rsidR="00FD2D76" w:rsidRPr="005635C8" w:rsidRDefault="00FD2D76" w:rsidP="00A11445">
            <w:pPr>
              <w:keepNext/>
              <w:keepLines/>
              <w:spacing w:after="0"/>
              <w:jc w:val="right"/>
              <w:rPr>
                <w:b/>
                <w:sz w:val="18"/>
                <w:szCs w:val="18"/>
              </w:rPr>
            </w:pPr>
            <w:r w:rsidRPr="005635C8">
              <w:rPr>
                <w:b/>
                <w:sz w:val="18"/>
                <w:szCs w:val="18"/>
              </w:rPr>
              <w:t>2020</w:t>
            </w:r>
            <w:r w:rsidR="00784F6E">
              <w:rPr>
                <w:b/>
                <w:sz w:val="18"/>
                <w:szCs w:val="18"/>
              </w:rPr>
              <w:t>–</w:t>
            </w:r>
            <w:r w:rsidRPr="005635C8">
              <w:rPr>
                <w:b/>
                <w:sz w:val="18"/>
                <w:szCs w:val="18"/>
              </w:rPr>
              <w:t>21</w:t>
            </w:r>
          </w:p>
        </w:tc>
        <w:tc>
          <w:tcPr>
            <w:tcW w:w="0" w:type="dxa"/>
          </w:tcPr>
          <w:p w14:paraId="3640FE5B" w14:textId="4A3924B3" w:rsidR="00FD2D76" w:rsidRPr="005635C8" w:rsidRDefault="00FD2D76" w:rsidP="00A11445">
            <w:pPr>
              <w:keepNext/>
              <w:keepLines/>
              <w:spacing w:after="0"/>
              <w:jc w:val="right"/>
              <w:rPr>
                <w:b/>
                <w:sz w:val="18"/>
                <w:szCs w:val="18"/>
              </w:rPr>
            </w:pPr>
            <w:r w:rsidRPr="005635C8">
              <w:rPr>
                <w:b/>
                <w:sz w:val="18"/>
                <w:szCs w:val="18"/>
              </w:rPr>
              <w:t>2021</w:t>
            </w:r>
            <w:r w:rsidR="00784F6E">
              <w:rPr>
                <w:b/>
                <w:sz w:val="18"/>
                <w:szCs w:val="18"/>
              </w:rPr>
              <w:t>–</w:t>
            </w:r>
            <w:r w:rsidRPr="005635C8">
              <w:rPr>
                <w:b/>
                <w:sz w:val="18"/>
                <w:szCs w:val="18"/>
              </w:rPr>
              <w:t>22</w:t>
            </w:r>
            <w:r w:rsidR="003B4ED0">
              <w:rPr>
                <w:b/>
                <w:sz w:val="18"/>
                <w:szCs w:val="18"/>
              </w:rPr>
              <w:t>*</w:t>
            </w:r>
          </w:p>
        </w:tc>
      </w:tr>
      <w:tr w:rsidR="00E21D30" w:rsidRPr="00DB1E82" w14:paraId="056BB6CC" w14:textId="1D23331B" w:rsidTr="00A11445">
        <w:trPr>
          <w:cnfStyle w:val="000000100000" w:firstRow="0" w:lastRow="0" w:firstColumn="0" w:lastColumn="0" w:oddVBand="0" w:evenVBand="0" w:oddHBand="1" w:evenHBand="0" w:firstRowFirstColumn="0" w:firstRowLastColumn="0" w:lastRowFirstColumn="0" w:lastRowLastColumn="0"/>
        </w:trPr>
        <w:tc>
          <w:tcPr>
            <w:tcW w:w="0" w:type="dxa"/>
          </w:tcPr>
          <w:p w14:paraId="25F47DB8" w14:textId="00C49640" w:rsidR="009C2D6A" w:rsidRPr="005635C8" w:rsidRDefault="009C2D6A" w:rsidP="008D44CB">
            <w:pPr>
              <w:keepNext/>
              <w:keepLines/>
              <w:spacing w:after="0" w:line="240" w:lineRule="auto"/>
              <w:rPr>
                <w:sz w:val="18"/>
                <w:szCs w:val="18"/>
              </w:rPr>
            </w:pPr>
            <w:r w:rsidRPr="005635C8">
              <w:rPr>
                <w:sz w:val="18"/>
                <w:szCs w:val="18"/>
              </w:rPr>
              <w:t>Allocation of FLR</w:t>
            </w:r>
            <w:r w:rsidR="008375B3">
              <w:rPr>
                <w:sz w:val="18"/>
                <w:szCs w:val="18"/>
              </w:rPr>
              <w:t xml:space="preserve">N and </w:t>
            </w:r>
            <w:r w:rsidRPr="005635C8">
              <w:rPr>
                <w:sz w:val="18"/>
                <w:szCs w:val="18"/>
              </w:rPr>
              <w:t>PRN</w:t>
            </w:r>
          </w:p>
        </w:tc>
        <w:tc>
          <w:tcPr>
            <w:tcW w:w="0" w:type="dxa"/>
          </w:tcPr>
          <w:p w14:paraId="2F87BD08" w14:textId="057178E8" w:rsidR="009C2D6A" w:rsidRPr="005635C8" w:rsidRDefault="009C2D6A" w:rsidP="00A11445">
            <w:pPr>
              <w:keepNext/>
              <w:keepLines/>
              <w:spacing w:after="0" w:line="240" w:lineRule="auto"/>
              <w:jc w:val="right"/>
              <w:rPr>
                <w:sz w:val="18"/>
                <w:szCs w:val="18"/>
              </w:rPr>
            </w:pPr>
            <w:r w:rsidRPr="005635C8">
              <w:rPr>
                <w:sz w:val="18"/>
                <w:szCs w:val="18"/>
              </w:rPr>
              <w:t>25,025</w:t>
            </w:r>
          </w:p>
        </w:tc>
        <w:tc>
          <w:tcPr>
            <w:tcW w:w="0" w:type="dxa"/>
          </w:tcPr>
          <w:p w14:paraId="2C74F5CF" w14:textId="78C8AB90" w:rsidR="009C2D6A" w:rsidRPr="005635C8" w:rsidRDefault="009C2D6A" w:rsidP="00A11445">
            <w:pPr>
              <w:keepNext/>
              <w:keepLines/>
              <w:spacing w:after="0" w:line="240" w:lineRule="auto"/>
              <w:jc w:val="right"/>
              <w:rPr>
                <w:sz w:val="18"/>
                <w:szCs w:val="18"/>
              </w:rPr>
            </w:pPr>
            <w:r w:rsidRPr="00F74C55" w:rsidDel="00521513">
              <w:rPr>
                <w:sz w:val="18"/>
                <w:szCs w:val="18"/>
              </w:rPr>
              <w:t>21,</w:t>
            </w:r>
            <w:r w:rsidR="00521513">
              <w:rPr>
                <w:sz w:val="18"/>
                <w:szCs w:val="18"/>
              </w:rPr>
              <w:t>999</w:t>
            </w:r>
          </w:p>
        </w:tc>
        <w:tc>
          <w:tcPr>
            <w:tcW w:w="0" w:type="dxa"/>
          </w:tcPr>
          <w:p w14:paraId="67BD8623" w14:textId="7EB0A96E" w:rsidR="009C2D6A" w:rsidRPr="005635C8" w:rsidRDefault="009C2D6A" w:rsidP="00A11445">
            <w:pPr>
              <w:keepNext/>
              <w:keepLines/>
              <w:spacing w:after="0" w:line="240" w:lineRule="auto"/>
              <w:jc w:val="right"/>
              <w:rPr>
                <w:sz w:val="18"/>
                <w:szCs w:val="18"/>
              </w:rPr>
            </w:pPr>
            <w:r w:rsidRPr="00F74C55">
              <w:rPr>
                <w:sz w:val="18"/>
                <w:szCs w:val="18"/>
              </w:rPr>
              <w:t>30,8</w:t>
            </w:r>
            <w:r w:rsidR="00521513">
              <w:rPr>
                <w:sz w:val="18"/>
                <w:szCs w:val="18"/>
              </w:rPr>
              <w:t>13</w:t>
            </w:r>
          </w:p>
        </w:tc>
        <w:tc>
          <w:tcPr>
            <w:tcW w:w="0" w:type="dxa"/>
          </w:tcPr>
          <w:p w14:paraId="6CCFE2E0" w14:textId="1D464DB0" w:rsidR="009C2D6A" w:rsidRPr="005635C8" w:rsidRDefault="009C2D6A" w:rsidP="00A11445">
            <w:pPr>
              <w:keepNext/>
              <w:keepLines/>
              <w:spacing w:after="0" w:line="240" w:lineRule="auto"/>
              <w:jc w:val="right"/>
              <w:rPr>
                <w:sz w:val="18"/>
                <w:szCs w:val="18"/>
              </w:rPr>
            </w:pPr>
            <w:r w:rsidRPr="00F74C55">
              <w:rPr>
                <w:sz w:val="18"/>
                <w:szCs w:val="18"/>
              </w:rPr>
              <w:t>24,328</w:t>
            </w:r>
          </w:p>
        </w:tc>
        <w:tc>
          <w:tcPr>
            <w:tcW w:w="0" w:type="dxa"/>
          </w:tcPr>
          <w:p w14:paraId="7734E3A2" w14:textId="503DDCC3" w:rsidR="009C2D6A" w:rsidRPr="005635C8" w:rsidRDefault="009C2D6A" w:rsidP="00A11445">
            <w:pPr>
              <w:keepNext/>
              <w:keepLines/>
              <w:spacing w:after="0" w:line="240" w:lineRule="auto"/>
              <w:jc w:val="right"/>
              <w:rPr>
                <w:sz w:val="18"/>
                <w:szCs w:val="18"/>
              </w:rPr>
            </w:pPr>
            <w:r w:rsidRPr="00F74C55">
              <w:rPr>
                <w:sz w:val="18"/>
                <w:szCs w:val="18"/>
              </w:rPr>
              <w:t>15,837</w:t>
            </w:r>
          </w:p>
        </w:tc>
        <w:tc>
          <w:tcPr>
            <w:tcW w:w="0" w:type="dxa"/>
          </w:tcPr>
          <w:p w14:paraId="6A6C5977" w14:textId="42D3005B" w:rsidR="009C2D6A" w:rsidRPr="005635C8" w:rsidRDefault="009C2D6A" w:rsidP="00A11445">
            <w:pPr>
              <w:keepNext/>
              <w:keepLines/>
              <w:spacing w:after="0" w:line="240" w:lineRule="auto"/>
              <w:jc w:val="right"/>
              <w:rPr>
                <w:sz w:val="18"/>
                <w:szCs w:val="18"/>
              </w:rPr>
            </w:pPr>
            <w:r w:rsidRPr="00F74C55">
              <w:rPr>
                <w:sz w:val="18"/>
                <w:szCs w:val="18"/>
              </w:rPr>
              <w:t>14,</w:t>
            </w:r>
            <w:r w:rsidR="009F3628">
              <w:rPr>
                <w:sz w:val="18"/>
                <w:szCs w:val="18"/>
              </w:rPr>
              <w:t>373</w:t>
            </w:r>
          </w:p>
        </w:tc>
      </w:tr>
      <w:tr w:rsidR="003255FA" w:rsidRPr="00DB1E82" w14:paraId="05DE632C" w14:textId="27AED6F0" w:rsidTr="00A11445">
        <w:trPr>
          <w:cnfStyle w:val="000000010000" w:firstRow="0" w:lastRow="0" w:firstColumn="0" w:lastColumn="0" w:oddVBand="0" w:evenVBand="0" w:oddHBand="0" w:evenHBand="1" w:firstRowFirstColumn="0" w:firstRowLastColumn="0" w:lastRowFirstColumn="0" w:lastRowLastColumn="0"/>
        </w:trPr>
        <w:tc>
          <w:tcPr>
            <w:tcW w:w="0" w:type="dxa"/>
          </w:tcPr>
          <w:p w14:paraId="10507040" w14:textId="360F510E" w:rsidR="003255FA" w:rsidRPr="005635C8" w:rsidRDefault="003255FA" w:rsidP="008D44CB">
            <w:pPr>
              <w:keepNext/>
              <w:keepLines/>
              <w:spacing w:after="0" w:line="240" w:lineRule="auto"/>
              <w:rPr>
                <w:sz w:val="18"/>
                <w:szCs w:val="18"/>
              </w:rPr>
            </w:pPr>
            <w:r w:rsidRPr="005635C8">
              <w:rPr>
                <w:sz w:val="18"/>
                <w:szCs w:val="18"/>
              </w:rPr>
              <w:t>Allocation of mobile numbers</w:t>
            </w:r>
          </w:p>
        </w:tc>
        <w:tc>
          <w:tcPr>
            <w:tcW w:w="0" w:type="dxa"/>
          </w:tcPr>
          <w:p w14:paraId="78EF0D4E" w14:textId="61501E32" w:rsidR="003255FA" w:rsidRPr="005635C8" w:rsidRDefault="003255FA" w:rsidP="00A11445">
            <w:pPr>
              <w:keepNext/>
              <w:keepLines/>
              <w:spacing w:after="0" w:line="240" w:lineRule="auto"/>
              <w:jc w:val="right"/>
              <w:rPr>
                <w:sz w:val="18"/>
                <w:szCs w:val="18"/>
              </w:rPr>
            </w:pPr>
            <w:r w:rsidRPr="005635C8">
              <w:rPr>
                <w:sz w:val="18"/>
                <w:szCs w:val="18"/>
              </w:rPr>
              <w:t>7</w:t>
            </w:r>
          </w:p>
        </w:tc>
        <w:tc>
          <w:tcPr>
            <w:tcW w:w="0" w:type="dxa"/>
          </w:tcPr>
          <w:p w14:paraId="312E7162" w14:textId="1223C275" w:rsidR="003255FA" w:rsidRPr="005635C8" w:rsidRDefault="00521513" w:rsidP="00A11445">
            <w:pPr>
              <w:keepNext/>
              <w:keepLines/>
              <w:spacing w:after="0" w:line="240" w:lineRule="auto"/>
              <w:jc w:val="right"/>
              <w:rPr>
                <w:sz w:val="18"/>
                <w:szCs w:val="18"/>
              </w:rPr>
            </w:pPr>
            <w:r>
              <w:rPr>
                <w:sz w:val="18"/>
                <w:szCs w:val="18"/>
              </w:rPr>
              <w:t>8</w:t>
            </w:r>
          </w:p>
        </w:tc>
        <w:tc>
          <w:tcPr>
            <w:tcW w:w="0" w:type="dxa"/>
          </w:tcPr>
          <w:p w14:paraId="41196BFB" w14:textId="197ED30B" w:rsidR="003255FA" w:rsidRPr="005635C8" w:rsidRDefault="00521513" w:rsidP="00A11445">
            <w:pPr>
              <w:keepNext/>
              <w:keepLines/>
              <w:spacing w:after="0" w:line="240" w:lineRule="auto"/>
              <w:jc w:val="right"/>
              <w:rPr>
                <w:sz w:val="18"/>
                <w:szCs w:val="18"/>
              </w:rPr>
            </w:pPr>
            <w:r>
              <w:rPr>
                <w:sz w:val="18"/>
                <w:szCs w:val="18"/>
              </w:rPr>
              <w:t>6</w:t>
            </w:r>
          </w:p>
        </w:tc>
        <w:tc>
          <w:tcPr>
            <w:tcW w:w="0" w:type="dxa"/>
          </w:tcPr>
          <w:p w14:paraId="07504325" w14:textId="5DC3D028" w:rsidR="003255FA" w:rsidRPr="005635C8" w:rsidRDefault="003255FA" w:rsidP="00A11445">
            <w:pPr>
              <w:keepNext/>
              <w:keepLines/>
              <w:spacing w:after="0" w:line="240" w:lineRule="auto"/>
              <w:jc w:val="right"/>
              <w:rPr>
                <w:sz w:val="18"/>
                <w:szCs w:val="18"/>
              </w:rPr>
            </w:pPr>
            <w:r w:rsidRPr="005635C8">
              <w:rPr>
                <w:sz w:val="18"/>
                <w:szCs w:val="18"/>
              </w:rPr>
              <w:t>9</w:t>
            </w:r>
          </w:p>
        </w:tc>
        <w:tc>
          <w:tcPr>
            <w:tcW w:w="0" w:type="dxa"/>
          </w:tcPr>
          <w:p w14:paraId="42D02EB7" w14:textId="204276BA" w:rsidR="003255FA" w:rsidRPr="005635C8" w:rsidRDefault="003255FA" w:rsidP="00A11445">
            <w:pPr>
              <w:keepNext/>
              <w:keepLines/>
              <w:spacing w:after="0" w:line="240" w:lineRule="auto"/>
              <w:jc w:val="right"/>
              <w:rPr>
                <w:sz w:val="18"/>
                <w:szCs w:val="18"/>
              </w:rPr>
            </w:pPr>
            <w:r w:rsidRPr="005635C8">
              <w:rPr>
                <w:sz w:val="18"/>
                <w:szCs w:val="18"/>
              </w:rPr>
              <w:t>3</w:t>
            </w:r>
          </w:p>
        </w:tc>
        <w:tc>
          <w:tcPr>
            <w:tcW w:w="0" w:type="dxa"/>
          </w:tcPr>
          <w:p w14:paraId="79786DC1" w14:textId="1CC558A0" w:rsidR="003255FA" w:rsidRPr="005635C8" w:rsidRDefault="00521513" w:rsidP="00A11445">
            <w:pPr>
              <w:keepNext/>
              <w:keepLines/>
              <w:spacing w:after="0" w:line="240" w:lineRule="auto"/>
              <w:jc w:val="right"/>
              <w:rPr>
                <w:sz w:val="18"/>
                <w:szCs w:val="18"/>
              </w:rPr>
            </w:pPr>
            <w:r>
              <w:rPr>
                <w:sz w:val="18"/>
                <w:szCs w:val="18"/>
              </w:rPr>
              <w:t>4</w:t>
            </w:r>
          </w:p>
        </w:tc>
      </w:tr>
      <w:tr w:rsidR="00E21D30" w:rsidRPr="00DB1E82" w14:paraId="6E97DE56" w14:textId="77777777" w:rsidTr="00A11445">
        <w:trPr>
          <w:cnfStyle w:val="000000100000" w:firstRow="0" w:lastRow="0" w:firstColumn="0" w:lastColumn="0" w:oddVBand="0" w:evenVBand="0" w:oddHBand="1" w:evenHBand="0" w:firstRowFirstColumn="0" w:firstRowLastColumn="0" w:lastRowFirstColumn="0" w:lastRowLastColumn="0"/>
        </w:trPr>
        <w:tc>
          <w:tcPr>
            <w:tcW w:w="0" w:type="dxa"/>
          </w:tcPr>
          <w:p w14:paraId="6B1CDBB5" w14:textId="2F4CFCFE" w:rsidR="003255FA" w:rsidRPr="00F74C55" w:rsidRDefault="003255FA" w:rsidP="008D44CB">
            <w:pPr>
              <w:keepNext/>
              <w:keepLines/>
              <w:spacing w:after="0" w:line="240" w:lineRule="auto"/>
              <w:rPr>
                <w:sz w:val="18"/>
                <w:szCs w:val="18"/>
              </w:rPr>
            </w:pPr>
            <w:r w:rsidRPr="005635C8">
              <w:rPr>
                <w:sz w:val="18"/>
                <w:szCs w:val="18"/>
              </w:rPr>
              <w:t>Allocation of other numbers</w:t>
            </w:r>
            <w:r w:rsidR="00521513">
              <w:rPr>
                <w:sz w:val="18"/>
                <w:szCs w:val="18"/>
              </w:rPr>
              <w:t>**</w:t>
            </w:r>
          </w:p>
        </w:tc>
        <w:tc>
          <w:tcPr>
            <w:tcW w:w="0" w:type="dxa"/>
          </w:tcPr>
          <w:p w14:paraId="4D25A73D" w14:textId="59A361BE" w:rsidR="003255FA" w:rsidRPr="003255FA" w:rsidRDefault="003255FA" w:rsidP="00A11445">
            <w:pPr>
              <w:keepNext/>
              <w:keepLines/>
              <w:spacing w:after="0" w:line="240" w:lineRule="auto"/>
              <w:jc w:val="right"/>
              <w:rPr>
                <w:sz w:val="18"/>
                <w:szCs w:val="18"/>
              </w:rPr>
            </w:pPr>
            <w:r w:rsidRPr="005635C8">
              <w:rPr>
                <w:sz w:val="18"/>
                <w:szCs w:val="18"/>
              </w:rPr>
              <w:t>2</w:t>
            </w:r>
          </w:p>
        </w:tc>
        <w:tc>
          <w:tcPr>
            <w:tcW w:w="0" w:type="dxa"/>
          </w:tcPr>
          <w:p w14:paraId="388DABFF" w14:textId="00E7ADE4" w:rsidR="003255FA" w:rsidRPr="00F74C55" w:rsidRDefault="00521513" w:rsidP="00A11445">
            <w:pPr>
              <w:keepNext/>
              <w:keepLines/>
              <w:spacing w:after="0" w:line="240" w:lineRule="auto"/>
              <w:jc w:val="right"/>
              <w:rPr>
                <w:sz w:val="18"/>
                <w:szCs w:val="18"/>
              </w:rPr>
            </w:pPr>
            <w:r>
              <w:rPr>
                <w:sz w:val="18"/>
                <w:szCs w:val="18"/>
              </w:rPr>
              <w:t>1</w:t>
            </w:r>
          </w:p>
        </w:tc>
        <w:tc>
          <w:tcPr>
            <w:tcW w:w="0" w:type="dxa"/>
          </w:tcPr>
          <w:p w14:paraId="2E0C3180" w14:textId="317301BF" w:rsidR="003255FA" w:rsidRPr="00F74C55" w:rsidRDefault="00521513" w:rsidP="00A11445">
            <w:pPr>
              <w:keepNext/>
              <w:keepLines/>
              <w:spacing w:after="0" w:line="240" w:lineRule="auto"/>
              <w:jc w:val="right"/>
              <w:rPr>
                <w:sz w:val="18"/>
                <w:szCs w:val="18"/>
              </w:rPr>
            </w:pPr>
            <w:r>
              <w:rPr>
                <w:sz w:val="18"/>
                <w:szCs w:val="18"/>
              </w:rPr>
              <w:t>2</w:t>
            </w:r>
          </w:p>
        </w:tc>
        <w:tc>
          <w:tcPr>
            <w:tcW w:w="0" w:type="dxa"/>
          </w:tcPr>
          <w:p w14:paraId="24D3C981" w14:textId="3C157902" w:rsidR="003255FA" w:rsidRPr="00F74C55" w:rsidRDefault="003255FA" w:rsidP="00A11445">
            <w:pPr>
              <w:keepNext/>
              <w:keepLines/>
              <w:spacing w:after="0" w:line="240" w:lineRule="auto"/>
              <w:jc w:val="right"/>
              <w:rPr>
                <w:sz w:val="18"/>
                <w:szCs w:val="18"/>
              </w:rPr>
            </w:pPr>
            <w:r w:rsidRPr="005635C8">
              <w:rPr>
                <w:sz w:val="18"/>
                <w:szCs w:val="18"/>
              </w:rPr>
              <w:t>3</w:t>
            </w:r>
          </w:p>
        </w:tc>
        <w:tc>
          <w:tcPr>
            <w:tcW w:w="0" w:type="dxa"/>
          </w:tcPr>
          <w:p w14:paraId="6BE610B5" w14:textId="30D19204" w:rsidR="003255FA" w:rsidRPr="00F74C55" w:rsidRDefault="003255FA" w:rsidP="00A11445">
            <w:pPr>
              <w:keepNext/>
              <w:keepLines/>
              <w:spacing w:after="0" w:line="240" w:lineRule="auto"/>
              <w:jc w:val="right"/>
              <w:rPr>
                <w:sz w:val="18"/>
                <w:szCs w:val="18"/>
              </w:rPr>
            </w:pPr>
            <w:r w:rsidRPr="005635C8">
              <w:rPr>
                <w:sz w:val="18"/>
                <w:szCs w:val="18"/>
              </w:rPr>
              <w:t>2</w:t>
            </w:r>
          </w:p>
        </w:tc>
        <w:tc>
          <w:tcPr>
            <w:tcW w:w="0" w:type="dxa"/>
          </w:tcPr>
          <w:p w14:paraId="741BEE74" w14:textId="59E5B389" w:rsidR="003255FA" w:rsidRPr="00F74C55" w:rsidRDefault="00521513" w:rsidP="00A11445">
            <w:pPr>
              <w:keepNext/>
              <w:keepLines/>
              <w:spacing w:after="0" w:line="240" w:lineRule="auto"/>
              <w:jc w:val="right"/>
              <w:rPr>
                <w:sz w:val="18"/>
                <w:szCs w:val="18"/>
              </w:rPr>
            </w:pPr>
            <w:r>
              <w:rPr>
                <w:sz w:val="18"/>
                <w:szCs w:val="18"/>
              </w:rPr>
              <w:t>1</w:t>
            </w:r>
          </w:p>
        </w:tc>
      </w:tr>
      <w:tr w:rsidR="00E21D30" w:rsidRPr="00DB1E82" w14:paraId="5BD850AC" w14:textId="77777777" w:rsidTr="00A11445">
        <w:trPr>
          <w:cnfStyle w:val="000000010000" w:firstRow="0" w:lastRow="0" w:firstColumn="0" w:lastColumn="0" w:oddVBand="0" w:evenVBand="0" w:oddHBand="0" w:evenHBand="1" w:firstRowFirstColumn="0" w:firstRowLastColumn="0" w:lastRowFirstColumn="0" w:lastRowLastColumn="0"/>
        </w:trPr>
        <w:tc>
          <w:tcPr>
            <w:tcW w:w="0" w:type="dxa"/>
          </w:tcPr>
          <w:p w14:paraId="53396F5E" w14:textId="56836299" w:rsidR="003255FA" w:rsidRPr="00F74C55" w:rsidRDefault="003255FA" w:rsidP="008D44CB">
            <w:pPr>
              <w:keepNext/>
              <w:keepLines/>
              <w:spacing w:after="0" w:line="240" w:lineRule="auto"/>
              <w:rPr>
                <w:sz w:val="18"/>
                <w:szCs w:val="18"/>
              </w:rPr>
            </w:pPr>
            <w:r w:rsidRPr="005635C8">
              <w:rPr>
                <w:sz w:val="18"/>
                <w:szCs w:val="18"/>
              </w:rPr>
              <w:t xml:space="preserve">Allocation of geographic numbers </w:t>
            </w:r>
          </w:p>
        </w:tc>
        <w:tc>
          <w:tcPr>
            <w:tcW w:w="0" w:type="dxa"/>
          </w:tcPr>
          <w:p w14:paraId="5D72592A" w14:textId="6BE9A058" w:rsidR="003255FA" w:rsidRPr="003255FA" w:rsidRDefault="003255FA" w:rsidP="00A11445">
            <w:pPr>
              <w:keepNext/>
              <w:keepLines/>
              <w:spacing w:after="0" w:line="240" w:lineRule="auto"/>
              <w:jc w:val="right"/>
              <w:rPr>
                <w:sz w:val="18"/>
                <w:szCs w:val="18"/>
              </w:rPr>
            </w:pPr>
            <w:r w:rsidRPr="005635C8">
              <w:rPr>
                <w:sz w:val="18"/>
                <w:szCs w:val="18"/>
              </w:rPr>
              <w:t>55</w:t>
            </w:r>
          </w:p>
        </w:tc>
        <w:tc>
          <w:tcPr>
            <w:tcW w:w="0" w:type="dxa"/>
          </w:tcPr>
          <w:p w14:paraId="06D38F4E" w14:textId="44AD11C2" w:rsidR="003255FA" w:rsidRPr="00F74C55" w:rsidRDefault="00521513" w:rsidP="00A11445">
            <w:pPr>
              <w:keepNext/>
              <w:keepLines/>
              <w:spacing w:after="0" w:line="240" w:lineRule="auto"/>
              <w:jc w:val="right"/>
              <w:rPr>
                <w:sz w:val="18"/>
                <w:szCs w:val="18"/>
              </w:rPr>
            </w:pPr>
            <w:r>
              <w:rPr>
                <w:sz w:val="18"/>
                <w:szCs w:val="18"/>
              </w:rPr>
              <w:t>50</w:t>
            </w:r>
          </w:p>
        </w:tc>
        <w:tc>
          <w:tcPr>
            <w:tcW w:w="0" w:type="dxa"/>
          </w:tcPr>
          <w:p w14:paraId="7D2D5E27" w14:textId="1A6D4906" w:rsidR="003255FA" w:rsidRPr="00F74C55" w:rsidRDefault="00521513" w:rsidP="00A11445">
            <w:pPr>
              <w:keepNext/>
              <w:keepLines/>
              <w:spacing w:after="0" w:line="240" w:lineRule="auto"/>
              <w:jc w:val="right"/>
              <w:rPr>
                <w:sz w:val="18"/>
                <w:szCs w:val="18"/>
              </w:rPr>
            </w:pPr>
            <w:r>
              <w:rPr>
                <w:sz w:val="18"/>
                <w:szCs w:val="18"/>
              </w:rPr>
              <w:t>39</w:t>
            </w:r>
          </w:p>
        </w:tc>
        <w:tc>
          <w:tcPr>
            <w:tcW w:w="0" w:type="dxa"/>
          </w:tcPr>
          <w:p w14:paraId="5081EE8F" w14:textId="1ED0107B" w:rsidR="003255FA" w:rsidRPr="00F74C55" w:rsidRDefault="003255FA" w:rsidP="00A11445">
            <w:pPr>
              <w:keepNext/>
              <w:keepLines/>
              <w:spacing w:after="0" w:line="240" w:lineRule="auto"/>
              <w:jc w:val="right"/>
              <w:rPr>
                <w:sz w:val="18"/>
                <w:szCs w:val="18"/>
              </w:rPr>
            </w:pPr>
            <w:r w:rsidRPr="005635C8">
              <w:rPr>
                <w:sz w:val="18"/>
                <w:szCs w:val="18"/>
              </w:rPr>
              <w:t>35</w:t>
            </w:r>
          </w:p>
        </w:tc>
        <w:tc>
          <w:tcPr>
            <w:tcW w:w="0" w:type="dxa"/>
          </w:tcPr>
          <w:p w14:paraId="23A9CF79" w14:textId="72DB7220" w:rsidR="003255FA" w:rsidRPr="00F74C55" w:rsidRDefault="003255FA" w:rsidP="00A11445">
            <w:pPr>
              <w:keepNext/>
              <w:keepLines/>
              <w:spacing w:after="0" w:line="240" w:lineRule="auto"/>
              <w:jc w:val="right"/>
              <w:rPr>
                <w:sz w:val="18"/>
                <w:szCs w:val="18"/>
              </w:rPr>
            </w:pPr>
            <w:r w:rsidRPr="005635C8">
              <w:rPr>
                <w:sz w:val="18"/>
                <w:szCs w:val="18"/>
              </w:rPr>
              <w:t>36</w:t>
            </w:r>
          </w:p>
        </w:tc>
        <w:tc>
          <w:tcPr>
            <w:tcW w:w="0" w:type="dxa"/>
          </w:tcPr>
          <w:p w14:paraId="44892189" w14:textId="25753474" w:rsidR="003255FA" w:rsidRPr="00F74C55" w:rsidRDefault="00521513" w:rsidP="00A11445">
            <w:pPr>
              <w:keepNext/>
              <w:keepLines/>
              <w:spacing w:after="0" w:line="240" w:lineRule="auto"/>
              <w:jc w:val="right"/>
              <w:rPr>
                <w:sz w:val="18"/>
                <w:szCs w:val="18"/>
              </w:rPr>
            </w:pPr>
            <w:r>
              <w:rPr>
                <w:sz w:val="18"/>
                <w:szCs w:val="18"/>
              </w:rPr>
              <w:t>24</w:t>
            </w:r>
          </w:p>
        </w:tc>
      </w:tr>
      <w:tr w:rsidR="00E21D30" w:rsidRPr="00DB1E82" w14:paraId="5CD13E05" w14:textId="77777777" w:rsidTr="00A11445">
        <w:trPr>
          <w:cnfStyle w:val="000000100000" w:firstRow="0" w:lastRow="0" w:firstColumn="0" w:lastColumn="0" w:oddVBand="0" w:evenVBand="0" w:oddHBand="1" w:evenHBand="0" w:firstRowFirstColumn="0" w:firstRowLastColumn="0" w:lastRowFirstColumn="0" w:lastRowLastColumn="0"/>
        </w:trPr>
        <w:tc>
          <w:tcPr>
            <w:tcW w:w="0" w:type="dxa"/>
          </w:tcPr>
          <w:p w14:paraId="246C7277" w14:textId="096A6745" w:rsidR="003255FA" w:rsidRPr="00F74C55" w:rsidRDefault="003255FA" w:rsidP="008D44CB">
            <w:pPr>
              <w:keepNext/>
              <w:keepLines/>
              <w:spacing w:after="0" w:line="240" w:lineRule="auto"/>
              <w:rPr>
                <w:sz w:val="18"/>
                <w:szCs w:val="18"/>
              </w:rPr>
            </w:pPr>
            <w:r w:rsidRPr="005635C8">
              <w:rPr>
                <w:sz w:val="18"/>
                <w:szCs w:val="18"/>
              </w:rPr>
              <w:t>CSP registrations</w:t>
            </w:r>
          </w:p>
        </w:tc>
        <w:tc>
          <w:tcPr>
            <w:tcW w:w="0" w:type="dxa"/>
          </w:tcPr>
          <w:p w14:paraId="6F6FF613" w14:textId="7CB94680" w:rsidR="003255FA" w:rsidRPr="003255FA" w:rsidRDefault="003255FA" w:rsidP="00A11445">
            <w:pPr>
              <w:keepNext/>
              <w:keepLines/>
              <w:spacing w:after="0" w:line="240" w:lineRule="auto"/>
              <w:jc w:val="right"/>
              <w:rPr>
                <w:sz w:val="18"/>
                <w:szCs w:val="18"/>
              </w:rPr>
            </w:pPr>
            <w:r w:rsidRPr="005635C8">
              <w:rPr>
                <w:sz w:val="18"/>
                <w:szCs w:val="18"/>
              </w:rPr>
              <w:t>79</w:t>
            </w:r>
          </w:p>
        </w:tc>
        <w:tc>
          <w:tcPr>
            <w:tcW w:w="0" w:type="dxa"/>
          </w:tcPr>
          <w:p w14:paraId="3540359B" w14:textId="1274CDFB" w:rsidR="003255FA" w:rsidRPr="00F74C55" w:rsidRDefault="00521513" w:rsidP="00A11445">
            <w:pPr>
              <w:keepNext/>
              <w:keepLines/>
              <w:spacing w:after="0" w:line="240" w:lineRule="auto"/>
              <w:jc w:val="right"/>
              <w:rPr>
                <w:sz w:val="18"/>
                <w:szCs w:val="18"/>
              </w:rPr>
            </w:pPr>
            <w:r>
              <w:rPr>
                <w:sz w:val="18"/>
                <w:szCs w:val="18"/>
              </w:rPr>
              <w:t>23</w:t>
            </w:r>
          </w:p>
        </w:tc>
        <w:tc>
          <w:tcPr>
            <w:tcW w:w="0" w:type="dxa"/>
          </w:tcPr>
          <w:p w14:paraId="7B555B23" w14:textId="58B6ADC1" w:rsidR="003255FA" w:rsidRPr="00F74C55" w:rsidRDefault="00521513" w:rsidP="00A11445">
            <w:pPr>
              <w:keepNext/>
              <w:keepLines/>
              <w:spacing w:after="0" w:line="240" w:lineRule="auto"/>
              <w:jc w:val="right"/>
              <w:rPr>
                <w:sz w:val="18"/>
                <w:szCs w:val="18"/>
              </w:rPr>
            </w:pPr>
            <w:r>
              <w:rPr>
                <w:sz w:val="18"/>
                <w:szCs w:val="18"/>
              </w:rPr>
              <w:t>26</w:t>
            </w:r>
          </w:p>
        </w:tc>
        <w:tc>
          <w:tcPr>
            <w:tcW w:w="0" w:type="dxa"/>
          </w:tcPr>
          <w:p w14:paraId="14965A22" w14:textId="2F14EE7D" w:rsidR="003255FA" w:rsidRPr="00F74C55" w:rsidRDefault="003255FA" w:rsidP="00A11445">
            <w:pPr>
              <w:keepNext/>
              <w:keepLines/>
              <w:spacing w:after="0" w:line="240" w:lineRule="auto"/>
              <w:jc w:val="right"/>
              <w:rPr>
                <w:sz w:val="18"/>
                <w:szCs w:val="18"/>
              </w:rPr>
            </w:pPr>
            <w:r w:rsidRPr="005635C8">
              <w:rPr>
                <w:sz w:val="18"/>
                <w:szCs w:val="18"/>
              </w:rPr>
              <w:t>27</w:t>
            </w:r>
          </w:p>
        </w:tc>
        <w:tc>
          <w:tcPr>
            <w:tcW w:w="0" w:type="dxa"/>
          </w:tcPr>
          <w:p w14:paraId="670C8D1C" w14:textId="67B62B2F" w:rsidR="003255FA" w:rsidRPr="00F74C55" w:rsidRDefault="003255FA" w:rsidP="00A11445">
            <w:pPr>
              <w:keepNext/>
              <w:keepLines/>
              <w:spacing w:after="0" w:line="240" w:lineRule="auto"/>
              <w:jc w:val="right"/>
              <w:rPr>
                <w:sz w:val="18"/>
                <w:szCs w:val="18"/>
              </w:rPr>
            </w:pPr>
            <w:r w:rsidRPr="005635C8">
              <w:rPr>
                <w:sz w:val="18"/>
                <w:szCs w:val="18"/>
              </w:rPr>
              <w:t>36</w:t>
            </w:r>
          </w:p>
        </w:tc>
        <w:tc>
          <w:tcPr>
            <w:tcW w:w="0" w:type="dxa"/>
          </w:tcPr>
          <w:p w14:paraId="678E654E" w14:textId="2B8DF20F" w:rsidR="003255FA" w:rsidRPr="00F74C55" w:rsidRDefault="00521513" w:rsidP="00A11445">
            <w:pPr>
              <w:keepNext/>
              <w:keepLines/>
              <w:spacing w:after="0" w:line="240" w:lineRule="auto"/>
              <w:jc w:val="right"/>
              <w:rPr>
                <w:sz w:val="18"/>
                <w:szCs w:val="18"/>
              </w:rPr>
            </w:pPr>
            <w:r>
              <w:rPr>
                <w:sz w:val="18"/>
                <w:szCs w:val="18"/>
              </w:rPr>
              <w:t>20</w:t>
            </w:r>
          </w:p>
        </w:tc>
      </w:tr>
      <w:tr w:rsidR="00E21D30" w:rsidRPr="00DB1E82" w14:paraId="7E4A603E" w14:textId="77777777" w:rsidTr="00A11445">
        <w:trPr>
          <w:cnfStyle w:val="000000010000" w:firstRow="0" w:lastRow="0" w:firstColumn="0" w:lastColumn="0" w:oddVBand="0" w:evenVBand="0" w:oddHBand="0" w:evenHBand="1" w:firstRowFirstColumn="0" w:firstRowLastColumn="0" w:lastRowFirstColumn="0" w:lastRowLastColumn="0"/>
        </w:trPr>
        <w:tc>
          <w:tcPr>
            <w:tcW w:w="0" w:type="dxa"/>
          </w:tcPr>
          <w:p w14:paraId="62453A1A" w14:textId="520873D1" w:rsidR="003255FA" w:rsidRPr="00F74C55" w:rsidRDefault="003255FA" w:rsidP="008D44CB">
            <w:pPr>
              <w:keepNext/>
              <w:keepLines/>
              <w:spacing w:after="0" w:line="240" w:lineRule="auto"/>
              <w:rPr>
                <w:sz w:val="18"/>
                <w:szCs w:val="18"/>
              </w:rPr>
            </w:pPr>
            <w:r w:rsidRPr="005635C8">
              <w:rPr>
                <w:sz w:val="18"/>
                <w:szCs w:val="18"/>
              </w:rPr>
              <w:t xml:space="preserve">Registration </w:t>
            </w:r>
            <w:r w:rsidRPr="005635C8">
              <w:rPr>
                <w:bCs/>
                <w:color w:val="000000"/>
                <w:sz w:val="18"/>
                <w:szCs w:val="18"/>
              </w:rPr>
              <w:t>to use the Numbering System</w:t>
            </w:r>
          </w:p>
        </w:tc>
        <w:tc>
          <w:tcPr>
            <w:tcW w:w="0" w:type="dxa"/>
          </w:tcPr>
          <w:p w14:paraId="14D2F40E" w14:textId="6AD2AA7D" w:rsidR="003255FA" w:rsidRPr="003255FA" w:rsidRDefault="003255FA" w:rsidP="00A11445">
            <w:pPr>
              <w:keepNext/>
              <w:keepLines/>
              <w:spacing w:after="0" w:line="240" w:lineRule="auto"/>
              <w:jc w:val="right"/>
              <w:rPr>
                <w:sz w:val="18"/>
                <w:szCs w:val="18"/>
              </w:rPr>
            </w:pPr>
            <w:r w:rsidRPr="005635C8">
              <w:rPr>
                <w:sz w:val="18"/>
                <w:szCs w:val="18"/>
              </w:rPr>
              <w:t>3,119</w:t>
            </w:r>
          </w:p>
        </w:tc>
        <w:tc>
          <w:tcPr>
            <w:tcW w:w="0" w:type="dxa"/>
          </w:tcPr>
          <w:p w14:paraId="7BE9732E" w14:textId="3620A0CB" w:rsidR="003255FA" w:rsidRPr="00F74C55" w:rsidRDefault="00521513" w:rsidP="00A11445">
            <w:pPr>
              <w:keepNext/>
              <w:keepLines/>
              <w:spacing w:after="0" w:line="240" w:lineRule="auto"/>
              <w:jc w:val="right"/>
              <w:rPr>
                <w:sz w:val="18"/>
                <w:szCs w:val="18"/>
              </w:rPr>
            </w:pPr>
            <w:r>
              <w:rPr>
                <w:sz w:val="18"/>
                <w:szCs w:val="18"/>
              </w:rPr>
              <w:t>2,789</w:t>
            </w:r>
          </w:p>
        </w:tc>
        <w:tc>
          <w:tcPr>
            <w:tcW w:w="0" w:type="dxa"/>
          </w:tcPr>
          <w:p w14:paraId="45F4B175" w14:textId="2AA5CFC6" w:rsidR="003255FA" w:rsidRPr="00F74C55" w:rsidRDefault="00521513" w:rsidP="00A11445">
            <w:pPr>
              <w:keepNext/>
              <w:keepLines/>
              <w:spacing w:after="0" w:line="240" w:lineRule="auto"/>
              <w:jc w:val="right"/>
              <w:rPr>
                <w:sz w:val="18"/>
                <w:szCs w:val="18"/>
              </w:rPr>
            </w:pPr>
            <w:r>
              <w:rPr>
                <w:sz w:val="18"/>
                <w:szCs w:val="18"/>
              </w:rPr>
              <w:t>2,431</w:t>
            </w:r>
          </w:p>
        </w:tc>
        <w:tc>
          <w:tcPr>
            <w:tcW w:w="0" w:type="dxa"/>
          </w:tcPr>
          <w:p w14:paraId="5748B82F" w14:textId="510E06E7" w:rsidR="003255FA" w:rsidRPr="00F74C55" w:rsidRDefault="003255FA" w:rsidP="00A11445">
            <w:pPr>
              <w:keepNext/>
              <w:keepLines/>
              <w:spacing w:after="0" w:line="240" w:lineRule="auto"/>
              <w:jc w:val="right"/>
              <w:rPr>
                <w:sz w:val="18"/>
                <w:szCs w:val="18"/>
              </w:rPr>
            </w:pPr>
            <w:r w:rsidRPr="005635C8">
              <w:rPr>
                <w:sz w:val="18"/>
                <w:szCs w:val="18"/>
              </w:rPr>
              <w:t>2,272</w:t>
            </w:r>
          </w:p>
        </w:tc>
        <w:tc>
          <w:tcPr>
            <w:tcW w:w="0" w:type="dxa"/>
          </w:tcPr>
          <w:p w14:paraId="1BCEC562" w14:textId="52A3AA20" w:rsidR="003255FA" w:rsidRPr="00F74C55" w:rsidRDefault="003255FA" w:rsidP="00A11445">
            <w:pPr>
              <w:keepNext/>
              <w:keepLines/>
              <w:spacing w:after="0" w:line="240" w:lineRule="auto"/>
              <w:jc w:val="right"/>
              <w:rPr>
                <w:sz w:val="18"/>
                <w:szCs w:val="18"/>
              </w:rPr>
            </w:pPr>
            <w:r w:rsidRPr="005635C8">
              <w:rPr>
                <w:sz w:val="18"/>
                <w:szCs w:val="18"/>
              </w:rPr>
              <w:t>2,400</w:t>
            </w:r>
          </w:p>
        </w:tc>
        <w:tc>
          <w:tcPr>
            <w:tcW w:w="0" w:type="dxa"/>
          </w:tcPr>
          <w:p w14:paraId="66770010" w14:textId="04AA9B31" w:rsidR="003255FA" w:rsidRPr="00F74C55" w:rsidRDefault="00521513" w:rsidP="00A11445">
            <w:pPr>
              <w:keepNext/>
              <w:keepLines/>
              <w:spacing w:after="0" w:line="240" w:lineRule="auto"/>
              <w:jc w:val="right"/>
              <w:rPr>
                <w:sz w:val="18"/>
                <w:szCs w:val="18"/>
              </w:rPr>
            </w:pPr>
            <w:r>
              <w:rPr>
                <w:sz w:val="18"/>
                <w:szCs w:val="18"/>
              </w:rPr>
              <w:t>1,820</w:t>
            </w:r>
          </w:p>
        </w:tc>
      </w:tr>
      <w:tr w:rsidR="00E21D30" w:rsidRPr="006A7491" w14:paraId="5B553219" w14:textId="1F42AC23" w:rsidTr="00A11445">
        <w:trPr>
          <w:cnfStyle w:val="000000100000" w:firstRow="0" w:lastRow="0" w:firstColumn="0" w:lastColumn="0" w:oddVBand="0" w:evenVBand="0" w:oddHBand="1" w:evenHBand="0" w:firstRowFirstColumn="0" w:firstRowLastColumn="0" w:lastRowFirstColumn="0" w:lastRowLastColumn="0"/>
        </w:trPr>
        <w:tc>
          <w:tcPr>
            <w:tcW w:w="0" w:type="dxa"/>
            <w:shd w:val="clear" w:color="auto" w:fill="404040" w:themeFill="text1" w:themeFillTint="BF"/>
          </w:tcPr>
          <w:p w14:paraId="2E4ABFDE" w14:textId="26A3BE3C" w:rsidR="00FD2D76" w:rsidRPr="005635C8" w:rsidRDefault="008752F6" w:rsidP="008D44CB">
            <w:pPr>
              <w:keepNext/>
              <w:keepLines/>
              <w:spacing w:after="0" w:line="240" w:lineRule="auto"/>
              <w:rPr>
                <w:b/>
                <w:color w:val="FFFFFF" w:themeColor="background1"/>
                <w:sz w:val="18"/>
                <w:szCs w:val="18"/>
              </w:rPr>
            </w:pPr>
            <w:r w:rsidRPr="00F74C55">
              <w:rPr>
                <w:b/>
                <w:color w:val="FFFFFF" w:themeColor="background1"/>
                <w:sz w:val="18"/>
                <w:szCs w:val="18"/>
              </w:rPr>
              <w:t>Total</w:t>
            </w:r>
          </w:p>
        </w:tc>
        <w:tc>
          <w:tcPr>
            <w:tcW w:w="0" w:type="dxa"/>
            <w:shd w:val="clear" w:color="auto" w:fill="404040" w:themeFill="text1" w:themeFillTint="BF"/>
          </w:tcPr>
          <w:p w14:paraId="04AF7CD9" w14:textId="387E6210" w:rsidR="00FD2D76" w:rsidRPr="005635C8" w:rsidRDefault="008752F6" w:rsidP="00A11445">
            <w:pPr>
              <w:keepNext/>
              <w:keepLines/>
              <w:spacing w:after="0" w:line="240" w:lineRule="auto"/>
              <w:jc w:val="right"/>
              <w:rPr>
                <w:b/>
                <w:color w:val="FFFFFF" w:themeColor="background1"/>
                <w:sz w:val="18"/>
                <w:szCs w:val="18"/>
              </w:rPr>
            </w:pPr>
            <w:r w:rsidRPr="00F74C55">
              <w:rPr>
                <w:b/>
                <w:color w:val="FFFFFF" w:themeColor="background1"/>
                <w:sz w:val="18"/>
                <w:szCs w:val="18"/>
              </w:rPr>
              <w:t>28,287</w:t>
            </w:r>
          </w:p>
        </w:tc>
        <w:tc>
          <w:tcPr>
            <w:tcW w:w="0" w:type="dxa"/>
            <w:shd w:val="clear" w:color="auto" w:fill="404040" w:themeFill="text1" w:themeFillTint="BF"/>
          </w:tcPr>
          <w:p w14:paraId="32C4A638" w14:textId="76CBF152" w:rsidR="00FD2D76" w:rsidRPr="005635C8" w:rsidRDefault="003062B7" w:rsidP="00A11445">
            <w:pPr>
              <w:keepNext/>
              <w:keepLines/>
              <w:spacing w:after="0" w:line="240" w:lineRule="auto"/>
              <w:jc w:val="right"/>
              <w:rPr>
                <w:b/>
                <w:color w:val="FFFFFF" w:themeColor="background1"/>
                <w:sz w:val="18"/>
                <w:szCs w:val="18"/>
              </w:rPr>
            </w:pPr>
            <w:r w:rsidRPr="00F74C55">
              <w:rPr>
                <w:b/>
                <w:color w:val="FFFFFF" w:themeColor="background1"/>
                <w:sz w:val="18"/>
                <w:szCs w:val="18"/>
              </w:rPr>
              <w:t>24,870</w:t>
            </w:r>
          </w:p>
        </w:tc>
        <w:tc>
          <w:tcPr>
            <w:tcW w:w="0" w:type="dxa"/>
            <w:shd w:val="clear" w:color="auto" w:fill="404040" w:themeFill="text1" w:themeFillTint="BF"/>
          </w:tcPr>
          <w:p w14:paraId="6BCB4A82" w14:textId="369F8743" w:rsidR="00FD2D76" w:rsidRPr="005635C8" w:rsidRDefault="003062B7" w:rsidP="00A11445">
            <w:pPr>
              <w:keepNext/>
              <w:keepLines/>
              <w:spacing w:after="0" w:line="240" w:lineRule="auto"/>
              <w:jc w:val="right"/>
              <w:rPr>
                <w:b/>
                <w:color w:val="FFFFFF" w:themeColor="background1"/>
                <w:sz w:val="18"/>
                <w:szCs w:val="18"/>
              </w:rPr>
            </w:pPr>
            <w:r w:rsidRPr="00F74C55">
              <w:rPr>
                <w:b/>
                <w:color w:val="FFFFFF" w:themeColor="background1"/>
                <w:sz w:val="18"/>
                <w:szCs w:val="18"/>
              </w:rPr>
              <w:t>33,317</w:t>
            </w:r>
          </w:p>
        </w:tc>
        <w:tc>
          <w:tcPr>
            <w:tcW w:w="0" w:type="dxa"/>
            <w:shd w:val="clear" w:color="auto" w:fill="404040" w:themeFill="text1" w:themeFillTint="BF"/>
          </w:tcPr>
          <w:p w14:paraId="70F64A2B" w14:textId="1DB7DFC5" w:rsidR="00FD2D76" w:rsidRPr="005635C8" w:rsidRDefault="003062B7" w:rsidP="00A11445">
            <w:pPr>
              <w:keepNext/>
              <w:keepLines/>
              <w:spacing w:after="0" w:line="240" w:lineRule="auto"/>
              <w:jc w:val="right"/>
              <w:rPr>
                <w:b/>
                <w:color w:val="FFFFFF" w:themeColor="background1"/>
                <w:sz w:val="18"/>
                <w:szCs w:val="18"/>
              </w:rPr>
            </w:pPr>
            <w:r w:rsidRPr="00F74C55">
              <w:rPr>
                <w:b/>
                <w:color w:val="FFFFFF" w:themeColor="background1"/>
                <w:sz w:val="18"/>
                <w:szCs w:val="18"/>
              </w:rPr>
              <w:t>26,674</w:t>
            </w:r>
          </w:p>
        </w:tc>
        <w:tc>
          <w:tcPr>
            <w:tcW w:w="0" w:type="dxa"/>
            <w:shd w:val="clear" w:color="auto" w:fill="404040" w:themeFill="text1" w:themeFillTint="BF"/>
          </w:tcPr>
          <w:p w14:paraId="314998DB" w14:textId="3095A554" w:rsidR="00FD2D76" w:rsidRPr="005635C8" w:rsidRDefault="003062B7" w:rsidP="00A11445">
            <w:pPr>
              <w:keepNext/>
              <w:keepLines/>
              <w:spacing w:after="0" w:line="240" w:lineRule="auto"/>
              <w:jc w:val="right"/>
              <w:rPr>
                <w:b/>
                <w:color w:val="FFFFFF" w:themeColor="background1"/>
                <w:sz w:val="18"/>
                <w:szCs w:val="18"/>
              </w:rPr>
            </w:pPr>
            <w:r w:rsidRPr="00F74C55">
              <w:rPr>
                <w:b/>
                <w:color w:val="FFFFFF" w:themeColor="background1"/>
                <w:sz w:val="18"/>
                <w:szCs w:val="18"/>
              </w:rPr>
              <w:t>18,314</w:t>
            </w:r>
          </w:p>
        </w:tc>
        <w:tc>
          <w:tcPr>
            <w:tcW w:w="0" w:type="dxa"/>
            <w:shd w:val="clear" w:color="auto" w:fill="404040" w:themeFill="text1" w:themeFillTint="BF"/>
          </w:tcPr>
          <w:p w14:paraId="5BD27382" w14:textId="3D89C41C" w:rsidR="00FD2D76" w:rsidRPr="005635C8" w:rsidRDefault="003062B7" w:rsidP="00A11445">
            <w:pPr>
              <w:keepNext/>
              <w:keepLines/>
              <w:spacing w:after="0" w:line="240" w:lineRule="auto"/>
              <w:jc w:val="right"/>
              <w:rPr>
                <w:b/>
                <w:color w:val="FFFFFF" w:themeColor="background1"/>
                <w:sz w:val="18"/>
                <w:szCs w:val="18"/>
              </w:rPr>
            </w:pPr>
            <w:r w:rsidRPr="00F74C55">
              <w:rPr>
                <w:b/>
                <w:color w:val="FFFFFF" w:themeColor="background1"/>
                <w:sz w:val="18"/>
                <w:szCs w:val="18"/>
              </w:rPr>
              <w:t>16,</w:t>
            </w:r>
            <w:r w:rsidR="00D85304">
              <w:rPr>
                <w:b/>
                <w:color w:val="FFFFFF" w:themeColor="background1"/>
                <w:sz w:val="18"/>
                <w:szCs w:val="18"/>
              </w:rPr>
              <w:t>242</w:t>
            </w:r>
          </w:p>
        </w:tc>
      </w:tr>
    </w:tbl>
    <w:p w14:paraId="70D99A4A" w14:textId="2D3DA595" w:rsidR="00AD2258" w:rsidRDefault="003B4ED0" w:rsidP="00A11445">
      <w:pPr>
        <w:pStyle w:val="Tableorfigurenote"/>
      </w:pPr>
      <w:r w:rsidRPr="005635C8">
        <w:rPr>
          <w:sz w:val="18"/>
          <w:szCs w:val="18"/>
        </w:rPr>
        <w:t>*</w:t>
      </w:r>
      <w:r w:rsidRPr="00172D5F">
        <w:t xml:space="preserve">To </w:t>
      </w:r>
      <w:r w:rsidR="00D85304" w:rsidRPr="00172D5F">
        <w:t>May</w:t>
      </w:r>
      <w:r w:rsidRPr="00172D5F">
        <w:t xml:space="preserve"> 2022</w:t>
      </w:r>
      <w:r w:rsidR="00784F6E">
        <w:t>.</w:t>
      </w:r>
      <w:r w:rsidR="00784F6E">
        <w:br/>
      </w:r>
      <w:r w:rsidR="00521513" w:rsidRPr="00172D5F">
        <w:t>** Includes interconnection and routing numbers, data network access service numbers</w:t>
      </w:r>
      <w:r w:rsidR="00784F6E">
        <w:t>.</w:t>
      </w:r>
    </w:p>
    <w:p w14:paraId="644320C4" w14:textId="7893BD00" w:rsidR="005C6805" w:rsidRDefault="0048213E" w:rsidP="00A11445">
      <w:pPr>
        <w:pStyle w:val="Paragraph"/>
      </w:pPr>
      <w:r>
        <w:t xml:space="preserve">As part of its review of the </w:t>
      </w:r>
      <w:r w:rsidR="005373F3">
        <w:t>arrangements,</w:t>
      </w:r>
      <w:r w:rsidR="00131322">
        <w:t xml:space="preserve"> </w:t>
      </w:r>
      <w:proofErr w:type="spellStart"/>
      <w:r w:rsidR="00131322">
        <w:t>HoustonKemp</w:t>
      </w:r>
      <w:proofErr w:type="spellEnd"/>
      <w:r w:rsidR="005C6805">
        <w:t xml:space="preserve"> </w:t>
      </w:r>
      <w:r w:rsidR="00131322">
        <w:t>analy</w:t>
      </w:r>
      <w:r w:rsidR="00B806B7">
        <w:t>sed past demand</w:t>
      </w:r>
      <w:r w:rsidR="00665164">
        <w:t xml:space="preserve"> and </w:t>
      </w:r>
      <w:r w:rsidR="005C6805">
        <w:t>provide</w:t>
      </w:r>
      <w:r w:rsidR="00665164">
        <w:t>d</w:t>
      </w:r>
      <w:r w:rsidR="005C6805">
        <w:t xml:space="preserve"> </w:t>
      </w:r>
      <w:r w:rsidR="007830E4">
        <w:t xml:space="preserve">a </w:t>
      </w:r>
      <w:r w:rsidR="00665164">
        <w:t>forecast</w:t>
      </w:r>
      <w:r w:rsidR="007830E4">
        <w:t xml:space="preserve"> of</w:t>
      </w:r>
      <w:r w:rsidR="005C6805">
        <w:t xml:space="preserve"> </w:t>
      </w:r>
      <w:r w:rsidR="00E1263A">
        <w:t xml:space="preserve">future </w:t>
      </w:r>
      <w:r w:rsidR="005C6805">
        <w:t xml:space="preserve">demand for </w:t>
      </w:r>
      <w:r w:rsidR="006D6B4C">
        <w:t xml:space="preserve">numbering services </w:t>
      </w:r>
      <w:r w:rsidR="005C6805">
        <w:t xml:space="preserve">until </w:t>
      </w:r>
      <w:r w:rsidR="006D5DA6">
        <w:t>the end of the contract</w:t>
      </w:r>
      <w:r w:rsidR="006A0559">
        <w:t xml:space="preserve">. </w:t>
      </w:r>
      <w:r w:rsidR="00C73D5F">
        <w:t>Two distinct patterns were identified</w:t>
      </w:r>
      <w:r w:rsidR="007C7E8B">
        <w:t xml:space="preserve"> relating to </w:t>
      </w:r>
      <w:r w:rsidR="00C73D5F">
        <w:t>FLRN transactions</w:t>
      </w:r>
      <w:r w:rsidR="007C7E8B">
        <w:t xml:space="preserve"> and for</w:t>
      </w:r>
      <w:r w:rsidR="00C73D5F">
        <w:t xml:space="preserve"> all other transactions.</w:t>
      </w:r>
    </w:p>
    <w:p w14:paraId="77E4A397" w14:textId="5C8C9526" w:rsidR="0059499D" w:rsidRDefault="002B7749" w:rsidP="00A11445">
      <w:pPr>
        <w:pStyle w:val="Paragraph"/>
      </w:pPr>
      <w:r>
        <w:t>For FL</w:t>
      </w:r>
      <w:r w:rsidR="00D91236">
        <w:t>R</w:t>
      </w:r>
      <w:r>
        <w:t xml:space="preserve">N transactions, demand </w:t>
      </w:r>
      <w:r w:rsidR="004D1565">
        <w:t>was found to be</w:t>
      </w:r>
      <w:r>
        <w:t xml:space="preserve"> characterised by an overall decline with sporadic </w:t>
      </w:r>
      <w:r w:rsidR="004D1565">
        <w:t>spikes</w:t>
      </w:r>
      <w:r w:rsidR="00D91236">
        <w:t xml:space="preserve">, the most recent coinciding with the start of the COVID pandemic in Australia in March 2020. The most significant spike in demand occurred in March 2017 – the month prior to the last fee increase for numbering services from $19.50 to $35. This </w:t>
      </w:r>
      <w:r w:rsidR="004D1565">
        <w:t xml:space="preserve">suggests </w:t>
      </w:r>
      <w:r w:rsidR="00D91236">
        <w:t xml:space="preserve">that there was significant demand shifting or ‘stockpiling’ prior to the last price increase for FLRN transactions. </w:t>
      </w:r>
    </w:p>
    <w:p w14:paraId="5AA86418" w14:textId="1E9FCCB2" w:rsidR="002B7749" w:rsidRDefault="004D1565" w:rsidP="00A11445">
      <w:pPr>
        <w:pStyle w:val="Paragraph"/>
      </w:pPr>
      <w:r>
        <w:t>This indicates there may be some sensitivity to transaction fee changes</w:t>
      </w:r>
      <w:r w:rsidR="00B70C8D">
        <w:t xml:space="preserve"> </w:t>
      </w:r>
      <w:r>
        <w:t xml:space="preserve">and likely </w:t>
      </w:r>
      <w:r w:rsidR="00B70C8D">
        <w:t xml:space="preserve">reflects </w:t>
      </w:r>
      <w:r>
        <w:t xml:space="preserve">that </w:t>
      </w:r>
      <w:r w:rsidR="00B70C8D">
        <w:t>FLRNs tend to be allocated singly and</w:t>
      </w:r>
      <w:r w:rsidR="00914154">
        <w:t>, as past consultation has indicated,</w:t>
      </w:r>
      <w:r w:rsidR="00B70C8D">
        <w:t xml:space="preserve"> CSPs pass </w:t>
      </w:r>
      <w:r>
        <w:t xml:space="preserve">on the </w:t>
      </w:r>
      <w:r w:rsidR="00B70C8D">
        <w:t xml:space="preserve">full change to </w:t>
      </w:r>
      <w:r w:rsidR="00914154">
        <w:t>the</w:t>
      </w:r>
      <w:r w:rsidR="00B70C8D">
        <w:t xml:space="preserve"> </w:t>
      </w:r>
      <w:r w:rsidR="00914154">
        <w:t>end</w:t>
      </w:r>
      <w:r w:rsidR="00590512">
        <w:t xml:space="preserve"> </w:t>
      </w:r>
      <w:r w:rsidR="00B70C8D">
        <w:t xml:space="preserve">user. </w:t>
      </w:r>
      <w:r w:rsidR="0059499D">
        <w:t xml:space="preserve">While this may be the case, </w:t>
      </w:r>
      <w:r w:rsidR="00590512">
        <w:t>we</w:t>
      </w:r>
      <w:r w:rsidR="0059499D">
        <w:t xml:space="preserve"> also note</w:t>
      </w:r>
      <w:r w:rsidR="0059499D" w:rsidRPr="0059499D">
        <w:t xml:space="preserve"> the transaction fee usually forms </w:t>
      </w:r>
      <w:r w:rsidR="00D46357">
        <w:t xml:space="preserve">only </w:t>
      </w:r>
      <w:r w:rsidR="0059499D" w:rsidRPr="0059499D">
        <w:t xml:space="preserve">a small component of the overall costs to users of the purchase and ongoing use of </w:t>
      </w:r>
      <w:r w:rsidR="0059499D">
        <w:t>FLRNs</w:t>
      </w:r>
      <w:r w:rsidR="00590512">
        <w:t>.</w:t>
      </w:r>
      <w:r>
        <w:rPr>
          <w:rStyle w:val="FootnoteReference"/>
        </w:rPr>
        <w:footnoteReference w:id="4"/>
      </w:r>
      <w:r w:rsidR="00F86201">
        <w:t xml:space="preserve"> </w:t>
      </w:r>
      <w:r w:rsidR="001D5C95">
        <w:t xml:space="preserve">Further, demand </w:t>
      </w:r>
      <w:r w:rsidR="00F86201">
        <w:t>analysis indicates</w:t>
      </w:r>
      <w:r w:rsidR="00D91236">
        <w:t xml:space="preserve"> the price increase did not </w:t>
      </w:r>
      <w:r w:rsidR="00F86201">
        <w:t xml:space="preserve">appear to </w:t>
      </w:r>
      <w:r w:rsidR="00D91236">
        <w:t>impact demand in the longer term</w:t>
      </w:r>
      <w:r w:rsidR="0059499D">
        <w:t xml:space="preserve"> (see Figure 1)</w:t>
      </w:r>
      <w:r w:rsidR="00D91236">
        <w:t xml:space="preserve">. </w:t>
      </w:r>
      <w:r w:rsidR="00D90B96">
        <w:t>The stockpiling effect has been incorporated in demand forecasts for 2022</w:t>
      </w:r>
      <w:r w:rsidR="00590512">
        <w:t>–</w:t>
      </w:r>
      <w:r w:rsidR="00D90B96">
        <w:t>23 and 2023</w:t>
      </w:r>
      <w:r w:rsidR="00590512">
        <w:t>–</w:t>
      </w:r>
      <w:r w:rsidR="00D90B96">
        <w:t>24</w:t>
      </w:r>
      <w:r w:rsidR="007C45F0">
        <w:t>. Specifically, it has been assumed that 25% of the forecast demand for the period will occur in the month before the proposed price change comes into effect</w:t>
      </w:r>
      <w:r w:rsidR="00D90B96">
        <w:t xml:space="preserve"> (see Figure 1 and Table 3). </w:t>
      </w:r>
    </w:p>
    <w:p w14:paraId="6A90A82D" w14:textId="737C8AE6" w:rsidR="002B7749" w:rsidRPr="005635C8" w:rsidRDefault="002B7749" w:rsidP="00A11445">
      <w:pPr>
        <w:pStyle w:val="Figureheading"/>
      </w:pPr>
      <w:r w:rsidRPr="005635C8">
        <w:lastRenderedPageBreak/>
        <w:t>Historical and forecast FLRN transaction</w:t>
      </w:r>
      <w:r w:rsidR="00332EB8">
        <w:t>s</w:t>
      </w:r>
      <w:r w:rsidRPr="005635C8">
        <w:t xml:space="preserve"> </w:t>
      </w:r>
    </w:p>
    <w:p w14:paraId="192F9543" w14:textId="6D274A7D" w:rsidR="002B7749" w:rsidRDefault="00AF5CEA" w:rsidP="005C6805">
      <w:r>
        <w:rPr>
          <w:noProof/>
        </w:rPr>
        <w:drawing>
          <wp:inline distT="0" distB="0" distL="0" distR="0" wp14:anchorId="176195D3" wp14:editId="0484BC4F">
            <wp:extent cx="5850890" cy="2120265"/>
            <wp:effectExtent l="0" t="0" r="0" b="0"/>
            <wp:docPr id="7" name="Picture 7" descr="Chart showing historical and forecast FLRN transa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howing historical and forecast FLRN transactions "/>
                    <pic:cNvPicPr/>
                  </pic:nvPicPr>
                  <pic:blipFill>
                    <a:blip r:embed="rId31"/>
                    <a:stretch>
                      <a:fillRect/>
                    </a:stretch>
                  </pic:blipFill>
                  <pic:spPr>
                    <a:xfrm>
                      <a:off x="0" y="0"/>
                      <a:ext cx="5850890" cy="2120265"/>
                    </a:xfrm>
                    <a:prstGeom prst="rect">
                      <a:avLst/>
                    </a:prstGeom>
                  </pic:spPr>
                </pic:pic>
              </a:graphicData>
            </a:graphic>
          </wp:inline>
        </w:drawing>
      </w:r>
    </w:p>
    <w:p w14:paraId="62B98BAB" w14:textId="6C4A7673" w:rsidR="00172D5F" w:rsidRPr="00EB3934" w:rsidRDefault="00172D5F" w:rsidP="0073713A">
      <w:pPr>
        <w:pStyle w:val="Tableorfigurenote"/>
      </w:pPr>
      <w:r w:rsidRPr="00EB3934">
        <w:t>Source:</w:t>
      </w:r>
      <w:r>
        <w:t xml:space="preserve"> </w:t>
      </w:r>
      <w:proofErr w:type="spellStart"/>
      <w:proofErr w:type="gramStart"/>
      <w:r>
        <w:t>HoustonKemp</w:t>
      </w:r>
      <w:proofErr w:type="spellEnd"/>
      <w:r w:rsidR="008D44CB">
        <w:t>.</w:t>
      </w:r>
      <w:r w:rsidR="00A62AB6">
        <w:t>.</w:t>
      </w:r>
      <w:proofErr w:type="gramEnd"/>
      <w:r>
        <w:t xml:space="preserve"> </w:t>
      </w:r>
    </w:p>
    <w:p w14:paraId="623E0560" w14:textId="1C1515D1" w:rsidR="00D90B96" w:rsidRDefault="000054EF" w:rsidP="00AC5D42">
      <w:r>
        <w:t xml:space="preserve">For other transactions, </w:t>
      </w:r>
      <w:r w:rsidR="005A53CE">
        <w:t>analysis shows that since the establishment of the Numbering System, demand has been steadily declining</w:t>
      </w:r>
      <w:r w:rsidR="00AC5D42">
        <w:t xml:space="preserve"> and is forecast to continue to do so in 2022</w:t>
      </w:r>
      <w:r w:rsidR="00A62AB6">
        <w:t>–</w:t>
      </w:r>
      <w:r w:rsidR="00AC5D42">
        <w:t>23 and 2023</w:t>
      </w:r>
      <w:r w:rsidR="00A62AB6">
        <w:t>–</w:t>
      </w:r>
      <w:r w:rsidR="00AC5D42">
        <w:t>24 (Figure 2 and Table 3)</w:t>
      </w:r>
      <w:r w:rsidR="005A53CE">
        <w:t xml:space="preserve">. Unlike for FLRN transactions, </w:t>
      </w:r>
      <w:r w:rsidR="00A62AB6">
        <w:t xml:space="preserve">the </w:t>
      </w:r>
      <w:r w:rsidR="00AC5D42">
        <w:t>COVID</w:t>
      </w:r>
      <w:r w:rsidR="00A62AB6">
        <w:t>-19 pandemic</w:t>
      </w:r>
      <w:r w:rsidR="00AC5D42">
        <w:t xml:space="preserve"> did not seem to impact demand and </w:t>
      </w:r>
      <w:r w:rsidR="005A53CE">
        <w:t xml:space="preserve">there was no demand shifting or stockpiling </w:t>
      </w:r>
      <w:r w:rsidR="001D5C95">
        <w:t xml:space="preserve">apparent in </w:t>
      </w:r>
      <w:r w:rsidR="005A53CE">
        <w:t>response to the previous price change in April 2017. This</w:t>
      </w:r>
      <w:r w:rsidR="001D5C95">
        <w:t xml:space="preserve"> </w:t>
      </w:r>
      <w:r w:rsidR="005A53CE">
        <w:t xml:space="preserve">may be because other number transactions </w:t>
      </w:r>
      <w:r w:rsidR="001D5C95">
        <w:t xml:space="preserve">usually </w:t>
      </w:r>
      <w:r w:rsidR="005A53CE">
        <w:t xml:space="preserve">involve allocations of large </w:t>
      </w:r>
      <w:r w:rsidR="00AC5D42">
        <w:t>blocks</w:t>
      </w:r>
      <w:r w:rsidR="005A53CE">
        <w:t xml:space="preserve"> of numbers and so</w:t>
      </w:r>
      <w:r w:rsidR="00AC5D42">
        <w:t xml:space="preserve"> the pass</w:t>
      </w:r>
      <w:r w:rsidR="00A62AB6">
        <w:t>-</w:t>
      </w:r>
      <w:r w:rsidR="00AC5D42">
        <w:t>through of any price increase by CSPs to end</w:t>
      </w:r>
      <w:r w:rsidR="00A62AB6">
        <w:t xml:space="preserve"> </w:t>
      </w:r>
      <w:r w:rsidR="00AC5D42">
        <w:t xml:space="preserve">users is </w:t>
      </w:r>
      <w:r w:rsidR="001D5C95">
        <w:t xml:space="preserve">likely to be </w:t>
      </w:r>
      <w:r w:rsidR="00AC5D42">
        <w:t>miniscule</w:t>
      </w:r>
      <w:r w:rsidR="005A53CE">
        <w:t>.</w:t>
      </w:r>
      <w:r w:rsidR="001D5C95">
        <w:t xml:space="preserve"> </w:t>
      </w:r>
      <w:r w:rsidR="001D5C95" w:rsidRPr="001D5C95">
        <w:t>For example, in 2020</w:t>
      </w:r>
      <w:r w:rsidR="00A62AB6">
        <w:t>–</w:t>
      </w:r>
      <w:r w:rsidR="001D5C95" w:rsidRPr="001D5C95">
        <w:t xml:space="preserve">21, the average number of geographic telephone numbers allocated to carriage service providers per transaction was 48,758 numbers. This means the proposed fee increase of $22 </w:t>
      </w:r>
      <w:r w:rsidR="001D5C95">
        <w:t xml:space="preserve">would </w:t>
      </w:r>
      <w:r w:rsidR="001D5C95" w:rsidRPr="001D5C95">
        <w:t xml:space="preserve">equate to an additional $0.004 cents per number. </w:t>
      </w:r>
      <w:r w:rsidR="005A53CE">
        <w:t xml:space="preserve"> </w:t>
      </w:r>
    </w:p>
    <w:p w14:paraId="440AC5C4" w14:textId="6FF2A7E6" w:rsidR="00B44A72" w:rsidRPr="00EB3934" w:rsidRDefault="00B44A72" w:rsidP="0073713A">
      <w:pPr>
        <w:pStyle w:val="Figureheading"/>
      </w:pPr>
      <w:r w:rsidRPr="00EB3934">
        <w:t>Historical and forecast other transactions</w:t>
      </w:r>
    </w:p>
    <w:p w14:paraId="049CB81E" w14:textId="37A8152B" w:rsidR="00B44A72" w:rsidRDefault="00AF5CEA" w:rsidP="0073713A">
      <w:pPr>
        <w:spacing w:after="0"/>
      </w:pPr>
      <w:r>
        <w:rPr>
          <w:noProof/>
        </w:rPr>
        <w:drawing>
          <wp:inline distT="0" distB="0" distL="0" distR="0" wp14:anchorId="4640F36E" wp14:editId="61B60650">
            <wp:extent cx="5850890" cy="2232025"/>
            <wp:effectExtent l="0" t="0" r="0" b="0"/>
            <wp:docPr id="8" name="Picture 8" descr="Chart showing historical and forecast other trans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howing historical and forecast other transactions"/>
                    <pic:cNvPicPr/>
                  </pic:nvPicPr>
                  <pic:blipFill>
                    <a:blip r:embed="rId32"/>
                    <a:stretch>
                      <a:fillRect/>
                    </a:stretch>
                  </pic:blipFill>
                  <pic:spPr>
                    <a:xfrm>
                      <a:off x="0" y="0"/>
                      <a:ext cx="5850890" cy="2232025"/>
                    </a:xfrm>
                    <a:prstGeom prst="rect">
                      <a:avLst/>
                    </a:prstGeom>
                  </pic:spPr>
                </pic:pic>
              </a:graphicData>
            </a:graphic>
          </wp:inline>
        </w:drawing>
      </w:r>
    </w:p>
    <w:p w14:paraId="3308EC12" w14:textId="0C9C8943" w:rsidR="00172D5F" w:rsidRDefault="00172D5F" w:rsidP="0073713A">
      <w:pPr>
        <w:pStyle w:val="Tableorfigurenote"/>
        <w:spacing w:before="0"/>
        <w:rPr>
          <w:b/>
          <w:bCs/>
          <w:color w:val="000000" w:themeColor="text1"/>
        </w:rPr>
      </w:pPr>
      <w:r w:rsidRPr="00EB3934">
        <w:t xml:space="preserve">Source: </w:t>
      </w:r>
      <w:proofErr w:type="spellStart"/>
      <w:r w:rsidRPr="00EB3934">
        <w:t>HoustonKemp</w:t>
      </w:r>
      <w:proofErr w:type="spellEnd"/>
      <w:r w:rsidR="008D44CB">
        <w:t>.</w:t>
      </w:r>
      <w:r w:rsidR="001E7ED6">
        <w:t xml:space="preserve"> </w:t>
      </w:r>
    </w:p>
    <w:p w14:paraId="3295AF1F" w14:textId="54CBF768" w:rsidR="005C6805" w:rsidRPr="0057592C" w:rsidRDefault="00EB49EE" w:rsidP="0073713A">
      <w:pPr>
        <w:pStyle w:val="Tableheading"/>
      </w:pPr>
      <w:r>
        <w:t>Forecast</w:t>
      </w:r>
      <w:r w:rsidR="006B5596">
        <w:t>ed</w:t>
      </w:r>
      <w:r w:rsidRPr="0057592C">
        <w:t xml:space="preserve"> </w:t>
      </w:r>
      <w:r w:rsidR="005C6805" w:rsidRPr="0057592C">
        <w:t>transaction</w:t>
      </w:r>
      <w:r w:rsidR="006B5596">
        <w:t xml:space="preserve">s </w:t>
      </w:r>
    </w:p>
    <w:tbl>
      <w:tblPr>
        <w:tblStyle w:val="ACMAtablestyle"/>
        <w:tblW w:w="8926" w:type="dxa"/>
        <w:tblLook w:val="04A0" w:firstRow="1" w:lastRow="0" w:firstColumn="1" w:lastColumn="0" w:noHBand="0" w:noVBand="1"/>
      </w:tblPr>
      <w:tblGrid>
        <w:gridCol w:w="4134"/>
        <w:gridCol w:w="2609"/>
        <w:gridCol w:w="2183"/>
      </w:tblGrid>
      <w:tr w:rsidR="00E21D30" w:rsidRPr="0057592C" w14:paraId="2324529B" w14:textId="77777777" w:rsidTr="0073713A">
        <w:trPr>
          <w:cnfStyle w:val="100000000000" w:firstRow="1" w:lastRow="0" w:firstColumn="0" w:lastColumn="0" w:oddVBand="0" w:evenVBand="0" w:oddHBand="0" w:evenHBand="0" w:firstRowFirstColumn="0" w:firstRowLastColumn="0" w:lastRowFirstColumn="0" w:lastRowLastColumn="0"/>
          <w:trHeight w:val="268"/>
        </w:trPr>
        <w:tc>
          <w:tcPr>
            <w:tcW w:w="0" w:type="dxa"/>
            <w:noWrap/>
            <w:hideMark/>
          </w:tcPr>
          <w:p w14:paraId="336BFF12" w14:textId="4CDA012D" w:rsidR="005C6805" w:rsidRPr="005635C8" w:rsidRDefault="008375B3" w:rsidP="0073713A">
            <w:pPr>
              <w:spacing w:after="0" w:line="240" w:lineRule="auto"/>
              <w:rPr>
                <w:rFonts w:cs="Arial"/>
                <w:b/>
                <w:bCs/>
                <w:color w:val="FFFFFF"/>
                <w:sz w:val="18"/>
                <w:szCs w:val="18"/>
              </w:rPr>
            </w:pPr>
            <w:r w:rsidRPr="005635C8">
              <w:rPr>
                <w:rFonts w:cs="Arial"/>
                <w:b/>
                <w:bCs/>
                <w:color w:val="FFFFFF"/>
                <w:sz w:val="18"/>
                <w:szCs w:val="18"/>
              </w:rPr>
              <w:t>Transaction</w:t>
            </w:r>
          </w:p>
        </w:tc>
        <w:tc>
          <w:tcPr>
            <w:tcW w:w="0" w:type="dxa"/>
            <w:hideMark/>
          </w:tcPr>
          <w:p w14:paraId="512521F7" w14:textId="2FDF40F3" w:rsidR="001D1DA3" w:rsidRPr="005635C8" w:rsidRDefault="001D1DA3" w:rsidP="0073713A">
            <w:pPr>
              <w:spacing w:after="0" w:line="240" w:lineRule="auto"/>
              <w:jc w:val="right"/>
              <w:rPr>
                <w:rFonts w:cs="Arial"/>
                <w:b/>
                <w:bCs/>
                <w:color w:val="FFFFFF"/>
                <w:sz w:val="18"/>
                <w:szCs w:val="18"/>
              </w:rPr>
            </w:pPr>
            <w:r w:rsidRPr="005635C8">
              <w:rPr>
                <w:rFonts w:cs="Arial"/>
                <w:b/>
                <w:bCs/>
                <w:color w:val="FFFFFF"/>
                <w:sz w:val="18"/>
                <w:szCs w:val="18"/>
              </w:rPr>
              <w:t>2022</w:t>
            </w:r>
            <w:r w:rsidR="00A62AB6">
              <w:rPr>
                <w:rFonts w:cs="Arial"/>
                <w:b/>
                <w:bCs/>
                <w:color w:val="FFFFFF"/>
                <w:sz w:val="18"/>
                <w:szCs w:val="18"/>
              </w:rPr>
              <w:t>–</w:t>
            </w:r>
            <w:r w:rsidRPr="005635C8">
              <w:rPr>
                <w:rFonts w:cs="Arial"/>
                <w:b/>
                <w:bCs/>
                <w:color w:val="FFFFFF"/>
                <w:sz w:val="18"/>
                <w:szCs w:val="18"/>
              </w:rPr>
              <w:t>23</w:t>
            </w:r>
          </w:p>
        </w:tc>
        <w:tc>
          <w:tcPr>
            <w:tcW w:w="0" w:type="dxa"/>
            <w:hideMark/>
          </w:tcPr>
          <w:p w14:paraId="1894E510" w14:textId="22CB80E6" w:rsidR="005C6805" w:rsidRPr="005635C8" w:rsidRDefault="001D1DA3" w:rsidP="0073713A">
            <w:pPr>
              <w:spacing w:after="0" w:line="240" w:lineRule="auto"/>
              <w:jc w:val="right"/>
              <w:rPr>
                <w:rFonts w:cs="Arial"/>
                <w:b/>
                <w:bCs/>
                <w:color w:val="FFFFFF"/>
                <w:sz w:val="18"/>
                <w:szCs w:val="18"/>
              </w:rPr>
            </w:pPr>
            <w:r w:rsidRPr="005635C8">
              <w:rPr>
                <w:rFonts w:cs="Arial"/>
                <w:b/>
                <w:bCs/>
                <w:color w:val="FFFFFF"/>
                <w:sz w:val="18"/>
                <w:szCs w:val="18"/>
              </w:rPr>
              <w:t>202</w:t>
            </w:r>
            <w:r w:rsidR="008375B3" w:rsidRPr="005635C8">
              <w:rPr>
                <w:rFonts w:cs="Arial"/>
                <w:b/>
                <w:bCs/>
                <w:color w:val="FFFFFF"/>
                <w:sz w:val="18"/>
                <w:szCs w:val="18"/>
              </w:rPr>
              <w:t>3</w:t>
            </w:r>
            <w:r w:rsidR="00A62AB6">
              <w:rPr>
                <w:rFonts w:cs="Arial"/>
                <w:b/>
                <w:bCs/>
                <w:color w:val="FFFFFF"/>
                <w:sz w:val="18"/>
                <w:szCs w:val="18"/>
              </w:rPr>
              <w:t>–</w:t>
            </w:r>
            <w:r w:rsidRPr="005635C8">
              <w:rPr>
                <w:rFonts w:cs="Arial"/>
                <w:b/>
                <w:bCs/>
                <w:color w:val="FFFFFF"/>
                <w:sz w:val="18"/>
                <w:szCs w:val="18"/>
              </w:rPr>
              <w:t>2</w:t>
            </w:r>
            <w:r w:rsidR="008375B3" w:rsidRPr="005635C8">
              <w:rPr>
                <w:rFonts w:cs="Arial"/>
                <w:b/>
                <w:bCs/>
                <w:color w:val="FFFFFF"/>
                <w:sz w:val="18"/>
                <w:szCs w:val="18"/>
              </w:rPr>
              <w:t>4</w:t>
            </w:r>
          </w:p>
        </w:tc>
      </w:tr>
      <w:tr w:rsidR="005C6805" w:rsidRPr="0057592C" w14:paraId="28D61D12" w14:textId="77777777" w:rsidTr="0073713A">
        <w:trPr>
          <w:cnfStyle w:val="000000100000" w:firstRow="0" w:lastRow="0" w:firstColumn="0" w:lastColumn="0" w:oddVBand="0" w:evenVBand="0" w:oddHBand="1" w:evenHBand="0" w:firstRowFirstColumn="0" w:firstRowLastColumn="0" w:lastRowFirstColumn="0" w:lastRowLastColumn="0"/>
          <w:trHeight w:val="300"/>
        </w:trPr>
        <w:tc>
          <w:tcPr>
            <w:tcW w:w="0" w:type="dxa"/>
            <w:noWrap/>
            <w:hideMark/>
          </w:tcPr>
          <w:p w14:paraId="4381DC33" w14:textId="742DB9B8" w:rsidR="005C6805" w:rsidRPr="005635C8" w:rsidRDefault="008375B3" w:rsidP="008D44CB">
            <w:pPr>
              <w:spacing w:after="0" w:line="240" w:lineRule="auto"/>
              <w:rPr>
                <w:rFonts w:cs="Arial"/>
                <w:color w:val="000000"/>
                <w:sz w:val="18"/>
                <w:szCs w:val="18"/>
              </w:rPr>
            </w:pPr>
            <w:r w:rsidRPr="000B5740">
              <w:rPr>
                <w:sz w:val="18"/>
                <w:szCs w:val="18"/>
              </w:rPr>
              <w:t>Allocation of FLR</w:t>
            </w:r>
            <w:r>
              <w:rPr>
                <w:sz w:val="18"/>
                <w:szCs w:val="18"/>
              </w:rPr>
              <w:t>N</w:t>
            </w:r>
            <w:r w:rsidR="00C73D5F">
              <w:rPr>
                <w:sz w:val="18"/>
                <w:szCs w:val="18"/>
              </w:rPr>
              <w:t>s</w:t>
            </w:r>
          </w:p>
        </w:tc>
        <w:tc>
          <w:tcPr>
            <w:tcW w:w="0" w:type="dxa"/>
            <w:noWrap/>
            <w:hideMark/>
          </w:tcPr>
          <w:p w14:paraId="67E96CD6" w14:textId="7D148BA0" w:rsidR="005C6805" w:rsidRPr="005635C8" w:rsidRDefault="005C6805" w:rsidP="0073713A">
            <w:pPr>
              <w:spacing w:after="0" w:line="240" w:lineRule="auto"/>
              <w:jc w:val="right"/>
              <w:rPr>
                <w:rFonts w:cs="Arial"/>
                <w:color w:val="000000"/>
                <w:sz w:val="18"/>
                <w:szCs w:val="18"/>
              </w:rPr>
            </w:pPr>
            <w:r w:rsidRPr="005635C8">
              <w:rPr>
                <w:rFonts w:cs="Arial"/>
                <w:color w:val="000000"/>
                <w:sz w:val="18"/>
                <w:szCs w:val="18"/>
              </w:rPr>
              <w:t>13,381</w:t>
            </w:r>
            <w:r w:rsidR="00094BE6">
              <w:rPr>
                <w:rFonts w:cs="Arial"/>
                <w:color w:val="000000"/>
                <w:sz w:val="18"/>
                <w:szCs w:val="18"/>
              </w:rPr>
              <w:t>*</w:t>
            </w:r>
          </w:p>
        </w:tc>
        <w:tc>
          <w:tcPr>
            <w:tcW w:w="0" w:type="dxa"/>
            <w:noWrap/>
            <w:hideMark/>
          </w:tcPr>
          <w:p w14:paraId="0101458F" w14:textId="193AB7CA" w:rsidR="005C6805" w:rsidRPr="005635C8" w:rsidRDefault="00D90B96" w:rsidP="0073713A">
            <w:pPr>
              <w:spacing w:after="0" w:line="240" w:lineRule="auto"/>
              <w:jc w:val="right"/>
              <w:rPr>
                <w:rFonts w:cs="Arial"/>
                <w:color w:val="000000"/>
                <w:sz w:val="18"/>
                <w:szCs w:val="18"/>
              </w:rPr>
            </w:pPr>
            <w:r>
              <w:rPr>
                <w:rFonts w:cs="Arial"/>
                <w:color w:val="000000"/>
                <w:sz w:val="18"/>
                <w:szCs w:val="18"/>
              </w:rPr>
              <w:t>7,360</w:t>
            </w:r>
          </w:p>
        </w:tc>
      </w:tr>
      <w:tr w:rsidR="00E21D30" w:rsidRPr="0057592C" w14:paraId="1FC49ECE" w14:textId="77777777" w:rsidTr="0073713A">
        <w:trPr>
          <w:cnfStyle w:val="000000010000" w:firstRow="0" w:lastRow="0" w:firstColumn="0" w:lastColumn="0" w:oddVBand="0" w:evenVBand="0" w:oddHBand="0" w:evenHBand="1" w:firstRowFirstColumn="0" w:firstRowLastColumn="0" w:lastRowFirstColumn="0" w:lastRowLastColumn="0"/>
          <w:trHeight w:val="300"/>
        </w:trPr>
        <w:tc>
          <w:tcPr>
            <w:tcW w:w="0" w:type="dxa"/>
            <w:noWrap/>
            <w:hideMark/>
          </w:tcPr>
          <w:p w14:paraId="39261621" w14:textId="45792509" w:rsidR="005C6805" w:rsidRPr="005635C8" w:rsidRDefault="005C6805" w:rsidP="008D44CB">
            <w:pPr>
              <w:spacing w:after="0" w:line="240" w:lineRule="auto"/>
              <w:rPr>
                <w:rFonts w:cs="Arial"/>
                <w:color w:val="000000"/>
                <w:sz w:val="18"/>
                <w:szCs w:val="18"/>
              </w:rPr>
            </w:pPr>
            <w:r w:rsidRPr="005635C8">
              <w:rPr>
                <w:rFonts w:cs="Arial"/>
                <w:color w:val="000000"/>
                <w:sz w:val="18"/>
                <w:szCs w:val="18"/>
              </w:rPr>
              <w:t xml:space="preserve">Registrations and </w:t>
            </w:r>
            <w:r w:rsidR="00124F8C">
              <w:rPr>
                <w:rFonts w:cs="Arial"/>
                <w:color w:val="000000"/>
                <w:sz w:val="18"/>
                <w:szCs w:val="18"/>
              </w:rPr>
              <w:t xml:space="preserve">all </w:t>
            </w:r>
            <w:r w:rsidRPr="005635C8">
              <w:rPr>
                <w:rFonts w:cs="Arial"/>
                <w:color w:val="000000"/>
                <w:sz w:val="18"/>
                <w:szCs w:val="18"/>
              </w:rPr>
              <w:t>other number allocations</w:t>
            </w:r>
          </w:p>
        </w:tc>
        <w:tc>
          <w:tcPr>
            <w:tcW w:w="0" w:type="dxa"/>
            <w:noWrap/>
            <w:hideMark/>
          </w:tcPr>
          <w:p w14:paraId="052BC61F" w14:textId="77777777" w:rsidR="005C6805" w:rsidRPr="005635C8" w:rsidRDefault="005C6805" w:rsidP="0073713A">
            <w:pPr>
              <w:spacing w:after="0" w:line="240" w:lineRule="auto"/>
              <w:jc w:val="right"/>
              <w:rPr>
                <w:rFonts w:cs="Arial"/>
                <w:color w:val="000000"/>
                <w:sz w:val="18"/>
                <w:szCs w:val="18"/>
              </w:rPr>
            </w:pPr>
            <w:r w:rsidRPr="005635C8">
              <w:rPr>
                <w:rFonts w:cs="Arial"/>
                <w:color w:val="000000"/>
                <w:sz w:val="18"/>
                <w:szCs w:val="18"/>
              </w:rPr>
              <w:t>2,106</w:t>
            </w:r>
          </w:p>
        </w:tc>
        <w:tc>
          <w:tcPr>
            <w:tcW w:w="0" w:type="dxa"/>
            <w:noWrap/>
            <w:hideMark/>
          </w:tcPr>
          <w:p w14:paraId="7B5C520C" w14:textId="7CA9823E" w:rsidR="005C6805" w:rsidRPr="005635C8" w:rsidRDefault="00B32521" w:rsidP="0073713A">
            <w:pPr>
              <w:spacing w:after="0" w:line="240" w:lineRule="auto"/>
              <w:jc w:val="right"/>
              <w:rPr>
                <w:rFonts w:cs="Arial"/>
                <w:color w:val="000000"/>
                <w:sz w:val="18"/>
                <w:szCs w:val="18"/>
              </w:rPr>
            </w:pPr>
            <w:r w:rsidRPr="005635C8">
              <w:rPr>
                <w:rFonts w:cs="Arial"/>
                <w:color w:val="000000"/>
                <w:sz w:val="18"/>
                <w:szCs w:val="18"/>
              </w:rPr>
              <w:t>2,</w:t>
            </w:r>
            <w:r w:rsidR="00D90B96">
              <w:rPr>
                <w:rFonts w:cs="Arial"/>
                <w:color w:val="000000"/>
                <w:sz w:val="18"/>
                <w:szCs w:val="18"/>
              </w:rPr>
              <w:t>021</w:t>
            </w:r>
          </w:p>
        </w:tc>
      </w:tr>
      <w:tr w:rsidR="005C6805" w:rsidRPr="0057592C" w14:paraId="1ED00521" w14:textId="77777777" w:rsidTr="0073713A">
        <w:trPr>
          <w:cnfStyle w:val="000000100000" w:firstRow="0" w:lastRow="0" w:firstColumn="0" w:lastColumn="0" w:oddVBand="0" w:evenVBand="0" w:oddHBand="1" w:evenHBand="0" w:firstRowFirstColumn="0" w:firstRowLastColumn="0" w:lastRowFirstColumn="0" w:lastRowLastColumn="0"/>
          <w:trHeight w:val="300"/>
        </w:trPr>
        <w:tc>
          <w:tcPr>
            <w:tcW w:w="0" w:type="dxa"/>
            <w:shd w:val="clear" w:color="auto" w:fill="404040" w:themeFill="text1" w:themeFillTint="BF"/>
            <w:noWrap/>
            <w:hideMark/>
          </w:tcPr>
          <w:p w14:paraId="550D15D5" w14:textId="77777777" w:rsidR="005C6805" w:rsidRPr="005635C8" w:rsidRDefault="005C6805" w:rsidP="008D44CB">
            <w:pPr>
              <w:spacing w:after="0" w:line="240" w:lineRule="auto"/>
              <w:rPr>
                <w:rFonts w:cs="Arial"/>
                <w:b/>
                <w:bCs/>
                <w:color w:val="FFFFFF" w:themeColor="background1"/>
                <w:sz w:val="18"/>
                <w:szCs w:val="18"/>
              </w:rPr>
            </w:pPr>
            <w:r w:rsidRPr="005635C8">
              <w:rPr>
                <w:rFonts w:cs="Arial"/>
                <w:b/>
                <w:bCs/>
                <w:color w:val="FFFFFF" w:themeColor="background1"/>
                <w:sz w:val="18"/>
                <w:szCs w:val="18"/>
              </w:rPr>
              <w:t>Total</w:t>
            </w:r>
          </w:p>
        </w:tc>
        <w:tc>
          <w:tcPr>
            <w:tcW w:w="0" w:type="dxa"/>
            <w:shd w:val="clear" w:color="auto" w:fill="404040" w:themeFill="text1" w:themeFillTint="BF"/>
            <w:noWrap/>
            <w:hideMark/>
          </w:tcPr>
          <w:p w14:paraId="720B73C7" w14:textId="77777777" w:rsidR="005C6805" w:rsidRPr="005635C8" w:rsidRDefault="005C6805" w:rsidP="0073713A">
            <w:pPr>
              <w:spacing w:after="0" w:line="240" w:lineRule="auto"/>
              <w:jc w:val="right"/>
              <w:rPr>
                <w:rFonts w:cs="Arial"/>
                <w:b/>
                <w:bCs/>
                <w:color w:val="FFFFFF" w:themeColor="background1"/>
                <w:sz w:val="18"/>
                <w:szCs w:val="18"/>
              </w:rPr>
            </w:pPr>
            <w:r w:rsidRPr="005635C8">
              <w:rPr>
                <w:rFonts w:cs="Arial"/>
                <w:b/>
                <w:bCs/>
                <w:color w:val="FFFFFF" w:themeColor="background1"/>
                <w:sz w:val="18"/>
                <w:szCs w:val="18"/>
              </w:rPr>
              <w:t>15,487</w:t>
            </w:r>
          </w:p>
        </w:tc>
        <w:tc>
          <w:tcPr>
            <w:tcW w:w="0" w:type="dxa"/>
            <w:shd w:val="clear" w:color="auto" w:fill="404040" w:themeFill="text1" w:themeFillTint="BF"/>
            <w:noWrap/>
            <w:hideMark/>
          </w:tcPr>
          <w:p w14:paraId="3C658C9C" w14:textId="0DF677C4" w:rsidR="005C6805" w:rsidRPr="005635C8" w:rsidRDefault="00D90B96" w:rsidP="0073713A">
            <w:pPr>
              <w:spacing w:after="0" w:line="240" w:lineRule="auto"/>
              <w:jc w:val="right"/>
              <w:rPr>
                <w:rFonts w:cs="Arial"/>
                <w:b/>
                <w:bCs/>
                <w:color w:val="FFFFFF" w:themeColor="background1"/>
                <w:sz w:val="18"/>
                <w:szCs w:val="18"/>
              </w:rPr>
            </w:pPr>
            <w:r>
              <w:rPr>
                <w:rFonts w:cs="Arial"/>
                <w:b/>
                <w:bCs/>
                <w:color w:val="FFFFFF" w:themeColor="background1"/>
                <w:sz w:val="18"/>
                <w:szCs w:val="18"/>
              </w:rPr>
              <w:t>9,382</w:t>
            </w:r>
          </w:p>
        </w:tc>
      </w:tr>
    </w:tbl>
    <w:p w14:paraId="07D77ACA" w14:textId="0AB7A522" w:rsidR="00BB3006" w:rsidRDefault="00094BE6" w:rsidP="0073713A">
      <w:pPr>
        <w:pStyle w:val="Tableorfigurenote"/>
      </w:pPr>
      <w:r w:rsidRPr="00172D5F">
        <w:t>*</w:t>
      </w:r>
      <w:r w:rsidR="00AD2258" w:rsidRPr="00172D5F">
        <w:t>To account for stockpiling, 25% of forecasted demand for 2022</w:t>
      </w:r>
      <w:r w:rsidR="00A62AB6">
        <w:t>–</w:t>
      </w:r>
      <w:r w:rsidR="00AD2258" w:rsidRPr="00172D5F">
        <w:t>23/2023</w:t>
      </w:r>
      <w:r w:rsidR="00A62AB6">
        <w:t>–</w:t>
      </w:r>
      <w:r w:rsidR="00AD2258" w:rsidRPr="00172D5F">
        <w:t xml:space="preserve">24 </w:t>
      </w:r>
      <w:r w:rsidR="00AD2258">
        <w:t xml:space="preserve">is </w:t>
      </w:r>
      <w:r w:rsidR="00AD2258" w:rsidRPr="00172D5F">
        <w:t>assumed to occur in the month before the proposed price change comes into effect</w:t>
      </w:r>
      <w:r w:rsidR="00A62AB6">
        <w:t>,</w:t>
      </w:r>
      <w:r w:rsidR="00AD2258" w:rsidRPr="00172D5F">
        <w:t xml:space="preserve"> </w:t>
      </w:r>
      <w:r w:rsidR="00357DFB" w:rsidRPr="00172D5F">
        <w:t>i.e.,</w:t>
      </w:r>
      <w:r w:rsidR="00AD2258" w:rsidRPr="00172D5F">
        <w:t xml:space="preserve"> August 2022</w:t>
      </w:r>
      <w:r w:rsidR="00172D5F">
        <w:t xml:space="preserve">. Source: </w:t>
      </w:r>
      <w:proofErr w:type="spellStart"/>
      <w:r w:rsidR="00172D5F">
        <w:t>HoustonKemp</w:t>
      </w:r>
      <w:proofErr w:type="spellEnd"/>
      <w:r w:rsidR="008D44CB">
        <w:t>.</w:t>
      </w:r>
    </w:p>
    <w:p w14:paraId="21A3BAFB" w14:textId="5CE39745" w:rsidR="00AD2258" w:rsidRDefault="000A77EC" w:rsidP="00172D5F">
      <w:pPr>
        <w:pStyle w:val="Heading2"/>
      </w:pPr>
      <w:bookmarkStart w:id="18" w:name="_Toc106697691"/>
      <w:r>
        <w:lastRenderedPageBreak/>
        <w:t>Calculating the new transaction fee</w:t>
      </w:r>
      <w:bookmarkEnd w:id="18"/>
    </w:p>
    <w:p w14:paraId="598009A2" w14:textId="4246C79E" w:rsidR="008D44CB" w:rsidRDefault="00BB769A" w:rsidP="0073713A">
      <w:pPr>
        <w:pStyle w:val="Paragraphbeforelist"/>
      </w:pPr>
      <w:r>
        <w:t xml:space="preserve">The appropriate transaction fee to achieve cumulative neutral cost recovery </w:t>
      </w:r>
      <w:r w:rsidR="00ED709A">
        <w:t xml:space="preserve">has been calculated by matching total revenues (historical and forecast) and total costs. Total costs to be recovered from transaction fees are summarised in Table 1 above. Total revenue is made up of </w:t>
      </w:r>
      <w:r w:rsidR="008D44CB">
        <w:t xml:space="preserve">3 </w:t>
      </w:r>
      <w:r w:rsidR="00ED709A">
        <w:t xml:space="preserve">parts: </w:t>
      </w:r>
    </w:p>
    <w:p w14:paraId="79E309E6" w14:textId="3064D011" w:rsidR="008D44CB" w:rsidRDefault="00ED709A" w:rsidP="008D44CB">
      <w:pPr>
        <w:pStyle w:val="Bulletlevel1"/>
      </w:pPr>
      <w:r>
        <w:t>historical revenue</w:t>
      </w:r>
    </w:p>
    <w:p w14:paraId="469571FA" w14:textId="52BDA8F0" w:rsidR="008D44CB" w:rsidRDefault="00ED709A" w:rsidP="008D44CB">
      <w:pPr>
        <w:pStyle w:val="Bulletlevel1"/>
      </w:pPr>
      <w:r>
        <w:t>forecast revenue for the period before the price chang</w:t>
      </w:r>
      <w:r w:rsidR="008D44CB">
        <w:t>e</w:t>
      </w:r>
    </w:p>
    <w:p w14:paraId="31274B6D" w14:textId="1EDAAFC2" w:rsidR="008D44CB" w:rsidRDefault="00ED709A" w:rsidP="0073713A">
      <w:pPr>
        <w:pStyle w:val="Bulletlevel1last"/>
      </w:pPr>
      <w:r>
        <w:t>forecast revenue for the period after the pr</w:t>
      </w:r>
      <w:r w:rsidR="001E7ED6">
        <w:t>i</w:t>
      </w:r>
      <w:r>
        <w:t>ce change</w:t>
      </w:r>
      <w:r w:rsidR="001E7ED6">
        <w:t xml:space="preserve">. </w:t>
      </w:r>
      <w:r>
        <w:t xml:space="preserve"> </w:t>
      </w:r>
    </w:p>
    <w:p w14:paraId="1E0A5723" w14:textId="112217CD" w:rsidR="000A77EC" w:rsidRPr="00172D5F" w:rsidRDefault="001E7ED6" w:rsidP="0073713A">
      <w:pPr>
        <w:pStyle w:val="Paragraph"/>
      </w:pPr>
      <w:r>
        <w:t xml:space="preserve">Table 4 sets out cost information from Table 1 with historical and forecast revenue to derive the transaction fee that will achieve neutral cost recovery. </w:t>
      </w:r>
      <w:r w:rsidR="008D44CB">
        <w:t xml:space="preserve">We </w:t>
      </w:r>
      <w:r w:rsidR="00EB3934" w:rsidRPr="00EB3934">
        <w:t>propose</w:t>
      </w:r>
      <w:r w:rsidR="002872C7">
        <w:t xml:space="preserve"> to</w:t>
      </w:r>
      <w:r w:rsidR="00EB3934" w:rsidRPr="00EB3934">
        <w:t xml:space="preserve"> round up the transaction fee as calculated in Table 4 to $57.</w:t>
      </w:r>
    </w:p>
    <w:p w14:paraId="192BE02C" w14:textId="51CFA8A4" w:rsidR="00A03690" w:rsidRPr="000B5740" w:rsidRDefault="00890E29" w:rsidP="0073713A">
      <w:pPr>
        <w:pStyle w:val="Tableheading"/>
      </w:pPr>
      <w:r>
        <w:t>Calculating the new fee</w:t>
      </w:r>
      <w:r w:rsidR="00A03690" w:rsidRPr="000B5740">
        <w:t xml:space="preserve">  </w:t>
      </w:r>
    </w:p>
    <w:tbl>
      <w:tblPr>
        <w:tblStyle w:val="ACMAtablestyle"/>
        <w:tblW w:w="8789" w:type="dxa"/>
        <w:tblLook w:val="04A0" w:firstRow="1" w:lastRow="0" w:firstColumn="1" w:lastColumn="0" w:noHBand="0" w:noVBand="1"/>
      </w:tblPr>
      <w:tblGrid>
        <w:gridCol w:w="4489"/>
        <w:gridCol w:w="4300"/>
      </w:tblGrid>
      <w:tr w:rsidR="00A03690" w:rsidRPr="00DB1E82" w14:paraId="67B44F18" w14:textId="77777777" w:rsidTr="0073713A">
        <w:trPr>
          <w:cnfStyle w:val="100000000000" w:firstRow="1" w:lastRow="0" w:firstColumn="0" w:lastColumn="0" w:oddVBand="0" w:evenVBand="0" w:oddHBand="0" w:evenHBand="0" w:firstRowFirstColumn="0" w:firstRowLastColumn="0" w:lastRowFirstColumn="0" w:lastRowLastColumn="0"/>
        </w:trPr>
        <w:tc>
          <w:tcPr>
            <w:tcW w:w="0" w:type="dxa"/>
          </w:tcPr>
          <w:p w14:paraId="4343C3BD" w14:textId="77777777" w:rsidR="00A03690" w:rsidRPr="000B5740" w:rsidRDefault="00A03690">
            <w:pPr>
              <w:keepNext/>
              <w:keepLines/>
              <w:spacing w:after="0"/>
              <w:rPr>
                <w:b/>
                <w:sz w:val="18"/>
                <w:szCs w:val="18"/>
              </w:rPr>
            </w:pPr>
            <w:r w:rsidRPr="000B5740">
              <w:rPr>
                <w:b/>
                <w:sz w:val="18"/>
                <w:szCs w:val="18"/>
              </w:rPr>
              <w:t>Cost</w:t>
            </w:r>
          </w:p>
        </w:tc>
        <w:tc>
          <w:tcPr>
            <w:tcW w:w="0" w:type="dxa"/>
          </w:tcPr>
          <w:p w14:paraId="19B8F5A4" w14:textId="77777777" w:rsidR="00A03690" w:rsidRPr="000B5740" w:rsidRDefault="00A03690" w:rsidP="0073713A">
            <w:pPr>
              <w:keepNext/>
              <w:keepLines/>
              <w:spacing w:after="0"/>
              <w:jc w:val="right"/>
              <w:rPr>
                <w:b/>
                <w:sz w:val="18"/>
                <w:szCs w:val="18"/>
              </w:rPr>
            </w:pPr>
            <w:r w:rsidRPr="000B5740">
              <w:rPr>
                <w:b/>
                <w:sz w:val="18"/>
                <w:szCs w:val="18"/>
              </w:rPr>
              <w:t>Amount</w:t>
            </w:r>
          </w:p>
        </w:tc>
      </w:tr>
      <w:tr w:rsidR="00A03690" w:rsidRPr="00DB1E82" w14:paraId="768D06EE"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0B4B469B" w14:textId="7E2A7EA7" w:rsidR="00A03690" w:rsidRPr="000B5740" w:rsidRDefault="00457CC4" w:rsidP="000B5740">
            <w:pPr>
              <w:keepNext/>
              <w:keepLines/>
              <w:spacing w:after="0" w:line="240" w:lineRule="auto"/>
              <w:rPr>
                <w:sz w:val="18"/>
                <w:szCs w:val="18"/>
              </w:rPr>
            </w:pPr>
            <w:r>
              <w:rPr>
                <w:sz w:val="18"/>
                <w:szCs w:val="18"/>
              </w:rPr>
              <w:t>Total costs to be recovered (from Table 1)</w:t>
            </w:r>
          </w:p>
        </w:tc>
        <w:tc>
          <w:tcPr>
            <w:tcW w:w="0" w:type="dxa"/>
          </w:tcPr>
          <w:p w14:paraId="61E05796" w14:textId="52105FAD" w:rsidR="00A03690" w:rsidRPr="000B5740" w:rsidRDefault="00A03690" w:rsidP="008D44CB">
            <w:pPr>
              <w:keepNext/>
              <w:keepLines/>
              <w:spacing w:after="0" w:line="240" w:lineRule="auto"/>
              <w:jc w:val="right"/>
              <w:rPr>
                <w:sz w:val="18"/>
                <w:szCs w:val="18"/>
              </w:rPr>
            </w:pPr>
            <w:r w:rsidRPr="000B5740">
              <w:rPr>
                <w:sz w:val="18"/>
                <w:szCs w:val="18"/>
              </w:rPr>
              <w:t>$</w:t>
            </w:r>
            <w:r w:rsidR="00D2067E">
              <w:rPr>
                <w:sz w:val="18"/>
                <w:szCs w:val="18"/>
              </w:rPr>
              <w:t>6,800,929</w:t>
            </w:r>
          </w:p>
        </w:tc>
      </w:tr>
      <w:tr w:rsidR="00A03690" w:rsidRPr="00DB1E82" w14:paraId="0FE0E001"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tcPr>
          <w:p w14:paraId="1B4FD8D1" w14:textId="04C797A4" w:rsidR="00A03690" w:rsidRPr="000B5740" w:rsidRDefault="00A03690" w:rsidP="000B5740">
            <w:pPr>
              <w:keepNext/>
              <w:keepLines/>
              <w:spacing w:after="0" w:line="240" w:lineRule="auto"/>
              <w:rPr>
                <w:sz w:val="18"/>
                <w:szCs w:val="18"/>
              </w:rPr>
            </w:pPr>
            <w:bookmarkStart w:id="19" w:name="_Hlk105607684"/>
            <w:r w:rsidRPr="000B5740">
              <w:rPr>
                <w:b/>
                <w:bCs/>
                <w:i/>
                <w:iCs/>
                <w:sz w:val="18"/>
                <w:szCs w:val="18"/>
              </w:rPr>
              <w:t>Less</w:t>
            </w:r>
            <w:r w:rsidRPr="000B5740">
              <w:rPr>
                <w:sz w:val="18"/>
                <w:szCs w:val="18"/>
              </w:rPr>
              <w:t xml:space="preserve"> </w:t>
            </w:r>
            <w:r w:rsidR="00BB769A">
              <w:rPr>
                <w:sz w:val="18"/>
                <w:szCs w:val="18"/>
              </w:rPr>
              <w:t>historical revenue already recovered</w:t>
            </w:r>
            <w:r w:rsidR="00D2067E" w:rsidRPr="00D2067E">
              <w:rPr>
                <w:sz w:val="18"/>
                <w:szCs w:val="18"/>
              </w:rPr>
              <w:t xml:space="preserve">, August 2015 to </w:t>
            </w:r>
            <w:r w:rsidR="004C6412">
              <w:rPr>
                <w:sz w:val="18"/>
                <w:szCs w:val="18"/>
              </w:rPr>
              <w:t>April</w:t>
            </w:r>
            <w:r w:rsidR="00D2067E" w:rsidRPr="00D2067E">
              <w:rPr>
                <w:sz w:val="18"/>
                <w:szCs w:val="18"/>
              </w:rPr>
              <w:t xml:space="preserve"> 2022</w:t>
            </w:r>
          </w:p>
        </w:tc>
        <w:tc>
          <w:tcPr>
            <w:tcW w:w="0" w:type="dxa"/>
          </w:tcPr>
          <w:p w14:paraId="613D833F" w14:textId="40CE848B" w:rsidR="00A03690" w:rsidRPr="000B5740" w:rsidRDefault="00A03690" w:rsidP="008D44CB">
            <w:pPr>
              <w:keepNext/>
              <w:keepLines/>
              <w:spacing w:after="0" w:line="240" w:lineRule="auto"/>
              <w:jc w:val="right"/>
              <w:rPr>
                <w:sz w:val="18"/>
                <w:szCs w:val="18"/>
              </w:rPr>
            </w:pPr>
            <w:bookmarkStart w:id="20" w:name="_Hlk105606774"/>
            <w:r w:rsidRPr="000B5740">
              <w:rPr>
                <w:sz w:val="18"/>
                <w:szCs w:val="18"/>
              </w:rPr>
              <w:t>($</w:t>
            </w:r>
            <w:r w:rsidR="00754844">
              <w:rPr>
                <w:sz w:val="18"/>
                <w:szCs w:val="18"/>
              </w:rPr>
              <w:t>5,412,382</w:t>
            </w:r>
            <w:bookmarkEnd w:id="20"/>
            <w:r w:rsidRPr="000B5740">
              <w:rPr>
                <w:sz w:val="18"/>
                <w:szCs w:val="18"/>
              </w:rPr>
              <w:t>)</w:t>
            </w:r>
          </w:p>
        </w:tc>
      </w:tr>
      <w:tr w:rsidR="00A03690" w:rsidRPr="00DB1E82" w14:paraId="4E5DBF92"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40FE5138" w14:textId="261A274C" w:rsidR="00A03690" w:rsidRPr="000B5740" w:rsidRDefault="00A03690" w:rsidP="000B5740">
            <w:pPr>
              <w:keepNext/>
              <w:keepLines/>
              <w:spacing w:after="0" w:line="240" w:lineRule="auto"/>
              <w:rPr>
                <w:b/>
                <w:i/>
                <w:sz w:val="18"/>
                <w:szCs w:val="18"/>
              </w:rPr>
            </w:pPr>
            <w:r w:rsidRPr="000B5740">
              <w:rPr>
                <w:b/>
                <w:i/>
                <w:sz w:val="18"/>
                <w:szCs w:val="18"/>
              </w:rPr>
              <w:t>Less</w:t>
            </w:r>
            <w:r w:rsidRPr="000B5740">
              <w:rPr>
                <w:sz w:val="18"/>
                <w:szCs w:val="18"/>
              </w:rPr>
              <w:t xml:space="preserve"> </w:t>
            </w:r>
            <w:r w:rsidR="00754844">
              <w:rPr>
                <w:sz w:val="18"/>
                <w:szCs w:val="18"/>
              </w:rPr>
              <w:t xml:space="preserve">estimated </w:t>
            </w:r>
            <w:r w:rsidR="00754844" w:rsidRPr="00754844">
              <w:rPr>
                <w:sz w:val="18"/>
                <w:szCs w:val="18"/>
              </w:rPr>
              <w:t xml:space="preserve">revenue in the period before the proposed price change </w:t>
            </w:r>
            <w:r w:rsidR="002504E3">
              <w:rPr>
                <w:sz w:val="18"/>
                <w:szCs w:val="18"/>
              </w:rPr>
              <w:t>(</w:t>
            </w:r>
            <w:r w:rsidR="004C6412">
              <w:rPr>
                <w:sz w:val="18"/>
                <w:szCs w:val="18"/>
              </w:rPr>
              <w:t>May</w:t>
            </w:r>
            <w:r w:rsidR="00754844" w:rsidRPr="00754844">
              <w:rPr>
                <w:sz w:val="18"/>
                <w:szCs w:val="18"/>
              </w:rPr>
              <w:t xml:space="preserve"> 2022 to September 2022</w:t>
            </w:r>
            <w:r w:rsidR="002504E3">
              <w:rPr>
                <w:sz w:val="18"/>
                <w:szCs w:val="18"/>
              </w:rPr>
              <w:t>)</w:t>
            </w:r>
          </w:p>
        </w:tc>
        <w:tc>
          <w:tcPr>
            <w:tcW w:w="0" w:type="dxa"/>
          </w:tcPr>
          <w:p w14:paraId="777E966D" w14:textId="484AA189" w:rsidR="00A03690" w:rsidRPr="000B5740" w:rsidRDefault="00A03690" w:rsidP="008D44CB">
            <w:pPr>
              <w:keepNext/>
              <w:keepLines/>
              <w:spacing w:after="0" w:line="240" w:lineRule="auto"/>
              <w:jc w:val="right"/>
              <w:rPr>
                <w:sz w:val="18"/>
                <w:szCs w:val="18"/>
              </w:rPr>
            </w:pPr>
            <w:r w:rsidRPr="000B5740">
              <w:rPr>
                <w:sz w:val="18"/>
                <w:szCs w:val="18"/>
              </w:rPr>
              <w:t>($</w:t>
            </w:r>
            <w:r w:rsidR="002504E3" w:rsidRPr="002504E3">
              <w:rPr>
                <w:sz w:val="18"/>
                <w:szCs w:val="18"/>
              </w:rPr>
              <w:t>310,706</w:t>
            </w:r>
            <w:r w:rsidRPr="000B5740">
              <w:rPr>
                <w:sz w:val="18"/>
                <w:szCs w:val="18"/>
              </w:rPr>
              <w:t>)</w:t>
            </w:r>
          </w:p>
        </w:tc>
      </w:tr>
      <w:bookmarkEnd w:id="19"/>
      <w:tr w:rsidR="00A03690" w:rsidRPr="00DB1E82" w14:paraId="4D3B59BF"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tcPr>
          <w:p w14:paraId="7D8B1422" w14:textId="49758F5C" w:rsidR="00A03690" w:rsidRPr="00326B2B" w:rsidRDefault="00326B2B" w:rsidP="000B5740">
            <w:pPr>
              <w:keepNext/>
              <w:keepLines/>
              <w:spacing w:after="0" w:line="240" w:lineRule="auto"/>
              <w:rPr>
                <w:sz w:val="18"/>
                <w:szCs w:val="18"/>
              </w:rPr>
            </w:pPr>
            <w:r w:rsidRPr="005635C8">
              <w:rPr>
                <w:b/>
                <w:bCs/>
                <w:i/>
                <w:iCs/>
                <w:sz w:val="18"/>
                <w:szCs w:val="18"/>
              </w:rPr>
              <w:t>Total</w:t>
            </w:r>
            <w:r>
              <w:rPr>
                <w:sz w:val="18"/>
                <w:szCs w:val="18"/>
              </w:rPr>
              <w:t xml:space="preserve"> remaining costs to</w:t>
            </w:r>
            <w:r w:rsidR="00ED6336" w:rsidRPr="005635C8">
              <w:rPr>
                <w:sz w:val="18"/>
                <w:szCs w:val="18"/>
              </w:rPr>
              <w:t xml:space="preserve"> recover </w:t>
            </w:r>
            <w:r w:rsidR="00473771">
              <w:rPr>
                <w:sz w:val="18"/>
                <w:szCs w:val="18"/>
              </w:rPr>
              <w:t>by end of the contract in 2024</w:t>
            </w:r>
          </w:p>
        </w:tc>
        <w:tc>
          <w:tcPr>
            <w:tcW w:w="0" w:type="dxa"/>
          </w:tcPr>
          <w:p w14:paraId="5B906339" w14:textId="26222E8E" w:rsidR="00A03690" w:rsidRPr="000B5740" w:rsidRDefault="00A03690" w:rsidP="008D44CB">
            <w:pPr>
              <w:keepNext/>
              <w:keepLines/>
              <w:spacing w:after="0" w:line="240" w:lineRule="auto"/>
              <w:jc w:val="right"/>
              <w:rPr>
                <w:sz w:val="18"/>
                <w:szCs w:val="18"/>
              </w:rPr>
            </w:pPr>
            <w:r w:rsidRPr="000B5740">
              <w:rPr>
                <w:sz w:val="18"/>
                <w:szCs w:val="18"/>
              </w:rPr>
              <w:t>$</w:t>
            </w:r>
            <w:r w:rsidR="00473771" w:rsidRPr="00473771">
              <w:rPr>
                <w:sz w:val="18"/>
                <w:szCs w:val="18"/>
              </w:rPr>
              <w:t>1,077,841</w:t>
            </w:r>
          </w:p>
        </w:tc>
      </w:tr>
      <w:tr w:rsidR="00A03690" w:rsidRPr="00DB1E82" w14:paraId="6D17E08A"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78EEDEA2" w14:textId="7D540640" w:rsidR="00A03690" w:rsidRPr="000B5740" w:rsidRDefault="00445FF8" w:rsidP="000B5740">
            <w:pPr>
              <w:keepNext/>
              <w:keepLines/>
              <w:spacing w:after="0" w:line="240" w:lineRule="auto"/>
              <w:rPr>
                <w:sz w:val="18"/>
                <w:szCs w:val="18"/>
              </w:rPr>
            </w:pPr>
            <w:r>
              <w:rPr>
                <w:b/>
                <w:bCs/>
                <w:i/>
                <w:iCs/>
                <w:sz w:val="18"/>
                <w:szCs w:val="18"/>
              </w:rPr>
              <w:t xml:space="preserve">Total </w:t>
            </w:r>
            <w:r w:rsidRPr="005635C8">
              <w:rPr>
                <w:sz w:val="18"/>
                <w:szCs w:val="18"/>
              </w:rPr>
              <w:t>forecasted transaction</w:t>
            </w:r>
            <w:r>
              <w:rPr>
                <w:sz w:val="18"/>
                <w:szCs w:val="18"/>
              </w:rPr>
              <w:t>s</w:t>
            </w:r>
            <w:r>
              <w:rPr>
                <w:b/>
                <w:bCs/>
                <w:i/>
                <w:iCs/>
                <w:sz w:val="18"/>
                <w:szCs w:val="18"/>
              </w:rPr>
              <w:t xml:space="preserve"> </w:t>
            </w:r>
            <w:r w:rsidR="001158BF">
              <w:rPr>
                <w:sz w:val="18"/>
                <w:szCs w:val="18"/>
              </w:rPr>
              <w:t>from Septem</w:t>
            </w:r>
            <w:r w:rsidR="0015705C">
              <w:rPr>
                <w:sz w:val="18"/>
                <w:szCs w:val="18"/>
              </w:rPr>
              <w:t>ber 2022 to the end of the contract in 2024</w:t>
            </w:r>
          </w:p>
        </w:tc>
        <w:tc>
          <w:tcPr>
            <w:tcW w:w="0" w:type="dxa"/>
          </w:tcPr>
          <w:p w14:paraId="7EDFDC6B" w14:textId="43DEE936" w:rsidR="00A03690" w:rsidRPr="000B5740" w:rsidRDefault="00492A64" w:rsidP="008D44CB">
            <w:pPr>
              <w:keepNext/>
              <w:keepLines/>
              <w:spacing w:after="0" w:line="240" w:lineRule="auto"/>
              <w:jc w:val="right"/>
              <w:rPr>
                <w:sz w:val="18"/>
                <w:szCs w:val="18"/>
              </w:rPr>
            </w:pPr>
            <w:r w:rsidRPr="00492A64">
              <w:rPr>
                <w:sz w:val="18"/>
                <w:szCs w:val="18"/>
              </w:rPr>
              <w:t>19,086</w:t>
            </w:r>
          </w:p>
        </w:tc>
      </w:tr>
      <w:tr w:rsidR="00A20EC4" w:rsidRPr="004208DF" w14:paraId="22BF83C0"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shd w:val="clear" w:color="auto" w:fill="404040" w:themeFill="text1" w:themeFillTint="BF"/>
          </w:tcPr>
          <w:p w14:paraId="0F026207" w14:textId="19155D14" w:rsidR="00A20EC4" w:rsidRPr="005635C8" w:rsidRDefault="00B321FB" w:rsidP="000B5740">
            <w:pPr>
              <w:keepNext/>
              <w:keepLines/>
              <w:spacing w:after="0" w:line="240" w:lineRule="auto"/>
              <w:rPr>
                <w:b/>
                <w:i/>
                <w:iCs/>
                <w:color w:val="FFFFFF" w:themeColor="background1"/>
                <w:sz w:val="18"/>
                <w:szCs w:val="18"/>
              </w:rPr>
            </w:pPr>
            <w:r w:rsidRPr="005635C8">
              <w:rPr>
                <w:b/>
                <w:i/>
                <w:iCs/>
                <w:color w:val="FFFFFF" w:themeColor="background1"/>
                <w:sz w:val="18"/>
                <w:szCs w:val="18"/>
              </w:rPr>
              <w:t>Divide remaining costs to be recovered by forecasted transactions</w:t>
            </w:r>
          </w:p>
        </w:tc>
        <w:tc>
          <w:tcPr>
            <w:tcW w:w="0" w:type="dxa"/>
            <w:shd w:val="clear" w:color="auto" w:fill="404040" w:themeFill="text1" w:themeFillTint="BF"/>
          </w:tcPr>
          <w:p w14:paraId="697759DE" w14:textId="77777777" w:rsidR="00A20EC4" w:rsidRPr="000B5740" w:rsidRDefault="00A20EC4" w:rsidP="008D44CB">
            <w:pPr>
              <w:keepNext/>
              <w:keepLines/>
              <w:spacing w:after="0" w:line="240" w:lineRule="auto"/>
              <w:jc w:val="right"/>
              <w:rPr>
                <w:b/>
                <w:color w:val="FFFFFF" w:themeColor="background1"/>
                <w:sz w:val="18"/>
                <w:szCs w:val="18"/>
              </w:rPr>
            </w:pPr>
          </w:p>
        </w:tc>
      </w:tr>
      <w:tr w:rsidR="00A03690" w:rsidRPr="004208DF" w14:paraId="4631D6C8"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shd w:val="clear" w:color="auto" w:fill="404040" w:themeFill="text1" w:themeFillTint="BF"/>
          </w:tcPr>
          <w:p w14:paraId="21027CFD" w14:textId="1495FA96" w:rsidR="00A03690" w:rsidRPr="000B5740" w:rsidRDefault="006047D1" w:rsidP="000B5740">
            <w:pPr>
              <w:keepNext/>
              <w:keepLines/>
              <w:spacing w:after="0" w:line="240" w:lineRule="auto"/>
              <w:rPr>
                <w:b/>
                <w:color w:val="FFFFFF" w:themeColor="background1"/>
                <w:sz w:val="18"/>
                <w:szCs w:val="18"/>
              </w:rPr>
            </w:pPr>
            <w:r>
              <w:rPr>
                <w:b/>
                <w:color w:val="FFFFFF" w:themeColor="background1"/>
                <w:sz w:val="18"/>
                <w:szCs w:val="18"/>
              </w:rPr>
              <w:t>New</w:t>
            </w:r>
            <w:r w:rsidR="009103D2" w:rsidRPr="009103D2">
              <w:rPr>
                <w:b/>
                <w:color w:val="FFFFFF" w:themeColor="background1"/>
                <w:sz w:val="18"/>
                <w:szCs w:val="18"/>
              </w:rPr>
              <w:t xml:space="preserve"> transaction fee </w:t>
            </w:r>
          </w:p>
        </w:tc>
        <w:tc>
          <w:tcPr>
            <w:tcW w:w="0" w:type="dxa"/>
            <w:shd w:val="clear" w:color="auto" w:fill="404040" w:themeFill="text1" w:themeFillTint="BF"/>
          </w:tcPr>
          <w:p w14:paraId="7781B60C" w14:textId="6F8103A2" w:rsidR="00A03690" w:rsidRPr="000B5740" w:rsidRDefault="00A03690" w:rsidP="008D44CB">
            <w:pPr>
              <w:keepNext/>
              <w:keepLines/>
              <w:spacing w:after="0" w:line="240" w:lineRule="auto"/>
              <w:jc w:val="right"/>
              <w:rPr>
                <w:b/>
                <w:color w:val="FFFFFF" w:themeColor="background1"/>
                <w:sz w:val="18"/>
                <w:szCs w:val="18"/>
              </w:rPr>
            </w:pPr>
            <w:r w:rsidRPr="000B5740">
              <w:rPr>
                <w:b/>
                <w:color w:val="FFFFFF" w:themeColor="background1"/>
                <w:sz w:val="18"/>
                <w:szCs w:val="18"/>
              </w:rPr>
              <w:t>$</w:t>
            </w:r>
            <w:r w:rsidR="009103D2">
              <w:rPr>
                <w:b/>
                <w:color w:val="FFFFFF" w:themeColor="background1"/>
                <w:sz w:val="18"/>
                <w:szCs w:val="18"/>
              </w:rPr>
              <w:t>56.47</w:t>
            </w:r>
          </w:p>
        </w:tc>
      </w:tr>
    </w:tbl>
    <w:p w14:paraId="73F0FD3C" w14:textId="77777777" w:rsidR="00682A22" w:rsidRDefault="00682A22" w:rsidP="005635C8">
      <w:pPr>
        <w:spacing w:after="0"/>
      </w:pPr>
    </w:p>
    <w:p w14:paraId="637B88A3" w14:textId="286FEA4F" w:rsidR="00EB3934" w:rsidRDefault="00EB3934" w:rsidP="005C6805">
      <w:r>
        <w:t>The combination of the forecast transaction demand and proposed increase in transaction fee to $57 results in a path to a neutral cumulative cost recovery position by the end of July 2024</w:t>
      </w:r>
      <w:r w:rsidR="008D44CB">
        <w:t>,</w:t>
      </w:r>
      <w:r>
        <w:t xml:space="preserve"> as illustrated in Figure 3. </w:t>
      </w:r>
    </w:p>
    <w:p w14:paraId="659AA0AE" w14:textId="23D476F8" w:rsidR="00EB3934" w:rsidRPr="00EB3934" w:rsidRDefault="00EB3934" w:rsidP="0073713A">
      <w:pPr>
        <w:pStyle w:val="Figureheading"/>
      </w:pPr>
      <w:r w:rsidRPr="00EB3934">
        <w:t>Cumulative cost recovery position</w:t>
      </w:r>
    </w:p>
    <w:p w14:paraId="4B101526" w14:textId="76AEE6B9" w:rsidR="00EB3934" w:rsidRDefault="00AF5CEA" w:rsidP="00AF5CEA">
      <w:pPr>
        <w:spacing w:after="0"/>
      </w:pPr>
      <w:r>
        <w:rPr>
          <w:noProof/>
        </w:rPr>
        <w:drawing>
          <wp:inline distT="0" distB="0" distL="0" distR="0" wp14:anchorId="2ED62F22" wp14:editId="2AE946EA">
            <wp:extent cx="5153891" cy="2809636"/>
            <wp:effectExtent l="0" t="0" r="8890" b="0"/>
            <wp:docPr id="9" name="Picture 9" descr="Chart showing cumulative cost recovery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howing cumulative cost recovery position"/>
                    <pic:cNvPicPr/>
                  </pic:nvPicPr>
                  <pic:blipFill>
                    <a:blip r:embed="rId33"/>
                    <a:stretch>
                      <a:fillRect/>
                    </a:stretch>
                  </pic:blipFill>
                  <pic:spPr>
                    <a:xfrm>
                      <a:off x="0" y="0"/>
                      <a:ext cx="5167108" cy="2816841"/>
                    </a:xfrm>
                    <a:prstGeom prst="rect">
                      <a:avLst/>
                    </a:prstGeom>
                  </pic:spPr>
                </pic:pic>
              </a:graphicData>
            </a:graphic>
          </wp:inline>
        </w:drawing>
      </w:r>
    </w:p>
    <w:p w14:paraId="2C2D8CFA" w14:textId="7A172AC4" w:rsidR="00EB3934" w:rsidRPr="00EB3934" w:rsidRDefault="00EB3934" w:rsidP="0073713A">
      <w:pPr>
        <w:pStyle w:val="Tableorfigurenote"/>
      </w:pPr>
      <w:r w:rsidRPr="00EB3934">
        <w:t xml:space="preserve">Source: </w:t>
      </w:r>
      <w:proofErr w:type="spellStart"/>
      <w:r w:rsidRPr="00EB3934">
        <w:t>HoustonKemp</w:t>
      </w:r>
      <w:proofErr w:type="spellEnd"/>
      <w:r w:rsidR="008D44CB">
        <w:t>.</w:t>
      </w:r>
    </w:p>
    <w:p w14:paraId="75234F07" w14:textId="7FA365ED" w:rsidR="00EA0E62" w:rsidRDefault="00F758BC" w:rsidP="005635C8">
      <w:pPr>
        <w:pStyle w:val="Heading1"/>
      </w:pPr>
      <w:bookmarkStart w:id="21" w:name="_Toc106697692"/>
      <w:r>
        <w:lastRenderedPageBreak/>
        <w:t xml:space="preserve">Financial </w:t>
      </w:r>
      <w:r w:rsidR="00AE25C3">
        <w:t>estimates</w:t>
      </w:r>
      <w:bookmarkEnd w:id="21"/>
    </w:p>
    <w:p w14:paraId="5D0D234F" w14:textId="625D9D9F" w:rsidR="00AE25C3" w:rsidRDefault="00AE25C3" w:rsidP="00AE25C3">
      <w:pPr>
        <w:pStyle w:val="Paragraph"/>
        <w:rPr>
          <w:rFonts w:eastAsia="SimSun"/>
        </w:rPr>
      </w:pPr>
      <w:bookmarkStart w:id="22" w:name="_Hlk76927110"/>
      <w:r>
        <w:rPr>
          <w:rFonts w:eastAsia="SimSun"/>
        </w:rPr>
        <w:t xml:space="preserve">Financial </w:t>
      </w:r>
      <w:r w:rsidR="00570AFB">
        <w:rPr>
          <w:rFonts w:eastAsia="SimSun"/>
        </w:rPr>
        <w:t>performance</w:t>
      </w:r>
      <w:r>
        <w:rPr>
          <w:rFonts w:eastAsia="SimSun"/>
        </w:rPr>
        <w:t xml:space="preserve"> for the financial years 2019</w:t>
      </w:r>
      <w:r w:rsidRPr="005C2920">
        <w:rPr>
          <w:rFonts w:eastAsiaTheme="minorHAnsi"/>
          <w:b/>
          <w:sz w:val="18"/>
          <w:szCs w:val="18"/>
          <w:lang w:eastAsia="en-US"/>
        </w:rPr>
        <w:t>–</w:t>
      </w:r>
      <w:r>
        <w:rPr>
          <w:rFonts w:eastAsia="SimSun"/>
        </w:rPr>
        <w:t>20, 2020</w:t>
      </w:r>
      <w:r w:rsidRPr="005C2920">
        <w:rPr>
          <w:rFonts w:eastAsiaTheme="minorHAnsi"/>
          <w:b/>
          <w:sz w:val="18"/>
          <w:szCs w:val="18"/>
          <w:lang w:eastAsia="en-US"/>
        </w:rPr>
        <w:t>–</w:t>
      </w:r>
      <w:r>
        <w:rPr>
          <w:rFonts w:eastAsia="SimSun"/>
        </w:rPr>
        <w:t>21 and</w:t>
      </w:r>
      <w:r w:rsidR="00570AFB">
        <w:rPr>
          <w:rFonts w:eastAsia="SimSun"/>
        </w:rPr>
        <w:t xml:space="preserve"> estimates for </w:t>
      </w:r>
      <w:r w:rsidR="00E667A5">
        <w:rPr>
          <w:rFonts w:eastAsia="SimSun"/>
        </w:rPr>
        <w:t>2021</w:t>
      </w:r>
      <w:r w:rsidR="008D44CB">
        <w:rPr>
          <w:rFonts w:eastAsia="SimSun"/>
        </w:rPr>
        <w:t>–</w:t>
      </w:r>
      <w:r w:rsidR="00E667A5">
        <w:rPr>
          <w:rFonts w:eastAsia="SimSun"/>
        </w:rPr>
        <w:t>22, 2022</w:t>
      </w:r>
      <w:r w:rsidR="008D44CB">
        <w:rPr>
          <w:rFonts w:eastAsia="SimSun"/>
        </w:rPr>
        <w:t>–</w:t>
      </w:r>
      <w:r w:rsidR="00E667A5">
        <w:rPr>
          <w:rFonts w:eastAsia="SimSun"/>
        </w:rPr>
        <w:t>23 and 2023</w:t>
      </w:r>
      <w:r w:rsidR="008D44CB">
        <w:rPr>
          <w:rFonts w:eastAsia="SimSun"/>
        </w:rPr>
        <w:t>–</w:t>
      </w:r>
      <w:r w:rsidR="00E667A5">
        <w:rPr>
          <w:rFonts w:eastAsia="SimSun"/>
        </w:rPr>
        <w:t xml:space="preserve">24 </w:t>
      </w:r>
      <w:proofErr w:type="gramStart"/>
      <w:r>
        <w:rPr>
          <w:rFonts w:eastAsia="SimSun"/>
        </w:rPr>
        <w:t>are</w:t>
      </w:r>
      <w:proofErr w:type="gramEnd"/>
      <w:r>
        <w:rPr>
          <w:rFonts w:eastAsia="SimSun"/>
        </w:rPr>
        <w:t xml:space="preserve"> provided below.</w:t>
      </w:r>
    </w:p>
    <w:p w14:paraId="621D68E0" w14:textId="3C74CC2E" w:rsidR="00AE25C3" w:rsidRPr="005635C8" w:rsidRDefault="00AE25C3" w:rsidP="005635C8">
      <w:pPr>
        <w:pStyle w:val="Paragraph"/>
        <w:rPr>
          <w:rFonts w:eastAsia="SimSun"/>
        </w:rPr>
      </w:pPr>
      <w:r w:rsidRPr="00DF0AF3">
        <w:rPr>
          <w:rFonts w:eastAsia="SimSun"/>
        </w:rPr>
        <w:t xml:space="preserve">Table </w:t>
      </w:r>
      <w:r w:rsidR="00570AFB">
        <w:rPr>
          <w:rFonts w:eastAsia="SimSun"/>
        </w:rPr>
        <w:t>5</w:t>
      </w:r>
      <w:r w:rsidRPr="00DF0AF3">
        <w:rPr>
          <w:rFonts w:eastAsia="SimSun"/>
        </w:rPr>
        <w:t xml:space="preserve"> sets out financial estimates for </w:t>
      </w:r>
      <w:r w:rsidR="0098250F">
        <w:rPr>
          <w:rFonts w:eastAsia="SimSun"/>
        </w:rPr>
        <w:t>costs</w:t>
      </w:r>
      <w:r w:rsidRPr="00DF0AF3">
        <w:rPr>
          <w:rFonts w:eastAsia="SimSun"/>
        </w:rPr>
        <w:t xml:space="preserve"> and revenues based on no change in fees. Table </w:t>
      </w:r>
      <w:r w:rsidR="00570AFB">
        <w:rPr>
          <w:rFonts w:eastAsia="SimSun"/>
        </w:rPr>
        <w:t>6</w:t>
      </w:r>
      <w:r w:rsidRPr="00DF0AF3">
        <w:rPr>
          <w:rFonts w:eastAsia="SimSun"/>
        </w:rPr>
        <w:t xml:space="preserve"> sets out the estimates based on </w:t>
      </w:r>
      <w:r w:rsidR="00D52C48">
        <w:rPr>
          <w:rFonts w:eastAsia="SimSun"/>
        </w:rPr>
        <w:t xml:space="preserve">an increase in transaction fee from $35 to $57 from 1 </w:t>
      </w:r>
      <w:r w:rsidR="000941D1">
        <w:rPr>
          <w:rFonts w:eastAsia="SimSun"/>
        </w:rPr>
        <w:t>September 2022.</w:t>
      </w:r>
    </w:p>
    <w:p w14:paraId="2EB9EFB4" w14:textId="21E55702" w:rsidR="00F6376B" w:rsidRPr="00DF0AF3" w:rsidRDefault="003044DB" w:rsidP="0073713A">
      <w:pPr>
        <w:pStyle w:val="Tableheading"/>
      </w:pPr>
      <w:r>
        <w:t>Cost</w:t>
      </w:r>
      <w:r w:rsidR="00F6376B" w:rsidRPr="00DF0AF3">
        <w:t xml:space="preserve"> and </w:t>
      </w:r>
      <w:r w:rsidR="00F6376B">
        <w:t>r</w:t>
      </w:r>
      <w:r w:rsidR="00F6376B" w:rsidRPr="00DF0AF3">
        <w:t>evenue estimates</w:t>
      </w:r>
      <w:r w:rsidR="00F6376B" w:rsidRPr="00DF0AF3">
        <w:rPr>
          <w:rFonts w:eastAsia="SimSun"/>
        </w:rPr>
        <w:t xml:space="preserve"> – no </w:t>
      </w:r>
      <w:r w:rsidR="001C4531">
        <w:rPr>
          <w:rFonts w:eastAsia="SimSun"/>
        </w:rPr>
        <w:t xml:space="preserve">change </w:t>
      </w:r>
      <w:r w:rsidR="000C5DD7">
        <w:rPr>
          <w:rFonts w:eastAsia="SimSun"/>
        </w:rPr>
        <w:t>in transaction</w:t>
      </w:r>
      <w:r w:rsidR="00F6376B" w:rsidRPr="00DF0AF3">
        <w:rPr>
          <w:rFonts w:eastAsia="SimSun"/>
        </w:rPr>
        <w:t xml:space="preserve"> fees</w:t>
      </w:r>
    </w:p>
    <w:tbl>
      <w:tblPr>
        <w:tblStyle w:val="ACMAtablestyle"/>
        <w:tblW w:w="9077" w:type="dxa"/>
        <w:tblLook w:val="04A0" w:firstRow="1" w:lastRow="0" w:firstColumn="1" w:lastColumn="0" w:noHBand="0" w:noVBand="1"/>
      </w:tblPr>
      <w:tblGrid>
        <w:gridCol w:w="1938"/>
        <w:gridCol w:w="1188"/>
        <w:gridCol w:w="1188"/>
        <w:gridCol w:w="1546"/>
        <w:gridCol w:w="1546"/>
        <w:gridCol w:w="1671"/>
      </w:tblGrid>
      <w:tr w:rsidR="00124CB2" w:rsidRPr="007F28C2" w14:paraId="4B34D7DE" w14:textId="77777777" w:rsidTr="0073713A">
        <w:trPr>
          <w:cnfStyle w:val="100000000000" w:firstRow="1" w:lastRow="0" w:firstColumn="0" w:lastColumn="0" w:oddVBand="0" w:evenVBand="0" w:oddHBand="0" w:evenHBand="0" w:firstRowFirstColumn="0" w:firstRowLastColumn="0" w:lastRowFirstColumn="0" w:lastRowLastColumn="0"/>
        </w:trPr>
        <w:tc>
          <w:tcPr>
            <w:tcW w:w="0" w:type="dxa"/>
          </w:tcPr>
          <w:p w14:paraId="2E2D8F4E" w14:textId="77777777" w:rsidR="00F6376B" w:rsidRPr="005635C8" w:rsidRDefault="00F6376B">
            <w:pPr>
              <w:rPr>
                <w:sz w:val="18"/>
                <w:szCs w:val="18"/>
              </w:rPr>
            </w:pPr>
            <w:bookmarkStart w:id="23" w:name="_Hlk105540504"/>
          </w:p>
        </w:tc>
        <w:tc>
          <w:tcPr>
            <w:tcW w:w="0" w:type="dxa"/>
          </w:tcPr>
          <w:p w14:paraId="24DF5EAE" w14:textId="77777777" w:rsidR="00F6376B" w:rsidRPr="005635C8" w:rsidRDefault="00F6376B" w:rsidP="0073713A">
            <w:pPr>
              <w:spacing w:after="0"/>
              <w:jc w:val="right"/>
              <w:rPr>
                <w:rFonts w:cs="Arial"/>
                <w:b/>
                <w:sz w:val="18"/>
                <w:szCs w:val="18"/>
              </w:rPr>
            </w:pPr>
            <w:r w:rsidRPr="005635C8">
              <w:rPr>
                <w:rFonts w:cs="Arial"/>
                <w:b/>
                <w:sz w:val="18"/>
                <w:szCs w:val="18"/>
              </w:rPr>
              <w:t xml:space="preserve">Actual </w:t>
            </w:r>
          </w:p>
          <w:p w14:paraId="28400DA8" w14:textId="77777777" w:rsidR="00F6376B" w:rsidRPr="005635C8" w:rsidRDefault="00F6376B" w:rsidP="0073713A">
            <w:pPr>
              <w:spacing w:after="0"/>
              <w:jc w:val="right"/>
              <w:rPr>
                <w:b/>
                <w:sz w:val="18"/>
                <w:szCs w:val="18"/>
              </w:rPr>
            </w:pPr>
            <w:r w:rsidRPr="005635C8">
              <w:rPr>
                <w:rFonts w:cs="Arial"/>
                <w:b/>
                <w:sz w:val="18"/>
                <w:szCs w:val="18"/>
              </w:rPr>
              <w:t>2019–20 ($m)</w:t>
            </w:r>
          </w:p>
        </w:tc>
        <w:tc>
          <w:tcPr>
            <w:tcW w:w="0" w:type="dxa"/>
          </w:tcPr>
          <w:p w14:paraId="3C58B4B5" w14:textId="77777777" w:rsidR="00F6376B" w:rsidRPr="005635C8" w:rsidRDefault="00F6376B" w:rsidP="0073713A">
            <w:pPr>
              <w:spacing w:after="0"/>
              <w:jc w:val="right"/>
              <w:rPr>
                <w:rFonts w:cs="Arial"/>
                <w:b/>
                <w:sz w:val="18"/>
                <w:szCs w:val="18"/>
              </w:rPr>
            </w:pPr>
            <w:r w:rsidRPr="005635C8">
              <w:rPr>
                <w:rFonts w:cs="Arial"/>
                <w:b/>
                <w:sz w:val="18"/>
                <w:szCs w:val="18"/>
              </w:rPr>
              <w:t>Actual</w:t>
            </w:r>
          </w:p>
          <w:p w14:paraId="321952F4" w14:textId="77777777" w:rsidR="00F6376B" w:rsidRPr="005635C8" w:rsidRDefault="00F6376B" w:rsidP="0073713A">
            <w:pPr>
              <w:spacing w:after="0"/>
              <w:jc w:val="right"/>
              <w:rPr>
                <w:b/>
                <w:sz w:val="18"/>
                <w:szCs w:val="18"/>
              </w:rPr>
            </w:pPr>
            <w:r w:rsidRPr="005635C8">
              <w:rPr>
                <w:rFonts w:cs="Arial"/>
                <w:b/>
                <w:sz w:val="18"/>
                <w:szCs w:val="18"/>
              </w:rPr>
              <w:t>2020–21 ($m)</w:t>
            </w:r>
          </w:p>
        </w:tc>
        <w:tc>
          <w:tcPr>
            <w:tcW w:w="0" w:type="dxa"/>
          </w:tcPr>
          <w:p w14:paraId="10903442" w14:textId="77777777" w:rsidR="00F6376B" w:rsidRPr="005635C8" w:rsidRDefault="00F6376B" w:rsidP="0073713A">
            <w:pPr>
              <w:spacing w:after="0"/>
              <w:jc w:val="right"/>
              <w:rPr>
                <w:rFonts w:cs="Arial"/>
                <w:b/>
                <w:sz w:val="18"/>
                <w:szCs w:val="18"/>
              </w:rPr>
            </w:pPr>
            <w:r w:rsidRPr="005635C8">
              <w:rPr>
                <w:rFonts w:cs="Arial"/>
                <w:b/>
                <w:sz w:val="18"/>
                <w:szCs w:val="18"/>
              </w:rPr>
              <w:t>Estimate</w:t>
            </w:r>
          </w:p>
          <w:p w14:paraId="073184BF" w14:textId="77777777" w:rsidR="00F6376B" w:rsidRPr="005635C8" w:rsidRDefault="00F6376B" w:rsidP="0073713A">
            <w:pPr>
              <w:spacing w:after="0"/>
              <w:jc w:val="right"/>
              <w:rPr>
                <w:b/>
                <w:sz w:val="18"/>
                <w:szCs w:val="18"/>
              </w:rPr>
            </w:pPr>
            <w:r w:rsidRPr="005635C8">
              <w:rPr>
                <w:rFonts w:cs="Arial"/>
                <w:b/>
                <w:sz w:val="18"/>
                <w:szCs w:val="18"/>
              </w:rPr>
              <w:t>2021–22 ($m)</w:t>
            </w:r>
          </w:p>
        </w:tc>
        <w:tc>
          <w:tcPr>
            <w:tcW w:w="0" w:type="dxa"/>
          </w:tcPr>
          <w:p w14:paraId="11BE52C7" w14:textId="77777777" w:rsidR="00F6376B" w:rsidRPr="005635C8" w:rsidRDefault="00F6376B" w:rsidP="0073713A">
            <w:pPr>
              <w:spacing w:after="0" w:line="276" w:lineRule="auto"/>
              <w:jc w:val="right"/>
              <w:rPr>
                <w:rFonts w:cs="Arial"/>
                <w:b/>
                <w:sz w:val="18"/>
                <w:szCs w:val="18"/>
              </w:rPr>
            </w:pPr>
            <w:r w:rsidRPr="005635C8">
              <w:rPr>
                <w:rFonts w:cs="Arial"/>
                <w:b/>
                <w:sz w:val="18"/>
                <w:szCs w:val="18"/>
              </w:rPr>
              <w:t>Estimate</w:t>
            </w:r>
          </w:p>
          <w:p w14:paraId="4D7A6965" w14:textId="77777777" w:rsidR="00F6376B" w:rsidRPr="005635C8" w:rsidRDefault="00F6376B" w:rsidP="0073713A">
            <w:pPr>
              <w:spacing w:after="0" w:line="276" w:lineRule="auto"/>
              <w:jc w:val="right"/>
              <w:rPr>
                <w:rFonts w:cs="Arial"/>
                <w:b/>
                <w:sz w:val="18"/>
                <w:szCs w:val="18"/>
              </w:rPr>
            </w:pPr>
            <w:r w:rsidRPr="005635C8">
              <w:rPr>
                <w:rFonts w:cs="Arial"/>
                <w:b/>
                <w:sz w:val="18"/>
                <w:szCs w:val="18"/>
              </w:rPr>
              <w:t>2022–23 ($m)</w:t>
            </w:r>
          </w:p>
        </w:tc>
        <w:tc>
          <w:tcPr>
            <w:tcW w:w="0" w:type="dxa"/>
          </w:tcPr>
          <w:p w14:paraId="6C2A1E02" w14:textId="77777777" w:rsidR="00F6376B" w:rsidRPr="005635C8" w:rsidRDefault="00F6376B" w:rsidP="0073713A">
            <w:pPr>
              <w:spacing w:after="0" w:line="276" w:lineRule="auto"/>
              <w:jc w:val="right"/>
              <w:rPr>
                <w:rFonts w:cs="Arial"/>
                <w:b/>
                <w:sz w:val="18"/>
                <w:szCs w:val="18"/>
              </w:rPr>
            </w:pPr>
            <w:r w:rsidRPr="005635C8">
              <w:rPr>
                <w:rFonts w:cs="Arial"/>
                <w:b/>
                <w:sz w:val="18"/>
                <w:szCs w:val="18"/>
              </w:rPr>
              <w:t>Estimate*</w:t>
            </w:r>
          </w:p>
          <w:p w14:paraId="26CE1629" w14:textId="77777777" w:rsidR="00F6376B" w:rsidRPr="005635C8" w:rsidRDefault="00F6376B" w:rsidP="0073713A">
            <w:pPr>
              <w:spacing w:after="0" w:line="276" w:lineRule="auto"/>
              <w:jc w:val="right"/>
              <w:rPr>
                <w:rFonts w:cs="Arial"/>
                <w:b/>
                <w:sz w:val="18"/>
                <w:szCs w:val="18"/>
              </w:rPr>
            </w:pPr>
            <w:r w:rsidRPr="005635C8">
              <w:rPr>
                <w:rFonts w:cs="Arial"/>
                <w:b/>
                <w:sz w:val="18"/>
                <w:szCs w:val="18"/>
              </w:rPr>
              <w:t>2023–24 ($m)</w:t>
            </w:r>
          </w:p>
        </w:tc>
      </w:tr>
      <w:tr w:rsidR="00E31E9B" w:rsidRPr="007F28C2" w14:paraId="056D008E"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454A4999" w14:textId="4F5FABE2" w:rsidR="00E31E9B" w:rsidRPr="005635C8" w:rsidRDefault="00E31E9B" w:rsidP="0073713A">
            <w:pPr>
              <w:spacing w:after="0"/>
              <w:rPr>
                <w:rFonts w:cs="Arial"/>
                <w:sz w:val="18"/>
                <w:szCs w:val="18"/>
              </w:rPr>
            </w:pPr>
            <w:r>
              <w:rPr>
                <w:rFonts w:cs="Arial"/>
                <w:sz w:val="18"/>
                <w:szCs w:val="18"/>
              </w:rPr>
              <w:t>Costs</w:t>
            </w:r>
            <w:r w:rsidRPr="005635C8">
              <w:rPr>
                <w:rFonts w:cs="Arial"/>
                <w:sz w:val="18"/>
                <w:szCs w:val="18"/>
              </w:rPr>
              <w:t xml:space="preserve"> = X</w:t>
            </w:r>
          </w:p>
        </w:tc>
        <w:tc>
          <w:tcPr>
            <w:tcW w:w="0" w:type="dxa"/>
          </w:tcPr>
          <w:p w14:paraId="4DF64647" w14:textId="27C0BEDE" w:rsidR="00E31E9B" w:rsidRPr="00E31E9B" w:rsidRDefault="00E31E9B" w:rsidP="0073713A">
            <w:pPr>
              <w:spacing w:after="0"/>
              <w:jc w:val="right"/>
              <w:rPr>
                <w:rFonts w:cs="Arial"/>
                <w:sz w:val="18"/>
                <w:szCs w:val="18"/>
              </w:rPr>
            </w:pPr>
            <w:r w:rsidRPr="00E31E9B">
              <w:rPr>
                <w:sz w:val="18"/>
                <w:szCs w:val="18"/>
              </w:rPr>
              <w:t>0.83</w:t>
            </w:r>
          </w:p>
        </w:tc>
        <w:tc>
          <w:tcPr>
            <w:tcW w:w="0" w:type="dxa"/>
          </w:tcPr>
          <w:p w14:paraId="7BF2E782" w14:textId="12BCBCF7" w:rsidR="00E31E9B" w:rsidRPr="00E31E9B" w:rsidRDefault="00E31E9B" w:rsidP="0073713A">
            <w:pPr>
              <w:spacing w:after="0"/>
              <w:jc w:val="right"/>
              <w:rPr>
                <w:rFonts w:cs="Arial"/>
                <w:sz w:val="18"/>
                <w:szCs w:val="18"/>
              </w:rPr>
            </w:pPr>
            <w:r w:rsidRPr="00E31E9B">
              <w:rPr>
                <w:sz w:val="18"/>
                <w:szCs w:val="18"/>
              </w:rPr>
              <w:t>0.83</w:t>
            </w:r>
          </w:p>
        </w:tc>
        <w:tc>
          <w:tcPr>
            <w:tcW w:w="0" w:type="dxa"/>
          </w:tcPr>
          <w:p w14:paraId="30A85EA3" w14:textId="2CB48C2A" w:rsidR="00E31E9B" w:rsidRPr="00E31E9B" w:rsidRDefault="00E31E9B" w:rsidP="0073713A">
            <w:pPr>
              <w:spacing w:after="0"/>
              <w:jc w:val="right"/>
              <w:rPr>
                <w:rFonts w:cs="Arial"/>
                <w:sz w:val="18"/>
                <w:szCs w:val="18"/>
              </w:rPr>
            </w:pPr>
            <w:r w:rsidRPr="00E31E9B">
              <w:rPr>
                <w:sz w:val="18"/>
                <w:szCs w:val="18"/>
              </w:rPr>
              <w:t>0.83</w:t>
            </w:r>
          </w:p>
        </w:tc>
        <w:tc>
          <w:tcPr>
            <w:tcW w:w="0" w:type="dxa"/>
          </w:tcPr>
          <w:p w14:paraId="46436928" w14:textId="46420718" w:rsidR="00E31E9B" w:rsidRPr="00E31E9B" w:rsidRDefault="00E31E9B" w:rsidP="0073713A">
            <w:pPr>
              <w:spacing w:after="0"/>
              <w:jc w:val="right"/>
              <w:rPr>
                <w:rFonts w:cs="Arial"/>
                <w:sz w:val="18"/>
                <w:szCs w:val="18"/>
              </w:rPr>
            </w:pPr>
            <w:r w:rsidRPr="00E31E9B">
              <w:rPr>
                <w:rFonts w:cs="Arial"/>
                <w:sz w:val="18"/>
                <w:szCs w:val="18"/>
              </w:rPr>
              <w:t>0.</w:t>
            </w:r>
            <w:r w:rsidR="002F603A">
              <w:rPr>
                <w:rFonts w:cs="Arial"/>
                <w:sz w:val="18"/>
                <w:szCs w:val="18"/>
              </w:rPr>
              <w:t>50</w:t>
            </w:r>
          </w:p>
        </w:tc>
        <w:tc>
          <w:tcPr>
            <w:tcW w:w="0" w:type="dxa"/>
          </w:tcPr>
          <w:p w14:paraId="23260A7C" w14:textId="286E1830" w:rsidR="00E31E9B" w:rsidRPr="00E31E9B" w:rsidRDefault="00E31E9B" w:rsidP="0073713A">
            <w:pPr>
              <w:spacing w:after="0"/>
              <w:jc w:val="right"/>
              <w:rPr>
                <w:rFonts w:cs="Arial"/>
                <w:sz w:val="18"/>
                <w:szCs w:val="18"/>
              </w:rPr>
            </w:pPr>
            <w:r w:rsidRPr="00E31E9B">
              <w:rPr>
                <w:rFonts w:cs="Arial"/>
                <w:sz w:val="18"/>
                <w:szCs w:val="18"/>
              </w:rPr>
              <w:t>0.49</w:t>
            </w:r>
          </w:p>
        </w:tc>
      </w:tr>
      <w:tr w:rsidR="00E31E9B" w:rsidRPr="007F28C2" w14:paraId="553F5BDD"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tcPr>
          <w:p w14:paraId="41BB0254" w14:textId="77777777" w:rsidR="00E31E9B" w:rsidRPr="005635C8" w:rsidRDefault="00E31E9B" w:rsidP="0073713A">
            <w:pPr>
              <w:spacing w:after="0"/>
              <w:rPr>
                <w:rFonts w:cs="Arial"/>
                <w:sz w:val="18"/>
                <w:szCs w:val="18"/>
              </w:rPr>
            </w:pPr>
            <w:r w:rsidRPr="005635C8">
              <w:rPr>
                <w:rFonts w:cs="Arial"/>
                <w:sz w:val="18"/>
                <w:szCs w:val="18"/>
              </w:rPr>
              <w:t>Revenue = Y</w:t>
            </w:r>
          </w:p>
        </w:tc>
        <w:tc>
          <w:tcPr>
            <w:tcW w:w="0" w:type="dxa"/>
          </w:tcPr>
          <w:p w14:paraId="3E5539F1" w14:textId="1CAA66EB" w:rsidR="00E31E9B" w:rsidRPr="00E31E9B" w:rsidRDefault="00E31E9B" w:rsidP="0073713A">
            <w:pPr>
              <w:spacing w:after="0"/>
              <w:jc w:val="right"/>
              <w:rPr>
                <w:rFonts w:cs="Arial"/>
                <w:sz w:val="18"/>
                <w:szCs w:val="18"/>
              </w:rPr>
            </w:pPr>
            <w:r w:rsidRPr="00E31E9B">
              <w:rPr>
                <w:sz w:val="18"/>
                <w:szCs w:val="18"/>
              </w:rPr>
              <w:t>0.93</w:t>
            </w:r>
          </w:p>
        </w:tc>
        <w:tc>
          <w:tcPr>
            <w:tcW w:w="0" w:type="dxa"/>
          </w:tcPr>
          <w:p w14:paraId="669C9BD4" w14:textId="041B4F78" w:rsidR="00E31E9B" w:rsidRPr="00E31E9B" w:rsidRDefault="00E31E9B" w:rsidP="0073713A">
            <w:pPr>
              <w:spacing w:after="0"/>
              <w:jc w:val="right"/>
              <w:rPr>
                <w:rFonts w:cs="Arial"/>
                <w:sz w:val="18"/>
                <w:szCs w:val="18"/>
              </w:rPr>
            </w:pPr>
            <w:r w:rsidRPr="00E31E9B">
              <w:rPr>
                <w:sz w:val="18"/>
                <w:szCs w:val="18"/>
              </w:rPr>
              <w:t>0.64</w:t>
            </w:r>
          </w:p>
        </w:tc>
        <w:tc>
          <w:tcPr>
            <w:tcW w:w="0" w:type="dxa"/>
          </w:tcPr>
          <w:p w14:paraId="21130695" w14:textId="5823D080" w:rsidR="00E31E9B" w:rsidRPr="00E31E9B" w:rsidRDefault="00E31E9B" w:rsidP="0073713A">
            <w:pPr>
              <w:spacing w:after="0"/>
              <w:jc w:val="right"/>
              <w:rPr>
                <w:rFonts w:cs="Arial"/>
                <w:sz w:val="18"/>
                <w:szCs w:val="18"/>
              </w:rPr>
            </w:pPr>
            <w:r w:rsidRPr="00E31E9B">
              <w:rPr>
                <w:sz w:val="18"/>
                <w:szCs w:val="18"/>
              </w:rPr>
              <w:t>0.50</w:t>
            </w:r>
          </w:p>
        </w:tc>
        <w:tc>
          <w:tcPr>
            <w:tcW w:w="0" w:type="dxa"/>
          </w:tcPr>
          <w:p w14:paraId="71F0518D" w14:textId="6F29817F" w:rsidR="00E31E9B" w:rsidRPr="00E31E9B" w:rsidRDefault="00E31E9B" w:rsidP="0073713A">
            <w:pPr>
              <w:spacing w:after="0"/>
              <w:jc w:val="right"/>
              <w:rPr>
                <w:rFonts w:cs="Arial"/>
                <w:sz w:val="18"/>
                <w:szCs w:val="18"/>
              </w:rPr>
            </w:pPr>
            <w:r w:rsidRPr="00E31E9B">
              <w:rPr>
                <w:rFonts w:cs="Arial"/>
                <w:sz w:val="18"/>
                <w:szCs w:val="18"/>
              </w:rPr>
              <w:t>0.</w:t>
            </w:r>
            <w:r w:rsidR="002F603A" w:rsidRPr="00E31E9B">
              <w:rPr>
                <w:rFonts w:cs="Arial"/>
                <w:sz w:val="18"/>
                <w:szCs w:val="18"/>
              </w:rPr>
              <w:t>4</w:t>
            </w:r>
            <w:r w:rsidR="002F603A">
              <w:rPr>
                <w:rFonts w:cs="Arial"/>
                <w:sz w:val="18"/>
                <w:szCs w:val="18"/>
              </w:rPr>
              <w:t>6</w:t>
            </w:r>
          </w:p>
        </w:tc>
        <w:tc>
          <w:tcPr>
            <w:tcW w:w="0" w:type="dxa"/>
          </w:tcPr>
          <w:p w14:paraId="2B757CBE" w14:textId="7E336235" w:rsidR="00E31E9B" w:rsidRPr="00E31E9B" w:rsidRDefault="00E31E9B" w:rsidP="0073713A">
            <w:pPr>
              <w:spacing w:after="0"/>
              <w:jc w:val="right"/>
              <w:rPr>
                <w:rFonts w:cs="Arial"/>
                <w:sz w:val="18"/>
                <w:szCs w:val="18"/>
              </w:rPr>
            </w:pPr>
            <w:r w:rsidRPr="00E31E9B">
              <w:rPr>
                <w:rFonts w:cs="Arial"/>
                <w:sz w:val="18"/>
                <w:szCs w:val="18"/>
              </w:rPr>
              <w:t>0.39</w:t>
            </w:r>
          </w:p>
        </w:tc>
      </w:tr>
      <w:tr w:rsidR="00E31E9B" w:rsidRPr="007F28C2" w14:paraId="0616FAFC"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7AB41B20" w14:textId="77777777" w:rsidR="00E31E9B" w:rsidRPr="005635C8" w:rsidRDefault="00E31E9B" w:rsidP="0073713A">
            <w:pPr>
              <w:spacing w:after="0"/>
              <w:rPr>
                <w:rFonts w:cs="Arial"/>
                <w:sz w:val="18"/>
                <w:szCs w:val="18"/>
              </w:rPr>
            </w:pPr>
            <w:r w:rsidRPr="005635C8">
              <w:rPr>
                <w:rFonts w:cs="Arial"/>
                <w:sz w:val="18"/>
                <w:szCs w:val="18"/>
              </w:rPr>
              <w:t>Balance = Y – X</w:t>
            </w:r>
          </w:p>
        </w:tc>
        <w:tc>
          <w:tcPr>
            <w:tcW w:w="0" w:type="dxa"/>
          </w:tcPr>
          <w:p w14:paraId="6A81A5C4" w14:textId="0F106B73" w:rsidR="00E31E9B" w:rsidRPr="00E31E9B" w:rsidRDefault="00E31E9B" w:rsidP="0073713A">
            <w:pPr>
              <w:spacing w:after="0"/>
              <w:jc w:val="right"/>
              <w:rPr>
                <w:rFonts w:cs="Arial"/>
                <w:sz w:val="18"/>
                <w:szCs w:val="18"/>
              </w:rPr>
            </w:pPr>
            <w:r w:rsidRPr="00E31E9B">
              <w:rPr>
                <w:sz w:val="18"/>
                <w:szCs w:val="18"/>
              </w:rPr>
              <w:t>0.10</w:t>
            </w:r>
          </w:p>
        </w:tc>
        <w:tc>
          <w:tcPr>
            <w:tcW w:w="0" w:type="dxa"/>
          </w:tcPr>
          <w:p w14:paraId="0AC135E2" w14:textId="2DC96B7F" w:rsidR="00E31E9B" w:rsidRPr="00E31E9B" w:rsidRDefault="00E31E9B" w:rsidP="0073713A">
            <w:pPr>
              <w:spacing w:after="0"/>
              <w:jc w:val="right"/>
              <w:rPr>
                <w:rFonts w:cs="Arial"/>
                <w:sz w:val="18"/>
                <w:szCs w:val="18"/>
              </w:rPr>
            </w:pPr>
            <w:r w:rsidRPr="00E31E9B">
              <w:rPr>
                <w:sz w:val="18"/>
                <w:szCs w:val="18"/>
              </w:rPr>
              <w:t>-0.19</w:t>
            </w:r>
          </w:p>
        </w:tc>
        <w:tc>
          <w:tcPr>
            <w:tcW w:w="0" w:type="dxa"/>
          </w:tcPr>
          <w:p w14:paraId="313CE53C" w14:textId="28660123" w:rsidR="00E31E9B" w:rsidRPr="00E31E9B" w:rsidRDefault="00E31E9B" w:rsidP="0073713A">
            <w:pPr>
              <w:spacing w:after="0" w:line="276" w:lineRule="auto"/>
              <w:jc w:val="right"/>
              <w:rPr>
                <w:rFonts w:cs="Arial"/>
                <w:sz w:val="18"/>
                <w:szCs w:val="18"/>
              </w:rPr>
            </w:pPr>
            <w:r w:rsidRPr="00E31E9B">
              <w:rPr>
                <w:sz w:val="18"/>
                <w:szCs w:val="18"/>
              </w:rPr>
              <w:t>-0.33</w:t>
            </w:r>
          </w:p>
        </w:tc>
        <w:tc>
          <w:tcPr>
            <w:tcW w:w="0" w:type="dxa"/>
          </w:tcPr>
          <w:p w14:paraId="0833093D" w14:textId="7C057EAD" w:rsidR="00E31E9B" w:rsidRPr="00E31E9B" w:rsidRDefault="00E31E9B" w:rsidP="0073713A">
            <w:pPr>
              <w:spacing w:after="0" w:line="276" w:lineRule="auto"/>
              <w:jc w:val="right"/>
              <w:rPr>
                <w:rFonts w:cs="Arial"/>
                <w:sz w:val="18"/>
                <w:szCs w:val="18"/>
              </w:rPr>
            </w:pPr>
            <w:r w:rsidRPr="00E31E9B">
              <w:rPr>
                <w:rFonts w:cs="Arial"/>
                <w:sz w:val="18"/>
                <w:szCs w:val="18"/>
              </w:rPr>
              <w:t>-0.04</w:t>
            </w:r>
          </w:p>
        </w:tc>
        <w:tc>
          <w:tcPr>
            <w:tcW w:w="0" w:type="dxa"/>
          </w:tcPr>
          <w:p w14:paraId="28F625DB" w14:textId="062845B1" w:rsidR="00E31E9B" w:rsidRPr="00E31E9B" w:rsidRDefault="00E31E9B" w:rsidP="0073713A">
            <w:pPr>
              <w:spacing w:after="0" w:line="276" w:lineRule="auto"/>
              <w:jc w:val="right"/>
              <w:rPr>
                <w:rFonts w:cs="Arial"/>
                <w:color w:val="000000"/>
                <w:sz w:val="18"/>
                <w:szCs w:val="18"/>
              </w:rPr>
            </w:pPr>
            <w:r w:rsidRPr="00E31E9B">
              <w:rPr>
                <w:rFonts w:cs="Arial"/>
                <w:color w:val="000000"/>
                <w:sz w:val="18"/>
                <w:szCs w:val="18"/>
              </w:rPr>
              <w:t>-0.10</w:t>
            </w:r>
          </w:p>
        </w:tc>
      </w:tr>
      <w:tr w:rsidR="00E31E9B" w:rsidRPr="007F28C2" w14:paraId="2D9021F6"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shd w:val="clear" w:color="auto" w:fill="404040" w:themeFill="text1" w:themeFillTint="BF"/>
          </w:tcPr>
          <w:p w14:paraId="3AA74068" w14:textId="77777777" w:rsidR="00E31E9B" w:rsidRPr="0073713A" w:rsidRDefault="00E31E9B" w:rsidP="0073713A">
            <w:pPr>
              <w:spacing w:after="0"/>
              <w:rPr>
                <w:rFonts w:cs="Arial"/>
                <w:b/>
                <w:bCs/>
                <w:color w:val="FFFFFF" w:themeColor="background1"/>
                <w:sz w:val="18"/>
                <w:szCs w:val="18"/>
              </w:rPr>
            </w:pPr>
            <w:r w:rsidRPr="0073713A">
              <w:rPr>
                <w:rFonts w:cs="Arial"/>
                <w:b/>
                <w:bCs/>
                <w:color w:val="FFFFFF" w:themeColor="background1"/>
                <w:sz w:val="18"/>
                <w:szCs w:val="18"/>
              </w:rPr>
              <w:t>Cumulative balance</w:t>
            </w:r>
          </w:p>
        </w:tc>
        <w:tc>
          <w:tcPr>
            <w:tcW w:w="0" w:type="dxa"/>
            <w:shd w:val="clear" w:color="auto" w:fill="404040" w:themeFill="text1" w:themeFillTint="BF"/>
          </w:tcPr>
          <w:p w14:paraId="3D5EABB9" w14:textId="665217AB"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0.25</w:t>
            </w:r>
          </w:p>
        </w:tc>
        <w:tc>
          <w:tcPr>
            <w:tcW w:w="0" w:type="dxa"/>
            <w:shd w:val="clear" w:color="auto" w:fill="404040" w:themeFill="text1" w:themeFillTint="BF"/>
          </w:tcPr>
          <w:p w14:paraId="73EEBF28" w14:textId="4D6A7B2B"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0.06</w:t>
            </w:r>
          </w:p>
        </w:tc>
        <w:tc>
          <w:tcPr>
            <w:tcW w:w="0" w:type="dxa"/>
            <w:shd w:val="clear" w:color="auto" w:fill="404040" w:themeFill="text1" w:themeFillTint="BF"/>
          </w:tcPr>
          <w:p w14:paraId="29285167" w14:textId="7C0AABBD"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-0.27</w:t>
            </w:r>
          </w:p>
        </w:tc>
        <w:tc>
          <w:tcPr>
            <w:tcW w:w="0" w:type="dxa"/>
            <w:shd w:val="clear" w:color="auto" w:fill="404040" w:themeFill="text1" w:themeFillTint="BF"/>
          </w:tcPr>
          <w:p w14:paraId="0AC7973E" w14:textId="316E979C" w:rsidR="00E31E9B" w:rsidRPr="0073713A" w:rsidRDefault="00E31E9B" w:rsidP="0073713A">
            <w:pPr>
              <w:spacing w:after="0"/>
              <w:jc w:val="right"/>
              <w:rPr>
                <w:rFonts w:cs="Arial"/>
                <w:color w:val="FFFFFF" w:themeColor="background1"/>
                <w:sz w:val="18"/>
                <w:szCs w:val="18"/>
              </w:rPr>
            </w:pPr>
            <w:r w:rsidRPr="0073713A">
              <w:rPr>
                <w:rFonts w:cs="Arial"/>
                <w:color w:val="FFFFFF" w:themeColor="background1"/>
                <w:sz w:val="18"/>
                <w:szCs w:val="18"/>
              </w:rPr>
              <w:t>-0.31</w:t>
            </w:r>
          </w:p>
        </w:tc>
        <w:tc>
          <w:tcPr>
            <w:tcW w:w="0" w:type="dxa"/>
            <w:shd w:val="clear" w:color="auto" w:fill="404040" w:themeFill="text1" w:themeFillTint="BF"/>
          </w:tcPr>
          <w:p w14:paraId="2601C931" w14:textId="595ABA2D" w:rsidR="00E31E9B" w:rsidRPr="0073713A" w:rsidRDefault="00E31E9B" w:rsidP="0073713A">
            <w:pPr>
              <w:spacing w:after="0"/>
              <w:jc w:val="right"/>
              <w:rPr>
                <w:rFonts w:cs="Arial"/>
                <w:color w:val="FFFFFF" w:themeColor="background1"/>
                <w:sz w:val="18"/>
                <w:szCs w:val="18"/>
              </w:rPr>
            </w:pPr>
            <w:r w:rsidRPr="00945659">
              <w:rPr>
                <w:rFonts w:cs="Arial"/>
                <w:color w:val="FFFFFF" w:themeColor="background1"/>
                <w:sz w:val="18"/>
                <w:szCs w:val="18"/>
              </w:rPr>
              <w:t>-0.41</w:t>
            </w:r>
          </w:p>
        </w:tc>
      </w:tr>
      <w:bookmarkEnd w:id="22"/>
      <w:bookmarkEnd w:id="23"/>
    </w:tbl>
    <w:p w14:paraId="6DD66A68" w14:textId="77777777" w:rsidR="005A7B96" w:rsidRDefault="005A7B96" w:rsidP="003044DB">
      <w:pPr>
        <w:pStyle w:val="Tableheading"/>
        <w:numPr>
          <w:ilvl w:val="0"/>
          <w:numId w:val="0"/>
        </w:numPr>
      </w:pPr>
    </w:p>
    <w:p w14:paraId="28D85DD1" w14:textId="4F340B69" w:rsidR="00F6376B" w:rsidRDefault="00963053" w:rsidP="0073713A">
      <w:pPr>
        <w:pStyle w:val="Tableheading"/>
        <w:rPr>
          <w:rFonts w:eastAsia="SimSun"/>
        </w:rPr>
      </w:pPr>
      <w:r>
        <w:t>Cost</w:t>
      </w:r>
      <w:r w:rsidR="00F6376B" w:rsidRPr="00DF0AF3">
        <w:t xml:space="preserve"> and </w:t>
      </w:r>
      <w:r w:rsidR="00F6376B">
        <w:t>r</w:t>
      </w:r>
      <w:r w:rsidR="00F6376B" w:rsidRPr="00DF0AF3">
        <w:t>evenue estimates</w:t>
      </w:r>
      <w:r w:rsidR="00F6376B" w:rsidRPr="00DF0AF3">
        <w:rPr>
          <w:rFonts w:eastAsia="SimSun"/>
        </w:rPr>
        <w:t xml:space="preserve">: </w:t>
      </w:r>
      <w:r>
        <w:rPr>
          <w:rFonts w:eastAsia="SimSun"/>
        </w:rPr>
        <w:t xml:space="preserve">increase </w:t>
      </w:r>
      <w:r w:rsidR="003044DB" w:rsidRPr="008D44CB">
        <w:rPr>
          <w:rFonts w:eastAsia="SimSun"/>
        </w:rPr>
        <w:t>numbering</w:t>
      </w:r>
      <w:r w:rsidR="003044DB">
        <w:rPr>
          <w:rFonts w:eastAsia="SimSun"/>
        </w:rPr>
        <w:t xml:space="preserve"> transaction </w:t>
      </w:r>
      <w:r w:rsidR="00F6376B" w:rsidRPr="00DF0AF3">
        <w:rPr>
          <w:rFonts w:eastAsia="SimSun"/>
        </w:rPr>
        <w:t xml:space="preserve">fees </w:t>
      </w:r>
      <w:r w:rsidR="003044DB">
        <w:rPr>
          <w:rFonts w:eastAsia="SimSun"/>
        </w:rPr>
        <w:t xml:space="preserve">to $57 </w:t>
      </w:r>
      <w:r w:rsidR="00F6376B" w:rsidRPr="00DF0AF3">
        <w:rPr>
          <w:rFonts w:eastAsia="SimSun"/>
        </w:rPr>
        <w:t>from 1</w:t>
      </w:r>
      <w:r w:rsidR="00F6376B">
        <w:rPr>
          <w:rFonts w:eastAsia="SimSun"/>
        </w:rPr>
        <w:t> </w:t>
      </w:r>
      <w:r w:rsidR="003044DB">
        <w:rPr>
          <w:rFonts w:eastAsia="SimSun"/>
        </w:rPr>
        <w:t>September 2022</w:t>
      </w:r>
    </w:p>
    <w:tbl>
      <w:tblPr>
        <w:tblStyle w:val="ACMAtablestyle"/>
        <w:tblW w:w="8935" w:type="dxa"/>
        <w:tblLook w:val="04A0" w:firstRow="1" w:lastRow="0" w:firstColumn="1" w:lastColumn="0" w:noHBand="0" w:noVBand="1"/>
      </w:tblPr>
      <w:tblGrid>
        <w:gridCol w:w="1908"/>
        <w:gridCol w:w="1170"/>
        <w:gridCol w:w="1170"/>
        <w:gridCol w:w="1521"/>
        <w:gridCol w:w="1521"/>
        <w:gridCol w:w="1645"/>
      </w:tblGrid>
      <w:tr w:rsidR="00F640A2" w:rsidRPr="000B5740" w14:paraId="6FE60108" w14:textId="77777777" w:rsidTr="0073713A">
        <w:trPr>
          <w:cnfStyle w:val="100000000000" w:firstRow="1" w:lastRow="0" w:firstColumn="0" w:lastColumn="0" w:oddVBand="0" w:evenVBand="0" w:oddHBand="0" w:evenHBand="0" w:firstRowFirstColumn="0" w:firstRowLastColumn="0" w:lastRowFirstColumn="0" w:lastRowLastColumn="0"/>
        </w:trPr>
        <w:tc>
          <w:tcPr>
            <w:tcW w:w="0" w:type="dxa"/>
          </w:tcPr>
          <w:p w14:paraId="4CD87AA2" w14:textId="77777777" w:rsidR="00F640A2" w:rsidRPr="000B5740" w:rsidRDefault="00F640A2">
            <w:pPr>
              <w:rPr>
                <w:sz w:val="18"/>
                <w:szCs w:val="18"/>
              </w:rPr>
            </w:pPr>
          </w:p>
        </w:tc>
        <w:tc>
          <w:tcPr>
            <w:tcW w:w="0" w:type="dxa"/>
          </w:tcPr>
          <w:p w14:paraId="27E56B59" w14:textId="77777777" w:rsidR="00F640A2" w:rsidRPr="000B5740" w:rsidRDefault="00F640A2" w:rsidP="0073713A">
            <w:pPr>
              <w:spacing w:after="0"/>
              <w:jc w:val="right"/>
              <w:rPr>
                <w:rFonts w:cs="Arial"/>
                <w:b/>
                <w:sz w:val="18"/>
                <w:szCs w:val="18"/>
              </w:rPr>
            </w:pPr>
            <w:r w:rsidRPr="000B5740">
              <w:rPr>
                <w:rFonts w:cs="Arial"/>
                <w:b/>
                <w:sz w:val="18"/>
                <w:szCs w:val="18"/>
              </w:rPr>
              <w:t xml:space="preserve">Actual </w:t>
            </w:r>
          </w:p>
          <w:p w14:paraId="27540EA6" w14:textId="77777777" w:rsidR="00F640A2" w:rsidRPr="000B5740" w:rsidRDefault="00F640A2" w:rsidP="0073713A">
            <w:pPr>
              <w:spacing w:after="0"/>
              <w:jc w:val="right"/>
              <w:rPr>
                <w:b/>
                <w:sz w:val="18"/>
                <w:szCs w:val="18"/>
              </w:rPr>
            </w:pPr>
            <w:r w:rsidRPr="000B5740">
              <w:rPr>
                <w:rFonts w:cs="Arial"/>
                <w:b/>
                <w:sz w:val="18"/>
                <w:szCs w:val="18"/>
              </w:rPr>
              <w:t>2019–20 ($m)</w:t>
            </w:r>
          </w:p>
        </w:tc>
        <w:tc>
          <w:tcPr>
            <w:tcW w:w="0" w:type="dxa"/>
          </w:tcPr>
          <w:p w14:paraId="5EC2BD8F" w14:textId="77777777" w:rsidR="00F640A2" w:rsidRPr="000B5740" w:rsidRDefault="00F640A2" w:rsidP="0073713A">
            <w:pPr>
              <w:spacing w:after="0"/>
              <w:jc w:val="right"/>
              <w:rPr>
                <w:rFonts w:cs="Arial"/>
                <w:b/>
                <w:sz w:val="18"/>
                <w:szCs w:val="18"/>
              </w:rPr>
            </w:pPr>
            <w:r w:rsidRPr="000B5740">
              <w:rPr>
                <w:rFonts w:cs="Arial"/>
                <w:b/>
                <w:sz w:val="18"/>
                <w:szCs w:val="18"/>
              </w:rPr>
              <w:t>Actual</w:t>
            </w:r>
          </w:p>
          <w:p w14:paraId="6FEF0D2F" w14:textId="77777777" w:rsidR="00F640A2" w:rsidRPr="000B5740" w:rsidRDefault="00F640A2" w:rsidP="0073713A">
            <w:pPr>
              <w:spacing w:after="0"/>
              <w:jc w:val="right"/>
              <w:rPr>
                <w:b/>
                <w:sz w:val="18"/>
                <w:szCs w:val="18"/>
              </w:rPr>
            </w:pPr>
            <w:r w:rsidRPr="000B5740">
              <w:rPr>
                <w:rFonts w:cs="Arial"/>
                <w:b/>
                <w:sz w:val="18"/>
                <w:szCs w:val="18"/>
              </w:rPr>
              <w:t>2020–21 ($m)</w:t>
            </w:r>
          </w:p>
        </w:tc>
        <w:tc>
          <w:tcPr>
            <w:tcW w:w="0" w:type="dxa"/>
          </w:tcPr>
          <w:p w14:paraId="40D9B60A" w14:textId="77777777" w:rsidR="00F640A2" w:rsidRPr="000B5740" w:rsidRDefault="00F640A2" w:rsidP="0073713A">
            <w:pPr>
              <w:spacing w:after="0"/>
              <w:jc w:val="right"/>
              <w:rPr>
                <w:rFonts w:cs="Arial"/>
                <w:b/>
                <w:sz w:val="18"/>
                <w:szCs w:val="18"/>
              </w:rPr>
            </w:pPr>
            <w:r w:rsidRPr="000B5740">
              <w:rPr>
                <w:rFonts w:cs="Arial"/>
                <w:b/>
                <w:sz w:val="18"/>
                <w:szCs w:val="18"/>
              </w:rPr>
              <w:t>Estimate</w:t>
            </w:r>
          </w:p>
          <w:p w14:paraId="7B29821C" w14:textId="77777777" w:rsidR="00F640A2" w:rsidRPr="000B5740" w:rsidRDefault="00F640A2" w:rsidP="0073713A">
            <w:pPr>
              <w:spacing w:after="0"/>
              <w:jc w:val="right"/>
              <w:rPr>
                <w:b/>
                <w:sz w:val="18"/>
                <w:szCs w:val="18"/>
              </w:rPr>
            </w:pPr>
            <w:r w:rsidRPr="000B5740">
              <w:rPr>
                <w:rFonts w:cs="Arial"/>
                <w:b/>
                <w:sz w:val="18"/>
                <w:szCs w:val="18"/>
              </w:rPr>
              <w:t>2021–22 ($m)</w:t>
            </w:r>
          </w:p>
        </w:tc>
        <w:tc>
          <w:tcPr>
            <w:tcW w:w="0" w:type="dxa"/>
          </w:tcPr>
          <w:p w14:paraId="02715C45" w14:textId="77777777" w:rsidR="00F640A2" w:rsidRPr="000B5740" w:rsidRDefault="00F640A2" w:rsidP="0073713A">
            <w:pPr>
              <w:spacing w:after="0" w:line="276" w:lineRule="auto"/>
              <w:jc w:val="right"/>
              <w:rPr>
                <w:rFonts w:cs="Arial"/>
                <w:b/>
                <w:sz w:val="18"/>
                <w:szCs w:val="18"/>
              </w:rPr>
            </w:pPr>
            <w:r w:rsidRPr="000B5740">
              <w:rPr>
                <w:rFonts w:cs="Arial"/>
                <w:b/>
                <w:sz w:val="18"/>
                <w:szCs w:val="18"/>
              </w:rPr>
              <w:t>Estimate</w:t>
            </w:r>
          </w:p>
          <w:p w14:paraId="51ED6C5A" w14:textId="77777777" w:rsidR="00F640A2" w:rsidRPr="000B5740" w:rsidRDefault="00F640A2" w:rsidP="0073713A">
            <w:pPr>
              <w:spacing w:after="0" w:line="276" w:lineRule="auto"/>
              <w:jc w:val="right"/>
              <w:rPr>
                <w:rFonts w:cs="Arial"/>
                <w:b/>
                <w:sz w:val="18"/>
                <w:szCs w:val="18"/>
              </w:rPr>
            </w:pPr>
            <w:r w:rsidRPr="000B5740">
              <w:rPr>
                <w:rFonts w:cs="Arial"/>
                <w:b/>
                <w:sz w:val="18"/>
                <w:szCs w:val="18"/>
              </w:rPr>
              <w:t>2022–23 ($m)</w:t>
            </w:r>
          </w:p>
        </w:tc>
        <w:tc>
          <w:tcPr>
            <w:tcW w:w="0" w:type="dxa"/>
          </w:tcPr>
          <w:p w14:paraId="1C6295C3" w14:textId="77777777" w:rsidR="00F640A2" w:rsidRPr="000B5740" w:rsidRDefault="00F640A2" w:rsidP="0073713A">
            <w:pPr>
              <w:spacing w:after="0" w:line="276" w:lineRule="auto"/>
              <w:jc w:val="right"/>
              <w:rPr>
                <w:rFonts w:cs="Arial"/>
                <w:b/>
                <w:sz w:val="18"/>
                <w:szCs w:val="18"/>
              </w:rPr>
            </w:pPr>
            <w:r w:rsidRPr="000B5740">
              <w:rPr>
                <w:rFonts w:cs="Arial"/>
                <w:b/>
                <w:sz w:val="18"/>
                <w:szCs w:val="18"/>
              </w:rPr>
              <w:t>Estimate*</w:t>
            </w:r>
          </w:p>
          <w:p w14:paraId="0D1814E3" w14:textId="77777777" w:rsidR="00F640A2" w:rsidRPr="000B5740" w:rsidRDefault="00F640A2" w:rsidP="0073713A">
            <w:pPr>
              <w:spacing w:after="0" w:line="276" w:lineRule="auto"/>
              <w:jc w:val="right"/>
              <w:rPr>
                <w:rFonts w:cs="Arial"/>
                <w:b/>
                <w:sz w:val="18"/>
                <w:szCs w:val="18"/>
              </w:rPr>
            </w:pPr>
            <w:r w:rsidRPr="000B5740">
              <w:rPr>
                <w:rFonts w:cs="Arial"/>
                <w:b/>
                <w:sz w:val="18"/>
                <w:szCs w:val="18"/>
              </w:rPr>
              <w:t>2023–24 ($m)</w:t>
            </w:r>
          </w:p>
        </w:tc>
      </w:tr>
      <w:tr w:rsidR="00E31E9B" w:rsidRPr="000B5740" w14:paraId="199C4C2B"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65C2956D" w14:textId="77777777" w:rsidR="00E31E9B" w:rsidRPr="000B5740" w:rsidRDefault="00E31E9B" w:rsidP="0073713A">
            <w:pPr>
              <w:spacing w:after="0"/>
              <w:rPr>
                <w:rFonts w:cs="Arial"/>
                <w:sz w:val="18"/>
                <w:szCs w:val="18"/>
              </w:rPr>
            </w:pPr>
            <w:r>
              <w:rPr>
                <w:rFonts w:cs="Arial"/>
                <w:sz w:val="18"/>
                <w:szCs w:val="18"/>
              </w:rPr>
              <w:t>Costs</w:t>
            </w:r>
            <w:r w:rsidRPr="000B5740">
              <w:rPr>
                <w:rFonts w:cs="Arial"/>
                <w:sz w:val="18"/>
                <w:szCs w:val="18"/>
              </w:rPr>
              <w:t xml:space="preserve"> = X</w:t>
            </w:r>
          </w:p>
        </w:tc>
        <w:tc>
          <w:tcPr>
            <w:tcW w:w="0" w:type="dxa"/>
          </w:tcPr>
          <w:p w14:paraId="74EB6ACF" w14:textId="37593DBE" w:rsidR="00E31E9B" w:rsidRPr="00E31E9B" w:rsidRDefault="00E31E9B" w:rsidP="0073713A">
            <w:pPr>
              <w:spacing w:after="0"/>
              <w:jc w:val="right"/>
              <w:rPr>
                <w:rFonts w:cs="Arial"/>
                <w:sz w:val="18"/>
                <w:szCs w:val="18"/>
              </w:rPr>
            </w:pPr>
            <w:r w:rsidRPr="00E31E9B">
              <w:rPr>
                <w:sz w:val="18"/>
                <w:szCs w:val="18"/>
              </w:rPr>
              <w:t>0.83</w:t>
            </w:r>
          </w:p>
        </w:tc>
        <w:tc>
          <w:tcPr>
            <w:tcW w:w="0" w:type="dxa"/>
          </w:tcPr>
          <w:p w14:paraId="066D7CD7" w14:textId="7265E243" w:rsidR="00E31E9B" w:rsidRPr="00E31E9B" w:rsidRDefault="00E31E9B" w:rsidP="0073713A">
            <w:pPr>
              <w:spacing w:after="0"/>
              <w:jc w:val="right"/>
              <w:rPr>
                <w:rFonts w:cs="Arial"/>
                <w:sz w:val="18"/>
                <w:szCs w:val="18"/>
              </w:rPr>
            </w:pPr>
            <w:r w:rsidRPr="00E31E9B">
              <w:rPr>
                <w:sz w:val="18"/>
                <w:szCs w:val="18"/>
              </w:rPr>
              <w:t>0.83</w:t>
            </w:r>
          </w:p>
        </w:tc>
        <w:tc>
          <w:tcPr>
            <w:tcW w:w="0" w:type="dxa"/>
          </w:tcPr>
          <w:p w14:paraId="315AFE7A" w14:textId="01E6A783" w:rsidR="00E31E9B" w:rsidRPr="00E31E9B" w:rsidRDefault="00E31E9B" w:rsidP="0073713A">
            <w:pPr>
              <w:spacing w:after="0"/>
              <w:jc w:val="right"/>
              <w:rPr>
                <w:rFonts w:cs="Arial"/>
                <w:sz w:val="18"/>
                <w:szCs w:val="18"/>
              </w:rPr>
            </w:pPr>
            <w:r w:rsidRPr="00E31E9B">
              <w:rPr>
                <w:sz w:val="18"/>
                <w:szCs w:val="18"/>
              </w:rPr>
              <w:t>0.83</w:t>
            </w:r>
          </w:p>
        </w:tc>
        <w:tc>
          <w:tcPr>
            <w:tcW w:w="0" w:type="dxa"/>
          </w:tcPr>
          <w:p w14:paraId="0AE154E8" w14:textId="217A4D3E" w:rsidR="00E31E9B" w:rsidRPr="00E31E9B" w:rsidRDefault="00E31E9B" w:rsidP="0073713A">
            <w:pPr>
              <w:spacing w:after="0"/>
              <w:jc w:val="right"/>
              <w:rPr>
                <w:rFonts w:cs="Arial"/>
                <w:sz w:val="18"/>
                <w:szCs w:val="18"/>
              </w:rPr>
            </w:pPr>
            <w:r w:rsidRPr="00E31E9B">
              <w:rPr>
                <w:sz w:val="18"/>
                <w:szCs w:val="18"/>
              </w:rPr>
              <w:t>0.50</w:t>
            </w:r>
          </w:p>
        </w:tc>
        <w:tc>
          <w:tcPr>
            <w:tcW w:w="0" w:type="dxa"/>
          </w:tcPr>
          <w:p w14:paraId="0182FFCF" w14:textId="3EBF5820" w:rsidR="00E31E9B" w:rsidRPr="00E31E9B" w:rsidRDefault="00E31E9B" w:rsidP="0073713A">
            <w:pPr>
              <w:spacing w:after="0"/>
              <w:jc w:val="right"/>
              <w:rPr>
                <w:rFonts w:cs="Arial"/>
                <w:sz w:val="18"/>
                <w:szCs w:val="18"/>
              </w:rPr>
            </w:pPr>
            <w:r w:rsidRPr="00E31E9B">
              <w:rPr>
                <w:sz w:val="18"/>
                <w:szCs w:val="18"/>
              </w:rPr>
              <w:t>0.49</w:t>
            </w:r>
          </w:p>
        </w:tc>
      </w:tr>
      <w:tr w:rsidR="00E31E9B" w:rsidRPr="000B5740" w14:paraId="3DDCA52C"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tcPr>
          <w:p w14:paraId="1C22C84B" w14:textId="77777777" w:rsidR="00E31E9B" w:rsidRPr="000B5740" w:rsidRDefault="00E31E9B" w:rsidP="0073713A">
            <w:pPr>
              <w:spacing w:after="0"/>
              <w:rPr>
                <w:rFonts w:cs="Arial"/>
                <w:sz w:val="18"/>
                <w:szCs w:val="18"/>
              </w:rPr>
            </w:pPr>
            <w:r w:rsidRPr="000B5740">
              <w:rPr>
                <w:rFonts w:cs="Arial"/>
                <w:sz w:val="18"/>
                <w:szCs w:val="18"/>
              </w:rPr>
              <w:t>Revenue = Y</w:t>
            </w:r>
          </w:p>
        </w:tc>
        <w:tc>
          <w:tcPr>
            <w:tcW w:w="0" w:type="dxa"/>
          </w:tcPr>
          <w:p w14:paraId="7D6AACD6" w14:textId="3FE62825" w:rsidR="00E31E9B" w:rsidRPr="00E31E9B" w:rsidRDefault="00E31E9B" w:rsidP="0073713A">
            <w:pPr>
              <w:spacing w:after="0"/>
              <w:jc w:val="right"/>
              <w:rPr>
                <w:rFonts w:cs="Arial"/>
                <w:sz w:val="18"/>
                <w:szCs w:val="18"/>
              </w:rPr>
            </w:pPr>
            <w:r w:rsidRPr="00E31E9B">
              <w:rPr>
                <w:sz w:val="18"/>
                <w:szCs w:val="18"/>
              </w:rPr>
              <w:t>0.93</w:t>
            </w:r>
          </w:p>
        </w:tc>
        <w:tc>
          <w:tcPr>
            <w:tcW w:w="0" w:type="dxa"/>
          </w:tcPr>
          <w:p w14:paraId="00759029" w14:textId="18611318" w:rsidR="00E31E9B" w:rsidRPr="00E31E9B" w:rsidRDefault="00E31E9B" w:rsidP="0073713A">
            <w:pPr>
              <w:spacing w:after="0"/>
              <w:jc w:val="right"/>
              <w:rPr>
                <w:rFonts w:cs="Arial"/>
                <w:sz w:val="18"/>
                <w:szCs w:val="18"/>
              </w:rPr>
            </w:pPr>
            <w:r w:rsidRPr="00E31E9B">
              <w:rPr>
                <w:sz w:val="18"/>
                <w:szCs w:val="18"/>
              </w:rPr>
              <w:t>0.64</w:t>
            </w:r>
          </w:p>
        </w:tc>
        <w:tc>
          <w:tcPr>
            <w:tcW w:w="0" w:type="dxa"/>
          </w:tcPr>
          <w:p w14:paraId="39281AE2" w14:textId="583ECE8F" w:rsidR="00E31E9B" w:rsidRPr="00E31E9B" w:rsidRDefault="00E31E9B" w:rsidP="0073713A">
            <w:pPr>
              <w:spacing w:after="0"/>
              <w:jc w:val="right"/>
              <w:rPr>
                <w:rFonts w:cs="Arial"/>
                <w:sz w:val="18"/>
                <w:szCs w:val="18"/>
              </w:rPr>
            </w:pPr>
            <w:r w:rsidRPr="00E31E9B">
              <w:rPr>
                <w:sz w:val="18"/>
                <w:szCs w:val="18"/>
              </w:rPr>
              <w:t>0.50</w:t>
            </w:r>
          </w:p>
        </w:tc>
        <w:tc>
          <w:tcPr>
            <w:tcW w:w="0" w:type="dxa"/>
          </w:tcPr>
          <w:p w14:paraId="529C2D76" w14:textId="6735588D" w:rsidR="00E31E9B" w:rsidRPr="00E31E9B" w:rsidRDefault="00E31E9B" w:rsidP="0073713A">
            <w:pPr>
              <w:spacing w:after="0"/>
              <w:jc w:val="right"/>
              <w:rPr>
                <w:rFonts w:cs="Arial"/>
                <w:sz w:val="18"/>
                <w:szCs w:val="18"/>
              </w:rPr>
            </w:pPr>
            <w:r w:rsidRPr="00E31E9B">
              <w:rPr>
                <w:sz w:val="18"/>
                <w:szCs w:val="18"/>
              </w:rPr>
              <w:t>0.73</w:t>
            </w:r>
          </w:p>
        </w:tc>
        <w:tc>
          <w:tcPr>
            <w:tcW w:w="0" w:type="dxa"/>
          </w:tcPr>
          <w:p w14:paraId="4C88F99C" w14:textId="18DECC4F" w:rsidR="00E31E9B" w:rsidRPr="00E31E9B" w:rsidRDefault="00E31E9B" w:rsidP="0073713A">
            <w:pPr>
              <w:spacing w:after="0"/>
              <w:jc w:val="right"/>
              <w:rPr>
                <w:rFonts w:cs="Arial"/>
                <w:sz w:val="18"/>
                <w:szCs w:val="18"/>
              </w:rPr>
            </w:pPr>
            <w:r w:rsidRPr="00E31E9B">
              <w:rPr>
                <w:sz w:val="18"/>
                <w:szCs w:val="18"/>
              </w:rPr>
              <w:t>0.53</w:t>
            </w:r>
          </w:p>
        </w:tc>
      </w:tr>
      <w:tr w:rsidR="00E31E9B" w:rsidRPr="000B5740" w14:paraId="3B8732A8" w14:textId="77777777" w:rsidTr="0073713A">
        <w:trPr>
          <w:cnfStyle w:val="000000100000" w:firstRow="0" w:lastRow="0" w:firstColumn="0" w:lastColumn="0" w:oddVBand="0" w:evenVBand="0" w:oddHBand="1" w:evenHBand="0" w:firstRowFirstColumn="0" w:firstRowLastColumn="0" w:lastRowFirstColumn="0" w:lastRowLastColumn="0"/>
        </w:trPr>
        <w:tc>
          <w:tcPr>
            <w:tcW w:w="0" w:type="dxa"/>
          </w:tcPr>
          <w:p w14:paraId="54B9581C" w14:textId="77777777" w:rsidR="00E31E9B" w:rsidRPr="000B5740" w:rsidRDefault="00E31E9B" w:rsidP="0073713A">
            <w:pPr>
              <w:spacing w:after="0"/>
              <w:rPr>
                <w:rFonts w:cs="Arial"/>
                <w:sz w:val="18"/>
                <w:szCs w:val="18"/>
              </w:rPr>
            </w:pPr>
            <w:r w:rsidRPr="000B5740">
              <w:rPr>
                <w:rFonts w:cs="Arial"/>
                <w:sz w:val="18"/>
                <w:szCs w:val="18"/>
              </w:rPr>
              <w:t>Balance = Y – X</w:t>
            </w:r>
          </w:p>
        </w:tc>
        <w:tc>
          <w:tcPr>
            <w:tcW w:w="0" w:type="dxa"/>
          </w:tcPr>
          <w:p w14:paraId="6575FCD1" w14:textId="50CA0996" w:rsidR="00E31E9B" w:rsidRPr="00E31E9B" w:rsidRDefault="00E31E9B" w:rsidP="0073713A">
            <w:pPr>
              <w:spacing w:after="0"/>
              <w:jc w:val="right"/>
              <w:rPr>
                <w:rFonts w:cs="Arial"/>
                <w:sz w:val="18"/>
                <w:szCs w:val="18"/>
              </w:rPr>
            </w:pPr>
            <w:r w:rsidRPr="00E31E9B">
              <w:rPr>
                <w:sz w:val="18"/>
                <w:szCs w:val="18"/>
              </w:rPr>
              <w:t>0.10</w:t>
            </w:r>
          </w:p>
        </w:tc>
        <w:tc>
          <w:tcPr>
            <w:tcW w:w="0" w:type="dxa"/>
          </w:tcPr>
          <w:p w14:paraId="7A70C52C" w14:textId="03C42285" w:rsidR="00E31E9B" w:rsidRPr="00E31E9B" w:rsidRDefault="00E31E9B" w:rsidP="0073713A">
            <w:pPr>
              <w:spacing w:after="0"/>
              <w:jc w:val="right"/>
              <w:rPr>
                <w:rFonts w:cs="Arial"/>
                <w:sz w:val="18"/>
                <w:szCs w:val="18"/>
              </w:rPr>
            </w:pPr>
            <w:r w:rsidRPr="00E31E9B">
              <w:rPr>
                <w:sz w:val="18"/>
                <w:szCs w:val="18"/>
              </w:rPr>
              <w:t>-0.19</w:t>
            </w:r>
          </w:p>
        </w:tc>
        <w:tc>
          <w:tcPr>
            <w:tcW w:w="0" w:type="dxa"/>
          </w:tcPr>
          <w:p w14:paraId="534934BA" w14:textId="6EC7E39F" w:rsidR="00E31E9B" w:rsidRPr="00E31E9B" w:rsidRDefault="00E31E9B" w:rsidP="0073713A">
            <w:pPr>
              <w:spacing w:after="0" w:line="276" w:lineRule="auto"/>
              <w:jc w:val="right"/>
              <w:rPr>
                <w:rFonts w:cs="Arial"/>
                <w:sz w:val="18"/>
                <w:szCs w:val="18"/>
              </w:rPr>
            </w:pPr>
            <w:r w:rsidRPr="00E31E9B">
              <w:rPr>
                <w:sz w:val="18"/>
                <w:szCs w:val="18"/>
              </w:rPr>
              <w:t>-0.33</w:t>
            </w:r>
          </w:p>
        </w:tc>
        <w:tc>
          <w:tcPr>
            <w:tcW w:w="0" w:type="dxa"/>
          </w:tcPr>
          <w:p w14:paraId="3A789445" w14:textId="579B0C6D" w:rsidR="00E31E9B" w:rsidRPr="00E31E9B" w:rsidRDefault="00E31E9B" w:rsidP="0073713A">
            <w:pPr>
              <w:spacing w:after="0" w:line="276" w:lineRule="auto"/>
              <w:jc w:val="right"/>
              <w:rPr>
                <w:rFonts w:cs="Arial"/>
                <w:sz w:val="18"/>
                <w:szCs w:val="18"/>
              </w:rPr>
            </w:pPr>
            <w:r w:rsidRPr="00E31E9B">
              <w:rPr>
                <w:sz w:val="18"/>
                <w:szCs w:val="18"/>
              </w:rPr>
              <w:t>0.23</w:t>
            </w:r>
          </w:p>
        </w:tc>
        <w:tc>
          <w:tcPr>
            <w:tcW w:w="0" w:type="dxa"/>
          </w:tcPr>
          <w:p w14:paraId="3EDCE698" w14:textId="01945379" w:rsidR="00E31E9B" w:rsidRPr="00E31E9B" w:rsidRDefault="00E31E9B" w:rsidP="0073713A">
            <w:pPr>
              <w:spacing w:after="0" w:line="276" w:lineRule="auto"/>
              <w:jc w:val="right"/>
              <w:rPr>
                <w:rFonts w:cs="Arial"/>
                <w:color w:val="000000"/>
                <w:sz w:val="18"/>
                <w:szCs w:val="18"/>
              </w:rPr>
            </w:pPr>
            <w:r w:rsidRPr="00E31E9B">
              <w:rPr>
                <w:sz w:val="18"/>
                <w:szCs w:val="18"/>
              </w:rPr>
              <w:t>0.04</w:t>
            </w:r>
          </w:p>
        </w:tc>
      </w:tr>
      <w:tr w:rsidR="00E31E9B" w:rsidRPr="000B5740" w14:paraId="74FD16F1" w14:textId="77777777" w:rsidTr="0073713A">
        <w:trPr>
          <w:cnfStyle w:val="000000010000" w:firstRow="0" w:lastRow="0" w:firstColumn="0" w:lastColumn="0" w:oddVBand="0" w:evenVBand="0" w:oddHBand="0" w:evenHBand="1" w:firstRowFirstColumn="0" w:firstRowLastColumn="0" w:lastRowFirstColumn="0" w:lastRowLastColumn="0"/>
        </w:trPr>
        <w:tc>
          <w:tcPr>
            <w:tcW w:w="0" w:type="dxa"/>
            <w:shd w:val="clear" w:color="auto" w:fill="404040" w:themeFill="text1" w:themeFillTint="BF"/>
          </w:tcPr>
          <w:p w14:paraId="4CAF1DEA" w14:textId="77777777" w:rsidR="00E31E9B" w:rsidRPr="0073713A" w:rsidRDefault="00E31E9B" w:rsidP="0073713A">
            <w:pPr>
              <w:spacing w:after="0"/>
              <w:rPr>
                <w:rFonts w:cs="Arial"/>
                <w:b/>
                <w:bCs/>
                <w:color w:val="FFFFFF" w:themeColor="background1"/>
                <w:sz w:val="18"/>
                <w:szCs w:val="18"/>
              </w:rPr>
            </w:pPr>
            <w:r w:rsidRPr="0073713A">
              <w:rPr>
                <w:rFonts w:cs="Arial"/>
                <w:b/>
                <w:bCs/>
                <w:color w:val="FFFFFF" w:themeColor="background1"/>
                <w:sz w:val="18"/>
                <w:szCs w:val="18"/>
              </w:rPr>
              <w:t>Cumulative balance</w:t>
            </w:r>
          </w:p>
        </w:tc>
        <w:tc>
          <w:tcPr>
            <w:tcW w:w="0" w:type="dxa"/>
            <w:shd w:val="clear" w:color="auto" w:fill="404040" w:themeFill="text1" w:themeFillTint="BF"/>
          </w:tcPr>
          <w:p w14:paraId="751B6D66" w14:textId="31E22012"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0.25</w:t>
            </w:r>
          </w:p>
        </w:tc>
        <w:tc>
          <w:tcPr>
            <w:tcW w:w="0" w:type="dxa"/>
            <w:shd w:val="clear" w:color="auto" w:fill="404040" w:themeFill="text1" w:themeFillTint="BF"/>
          </w:tcPr>
          <w:p w14:paraId="3840E8A0" w14:textId="3A4B6BA2"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0.06</w:t>
            </w:r>
          </w:p>
        </w:tc>
        <w:tc>
          <w:tcPr>
            <w:tcW w:w="0" w:type="dxa"/>
            <w:shd w:val="clear" w:color="auto" w:fill="404040" w:themeFill="text1" w:themeFillTint="BF"/>
          </w:tcPr>
          <w:p w14:paraId="2D2924A8" w14:textId="3F330229"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-0.27</w:t>
            </w:r>
          </w:p>
        </w:tc>
        <w:tc>
          <w:tcPr>
            <w:tcW w:w="0" w:type="dxa"/>
            <w:shd w:val="clear" w:color="auto" w:fill="404040" w:themeFill="text1" w:themeFillTint="BF"/>
          </w:tcPr>
          <w:p w14:paraId="1E701567" w14:textId="05A3747E"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-0.04</w:t>
            </w:r>
          </w:p>
        </w:tc>
        <w:tc>
          <w:tcPr>
            <w:tcW w:w="0" w:type="dxa"/>
            <w:shd w:val="clear" w:color="auto" w:fill="404040" w:themeFill="text1" w:themeFillTint="BF"/>
          </w:tcPr>
          <w:p w14:paraId="4CF1D820" w14:textId="4D9BC76B" w:rsidR="00E31E9B" w:rsidRPr="0073713A" w:rsidRDefault="00E31E9B" w:rsidP="0073713A">
            <w:pPr>
              <w:spacing w:after="0"/>
              <w:jc w:val="right"/>
              <w:rPr>
                <w:rFonts w:cs="Arial"/>
                <w:color w:val="FFFFFF" w:themeColor="background1"/>
                <w:sz w:val="18"/>
                <w:szCs w:val="18"/>
              </w:rPr>
            </w:pPr>
            <w:r w:rsidRPr="0073713A">
              <w:rPr>
                <w:color w:val="FFFFFF" w:themeColor="background1"/>
                <w:sz w:val="18"/>
                <w:szCs w:val="18"/>
              </w:rPr>
              <w:t>0.00</w:t>
            </w:r>
          </w:p>
        </w:tc>
      </w:tr>
    </w:tbl>
    <w:p w14:paraId="1CEF744C" w14:textId="77777777" w:rsidR="006C1631" w:rsidRPr="00E162C4" w:rsidRDefault="006C1631" w:rsidP="006C1631">
      <w:pPr>
        <w:pStyle w:val="Heading1"/>
      </w:pPr>
      <w:bookmarkStart w:id="24" w:name="_Toc106697693"/>
      <w:r w:rsidRPr="00E162C4">
        <w:lastRenderedPageBreak/>
        <w:t>Invitation to comment</w:t>
      </w:r>
      <w:bookmarkEnd w:id="24"/>
    </w:p>
    <w:p w14:paraId="294D37DD" w14:textId="77777777" w:rsidR="006C1631" w:rsidRPr="00E162C4" w:rsidRDefault="006C1631" w:rsidP="006C1631">
      <w:pPr>
        <w:pStyle w:val="Heading2"/>
      </w:pPr>
      <w:bookmarkStart w:id="25" w:name="_Toc433122131"/>
      <w:bookmarkStart w:id="26" w:name="_Toc348105637"/>
      <w:bookmarkStart w:id="27" w:name="_Toc300909556"/>
      <w:bookmarkStart w:id="28" w:name="_Toc298924673"/>
      <w:bookmarkStart w:id="29" w:name="_Toc106697694"/>
      <w:bookmarkStart w:id="30" w:name="_Toc348105638"/>
      <w:bookmarkStart w:id="31" w:name="_Toc300909557"/>
      <w:bookmarkStart w:id="32" w:name="_Toc298924674"/>
      <w:bookmarkStart w:id="33" w:name="_Toc274296357"/>
      <w:r w:rsidRPr="00E162C4">
        <w:t>Making a submission</w:t>
      </w:r>
      <w:bookmarkEnd w:id="25"/>
      <w:bookmarkEnd w:id="26"/>
      <w:bookmarkEnd w:id="27"/>
      <w:bookmarkEnd w:id="28"/>
      <w:bookmarkEnd w:id="29"/>
    </w:p>
    <w:p w14:paraId="1264F23A" w14:textId="2659CB91" w:rsidR="006C1631" w:rsidRPr="00E162C4" w:rsidRDefault="006C5FD4" w:rsidP="006C1631">
      <w:r w:rsidRPr="00E162C4">
        <w:t>We</w:t>
      </w:r>
      <w:r w:rsidR="006C1631" w:rsidRPr="00E162C4">
        <w:t xml:space="preserve"> invite comments on the issues set out in this </w:t>
      </w:r>
      <w:r w:rsidR="005A0990">
        <w:t>consultation</w:t>
      </w:r>
      <w:r w:rsidR="005A0990" w:rsidRPr="00E162C4">
        <w:t xml:space="preserve"> </w:t>
      </w:r>
      <w:r w:rsidR="006C1631" w:rsidRPr="00E162C4">
        <w:t xml:space="preserve">paper. </w:t>
      </w:r>
    </w:p>
    <w:p w14:paraId="45AD65D9" w14:textId="304BC0FF" w:rsidR="0070133D" w:rsidRPr="00E162C4" w:rsidRDefault="005C383B" w:rsidP="0070133D">
      <w:pPr>
        <w:pStyle w:val="Bulletlevel1"/>
      </w:pPr>
      <w:hyperlink r:id="rId34" w:history="1">
        <w:r w:rsidR="0070133D" w:rsidRPr="00E162C4">
          <w:rPr>
            <w:rStyle w:val="Hyperlink"/>
          </w:rPr>
          <w:t>Online submissions</w:t>
        </w:r>
      </w:hyperlink>
      <w:r w:rsidR="0070133D" w:rsidRPr="00E162C4">
        <w:t xml:space="preserve"> can be made by uploading a</w:t>
      </w:r>
      <w:r w:rsidR="002774C3">
        <w:t xml:space="preserve"> </w:t>
      </w:r>
      <w:r w:rsidR="0070133D" w:rsidRPr="00E162C4">
        <w:t>document. Submissions in</w:t>
      </w:r>
      <w:r w:rsidR="00396DC2" w:rsidRPr="00E162C4">
        <w:t xml:space="preserve"> PDF, </w:t>
      </w:r>
      <w:r w:rsidR="0070133D" w:rsidRPr="00E162C4">
        <w:t>Microsoft Word or Rich Text Format are preferred.</w:t>
      </w:r>
    </w:p>
    <w:p w14:paraId="28291A50" w14:textId="77777777" w:rsidR="006C1631" w:rsidRPr="00E162C4" w:rsidRDefault="006C1631" w:rsidP="0070133D">
      <w:pPr>
        <w:pStyle w:val="Bulletlevel1"/>
      </w:pPr>
      <w:r w:rsidRPr="00E162C4">
        <w:t xml:space="preserve">Submissions by post can be sent to: </w:t>
      </w:r>
    </w:p>
    <w:p w14:paraId="4BE338CB" w14:textId="77777777" w:rsidR="006C1631" w:rsidRPr="00331BA8" w:rsidRDefault="006C1631" w:rsidP="006C1631">
      <w:pPr>
        <w:tabs>
          <w:tab w:val="num" w:pos="295"/>
        </w:tabs>
        <w:spacing w:after="0"/>
        <w:ind w:left="295"/>
        <w:rPr>
          <w:szCs w:val="20"/>
        </w:rPr>
      </w:pPr>
      <w:r w:rsidRPr="00331BA8">
        <w:rPr>
          <w:szCs w:val="20"/>
        </w:rPr>
        <w:t>The Manager</w:t>
      </w:r>
    </w:p>
    <w:p w14:paraId="67069365" w14:textId="57F25973" w:rsidR="006C1631" w:rsidRPr="00331BA8" w:rsidRDefault="00331BA8" w:rsidP="006C1631">
      <w:pPr>
        <w:spacing w:after="0"/>
        <w:ind w:left="295"/>
        <w:rPr>
          <w:szCs w:val="20"/>
        </w:rPr>
      </w:pPr>
      <w:r w:rsidRPr="00331BA8">
        <w:rPr>
          <w:szCs w:val="20"/>
        </w:rPr>
        <w:t>Numbers Section</w:t>
      </w:r>
    </w:p>
    <w:p w14:paraId="025166C2" w14:textId="77777777" w:rsidR="006C1631" w:rsidRPr="00331BA8" w:rsidRDefault="006C1631" w:rsidP="006C1631">
      <w:pPr>
        <w:spacing w:after="0"/>
        <w:ind w:left="295"/>
        <w:rPr>
          <w:szCs w:val="20"/>
        </w:rPr>
      </w:pPr>
      <w:r w:rsidRPr="00331BA8">
        <w:rPr>
          <w:szCs w:val="20"/>
        </w:rPr>
        <w:t>Australian Communications and Media Authority</w:t>
      </w:r>
    </w:p>
    <w:p w14:paraId="2E82E3F5" w14:textId="7FF5E4D4" w:rsidR="006C1631" w:rsidRDefault="006C1631" w:rsidP="0099481F">
      <w:pPr>
        <w:spacing w:after="0"/>
        <w:ind w:left="295"/>
        <w:rPr>
          <w:szCs w:val="20"/>
        </w:rPr>
      </w:pPr>
      <w:r w:rsidRPr="00331BA8">
        <w:rPr>
          <w:szCs w:val="20"/>
        </w:rPr>
        <w:t xml:space="preserve">PO Box </w:t>
      </w:r>
      <w:r w:rsidR="0099481F">
        <w:rPr>
          <w:szCs w:val="20"/>
        </w:rPr>
        <w:t xml:space="preserve"> 13112</w:t>
      </w:r>
    </w:p>
    <w:p w14:paraId="52583317" w14:textId="7ED1522B" w:rsidR="0099481F" w:rsidRDefault="0099481F" w:rsidP="0099481F">
      <w:pPr>
        <w:spacing w:after="0"/>
        <w:ind w:left="295"/>
        <w:rPr>
          <w:szCs w:val="20"/>
        </w:rPr>
      </w:pPr>
      <w:r>
        <w:rPr>
          <w:szCs w:val="20"/>
        </w:rPr>
        <w:t>Law Courts</w:t>
      </w:r>
    </w:p>
    <w:p w14:paraId="3F4A2F16" w14:textId="1C976320" w:rsidR="0099481F" w:rsidRDefault="0099481F" w:rsidP="0099481F">
      <w:pPr>
        <w:spacing w:after="0"/>
        <w:ind w:left="295"/>
        <w:rPr>
          <w:szCs w:val="20"/>
        </w:rPr>
      </w:pPr>
      <w:r>
        <w:rPr>
          <w:szCs w:val="20"/>
        </w:rPr>
        <w:t>Melbourne VIC 8010</w:t>
      </w:r>
    </w:p>
    <w:p w14:paraId="17A8B0D8" w14:textId="77777777" w:rsidR="0099481F" w:rsidRPr="00E162C4" w:rsidRDefault="0099481F" w:rsidP="005635C8">
      <w:pPr>
        <w:spacing w:after="0"/>
        <w:ind w:left="295"/>
        <w:rPr>
          <w:szCs w:val="20"/>
        </w:rPr>
      </w:pPr>
    </w:p>
    <w:p w14:paraId="6E6FFCF7" w14:textId="78CFBB47" w:rsidR="006C1631" w:rsidRPr="00E162C4" w:rsidRDefault="006C1631" w:rsidP="006C1631">
      <w:r w:rsidRPr="00E162C4">
        <w:t xml:space="preserve">The closing date for submissions is COB, </w:t>
      </w:r>
      <w:r w:rsidR="00D8427C" w:rsidRPr="00D8427C">
        <w:rPr>
          <w:b/>
          <w:bCs/>
        </w:rPr>
        <w:t>25 July 2022</w:t>
      </w:r>
      <w:r w:rsidR="00945659" w:rsidRPr="0073713A">
        <w:t>.</w:t>
      </w:r>
    </w:p>
    <w:p w14:paraId="594891EB" w14:textId="053DDFC8" w:rsidR="006C1631" w:rsidRPr="00E162C4" w:rsidRDefault="006C1631" w:rsidP="006C1631">
      <w:pPr>
        <w:rPr>
          <w:szCs w:val="20"/>
        </w:rPr>
      </w:pPr>
      <w:r w:rsidRPr="00E162C4">
        <w:t xml:space="preserve">Consultation enquiries can be emailed </w:t>
      </w:r>
      <w:r w:rsidRPr="00E162C4">
        <w:rPr>
          <w:szCs w:val="20"/>
        </w:rPr>
        <w:t xml:space="preserve">to </w:t>
      </w:r>
      <w:hyperlink r:id="rId35" w:history="1">
        <w:r w:rsidR="00331BA8" w:rsidRPr="00331BA8">
          <w:rPr>
            <w:rStyle w:val="Hyperlink"/>
            <w:szCs w:val="20"/>
          </w:rPr>
          <w:t>numbering@acma.gov.au</w:t>
        </w:r>
      </w:hyperlink>
      <w:r w:rsidRPr="00331BA8">
        <w:rPr>
          <w:szCs w:val="20"/>
        </w:rPr>
        <w:t>.</w:t>
      </w:r>
    </w:p>
    <w:p w14:paraId="5012C21B" w14:textId="77777777" w:rsidR="006C1631" w:rsidRPr="00E162C4" w:rsidRDefault="006C1631" w:rsidP="005B2F0D">
      <w:pPr>
        <w:pStyle w:val="Heading4"/>
      </w:pPr>
      <w:bookmarkStart w:id="34" w:name="_Toc348105639"/>
      <w:bookmarkStart w:id="35" w:name="_Toc300909558"/>
      <w:bookmarkStart w:id="36" w:name="_Hlk59627494"/>
      <w:bookmarkEnd w:id="30"/>
      <w:bookmarkEnd w:id="31"/>
      <w:r w:rsidRPr="00E162C4">
        <w:t>Publication of submissions</w:t>
      </w:r>
      <w:bookmarkEnd w:id="32"/>
      <w:bookmarkEnd w:id="33"/>
      <w:bookmarkEnd w:id="34"/>
      <w:bookmarkEnd w:id="35"/>
    </w:p>
    <w:p w14:paraId="7AAD6890" w14:textId="77777777" w:rsidR="006C1631" w:rsidRPr="00E162C4" w:rsidRDefault="006C5FD4" w:rsidP="006C1631">
      <w:bookmarkStart w:id="37" w:name="_Toc348105640"/>
      <w:bookmarkStart w:id="38" w:name="_Toc300909559"/>
      <w:bookmarkStart w:id="39" w:name="_Toc265246234"/>
      <w:r w:rsidRPr="00E162C4">
        <w:t>We</w:t>
      </w:r>
      <w:r w:rsidR="006C1631" w:rsidRPr="00E162C4">
        <w:t xml:space="preserve"> publish submissions on our website</w:t>
      </w:r>
      <w:r w:rsidR="006C1631" w:rsidRPr="00E162C4">
        <w:rPr>
          <w:rFonts w:cs="Arial"/>
        </w:rPr>
        <w:t>, including personal information (such as names and contact details)</w:t>
      </w:r>
      <w:r w:rsidR="006C1631" w:rsidRPr="00E162C4">
        <w:t xml:space="preserve">, except for information that you have claimed (and we have accepted) is confidential. </w:t>
      </w:r>
    </w:p>
    <w:p w14:paraId="69914596" w14:textId="77777777" w:rsidR="006C1631" w:rsidRPr="00E162C4" w:rsidRDefault="006C1631" w:rsidP="006C1631">
      <w:r w:rsidRPr="00E162C4">
        <w:t>Confidential information will not be published or otherwise released unless required or authorised by law.</w:t>
      </w:r>
    </w:p>
    <w:p w14:paraId="05276D47" w14:textId="77777777" w:rsidR="006C1631" w:rsidRPr="00E162C4" w:rsidRDefault="006C1631" w:rsidP="005B2F0D">
      <w:pPr>
        <w:pStyle w:val="Heading4"/>
      </w:pPr>
      <w:r w:rsidRPr="00E162C4">
        <w:t>Privacy</w:t>
      </w:r>
    </w:p>
    <w:p w14:paraId="5497F1D7" w14:textId="77777777" w:rsidR="006C1631" w:rsidRPr="00E162C4" w:rsidRDefault="00E21056" w:rsidP="005B2F0D">
      <w:pPr>
        <w:pStyle w:val="Paragraph"/>
      </w:pPr>
      <w:r w:rsidRPr="00E162C4">
        <w:t>View</w:t>
      </w:r>
      <w:r w:rsidR="006C1631" w:rsidRPr="00E162C4">
        <w:t xml:space="preserve"> information about </w:t>
      </w:r>
      <w:r w:rsidRPr="00E162C4">
        <w:t xml:space="preserve">our policy on the </w:t>
      </w:r>
      <w:hyperlink r:id="rId36" w:history="1">
        <w:r w:rsidRPr="00E162C4">
          <w:rPr>
            <w:rStyle w:val="Hyperlink"/>
          </w:rPr>
          <w:t>publication of submissions</w:t>
        </w:r>
      </w:hyperlink>
      <w:r w:rsidRPr="00E162C4">
        <w:t xml:space="preserve">, including </w:t>
      </w:r>
      <w:r w:rsidR="006C1631" w:rsidRPr="00E162C4">
        <w:t>collection of personal information during consultation and how we handle that information</w:t>
      </w:r>
      <w:r w:rsidRPr="00E162C4">
        <w:t>.</w:t>
      </w:r>
    </w:p>
    <w:bookmarkEnd w:id="37"/>
    <w:bookmarkEnd w:id="38"/>
    <w:bookmarkEnd w:id="39"/>
    <w:p w14:paraId="6425B605" w14:textId="2DCCE8BE" w:rsidR="00A4193E" w:rsidRPr="00E162C4" w:rsidRDefault="006C1631" w:rsidP="005B2F0D">
      <w:pPr>
        <w:pStyle w:val="Paragraph"/>
      </w:pPr>
      <w:r w:rsidRPr="00E162C4">
        <w:t xml:space="preserve">Information on the </w:t>
      </w:r>
      <w:hyperlink r:id="rId37" w:history="1">
        <w:r w:rsidRPr="00521513">
          <w:rPr>
            <w:rStyle w:val="Hyperlink"/>
            <w:i/>
          </w:rPr>
          <w:t>Privacy Act 1988</w:t>
        </w:r>
      </w:hyperlink>
      <w:r w:rsidR="006A4CCA" w:rsidRPr="00E162C4">
        <w:rPr>
          <w:i/>
        </w:rPr>
        <w:t xml:space="preserve">, </w:t>
      </w:r>
      <w:r w:rsidRPr="00E162C4">
        <w:t xml:space="preserve">how to access or correct personal information, how to make a privacy complaint and how we will deal with </w:t>
      </w:r>
      <w:r w:rsidR="006C5FD4" w:rsidRPr="00E162C4">
        <w:t xml:space="preserve">any </w:t>
      </w:r>
      <w:r w:rsidRPr="00E162C4">
        <w:t>complaint</w:t>
      </w:r>
      <w:r w:rsidR="006C5FD4" w:rsidRPr="00E162C4">
        <w:t>s</w:t>
      </w:r>
      <w:r w:rsidR="00BB6335" w:rsidRPr="00E162C4">
        <w:t>,</w:t>
      </w:r>
      <w:r w:rsidR="00CF0BFE" w:rsidRPr="00E162C4">
        <w:t xml:space="preserve"> </w:t>
      </w:r>
      <w:r w:rsidRPr="00E162C4">
        <w:t xml:space="preserve">is available </w:t>
      </w:r>
      <w:r w:rsidR="00E21056" w:rsidRPr="00E162C4">
        <w:t xml:space="preserve">in our </w:t>
      </w:r>
      <w:hyperlink r:id="rId38" w:history="1">
        <w:r w:rsidR="00E21056" w:rsidRPr="00E162C4">
          <w:rPr>
            <w:rStyle w:val="Hyperlink"/>
          </w:rPr>
          <w:t>privacy policy</w:t>
        </w:r>
      </w:hyperlink>
      <w:r w:rsidRPr="00E162C4">
        <w:t>.</w:t>
      </w:r>
      <w:r w:rsidR="00A4193E" w:rsidRPr="00E162C4">
        <w:t xml:space="preserve"> </w:t>
      </w:r>
    </w:p>
    <w:bookmarkEnd w:id="36"/>
    <w:p w14:paraId="2312CBCC" w14:textId="23411682" w:rsidR="006B187F" w:rsidRPr="00E162C4" w:rsidRDefault="006B187F" w:rsidP="00851F3F"/>
    <w:sectPr w:rsidR="006B187F" w:rsidRPr="00E162C4" w:rsidSect="00B0328F">
      <w:headerReference w:type="even" r:id="rId39"/>
      <w:headerReference w:type="default" r:id="rId40"/>
      <w:footerReference w:type="even" r:id="rId41"/>
      <w:footerReference w:type="default" r:id="rId42"/>
      <w:pgSz w:w="11906" w:h="16838" w:code="9"/>
      <w:pgMar w:top="1560" w:right="1558" w:bottom="426"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CE0B" w14:textId="77777777" w:rsidR="00D52ACD" w:rsidRDefault="00D52ACD">
      <w:r>
        <w:separator/>
      </w:r>
    </w:p>
  </w:endnote>
  <w:endnote w:type="continuationSeparator" w:id="0">
    <w:p w14:paraId="66A66B36" w14:textId="77777777" w:rsidR="00D52ACD" w:rsidRDefault="00D52ACD">
      <w:r>
        <w:continuationSeparator/>
      </w:r>
    </w:p>
  </w:endnote>
  <w:endnote w:type="continuationNotice" w:id="1">
    <w:p w14:paraId="59651BF3" w14:textId="77777777" w:rsidR="00D52ACD" w:rsidRDefault="00D52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BE2B" w14:textId="77777777" w:rsidR="005E250B" w:rsidRDefault="005E250B" w:rsidP="005E250B">
    <w:pPr>
      <w:pStyle w:val="Footer"/>
      <w:jc w:val="right"/>
    </w:pPr>
    <w:r w:rsidRPr="005E250B">
      <w:rPr>
        <w:noProof/>
        <w:vertAlign w:val="subscript"/>
      </w:rPr>
      <w:drawing>
        <wp:inline distT="0" distB="0" distL="0" distR="0" wp14:anchorId="4226B120" wp14:editId="61660292">
          <wp:extent cx="1066800" cy="277368"/>
          <wp:effectExtent l="0" t="0" r="0" b="0"/>
          <wp:docPr id="6" name="Picture 6"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44DA"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D19"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E8E6"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147B0DA"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05F3"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EF73D8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D2F9" w14:textId="77777777" w:rsidR="00D52ACD" w:rsidRDefault="00D52ACD" w:rsidP="00EA0969">
      <w:pPr>
        <w:spacing w:after="0"/>
      </w:pPr>
      <w:r>
        <w:separator/>
      </w:r>
    </w:p>
  </w:footnote>
  <w:footnote w:type="continuationSeparator" w:id="0">
    <w:p w14:paraId="2CEDF5CA" w14:textId="77777777" w:rsidR="00D52ACD" w:rsidRDefault="00D52ACD">
      <w:r>
        <w:continuationSeparator/>
      </w:r>
    </w:p>
  </w:footnote>
  <w:footnote w:type="continuationNotice" w:id="1">
    <w:p w14:paraId="2094366F" w14:textId="77777777" w:rsidR="00D52ACD" w:rsidRDefault="00D52ACD">
      <w:pPr>
        <w:spacing w:after="0" w:line="240" w:lineRule="auto"/>
      </w:pPr>
    </w:p>
  </w:footnote>
  <w:footnote w:id="2">
    <w:p w14:paraId="0B0DCBDD" w14:textId="127C084E" w:rsidR="000B4025" w:rsidRDefault="000B4025" w:rsidP="000B4025">
      <w:pPr>
        <w:pStyle w:val="FootnoteText"/>
      </w:pPr>
      <w:r>
        <w:rPr>
          <w:rStyle w:val="FootnoteReference"/>
        </w:rPr>
        <w:footnoteRef/>
      </w:r>
      <w:r>
        <w:t xml:space="preserve"> The ACMA consulted industry on number of alternative charging methodologies for the setting of numbering allocation and administration charges in 2015 prior to implementing current cost recovery arrangements. This included calculations that sought to attribute charges to reflect the complexity of the system design. It concluded that a methodology that delivers a flat charge structure (no differentiation in the charges for different transaction types) is most appropriate. The flat-charge structure reflects that the Numbering System  is almost entirely fully automated; for the majority of transactions there will be no human decision-making or discretion.</w:t>
      </w:r>
    </w:p>
  </w:footnote>
  <w:footnote w:id="3">
    <w:p w14:paraId="65539F29" w14:textId="540912BA" w:rsidR="00792225" w:rsidRDefault="00792225" w:rsidP="00792225">
      <w:pPr>
        <w:pStyle w:val="FootnoteText"/>
      </w:pPr>
      <w:r>
        <w:rPr>
          <w:rStyle w:val="FootnoteReference"/>
        </w:rPr>
        <w:footnoteRef/>
      </w:r>
      <w:r>
        <w:t xml:space="preserve"> </w:t>
      </w:r>
      <w:r w:rsidR="006937D5">
        <w:t>T</w:t>
      </w:r>
      <w:r w:rsidR="000D3AB6">
        <w:t xml:space="preserve">he </w:t>
      </w:r>
      <w:r>
        <w:t>ACMA does not recover the GST component of its contract with ZOAK from users of the Numbering System.</w:t>
      </w:r>
    </w:p>
  </w:footnote>
  <w:footnote w:id="4">
    <w:p w14:paraId="10A0EF98" w14:textId="5A129535" w:rsidR="004D1565" w:rsidRDefault="004D1565">
      <w:pPr>
        <w:pStyle w:val="FootnoteText"/>
      </w:pPr>
      <w:r>
        <w:rPr>
          <w:rStyle w:val="FootnoteReference"/>
        </w:rPr>
        <w:footnoteRef/>
      </w:r>
      <w:r>
        <w:t xml:space="preserve"> </w:t>
      </w:r>
      <w:r w:rsidRPr="004D1565">
        <w:t>For example, in addition to</w:t>
      </w:r>
      <w:r>
        <w:t xml:space="preserve"> the </w:t>
      </w:r>
      <w:r w:rsidR="00357DFB">
        <w:t>one-off</w:t>
      </w:r>
      <w:r>
        <w:t xml:space="preserve"> transaction cost, other costs may include</w:t>
      </w:r>
      <w:r w:rsidRPr="004D1565">
        <w:t xml:space="preserve"> the monthly cost of providing services to the number</w:t>
      </w:r>
      <w:r>
        <w:t xml:space="preserve"> and an Annual Numbering </w:t>
      </w:r>
      <w:r w:rsidR="001D5C95">
        <w:t xml:space="preserve">Charge liability </w:t>
      </w:r>
      <w:r w:rsidRPr="004D1565">
        <w:t xml:space="preserve">which depending on </w:t>
      </w:r>
      <w:r>
        <w:t>the</w:t>
      </w:r>
      <w:r w:rsidRPr="004D1565">
        <w:t xml:space="preserve"> length </w:t>
      </w:r>
      <w:r>
        <w:t xml:space="preserve">of the FLRN </w:t>
      </w:r>
      <w:r w:rsidRPr="004D1565">
        <w:t xml:space="preserve">can </w:t>
      </w:r>
      <w:r w:rsidR="001D5C95">
        <w:t xml:space="preserve">be </w:t>
      </w:r>
      <w:r w:rsidRPr="004D1565">
        <w:t>up to $6,110</w:t>
      </w:r>
      <w:r w:rsidR="001D5C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1863" w14:textId="77777777" w:rsidR="00C053A1" w:rsidRPr="00A5474E" w:rsidRDefault="0021426C" w:rsidP="00A5474E">
    <w:pPr>
      <w:pStyle w:val="Header"/>
    </w:pPr>
    <w:r>
      <w:rPr>
        <w:noProof/>
      </w:rPr>
      <w:drawing>
        <wp:inline distT="0" distB="0" distL="0" distR="0" wp14:anchorId="7776A633" wp14:editId="1DD2FC53">
          <wp:extent cx="6210300" cy="571134"/>
          <wp:effectExtent l="0" t="0" r="0" b="0"/>
          <wp:docPr id="5" name="Picture 5"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3C48"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4BCA"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3BEA"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E0BC" w14:textId="77777777" w:rsidR="00C053A1" w:rsidRDefault="00C053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A2F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551A7B"/>
    <w:multiLevelType w:val="hybridMultilevel"/>
    <w:tmpl w:val="6CDCBBE8"/>
    <w:lvl w:ilvl="0" w:tplc="8ADED302">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4E3986"/>
    <w:multiLevelType w:val="hybridMultilevel"/>
    <w:tmpl w:val="6DF83CBA"/>
    <w:lvl w:ilvl="0" w:tplc="0C090001">
      <w:start w:val="1"/>
      <w:numFmt w:val="bullet"/>
      <w:lvlText w:val=""/>
      <w:lvlJc w:val="left"/>
      <w:pPr>
        <w:tabs>
          <w:tab w:val="num" w:pos="644"/>
        </w:tabs>
        <w:ind w:left="644" w:hanging="360"/>
      </w:pPr>
      <w:rPr>
        <w:rFonts w:ascii="Symbol" w:hAnsi="Symbol" w:hint="default"/>
      </w:rPr>
    </w:lvl>
    <w:lvl w:ilvl="1" w:tplc="E2822A0E">
      <w:start w:val="1"/>
      <w:numFmt w:val="bullet"/>
      <w:lvlText w:val=""/>
      <w:lvlJc w:val="left"/>
      <w:pPr>
        <w:tabs>
          <w:tab w:val="num" w:pos="1364"/>
        </w:tabs>
        <w:ind w:left="1364" w:hanging="360"/>
      </w:pPr>
      <w:rPr>
        <w:rFonts w:ascii="Symbol" w:hAnsi="Symbol" w:hint="default"/>
      </w:rPr>
    </w:lvl>
    <w:lvl w:ilvl="2" w:tplc="0C090005">
      <w:start w:val="1"/>
      <w:numFmt w:val="bullet"/>
      <w:lvlText w:val=""/>
      <w:lvlJc w:val="left"/>
      <w:pPr>
        <w:tabs>
          <w:tab w:val="num" w:pos="2084"/>
        </w:tabs>
        <w:ind w:left="2084" w:hanging="360"/>
      </w:pPr>
      <w:rPr>
        <w:rFonts w:ascii="Wingdings" w:hAnsi="Wingdings" w:hint="default"/>
      </w:rPr>
    </w:lvl>
    <w:lvl w:ilvl="3" w:tplc="0C090001">
      <w:start w:val="1"/>
      <w:numFmt w:val="bullet"/>
      <w:lvlText w:val=""/>
      <w:lvlJc w:val="left"/>
      <w:pPr>
        <w:tabs>
          <w:tab w:val="num" w:pos="2804"/>
        </w:tabs>
        <w:ind w:left="2804" w:hanging="360"/>
      </w:pPr>
      <w:rPr>
        <w:rFonts w:ascii="Symbol" w:hAnsi="Symbol" w:hint="default"/>
      </w:rPr>
    </w:lvl>
    <w:lvl w:ilvl="4" w:tplc="0C090003">
      <w:start w:val="1"/>
      <w:numFmt w:val="bullet"/>
      <w:lvlText w:val="o"/>
      <w:lvlJc w:val="left"/>
      <w:pPr>
        <w:tabs>
          <w:tab w:val="num" w:pos="3524"/>
        </w:tabs>
        <w:ind w:left="3524" w:hanging="360"/>
      </w:pPr>
      <w:rPr>
        <w:rFonts w:ascii="Courier New" w:hAnsi="Courier New" w:cs="Courier New" w:hint="default"/>
      </w:rPr>
    </w:lvl>
    <w:lvl w:ilvl="5" w:tplc="0C090005">
      <w:start w:val="1"/>
      <w:numFmt w:val="bullet"/>
      <w:lvlText w:val=""/>
      <w:lvlJc w:val="left"/>
      <w:pPr>
        <w:tabs>
          <w:tab w:val="num" w:pos="4244"/>
        </w:tabs>
        <w:ind w:left="4244" w:hanging="360"/>
      </w:pPr>
      <w:rPr>
        <w:rFonts w:ascii="Wingdings" w:hAnsi="Wingdings" w:hint="default"/>
      </w:rPr>
    </w:lvl>
    <w:lvl w:ilvl="6" w:tplc="0C090001">
      <w:start w:val="1"/>
      <w:numFmt w:val="bullet"/>
      <w:lvlText w:val=""/>
      <w:lvlJc w:val="left"/>
      <w:pPr>
        <w:tabs>
          <w:tab w:val="num" w:pos="4964"/>
        </w:tabs>
        <w:ind w:left="4964" w:hanging="360"/>
      </w:pPr>
      <w:rPr>
        <w:rFonts w:ascii="Symbol" w:hAnsi="Symbol" w:hint="default"/>
      </w:rPr>
    </w:lvl>
    <w:lvl w:ilvl="7" w:tplc="0C090003">
      <w:start w:val="1"/>
      <w:numFmt w:val="bullet"/>
      <w:lvlText w:val="o"/>
      <w:lvlJc w:val="left"/>
      <w:pPr>
        <w:tabs>
          <w:tab w:val="num" w:pos="5684"/>
        </w:tabs>
        <w:ind w:left="5684" w:hanging="360"/>
      </w:pPr>
      <w:rPr>
        <w:rFonts w:ascii="Courier New" w:hAnsi="Courier New" w:cs="Courier New" w:hint="default"/>
      </w:rPr>
    </w:lvl>
    <w:lvl w:ilvl="8" w:tplc="0C09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3B808A0"/>
    <w:multiLevelType w:val="hybridMultilevel"/>
    <w:tmpl w:val="3EB06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5AA21F0"/>
    <w:multiLevelType w:val="hybridMultilevel"/>
    <w:tmpl w:val="6D7C8FC2"/>
    <w:lvl w:ilvl="0" w:tplc="79B81AB2">
      <w:start w:val="1"/>
      <w:numFmt w:val="decimal"/>
      <w:pStyle w:val="ACMATableHeader"/>
      <w:lvlText w:val="Table %1:"/>
      <w:lvlJc w:val="left"/>
      <w:pPr>
        <w:tabs>
          <w:tab w:val="num" w:pos="1390"/>
        </w:tabs>
        <w:ind w:left="1390" w:hanging="964"/>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82737"/>
    <w:multiLevelType w:val="multilevel"/>
    <w:tmpl w:val="F92CA648"/>
    <w:lvl w:ilvl="0">
      <w:start w:val="1"/>
      <w:numFmt w:val="decimal"/>
      <w:lvlText w:val="%1."/>
      <w:lvlJc w:val="left"/>
      <w:pPr>
        <w:ind w:left="360" w:hanging="360"/>
      </w:pPr>
    </w:lvl>
    <w:lvl w:ilvl="1">
      <w:start w:val="1"/>
      <w:numFmt w:val="decimal"/>
      <w:isLgl/>
      <w:lvlText w:val="%1.%2"/>
      <w:lvlJc w:val="left"/>
      <w:pPr>
        <w:ind w:left="720" w:hanging="720"/>
      </w:pPr>
      <w:rPr>
        <w:b/>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num>
  <w:num w:numId="2">
    <w:abstractNumId w:val="1"/>
  </w:num>
  <w:num w:numId="3">
    <w:abstractNumId w:val="2"/>
  </w:num>
  <w:num w:numId="4">
    <w:abstractNumId w:val="0"/>
  </w:num>
  <w:num w:numId="5">
    <w:abstractNumId w:val="9"/>
  </w:num>
  <w:num w:numId="6">
    <w:abstractNumId w:val="13"/>
  </w:num>
  <w:num w:numId="7">
    <w:abstractNumId w:val="11"/>
  </w:num>
  <w:num w:numId="8">
    <w:abstractNumId w:val="12"/>
  </w:num>
  <w:num w:numId="9">
    <w:abstractNumId w:val="14"/>
  </w:num>
  <w:num w:numId="10">
    <w:abstractNumId w:val="6"/>
  </w:num>
  <w:num w:numId="11">
    <w:abstractNumId w:val="5"/>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0"/>
  </w:num>
  <w:num w:numId="17">
    <w:abstractNumId w:val="2"/>
    <w:lvlOverride w:ilvl="0">
      <w:startOverride w:val="1"/>
    </w:lvlOverride>
  </w:num>
  <w:num w:numId="18">
    <w:abstractNumId w:val="3"/>
  </w:num>
  <w:num w:numId="19">
    <w:abstractNumId w:val="3"/>
  </w:num>
  <w:num w:numId="20">
    <w:abstractNumId w:val="7"/>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8433">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4B"/>
    <w:rsid w:val="0000294F"/>
    <w:rsid w:val="000054EF"/>
    <w:rsid w:val="00007A92"/>
    <w:rsid w:val="00010667"/>
    <w:rsid w:val="00012168"/>
    <w:rsid w:val="000129D5"/>
    <w:rsid w:val="00015AE7"/>
    <w:rsid w:val="00016E21"/>
    <w:rsid w:val="0001719C"/>
    <w:rsid w:val="0002224E"/>
    <w:rsid w:val="0002254D"/>
    <w:rsid w:val="00023A36"/>
    <w:rsid w:val="000245E5"/>
    <w:rsid w:val="00025BAD"/>
    <w:rsid w:val="00026F91"/>
    <w:rsid w:val="00027B6F"/>
    <w:rsid w:val="000306C5"/>
    <w:rsid w:val="00032621"/>
    <w:rsid w:val="00032E84"/>
    <w:rsid w:val="00033234"/>
    <w:rsid w:val="00043575"/>
    <w:rsid w:val="00045C85"/>
    <w:rsid w:val="000469CB"/>
    <w:rsid w:val="0004764C"/>
    <w:rsid w:val="0005011A"/>
    <w:rsid w:val="0005045A"/>
    <w:rsid w:val="00051C1E"/>
    <w:rsid w:val="000539F9"/>
    <w:rsid w:val="00054052"/>
    <w:rsid w:val="00054C27"/>
    <w:rsid w:val="00055EC3"/>
    <w:rsid w:val="000563CE"/>
    <w:rsid w:val="00061434"/>
    <w:rsid w:val="00062D16"/>
    <w:rsid w:val="000659B6"/>
    <w:rsid w:val="0006686F"/>
    <w:rsid w:val="0006722A"/>
    <w:rsid w:val="00070BEE"/>
    <w:rsid w:val="00071D40"/>
    <w:rsid w:val="000730B3"/>
    <w:rsid w:val="000732CF"/>
    <w:rsid w:val="0007498A"/>
    <w:rsid w:val="00075B96"/>
    <w:rsid w:val="0008196A"/>
    <w:rsid w:val="00084925"/>
    <w:rsid w:val="00085C5C"/>
    <w:rsid w:val="0009032E"/>
    <w:rsid w:val="000915ED"/>
    <w:rsid w:val="0009209D"/>
    <w:rsid w:val="000941D1"/>
    <w:rsid w:val="0009463C"/>
    <w:rsid w:val="00094BE6"/>
    <w:rsid w:val="000969BD"/>
    <w:rsid w:val="000969BF"/>
    <w:rsid w:val="00096E2C"/>
    <w:rsid w:val="000A0C22"/>
    <w:rsid w:val="000A1400"/>
    <w:rsid w:val="000A2839"/>
    <w:rsid w:val="000A3C43"/>
    <w:rsid w:val="000A4A51"/>
    <w:rsid w:val="000A5D2B"/>
    <w:rsid w:val="000A6223"/>
    <w:rsid w:val="000A77EC"/>
    <w:rsid w:val="000B4025"/>
    <w:rsid w:val="000B4664"/>
    <w:rsid w:val="000B474D"/>
    <w:rsid w:val="000B5DE3"/>
    <w:rsid w:val="000C0A57"/>
    <w:rsid w:val="000C230C"/>
    <w:rsid w:val="000C4C50"/>
    <w:rsid w:val="000C5DD7"/>
    <w:rsid w:val="000C6AB4"/>
    <w:rsid w:val="000D358B"/>
    <w:rsid w:val="000D3AB6"/>
    <w:rsid w:val="000D585D"/>
    <w:rsid w:val="000D71D9"/>
    <w:rsid w:val="000D76E0"/>
    <w:rsid w:val="000D7E8B"/>
    <w:rsid w:val="000E0696"/>
    <w:rsid w:val="000E4449"/>
    <w:rsid w:val="000E4BAD"/>
    <w:rsid w:val="000E4DC8"/>
    <w:rsid w:val="000E6097"/>
    <w:rsid w:val="000E62AE"/>
    <w:rsid w:val="00103829"/>
    <w:rsid w:val="00111540"/>
    <w:rsid w:val="00111FCE"/>
    <w:rsid w:val="0011230C"/>
    <w:rsid w:val="001158BF"/>
    <w:rsid w:val="00116041"/>
    <w:rsid w:val="00116327"/>
    <w:rsid w:val="00117026"/>
    <w:rsid w:val="001229A5"/>
    <w:rsid w:val="0012489B"/>
    <w:rsid w:val="00124CB2"/>
    <w:rsid w:val="00124F8C"/>
    <w:rsid w:val="00126BAD"/>
    <w:rsid w:val="00127099"/>
    <w:rsid w:val="00130017"/>
    <w:rsid w:val="00130F91"/>
    <w:rsid w:val="00131322"/>
    <w:rsid w:val="00133E99"/>
    <w:rsid w:val="001349ED"/>
    <w:rsid w:val="001350E1"/>
    <w:rsid w:val="00137424"/>
    <w:rsid w:val="00140318"/>
    <w:rsid w:val="00140DC5"/>
    <w:rsid w:val="00141966"/>
    <w:rsid w:val="00141AD9"/>
    <w:rsid w:val="0014370F"/>
    <w:rsid w:val="00146CE6"/>
    <w:rsid w:val="00152903"/>
    <w:rsid w:val="00153FD5"/>
    <w:rsid w:val="001549A4"/>
    <w:rsid w:val="0015614F"/>
    <w:rsid w:val="0015705C"/>
    <w:rsid w:val="001577C2"/>
    <w:rsid w:val="001632C3"/>
    <w:rsid w:val="001633C4"/>
    <w:rsid w:val="001667F1"/>
    <w:rsid w:val="001704D5"/>
    <w:rsid w:val="00171591"/>
    <w:rsid w:val="00172D5F"/>
    <w:rsid w:val="00173981"/>
    <w:rsid w:val="0017719D"/>
    <w:rsid w:val="00177328"/>
    <w:rsid w:val="00183FD7"/>
    <w:rsid w:val="00185CAB"/>
    <w:rsid w:val="001875B7"/>
    <w:rsid w:val="00187CB3"/>
    <w:rsid w:val="0019050A"/>
    <w:rsid w:val="00190B4C"/>
    <w:rsid w:val="001910D4"/>
    <w:rsid w:val="00193CE5"/>
    <w:rsid w:val="00195CEA"/>
    <w:rsid w:val="001976E3"/>
    <w:rsid w:val="001A42B9"/>
    <w:rsid w:val="001A44EC"/>
    <w:rsid w:val="001A5F41"/>
    <w:rsid w:val="001A69AC"/>
    <w:rsid w:val="001B554F"/>
    <w:rsid w:val="001B58AA"/>
    <w:rsid w:val="001B772C"/>
    <w:rsid w:val="001B7E48"/>
    <w:rsid w:val="001B7EFE"/>
    <w:rsid w:val="001C17CE"/>
    <w:rsid w:val="001C36CA"/>
    <w:rsid w:val="001C3D02"/>
    <w:rsid w:val="001C44D1"/>
    <w:rsid w:val="001C4531"/>
    <w:rsid w:val="001C5C4B"/>
    <w:rsid w:val="001C6AEE"/>
    <w:rsid w:val="001C7630"/>
    <w:rsid w:val="001D1DA3"/>
    <w:rsid w:val="001D5C95"/>
    <w:rsid w:val="001D5DD1"/>
    <w:rsid w:val="001D6D15"/>
    <w:rsid w:val="001D7320"/>
    <w:rsid w:val="001D7677"/>
    <w:rsid w:val="001E1F4A"/>
    <w:rsid w:val="001E7ED6"/>
    <w:rsid w:val="001F0DED"/>
    <w:rsid w:val="001F1F17"/>
    <w:rsid w:val="001F5039"/>
    <w:rsid w:val="001F50F7"/>
    <w:rsid w:val="001F68A1"/>
    <w:rsid w:val="001F6996"/>
    <w:rsid w:val="001F7558"/>
    <w:rsid w:val="001F7738"/>
    <w:rsid w:val="00201EE2"/>
    <w:rsid w:val="00203572"/>
    <w:rsid w:val="002049C0"/>
    <w:rsid w:val="00204A40"/>
    <w:rsid w:val="002054CC"/>
    <w:rsid w:val="0020556E"/>
    <w:rsid w:val="00205B57"/>
    <w:rsid w:val="00212A21"/>
    <w:rsid w:val="0021426C"/>
    <w:rsid w:val="002157E0"/>
    <w:rsid w:val="00216A57"/>
    <w:rsid w:val="00217448"/>
    <w:rsid w:val="00220757"/>
    <w:rsid w:val="00221293"/>
    <w:rsid w:val="0022334F"/>
    <w:rsid w:val="00226819"/>
    <w:rsid w:val="00233101"/>
    <w:rsid w:val="00233817"/>
    <w:rsid w:val="0023539A"/>
    <w:rsid w:val="002367AA"/>
    <w:rsid w:val="002367FF"/>
    <w:rsid w:val="00236BF3"/>
    <w:rsid w:val="002370F6"/>
    <w:rsid w:val="00240CE9"/>
    <w:rsid w:val="002434BA"/>
    <w:rsid w:val="00246089"/>
    <w:rsid w:val="00246093"/>
    <w:rsid w:val="00246702"/>
    <w:rsid w:val="00246A7E"/>
    <w:rsid w:val="00247C59"/>
    <w:rsid w:val="00247F2E"/>
    <w:rsid w:val="002504E3"/>
    <w:rsid w:val="00250ADC"/>
    <w:rsid w:val="00250B07"/>
    <w:rsid w:val="00257553"/>
    <w:rsid w:val="002601BD"/>
    <w:rsid w:val="00260FB2"/>
    <w:rsid w:val="00262128"/>
    <w:rsid w:val="00262859"/>
    <w:rsid w:val="0027165D"/>
    <w:rsid w:val="00272CA8"/>
    <w:rsid w:val="00273CEB"/>
    <w:rsid w:val="002774C3"/>
    <w:rsid w:val="00281C89"/>
    <w:rsid w:val="0028282F"/>
    <w:rsid w:val="00284308"/>
    <w:rsid w:val="00285E80"/>
    <w:rsid w:val="002872C7"/>
    <w:rsid w:val="00287A07"/>
    <w:rsid w:val="00293C0F"/>
    <w:rsid w:val="0029593B"/>
    <w:rsid w:val="00297FC5"/>
    <w:rsid w:val="002A0417"/>
    <w:rsid w:val="002A16D8"/>
    <w:rsid w:val="002A1BC8"/>
    <w:rsid w:val="002A3EF2"/>
    <w:rsid w:val="002B0DED"/>
    <w:rsid w:val="002B0E9F"/>
    <w:rsid w:val="002B19A2"/>
    <w:rsid w:val="002B381A"/>
    <w:rsid w:val="002B4FCC"/>
    <w:rsid w:val="002B7408"/>
    <w:rsid w:val="002B7749"/>
    <w:rsid w:val="002B7CFD"/>
    <w:rsid w:val="002C0530"/>
    <w:rsid w:val="002C1B34"/>
    <w:rsid w:val="002C210F"/>
    <w:rsid w:val="002C4167"/>
    <w:rsid w:val="002C48A5"/>
    <w:rsid w:val="002D3600"/>
    <w:rsid w:val="002D4AFD"/>
    <w:rsid w:val="002D5EA7"/>
    <w:rsid w:val="002D6318"/>
    <w:rsid w:val="002E219B"/>
    <w:rsid w:val="002E316C"/>
    <w:rsid w:val="002E4DDC"/>
    <w:rsid w:val="002E704B"/>
    <w:rsid w:val="002F30CE"/>
    <w:rsid w:val="002F3C01"/>
    <w:rsid w:val="002F603A"/>
    <w:rsid w:val="00302480"/>
    <w:rsid w:val="00302758"/>
    <w:rsid w:val="003044DB"/>
    <w:rsid w:val="00305EFC"/>
    <w:rsid w:val="003062B7"/>
    <w:rsid w:val="00310B64"/>
    <w:rsid w:val="003161EE"/>
    <w:rsid w:val="003165E6"/>
    <w:rsid w:val="00316F27"/>
    <w:rsid w:val="003215B5"/>
    <w:rsid w:val="00321C11"/>
    <w:rsid w:val="003221CF"/>
    <w:rsid w:val="003233B2"/>
    <w:rsid w:val="003233ED"/>
    <w:rsid w:val="00324D9F"/>
    <w:rsid w:val="003253EE"/>
    <w:rsid w:val="00325540"/>
    <w:rsid w:val="003255FA"/>
    <w:rsid w:val="00326B2B"/>
    <w:rsid w:val="003277F5"/>
    <w:rsid w:val="00327948"/>
    <w:rsid w:val="0033000F"/>
    <w:rsid w:val="00331920"/>
    <w:rsid w:val="00331BA8"/>
    <w:rsid w:val="00331D4C"/>
    <w:rsid w:val="00332011"/>
    <w:rsid w:val="00332518"/>
    <w:rsid w:val="00332925"/>
    <w:rsid w:val="00332E3F"/>
    <w:rsid w:val="00332EB8"/>
    <w:rsid w:val="003332ED"/>
    <w:rsid w:val="003368DC"/>
    <w:rsid w:val="00340ACB"/>
    <w:rsid w:val="00343355"/>
    <w:rsid w:val="003442B0"/>
    <w:rsid w:val="0034490B"/>
    <w:rsid w:val="00345402"/>
    <w:rsid w:val="00345927"/>
    <w:rsid w:val="00350584"/>
    <w:rsid w:val="00351857"/>
    <w:rsid w:val="00353209"/>
    <w:rsid w:val="003545E8"/>
    <w:rsid w:val="00357DFB"/>
    <w:rsid w:val="003610E1"/>
    <w:rsid w:val="00361F43"/>
    <w:rsid w:val="00361FA5"/>
    <w:rsid w:val="00363F80"/>
    <w:rsid w:val="00365A70"/>
    <w:rsid w:val="00367121"/>
    <w:rsid w:val="003671BE"/>
    <w:rsid w:val="00372485"/>
    <w:rsid w:val="00373200"/>
    <w:rsid w:val="0037530F"/>
    <w:rsid w:val="00375EF5"/>
    <w:rsid w:val="003767A5"/>
    <w:rsid w:val="00376B4E"/>
    <w:rsid w:val="003803BD"/>
    <w:rsid w:val="00381D15"/>
    <w:rsid w:val="00385254"/>
    <w:rsid w:val="00385AEF"/>
    <w:rsid w:val="00390D91"/>
    <w:rsid w:val="003933E8"/>
    <w:rsid w:val="00394031"/>
    <w:rsid w:val="00396DC2"/>
    <w:rsid w:val="003975D7"/>
    <w:rsid w:val="003A04DB"/>
    <w:rsid w:val="003A5A9F"/>
    <w:rsid w:val="003A5F5B"/>
    <w:rsid w:val="003A6EA9"/>
    <w:rsid w:val="003A7079"/>
    <w:rsid w:val="003A789A"/>
    <w:rsid w:val="003B12EC"/>
    <w:rsid w:val="003B1876"/>
    <w:rsid w:val="003B1EA2"/>
    <w:rsid w:val="003B2919"/>
    <w:rsid w:val="003B4ED0"/>
    <w:rsid w:val="003C03B8"/>
    <w:rsid w:val="003C77E0"/>
    <w:rsid w:val="003D17D7"/>
    <w:rsid w:val="003D2678"/>
    <w:rsid w:val="003D2EF7"/>
    <w:rsid w:val="003D4737"/>
    <w:rsid w:val="003D71A3"/>
    <w:rsid w:val="003E0AF2"/>
    <w:rsid w:val="003E1690"/>
    <w:rsid w:val="003E2B8A"/>
    <w:rsid w:val="003E3483"/>
    <w:rsid w:val="003F10EE"/>
    <w:rsid w:val="003F16F6"/>
    <w:rsid w:val="003F4DC7"/>
    <w:rsid w:val="003F5235"/>
    <w:rsid w:val="003F674F"/>
    <w:rsid w:val="004027E4"/>
    <w:rsid w:val="004037F3"/>
    <w:rsid w:val="0041071D"/>
    <w:rsid w:val="00413230"/>
    <w:rsid w:val="00414AFC"/>
    <w:rsid w:val="004151A7"/>
    <w:rsid w:val="00415310"/>
    <w:rsid w:val="00416723"/>
    <w:rsid w:val="004208DF"/>
    <w:rsid w:val="00421709"/>
    <w:rsid w:val="00423763"/>
    <w:rsid w:val="004265EE"/>
    <w:rsid w:val="00426E3A"/>
    <w:rsid w:val="0042762F"/>
    <w:rsid w:val="00427DC7"/>
    <w:rsid w:val="004315C4"/>
    <w:rsid w:val="00431613"/>
    <w:rsid w:val="00431792"/>
    <w:rsid w:val="0043297A"/>
    <w:rsid w:val="00432EB2"/>
    <w:rsid w:val="00434269"/>
    <w:rsid w:val="0043714F"/>
    <w:rsid w:val="004438B5"/>
    <w:rsid w:val="0044390B"/>
    <w:rsid w:val="00445FF8"/>
    <w:rsid w:val="00447037"/>
    <w:rsid w:val="00450174"/>
    <w:rsid w:val="0045124D"/>
    <w:rsid w:val="00451554"/>
    <w:rsid w:val="00454596"/>
    <w:rsid w:val="0045605D"/>
    <w:rsid w:val="00457CC4"/>
    <w:rsid w:val="004607B1"/>
    <w:rsid w:val="0046135B"/>
    <w:rsid w:val="00461D47"/>
    <w:rsid w:val="004620EA"/>
    <w:rsid w:val="004718CC"/>
    <w:rsid w:val="00473771"/>
    <w:rsid w:val="00475033"/>
    <w:rsid w:val="00481695"/>
    <w:rsid w:val="0048213E"/>
    <w:rsid w:val="00486FF6"/>
    <w:rsid w:val="00492A64"/>
    <w:rsid w:val="00494423"/>
    <w:rsid w:val="00495A96"/>
    <w:rsid w:val="00495BB3"/>
    <w:rsid w:val="004A4AEE"/>
    <w:rsid w:val="004A56BB"/>
    <w:rsid w:val="004A70D6"/>
    <w:rsid w:val="004A7B19"/>
    <w:rsid w:val="004B0F92"/>
    <w:rsid w:val="004B1751"/>
    <w:rsid w:val="004B19C7"/>
    <w:rsid w:val="004B205B"/>
    <w:rsid w:val="004B2FC1"/>
    <w:rsid w:val="004B59CD"/>
    <w:rsid w:val="004B62BE"/>
    <w:rsid w:val="004B78F4"/>
    <w:rsid w:val="004C0253"/>
    <w:rsid w:val="004C244B"/>
    <w:rsid w:val="004C2C89"/>
    <w:rsid w:val="004C5EFD"/>
    <w:rsid w:val="004C6412"/>
    <w:rsid w:val="004D1565"/>
    <w:rsid w:val="004D18D8"/>
    <w:rsid w:val="004D4555"/>
    <w:rsid w:val="004D56FF"/>
    <w:rsid w:val="004D5A4C"/>
    <w:rsid w:val="004E0A33"/>
    <w:rsid w:val="004E39D3"/>
    <w:rsid w:val="004E49AD"/>
    <w:rsid w:val="004E508A"/>
    <w:rsid w:val="004E616D"/>
    <w:rsid w:val="004F1BDE"/>
    <w:rsid w:val="004F2CEE"/>
    <w:rsid w:val="004F425E"/>
    <w:rsid w:val="004F556E"/>
    <w:rsid w:val="004F591C"/>
    <w:rsid w:val="004F7F44"/>
    <w:rsid w:val="00501C39"/>
    <w:rsid w:val="005037B4"/>
    <w:rsid w:val="005079BF"/>
    <w:rsid w:val="00510325"/>
    <w:rsid w:val="005115CA"/>
    <w:rsid w:val="005116E3"/>
    <w:rsid w:val="0051269A"/>
    <w:rsid w:val="00521513"/>
    <w:rsid w:val="005219E7"/>
    <w:rsid w:val="00521D10"/>
    <w:rsid w:val="005251F8"/>
    <w:rsid w:val="005315B5"/>
    <w:rsid w:val="0053178E"/>
    <w:rsid w:val="00531B9A"/>
    <w:rsid w:val="00531D15"/>
    <w:rsid w:val="005373F3"/>
    <w:rsid w:val="00537604"/>
    <w:rsid w:val="00542377"/>
    <w:rsid w:val="00543B75"/>
    <w:rsid w:val="005476EB"/>
    <w:rsid w:val="00551782"/>
    <w:rsid w:val="005522DE"/>
    <w:rsid w:val="005528AB"/>
    <w:rsid w:val="00556713"/>
    <w:rsid w:val="005604C7"/>
    <w:rsid w:val="005635C8"/>
    <w:rsid w:val="00563EF1"/>
    <w:rsid w:val="0056456D"/>
    <w:rsid w:val="0056543C"/>
    <w:rsid w:val="00566AB4"/>
    <w:rsid w:val="00567E1A"/>
    <w:rsid w:val="00570AFB"/>
    <w:rsid w:val="00572D0F"/>
    <w:rsid w:val="00573812"/>
    <w:rsid w:val="00575182"/>
    <w:rsid w:val="00575AC5"/>
    <w:rsid w:val="0057605D"/>
    <w:rsid w:val="00581347"/>
    <w:rsid w:val="00581AC9"/>
    <w:rsid w:val="00581DCF"/>
    <w:rsid w:val="0058203D"/>
    <w:rsid w:val="005849F8"/>
    <w:rsid w:val="00584B51"/>
    <w:rsid w:val="0058506C"/>
    <w:rsid w:val="0058663C"/>
    <w:rsid w:val="0058693E"/>
    <w:rsid w:val="00590512"/>
    <w:rsid w:val="005938DF"/>
    <w:rsid w:val="0059499D"/>
    <w:rsid w:val="00594E9C"/>
    <w:rsid w:val="00595F06"/>
    <w:rsid w:val="005A0990"/>
    <w:rsid w:val="005A099B"/>
    <w:rsid w:val="005A0FC9"/>
    <w:rsid w:val="005A2D3C"/>
    <w:rsid w:val="005A2D9C"/>
    <w:rsid w:val="005A3491"/>
    <w:rsid w:val="005A41B7"/>
    <w:rsid w:val="005A53CE"/>
    <w:rsid w:val="005A55FE"/>
    <w:rsid w:val="005A6A11"/>
    <w:rsid w:val="005A7B96"/>
    <w:rsid w:val="005B2ABB"/>
    <w:rsid w:val="005B2F0D"/>
    <w:rsid w:val="005B3289"/>
    <w:rsid w:val="005B4AED"/>
    <w:rsid w:val="005B4B50"/>
    <w:rsid w:val="005C34EF"/>
    <w:rsid w:val="005C383B"/>
    <w:rsid w:val="005C6805"/>
    <w:rsid w:val="005C71BF"/>
    <w:rsid w:val="005D2502"/>
    <w:rsid w:val="005D40BB"/>
    <w:rsid w:val="005D47F3"/>
    <w:rsid w:val="005D49BF"/>
    <w:rsid w:val="005D4AA5"/>
    <w:rsid w:val="005D6F4E"/>
    <w:rsid w:val="005D711D"/>
    <w:rsid w:val="005D7997"/>
    <w:rsid w:val="005D7C73"/>
    <w:rsid w:val="005E099F"/>
    <w:rsid w:val="005E1408"/>
    <w:rsid w:val="005E250B"/>
    <w:rsid w:val="005E3ACD"/>
    <w:rsid w:val="005E7226"/>
    <w:rsid w:val="005E7A57"/>
    <w:rsid w:val="005F24B0"/>
    <w:rsid w:val="005F29B3"/>
    <w:rsid w:val="005F4469"/>
    <w:rsid w:val="005F4893"/>
    <w:rsid w:val="00601FBF"/>
    <w:rsid w:val="00603CA0"/>
    <w:rsid w:val="00604315"/>
    <w:rsid w:val="006047D1"/>
    <w:rsid w:val="00604E26"/>
    <w:rsid w:val="0060523F"/>
    <w:rsid w:val="006052CF"/>
    <w:rsid w:val="00607B8D"/>
    <w:rsid w:val="00611C6B"/>
    <w:rsid w:val="00611F5C"/>
    <w:rsid w:val="00613B5A"/>
    <w:rsid w:val="00614869"/>
    <w:rsid w:val="00616E09"/>
    <w:rsid w:val="00622A3B"/>
    <w:rsid w:val="00622EEA"/>
    <w:rsid w:val="0062396C"/>
    <w:rsid w:val="00623FF9"/>
    <w:rsid w:val="0062424D"/>
    <w:rsid w:val="0062437D"/>
    <w:rsid w:val="00627D4E"/>
    <w:rsid w:val="00632B89"/>
    <w:rsid w:val="0063346D"/>
    <w:rsid w:val="00634478"/>
    <w:rsid w:val="00643118"/>
    <w:rsid w:val="0064376A"/>
    <w:rsid w:val="006442CA"/>
    <w:rsid w:val="00644373"/>
    <w:rsid w:val="00645915"/>
    <w:rsid w:val="00646CC4"/>
    <w:rsid w:val="00647700"/>
    <w:rsid w:val="006519C3"/>
    <w:rsid w:val="00652B30"/>
    <w:rsid w:val="00654C7A"/>
    <w:rsid w:val="00656345"/>
    <w:rsid w:val="00656DC6"/>
    <w:rsid w:val="00660EC6"/>
    <w:rsid w:val="00662500"/>
    <w:rsid w:val="00664110"/>
    <w:rsid w:val="00664D17"/>
    <w:rsid w:val="00665164"/>
    <w:rsid w:val="00666520"/>
    <w:rsid w:val="00667C5B"/>
    <w:rsid w:val="00680E03"/>
    <w:rsid w:val="006822FE"/>
    <w:rsid w:val="00682A22"/>
    <w:rsid w:val="00684018"/>
    <w:rsid w:val="006862B0"/>
    <w:rsid w:val="00687792"/>
    <w:rsid w:val="00691EB8"/>
    <w:rsid w:val="00692CDE"/>
    <w:rsid w:val="00693073"/>
    <w:rsid w:val="006937D5"/>
    <w:rsid w:val="0069560F"/>
    <w:rsid w:val="006974B8"/>
    <w:rsid w:val="006977FF"/>
    <w:rsid w:val="006A01FA"/>
    <w:rsid w:val="006A0559"/>
    <w:rsid w:val="006A0E9E"/>
    <w:rsid w:val="006A23D1"/>
    <w:rsid w:val="006A24EE"/>
    <w:rsid w:val="006A25C7"/>
    <w:rsid w:val="006A3CD2"/>
    <w:rsid w:val="006A3ECF"/>
    <w:rsid w:val="006A4AAD"/>
    <w:rsid w:val="006A4CCA"/>
    <w:rsid w:val="006A6DA2"/>
    <w:rsid w:val="006A7AB2"/>
    <w:rsid w:val="006B0765"/>
    <w:rsid w:val="006B0912"/>
    <w:rsid w:val="006B187F"/>
    <w:rsid w:val="006B46B4"/>
    <w:rsid w:val="006B52DE"/>
    <w:rsid w:val="006B5596"/>
    <w:rsid w:val="006B5717"/>
    <w:rsid w:val="006B582F"/>
    <w:rsid w:val="006B5E4F"/>
    <w:rsid w:val="006B5EB2"/>
    <w:rsid w:val="006C0CEB"/>
    <w:rsid w:val="006C1233"/>
    <w:rsid w:val="006C1631"/>
    <w:rsid w:val="006C1C0D"/>
    <w:rsid w:val="006C3B1E"/>
    <w:rsid w:val="006C3ED3"/>
    <w:rsid w:val="006C47FD"/>
    <w:rsid w:val="006C5C19"/>
    <w:rsid w:val="006C5FD4"/>
    <w:rsid w:val="006C70A0"/>
    <w:rsid w:val="006D02A5"/>
    <w:rsid w:val="006D27CB"/>
    <w:rsid w:val="006D2F08"/>
    <w:rsid w:val="006D576C"/>
    <w:rsid w:val="006D5865"/>
    <w:rsid w:val="006D5DA6"/>
    <w:rsid w:val="006D5F18"/>
    <w:rsid w:val="006D6B4C"/>
    <w:rsid w:val="006D7759"/>
    <w:rsid w:val="006E3BE2"/>
    <w:rsid w:val="006E4B1B"/>
    <w:rsid w:val="006E5445"/>
    <w:rsid w:val="006E7D93"/>
    <w:rsid w:val="006F1D7C"/>
    <w:rsid w:val="006F6A3C"/>
    <w:rsid w:val="0070133D"/>
    <w:rsid w:val="007029A3"/>
    <w:rsid w:val="00703C1E"/>
    <w:rsid w:val="00703F75"/>
    <w:rsid w:val="007041EE"/>
    <w:rsid w:val="00706E4E"/>
    <w:rsid w:val="0070791C"/>
    <w:rsid w:val="007106E8"/>
    <w:rsid w:val="0071083F"/>
    <w:rsid w:val="0071383C"/>
    <w:rsid w:val="007141A7"/>
    <w:rsid w:val="00714FE8"/>
    <w:rsid w:val="00715722"/>
    <w:rsid w:val="00715BAF"/>
    <w:rsid w:val="00721032"/>
    <w:rsid w:val="00721B55"/>
    <w:rsid w:val="00722D42"/>
    <w:rsid w:val="0072488B"/>
    <w:rsid w:val="00725E63"/>
    <w:rsid w:val="00726CE4"/>
    <w:rsid w:val="00731100"/>
    <w:rsid w:val="00734143"/>
    <w:rsid w:val="007349B7"/>
    <w:rsid w:val="00734DCA"/>
    <w:rsid w:val="0073713A"/>
    <w:rsid w:val="00737E47"/>
    <w:rsid w:val="00740EAC"/>
    <w:rsid w:val="00741D4B"/>
    <w:rsid w:val="007438F1"/>
    <w:rsid w:val="00744956"/>
    <w:rsid w:val="00745A22"/>
    <w:rsid w:val="00745A5C"/>
    <w:rsid w:val="0074605F"/>
    <w:rsid w:val="00747E94"/>
    <w:rsid w:val="00752B16"/>
    <w:rsid w:val="00754844"/>
    <w:rsid w:val="00754C83"/>
    <w:rsid w:val="00757A6C"/>
    <w:rsid w:val="007605A0"/>
    <w:rsid w:val="0076079F"/>
    <w:rsid w:val="00761E5C"/>
    <w:rsid w:val="00765DF8"/>
    <w:rsid w:val="00766749"/>
    <w:rsid w:val="00767C1B"/>
    <w:rsid w:val="00770B3F"/>
    <w:rsid w:val="007714A9"/>
    <w:rsid w:val="00773A78"/>
    <w:rsid w:val="00773F33"/>
    <w:rsid w:val="00774F88"/>
    <w:rsid w:val="00774FDB"/>
    <w:rsid w:val="00775010"/>
    <w:rsid w:val="00775A66"/>
    <w:rsid w:val="00777392"/>
    <w:rsid w:val="007777AF"/>
    <w:rsid w:val="00777BA2"/>
    <w:rsid w:val="0078105F"/>
    <w:rsid w:val="00781408"/>
    <w:rsid w:val="007830E4"/>
    <w:rsid w:val="00784F6E"/>
    <w:rsid w:val="00784F7F"/>
    <w:rsid w:val="00785301"/>
    <w:rsid w:val="00785733"/>
    <w:rsid w:val="00786DAE"/>
    <w:rsid w:val="007878BD"/>
    <w:rsid w:val="00791DF6"/>
    <w:rsid w:val="00792225"/>
    <w:rsid w:val="007941FD"/>
    <w:rsid w:val="00796F25"/>
    <w:rsid w:val="00797F86"/>
    <w:rsid w:val="007A0C5C"/>
    <w:rsid w:val="007A2D9B"/>
    <w:rsid w:val="007A2E98"/>
    <w:rsid w:val="007A3BA3"/>
    <w:rsid w:val="007A6CC0"/>
    <w:rsid w:val="007A7FEC"/>
    <w:rsid w:val="007B1499"/>
    <w:rsid w:val="007B1BBF"/>
    <w:rsid w:val="007B2960"/>
    <w:rsid w:val="007B355D"/>
    <w:rsid w:val="007B7596"/>
    <w:rsid w:val="007B7980"/>
    <w:rsid w:val="007C0DEF"/>
    <w:rsid w:val="007C0F59"/>
    <w:rsid w:val="007C1189"/>
    <w:rsid w:val="007C423C"/>
    <w:rsid w:val="007C45F0"/>
    <w:rsid w:val="007C579F"/>
    <w:rsid w:val="007C5D5A"/>
    <w:rsid w:val="007C607F"/>
    <w:rsid w:val="007C79DD"/>
    <w:rsid w:val="007C7E8B"/>
    <w:rsid w:val="007D1A97"/>
    <w:rsid w:val="007D1C31"/>
    <w:rsid w:val="007D24F8"/>
    <w:rsid w:val="007D2CD6"/>
    <w:rsid w:val="007D3063"/>
    <w:rsid w:val="007D34C2"/>
    <w:rsid w:val="007D3CEB"/>
    <w:rsid w:val="007E00F5"/>
    <w:rsid w:val="007E082E"/>
    <w:rsid w:val="007E2E3D"/>
    <w:rsid w:val="007E7683"/>
    <w:rsid w:val="007F128B"/>
    <w:rsid w:val="007F49FA"/>
    <w:rsid w:val="007F54C4"/>
    <w:rsid w:val="007F5CC9"/>
    <w:rsid w:val="007F6A7A"/>
    <w:rsid w:val="007F6E9A"/>
    <w:rsid w:val="00800223"/>
    <w:rsid w:val="00800CCD"/>
    <w:rsid w:val="00801FEB"/>
    <w:rsid w:val="00803484"/>
    <w:rsid w:val="008044D4"/>
    <w:rsid w:val="008061DD"/>
    <w:rsid w:val="00806837"/>
    <w:rsid w:val="00810AB4"/>
    <w:rsid w:val="00816219"/>
    <w:rsid w:val="00817470"/>
    <w:rsid w:val="00817B56"/>
    <w:rsid w:val="00817C8A"/>
    <w:rsid w:val="00821A88"/>
    <w:rsid w:val="0082322E"/>
    <w:rsid w:val="0082495D"/>
    <w:rsid w:val="00831AC3"/>
    <w:rsid w:val="00832EF3"/>
    <w:rsid w:val="00835A76"/>
    <w:rsid w:val="00836FCE"/>
    <w:rsid w:val="008375B3"/>
    <w:rsid w:val="008408FF"/>
    <w:rsid w:val="0084779B"/>
    <w:rsid w:val="00851513"/>
    <w:rsid w:val="00851F3F"/>
    <w:rsid w:val="00853525"/>
    <w:rsid w:val="00853D5D"/>
    <w:rsid w:val="00855A59"/>
    <w:rsid w:val="00856EDC"/>
    <w:rsid w:val="008623B5"/>
    <w:rsid w:val="00866BA1"/>
    <w:rsid w:val="00870ABA"/>
    <w:rsid w:val="008710E1"/>
    <w:rsid w:val="008716E5"/>
    <w:rsid w:val="00873775"/>
    <w:rsid w:val="008752F6"/>
    <w:rsid w:val="00877A4F"/>
    <w:rsid w:val="00881CA9"/>
    <w:rsid w:val="00883628"/>
    <w:rsid w:val="00885544"/>
    <w:rsid w:val="0088634E"/>
    <w:rsid w:val="00886726"/>
    <w:rsid w:val="00890E29"/>
    <w:rsid w:val="008919FD"/>
    <w:rsid w:val="00893AB8"/>
    <w:rsid w:val="00897FB6"/>
    <w:rsid w:val="008A04C8"/>
    <w:rsid w:val="008A0E09"/>
    <w:rsid w:val="008A32B4"/>
    <w:rsid w:val="008A32D5"/>
    <w:rsid w:val="008A4066"/>
    <w:rsid w:val="008A502A"/>
    <w:rsid w:val="008A54A1"/>
    <w:rsid w:val="008A590E"/>
    <w:rsid w:val="008A6770"/>
    <w:rsid w:val="008A6913"/>
    <w:rsid w:val="008A7A48"/>
    <w:rsid w:val="008B70F3"/>
    <w:rsid w:val="008B71C4"/>
    <w:rsid w:val="008B72BC"/>
    <w:rsid w:val="008B76DF"/>
    <w:rsid w:val="008C10F4"/>
    <w:rsid w:val="008C65F7"/>
    <w:rsid w:val="008C6F19"/>
    <w:rsid w:val="008D1FC2"/>
    <w:rsid w:val="008D24D9"/>
    <w:rsid w:val="008D267D"/>
    <w:rsid w:val="008D418F"/>
    <w:rsid w:val="008D44CB"/>
    <w:rsid w:val="008D577F"/>
    <w:rsid w:val="008D6495"/>
    <w:rsid w:val="008E0428"/>
    <w:rsid w:val="008E0CC0"/>
    <w:rsid w:val="008E4767"/>
    <w:rsid w:val="008E6568"/>
    <w:rsid w:val="008E7A8C"/>
    <w:rsid w:val="008F1421"/>
    <w:rsid w:val="008F222F"/>
    <w:rsid w:val="0090203B"/>
    <w:rsid w:val="00903285"/>
    <w:rsid w:val="00903A0C"/>
    <w:rsid w:val="00906F40"/>
    <w:rsid w:val="0090731E"/>
    <w:rsid w:val="009103D2"/>
    <w:rsid w:val="00910A12"/>
    <w:rsid w:val="00914154"/>
    <w:rsid w:val="00914FF5"/>
    <w:rsid w:val="00915B1C"/>
    <w:rsid w:val="009174F3"/>
    <w:rsid w:val="0091797D"/>
    <w:rsid w:val="00920648"/>
    <w:rsid w:val="00923CBA"/>
    <w:rsid w:val="00926703"/>
    <w:rsid w:val="00927691"/>
    <w:rsid w:val="00927A5F"/>
    <w:rsid w:val="00930157"/>
    <w:rsid w:val="00930510"/>
    <w:rsid w:val="00935B63"/>
    <w:rsid w:val="00935F74"/>
    <w:rsid w:val="00936E95"/>
    <w:rsid w:val="0094078F"/>
    <w:rsid w:val="00940FA3"/>
    <w:rsid w:val="00941FB0"/>
    <w:rsid w:val="009426D4"/>
    <w:rsid w:val="00944E78"/>
    <w:rsid w:val="00945659"/>
    <w:rsid w:val="00947F25"/>
    <w:rsid w:val="00950159"/>
    <w:rsid w:val="00951A31"/>
    <w:rsid w:val="0095207D"/>
    <w:rsid w:val="00953F43"/>
    <w:rsid w:val="00954399"/>
    <w:rsid w:val="0095490B"/>
    <w:rsid w:val="00960A33"/>
    <w:rsid w:val="00963053"/>
    <w:rsid w:val="00963427"/>
    <w:rsid w:val="0096419A"/>
    <w:rsid w:val="0096484E"/>
    <w:rsid w:val="009710E9"/>
    <w:rsid w:val="00971914"/>
    <w:rsid w:val="00972FAD"/>
    <w:rsid w:val="00974363"/>
    <w:rsid w:val="00981898"/>
    <w:rsid w:val="0098250F"/>
    <w:rsid w:val="0098390F"/>
    <w:rsid w:val="00992CF1"/>
    <w:rsid w:val="0099481F"/>
    <w:rsid w:val="0099577C"/>
    <w:rsid w:val="009971F4"/>
    <w:rsid w:val="009A021C"/>
    <w:rsid w:val="009A25CC"/>
    <w:rsid w:val="009A7442"/>
    <w:rsid w:val="009B24A5"/>
    <w:rsid w:val="009B2601"/>
    <w:rsid w:val="009B2A89"/>
    <w:rsid w:val="009B3856"/>
    <w:rsid w:val="009B4DBB"/>
    <w:rsid w:val="009B4E9E"/>
    <w:rsid w:val="009C1690"/>
    <w:rsid w:val="009C2D6A"/>
    <w:rsid w:val="009C6881"/>
    <w:rsid w:val="009C7759"/>
    <w:rsid w:val="009D043D"/>
    <w:rsid w:val="009D07C8"/>
    <w:rsid w:val="009D4C85"/>
    <w:rsid w:val="009D6C71"/>
    <w:rsid w:val="009E0631"/>
    <w:rsid w:val="009E16D0"/>
    <w:rsid w:val="009E2051"/>
    <w:rsid w:val="009E38FD"/>
    <w:rsid w:val="009E51B6"/>
    <w:rsid w:val="009E5823"/>
    <w:rsid w:val="009F0688"/>
    <w:rsid w:val="009F13D6"/>
    <w:rsid w:val="009F1A58"/>
    <w:rsid w:val="009F3628"/>
    <w:rsid w:val="009F4C6B"/>
    <w:rsid w:val="009F78A8"/>
    <w:rsid w:val="00A017E0"/>
    <w:rsid w:val="00A028C8"/>
    <w:rsid w:val="00A02AD6"/>
    <w:rsid w:val="00A03690"/>
    <w:rsid w:val="00A049E4"/>
    <w:rsid w:val="00A07096"/>
    <w:rsid w:val="00A07318"/>
    <w:rsid w:val="00A11370"/>
    <w:rsid w:val="00A11445"/>
    <w:rsid w:val="00A11A7B"/>
    <w:rsid w:val="00A17FF8"/>
    <w:rsid w:val="00A20EC4"/>
    <w:rsid w:val="00A224CE"/>
    <w:rsid w:val="00A22522"/>
    <w:rsid w:val="00A22A0A"/>
    <w:rsid w:val="00A24AFD"/>
    <w:rsid w:val="00A24F5C"/>
    <w:rsid w:val="00A25C33"/>
    <w:rsid w:val="00A262F2"/>
    <w:rsid w:val="00A26CD1"/>
    <w:rsid w:val="00A27866"/>
    <w:rsid w:val="00A30A2E"/>
    <w:rsid w:val="00A321AE"/>
    <w:rsid w:val="00A32F96"/>
    <w:rsid w:val="00A3506B"/>
    <w:rsid w:val="00A370C9"/>
    <w:rsid w:val="00A40871"/>
    <w:rsid w:val="00A4114C"/>
    <w:rsid w:val="00A412AB"/>
    <w:rsid w:val="00A418B8"/>
    <w:rsid w:val="00A4193E"/>
    <w:rsid w:val="00A42DFF"/>
    <w:rsid w:val="00A44028"/>
    <w:rsid w:val="00A440E0"/>
    <w:rsid w:val="00A442EF"/>
    <w:rsid w:val="00A51410"/>
    <w:rsid w:val="00A51D1A"/>
    <w:rsid w:val="00A5418D"/>
    <w:rsid w:val="00A5474E"/>
    <w:rsid w:val="00A62AB6"/>
    <w:rsid w:val="00A62DF9"/>
    <w:rsid w:val="00A64234"/>
    <w:rsid w:val="00A65C49"/>
    <w:rsid w:val="00A677B3"/>
    <w:rsid w:val="00A70ADF"/>
    <w:rsid w:val="00A71466"/>
    <w:rsid w:val="00A72000"/>
    <w:rsid w:val="00A73729"/>
    <w:rsid w:val="00A74B5E"/>
    <w:rsid w:val="00A74B8E"/>
    <w:rsid w:val="00A81BED"/>
    <w:rsid w:val="00A81EC4"/>
    <w:rsid w:val="00A824E8"/>
    <w:rsid w:val="00A82661"/>
    <w:rsid w:val="00A83AC8"/>
    <w:rsid w:val="00A83F00"/>
    <w:rsid w:val="00A84CF4"/>
    <w:rsid w:val="00A85C35"/>
    <w:rsid w:val="00A86811"/>
    <w:rsid w:val="00A92947"/>
    <w:rsid w:val="00A9383B"/>
    <w:rsid w:val="00A967FD"/>
    <w:rsid w:val="00AA06C2"/>
    <w:rsid w:val="00AA2DE5"/>
    <w:rsid w:val="00AA2F6F"/>
    <w:rsid w:val="00AA5F21"/>
    <w:rsid w:val="00AB156C"/>
    <w:rsid w:val="00AB16CA"/>
    <w:rsid w:val="00AB2D68"/>
    <w:rsid w:val="00AB32F5"/>
    <w:rsid w:val="00AB6814"/>
    <w:rsid w:val="00AC04BA"/>
    <w:rsid w:val="00AC07AF"/>
    <w:rsid w:val="00AC0E39"/>
    <w:rsid w:val="00AC5D42"/>
    <w:rsid w:val="00AD2258"/>
    <w:rsid w:val="00AD3082"/>
    <w:rsid w:val="00AD32B4"/>
    <w:rsid w:val="00AD3CAA"/>
    <w:rsid w:val="00AD4AD0"/>
    <w:rsid w:val="00AD5436"/>
    <w:rsid w:val="00AD60CD"/>
    <w:rsid w:val="00AD6C8C"/>
    <w:rsid w:val="00AE0077"/>
    <w:rsid w:val="00AE091D"/>
    <w:rsid w:val="00AE0E28"/>
    <w:rsid w:val="00AE25C3"/>
    <w:rsid w:val="00AE2759"/>
    <w:rsid w:val="00AE2F34"/>
    <w:rsid w:val="00AE3B60"/>
    <w:rsid w:val="00AE53A1"/>
    <w:rsid w:val="00AF2484"/>
    <w:rsid w:val="00AF3273"/>
    <w:rsid w:val="00AF4B48"/>
    <w:rsid w:val="00AF5CEA"/>
    <w:rsid w:val="00AF63E7"/>
    <w:rsid w:val="00AF6E17"/>
    <w:rsid w:val="00B01580"/>
    <w:rsid w:val="00B0165D"/>
    <w:rsid w:val="00B01B60"/>
    <w:rsid w:val="00B031F3"/>
    <w:rsid w:val="00B0328F"/>
    <w:rsid w:val="00B03699"/>
    <w:rsid w:val="00B052A4"/>
    <w:rsid w:val="00B06D80"/>
    <w:rsid w:val="00B11944"/>
    <w:rsid w:val="00B125DE"/>
    <w:rsid w:val="00B13FDD"/>
    <w:rsid w:val="00B14F41"/>
    <w:rsid w:val="00B22EB2"/>
    <w:rsid w:val="00B27442"/>
    <w:rsid w:val="00B27ED7"/>
    <w:rsid w:val="00B31167"/>
    <w:rsid w:val="00B321FB"/>
    <w:rsid w:val="00B32521"/>
    <w:rsid w:val="00B329D8"/>
    <w:rsid w:val="00B32BB9"/>
    <w:rsid w:val="00B3336D"/>
    <w:rsid w:val="00B33AE1"/>
    <w:rsid w:val="00B3432F"/>
    <w:rsid w:val="00B35DB5"/>
    <w:rsid w:val="00B37C38"/>
    <w:rsid w:val="00B37DE1"/>
    <w:rsid w:val="00B41425"/>
    <w:rsid w:val="00B425A2"/>
    <w:rsid w:val="00B4288C"/>
    <w:rsid w:val="00B42BC2"/>
    <w:rsid w:val="00B43262"/>
    <w:rsid w:val="00B43AA5"/>
    <w:rsid w:val="00B44100"/>
    <w:rsid w:val="00B44A72"/>
    <w:rsid w:val="00B46CBA"/>
    <w:rsid w:val="00B46F94"/>
    <w:rsid w:val="00B50705"/>
    <w:rsid w:val="00B51500"/>
    <w:rsid w:val="00B6003C"/>
    <w:rsid w:val="00B607AF"/>
    <w:rsid w:val="00B61F03"/>
    <w:rsid w:val="00B626E4"/>
    <w:rsid w:val="00B632E6"/>
    <w:rsid w:val="00B67AE9"/>
    <w:rsid w:val="00B70C8D"/>
    <w:rsid w:val="00B72F4A"/>
    <w:rsid w:val="00B76DC4"/>
    <w:rsid w:val="00B806B7"/>
    <w:rsid w:val="00B83C27"/>
    <w:rsid w:val="00B84BC3"/>
    <w:rsid w:val="00B84BDD"/>
    <w:rsid w:val="00B85C7D"/>
    <w:rsid w:val="00B8657D"/>
    <w:rsid w:val="00B92812"/>
    <w:rsid w:val="00BA090A"/>
    <w:rsid w:val="00BA17E4"/>
    <w:rsid w:val="00BA58BB"/>
    <w:rsid w:val="00BA66BC"/>
    <w:rsid w:val="00BA73C1"/>
    <w:rsid w:val="00BB1152"/>
    <w:rsid w:val="00BB3006"/>
    <w:rsid w:val="00BB45A1"/>
    <w:rsid w:val="00BB6335"/>
    <w:rsid w:val="00BB7686"/>
    <w:rsid w:val="00BB769A"/>
    <w:rsid w:val="00BB7802"/>
    <w:rsid w:val="00BC23F9"/>
    <w:rsid w:val="00BC3421"/>
    <w:rsid w:val="00BC354B"/>
    <w:rsid w:val="00BC732C"/>
    <w:rsid w:val="00BD36E9"/>
    <w:rsid w:val="00BD4421"/>
    <w:rsid w:val="00BD58E2"/>
    <w:rsid w:val="00BE12F7"/>
    <w:rsid w:val="00BE2417"/>
    <w:rsid w:val="00BE2580"/>
    <w:rsid w:val="00BE266D"/>
    <w:rsid w:val="00BE3938"/>
    <w:rsid w:val="00BE4C11"/>
    <w:rsid w:val="00BE60FA"/>
    <w:rsid w:val="00BE63A4"/>
    <w:rsid w:val="00BE71C0"/>
    <w:rsid w:val="00BE7F2E"/>
    <w:rsid w:val="00BF159D"/>
    <w:rsid w:val="00BF1C71"/>
    <w:rsid w:val="00BF2312"/>
    <w:rsid w:val="00BF2388"/>
    <w:rsid w:val="00BF49EE"/>
    <w:rsid w:val="00BF610C"/>
    <w:rsid w:val="00BF78EA"/>
    <w:rsid w:val="00C0060B"/>
    <w:rsid w:val="00C01A6C"/>
    <w:rsid w:val="00C0277D"/>
    <w:rsid w:val="00C02F26"/>
    <w:rsid w:val="00C042CB"/>
    <w:rsid w:val="00C053A1"/>
    <w:rsid w:val="00C16198"/>
    <w:rsid w:val="00C17C4F"/>
    <w:rsid w:val="00C2083D"/>
    <w:rsid w:val="00C24466"/>
    <w:rsid w:val="00C24A53"/>
    <w:rsid w:val="00C25422"/>
    <w:rsid w:val="00C30006"/>
    <w:rsid w:val="00C34A05"/>
    <w:rsid w:val="00C35CCE"/>
    <w:rsid w:val="00C4032F"/>
    <w:rsid w:val="00C41F21"/>
    <w:rsid w:val="00C44047"/>
    <w:rsid w:val="00C45155"/>
    <w:rsid w:val="00C50774"/>
    <w:rsid w:val="00C53A6D"/>
    <w:rsid w:val="00C548EC"/>
    <w:rsid w:val="00C5498F"/>
    <w:rsid w:val="00C55235"/>
    <w:rsid w:val="00C64CD0"/>
    <w:rsid w:val="00C65F61"/>
    <w:rsid w:val="00C6684F"/>
    <w:rsid w:val="00C7019C"/>
    <w:rsid w:val="00C70538"/>
    <w:rsid w:val="00C70E70"/>
    <w:rsid w:val="00C73D5F"/>
    <w:rsid w:val="00C73F3E"/>
    <w:rsid w:val="00C75F8D"/>
    <w:rsid w:val="00C77380"/>
    <w:rsid w:val="00C7774C"/>
    <w:rsid w:val="00C86F5C"/>
    <w:rsid w:val="00C87E8A"/>
    <w:rsid w:val="00C913D6"/>
    <w:rsid w:val="00C92408"/>
    <w:rsid w:val="00C9241D"/>
    <w:rsid w:val="00C97736"/>
    <w:rsid w:val="00CA0EA7"/>
    <w:rsid w:val="00CA1688"/>
    <w:rsid w:val="00CA345A"/>
    <w:rsid w:val="00CA5C25"/>
    <w:rsid w:val="00CA795F"/>
    <w:rsid w:val="00CB1E82"/>
    <w:rsid w:val="00CB4BA8"/>
    <w:rsid w:val="00CB52D7"/>
    <w:rsid w:val="00CC6414"/>
    <w:rsid w:val="00CC6732"/>
    <w:rsid w:val="00CD6ACF"/>
    <w:rsid w:val="00CE3C96"/>
    <w:rsid w:val="00CE51A8"/>
    <w:rsid w:val="00CF0BFE"/>
    <w:rsid w:val="00CF369B"/>
    <w:rsid w:val="00D00E28"/>
    <w:rsid w:val="00D01484"/>
    <w:rsid w:val="00D015BD"/>
    <w:rsid w:val="00D015C8"/>
    <w:rsid w:val="00D0269E"/>
    <w:rsid w:val="00D03276"/>
    <w:rsid w:val="00D05D6C"/>
    <w:rsid w:val="00D0665F"/>
    <w:rsid w:val="00D07567"/>
    <w:rsid w:val="00D077E4"/>
    <w:rsid w:val="00D15810"/>
    <w:rsid w:val="00D16D4E"/>
    <w:rsid w:val="00D16FE3"/>
    <w:rsid w:val="00D2067E"/>
    <w:rsid w:val="00D220F7"/>
    <w:rsid w:val="00D27F41"/>
    <w:rsid w:val="00D31DE5"/>
    <w:rsid w:val="00D36441"/>
    <w:rsid w:val="00D4064E"/>
    <w:rsid w:val="00D43B47"/>
    <w:rsid w:val="00D44E9B"/>
    <w:rsid w:val="00D44F16"/>
    <w:rsid w:val="00D452EF"/>
    <w:rsid w:val="00D46357"/>
    <w:rsid w:val="00D47AEB"/>
    <w:rsid w:val="00D50DB9"/>
    <w:rsid w:val="00D51302"/>
    <w:rsid w:val="00D51827"/>
    <w:rsid w:val="00D52ACD"/>
    <w:rsid w:val="00D52C43"/>
    <w:rsid w:val="00D52C48"/>
    <w:rsid w:val="00D60803"/>
    <w:rsid w:val="00D60AAA"/>
    <w:rsid w:val="00D61243"/>
    <w:rsid w:val="00D6507F"/>
    <w:rsid w:val="00D65327"/>
    <w:rsid w:val="00D6649B"/>
    <w:rsid w:val="00D66CCD"/>
    <w:rsid w:val="00D730BC"/>
    <w:rsid w:val="00D73912"/>
    <w:rsid w:val="00D74260"/>
    <w:rsid w:val="00D773FF"/>
    <w:rsid w:val="00D83305"/>
    <w:rsid w:val="00D8427C"/>
    <w:rsid w:val="00D84A66"/>
    <w:rsid w:val="00D85226"/>
    <w:rsid w:val="00D85304"/>
    <w:rsid w:val="00D85CCA"/>
    <w:rsid w:val="00D87B94"/>
    <w:rsid w:val="00D87BDA"/>
    <w:rsid w:val="00D90A81"/>
    <w:rsid w:val="00D90B96"/>
    <w:rsid w:val="00D91129"/>
    <w:rsid w:val="00D91236"/>
    <w:rsid w:val="00D92D49"/>
    <w:rsid w:val="00D92EC1"/>
    <w:rsid w:val="00D94F96"/>
    <w:rsid w:val="00D96DEA"/>
    <w:rsid w:val="00DA4E41"/>
    <w:rsid w:val="00DA5452"/>
    <w:rsid w:val="00DB117A"/>
    <w:rsid w:val="00DB1E82"/>
    <w:rsid w:val="00DB5173"/>
    <w:rsid w:val="00DB61CE"/>
    <w:rsid w:val="00DB68EA"/>
    <w:rsid w:val="00DB7873"/>
    <w:rsid w:val="00DC187B"/>
    <w:rsid w:val="00DC4589"/>
    <w:rsid w:val="00DC4CAA"/>
    <w:rsid w:val="00DD090F"/>
    <w:rsid w:val="00DD1A43"/>
    <w:rsid w:val="00DD597C"/>
    <w:rsid w:val="00DD5B79"/>
    <w:rsid w:val="00DD73C2"/>
    <w:rsid w:val="00DE0B11"/>
    <w:rsid w:val="00DE10D0"/>
    <w:rsid w:val="00DE1F7B"/>
    <w:rsid w:val="00DE319B"/>
    <w:rsid w:val="00DE36D2"/>
    <w:rsid w:val="00DF34FE"/>
    <w:rsid w:val="00DF37E7"/>
    <w:rsid w:val="00DF3F10"/>
    <w:rsid w:val="00DF56AA"/>
    <w:rsid w:val="00DF56AF"/>
    <w:rsid w:val="00DF78E7"/>
    <w:rsid w:val="00E031A7"/>
    <w:rsid w:val="00E06227"/>
    <w:rsid w:val="00E110E0"/>
    <w:rsid w:val="00E1263A"/>
    <w:rsid w:val="00E15371"/>
    <w:rsid w:val="00E162C4"/>
    <w:rsid w:val="00E21056"/>
    <w:rsid w:val="00E21D30"/>
    <w:rsid w:val="00E24104"/>
    <w:rsid w:val="00E24855"/>
    <w:rsid w:val="00E302D0"/>
    <w:rsid w:val="00E31E9B"/>
    <w:rsid w:val="00E3333E"/>
    <w:rsid w:val="00E35707"/>
    <w:rsid w:val="00E35A25"/>
    <w:rsid w:val="00E36AA1"/>
    <w:rsid w:val="00E41ECB"/>
    <w:rsid w:val="00E42676"/>
    <w:rsid w:val="00E52502"/>
    <w:rsid w:val="00E5426D"/>
    <w:rsid w:val="00E54FDB"/>
    <w:rsid w:val="00E5520F"/>
    <w:rsid w:val="00E5617D"/>
    <w:rsid w:val="00E563D7"/>
    <w:rsid w:val="00E62A39"/>
    <w:rsid w:val="00E663F4"/>
    <w:rsid w:val="00E666F2"/>
    <w:rsid w:val="00E667A5"/>
    <w:rsid w:val="00E66DD4"/>
    <w:rsid w:val="00E71872"/>
    <w:rsid w:val="00E7242D"/>
    <w:rsid w:val="00E748CC"/>
    <w:rsid w:val="00E74F15"/>
    <w:rsid w:val="00E75415"/>
    <w:rsid w:val="00E775B1"/>
    <w:rsid w:val="00E77682"/>
    <w:rsid w:val="00E810A7"/>
    <w:rsid w:val="00E8152A"/>
    <w:rsid w:val="00E81FD0"/>
    <w:rsid w:val="00E84019"/>
    <w:rsid w:val="00E84797"/>
    <w:rsid w:val="00E85AC6"/>
    <w:rsid w:val="00E9046C"/>
    <w:rsid w:val="00E907BF"/>
    <w:rsid w:val="00E93629"/>
    <w:rsid w:val="00E93B5C"/>
    <w:rsid w:val="00E94CEC"/>
    <w:rsid w:val="00E97247"/>
    <w:rsid w:val="00EA04EF"/>
    <w:rsid w:val="00EA0969"/>
    <w:rsid w:val="00EA0E62"/>
    <w:rsid w:val="00EA2C15"/>
    <w:rsid w:val="00EA53C3"/>
    <w:rsid w:val="00EA5645"/>
    <w:rsid w:val="00EA6775"/>
    <w:rsid w:val="00EA6C79"/>
    <w:rsid w:val="00EA6F19"/>
    <w:rsid w:val="00EA75B8"/>
    <w:rsid w:val="00EB31F7"/>
    <w:rsid w:val="00EB3934"/>
    <w:rsid w:val="00EB49EE"/>
    <w:rsid w:val="00EB50D4"/>
    <w:rsid w:val="00EB7090"/>
    <w:rsid w:val="00EC08E1"/>
    <w:rsid w:val="00EC1144"/>
    <w:rsid w:val="00EC1BBE"/>
    <w:rsid w:val="00EC2B68"/>
    <w:rsid w:val="00EC3AEF"/>
    <w:rsid w:val="00EC5CD7"/>
    <w:rsid w:val="00EC6C21"/>
    <w:rsid w:val="00ED46B2"/>
    <w:rsid w:val="00ED6336"/>
    <w:rsid w:val="00ED709A"/>
    <w:rsid w:val="00EE0401"/>
    <w:rsid w:val="00EE5FB3"/>
    <w:rsid w:val="00EE7F79"/>
    <w:rsid w:val="00EF5CD6"/>
    <w:rsid w:val="00EF715A"/>
    <w:rsid w:val="00F026A5"/>
    <w:rsid w:val="00F065C6"/>
    <w:rsid w:val="00F06E14"/>
    <w:rsid w:val="00F10DF1"/>
    <w:rsid w:val="00F1104B"/>
    <w:rsid w:val="00F153CE"/>
    <w:rsid w:val="00F163BA"/>
    <w:rsid w:val="00F179D4"/>
    <w:rsid w:val="00F212BD"/>
    <w:rsid w:val="00F22A23"/>
    <w:rsid w:val="00F24A63"/>
    <w:rsid w:val="00F30BB5"/>
    <w:rsid w:val="00F32041"/>
    <w:rsid w:val="00F328B7"/>
    <w:rsid w:val="00F33B3A"/>
    <w:rsid w:val="00F33C56"/>
    <w:rsid w:val="00F347C7"/>
    <w:rsid w:val="00F34848"/>
    <w:rsid w:val="00F35395"/>
    <w:rsid w:val="00F361D7"/>
    <w:rsid w:val="00F36281"/>
    <w:rsid w:val="00F42D46"/>
    <w:rsid w:val="00F441B5"/>
    <w:rsid w:val="00F4496C"/>
    <w:rsid w:val="00F44F3A"/>
    <w:rsid w:val="00F47041"/>
    <w:rsid w:val="00F51C09"/>
    <w:rsid w:val="00F51F10"/>
    <w:rsid w:val="00F529A5"/>
    <w:rsid w:val="00F5310D"/>
    <w:rsid w:val="00F54F38"/>
    <w:rsid w:val="00F57031"/>
    <w:rsid w:val="00F60F00"/>
    <w:rsid w:val="00F614C0"/>
    <w:rsid w:val="00F6376B"/>
    <w:rsid w:val="00F640A2"/>
    <w:rsid w:val="00F6445D"/>
    <w:rsid w:val="00F74C55"/>
    <w:rsid w:val="00F758BC"/>
    <w:rsid w:val="00F83848"/>
    <w:rsid w:val="00F8502B"/>
    <w:rsid w:val="00F86201"/>
    <w:rsid w:val="00F90636"/>
    <w:rsid w:val="00F91E93"/>
    <w:rsid w:val="00F96605"/>
    <w:rsid w:val="00F975E9"/>
    <w:rsid w:val="00FA1B7D"/>
    <w:rsid w:val="00FA22C7"/>
    <w:rsid w:val="00FA601D"/>
    <w:rsid w:val="00FC0198"/>
    <w:rsid w:val="00FC07B9"/>
    <w:rsid w:val="00FC4E21"/>
    <w:rsid w:val="00FC5F6D"/>
    <w:rsid w:val="00FD0107"/>
    <w:rsid w:val="00FD0380"/>
    <w:rsid w:val="00FD0E6B"/>
    <w:rsid w:val="00FD2441"/>
    <w:rsid w:val="00FD2C2F"/>
    <w:rsid w:val="00FD2D76"/>
    <w:rsid w:val="00FD3B31"/>
    <w:rsid w:val="00FD53D4"/>
    <w:rsid w:val="00FD7843"/>
    <w:rsid w:val="00FE010D"/>
    <w:rsid w:val="00FE1823"/>
    <w:rsid w:val="00FE2F2E"/>
    <w:rsid w:val="00FE4639"/>
    <w:rsid w:val="00FE487A"/>
    <w:rsid w:val="00FF0569"/>
    <w:rsid w:val="00FF206E"/>
    <w:rsid w:val="00FF3C69"/>
    <w:rsid w:val="00FF4A6D"/>
    <w:rsid w:val="00FF6E0A"/>
    <w:rsid w:val="00FF7E2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red,#4d4d4f"/>
    </o:shapedefaults>
    <o:shapelayout v:ext="edit">
      <o:idmap v:ext="edit" data="1"/>
    </o:shapelayout>
  </w:shapeDefaults>
  <w:decimalSymbol w:val="."/>
  <w:listSeparator w:val=","/>
  <w14:docId w14:val="6C92032F"/>
  <w15:docId w15:val="{F771D615-AD36-4893-AED0-C7EAD2DD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7AF"/>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Footnote text,ACMA Footnote Text"/>
    <w:basedOn w:val="Normal"/>
    <w:link w:val="FootnoteTextChar"/>
    <w:uiPriority w:val="99"/>
    <w:rsid w:val="00C2446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tabs>
        <w:tab w:val="clear" w:pos="1390"/>
        <w:tab w:val="num" w:pos="964"/>
      </w:tabs>
      <w:spacing w:after="160"/>
      <w:ind w:left="964"/>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3803B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
    <w:basedOn w:val="DefaultParagraphFont"/>
    <w:link w:val="FootnoteText"/>
    <w:uiPriority w:val="99"/>
    <w:locked/>
    <w:rsid w:val="000730B3"/>
    <w:rPr>
      <w:rFonts w:ascii="Arial" w:hAnsi="Arial"/>
      <w:sz w:val="16"/>
      <w:szCs w:val="16"/>
    </w:rPr>
  </w:style>
  <w:style w:type="paragraph" w:styleId="NormalWeb">
    <w:name w:val="Normal (Web)"/>
    <w:basedOn w:val="Normal"/>
    <w:uiPriority w:val="99"/>
    <w:unhideWhenUsed/>
    <w:rsid w:val="00A30A2E"/>
    <w:pPr>
      <w:spacing w:before="100" w:beforeAutospacing="1" w:after="100" w:afterAutospacing="1" w:line="240" w:lineRule="auto"/>
    </w:pPr>
    <w:rPr>
      <w:rFonts w:cs="Arial"/>
      <w:sz w:val="24"/>
    </w:rPr>
  </w:style>
  <w:style w:type="paragraph" w:styleId="BodyText">
    <w:name w:val="Body Text"/>
    <w:basedOn w:val="Normal"/>
    <w:link w:val="BodyTextChar"/>
    <w:uiPriority w:val="99"/>
    <w:unhideWhenUsed/>
    <w:rsid w:val="005C6805"/>
    <w:pPr>
      <w:spacing w:after="0" w:line="240" w:lineRule="auto"/>
    </w:pPr>
    <w:rPr>
      <w:i/>
      <w:iCs/>
      <w:color w:val="999999"/>
      <w:sz w:val="24"/>
      <w:lang w:eastAsia="en-US"/>
    </w:rPr>
  </w:style>
  <w:style w:type="character" w:customStyle="1" w:styleId="BodyTextChar">
    <w:name w:val="Body Text Char"/>
    <w:basedOn w:val="DefaultParagraphFont"/>
    <w:link w:val="BodyText"/>
    <w:uiPriority w:val="99"/>
    <w:rsid w:val="005C6805"/>
    <w:rPr>
      <w:rFonts w:ascii="Arial" w:hAnsi="Arial"/>
      <w:i/>
      <w:iCs/>
      <w:color w:val="99999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9004">
      <w:bodyDiv w:val="1"/>
      <w:marLeft w:val="0"/>
      <w:marRight w:val="0"/>
      <w:marTop w:val="0"/>
      <w:marBottom w:val="0"/>
      <w:divBdr>
        <w:top w:val="none" w:sz="0" w:space="0" w:color="auto"/>
        <w:left w:val="none" w:sz="0" w:space="0" w:color="auto"/>
        <w:bottom w:val="none" w:sz="0" w:space="0" w:color="auto"/>
        <w:right w:val="none" w:sz="0" w:space="0" w:color="auto"/>
      </w:divBdr>
    </w:div>
    <w:div w:id="242374875">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45848779">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75070062">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acma.gov.au" TargetMode="External"/><Relationship Id="rId26" Type="http://schemas.openxmlformats.org/officeDocument/2006/relationships/hyperlink" Target="https://www.legislation.gov.au/Details/C2020C00005" TargetMode="External"/><Relationship Id="rId39" Type="http://schemas.openxmlformats.org/officeDocument/2006/relationships/header" Target="header5.xml"/><Relationship Id="rId21" Type="http://schemas.openxmlformats.org/officeDocument/2006/relationships/footer" Target="footer2.xml"/><Relationship Id="rId34" Type="http://schemas.openxmlformats.org/officeDocument/2006/relationships/hyperlink" Target="https://www.acma.gov.au/have-your-say" TargetMode="Externa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hyperlink" Target="https://www.finance.gov.au/government/managing-commonwealth-resources/managing-money-property/managing-money/australian-government-charging-framework"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gislation.gov.au/Details/C2021C00233" TargetMode="External"/><Relationship Id="rId32" Type="http://schemas.openxmlformats.org/officeDocument/2006/relationships/image" Target="media/image5.png"/><Relationship Id="rId37" Type="http://schemas.openxmlformats.org/officeDocument/2006/relationships/hyperlink" Target="https://www.legislation.gov.au/Details/C2022C00135" TargetMode="Externa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i.creativecommons.org/l/by/3.0/88x31.png" TargetMode="External"/><Relationship Id="rId23" Type="http://schemas.openxmlformats.org/officeDocument/2006/relationships/hyperlink" Target="https://www.legislation.gov.au/Details/F2017C00285" TargetMode="External"/><Relationship Id="rId28" Type="http://schemas.openxmlformats.org/officeDocument/2006/relationships/hyperlink" Target="https://www.legislation.gov.au/Details/C2022C00071" TargetMode="External"/><Relationship Id="rId36" Type="http://schemas.openxmlformats.org/officeDocument/2006/relationships/hyperlink" Target="https://www.acma.gov.au/publication-submission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s://www.legislation.gov.au/Details/F2015L00319/Download" TargetMode="External"/><Relationship Id="rId30" Type="http://schemas.openxmlformats.org/officeDocument/2006/relationships/hyperlink" Target="https://www.finance.gov.au/publications/resource-management-guides/australian-government-cost-recovery-guidelines-rmg-304" TargetMode="External"/><Relationship Id="rId35" Type="http://schemas.openxmlformats.org/officeDocument/2006/relationships/hyperlink" Target="mailto:numbering@acma.gov.au"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hyperlink" Target="https://www.legislation.gov.au/Details/F2017C00284" TargetMode="External"/><Relationship Id="rId33" Type="http://schemas.openxmlformats.org/officeDocument/2006/relationships/image" Target="media/image6.png"/><Relationship Id="rId38" Type="http://schemas.openxmlformats.org/officeDocument/2006/relationships/hyperlink" Target="https://www.acma.gov.au/privacy-poli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ACMA\ACMA%20consultatio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AM7W7QW6R7VW-1361499349-1160</_dlc_DocId>
    <_dlc_DocIdUrl xmlns="d71819ef-55b9-420a-86a4-d36bc037540e">
      <Url>http://collaboration/organisation/cccd/UCB/DNCR/_layouts/15/DocIdRedir.aspx?ID=AM7W7QW6R7VW-1361499349-1160</Url>
      <Description>AM7W7QW6R7VW-1361499349-1160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D8898988453544AA906E7B159CAB062" ma:contentTypeVersion="2" ma:contentTypeDescription="Create a new document." ma:contentTypeScope="" ma:versionID="7d62d0e6dcaa9890ad76900fa99b3917">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75D24-4D9F-46FB-9C25-34D36F75F80A}">
  <ds:schemaRefs>
    <ds:schemaRef ds:uri="http://schemas.microsoft.com/sharepoint/v3/contenttype/forms"/>
  </ds:schemaRefs>
</ds:datastoreItem>
</file>

<file path=customXml/itemProps2.xml><?xml version="1.0" encoding="utf-8"?>
<ds:datastoreItem xmlns:ds="http://schemas.openxmlformats.org/officeDocument/2006/customXml" ds:itemID="{C723EB1C-C0FD-46A8-9439-EA01678DC87B}">
  <ds:schemaRefs>
    <ds:schemaRef ds:uri="http://schemas.microsoft.com/sharepoint/events"/>
  </ds:schemaRefs>
</ds:datastoreItem>
</file>

<file path=customXml/itemProps3.xml><?xml version="1.0" encoding="utf-8"?>
<ds:datastoreItem xmlns:ds="http://schemas.openxmlformats.org/officeDocument/2006/customXml" ds:itemID="{68E58C7B-D26E-4C61-9380-42F19A0B4F88}">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d71819ef-55b9-420a-86a4-d36bc037540e"/>
    <ds:schemaRef ds:uri="http://schemas.microsoft.com/office/2006/metadata/properties"/>
  </ds:schemaRefs>
</ds:datastoreItem>
</file>

<file path=customXml/itemProps4.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5.xml><?xml version="1.0" encoding="utf-8"?>
<ds:datastoreItem xmlns:ds="http://schemas.openxmlformats.org/officeDocument/2006/customXml" ds:itemID="{18FED2B7-D1B1-47B4-802D-AEC17D1E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ACMA consultation paper.dotx</Template>
  <TotalTime>2</TotalTime>
  <Pages>12</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Clarke</dc:creator>
  <cp:keywords/>
  <dc:description/>
  <cp:lastModifiedBy>Lee Smith</cp:lastModifiedBy>
  <cp:revision>3</cp:revision>
  <cp:lastPrinted>2019-08-14T04:38:00Z</cp:lastPrinted>
  <dcterms:created xsi:type="dcterms:W3CDTF">2022-06-27T02:59:00Z</dcterms:created>
  <dcterms:modified xsi:type="dcterms:W3CDTF">2022-06-27T03:01:00Z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0x0101002D8898988453544AA906E7B159CAB062</vt:lpwstr>
  </property>
  <property fmtid="{D5CDD505-2E9C-101B-9397-08002B2CF9AE}" pid="3" name="_dlc_DocIdItemGuid">
    <vt:lpwstr>d355327f-a146-410c-800e-d82ac07d3156</vt:lpwstr>
  </property>
</Properties>
</file>