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F2B7F" w14:textId="68DFA0BA" w:rsidR="00F06E14" w:rsidRPr="00A51D1A" w:rsidRDefault="00C4609A" w:rsidP="00A51D1A">
      <w:pPr>
        <w:pStyle w:val="Reporttitle"/>
      </w:pPr>
      <w:r>
        <w:t xml:space="preserve">Proposal to vary the Deniliquin </w:t>
      </w:r>
      <w:r w:rsidR="007A16E0">
        <w:t xml:space="preserve">radio </w:t>
      </w:r>
      <w:r>
        <w:t>licence area plan</w:t>
      </w:r>
    </w:p>
    <w:p w14:paraId="37547463" w14:textId="421500A7" w:rsidR="00F06E14" w:rsidRDefault="00770B3F" w:rsidP="00F06E14">
      <w:pPr>
        <w:pStyle w:val="Reportsubtitle"/>
      </w:pPr>
      <w:r>
        <w:t xml:space="preserve">Consultation </w:t>
      </w:r>
      <w:r w:rsidR="00560140">
        <w:t>paper</w:t>
      </w:r>
    </w:p>
    <w:p w14:paraId="3E01DE38" w14:textId="2FF482EE" w:rsidR="00C97736" w:rsidRPr="000D76E0" w:rsidRDefault="00654F80" w:rsidP="00EC2B68">
      <w:pPr>
        <w:pStyle w:val="Reportdate"/>
        <w:spacing w:after="720"/>
        <w:rPr>
          <w:rFonts w:cs="Arial"/>
        </w:rPr>
        <w:sectPr w:rsidR="00C97736" w:rsidRPr="000D76E0"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 xml:space="preserve">March </w:t>
      </w:r>
      <w:r w:rsidR="00BD4421">
        <w:t>20</w:t>
      </w:r>
      <w:r w:rsidR="008E0428">
        <w:t>2</w:t>
      </w:r>
      <w:r w:rsidR="006E7EF8">
        <w:t>2</w:t>
      </w:r>
    </w:p>
    <w:p w14:paraId="68B6E588" w14:textId="77777777" w:rsidR="0005011A" w:rsidRPr="00F44F3A" w:rsidRDefault="0005011A" w:rsidP="00FC07B9">
      <w:pPr>
        <w:pStyle w:val="ACMACorporateAddressHeader"/>
      </w:pPr>
      <w:r w:rsidRPr="00F44F3A">
        <w:lastRenderedPageBreak/>
        <w:t>Canberra</w:t>
      </w:r>
    </w:p>
    <w:p w14:paraId="4B906E6B"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7EE8DACE" w14:textId="77777777" w:rsidR="0005011A" w:rsidRPr="00FC07B9" w:rsidRDefault="0005011A" w:rsidP="00FC07B9">
      <w:pPr>
        <w:pStyle w:val="ACMACorporateAddresses"/>
      </w:pPr>
      <w:r w:rsidRPr="00FC07B9">
        <w:t>PO Box 78</w:t>
      </w:r>
      <w:r w:rsidRPr="00FC07B9">
        <w:br/>
        <w:t>Belconnen ACT 2616</w:t>
      </w:r>
    </w:p>
    <w:p w14:paraId="461F0C2B"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3022A6DD" w14:textId="77777777" w:rsidR="0005011A" w:rsidRPr="00F44F3A" w:rsidRDefault="0005011A" w:rsidP="00FC07B9">
      <w:pPr>
        <w:pStyle w:val="ACMACorporateAddressHeader"/>
      </w:pPr>
      <w:r w:rsidRPr="00F44F3A">
        <w:t>Melbourne</w:t>
      </w:r>
    </w:p>
    <w:p w14:paraId="3C682C93"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0382D767"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4D8E2F48"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62B8C514" w14:textId="77777777" w:rsidR="0005011A" w:rsidRPr="00F44F3A" w:rsidRDefault="0005011A" w:rsidP="00FC07B9">
      <w:pPr>
        <w:pStyle w:val="ACMACorporateAddressHeader"/>
      </w:pPr>
      <w:r w:rsidRPr="00F44F3A">
        <w:t>Sydney</w:t>
      </w:r>
    </w:p>
    <w:p w14:paraId="656D8DFE"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36ED4189"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46F7ECB3"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30407741" w14:textId="77777777" w:rsidR="00140318" w:rsidRPr="006D46E5" w:rsidRDefault="00140318" w:rsidP="00FC07B9">
      <w:pPr>
        <w:pStyle w:val="ACMACopyrightHeader"/>
      </w:pPr>
      <w:r w:rsidRPr="00140318">
        <w:t>Copyright notice</w:t>
      </w:r>
    </w:p>
    <w:p w14:paraId="342BC57E" w14:textId="77777777" w:rsidR="00140318" w:rsidRPr="006D46E5" w:rsidRDefault="00623FF9" w:rsidP="00623FF9">
      <w:pPr>
        <w:pStyle w:val="ACMACClogo"/>
      </w:pPr>
      <w:r w:rsidRPr="00623FF9">
        <w:rPr>
          <w:noProof/>
        </w:rPr>
        <w:drawing>
          <wp:inline distT="0" distB="0" distL="0" distR="0" wp14:anchorId="5A12EEAC" wp14:editId="235B16DA">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0E443430" w14:textId="77777777" w:rsidR="00AA2DE5" w:rsidRDefault="00904EA9" w:rsidP="00AA2DE5">
      <w:pPr>
        <w:pStyle w:val="ACMACorporateAddresses"/>
        <w:rPr>
          <w:rStyle w:val="Hyperlink"/>
        </w:rPr>
      </w:pPr>
      <w:hyperlink r:id="rId13" w:history="1">
        <w:r w:rsidR="00AA2DE5">
          <w:rPr>
            <w:rStyle w:val="Hyperlink"/>
          </w:rPr>
          <w:t>https://creativecommons.org/licenses/by/4.0/</w:t>
        </w:r>
      </w:hyperlink>
    </w:p>
    <w:p w14:paraId="6992DEDD"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427CC4CA" w14:textId="1D31352D" w:rsidR="00AA2DE5" w:rsidRDefault="00AA2DE5" w:rsidP="00AA2DE5">
      <w:pPr>
        <w:pStyle w:val="ACMACorporateAddresses"/>
      </w:pPr>
      <w:r>
        <w:t>We request attribution as © Commonwealth of Australia (Australian Communications and Media Authority) 20</w:t>
      </w:r>
      <w:r w:rsidR="00C41F21">
        <w:t>2</w:t>
      </w:r>
      <w:r w:rsidR="00741448">
        <w:t>2</w:t>
      </w:r>
      <w:r>
        <w:t>.</w:t>
      </w:r>
    </w:p>
    <w:p w14:paraId="47964091" w14:textId="77777777" w:rsidR="00AA2DE5" w:rsidRDefault="00AA2DE5" w:rsidP="00AA2DE5">
      <w:pPr>
        <w:pStyle w:val="ACMACorporateAddresses"/>
      </w:pPr>
      <w:r>
        <w:t>All other rights are reserved.</w:t>
      </w:r>
    </w:p>
    <w:p w14:paraId="6A37C394"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7856FAD9" w14:textId="77777777" w:rsidR="00AA2DE5" w:rsidRDefault="00AA2DE5" w:rsidP="00AA2DE5">
      <w:pPr>
        <w:pStyle w:val="ACMACorporateAddresses"/>
      </w:pPr>
      <w:r>
        <w:t>Written enquiries may be sent to:</w:t>
      </w:r>
    </w:p>
    <w:p w14:paraId="3BE2613A"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76B8B46D" w14:textId="77777777" w:rsidR="00D16FE3" w:rsidRDefault="00D16FE3" w:rsidP="00D16FE3">
      <w:pPr>
        <w:pStyle w:val="ACMACorporateAddresses"/>
        <w:rPr>
          <w:rStyle w:val="Hyperlink"/>
        </w:rPr>
      </w:pPr>
    </w:p>
    <w:p w14:paraId="26EEA8F1"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66F546E1" w14:textId="1B4B00A1" w:rsidR="00F817E6" w:rsidRDefault="00C65F61">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"1-2" \t "Exec summary heading,1" </w:instrText>
      </w:r>
      <w:r>
        <w:rPr>
          <w:rFonts w:cs="Arial"/>
          <w:b w:val="0"/>
        </w:rPr>
        <w:fldChar w:fldCharType="separate"/>
      </w:r>
      <w:r w:rsidR="00F817E6">
        <w:t>Executive summary</w:t>
      </w:r>
      <w:r w:rsidR="00F817E6">
        <w:tab/>
      </w:r>
      <w:r w:rsidR="00F817E6">
        <w:fldChar w:fldCharType="begin"/>
      </w:r>
      <w:r w:rsidR="00F817E6">
        <w:instrText xml:space="preserve"> PAGEREF _Toc98412013 \h </w:instrText>
      </w:r>
      <w:r w:rsidR="00F817E6">
        <w:fldChar w:fldCharType="separate"/>
      </w:r>
      <w:r w:rsidR="00F817E6">
        <w:t>1</w:t>
      </w:r>
      <w:r w:rsidR="00F817E6">
        <w:fldChar w:fldCharType="end"/>
      </w:r>
    </w:p>
    <w:p w14:paraId="6AAD112F" w14:textId="0A385F3D" w:rsidR="00F817E6" w:rsidRDefault="00F817E6">
      <w:pPr>
        <w:pStyle w:val="TOC2"/>
        <w:rPr>
          <w:rFonts w:asciiTheme="minorHAnsi" w:eastAsiaTheme="minorEastAsia" w:hAnsiTheme="minorHAnsi" w:cstheme="minorBidi"/>
          <w:spacing w:val="0"/>
          <w:sz w:val="22"/>
          <w:szCs w:val="22"/>
        </w:rPr>
      </w:pPr>
      <w:r>
        <w:t>Proposed changes to a licence area plan (LAP)</w:t>
      </w:r>
      <w:r>
        <w:tab/>
      </w:r>
      <w:r>
        <w:fldChar w:fldCharType="begin"/>
      </w:r>
      <w:r>
        <w:instrText xml:space="preserve"> PAGEREF _Toc98412014 \h </w:instrText>
      </w:r>
      <w:r>
        <w:fldChar w:fldCharType="separate"/>
      </w:r>
      <w:r>
        <w:t>1</w:t>
      </w:r>
      <w:r>
        <w:fldChar w:fldCharType="end"/>
      </w:r>
    </w:p>
    <w:p w14:paraId="0C79240D" w14:textId="0CD35CEE" w:rsidR="00F817E6" w:rsidRDefault="00F817E6">
      <w:pPr>
        <w:pStyle w:val="TOC1"/>
        <w:rPr>
          <w:rFonts w:asciiTheme="minorHAnsi" w:eastAsiaTheme="minorEastAsia" w:hAnsiTheme="minorHAnsi" w:cstheme="minorBidi"/>
          <w:b w:val="0"/>
          <w:spacing w:val="0"/>
          <w:sz w:val="22"/>
          <w:szCs w:val="22"/>
        </w:rPr>
      </w:pPr>
      <w:r>
        <w:t>Issues for comment</w:t>
      </w:r>
      <w:r>
        <w:tab/>
      </w:r>
      <w:r>
        <w:fldChar w:fldCharType="begin"/>
      </w:r>
      <w:r>
        <w:instrText xml:space="preserve"> PAGEREF _Toc98412015 \h </w:instrText>
      </w:r>
      <w:r>
        <w:fldChar w:fldCharType="separate"/>
      </w:r>
      <w:r>
        <w:t>2</w:t>
      </w:r>
      <w:r>
        <w:fldChar w:fldCharType="end"/>
      </w:r>
    </w:p>
    <w:p w14:paraId="1E68B063" w14:textId="117F2894" w:rsidR="00F817E6" w:rsidRDefault="00F817E6">
      <w:pPr>
        <w:pStyle w:val="TOC1"/>
        <w:rPr>
          <w:rFonts w:asciiTheme="minorHAnsi" w:eastAsiaTheme="minorEastAsia" w:hAnsiTheme="minorHAnsi" w:cstheme="minorBidi"/>
          <w:b w:val="0"/>
          <w:spacing w:val="0"/>
          <w:sz w:val="22"/>
          <w:szCs w:val="22"/>
        </w:rPr>
      </w:pPr>
      <w:r>
        <w:t>Introduction</w:t>
      </w:r>
      <w:r>
        <w:tab/>
      </w:r>
      <w:r>
        <w:fldChar w:fldCharType="begin"/>
      </w:r>
      <w:r>
        <w:instrText xml:space="preserve"> PAGEREF _Toc98412016 \h </w:instrText>
      </w:r>
      <w:r>
        <w:fldChar w:fldCharType="separate"/>
      </w:r>
      <w:r>
        <w:t>3</w:t>
      </w:r>
      <w:r>
        <w:fldChar w:fldCharType="end"/>
      </w:r>
    </w:p>
    <w:p w14:paraId="31437924" w14:textId="170EF6D8" w:rsidR="00F817E6" w:rsidRDefault="00F817E6">
      <w:pPr>
        <w:pStyle w:val="TOC2"/>
        <w:rPr>
          <w:rFonts w:asciiTheme="minorHAnsi" w:eastAsiaTheme="minorEastAsia" w:hAnsiTheme="minorHAnsi" w:cstheme="minorBidi"/>
          <w:spacing w:val="0"/>
          <w:sz w:val="22"/>
          <w:szCs w:val="22"/>
        </w:rPr>
      </w:pPr>
      <w:r>
        <w:t>Planning of broadcasting services and the preparation of LAPs</w:t>
      </w:r>
      <w:r>
        <w:tab/>
      </w:r>
      <w:r>
        <w:fldChar w:fldCharType="begin"/>
      </w:r>
      <w:r>
        <w:instrText xml:space="preserve"> PAGEREF _Toc98412017 \h </w:instrText>
      </w:r>
      <w:r>
        <w:fldChar w:fldCharType="separate"/>
      </w:r>
      <w:r>
        <w:t>3</w:t>
      </w:r>
      <w:r>
        <w:fldChar w:fldCharType="end"/>
      </w:r>
    </w:p>
    <w:p w14:paraId="048B363E" w14:textId="0ED54240" w:rsidR="00F817E6" w:rsidRDefault="00F817E6">
      <w:pPr>
        <w:pStyle w:val="TOC2"/>
        <w:rPr>
          <w:rFonts w:asciiTheme="minorHAnsi" w:eastAsiaTheme="minorEastAsia" w:hAnsiTheme="minorHAnsi" w:cstheme="minorBidi"/>
          <w:spacing w:val="0"/>
          <w:sz w:val="22"/>
          <w:szCs w:val="22"/>
        </w:rPr>
      </w:pPr>
      <w:r>
        <w:t>Deniliquin LAP</w:t>
      </w:r>
      <w:r>
        <w:tab/>
      </w:r>
      <w:r>
        <w:fldChar w:fldCharType="begin"/>
      </w:r>
      <w:r>
        <w:instrText xml:space="preserve"> PAGEREF _Toc98412018 \h </w:instrText>
      </w:r>
      <w:r>
        <w:fldChar w:fldCharType="separate"/>
      </w:r>
      <w:r>
        <w:t>3</w:t>
      </w:r>
      <w:r>
        <w:fldChar w:fldCharType="end"/>
      </w:r>
    </w:p>
    <w:p w14:paraId="6BACAC08" w14:textId="6B34AFAA" w:rsidR="00F817E6" w:rsidRDefault="00F817E6">
      <w:pPr>
        <w:pStyle w:val="TOC1"/>
        <w:rPr>
          <w:rFonts w:asciiTheme="minorHAnsi" w:eastAsiaTheme="minorEastAsia" w:hAnsiTheme="minorHAnsi" w:cstheme="minorBidi"/>
          <w:b w:val="0"/>
          <w:spacing w:val="0"/>
          <w:sz w:val="22"/>
          <w:szCs w:val="22"/>
        </w:rPr>
      </w:pPr>
      <w:r>
        <w:t>Proposed changes to the Deniliquin LAP</w:t>
      </w:r>
      <w:r>
        <w:tab/>
      </w:r>
      <w:r>
        <w:fldChar w:fldCharType="begin"/>
      </w:r>
      <w:r>
        <w:instrText xml:space="preserve"> PAGEREF _Toc98412019 \h </w:instrText>
      </w:r>
      <w:r>
        <w:fldChar w:fldCharType="separate"/>
      </w:r>
      <w:r>
        <w:t>4</w:t>
      </w:r>
      <w:r>
        <w:fldChar w:fldCharType="end"/>
      </w:r>
    </w:p>
    <w:p w14:paraId="5A50A1FF" w14:textId="69EBB8B5" w:rsidR="00F817E6" w:rsidRDefault="00F817E6">
      <w:pPr>
        <w:pStyle w:val="TOC2"/>
        <w:rPr>
          <w:rFonts w:asciiTheme="minorHAnsi" w:eastAsiaTheme="minorEastAsia" w:hAnsiTheme="minorHAnsi" w:cstheme="minorBidi"/>
          <w:spacing w:val="0"/>
          <w:sz w:val="22"/>
          <w:szCs w:val="22"/>
        </w:rPr>
      </w:pPr>
      <w:r>
        <w:t>Summary</w:t>
      </w:r>
      <w:r>
        <w:tab/>
      </w:r>
      <w:r>
        <w:fldChar w:fldCharType="begin"/>
      </w:r>
      <w:r>
        <w:instrText xml:space="preserve"> PAGEREF _Toc98412020 \h </w:instrText>
      </w:r>
      <w:r>
        <w:fldChar w:fldCharType="separate"/>
      </w:r>
      <w:r>
        <w:t>4</w:t>
      </w:r>
      <w:r>
        <w:fldChar w:fldCharType="end"/>
      </w:r>
    </w:p>
    <w:p w14:paraId="62638D79" w14:textId="0B8303B3" w:rsidR="00F817E6" w:rsidRDefault="00F817E6">
      <w:pPr>
        <w:pStyle w:val="TOC2"/>
        <w:rPr>
          <w:rFonts w:asciiTheme="minorHAnsi" w:eastAsiaTheme="minorEastAsia" w:hAnsiTheme="minorHAnsi" w:cstheme="minorBidi"/>
          <w:spacing w:val="0"/>
          <w:sz w:val="22"/>
          <w:szCs w:val="22"/>
        </w:rPr>
      </w:pPr>
      <w:r>
        <w:t>Discussion of proposal – 2MOR</w:t>
      </w:r>
      <w:r>
        <w:tab/>
      </w:r>
      <w:r>
        <w:fldChar w:fldCharType="begin"/>
      </w:r>
      <w:r>
        <w:instrText xml:space="preserve"> PAGEREF _Toc98412021 \h </w:instrText>
      </w:r>
      <w:r>
        <w:fldChar w:fldCharType="separate"/>
      </w:r>
      <w:r>
        <w:t>5</w:t>
      </w:r>
      <w:r>
        <w:fldChar w:fldCharType="end"/>
      </w:r>
    </w:p>
    <w:p w14:paraId="203752FF" w14:textId="6B592F76" w:rsidR="00F817E6" w:rsidRDefault="00F817E6">
      <w:pPr>
        <w:pStyle w:val="TOC2"/>
        <w:rPr>
          <w:rFonts w:asciiTheme="minorHAnsi" w:eastAsiaTheme="minorEastAsia" w:hAnsiTheme="minorHAnsi" w:cstheme="minorBidi"/>
          <w:spacing w:val="0"/>
          <w:sz w:val="22"/>
          <w:szCs w:val="22"/>
        </w:rPr>
      </w:pPr>
      <w:r>
        <w:t>Discussion of proposal – 2QN</w:t>
      </w:r>
      <w:r>
        <w:tab/>
      </w:r>
      <w:r>
        <w:fldChar w:fldCharType="begin"/>
      </w:r>
      <w:r>
        <w:instrText xml:space="preserve"> PAGEREF _Toc98412022 \h </w:instrText>
      </w:r>
      <w:r>
        <w:fldChar w:fldCharType="separate"/>
      </w:r>
      <w:r>
        <w:t>6</w:t>
      </w:r>
      <w:r>
        <w:fldChar w:fldCharType="end"/>
      </w:r>
    </w:p>
    <w:p w14:paraId="0577B3AB" w14:textId="31F5124E" w:rsidR="00F817E6" w:rsidRDefault="00F817E6">
      <w:pPr>
        <w:pStyle w:val="TOC1"/>
        <w:rPr>
          <w:rFonts w:asciiTheme="minorHAnsi" w:eastAsiaTheme="minorEastAsia" w:hAnsiTheme="minorHAnsi" w:cstheme="minorBidi"/>
          <w:b w:val="0"/>
          <w:spacing w:val="0"/>
          <w:sz w:val="22"/>
          <w:szCs w:val="22"/>
        </w:rPr>
      </w:pPr>
      <w:r>
        <w:t>Minor amendments to the Deniliquin LAP</w:t>
      </w:r>
      <w:r>
        <w:tab/>
      </w:r>
      <w:r>
        <w:fldChar w:fldCharType="begin"/>
      </w:r>
      <w:r>
        <w:instrText xml:space="preserve"> PAGEREF _Toc98412023 \h </w:instrText>
      </w:r>
      <w:r>
        <w:fldChar w:fldCharType="separate"/>
      </w:r>
      <w:r>
        <w:t>9</w:t>
      </w:r>
      <w:r>
        <w:fldChar w:fldCharType="end"/>
      </w:r>
    </w:p>
    <w:p w14:paraId="5C344EFB" w14:textId="53AB015A" w:rsidR="00F817E6" w:rsidRDefault="00F817E6">
      <w:pPr>
        <w:pStyle w:val="TOC1"/>
        <w:rPr>
          <w:rFonts w:asciiTheme="minorHAnsi" w:eastAsiaTheme="minorEastAsia" w:hAnsiTheme="minorHAnsi" w:cstheme="minorBidi"/>
          <w:b w:val="0"/>
          <w:spacing w:val="0"/>
          <w:sz w:val="22"/>
          <w:szCs w:val="22"/>
        </w:rPr>
      </w:pPr>
      <w:r>
        <w:t>Invitation to comment</w:t>
      </w:r>
      <w:r>
        <w:tab/>
      </w:r>
      <w:r>
        <w:fldChar w:fldCharType="begin"/>
      </w:r>
      <w:r>
        <w:instrText xml:space="preserve"> PAGEREF _Toc98412024 \h </w:instrText>
      </w:r>
      <w:r>
        <w:fldChar w:fldCharType="separate"/>
      </w:r>
      <w:r>
        <w:t>10</w:t>
      </w:r>
      <w:r>
        <w:fldChar w:fldCharType="end"/>
      </w:r>
    </w:p>
    <w:p w14:paraId="5DC6E54C" w14:textId="0440D82D" w:rsidR="00F817E6" w:rsidRDefault="00F817E6">
      <w:pPr>
        <w:pStyle w:val="TOC2"/>
        <w:rPr>
          <w:rFonts w:asciiTheme="minorHAnsi" w:eastAsiaTheme="minorEastAsia" w:hAnsiTheme="minorHAnsi" w:cstheme="minorBidi"/>
          <w:spacing w:val="0"/>
          <w:sz w:val="22"/>
          <w:szCs w:val="22"/>
        </w:rPr>
      </w:pPr>
      <w:r>
        <w:t>Making a submission</w:t>
      </w:r>
      <w:r>
        <w:tab/>
      </w:r>
      <w:r>
        <w:fldChar w:fldCharType="begin"/>
      </w:r>
      <w:r>
        <w:instrText xml:space="preserve"> PAGEREF _Toc98412025 \h </w:instrText>
      </w:r>
      <w:r>
        <w:fldChar w:fldCharType="separate"/>
      </w:r>
      <w:r>
        <w:t>10</w:t>
      </w:r>
      <w:r>
        <w:fldChar w:fldCharType="end"/>
      </w:r>
    </w:p>
    <w:p w14:paraId="325786F3" w14:textId="5C5E8429" w:rsidR="00F817E6" w:rsidRDefault="00F817E6">
      <w:pPr>
        <w:pStyle w:val="TOC1"/>
        <w:rPr>
          <w:rFonts w:asciiTheme="minorHAnsi" w:eastAsiaTheme="minorEastAsia" w:hAnsiTheme="minorHAnsi" w:cstheme="minorBidi"/>
          <w:b w:val="0"/>
          <w:spacing w:val="0"/>
          <w:sz w:val="22"/>
          <w:szCs w:val="22"/>
        </w:rPr>
      </w:pPr>
      <w:r>
        <w:t>Appendix A</w:t>
      </w:r>
      <w:r>
        <w:tab/>
      </w:r>
      <w:r>
        <w:fldChar w:fldCharType="begin"/>
      </w:r>
      <w:r>
        <w:instrText xml:space="preserve"> PAGEREF _Toc98412026 \h </w:instrText>
      </w:r>
      <w:r>
        <w:fldChar w:fldCharType="separate"/>
      </w:r>
      <w:r>
        <w:t>11</w:t>
      </w:r>
      <w:r>
        <w:fldChar w:fldCharType="end"/>
      </w:r>
    </w:p>
    <w:p w14:paraId="62E0F928" w14:textId="150B6195" w:rsidR="00F817E6" w:rsidRDefault="00F817E6">
      <w:pPr>
        <w:pStyle w:val="TOC2"/>
        <w:rPr>
          <w:rFonts w:asciiTheme="minorHAnsi" w:eastAsiaTheme="minorEastAsia" w:hAnsiTheme="minorHAnsi" w:cstheme="minorBidi"/>
          <w:spacing w:val="0"/>
          <w:sz w:val="22"/>
          <w:szCs w:val="22"/>
        </w:rPr>
      </w:pPr>
      <w:r>
        <w:t>Map of Deniliquin RA1 licence area</w:t>
      </w:r>
      <w:r>
        <w:tab/>
      </w:r>
      <w:r>
        <w:fldChar w:fldCharType="begin"/>
      </w:r>
      <w:r>
        <w:instrText xml:space="preserve"> PAGEREF _Toc98412027 \h </w:instrText>
      </w:r>
      <w:r>
        <w:fldChar w:fldCharType="separate"/>
      </w:r>
      <w:r>
        <w:t>11</w:t>
      </w:r>
      <w:r>
        <w:fldChar w:fldCharType="end"/>
      </w:r>
    </w:p>
    <w:p w14:paraId="6BC36E69" w14:textId="78A4DBE9" w:rsidR="00F817E6" w:rsidRDefault="00F817E6">
      <w:pPr>
        <w:pStyle w:val="TOC1"/>
        <w:rPr>
          <w:rFonts w:asciiTheme="minorHAnsi" w:eastAsiaTheme="minorEastAsia" w:hAnsiTheme="minorHAnsi" w:cstheme="minorBidi"/>
          <w:b w:val="0"/>
          <w:spacing w:val="0"/>
          <w:sz w:val="22"/>
          <w:szCs w:val="22"/>
        </w:rPr>
      </w:pPr>
      <w:r>
        <w:t>Appendix B</w:t>
      </w:r>
      <w:r>
        <w:tab/>
      </w:r>
      <w:r>
        <w:fldChar w:fldCharType="begin"/>
      </w:r>
      <w:r>
        <w:instrText xml:space="preserve"> PAGEREF _Toc98412028 \h </w:instrText>
      </w:r>
      <w:r>
        <w:fldChar w:fldCharType="separate"/>
      </w:r>
      <w:r>
        <w:t>12</w:t>
      </w:r>
      <w:r>
        <w:fldChar w:fldCharType="end"/>
      </w:r>
    </w:p>
    <w:p w14:paraId="436FAE27" w14:textId="2A772A3E" w:rsidR="00F817E6" w:rsidRDefault="00F817E6" w:rsidP="00F817E6">
      <w:pPr>
        <w:pStyle w:val="TOC2"/>
        <w:ind w:left="0" w:firstLine="0"/>
        <w:rPr>
          <w:rFonts w:asciiTheme="minorHAnsi" w:eastAsiaTheme="minorEastAsia" w:hAnsiTheme="minorHAnsi" w:cstheme="minorBidi"/>
          <w:spacing w:val="0"/>
          <w:sz w:val="22"/>
          <w:szCs w:val="22"/>
        </w:rPr>
      </w:pPr>
      <w:r>
        <w:t xml:space="preserve">Proposed specification for 2MOR infill transmitter to serve </w:t>
      </w:r>
      <w:r>
        <w:br/>
        <w:t>Echuca/Moama</w:t>
      </w:r>
      <w:r>
        <w:tab/>
      </w:r>
      <w:r>
        <w:fldChar w:fldCharType="begin"/>
      </w:r>
      <w:r>
        <w:instrText xml:space="preserve"> PAGEREF _Toc98412029 \h </w:instrText>
      </w:r>
      <w:r>
        <w:fldChar w:fldCharType="separate"/>
      </w:r>
      <w:r>
        <w:t>12</w:t>
      </w:r>
      <w:r>
        <w:fldChar w:fldCharType="end"/>
      </w:r>
    </w:p>
    <w:p w14:paraId="2E78D953" w14:textId="11116F90" w:rsidR="00F817E6" w:rsidRDefault="00F817E6">
      <w:pPr>
        <w:pStyle w:val="TOC1"/>
        <w:rPr>
          <w:rFonts w:asciiTheme="minorHAnsi" w:eastAsiaTheme="minorEastAsia" w:hAnsiTheme="minorHAnsi" w:cstheme="minorBidi"/>
          <w:b w:val="0"/>
          <w:spacing w:val="0"/>
          <w:sz w:val="22"/>
          <w:szCs w:val="22"/>
        </w:rPr>
      </w:pPr>
      <w:r>
        <w:t>Appendix C</w:t>
      </w:r>
      <w:r>
        <w:tab/>
      </w:r>
      <w:r>
        <w:fldChar w:fldCharType="begin"/>
      </w:r>
      <w:r>
        <w:instrText xml:space="preserve"> PAGEREF _Toc98412030 \h </w:instrText>
      </w:r>
      <w:r>
        <w:fldChar w:fldCharType="separate"/>
      </w:r>
      <w:r>
        <w:t>14</w:t>
      </w:r>
      <w:r>
        <w:fldChar w:fldCharType="end"/>
      </w:r>
    </w:p>
    <w:p w14:paraId="6D35FFBE" w14:textId="34D0FCFE" w:rsidR="00F817E6" w:rsidRDefault="00F817E6" w:rsidP="00F817E6">
      <w:pPr>
        <w:pStyle w:val="TOC2"/>
        <w:ind w:left="0" w:firstLine="0"/>
        <w:rPr>
          <w:rFonts w:asciiTheme="minorHAnsi" w:eastAsiaTheme="minorEastAsia" w:hAnsiTheme="minorHAnsi" w:cstheme="minorBidi"/>
          <w:spacing w:val="0"/>
          <w:sz w:val="22"/>
          <w:szCs w:val="22"/>
        </w:rPr>
      </w:pPr>
      <w:r>
        <w:t xml:space="preserve">Proposed specification for 2QN infill transmitter to serve </w:t>
      </w:r>
      <w:r>
        <w:br/>
        <w:t>Echuca/Moama</w:t>
      </w:r>
      <w:r>
        <w:tab/>
      </w:r>
      <w:r>
        <w:fldChar w:fldCharType="begin"/>
      </w:r>
      <w:r>
        <w:instrText xml:space="preserve"> PAGEREF _Toc98412031 \h </w:instrText>
      </w:r>
      <w:r>
        <w:fldChar w:fldCharType="separate"/>
      </w:r>
      <w:r>
        <w:t>14</w:t>
      </w:r>
      <w:r>
        <w:fldChar w:fldCharType="end"/>
      </w:r>
    </w:p>
    <w:p w14:paraId="4BA11DE0" w14:textId="353C65D0" w:rsidR="00F817E6" w:rsidRDefault="00F817E6">
      <w:pPr>
        <w:pStyle w:val="TOC1"/>
        <w:rPr>
          <w:rFonts w:asciiTheme="minorHAnsi" w:eastAsiaTheme="minorEastAsia" w:hAnsiTheme="minorHAnsi" w:cstheme="minorBidi"/>
          <w:b w:val="0"/>
          <w:spacing w:val="0"/>
          <w:sz w:val="22"/>
          <w:szCs w:val="22"/>
        </w:rPr>
      </w:pPr>
      <w:r>
        <w:t>Appendix D</w:t>
      </w:r>
      <w:r>
        <w:tab/>
      </w:r>
      <w:r>
        <w:fldChar w:fldCharType="begin"/>
      </w:r>
      <w:r>
        <w:instrText xml:space="preserve"> PAGEREF _Toc98412032 \h </w:instrText>
      </w:r>
      <w:r>
        <w:fldChar w:fldCharType="separate"/>
      </w:r>
      <w:r>
        <w:t>15</w:t>
      </w:r>
      <w:r>
        <w:fldChar w:fldCharType="end"/>
      </w:r>
    </w:p>
    <w:p w14:paraId="7F03EBF8" w14:textId="2451E600" w:rsidR="00F817E6" w:rsidRDefault="00F817E6">
      <w:pPr>
        <w:pStyle w:val="TOC2"/>
        <w:rPr>
          <w:rFonts w:asciiTheme="minorHAnsi" w:eastAsiaTheme="minorEastAsia" w:hAnsiTheme="minorHAnsi" w:cstheme="minorBidi"/>
          <w:spacing w:val="0"/>
          <w:sz w:val="22"/>
          <w:szCs w:val="22"/>
        </w:rPr>
      </w:pPr>
      <w:r>
        <w:t>Proposed specification for 2QN infill transmitter to serve Cobram</w:t>
      </w:r>
      <w:r>
        <w:tab/>
      </w:r>
      <w:r>
        <w:fldChar w:fldCharType="begin"/>
      </w:r>
      <w:r>
        <w:instrText xml:space="preserve"> PAGEREF _Toc98412033 \h </w:instrText>
      </w:r>
      <w:r>
        <w:fldChar w:fldCharType="separate"/>
      </w:r>
      <w:r>
        <w:t>15</w:t>
      </w:r>
      <w:r>
        <w:fldChar w:fldCharType="end"/>
      </w:r>
    </w:p>
    <w:p w14:paraId="548081E1" w14:textId="0A015EF4" w:rsidR="00F817E6" w:rsidRDefault="00F817E6">
      <w:pPr>
        <w:pStyle w:val="TOC1"/>
        <w:rPr>
          <w:rFonts w:asciiTheme="minorHAnsi" w:eastAsiaTheme="minorEastAsia" w:hAnsiTheme="minorHAnsi" w:cstheme="minorBidi"/>
          <w:b w:val="0"/>
          <w:spacing w:val="0"/>
          <w:sz w:val="22"/>
          <w:szCs w:val="22"/>
        </w:rPr>
      </w:pPr>
      <w:r>
        <w:t>Appendix E</w:t>
      </w:r>
      <w:r>
        <w:tab/>
      </w:r>
      <w:r>
        <w:fldChar w:fldCharType="begin"/>
      </w:r>
      <w:r>
        <w:instrText xml:space="preserve"> PAGEREF _Toc98412034 \h </w:instrText>
      </w:r>
      <w:r>
        <w:fldChar w:fldCharType="separate"/>
      </w:r>
      <w:r>
        <w:t>16</w:t>
      </w:r>
      <w:r>
        <w:fldChar w:fldCharType="end"/>
      </w:r>
    </w:p>
    <w:p w14:paraId="61036715" w14:textId="4152FBF9" w:rsidR="00F817E6" w:rsidRDefault="00F817E6" w:rsidP="00F817E6">
      <w:pPr>
        <w:pStyle w:val="TOC2"/>
        <w:ind w:left="0" w:firstLine="0"/>
        <w:rPr>
          <w:rFonts w:asciiTheme="minorHAnsi" w:eastAsiaTheme="minorEastAsia" w:hAnsiTheme="minorHAnsi" w:cstheme="minorBidi"/>
          <w:spacing w:val="0"/>
          <w:sz w:val="22"/>
          <w:szCs w:val="22"/>
        </w:rPr>
      </w:pPr>
      <w:r>
        <w:t xml:space="preserve">Proposed specification for 2MOR infill transmitter to serve </w:t>
      </w:r>
      <w:r>
        <w:br/>
        <w:t>Echuca/Moama</w:t>
      </w:r>
      <w:r>
        <w:tab/>
      </w:r>
      <w:r>
        <w:fldChar w:fldCharType="begin"/>
      </w:r>
      <w:r>
        <w:instrText xml:space="preserve"> PAGEREF _Toc98412035 \h </w:instrText>
      </w:r>
      <w:r>
        <w:fldChar w:fldCharType="separate"/>
      </w:r>
      <w:r>
        <w:t>16</w:t>
      </w:r>
      <w:r>
        <w:fldChar w:fldCharType="end"/>
      </w:r>
    </w:p>
    <w:p w14:paraId="39A17EF4" w14:textId="5A96825E" w:rsidR="004D56FF" w:rsidRPr="000D76E0" w:rsidRDefault="00C65F61">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778762B7" w14:textId="77777777" w:rsidR="00F85B9C" w:rsidRPr="009174F3" w:rsidRDefault="00F85B9C" w:rsidP="00F85B9C">
      <w:pPr>
        <w:pStyle w:val="Execsummaryheading"/>
      </w:pPr>
      <w:bookmarkStart w:id="0" w:name="_Toc27560531"/>
      <w:bookmarkStart w:id="1" w:name="_Toc433122125"/>
      <w:bookmarkStart w:id="2" w:name="_Toc98412013"/>
      <w:r w:rsidRPr="009174F3">
        <w:lastRenderedPageBreak/>
        <w:t>Executive summary</w:t>
      </w:r>
      <w:bookmarkEnd w:id="0"/>
      <w:bookmarkEnd w:id="2"/>
    </w:p>
    <w:p w14:paraId="1FE2EF88" w14:textId="77777777" w:rsidR="00F85B9C" w:rsidRPr="003C5674" w:rsidRDefault="00F85B9C" w:rsidP="00F85B9C">
      <w:pPr>
        <w:pStyle w:val="Heading2"/>
      </w:pPr>
      <w:bookmarkStart w:id="3" w:name="_Toc19706276"/>
      <w:bookmarkStart w:id="4" w:name="_Toc27560532"/>
      <w:bookmarkStart w:id="5" w:name="_Toc98412014"/>
      <w:r w:rsidRPr="003C5674">
        <w:t>Proposed changes to</w:t>
      </w:r>
      <w:r>
        <w:t xml:space="preserve"> a</w:t>
      </w:r>
      <w:r w:rsidRPr="003C5674">
        <w:t xml:space="preserve"> </w:t>
      </w:r>
      <w:r>
        <w:t>l</w:t>
      </w:r>
      <w:r w:rsidRPr="003C5674">
        <w:t xml:space="preserve">icence </w:t>
      </w:r>
      <w:r>
        <w:t>a</w:t>
      </w:r>
      <w:r w:rsidRPr="003C5674">
        <w:t xml:space="preserve">rea </w:t>
      </w:r>
      <w:r>
        <w:t>p</w:t>
      </w:r>
      <w:r w:rsidRPr="003C5674">
        <w:t>lan (LAP)</w:t>
      </w:r>
      <w:bookmarkEnd w:id="3"/>
      <w:bookmarkEnd w:id="4"/>
      <w:bookmarkEnd w:id="5"/>
    </w:p>
    <w:p w14:paraId="600C015B" w14:textId="71E91750" w:rsidR="00F85B9C" w:rsidRPr="00A50D69" w:rsidRDefault="00F85B9C" w:rsidP="00F85B9C">
      <w:pPr>
        <w:pStyle w:val="Paragraph"/>
      </w:pPr>
      <w:r w:rsidRPr="00A50D69">
        <w:t xml:space="preserve">The Australian Communications and Media Authority (ACMA) is seeking comment on proposed changes to the </w:t>
      </w:r>
      <w:hyperlink r:id="rId24" w:history="1">
        <w:r w:rsidR="009851D6" w:rsidRPr="00260B90">
          <w:rPr>
            <w:rStyle w:val="Hyperlink"/>
          </w:rPr>
          <w:t>Licence Area Plan - Deniliquin (Radio) - September 1997</w:t>
        </w:r>
      </w:hyperlink>
      <w:r w:rsidR="009851D6" w:rsidRPr="005433FA">
        <w:t xml:space="preserve"> </w:t>
      </w:r>
      <w:r w:rsidR="009851D6" w:rsidRPr="001B7D2E">
        <w:t>(</w:t>
      </w:r>
      <w:r w:rsidR="009851D6">
        <w:t>Deniliquin</w:t>
      </w:r>
      <w:r w:rsidR="009851D6" w:rsidRPr="001B7D2E">
        <w:t xml:space="preserve"> LAP)</w:t>
      </w:r>
      <w:r w:rsidR="009851D6">
        <w:t>.</w:t>
      </w:r>
    </w:p>
    <w:p w14:paraId="6A821A24" w14:textId="0100478D" w:rsidR="00F85B9C" w:rsidRPr="001D7083" w:rsidRDefault="005433FA" w:rsidP="00F85B9C">
      <w:pPr>
        <w:pStyle w:val="Paragraph"/>
        <w:spacing w:after="80"/>
      </w:pPr>
      <w:r>
        <w:t xml:space="preserve">We are </w:t>
      </w:r>
      <w:r w:rsidR="00F85B9C" w:rsidRPr="001D7083">
        <w:t xml:space="preserve">proposing to vary the </w:t>
      </w:r>
      <w:r w:rsidR="00965E94" w:rsidRPr="001D7083">
        <w:t>Deniliquin</w:t>
      </w:r>
      <w:r w:rsidR="00F85B9C" w:rsidRPr="001D7083">
        <w:t xml:space="preserve"> LAP to:</w:t>
      </w:r>
    </w:p>
    <w:p w14:paraId="7E9F8AB0" w14:textId="77777777" w:rsidR="005433FA" w:rsidRDefault="00F85B9C" w:rsidP="00F85B9C">
      <w:pPr>
        <w:pStyle w:val="ListBullet"/>
      </w:pPr>
      <w:r w:rsidRPr="005D1439">
        <w:t>make spectrum available for</w:t>
      </w:r>
      <w:r w:rsidR="005433FA">
        <w:t>:</w:t>
      </w:r>
      <w:r w:rsidRPr="005D1439">
        <w:t xml:space="preserve"> </w:t>
      </w:r>
    </w:p>
    <w:p w14:paraId="3F3695AA" w14:textId="098CB6B3" w:rsidR="00F85B9C" w:rsidRDefault="00F85B9C" w:rsidP="00260B90">
      <w:pPr>
        <w:pStyle w:val="Bulletlevel2"/>
      </w:pPr>
      <w:r w:rsidRPr="005D1439">
        <w:t xml:space="preserve">a </w:t>
      </w:r>
      <w:r w:rsidR="00BE7A1C">
        <w:t>new infill transmitter</w:t>
      </w:r>
      <w:r w:rsidR="00D60F7F">
        <w:t xml:space="preserve"> </w:t>
      </w:r>
      <w:r w:rsidRPr="005D1439">
        <w:t xml:space="preserve">to serve </w:t>
      </w:r>
      <w:r w:rsidR="005D1439" w:rsidRPr="005D1439">
        <w:t xml:space="preserve">Echuca/Moama for the </w:t>
      </w:r>
      <w:r w:rsidR="00F273A6">
        <w:t xml:space="preserve">2QN </w:t>
      </w:r>
      <w:r w:rsidRPr="005D1439">
        <w:t>commercial radio broadcasting service</w:t>
      </w:r>
      <w:r w:rsidR="00232896">
        <w:t xml:space="preserve"> operating on 102.9</w:t>
      </w:r>
      <w:r w:rsidR="00C87D31">
        <w:t xml:space="preserve"> </w:t>
      </w:r>
      <w:r w:rsidR="00232896">
        <w:t>MHz</w:t>
      </w:r>
      <w:r w:rsidR="005D1439" w:rsidRPr="005D1439">
        <w:t xml:space="preserve">, in the Deniliquin RA1 licence area </w:t>
      </w:r>
      <w:r w:rsidR="003B0CC0">
        <w:t xml:space="preserve"> </w:t>
      </w:r>
    </w:p>
    <w:p w14:paraId="6BDA8F68" w14:textId="085036E3" w:rsidR="002063A2" w:rsidRDefault="002063A2" w:rsidP="005433FA">
      <w:pPr>
        <w:pStyle w:val="Bulletlevel2"/>
      </w:pPr>
      <w:r w:rsidRPr="005D1439">
        <w:t xml:space="preserve">a </w:t>
      </w:r>
      <w:r>
        <w:t xml:space="preserve">new infill transmitter </w:t>
      </w:r>
      <w:r w:rsidRPr="005D1439">
        <w:t xml:space="preserve">to serve Cobram for the </w:t>
      </w:r>
      <w:r w:rsidR="00F273A6">
        <w:t xml:space="preserve">2QN </w:t>
      </w:r>
      <w:r w:rsidRPr="005D1439">
        <w:t>commercial radio broadcasting service</w:t>
      </w:r>
      <w:r w:rsidR="00232896">
        <w:t xml:space="preserve"> operating on 93.3</w:t>
      </w:r>
      <w:r w:rsidR="00C87D31">
        <w:t xml:space="preserve"> </w:t>
      </w:r>
      <w:r w:rsidR="00232896">
        <w:t>MHz</w:t>
      </w:r>
      <w:r w:rsidRPr="005D1439">
        <w:t xml:space="preserve">, in the Deniliquin RA1 licence area </w:t>
      </w:r>
    </w:p>
    <w:p w14:paraId="1B34AB2D" w14:textId="7772F922" w:rsidR="005433FA" w:rsidRDefault="005433FA" w:rsidP="00260B90">
      <w:pPr>
        <w:pStyle w:val="Bulletlevel2"/>
      </w:pPr>
      <w:r w:rsidRPr="005D1439">
        <w:t xml:space="preserve">a </w:t>
      </w:r>
      <w:r>
        <w:t xml:space="preserve">new infill transmitter </w:t>
      </w:r>
      <w:r w:rsidRPr="005D1439">
        <w:t xml:space="preserve">to serve </w:t>
      </w:r>
      <w:r>
        <w:t>Echuca/Moama</w:t>
      </w:r>
      <w:r w:rsidRPr="005D1439">
        <w:t xml:space="preserve"> for the </w:t>
      </w:r>
      <w:r>
        <w:t xml:space="preserve">2MOR </w:t>
      </w:r>
      <w:r w:rsidRPr="005D1439">
        <w:t>commercial radio broadcasting service</w:t>
      </w:r>
      <w:r>
        <w:t xml:space="preserve"> operating on 103.9 MHz</w:t>
      </w:r>
      <w:r w:rsidRPr="005D1439">
        <w:t>, in the Deniliquin RA1 licence area</w:t>
      </w:r>
      <w:r>
        <w:t>, to commence when 92.5 MHz ceases operation</w:t>
      </w:r>
    </w:p>
    <w:p w14:paraId="3DF1FB33" w14:textId="7F59AF0E" w:rsidR="00461EA2" w:rsidRPr="00593304" w:rsidRDefault="008A3531" w:rsidP="00260B90">
      <w:pPr>
        <w:pStyle w:val="Bulletlevel2"/>
      </w:pPr>
      <w:r w:rsidRPr="00593304">
        <w:t>a</w:t>
      </w:r>
      <w:r w:rsidR="00B03676">
        <w:t xml:space="preserve"> temporary </w:t>
      </w:r>
      <w:r w:rsidRPr="00593304">
        <w:t xml:space="preserve">infill transmitter to serve Echuca/Moama for the </w:t>
      </w:r>
      <w:r w:rsidR="00F273A6">
        <w:t xml:space="preserve">2MOR </w:t>
      </w:r>
      <w:r w:rsidRPr="00593304">
        <w:t>commercial radio broadcasting service</w:t>
      </w:r>
      <w:r w:rsidR="00B03676">
        <w:t xml:space="preserve"> operating on 92.5</w:t>
      </w:r>
      <w:r w:rsidR="00C87D31">
        <w:t xml:space="preserve"> </w:t>
      </w:r>
      <w:r w:rsidR="00B03676">
        <w:t>MHz</w:t>
      </w:r>
      <w:r w:rsidRPr="00593304">
        <w:t>, in the Deniliquin RA1 licence area</w:t>
      </w:r>
      <w:r w:rsidR="008F1138">
        <w:t xml:space="preserve">, </w:t>
      </w:r>
      <w:r w:rsidR="003B0CC0" w:rsidRPr="003B0CC0">
        <w:t xml:space="preserve">until the permanent infill </w:t>
      </w:r>
      <w:r w:rsidR="005433FA">
        <w:t xml:space="preserve">transmitter </w:t>
      </w:r>
      <w:r w:rsidR="003B0CC0" w:rsidRPr="003B0CC0">
        <w:t>on 103.</w:t>
      </w:r>
      <w:r w:rsidR="00197393" w:rsidRPr="003B0CC0">
        <w:t>9</w:t>
      </w:r>
      <w:r w:rsidR="00197393">
        <w:t> </w:t>
      </w:r>
      <w:r w:rsidR="003B0CC0" w:rsidRPr="003B0CC0">
        <w:t>MHz commence</w:t>
      </w:r>
      <w:r w:rsidR="005433FA">
        <w:t>s</w:t>
      </w:r>
      <w:r w:rsidR="003B0CC0" w:rsidRPr="003B0CC0">
        <w:t xml:space="preserve"> operation</w:t>
      </w:r>
    </w:p>
    <w:p w14:paraId="70FC866A" w14:textId="640F1312" w:rsidR="005D1439" w:rsidRPr="005D1439" w:rsidRDefault="005D1439" w:rsidP="005D1439">
      <w:pPr>
        <w:pStyle w:val="ListBullet"/>
      </w:pPr>
      <w:r w:rsidRPr="005D1439">
        <w:t>remove a technical specification for a high</w:t>
      </w:r>
      <w:r w:rsidR="00E75567">
        <w:t>-</w:t>
      </w:r>
      <w:r w:rsidRPr="005D1439">
        <w:t xml:space="preserve">power open narrowcasting </w:t>
      </w:r>
      <w:r w:rsidR="00232896">
        <w:t xml:space="preserve">(HPON) </w:t>
      </w:r>
      <w:r w:rsidRPr="005D1439">
        <w:t>service transmitter</w:t>
      </w:r>
      <w:r w:rsidR="00B03676">
        <w:t xml:space="preserve"> operating on 92.5</w:t>
      </w:r>
      <w:r w:rsidR="00C87D31">
        <w:t xml:space="preserve"> </w:t>
      </w:r>
      <w:r w:rsidR="00B03676">
        <w:t>MHz</w:t>
      </w:r>
      <w:r w:rsidRPr="005D1439">
        <w:t xml:space="preserve"> that was planned to serve Moama</w:t>
      </w:r>
      <w:r w:rsidR="00CD438C">
        <w:t xml:space="preserve"> </w:t>
      </w:r>
    </w:p>
    <w:p w14:paraId="415D81D5" w14:textId="72AA5F41" w:rsidR="00F85B9C" w:rsidRDefault="00F85B9C" w:rsidP="00F85B9C">
      <w:pPr>
        <w:pStyle w:val="ListBulletLast"/>
      </w:pPr>
      <w:r w:rsidRPr="001771BD">
        <w:t xml:space="preserve">make minor </w:t>
      </w:r>
      <w:r w:rsidR="002C7025">
        <w:t>changes to t</w:t>
      </w:r>
      <w:r w:rsidRPr="001771BD">
        <w:t>echnical specifications</w:t>
      </w:r>
      <w:r w:rsidR="005D1439">
        <w:t xml:space="preserve"> </w:t>
      </w:r>
      <w:r w:rsidR="002C7025">
        <w:t>and other consequential changes</w:t>
      </w:r>
      <w:r w:rsidRPr="001771BD">
        <w:t>.</w:t>
      </w:r>
    </w:p>
    <w:p w14:paraId="70896CA3" w14:textId="6CFF657D" w:rsidR="00572DF2" w:rsidRDefault="00572DF2" w:rsidP="00593304">
      <w:pPr>
        <w:pStyle w:val="ListBullet"/>
        <w:numPr>
          <w:ilvl w:val="0"/>
          <w:numId w:val="0"/>
        </w:numPr>
      </w:pPr>
      <w:r>
        <w:t xml:space="preserve">The draft variation instrument, </w:t>
      </w:r>
      <w:r w:rsidR="005704BC" w:rsidRPr="00260B90">
        <w:t>Variation to Licence Area Plan – Deniliquin Radio</w:t>
      </w:r>
      <w:r w:rsidR="00C87D31" w:rsidRPr="00260B90">
        <w:t xml:space="preserve"> –</w:t>
      </w:r>
      <w:r w:rsidR="005704BC" w:rsidRPr="00260B90">
        <w:t xml:space="preserve"> 2022 (No. 1)</w:t>
      </w:r>
      <w:r w:rsidRPr="005433FA">
        <w:t xml:space="preserve"> </w:t>
      </w:r>
      <w:r>
        <w:t xml:space="preserve">that would give effect to the proposed changes is available alongside this paper on the </w:t>
      </w:r>
      <w:hyperlink r:id="rId25" w:history="1">
        <w:r>
          <w:rPr>
            <w:rStyle w:val="Hyperlink"/>
          </w:rPr>
          <w:t>ACMA website</w:t>
        </w:r>
      </w:hyperlink>
      <w:r>
        <w:t>.</w:t>
      </w:r>
    </w:p>
    <w:p w14:paraId="6CEB6853" w14:textId="77777777" w:rsidR="00572DF2" w:rsidRPr="001771BD" w:rsidRDefault="00572DF2" w:rsidP="00593304">
      <w:pPr>
        <w:pStyle w:val="ListBulletLast"/>
        <w:numPr>
          <w:ilvl w:val="0"/>
          <w:numId w:val="0"/>
        </w:numPr>
        <w:ind w:left="295" w:hanging="295"/>
      </w:pPr>
    </w:p>
    <w:p w14:paraId="1003C90D" w14:textId="714DF6F0" w:rsidR="00715722" w:rsidRDefault="00715722" w:rsidP="00715722">
      <w:pPr>
        <w:pStyle w:val="Heading1"/>
      </w:pPr>
      <w:bookmarkStart w:id="6" w:name="_Toc98412015"/>
      <w:r>
        <w:lastRenderedPageBreak/>
        <w:t>Issue</w:t>
      </w:r>
      <w:r w:rsidR="00E8479A">
        <w:t>s</w:t>
      </w:r>
      <w:r>
        <w:t xml:space="preserve"> for comment</w:t>
      </w:r>
      <w:bookmarkEnd w:id="1"/>
      <w:bookmarkEnd w:id="6"/>
    </w:p>
    <w:p w14:paraId="7EDE489C" w14:textId="1772DDDC" w:rsidR="00125DB0" w:rsidRPr="0089205F" w:rsidRDefault="005433FA" w:rsidP="00125DB0">
      <w:r>
        <w:rPr>
          <w:rFonts w:cs="Arial"/>
        </w:rPr>
        <w:t xml:space="preserve">We </w:t>
      </w:r>
      <w:r w:rsidR="00125DB0">
        <w:rPr>
          <w:rFonts w:cs="Arial"/>
        </w:rPr>
        <w:t xml:space="preserve">welcome comment from interested stakeholders on the issues raised in this </w:t>
      </w:r>
      <w:r w:rsidR="00125DB0" w:rsidRPr="0089205F">
        <w:t>paper or any other issues raised relevant to the proposed LAP variation.</w:t>
      </w:r>
    </w:p>
    <w:p w14:paraId="309477A4" w14:textId="77777777" w:rsidR="00125DB0" w:rsidRPr="000E5BFC" w:rsidRDefault="00125DB0" w:rsidP="00125DB0">
      <w:r>
        <w:t xml:space="preserve">Details on making a submission can be found at </w:t>
      </w:r>
      <w:hyperlink w:anchor="Invite" w:history="1">
        <w:r w:rsidRPr="0045763F">
          <w:rPr>
            <w:rStyle w:val="Hyperlink"/>
            <w:i/>
          </w:rPr>
          <w:t>Invitation to comment</w:t>
        </w:r>
      </w:hyperlink>
      <w:r>
        <w:rPr>
          <w:i/>
        </w:rPr>
        <w:t xml:space="preserve"> </w:t>
      </w:r>
      <w:r>
        <w:t>at the end of this document.</w:t>
      </w:r>
    </w:p>
    <w:p w14:paraId="7C449F95" w14:textId="3C12BF5C" w:rsidR="00924BF7" w:rsidRDefault="00924BF7" w:rsidP="00924BF7">
      <w:pPr>
        <w:pStyle w:val="Paragraphbeforelist"/>
      </w:pPr>
    </w:p>
    <w:p w14:paraId="3694D74F" w14:textId="2C4C9214" w:rsidR="000B4664" w:rsidRPr="00C35CCE" w:rsidRDefault="002449F1" w:rsidP="000B4664">
      <w:pPr>
        <w:pStyle w:val="Heading1"/>
      </w:pPr>
      <w:bookmarkStart w:id="7" w:name="_Toc98412016"/>
      <w:r>
        <w:lastRenderedPageBreak/>
        <w:t>Introduction</w:t>
      </w:r>
      <w:bookmarkEnd w:id="7"/>
    </w:p>
    <w:p w14:paraId="0714B883" w14:textId="373A5D20" w:rsidR="005E250B" w:rsidRDefault="00B02A46" w:rsidP="005E250B">
      <w:pPr>
        <w:pStyle w:val="Heading2"/>
      </w:pPr>
      <w:bookmarkStart w:id="8" w:name="_Toc98412017"/>
      <w:r>
        <w:t>Planning of broadcasting services and the preparation of LAPs</w:t>
      </w:r>
      <w:bookmarkEnd w:id="8"/>
      <w:r w:rsidR="005E250B" w:rsidRPr="00C35CCE">
        <w:t xml:space="preserve"> </w:t>
      </w:r>
    </w:p>
    <w:p w14:paraId="767D90AD" w14:textId="2F788010" w:rsidR="00593304" w:rsidRPr="006502E5" w:rsidRDefault="00593304" w:rsidP="00593304">
      <w:pPr>
        <w:rPr>
          <w:rFonts w:cs="Arial"/>
          <w:lang w:val="en"/>
        </w:rPr>
      </w:pPr>
      <w:r w:rsidRPr="006502E5">
        <w:rPr>
          <w:rFonts w:cs="Arial"/>
        </w:rPr>
        <w:t xml:space="preserve">The ACMA’s broadcasting planning functions are set out in Part 3 of the </w:t>
      </w:r>
      <w:r w:rsidRPr="006502E5">
        <w:rPr>
          <w:rFonts w:cs="Arial"/>
          <w:i/>
          <w:iCs/>
          <w:szCs w:val="20"/>
        </w:rPr>
        <w:t>Broadcasting Services Act 1992</w:t>
      </w:r>
      <w:r w:rsidRPr="006502E5">
        <w:rPr>
          <w:rFonts w:cs="Arial"/>
          <w:szCs w:val="20"/>
        </w:rPr>
        <w:t xml:space="preserve"> (BSA)</w:t>
      </w:r>
      <w:r w:rsidRPr="006502E5">
        <w:rPr>
          <w:rFonts w:cs="Arial"/>
        </w:rPr>
        <w:t xml:space="preserve">. </w:t>
      </w:r>
      <w:r>
        <w:rPr>
          <w:rFonts w:cs="Arial"/>
        </w:rPr>
        <w:t>In performing these functions,</w:t>
      </w:r>
      <w:r w:rsidRPr="006502E5">
        <w:rPr>
          <w:rFonts w:cs="Arial"/>
        </w:rPr>
        <w:t xml:space="preserve"> </w:t>
      </w:r>
      <w:r>
        <w:rPr>
          <w:rFonts w:cs="Arial"/>
        </w:rPr>
        <w:t>w</w:t>
      </w:r>
      <w:r w:rsidRPr="006502E5">
        <w:rPr>
          <w:rFonts w:cs="Arial"/>
        </w:rPr>
        <w:t>e promote the objects of the BSA (section 3), including the economic and efficient use of radiofrequency spectrum, and have regard to the planning criteria set out in section 23 of the B</w:t>
      </w:r>
      <w:r w:rsidRPr="006502E5">
        <w:rPr>
          <w:rFonts w:cs="Arial"/>
        </w:rPr>
        <w:t xml:space="preserve">SA. When planning </w:t>
      </w:r>
      <w:r>
        <w:rPr>
          <w:rFonts w:cs="Arial"/>
        </w:rPr>
        <w:t xml:space="preserve">analog </w:t>
      </w:r>
      <w:r w:rsidRPr="006502E5">
        <w:rPr>
          <w:rFonts w:cs="Arial"/>
        </w:rPr>
        <w:t xml:space="preserve">broadcasting services, </w:t>
      </w:r>
      <w:r w:rsidR="00197393">
        <w:rPr>
          <w:rFonts w:cs="Arial"/>
        </w:rPr>
        <w:t>we</w:t>
      </w:r>
      <w:r w:rsidRPr="006502E5">
        <w:rPr>
          <w:rFonts w:cs="Arial"/>
        </w:rPr>
        <w:t xml:space="preserve"> refer to </w:t>
      </w:r>
      <w:hyperlink r:id="rId26" w:history="1">
        <w:r w:rsidR="007D3949" w:rsidRPr="00484FCB">
          <w:rPr>
            <w:rStyle w:val="Hyperlink"/>
            <w:rFonts w:cs="Arial"/>
          </w:rPr>
          <w:t>AC</w:t>
        </w:r>
        <w:r w:rsidR="007D3949" w:rsidRPr="00484FCB">
          <w:rPr>
            <w:rStyle w:val="Hyperlink"/>
            <w:rFonts w:cs="Arial"/>
          </w:rPr>
          <w:t>M</w:t>
        </w:r>
        <w:r w:rsidR="007D3949" w:rsidRPr="00484FCB">
          <w:rPr>
            <w:rStyle w:val="Hyperlink"/>
            <w:rFonts w:cs="Arial"/>
          </w:rPr>
          <w:t xml:space="preserve">A’s approach to broadcast planning and varying </w:t>
        </w:r>
        <w:r w:rsidR="007D3949" w:rsidRPr="00484FCB">
          <w:rPr>
            <w:rStyle w:val="Hyperlink"/>
            <w:rFonts w:cs="Arial"/>
          </w:rPr>
          <w:t>L</w:t>
        </w:r>
        <w:r w:rsidR="007D3949" w:rsidRPr="00484FCB">
          <w:rPr>
            <w:rStyle w:val="Hyperlink"/>
            <w:rFonts w:cs="Arial"/>
          </w:rPr>
          <w:t>APs</w:t>
        </w:r>
      </w:hyperlink>
      <w:r w:rsidR="00484FCB">
        <w:rPr>
          <w:rFonts w:cs="Arial"/>
          <w:lang w:val="en"/>
        </w:rPr>
        <w:t>,</w:t>
      </w:r>
      <w:r w:rsidR="007D3949" w:rsidRPr="00484FCB">
        <w:rPr>
          <w:rFonts w:cs="Arial"/>
          <w:lang w:val="en"/>
        </w:rPr>
        <w:t xml:space="preserve"> </w:t>
      </w:r>
      <w:r w:rsidR="00197393" w:rsidRPr="00260B90">
        <w:rPr>
          <w:rFonts w:cs="Arial"/>
          <w:lang w:val="en"/>
        </w:rPr>
        <w:t xml:space="preserve">which </w:t>
      </w:r>
      <w:r w:rsidRPr="006502E5">
        <w:rPr>
          <w:rFonts w:cs="Arial"/>
          <w:lang w:val="en"/>
        </w:rPr>
        <w:t>provides an overview of the regulatory framework, policy objectives and planning process for analog broadcasting services.</w:t>
      </w:r>
    </w:p>
    <w:p w14:paraId="4A244657" w14:textId="04996429" w:rsidR="00593304" w:rsidRDefault="00593304" w:rsidP="00593304">
      <w:pPr>
        <w:autoSpaceDE w:val="0"/>
        <w:autoSpaceDN w:val="0"/>
        <w:adjustRightInd w:val="0"/>
        <w:spacing w:after="120" w:line="240" w:lineRule="auto"/>
      </w:pPr>
      <w:r w:rsidRPr="00A50D69">
        <w:t>Under section 26 of the BSA, the ACMA must, by legislative instrument, prepare LAPs that determine the number and characteristics, including technical specifications, of broadcasting services that are to be available in particular areas of Australia</w:t>
      </w:r>
      <w:r>
        <w:t>. T</w:t>
      </w:r>
      <w:r w:rsidRPr="00A50D69">
        <w:t xml:space="preserve">he BSA </w:t>
      </w:r>
      <w:r>
        <w:t xml:space="preserve">also </w:t>
      </w:r>
      <w:r w:rsidRPr="00A50D69">
        <w:t>provides the ACMA with a discretionary power to vary LAPs.</w:t>
      </w:r>
    </w:p>
    <w:p w14:paraId="2CF89DC5" w14:textId="4C06E00C" w:rsidR="0063346D" w:rsidRDefault="00E71E94" w:rsidP="0063346D">
      <w:pPr>
        <w:pStyle w:val="Heading2"/>
      </w:pPr>
      <w:bookmarkStart w:id="9" w:name="_Toc98412018"/>
      <w:r>
        <w:t>Deniliquin LAP</w:t>
      </w:r>
      <w:bookmarkEnd w:id="9"/>
    </w:p>
    <w:p w14:paraId="390BE3F5" w14:textId="58C0650B" w:rsidR="00984EEA" w:rsidRDefault="00984EEA" w:rsidP="00260B90">
      <w:pPr>
        <w:pStyle w:val="Paragraph"/>
      </w:pPr>
      <w:r>
        <w:t xml:space="preserve">All radio services in the Deniliquin area are described in the Deniliquin LAP in </w:t>
      </w:r>
      <w:r w:rsidR="00B218B0">
        <w:t xml:space="preserve">2 </w:t>
      </w:r>
      <w:r>
        <w:t>licence areas</w:t>
      </w:r>
      <w:r w:rsidR="00B218B0">
        <w:t>:</w:t>
      </w:r>
      <w:r>
        <w:t xml:space="preserve"> Deniliquin RA1 and Deniliquin RA2. The issues discussed in this </w:t>
      </w:r>
      <w:r w:rsidR="002F7071">
        <w:t xml:space="preserve">consultation </w:t>
      </w:r>
      <w:r>
        <w:t xml:space="preserve">paper relate to the Deniliquin RA1 licence </w:t>
      </w:r>
      <w:r w:rsidR="007D6A80">
        <w:t xml:space="preserve">area </w:t>
      </w:r>
      <w:r>
        <w:t>only.</w:t>
      </w:r>
    </w:p>
    <w:p w14:paraId="183512B6" w14:textId="77777777" w:rsidR="00984EEA" w:rsidRDefault="00984EEA" w:rsidP="00260B90">
      <w:pPr>
        <w:pStyle w:val="Heading3"/>
      </w:pPr>
      <w:r>
        <w:t xml:space="preserve">Deniliquin </w:t>
      </w:r>
      <w:r w:rsidRPr="001203F9">
        <w:t>RA</w:t>
      </w:r>
      <w:r>
        <w:t>1</w:t>
      </w:r>
    </w:p>
    <w:p w14:paraId="471B8863" w14:textId="7B91D29D" w:rsidR="00984EEA" w:rsidRDefault="00984EEA" w:rsidP="00260B90">
      <w:pPr>
        <w:pStyle w:val="Paragraph"/>
      </w:pPr>
      <w:r>
        <w:t>The Deniliquin RA1 licence area is approximately</w:t>
      </w:r>
      <w:r w:rsidR="00957D11">
        <w:rPr>
          <w:color w:val="202122"/>
          <w:sz w:val="21"/>
          <w:szCs w:val="21"/>
          <w:shd w:val="clear" w:color="auto" w:fill="FFFFFF"/>
        </w:rPr>
        <w:t xml:space="preserve"> </w:t>
      </w:r>
      <w:r w:rsidR="00957D11" w:rsidRPr="00A2352B">
        <w:t xml:space="preserve">725 kilometres southwest of </w:t>
      </w:r>
      <w:hyperlink r:id="rId27" w:tooltip="Sydney" w:history="1">
        <w:r w:rsidR="00957D11" w:rsidRPr="00A2352B">
          <w:t>Sydney</w:t>
        </w:r>
      </w:hyperlink>
      <w:r>
        <w:t>. The southern part of the licence area partly straddles and follows the Murray</w:t>
      </w:r>
      <w:r w:rsidR="00B218B0">
        <w:t xml:space="preserve"> River</w:t>
      </w:r>
      <w:r>
        <w:t>. The licence area includes Deniliquin in the centre, Echuca to the south</w:t>
      </w:r>
      <w:r w:rsidR="00B218B0">
        <w:t xml:space="preserve">, </w:t>
      </w:r>
      <w:r>
        <w:t xml:space="preserve">smaller localities such as Finley and Cobram to the east and Barham on the western </w:t>
      </w:r>
      <w:r w:rsidR="0021088E">
        <w:t xml:space="preserve">edge. </w:t>
      </w:r>
    </w:p>
    <w:p w14:paraId="064C279E" w14:textId="41DC204D" w:rsidR="00984EEA" w:rsidRDefault="00984EEA" w:rsidP="00260B90">
      <w:pPr>
        <w:pStyle w:val="Paragraph"/>
      </w:pPr>
      <w:r w:rsidRPr="00AF14B2">
        <w:t xml:space="preserve">The Deniliquin LAP </w:t>
      </w:r>
      <w:r w:rsidR="00197393">
        <w:t xml:space="preserve">states </w:t>
      </w:r>
      <w:r>
        <w:t xml:space="preserve">that </w:t>
      </w:r>
      <w:r w:rsidR="00B218B0">
        <w:t>2</w:t>
      </w:r>
      <w:r w:rsidR="00B218B0" w:rsidRPr="00AF14B2">
        <w:t xml:space="preserve"> </w:t>
      </w:r>
      <w:r w:rsidRPr="00AF14B2">
        <w:t>national radio broadcasting services</w:t>
      </w:r>
      <w:r>
        <w:t xml:space="preserve">, </w:t>
      </w:r>
      <w:r w:rsidR="00B218B0">
        <w:t>2</w:t>
      </w:r>
      <w:r w:rsidR="00B218B0" w:rsidRPr="00AF14B2">
        <w:t xml:space="preserve"> </w:t>
      </w:r>
      <w:r w:rsidRPr="00AF14B2">
        <w:t xml:space="preserve">commercial radio broadcasting services and </w:t>
      </w:r>
      <w:r w:rsidR="00B218B0">
        <w:t>7</w:t>
      </w:r>
      <w:r w:rsidR="00B218B0" w:rsidRPr="00AF14B2">
        <w:t xml:space="preserve"> </w:t>
      </w:r>
      <w:r w:rsidRPr="00AF14B2">
        <w:t xml:space="preserve">open narrowcasting radio services </w:t>
      </w:r>
      <w:r>
        <w:t xml:space="preserve">are to be </w:t>
      </w:r>
      <w:r w:rsidRPr="00AF14B2">
        <w:t xml:space="preserve">available in the </w:t>
      </w:r>
      <w:r>
        <w:t xml:space="preserve">Deniliquin RA1 </w:t>
      </w:r>
      <w:r w:rsidRPr="00AF14B2">
        <w:t xml:space="preserve">licence area. </w:t>
      </w:r>
      <w:r>
        <w:t>T</w:t>
      </w:r>
      <w:r>
        <w:t xml:space="preserve">he licence area is described in </w:t>
      </w:r>
      <w:hyperlink w:anchor="AppendixA" w:history="1">
        <w:r w:rsidR="00260B90" w:rsidRPr="007D3949">
          <w:rPr>
            <w:rStyle w:val="Hyperlink"/>
          </w:rPr>
          <w:t>Appendix A</w:t>
        </w:r>
      </w:hyperlink>
      <w:r>
        <w:t xml:space="preserve"> to the Deniliquin LAP.</w:t>
      </w:r>
    </w:p>
    <w:p w14:paraId="252F0FBE" w14:textId="14306B31" w:rsidR="00B46071" w:rsidRDefault="00B46071">
      <w:pPr>
        <w:spacing w:after="0" w:line="240" w:lineRule="auto"/>
      </w:pPr>
      <w:r>
        <w:br w:type="page"/>
      </w:r>
    </w:p>
    <w:p w14:paraId="6D59F6BB" w14:textId="512F9AD1" w:rsidR="00C05D2D" w:rsidRDefault="00C05D2D" w:rsidP="00C05D2D">
      <w:pPr>
        <w:pStyle w:val="Heading1"/>
      </w:pPr>
      <w:bookmarkStart w:id="10" w:name="_Toc14692756"/>
      <w:bookmarkStart w:id="11" w:name="_Toc98412019"/>
      <w:r>
        <w:lastRenderedPageBreak/>
        <w:t>Pr</w:t>
      </w:r>
      <w:r w:rsidR="00966523">
        <w:t>opos</w:t>
      </w:r>
      <w:r w:rsidR="00561285">
        <w:t xml:space="preserve">ed changes to the </w:t>
      </w:r>
      <w:r>
        <w:t>Deniliquin LAP</w:t>
      </w:r>
      <w:bookmarkEnd w:id="10"/>
      <w:bookmarkEnd w:id="11"/>
    </w:p>
    <w:p w14:paraId="2F5B4C9C" w14:textId="32A1F991" w:rsidR="00C05D2D" w:rsidRPr="00084BC9" w:rsidRDefault="00C05D2D" w:rsidP="00C05D2D">
      <w:pPr>
        <w:pStyle w:val="Heading2"/>
      </w:pPr>
      <w:bookmarkStart w:id="12" w:name="_Toc1571458"/>
      <w:bookmarkStart w:id="13" w:name="_Toc4569923"/>
      <w:bookmarkStart w:id="14" w:name="_Toc6493385"/>
      <w:bookmarkStart w:id="15" w:name="_Toc14692757"/>
      <w:bookmarkStart w:id="16" w:name="_Toc98412020"/>
      <w:r w:rsidRPr="00084BC9">
        <w:t>Summary</w:t>
      </w:r>
      <w:bookmarkEnd w:id="12"/>
      <w:bookmarkEnd w:id="13"/>
      <w:bookmarkEnd w:id="14"/>
      <w:bookmarkEnd w:id="15"/>
      <w:bookmarkEnd w:id="16"/>
    </w:p>
    <w:p w14:paraId="5C96CD12" w14:textId="77777777" w:rsidR="00C05D2D" w:rsidRDefault="00C05D2D" w:rsidP="00260B90">
      <w:pPr>
        <w:pStyle w:val="Paragraphbeforelist"/>
      </w:pPr>
      <w:r>
        <w:t>In the Deniliquin LAP, the ACMA proposes to:</w:t>
      </w:r>
    </w:p>
    <w:p w14:paraId="2046018F" w14:textId="3B70A4EA" w:rsidR="00C05D2D" w:rsidRPr="005302D6" w:rsidRDefault="002F7071" w:rsidP="00260B90">
      <w:pPr>
        <w:pStyle w:val="Bulletlevel1"/>
      </w:pPr>
      <w:r>
        <w:t>M</w:t>
      </w:r>
      <w:r w:rsidR="00C05D2D" w:rsidRPr="005302D6">
        <w:t>ake spectrum available</w:t>
      </w:r>
      <w:r w:rsidR="00C05D2D">
        <w:t xml:space="preserve"> in the Deniliquin RA1 licence area (</w:t>
      </w:r>
      <w:hyperlink w:anchor="_Appendix_A" w:history="1">
        <w:r w:rsidR="00C05D2D" w:rsidRPr="00F24AD0">
          <w:rPr>
            <w:rStyle w:val="Hyperlink"/>
          </w:rPr>
          <w:t>Appendix A</w:t>
        </w:r>
      </w:hyperlink>
      <w:r w:rsidR="00C05D2D">
        <w:t>) for an F</w:t>
      </w:r>
      <w:r w:rsidR="00C05D2D" w:rsidRPr="005302D6">
        <w:t xml:space="preserve">M </w:t>
      </w:r>
      <w:r w:rsidR="00DF7B23">
        <w:t>infill transmitter</w:t>
      </w:r>
      <w:r w:rsidR="008E0D89">
        <w:t xml:space="preserve"> </w:t>
      </w:r>
      <w:r w:rsidR="00C05D2D" w:rsidRPr="005302D6">
        <w:t>for the</w:t>
      </w:r>
      <w:r w:rsidR="00C05D2D">
        <w:t xml:space="preserve"> commercial radio broadcasting service, 2MOR. The </w:t>
      </w:r>
      <w:r w:rsidR="00C05D2D" w:rsidRPr="005302D6">
        <w:t>proposed technical specification permit</w:t>
      </w:r>
      <w:r w:rsidR="005260BB">
        <w:t>s</w:t>
      </w:r>
      <w:r w:rsidR="00C05D2D" w:rsidRPr="005302D6">
        <w:t xml:space="preserve"> </w:t>
      </w:r>
      <w:r w:rsidR="00DA67A6">
        <w:t xml:space="preserve">operation of </w:t>
      </w:r>
      <w:r w:rsidR="00C05D2D" w:rsidRPr="005302D6">
        <w:t>a</w:t>
      </w:r>
      <w:r w:rsidR="00C05D2D">
        <w:t xml:space="preserve"> </w:t>
      </w:r>
      <w:r w:rsidR="00C05D2D" w:rsidRPr="005302D6">
        <w:t xml:space="preserve">transmitter located at </w:t>
      </w:r>
      <w:r w:rsidR="00C05D2D">
        <w:t>the 2QN-2MOR Office, 250 Anstruther Street, Echuca</w:t>
      </w:r>
      <w:r w:rsidR="00DA67A6">
        <w:t>,</w:t>
      </w:r>
      <w:r w:rsidR="00C05D2D">
        <w:t xml:space="preserve"> on 103.9 </w:t>
      </w:r>
      <w:r w:rsidR="00C05D2D" w:rsidRPr="005302D6">
        <w:t>MHz</w:t>
      </w:r>
      <w:r w:rsidR="00DA67A6">
        <w:t>,</w:t>
      </w:r>
      <w:r w:rsidR="00C05D2D" w:rsidRPr="005302D6">
        <w:t xml:space="preserve"> to serve the</w:t>
      </w:r>
      <w:r w:rsidR="00C05D2D">
        <w:t xml:space="preserve"> Echuca/Moama </w:t>
      </w:r>
      <w:r w:rsidR="00C05D2D" w:rsidRPr="005302D6">
        <w:t xml:space="preserve">area. The </w:t>
      </w:r>
      <w:r w:rsidR="00C05D2D">
        <w:t xml:space="preserve">full </w:t>
      </w:r>
      <w:r w:rsidR="00C05D2D" w:rsidRPr="005302D6">
        <w:t>technical specification is at</w:t>
      </w:r>
      <w:r w:rsidR="00C05D2D">
        <w:t xml:space="preserve"> </w:t>
      </w:r>
      <w:hyperlink w:anchor="_Appendix_B" w:history="1">
        <w:r w:rsidR="00C05D2D" w:rsidRPr="00D02BD3">
          <w:rPr>
            <w:rStyle w:val="Hyperlink"/>
          </w:rPr>
          <w:t>Appendix B</w:t>
        </w:r>
      </w:hyperlink>
      <w:r w:rsidR="00C05D2D">
        <w:t>.</w:t>
      </w:r>
    </w:p>
    <w:p w14:paraId="38B69282" w14:textId="6B736751" w:rsidR="00C05D2D" w:rsidRDefault="002F7071" w:rsidP="00260B90">
      <w:pPr>
        <w:pStyle w:val="Bulletlevel1"/>
      </w:pPr>
      <w:r>
        <w:t>M</w:t>
      </w:r>
      <w:r w:rsidR="00C05D2D">
        <w:t xml:space="preserve">ake spectrum available for an FM </w:t>
      </w:r>
      <w:r w:rsidR="00DF7B23">
        <w:t>infill transmitter</w:t>
      </w:r>
      <w:r w:rsidR="008E0D89">
        <w:t xml:space="preserve"> </w:t>
      </w:r>
      <w:r w:rsidR="00C05D2D">
        <w:t>for the commercial radio broadcasting service, 2QN. The proposed technical specification permit</w:t>
      </w:r>
      <w:r w:rsidR="005260BB">
        <w:t>s</w:t>
      </w:r>
      <w:r w:rsidR="00C05D2D">
        <w:t xml:space="preserve"> </w:t>
      </w:r>
      <w:r w:rsidR="00DA67A6">
        <w:t xml:space="preserve">operation of </w:t>
      </w:r>
      <w:r w:rsidR="00C05D2D">
        <w:t xml:space="preserve">an FM transmitter located at </w:t>
      </w:r>
      <w:r w:rsidR="0099393E">
        <w:t xml:space="preserve">the </w:t>
      </w:r>
      <w:r w:rsidR="00C05D2D">
        <w:t>2QN-2MOR Office, 250 Anstruther Street, Echuca</w:t>
      </w:r>
      <w:r w:rsidR="00DA67A6">
        <w:t>,</w:t>
      </w:r>
      <w:r w:rsidR="00C05D2D">
        <w:t xml:space="preserve"> on 102.9 MHz</w:t>
      </w:r>
      <w:r w:rsidR="00DA67A6">
        <w:t>,</w:t>
      </w:r>
      <w:r w:rsidR="00C05D2D">
        <w:t xml:space="preserve"> to serve the Echuca/Moama area. The full technical specification is at </w:t>
      </w:r>
      <w:hyperlink w:anchor="_Appendix_C" w:history="1">
        <w:r w:rsidR="00C05D2D" w:rsidRPr="00644732">
          <w:rPr>
            <w:rStyle w:val="Hyperlink"/>
          </w:rPr>
          <w:t>Appendix C</w:t>
        </w:r>
      </w:hyperlink>
      <w:r>
        <w:t>.</w:t>
      </w:r>
    </w:p>
    <w:p w14:paraId="769AB463" w14:textId="454F851D" w:rsidR="00586E0F" w:rsidRDefault="00EF4EB3" w:rsidP="00586E0F">
      <w:pPr>
        <w:pStyle w:val="ListBullet"/>
        <w:numPr>
          <w:ilvl w:val="0"/>
          <w:numId w:val="17"/>
        </w:numPr>
        <w:tabs>
          <w:tab w:val="num" w:pos="295"/>
        </w:tabs>
        <w:ind w:left="295" w:hanging="295"/>
        <w:rPr>
          <w:rFonts w:cs="Arial"/>
        </w:rPr>
      </w:pPr>
      <w:r>
        <w:rPr>
          <w:rFonts w:cs="Arial"/>
        </w:rPr>
        <w:t>M</w:t>
      </w:r>
      <w:r w:rsidR="00C05D2D">
        <w:rPr>
          <w:rFonts w:cs="Arial"/>
        </w:rPr>
        <w:t xml:space="preserve">ake spectrum available for an FM </w:t>
      </w:r>
      <w:r w:rsidR="00DF7B23">
        <w:rPr>
          <w:rFonts w:cs="Arial"/>
        </w:rPr>
        <w:t>infill transmitter</w:t>
      </w:r>
      <w:r w:rsidR="008E0D89">
        <w:rPr>
          <w:rFonts w:cs="Arial"/>
        </w:rPr>
        <w:t xml:space="preserve"> </w:t>
      </w:r>
      <w:r w:rsidR="00C05D2D">
        <w:rPr>
          <w:rFonts w:cs="Arial"/>
        </w:rPr>
        <w:t>for the 2QN service. The proposed technical specification permit</w:t>
      </w:r>
      <w:r w:rsidR="005260BB">
        <w:rPr>
          <w:rFonts w:cs="Arial"/>
        </w:rPr>
        <w:t>s</w:t>
      </w:r>
      <w:r w:rsidR="00C05D2D">
        <w:rPr>
          <w:rFonts w:cs="Arial"/>
        </w:rPr>
        <w:t xml:space="preserve"> </w:t>
      </w:r>
      <w:r w:rsidR="005E5705">
        <w:rPr>
          <w:rFonts w:cs="Arial"/>
        </w:rPr>
        <w:t xml:space="preserve">operation of </w:t>
      </w:r>
      <w:r w:rsidR="00C05D2D">
        <w:rPr>
          <w:rFonts w:cs="Arial"/>
        </w:rPr>
        <w:t xml:space="preserve">an FM </w:t>
      </w:r>
      <w:r w:rsidR="000C0F74">
        <w:rPr>
          <w:rFonts w:cs="Arial"/>
        </w:rPr>
        <w:t>transmitter located at Broadcast Site</w:t>
      </w:r>
      <w:r w:rsidR="00281EC9">
        <w:rPr>
          <w:rFonts w:cs="Arial"/>
        </w:rPr>
        <w:t xml:space="preserve">, </w:t>
      </w:r>
      <w:r w:rsidR="000C0F74">
        <w:rPr>
          <w:rFonts w:cs="Arial"/>
        </w:rPr>
        <w:t>Racecourse Ritchie Road, Cobram</w:t>
      </w:r>
      <w:r w:rsidR="005E5705">
        <w:rPr>
          <w:rFonts w:cs="Arial"/>
        </w:rPr>
        <w:t>,</w:t>
      </w:r>
      <w:r w:rsidR="00281EC9">
        <w:rPr>
          <w:rFonts w:cs="Arial"/>
        </w:rPr>
        <w:t xml:space="preserve"> on 93.3 MHz</w:t>
      </w:r>
      <w:r w:rsidR="005E5705">
        <w:rPr>
          <w:rFonts w:cs="Arial"/>
        </w:rPr>
        <w:t>,</w:t>
      </w:r>
      <w:r w:rsidR="00281EC9">
        <w:rPr>
          <w:rFonts w:cs="Arial"/>
        </w:rPr>
        <w:t xml:space="preserve"> to serve </w:t>
      </w:r>
      <w:r w:rsidR="0099393E">
        <w:rPr>
          <w:rFonts w:cs="Arial"/>
        </w:rPr>
        <w:t xml:space="preserve">the </w:t>
      </w:r>
      <w:r w:rsidR="00281EC9">
        <w:rPr>
          <w:rFonts w:cs="Arial"/>
        </w:rPr>
        <w:t xml:space="preserve">Cobram area. The full technical specification is at </w:t>
      </w:r>
      <w:hyperlink w:anchor="AppendixD" w:history="1">
        <w:r w:rsidR="00281EC9" w:rsidRPr="00D02BD3">
          <w:rPr>
            <w:rStyle w:val="Hyperlink"/>
            <w:rFonts w:cs="Arial"/>
          </w:rPr>
          <w:t>Appendix D</w:t>
        </w:r>
      </w:hyperlink>
      <w:r w:rsidR="00281EC9">
        <w:rPr>
          <w:rFonts w:cs="Arial"/>
        </w:rPr>
        <w:t>.</w:t>
      </w:r>
    </w:p>
    <w:p w14:paraId="1AEDBF6F" w14:textId="4D468A5E" w:rsidR="00593304" w:rsidRPr="006E7EF8" w:rsidRDefault="00593304" w:rsidP="00593304">
      <w:pPr>
        <w:pStyle w:val="ListBullet"/>
        <w:numPr>
          <w:ilvl w:val="0"/>
          <w:numId w:val="17"/>
        </w:numPr>
        <w:tabs>
          <w:tab w:val="num" w:pos="295"/>
        </w:tabs>
        <w:ind w:left="295" w:hanging="295"/>
        <w:rPr>
          <w:rFonts w:cs="Arial"/>
        </w:rPr>
      </w:pPr>
      <w:r w:rsidRPr="00593304">
        <w:t xml:space="preserve">Make spectrum available for an FM infill transmitter for the </w:t>
      </w:r>
      <w:r w:rsidR="00123066" w:rsidRPr="00593304">
        <w:t>2</w:t>
      </w:r>
      <w:r w:rsidR="00123066">
        <w:t xml:space="preserve">MOR </w:t>
      </w:r>
      <w:r>
        <w:t>service</w:t>
      </w:r>
      <w:r w:rsidRPr="006E7EF8">
        <w:t>. The proposed technical specification permit</w:t>
      </w:r>
      <w:r w:rsidR="005260BB">
        <w:t>s</w:t>
      </w:r>
      <w:r w:rsidR="00BA2939">
        <w:t xml:space="preserve"> operation of</w:t>
      </w:r>
      <w:r w:rsidRPr="006E7EF8">
        <w:t xml:space="preserve"> an FM transmitter located at</w:t>
      </w:r>
      <w:r w:rsidR="0099393E">
        <w:t xml:space="preserve"> the</w:t>
      </w:r>
      <w:r w:rsidRPr="006E7EF8">
        <w:t xml:space="preserve"> 2QN-2MOR Office, 250 Anstruther Street, Echuca</w:t>
      </w:r>
      <w:r w:rsidR="00BA2939">
        <w:t>,</w:t>
      </w:r>
      <w:r w:rsidRPr="006E7EF8">
        <w:t xml:space="preserve"> on 92.5 MHz</w:t>
      </w:r>
      <w:r w:rsidR="00BA2939">
        <w:t>, to serve Echuca/Moama</w:t>
      </w:r>
      <w:r w:rsidRPr="006E7EF8">
        <w:t xml:space="preserve">. This is the same </w:t>
      </w:r>
      <w:r w:rsidR="007504A0">
        <w:t>frequency</w:t>
      </w:r>
      <w:r w:rsidRPr="006E7EF8">
        <w:t xml:space="preserve"> for a </w:t>
      </w:r>
      <w:r w:rsidR="00197393" w:rsidRPr="005D1439">
        <w:t>high</w:t>
      </w:r>
      <w:r w:rsidR="00197393">
        <w:t>-</w:t>
      </w:r>
      <w:r w:rsidR="00197393" w:rsidRPr="005D1439">
        <w:t>power open narrowcasting</w:t>
      </w:r>
      <w:r w:rsidR="00197393" w:rsidRPr="006E7EF8">
        <w:t xml:space="preserve"> </w:t>
      </w:r>
      <w:r w:rsidR="00197393">
        <w:t>(</w:t>
      </w:r>
      <w:r w:rsidRPr="006E7EF8">
        <w:t>HPON</w:t>
      </w:r>
      <w:r w:rsidR="00197393">
        <w:t>)</w:t>
      </w:r>
      <w:r w:rsidRPr="006E7EF8">
        <w:t xml:space="preserve"> transmitter </w:t>
      </w:r>
      <w:r w:rsidR="00BA2939">
        <w:t>planned to</w:t>
      </w:r>
      <w:r w:rsidRPr="006E7EF8">
        <w:t xml:space="preserve"> serv</w:t>
      </w:r>
      <w:r w:rsidR="00BA2939">
        <w:t>e</w:t>
      </w:r>
      <w:r w:rsidRPr="006E7EF8">
        <w:t xml:space="preserve"> Moama (Attachment 1.11 of the current LAP</w:t>
      </w:r>
      <w:r w:rsidR="00BA2939">
        <w:t>, which is proposed</w:t>
      </w:r>
      <w:r w:rsidRPr="006E7EF8">
        <w:t xml:space="preserve"> to be removed) and will be available until </w:t>
      </w:r>
      <w:r w:rsidR="007B416F">
        <w:t xml:space="preserve">such time </w:t>
      </w:r>
      <w:r w:rsidR="005C07D2">
        <w:t xml:space="preserve">as </w:t>
      </w:r>
      <w:r w:rsidRPr="006E7EF8">
        <w:t xml:space="preserve">the permanent infill </w:t>
      </w:r>
      <w:r w:rsidR="0099393E">
        <w:t xml:space="preserve">transmitter </w:t>
      </w:r>
      <w:r w:rsidRPr="006E7EF8">
        <w:t>on 10</w:t>
      </w:r>
      <w:r w:rsidR="00123066">
        <w:t>3.9</w:t>
      </w:r>
      <w:r w:rsidR="000E38FB">
        <w:t xml:space="preserve"> </w:t>
      </w:r>
      <w:r w:rsidRPr="006E7EF8">
        <w:t>MHz commence</w:t>
      </w:r>
      <w:r w:rsidR="0099393E">
        <w:t>s</w:t>
      </w:r>
      <w:r w:rsidRPr="006E7EF8">
        <w:t xml:space="preserve"> operation.</w:t>
      </w:r>
      <w:r w:rsidR="00B8272B">
        <w:t xml:space="preserve"> The full technical specification is at </w:t>
      </w:r>
      <w:hyperlink w:anchor="_Appendix_E" w:history="1">
        <w:r w:rsidR="00B8272B" w:rsidRPr="00D02BD3">
          <w:rPr>
            <w:rStyle w:val="Hyperlink"/>
          </w:rPr>
          <w:t>Appendix E</w:t>
        </w:r>
      </w:hyperlink>
      <w:r w:rsidR="00B8272B">
        <w:t>.</w:t>
      </w:r>
    </w:p>
    <w:p w14:paraId="7E7E2426" w14:textId="1215D56C" w:rsidR="00C05D2D" w:rsidRDefault="00EF4EB3" w:rsidP="00C05D2D">
      <w:pPr>
        <w:pStyle w:val="ListBullet"/>
        <w:numPr>
          <w:ilvl w:val="0"/>
          <w:numId w:val="17"/>
        </w:numPr>
        <w:tabs>
          <w:tab w:val="num" w:pos="295"/>
        </w:tabs>
        <w:ind w:left="295" w:hanging="295"/>
        <w:rPr>
          <w:rFonts w:cs="Arial"/>
        </w:rPr>
      </w:pPr>
      <w:r>
        <w:rPr>
          <w:rFonts w:cs="Arial"/>
        </w:rPr>
        <w:t>R</w:t>
      </w:r>
      <w:r w:rsidR="00C05D2D">
        <w:rPr>
          <w:rFonts w:cs="Arial"/>
        </w:rPr>
        <w:t xml:space="preserve">emove </w:t>
      </w:r>
      <w:r w:rsidR="000E38FB">
        <w:rPr>
          <w:rFonts w:cs="Arial"/>
        </w:rPr>
        <w:t>the</w:t>
      </w:r>
      <w:r w:rsidR="00C05D2D">
        <w:rPr>
          <w:rFonts w:cs="Arial"/>
        </w:rPr>
        <w:t xml:space="preserve"> technical specification for </w:t>
      </w:r>
      <w:r w:rsidR="000E38FB">
        <w:rPr>
          <w:rFonts w:cs="Arial"/>
        </w:rPr>
        <w:t>the</w:t>
      </w:r>
      <w:r>
        <w:rPr>
          <w:rFonts w:cs="Arial"/>
        </w:rPr>
        <w:t xml:space="preserve"> </w:t>
      </w:r>
      <w:r w:rsidR="00C36375">
        <w:rPr>
          <w:rFonts w:cs="Arial"/>
        </w:rPr>
        <w:t>HPON</w:t>
      </w:r>
      <w:r w:rsidR="00C05D2D">
        <w:rPr>
          <w:rFonts w:cs="Arial"/>
        </w:rPr>
        <w:t xml:space="preserve"> transmitter</w:t>
      </w:r>
      <w:r w:rsidR="00C36375">
        <w:rPr>
          <w:rFonts w:cs="Arial"/>
        </w:rPr>
        <w:t xml:space="preserve"> </w:t>
      </w:r>
      <w:r w:rsidR="000E38FB">
        <w:rPr>
          <w:rFonts w:cs="Arial"/>
        </w:rPr>
        <w:t xml:space="preserve">planned to </w:t>
      </w:r>
      <w:r w:rsidR="00C36375">
        <w:rPr>
          <w:rFonts w:cs="Arial"/>
        </w:rPr>
        <w:t>operat</w:t>
      </w:r>
      <w:r w:rsidR="000E38FB">
        <w:rPr>
          <w:rFonts w:cs="Arial"/>
        </w:rPr>
        <w:t>e</w:t>
      </w:r>
      <w:r w:rsidR="00C36375">
        <w:rPr>
          <w:rFonts w:cs="Arial"/>
        </w:rPr>
        <w:t xml:space="preserve"> on 92.5</w:t>
      </w:r>
      <w:r w:rsidR="000E38FB">
        <w:rPr>
          <w:rFonts w:cs="Arial"/>
        </w:rPr>
        <w:t xml:space="preserve"> </w:t>
      </w:r>
      <w:r w:rsidR="00C36375">
        <w:rPr>
          <w:rFonts w:cs="Arial"/>
        </w:rPr>
        <w:t>MHz</w:t>
      </w:r>
      <w:r w:rsidR="00C05D2D">
        <w:rPr>
          <w:rFonts w:cs="Arial"/>
        </w:rPr>
        <w:t>, which was planned to serve Moama</w:t>
      </w:r>
      <w:r>
        <w:rPr>
          <w:rFonts w:cs="Arial"/>
        </w:rPr>
        <w:t>.</w:t>
      </w:r>
    </w:p>
    <w:p w14:paraId="6AA94D39" w14:textId="15B52073" w:rsidR="00561285" w:rsidRDefault="00561285" w:rsidP="00C05D2D">
      <w:pPr>
        <w:pStyle w:val="ListBullet"/>
        <w:numPr>
          <w:ilvl w:val="0"/>
          <w:numId w:val="17"/>
        </w:numPr>
        <w:tabs>
          <w:tab w:val="num" w:pos="295"/>
        </w:tabs>
        <w:ind w:left="295" w:hanging="295"/>
        <w:rPr>
          <w:rFonts w:cs="Arial"/>
        </w:rPr>
      </w:pPr>
      <w:r>
        <w:rPr>
          <w:rFonts w:cs="Arial"/>
        </w:rPr>
        <w:t>Make minor amendments</w:t>
      </w:r>
      <w:r>
        <w:t xml:space="preserve"> to the text, schedules and attachments, as outlined in the next section.</w:t>
      </w:r>
    </w:p>
    <w:p w14:paraId="19EC056F" w14:textId="36519663" w:rsidR="00B218B0" w:rsidRDefault="00B218B0" w:rsidP="00C05D2D">
      <w:pPr>
        <w:spacing w:before="240"/>
      </w:pPr>
      <w:r>
        <w:t xml:space="preserve">We </w:t>
      </w:r>
      <w:r w:rsidR="00C05D2D">
        <w:t>consider that the</w:t>
      </w:r>
      <w:r w:rsidR="00DF7B23">
        <w:t>se</w:t>
      </w:r>
      <w:r w:rsidR="00C05D2D">
        <w:t xml:space="preserve"> proposals</w:t>
      </w:r>
      <w:r w:rsidR="00E9392B">
        <w:t>,</w:t>
      </w:r>
      <w:r w:rsidR="00CF0408">
        <w:t xml:space="preserve"> </w:t>
      </w:r>
      <w:r w:rsidR="00E9392B">
        <w:t xml:space="preserve">if implemented, constitute </w:t>
      </w:r>
      <w:r w:rsidR="00C05D2D">
        <w:t xml:space="preserve">an economic and efficient use of the spectrum and promote the objects in section 3 of the BSA. In particular, the proposals </w:t>
      </w:r>
      <w:r>
        <w:t>support</w:t>
      </w:r>
      <w:r w:rsidR="00C05D2D">
        <w:t xml:space="preserve"> the availability of a diverse range of radio services (paragraph </w:t>
      </w:r>
      <w:r w:rsidR="00C05D2D" w:rsidRPr="00401151">
        <w:t>3(1)(a))</w:t>
      </w:r>
      <w:r w:rsidR="00C05D2D">
        <w:t xml:space="preserve"> and the need for </w:t>
      </w:r>
      <w:r w:rsidR="00C05D2D" w:rsidRPr="00401151">
        <w:t>appropriate coverage of matters of local significance (paragraph 3(1)(g)).</w:t>
      </w:r>
      <w:r w:rsidR="00C05D2D">
        <w:t xml:space="preserve"> </w:t>
      </w:r>
    </w:p>
    <w:p w14:paraId="483DD212" w14:textId="584C742F" w:rsidR="00C05D2D" w:rsidRDefault="00C05D2D" w:rsidP="00260B90">
      <w:pPr>
        <w:pStyle w:val="Paragraphbeforelist"/>
      </w:pPr>
      <w:r>
        <w:t>In making th</w:t>
      </w:r>
      <w:r w:rsidR="00DF7B23">
        <w:t>ese</w:t>
      </w:r>
      <w:r>
        <w:t xml:space="preserve"> proposal</w:t>
      </w:r>
      <w:r w:rsidR="00DF7B23">
        <w:t>s</w:t>
      </w:r>
      <w:r>
        <w:t xml:space="preserve">, </w:t>
      </w:r>
      <w:r w:rsidR="00B218B0">
        <w:t xml:space="preserve">we have </w:t>
      </w:r>
      <w:r>
        <w:t xml:space="preserve">also had </w:t>
      </w:r>
      <w:r w:rsidR="00F23775">
        <w:t>considered</w:t>
      </w:r>
      <w:r>
        <w:t xml:space="preserve"> the planning criteria in section 23 of the BSA, specifically:</w:t>
      </w:r>
    </w:p>
    <w:p w14:paraId="06B0D795" w14:textId="77777777" w:rsidR="00C05D2D" w:rsidRPr="00D74B9A" w:rsidRDefault="00C05D2D" w:rsidP="00260B90">
      <w:pPr>
        <w:pStyle w:val="Bulletlevel1"/>
      </w:pPr>
      <w:r w:rsidRPr="00D74B9A">
        <w:t>relevant demographics and social and economic characteristics (paragraphs 23(a) and (b))</w:t>
      </w:r>
    </w:p>
    <w:p w14:paraId="494B16D7" w14:textId="77777777" w:rsidR="00C05D2D" w:rsidRDefault="00C05D2D" w:rsidP="00260B90">
      <w:pPr>
        <w:pStyle w:val="Bulletlevel1"/>
      </w:pPr>
      <w:r w:rsidRPr="006A3DC9">
        <w:t>the number of existing broadcasting services and the demand for new services (paragraph 23(c))</w:t>
      </w:r>
    </w:p>
    <w:p w14:paraId="60B81A48" w14:textId="1624F7CB" w:rsidR="00C05D2D" w:rsidRPr="00753799" w:rsidRDefault="00C05D2D" w:rsidP="00260B90">
      <w:pPr>
        <w:pStyle w:val="Bulletlevel1last"/>
      </w:pPr>
      <w:r>
        <w:t>technical restraints relating to the delivery or reception of broadcasting services</w:t>
      </w:r>
      <w:r w:rsidR="00E9392B">
        <w:t xml:space="preserve"> (paragraph 23(e)).</w:t>
      </w:r>
    </w:p>
    <w:p w14:paraId="418967AD" w14:textId="672098AE" w:rsidR="00670A76" w:rsidRDefault="00670A76" w:rsidP="00260B90">
      <w:pPr>
        <w:pStyle w:val="Heading2"/>
        <w:keepLines/>
      </w:pPr>
      <w:bookmarkStart w:id="17" w:name="_Toc14692758"/>
      <w:bookmarkStart w:id="18" w:name="_Toc98412021"/>
      <w:r>
        <w:lastRenderedPageBreak/>
        <w:t>Discussion of proposal</w:t>
      </w:r>
      <w:r w:rsidR="00B218B0">
        <w:t xml:space="preserve"> – </w:t>
      </w:r>
      <w:r>
        <w:t>2MOR</w:t>
      </w:r>
      <w:bookmarkEnd w:id="17"/>
      <w:bookmarkEnd w:id="18"/>
    </w:p>
    <w:p w14:paraId="5586CBBF" w14:textId="688E29B2" w:rsidR="00763396" w:rsidRDefault="00670A76" w:rsidP="00260B90">
      <w:pPr>
        <w:keepNext/>
        <w:keepLines/>
        <w:rPr>
          <w:rFonts w:cs="Arial"/>
        </w:rPr>
      </w:pPr>
      <w:r>
        <w:rPr>
          <w:rFonts w:cs="Arial"/>
        </w:rPr>
        <w:t>Rich Rivers Radio Pty Ltd (Rich Rivers) is the licensee of the</w:t>
      </w:r>
      <w:r w:rsidR="006F436C">
        <w:rPr>
          <w:rFonts w:cs="Arial"/>
        </w:rPr>
        <w:t xml:space="preserve"> commercial radio broadcasting licence used to provide the</w:t>
      </w:r>
      <w:r>
        <w:rPr>
          <w:rFonts w:cs="Arial"/>
        </w:rPr>
        <w:t xml:space="preserve"> FM service ‘Edge FM’ (</w:t>
      </w:r>
      <w:r w:rsidR="00EF4EB3">
        <w:rPr>
          <w:rFonts w:cs="Arial"/>
        </w:rPr>
        <w:t xml:space="preserve">callsign </w:t>
      </w:r>
      <w:r>
        <w:rPr>
          <w:rFonts w:cs="Arial"/>
        </w:rPr>
        <w:t>2MOR).</w:t>
      </w:r>
      <w:r>
        <w:rPr>
          <w:rStyle w:val="FootnoteReference"/>
          <w:rFonts w:cs="Arial"/>
        </w:rPr>
        <w:footnoteReference w:id="2"/>
      </w:r>
      <w:r>
        <w:rPr>
          <w:rFonts w:cs="Arial"/>
        </w:rPr>
        <w:t xml:space="preserve"> The service’s main transmitter is located at Deniliquin and operates on 102.5 MHz. A</w:t>
      </w:r>
      <w:r w:rsidR="00763396">
        <w:rPr>
          <w:rFonts w:cs="Arial"/>
        </w:rPr>
        <w:t>n infill transmitter</w:t>
      </w:r>
      <w:r>
        <w:rPr>
          <w:rFonts w:cs="Arial"/>
        </w:rPr>
        <w:t xml:space="preserve"> </w:t>
      </w:r>
      <w:r w:rsidR="007748DC">
        <w:rPr>
          <w:rFonts w:cs="Arial"/>
        </w:rPr>
        <w:t xml:space="preserve">provides </w:t>
      </w:r>
      <w:r>
        <w:rPr>
          <w:rFonts w:cs="Arial"/>
        </w:rPr>
        <w:t xml:space="preserve">the service to Cobram on 88.5 MHz. Rich Rivers is also the licensee of </w:t>
      </w:r>
      <w:r w:rsidR="006F436C">
        <w:rPr>
          <w:rFonts w:cs="Arial"/>
        </w:rPr>
        <w:t>a commercial radio broadcasting licence used to provide an</w:t>
      </w:r>
      <w:r>
        <w:rPr>
          <w:rFonts w:cs="Arial"/>
        </w:rPr>
        <w:t xml:space="preserve"> AM service</w:t>
      </w:r>
      <w:r w:rsidR="00EF4EB3">
        <w:rPr>
          <w:rFonts w:cs="Arial"/>
        </w:rPr>
        <w:t xml:space="preserve"> (callsign </w:t>
      </w:r>
      <w:r>
        <w:rPr>
          <w:rFonts w:cs="Arial"/>
        </w:rPr>
        <w:t>2QN</w:t>
      </w:r>
      <w:r w:rsidR="00EF4EB3">
        <w:rPr>
          <w:rFonts w:cs="Arial"/>
        </w:rPr>
        <w:t>)</w:t>
      </w:r>
      <w:r>
        <w:rPr>
          <w:rStyle w:val="FootnoteReference"/>
          <w:rFonts w:cs="Arial"/>
        </w:rPr>
        <w:footnoteReference w:id="3"/>
      </w:r>
      <w:r>
        <w:rPr>
          <w:rFonts w:cs="Arial"/>
        </w:rPr>
        <w:t xml:space="preserve"> </w:t>
      </w:r>
      <w:r w:rsidR="00B218B0">
        <w:rPr>
          <w:rFonts w:cs="Arial"/>
        </w:rPr>
        <w:t xml:space="preserve">that </w:t>
      </w:r>
      <w:r w:rsidR="007748DC">
        <w:rPr>
          <w:rFonts w:cs="Arial"/>
        </w:rPr>
        <w:t xml:space="preserve">also </w:t>
      </w:r>
      <w:r w:rsidR="00EF4EB3">
        <w:rPr>
          <w:rFonts w:cs="Arial"/>
        </w:rPr>
        <w:t xml:space="preserve">serves </w:t>
      </w:r>
      <w:r>
        <w:rPr>
          <w:rFonts w:cs="Arial"/>
        </w:rPr>
        <w:t>Deniliquin</w:t>
      </w:r>
      <w:r w:rsidR="002F6AA7">
        <w:rPr>
          <w:rFonts w:cs="Arial"/>
        </w:rPr>
        <w:t>.</w:t>
      </w:r>
    </w:p>
    <w:p w14:paraId="4F5B3A4E" w14:textId="285CF257" w:rsidR="00670A76" w:rsidRPr="00913CF6" w:rsidRDefault="006F436C" w:rsidP="00061054">
      <w:r>
        <w:rPr>
          <w:rFonts w:cs="Arial"/>
        </w:rPr>
        <w:t xml:space="preserve">Rich Rivers </w:t>
      </w:r>
      <w:r w:rsidR="00EF4EB3">
        <w:rPr>
          <w:rFonts w:cs="Arial"/>
        </w:rPr>
        <w:t xml:space="preserve">is the licensee of </w:t>
      </w:r>
      <w:r w:rsidR="00B218B0">
        <w:rPr>
          <w:rFonts w:cs="Arial"/>
        </w:rPr>
        <w:t xml:space="preserve">2 </w:t>
      </w:r>
      <w:r w:rsidR="00B87D9A">
        <w:rPr>
          <w:rFonts w:cs="Arial"/>
        </w:rPr>
        <w:t>high power open narrowcasting (</w:t>
      </w:r>
      <w:r w:rsidR="008560A8">
        <w:rPr>
          <w:rFonts w:cs="Arial"/>
        </w:rPr>
        <w:t>HPON</w:t>
      </w:r>
      <w:r w:rsidR="00B87D9A">
        <w:rPr>
          <w:rFonts w:cs="Arial"/>
        </w:rPr>
        <w:t>)</w:t>
      </w:r>
      <w:r>
        <w:rPr>
          <w:rFonts w:cs="Arial"/>
        </w:rPr>
        <w:t xml:space="preserve"> licences issued under the </w:t>
      </w:r>
      <w:r>
        <w:rPr>
          <w:rFonts w:cs="Arial"/>
          <w:i/>
          <w:iCs/>
        </w:rPr>
        <w:t xml:space="preserve">Radiocommunications Act </w:t>
      </w:r>
      <w:r w:rsidRPr="0022271B">
        <w:rPr>
          <w:rFonts w:cs="Arial"/>
        </w:rPr>
        <w:t>1992</w:t>
      </w:r>
      <w:r w:rsidR="00B87D9A">
        <w:rPr>
          <w:rFonts w:cs="Arial"/>
        </w:rPr>
        <w:t>,</w:t>
      </w:r>
      <w:r w:rsidR="00763396">
        <w:rPr>
          <w:rFonts w:cs="Arial"/>
        </w:rPr>
        <w:t xml:space="preserve"> one of which is planned to</w:t>
      </w:r>
      <w:r w:rsidR="00366C7E">
        <w:rPr>
          <w:rFonts w:cs="Arial"/>
        </w:rPr>
        <w:t xml:space="preserve"> serve Deniliqui</w:t>
      </w:r>
      <w:r w:rsidR="00B3333D">
        <w:rPr>
          <w:rFonts w:cs="Arial"/>
        </w:rPr>
        <w:t>n, the other</w:t>
      </w:r>
      <w:r w:rsidR="00366C7E">
        <w:rPr>
          <w:rFonts w:cs="Arial"/>
        </w:rPr>
        <w:t xml:space="preserve"> Moama. </w:t>
      </w:r>
      <w:r w:rsidR="007D7C2D">
        <w:rPr>
          <w:rFonts w:cs="Arial"/>
        </w:rPr>
        <w:t xml:space="preserve">Both </w:t>
      </w:r>
      <w:r w:rsidR="00670A76">
        <w:rPr>
          <w:rFonts w:cs="Arial"/>
        </w:rPr>
        <w:t>services are planned in the Deniliquin RA1 licence area.</w:t>
      </w:r>
    </w:p>
    <w:p w14:paraId="79D88FBC" w14:textId="06F95FCF" w:rsidR="00670A76" w:rsidRDefault="00061054" w:rsidP="00061054">
      <w:pPr>
        <w:rPr>
          <w:rFonts w:cs="Arial"/>
        </w:rPr>
      </w:pPr>
      <w:r>
        <w:rPr>
          <w:rFonts w:cs="Arial"/>
        </w:rPr>
        <w:t>T</w:t>
      </w:r>
      <w:r w:rsidR="008560A8">
        <w:rPr>
          <w:rFonts w:cs="Arial"/>
        </w:rPr>
        <w:t>he</w:t>
      </w:r>
      <w:r w:rsidR="00B3333D">
        <w:rPr>
          <w:rFonts w:cs="Arial"/>
        </w:rPr>
        <w:t xml:space="preserve"> planned</w:t>
      </w:r>
      <w:r w:rsidR="008560A8">
        <w:rPr>
          <w:rFonts w:cs="Arial"/>
        </w:rPr>
        <w:t xml:space="preserve"> Moama</w:t>
      </w:r>
      <w:r w:rsidR="00B3333D">
        <w:rPr>
          <w:rFonts w:cs="Arial"/>
        </w:rPr>
        <w:t xml:space="preserve"> HPON service</w:t>
      </w:r>
      <w:r w:rsidR="00F76FA1">
        <w:rPr>
          <w:rFonts w:cs="Arial"/>
        </w:rPr>
        <w:t xml:space="preserve"> </w:t>
      </w:r>
      <w:r>
        <w:rPr>
          <w:rFonts w:cs="Arial"/>
        </w:rPr>
        <w:t xml:space="preserve">has </w:t>
      </w:r>
      <w:r w:rsidR="00670A76">
        <w:rPr>
          <w:rFonts w:cs="Arial"/>
        </w:rPr>
        <w:t>not</w:t>
      </w:r>
      <w:r w:rsidR="000C798D">
        <w:rPr>
          <w:rFonts w:cs="Arial"/>
        </w:rPr>
        <w:t xml:space="preserve"> </w:t>
      </w:r>
      <w:r>
        <w:rPr>
          <w:rFonts w:cs="Arial"/>
        </w:rPr>
        <w:t xml:space="preserve">been </w:t>
      </w:r>
      <w:r w:rsidR="00670A76">
        <w:rPr>
          <w:rFonts w:cs="Arial"/>
        </w:rPr>
        <w:t>operating</w:t>
      </w:r>
      <w:r w:rsidR="00B3333D">
        <w:rPr>
          <w:rFonts w:cs="Arial"/>
        </w:rPr>
        <w:t xml:space="preserve"> </w:t>
      </w:r>
      <w:r w:rsidR="00DE4CA3">
        <w:rPr>
          <w:rFonts w:cs="Arial"/>
        </w:rPr>
        <w:t>as planned</w:t>
      </w:r>
      <w:r>
        <w:rPr>
          <w:rFonts w:cs="Arial"/>
        </w:rPr>
        <w:t xml:space="preserve"> for </w:t>
      </w:r>
      <w:r w:rsidR="007D7C2D">
        <w:rPr>
          <w:rFonts w:cs="Arial"/>
        </w:rPr>
        <w:t>long</w:t>
      </w:r>
      <w:r w:rsidR="00DE4CA3">
        <w:rPr>
          <w:rFonts w:cs="Arial"/>
        </w:rPr>
        <w:t xml:space="preserve">. Instead, </w:t>
      </w:r>
      <w:r w:rsidR="00B3333D">
        <w:rPr>
          <w:rFonts w:cs="Arial"/>
        </w:rPr>
        <w:t>th</w:t>
      </w:r>
      <w:r w:rsidR="00670A76">
        <w:rPr>
          <w:rFonts w:cs="Arial"/>
        </w:rPr>
        <w:t>e</w:t>
      </w:r>
      <w:r w:rsidR="00B3333D">
        <w:rPr>
          <w:rFonts w:cs="Arial"/>
        </w:rPr>
        <w:t xml:space="preserve"> </w:t>
      </w:r>
      <w:r w:rsidR="00670A76">
        <w:rPr>
          <w:rFonts w:cs="Arial"/>
        </w:rPr>
        <w:t>frequency</w:t>
      </w:r>
      <w:r w:rsidR="00B3333D">
        <w:rPr>
          <w:rFonts w:cs="Arial"/>
        </w:rPr>
        <w:t xml:space="preserve"> planned for that HPON service </w:t>
      </w:r>
      <w:r w:rsidR="00670A76">
        <w:rPr>
          <w:rFonts w:cs="Arial"/>
        </w:rPr>
        <w:t>–</w:t>
      </w:r>
      <w:r w:rsidR="007D7C2D">
        <w:rPr>
          <w:rFonts w:cs="Arial"/>
        </w:rPr>
        <w:t xml:space="preserve"> </w:t>
      </w:r>
      <w:r w:rsidR="00670A76">
        <w:rPr>
          <w:rFonts w:cs="Arial"/>
        </w:rPr>
        <w:t>92.5 MHz</w:t>
      </w:r>
      <w:r w:rsidR="007D7C2D">
        <w:rPr>
          <w:rFonts w:cs="Arial"/>
        </w:rPr>
        <w:t xml:space="preserve"> </w:t>
      </w:r>
      <w:r w:rsidR="00670A76">
        <w:rPr>
          <w:rFonts w:cs="Arial"/>
        </w:rPr>
        <w:t>–</w:t>
      </w:r>
      <w:r w:rsidR="007D7C2D">
        <w:rPr>
          <w:rFonts w:cs="Arial"/>
        </w:rPr>
        <w:t xml:space="preserve"> </w:t>
      </w:r>
      <w:r w:rsidR="00B87D9A">
        <w:rPr>
          <w:rFonts w:cs="Arial"/>
        </w:rPr>
        <w:t>has been</w:t>
      </w:r>
      <w:r w:rsidR="00B3333D">
        <w:rPr>
          <w:rFonts w:cs="Arial"/>
        </w:rPr>
        <w:t xml:space="preserve"> utilised to</w:t>
      </w:r>
      <w:r w:rsidR="00670A76">
        <w:rPr>
          <w:rFonts w:cs="Arial"/>
        </w:rPr>
        <w:t xml:space="preserve"> transmit the </w:t>
      </w:r>
      <w:r w:rsidR="0099393E">
        <w:rPr>
          <w:rFonts w:cs="Arial"/>
        </w:rPr>
        <w:t xml:space="preserve">2MOR </w:t>
      </w:r>
      <w:r w:rsidR="00670A76">
        <w:rPr>
          <w:rFonts w:cs="Arial"/>
        </w:rPr>
        <w:t>service to Echuca.</w:t>
      </w:r>
    </w:p>
    <w:p w14:paraId="39DEFD48" w14:textId="6D69D20D" w:rsidR="00571210" w:rsidRDefault="00AB2543" w:rsidP="00670A76">
      <w:pPr>
        <w:rPr>
          <w:rFonts w:cs="Arial"/>
        </w:rPr>
      </w:pPr>
      <w:r>
        <w:rPr>
          <w:rFonts w:cs="Arial"/>
        </w:rPr>
        <w:t>ACE Radio</w:t>
      </w:r>
      <w:r w:rsidR="00AD5CDF">
        <w:rPr>
          <w:rFonts w:cs="Arial"/>
        </w:rPr>
        <w:t xml:space="preserve">, </w:t>
      </w:r>
      <w:r w:rsidR="007D7C2D">
        <w:rPr>
          <w:rFonts w:cs="Arial"/>
        </w:rPr>
        <w:t>which</w:t>
      </w:r>
      <w:r w:rsidR="007D7C2D" w:rsidRPr="002E6D88">
        <w:rPr>
          <w:rFonts w:cs="Arial"/>
        </w:rPr>
        <w:t xml:space="preserve"> </w:t>
      </w:r>
      <w:r w:rsidR="002E6D88" w:rsidRPr="002E6D88">
        <w:rPr>
          <w:rFonts w:cs="Arial"/>
        </w:rPr>
        <w:t>acquired Rich Rivers in 2017</w:t>
      </w:r>
      <w:r w:rsidR="00AD5CDF">
        <w:rPr>
          <w:rFonts w:cs="Arial"/>
        </w:rPr>
        <w:t>,</w:t>
      </w:r>
      <w:r w:rsidR="002E6D88">
        <w:rPr>
          <w:rFonts w:cs="Arial"/>
        </w:rPr>
        <w:t xml:space="preserve"> </w:t>
      </w:r>
      <w:r>
        <w:rPr>
          <w:rFonts w:cs="Arial"/>
        </w:rPr>
        <w:t xml:space="preserve">has identified that coverage of the 2MOR </w:t>
      </w:r>
      <w:r w:rsidR="00386DA0">
        <w:rPr>
          <w:rFonts w:cs="Arial"/>
        </w:rPr>
        <w:t xml:space="preserve">FM </w:t>
      </w:r>
      <w:r w:rsidR="006043AF">
        <w:rPr>
          <w:rFonts w:cs="Arial"/>
        </w:rPr>
        <w:t>service</w:t>
      </w:r>
      <w:r>
        <w:rPr>
          <w:rFonts w:cs="Arial"/>
        </w:rPr>
        <w:t xml:space="preserve"> in the Echuca/Moama area is deficient</w:t>
      </w:r>
      <w:r w:rsidR="002649DA">
        <w:rPr>
          <w:rFonts w:cs="Arial"/>
        </w:rPr>
        <w:t xml:space="preserve">. </w:t>
      </w:r>
      <w:r w:rsidR="007D7C2D">
        <w:rPr>
          <w:rFonts w:cs="Arial"/>
        </w:rPr>
        <w:t xml:space="preserve">Using </w:t>
      </w:r>
      <w:r w:rsidR="0054332A">
        <w:rPr>
          <w:rFonts w:cs="Arial"/>
        </w:rPr>
        <w:t>a</w:t>
      </w:r>
      <w:r w:rsidR="00B3333D">
        <w:rPr>
          <w:rFonts w:cs="Arial"/>
        </w:rPr>
        <w:t>n infill transmitter</w:t>
      </w:r>
      <w:r w:rsidR="000C6201">
        <w:rPr>
          <w:rFonts w:cs="Arial"/>
        </w:rPr>
        <w:t xml:space="preserve"> </w:t>
      </w:r>
      <w:r w:rsidR="0054332A">
        <w:rPr>
          <w:rFonts w:cs="Arial"/>
        </w:rPr>
        <w:t xml:space="preserve">is the best option to address the deficiency. </w:t>
      </w:r>
      <w:r w:rsidR="007D7C2D">
        <w:rPr>
          <w:rFonts w:cs="Arial"/>
        </w:rPr>
        <w:t>We have</w:t>
      </w:r>
      <w:r w:rsidR="0099393E">
        <w:rPr>
          <w:rFonts w:cs="Arial"/>
        </w:rPr>
        <w:t xml:space="preserve"> </w:t>
      </w:r>
      <w:r w:rsidR="00674D03">
        <w:rPr>
          <w:rFonts w:cs="Arial"/>
        </w:rPr>
        <w:t xml:space="preserve">developed a proposal to provide </w:t>
      </w:r>
      <w:r w:rsidR="00571210">
        <w:rPr>
          <w:rFonts w:cs="Arial"/>
        </w:rPr>
        <w:t>appropriate level of service to the Echuca/Moama area</w:t>
      </w:r>
      <w:r w:rsidR="00674D03">
        <w:rPr>
          <w:rFonts w:cs="Arial"/>
        </w:rPr>
        <w:t xml:space="preserve"> with the </w:t>
      </w:r>
      <w:r w:rsidR="0054332A">
        <w:rPr>
          <w:rFonts w:cs="Arial"/>
        </w:rPr>
        <w:t xml:space="preserve">technical specification at </w:t>
      </w:r>
      <w:hyperlink w:anchor="_Appendix_B" w:history="1">
        <w:r w:rsidR="00BC08FC" w:rsidRPr="00D02BD3">
          <w:rPr>
            <w:rStyle w:val="Hyperlink"/>
            <w:rFonts w:cs="Arial"/>
          </w:rPr>
          <w:t>Appendix B</w:t>
        </w:r>
      </w:hyperlink>
      <w:r w:rsidR="0054332A">
        <w:rPr>
          <w:rFonts w:cs="Arial"/>
        </w:rPr>
        <w:t>.</w:t>
      </w:r>
    </w:p>
    <w:p w14:paraId="733BB22F" w14:textId="77777777" w:rsidR="00670A76" w:rsidRPr="007D7C2D" w:rsidRDefault="00670A76" w:rsidP="007D7C2D">
      <w:pPr>
        <w:pStyle w:val="Heading3"/>
      </w:pPr>
      <w:bookmarkStart w:id="19" w:name="_Toc14692759"/>
      <w:r w:rsidRPr="007D7C2D">
        <w:t>Spectrum availability and coverage</w:t>
      </w:r>
      <w:bookmarkEnd w:id="19"/>
    </w:p>
    <w:p w14:paraId="46192D3A" w14:textId="12467527" w:rsidR="00670A76" w:rsidRDefault="00A0750F" w:rsidP="00670A76">
      <w:r>
        <w:t xml:space="preserve">The </w:t>
      </w:r>
      <w:r w:rsidR="00670A76">
        <w:t>urban centre</w:t>
      </w:r>
      <w:r w:rsidR="003A5753">
        <w:t>/</w:t>
      </w:r>
      <w:r w:rsidR="00641284">
        <w:t xml:space="preserve">locality </w:t>
      </w:r>
      <w:r w:rsidR="00670A76">
        <w:t>of Echuca/Moama ha</w:t>
      </w:r>
      <w:r>
        <w:t>d</w:t>
      </w:r>
      <w:r w:rsidR="00670A76">
        <w:t xml:space="preserve"> a population of 18,526 </w:t>
      </w:r>
      <w:r>
        <w:t>as at the 2016 Census</w:t>
      </w:r>
      <w:r w:rsidR="00DC25CF">
        <w:t>,</w:t>
      </w:r>
      <w:r w:rsidR="00AB687E">
        <w:t xml:space="preserve"> </w:t>
      </w:r>
      <w:r w:rsidR="007D7C2D">
        <w:t>comprising</w:t>
      </w:r>
      <w:r w:rsidR="00AB687E">
        <w:t xml:space="preserve"> 12,906</w:t>
      </w:r>
      <w:r w:rsidR="007D7C2D">
        <w:t xml:space="preserve"> people in</w:t>
      </w:r>
      <w:r w:rsidR="00AB687E">
        <w:t xml:space="preserve"> </w:t>
      </w:r>
      <w:hyperlink r:id="rId28" w:history="1">
        <w:r w:rsidR="00AB687E" w:rsidRPr="00AB687E">
          <w:rPr>
            <w:rStyle w:val="Hyperlink"/>
          </w:rPr>
          <w:t>Echuca</w:t>
        </w:r>
      </w:hyperlink>
      <w:r w:rsidR="00E7360F">
        <w:t xml:space="preserve"> </w:t>
      </w:r>
      <w:r w:rsidR="00AB687E">
        <w:t xml:space="preserve">and 5,620 </w:t>
      </w:r>
      <w:r w:rsidR="007D7C2D">
        <w:t xml:space="preserve">people in </w:t>
      </w:r>
      <w:hyperlink r:id="rId29" w:history="1">
        <w:r w:rsidR="00AB687E" w:rsidRPr="00AB687E">
          <w:rPr>
            <w:rStyle w:val="Hyperlink"/>
          </w:rPr>
          <w:t>Moama</w:t>
        </w:r>
      </w:hyperlink>
      <w:r w:rsidR="00AB687E">
        <w:t>.</w:t>
      </w:r>
      <w:r w:rsidR="00670A76">
        <w:t xml:space="preserve"> </w:t>
      </w:r>
      <w:r w:rsidR="007D7C2D">
        <w:t xml:space="preserve">Our </w:t>
      </w:r>
      <w:r w:rsidR="00670A76">
        <w:t>engineering assessment indicates that 2MOR’s main transmitter</w:t>
      </w:r>
      <w:r w:rsidR="005A1897">
        <w:t xml:space="preserve"> </w:t>
      </w:r>
      <w:r>
        <w:t xml:space="preserve">located at </w:t>
      </w:r>
      <w:r w:rsidR="00670A76">
        <w:t xml:space="preserve">Deniliquin cannot provide a suburban grade of service to </w:t>
      </w:r>
      <w:r w:rsidR="000E57FE">
        <w:t>th</w:t>
      </w:r>
      <w:r>
        <w:t>at area.</w:t>
      </w:r>
      <w:r w:rsidR="008A6219">
        <w:rPr>
          <w:rStyle w:val="FootnoteReference"/>
        </w:rPr>
        <w:footnoteReference w:id="4"/>
      </w:r>
      <w:r>
        <w:t xml:space="preserve"> However, </w:t>
      </w:r>
      <w:r w:rsidR="007D7C2D">
        <w:t xml:space="preserve">our </w:t>
      </w:r>
      <w:r w:rsidR="00670A76">
        <w:t xml:space="preserve">assessment </w:t>
      </w:r>
      <w:r>
        <w:t>indicate</w:t>
      </w:r>
      <w:r w:rsidR="005260BB">
        <w:t>s</w:t>
      </w:r>
      <w:r>
        <w:t xml:space="preserve"> that a</w:t>
      </w:r>
      <w:r w:rsidR="00621D1B">
        <w:t>n infill transmitter</w:t>
      </w:r>
      <w:r w:rsidR="000C6201">
        <w:t xml:space="preserve"> </w:t>
      </w:r>
      <w:r>
        <w:t>located at Echuca and o</w:t>
      </w:r>
      <w:r w:rsidR="00670A76">
        <w:t>perating on 103.9 MHz</w:t>
      </w:r>
      <w:r w:rsidR="00F23775">
        <w:t>,</w:t>
      </w:r>
      <w:r w:rsidR="00670A76">
        <w:t xml:space="preserve"> with a maximum effective radiated power </w:t>
      </w:r>
      <w:r w:rsidR="00B60031">
        <w:t xml:space="preserve">(ERP) </w:t>
      </w:r>
      <w:r w:rsidR="00670A76">
        <w:t>of 200 W</w:t>
      </w:r>
      <w:r w:rsidR="004D78F3">
        <w:t>,</w:t>
      </w:r>
      <w:r w:rsidR="00670A76">
        <w:t xml:space="preserve"> should provide a suburban level of coverage</w:t>
      </w:r>
      <w:r>
        <w:t>. Further</w:t>
      </w:r>
      <w:r w:rsidR="00F052AC">
        <w:t>more</w:t>
      </w:r>
      <w:r>
        <w:t xml:space="preserve">, </w:t>
      </w:r>
      <w:r w:rsidR="007D7C2D">
        <w:t xml:space="preserve">our </w:t>
      </w:r>
      <w:r w:rsidR="00670A76">
        <w:t>assessment indicates that there would be no significant overspill from the</w:t>
      </w:r>
      <w:r w:rsidR="00621D1B">
        <w:t xml:space="preserve"> infill transmitter</w:t>
      </w:r>
      <w:r w:rsidR="000C6201">
        <w:t xml:space="preserve"> </w:t>
      </w:r>
      <w:r w:rsidR="00670A76">
        <w:t>outside the Deniliquin RA1 licence area.</w:t>
      </w:r>
    </w:p>
    <w:p w14:paraId="4EE8F49E" w14:textId="77777777" w:rsidR="00670A76" w:rsidRPr="007D7C2D" w:rsidRDefault="00670A76" w:rsidP="007D7C2D">
      <w:pPr>
        <w:pStyle w:val="Heading3"/>
      </w:pPr>
      <w:bookmarkStart w:id="20" w:name="_Toc14692760"/>
      <w:r w:rsidRPr="007D7C2D">
        <w:t>Interference to and from other broadcasting services</w:t>
      </w:r>
      <w:bookmarkEnd w:id="20"/>
    </w:p>
    <w:p w14:paraId="621FC16E" w14:textId="5424C67D" w:rsidR="00670A76" w:rsidRDefault="002126B1" w:rsidP="00FD4942">
      <w:pPr>
        <w:rPr>
          <w:rFonts w:cs="Arial"/>
        </w:rPr>
      </w:pPr>
      <w:r>
        <w:t xml:space="preserve">Our </w:t>
      </w:r>
      <w:r w:rsidR="00670A76">
        <w:t>modelling predicts that</w:t>
      </w:r>
      <w:r w:rsidR="00BE66EE">
        <w:rPr>
          <w:rFonts w:cs="Arial"/>
        </w:rPr>
        <w:t xml:space="preserve"> </w:t>
      </w:r>
      <w:r w:rsidR="00670A76">
        <w:rPr>
          <w:rFonts w:cs="Arial"/>
        </w:rPr>
        <w:t xml:space="preserve">there is a small risk of interference from the </w:t>
      </w:r>
      <w:r w:rsidR="00E45F3A">
        <w:rPr>
          <w:rFonts w:cs="Arial"/>
        </w:rPr>
        <w:t>infill transmitter</w:t>
      </w:r>
      <w:r w:rsidR="001821E6">
        <w:rPr>
          <w:rFonts w:cs="Arial"/>
        </w:rPr>
        <w:t xml:space="preserve"> </w:t>
      </w:r>
      <w:r w:rsidR="00670A76">
        <w:rPr>
          <w:rFonts w:cs="Arial"/>
        </w:rPr>
        <w:t xml:space="preserve">to the 3GRR community radio broadcasting service at Echuca. </w:t>
      </w:r>
      <w:r w:rsidR="00D27338">
        <w:rPr>
          <w:rFonts w:cs="Arial"/>
        </w:rPr>
        <w:t>I</w:t>
      </w:r>
      <w:r w:rsidR="00995687">
        <w:rPr>
          <w:rFonts w:cs="Arial"/>
        </w:rPr>
        <w:t xml:space="preserve">f the </w:t>
      </w:r>
      <w:r w:rsidR="00670A76">
        <w:rPr>
          <w:rFonts w:cs="Arial"/>
        </w:rPr>
        <w:t xml:space="preserve">3GRR transmitter </w:t>
      </w:r>
      <w:r w:rsidR="00995687">
        <w:rPr>
          <w:rFonts w:cs="Arial"/>
        </w:rPr>
        <w:t xml:space="preserve">were </w:t>
      </w:r>
      <w:r w:rsidR="00670A76">
        <w:rPr>
          <w:rFonts w:cs="Arial"/>
        </w:rPr>
        <w:t>situated at the LAP-planned nominal location</w:t>
      </w:r>
      <w:r w:rsidR="000E6BFD">
        <w:rPr>
          <w:rStyle w:val="FootnoteReference"/>
          <w:rFonts w:cs="Arial"/>
        </w:rPr>
        <w:footnoteReference w:id="5"/>
      </w:r>
      <w:r>
        <w:rPr>
          <w:rFonts w:cs="Arial"/>
        </w:rPr>
        <w:t>,</w:t>
      </w:r>
      <w:r w:rsidR="00670A76">
        <w:rPr>
          <w:rFonts w:cs="Arial"/>
        </w:rPr>
        <w:t xml:space="preserve"> the p</w:t>
      </w:r>
      <w:r w:rsidR="00995687">
        <w:rPr>
          <w:rFonts w:cs="Arial"/>
        </w:rPr>
        <w:t xml:space="preserve">ercentage of potentially </w:t>
      </w:r>
      <w:r w:rsidR="00670A76">
        <w:rPr>
          <w:rFonts w:cs="Arial"/>
        </w:rPr>
        <w:t>affected p</w:t>
      </w:r>
      <w:r w:rsidR="00995687">
        <w:rPr>
          <w:rFonts w:cs="Arial"/>
        </w:rPr>
        <w:t xml:space="preserve">eople would be </w:t>
      </w:r>
      <w:r w:rsidR="003E6800">
        <w:rPr>
          <w:rFonts w:cs="Arial"/>
        </w:rPr>
        <w:t>minor</w:t>
      </w:r>
      <w:r w:rsidR="001D716B">
        <w:rPr>
          <w:rStyle w:val="FootnoteReference"/>
          <w:rFonts w:cs="Arial"/>
        </w:rPr>
        <w:footnoteReference w:id="6"/>
      </w:r>
      <w:r w:rsidR="00E45F3A">
        <w:rPr>
          <w:rFonts w:cs="Arial"/>
        </w:rPr>
        <w:t xml:space="preserve"> and </w:t>
      </w:r>
      <w:r w:rsidR="003E6800">
        <w:rPr>
          <w:rFonts w:cs="Arial"/>
        </w:rPr>
        <w:t xml:space="preserve">the </w:t>
      </w:r>
      <w:r w:rsidR="00E45F3A">
        <w:rPr>
          <w:rFonts w:cs="Arial"/>
        </w:rPr>
        <w:t xml:space="preserve">impact even less </w:t>
      </w:r>
      <w:r w:rsidR="004D78F3">
        <w:rPr>
          <w:rFonts w:cs="Arial"/>
        </w:rPr>
        <w:t xml:space="preserve">than </w:t>
      </w:r>
      <w:r w:rsidR="00E45F3A">
        <w:rPr>
          <w:rFonts w:cs="Arial"/>
        </w:rPr>
        <w:t xml:space="preserve">if the 3GRR service </w:t>
      </w:r>
      <w:r w:rsidR="00EA36FE">
        <w:rPr>
          <w:rFonts w:cs="Arial"/>
        </w:rPr>
        <w:t>continue</w:t>
      </w:r>
      <w:r w:rsidR="00F23775">
        <w:rPr>
          <w:rFonts w:cs="Arial"/>
        </w:rPr>
        <w:t>d</w:t>
      </w:r>
      <w:r w:rsidR="00EA36FE">
        <w:rPr>
          <w:rFonts w:cs="Arial"/>
        </w:rPr>
        <w:t xml:space="preserve"> to </w:t>
      </w:r>
      <w:r w:rsidR="00E45F3A">
        <w:rPr>
          <w:rFonts w:cs="Arial"/>
        </w:rPr>
        <w:t>transmit from its licen</w:t>
      </w:r>
      <w:r w:rsidR="003A4125">
        <w:rPr>
          <w:rFonts w:cs="Arial"/>
        </w:rPr>
        <w:t>s</w:t>
      </w:r>
      <w:r w:rsidR="00E45F3A">
        <w:rPr>
          <w:rFonts w:cs="Arial"/>
        </w:rPr>
        <w:t xml:space="preserve">ed </w:t>
      </w:r>
      <w:r w:rsidR="009E1BE9">
        <w:rPr>
          <w:rFonts w:cs="Arial"/>
        </w:rPr>
        <w:t>site</w:t>
      </w:r>
      <w:r>
        <w:rPr>
          <w:rFonts w:cs="Arial"/>
        </w:rPr>
        <w:t>.</w:t>
      </w:r>
      <w:r w:rsidR="009E1BE9">
        <w:rPr>
          <w:rStyle w:val="FootnoteReference"/>
          <w:rFonts w:cs="Arial"/>
        </w:rPr>
        <w:footnoteReference w:id="7"/>
      </w:r>
    </w:p>
    <w:p w14:paraId="07B2494A" w14:textId="32F52244" w:rsidR="00232713" w:rsidRDefault="00670A76" w:rsidP="00670A76">
      <w:pPr>
        <w:rPr>
          <w:rFonts w:cs="Arial"/>
        </w:rPr>
      </w:pPr>
      <w:r w:rsidRPr="005B4A52">
        <w:rPr>
          <w:rFonts w:cs="Arial"/>
        </w:rPr>
        <w:t xml:space="preserve">The assessment </w:t>
      </w:r>
      <w:r w:rsidR="00EC7703" w:rsidRPr="005B4A52">
        <w:rPr>
          <w:rFonts w:cs="Arial"/>
        </w:rPr>
        <w:t xml:space="preserve">also </w:t>
      </w:r>
      <w:r w:rsidRPr="005B4A52">
        <w:rPr>
          <w:rFonts w:cs="Arial"/>
        </w:rPr>
        <w:t xml:space="preserve">indicates that </w:t>
      </w:r>
      <w:r w:rsidR="001821E6" w:rsidRPr="005B4A52">
        <w:rPr>
          <w:rFonts w:cs="Arial"/>
        </w:rPr>
        <w:t xml:space="preserve">the </w:t>
      </w:r>
      <w:r w:rsidRPr="005B4A52">
        <w:rPr>
          <w:rFonts w:cs="Arial"/>
        </w:rPr>
        <w:t xml:space="preserve">proposed </w:t>
      </w:r>
      <w:r w:rsidR="00621D1B" w:rsidRPr="005B4A52">
        <w:rPr>
          <w:rFonts w:cs="Arial"/>
        </w:rPr>
        <w:t>infill transmitter</w:t>
      </w:r>
      <w:r w:rsidR="001821E6" w:rsidRPr="005B4A52">
        <w:rPr>
          <w:rFonts w:cs="Arial"/>
        </w:rPr>
        <w:t xml:space="preserve"> </w:t>
      </w:r>
      <w:r w:rsidRPr="005B4A52">
        <w:rPr>
          <w:rFonts w:cs="Arial"/>
        </w:rPr>
        <w:t xml:space="preserve">may be susceptible to interference from </w:t>
      </w:r>
      <w:r w:rsidR="001C39D5" w:rsidRPr="005B4A52">
        <w:rPr>
          <w:rFonts w:cs="Arial"/>
        </w:rPr>
        <w:t>the 3GRR service</w:t>
      </w:r>
      <w:r w:rsidR="00EA36FE">
        <w:rPr>
          <w:rFonts w:cs="Arial"/>
        </w:rPr>
        <w:t>. This interference potential</w:t>
      </w:r>
      <w:r w:rsidR="002126B1">
        <w:rPr>
          <w:rFonts w:cs="Arial"/>
        </w:rPr>
        <w:t>ly</w:t>
      </w:r>
      <w:r w:rsidR="00EA36FE">
        <w:rPr>
          <w:rFonts w:cs="Arial"/>
        </w:rPr>
        <w:t xml:space="preserve"> may occur even in areas </w:t>
      </w:r>
      <w:r w:rsidRPr="005B4A52">
        <w:rPr>
          <w:rFonts w:cs="Arial"/>
        </w:rPr>
        <w:t>w</w:t>
      </w:r>
      <w:r w:rsidR="004A4328" w:rsidRPr="005B4A52">
        <w:rPr>
          <w:rFonts w:cs="Arial"/>
        </w:rPr>
        <w:t>h</w:t>
      </w:r>
      <w:r w:rsidRPr="005B4A52">
        <w:rPr>
          <w:rFonts w:cs="Arial"/>
        </w:rPr>
        <w:t xml:space="preserve">ere the </w:t>
      </w:r>
      <w:r w:rsidR="00621D1B" w:rsidRPr="005B4A52">
        <w:rPr>
          <w:rFonts w:cs="Arial"/>
        </w:rPr>
        <w:t>infill transmitter</w:t>
      </w:r>
      <w:r w:rsidR="00373F43" w:rsidRPr="005B4A52">
        <w:rPr>
          <w:rFonts w:cs="Arial"/>
        </w:rPr>
        <w:t xml:space="preserve">’s </w:t>
      </w:r>
      <w:r w:rsidRPr="005B4A52">
        <w:rPr>
          <w:rFonts w:cs="Arial"/>
        </w:rPr>
        <w:t>transmission</w:t>
      </w:r>
      <w:r w:rsidR="00555232" w:rsidRPr="005B4A52">
        <w:rPr>
          <w:rFonts w:cs="Arial"/>
        </w:rPr>
        <w:t xml:space="preserve"> </w:t>
      </w:r>
      <w:r w:rsidRPr="005B4A52">
        <w:rPr>
          <w:rFonts w:cs="Arial"/>
        </w:rPr>
        <w:t>exceed</w:t>
      </w:r>
      <w:r w:rsidR="00FD6254">
        <w:rPr>
          <w:rFonts w:cs="Arial"/>
        </w:rPr>
        <w:t>s</w:t>
      </w:r>
      <w:r w:rsidRPr="005B4A52">
        <w:rPr>
          <w:rFonts w:cs="Arial"/>
        </w:rPr>
        <w:t xml:space="preserve"> </w:t>
      </w:r>
      <w:r w:rsidR="00392B97" w:rsidRPr="005B4A52">
        <w:rPr>
          <w:rFonts w:cs="Arial"/>
        </w:rPr>
        <w:t>66 dBµV/m.</w:t>
      </w:r>
      <w:r w:rsidR="00392B97">
        <w:rPr>
          <w:rFonts w:cs="Arial"/>
        </w:rPr>
        <w:t xml:space="preserve"> </w:t>
      </w:r>
      <w:r w:rsidR="001C39D5">
        <w:rPr>
          <w:rFonts w:cs="Arial"/>
        </w:rPr>
        <w:t>If the 3</w:t>
      </w:r>
      <w:r w:rsidR="00392B97">
        <w:rPr>
          <w:rFonts w:cs="Arial"/>
        </w:rPr>
        <w:t xml:space="preserve">GRR </w:t>
      </w:r>
      <w:r w:rsidR="00BE66EE">
        <w:rPr>
          <w:rFonts w:cs="Arial"/>
        </w:rPr>
        <w:lastRenderedPageBreak/>
        <w:t xml:space="preserve">transmitter </w:t>
      </w:r>
      <w:r w:rsidR="001C39D5">
        <w:rPr>
          <w:rFonts w:cs="Arial"/>
        </w:rPr>
        <w:t>were situated at the LAP-planned nominal location, the percentage of potentially affected people would be</w:t>
      </w:r>
      <w:r w:rsidR="00555232">
        <w:rPr>
          <w:rFonts w:cs="Arial"/>
        </w:rPr>
        <w:t xml:space="preserve"> </w:t>
      </w:r>
      <w:r w:rsidR="00156050">
        <w:rPr>
          <w:rFonts w:cs="Arial"/>
        </w:rPr>
        <w:t>between 9</w:t>
      </w:r>
      <w:r w:rsidR="002126B1">
        <w:rPr>
          <w:rFonts w:cs="Arial"/>
        </w:rPr>
        <w:t xml:space="preserve">% </w:t>
      </w:r>
      <w:r w:rsidR="00156050">
        <w:rPr>
          <w:rFonts w:cs="Arial"/>
        </w:rPr>
        <w:t>and 15.38</w:t>
      </w:r>
      <w:r w:rsidR="00EB4E0D">
        <w:rPr>
          <w:rFonts w:cs="Arial"/>
        </w:rPr>
        <w:t>%</w:t>
      </w:r>
      <w:r w:rsidR="002B25B9">
        <w:rPr>
          <w:rStyle w:val="FootnoteReference"/>
          <w:rFonts w:cs="Arial"/>
        </w:rPr>
        <w:footnoteReference w:id="8"/>
      </w:r>
      <w:r w:rsidR="00555232">
        <w:rPr>
          <w:rFonts w:cs="Arial"/>
        </w:rPr>
        <w:t xml:space="preserve"> and the impact would be reduced </w:t>
      </w:r>
      <w:r w:rsidR="00156050">
        <w:rPr>
          <w:rFonts w:cs="Arial"/>
        </w:rPr>
        <w:t xml:space="preserve">to </w:t>
      </w:r>
      <w:r w:rsidR="003340F9">
        <w:rPr>
          <w:rFonts w:cs="Arial"/>
        </w:rPr>
        <w:t xml:space="preserve">between </w:t>
      </w:r>
      <w:r w:rsidR="00156050">
        <w:rPr>
          <w:rFonts w:cs="Arial"/>
        </w:rPr>
        <w:t>1.84</w:t>
      </w:r>
      <w:r w:rsidR="004D78F3">
        <w:rPr>
          <w:rFonts w:cs="Arial"/>
        </w:rPr>
        <w:t xml:space="preserve">% </w:t>
      </w:r>
      <w:r w:rsidR="00156050">
        <w:rPr>
          <w:rFonts w:cs="Arial"/>
        </w:rPr>
        <w:t>and 8.15</w:t>
      </w:r>
      <w:r w:rsidR="004D78F3">
        <w:rPr>
          <w:rFonts w:cs="Arial"/>
        </w:rPr>
        <w:t>%</w:t>
      </w:r>
      <w:r w:rsidR="00156050">
        <w:rPr>
          <w:rStyle w:val="FootnoteReference"/>
          <w:rFonts w:cs="Arial"/>
        </w:rPr>
        <w:footnoteReference w:id="9"/>
      </w:r>
      <w:r w:rsidR="00156050">
        <w:rPr>
          <w:rFonts w:cs="Arial"/>
        </w:rPr>
        <w:t xml:space="preserve"> if the transmitter was located at its current licen</w:t>
      </w:r>
      <w:r w:rsidR="005E6EDB">
        <w:rPr>
          <w:rFonts w:cs="Arial"/>
        </w:rPr>
        <w:t>s</w:t>
      </w:r>
      <w:r w:rsidR="00156050">
        <w:rPr>
          <w:rFonts w:cs="Arial"/>
        </w:rPr>
        <w:t>ed site</w:t>
      </w:r>
      <w:r w:rsidR="004E5EF3">
        <w:rPr>
          <w:rFonts w:cs="Arial"/>
        </w:rPr>
        <w:t>.</w:t>
      </w:r>
      <w:r w:rsidR="00DA7C13">
        <w:rPr>
          <w:rFonts w:cs="Arial"/>
        </w:rPr>
        <w:t xml:space="preserve"> </w:t>
      </w:r>
      <w:r w:rsidR="004D78F3">
        <w:rPr>
          <w:rFonts w:cs="Arial"/>
        </w:rPr>
        <w:t>Our</w:t>
      </w:r>
      <w:r w:rsidR="00D3044F">
        <w:rPr>
          <w:rFonts w:cs="Arial"/>
        </w:rPr>
        <w:t xml:space="preserve"> assessment is that the </w:t>
      </w:r>
      <w:r w:rsidR="00232713">
        <w:rPr>
          <w:rFonts w:cs="Arial"/>
        </w:rPr>
        <w:t>predicted interference is unlikely to occur</w:t>
      </w:r>
      <w:r w:rsidR="00156050">
        <w:rPr>
          <w:rFonts w:cs="Arial"/>
        </w:rPr>
        <w:t>.</w:t>
      </w:r>
    </w:p>
    <w:p w14:paraId="0EC0437A" w14:textId="263DB0B7" w:rsidR="00571210" w:rsidRPr="004D78F3" w:rsidRDefault="00571210" w:rsidP="004D78F3">
      <w:pPr>
        <w:pStyle w:val="Heading3"/>
      </w:pPr>
      <w:r w:rsidRPr="004D78F3">
        <w:t>HPON spectrum</w:t>
      </w:r>
      <w:r w:rsidR="00A41825" w:rsidRPr="004D78F3">
        <w:t xml:space="preserve"> usage</w:t>
      </w:r>
    </w:p>
    <w:p w14:paraId="44307302" w14:textId="32D824E1" w:rsidR="00A147ED" w:rsidRDefault="004D78F3" w:rsidP="00260B90">
      <w:pPr>
        <w:pStyle w:val="Paragraph"/>
      </w:pPr>
      <w:r>
        <w:t xml:space="preserve">We </w:t>
      </w:r>
      <w:r w:rsidR="00571210">
        <w:t>consider that</w:t>
      </w:r>
      <w:r w:rsidR="00F81F90">
        <w:t xml:space="preserve"> the</w:t>
      </w:r>
      <w:r w:rsidR="00571210">
        <w:t xml:space="preserve"> </w:t>
      </w:r>
      <w:r w:rsidR="003E452F">
        <w:t xml:space="preserve">technical specification using </w:t>
      </w:r>
      <w:r w:rsidR="00192335">
        <w:t>the frequency 92.5 MHz</w:t>
      </w:r>
      <w:r w:rsidR="00CE4B58">
        <w:t xml:space="preserve"> </w:t>
      </w:r>
      <w:r w:rsidR="00571210">
        <w:t xml:space="preserve">that had been planned for the Moama </w:t>
      </w:r>
      <w:r w:rsidR="00571210" w:rsidRPr="00F23775">
        <w:t>HPON</w:t>
      </w:r>
      <w:r w:rsidR="00571210">
        <w:t xml:space="preserve"> </w:t>
      </w:r>
      <w:r w:rsidR="003E452F">
        <w:t xml:space="preserve">service </w:t>
      </w:r>
      <w:r w:rsidR="00571210">
        <w:t xml:space="preserve">should be </w:t>
      </w:r>
      <w:r w:rsidR="00192335">
        <w:t>removed from the Deniliquin LAP</w:t>
      </w:r>
      <w:r w:rsidR="00571210">
        <w:t xml:space="preserve">. </w:t>
      </w:r>
      <w:r w:rsidR="00B41263">
        <w:t>O</w:t>
      </w:r>
      <w:r w:rsidR="00A945CF">
        <w:t xml:space="preserve">ur </w:t>
      </w:r>
      <w:r w:rsidR="00192335">
        <w:t xml:space="preserve">engineering analysis found that the technical specification for the Moama HPON </w:t>
      </w:r>
      <w:r w:rsidR="003E452F">
        <w:t xml:space="preserve">service </w:t>
      </w:r>
      <w:r w:rsidR="00192335">
        <w:t>is not suitable to serve either Moama or Echuca</w:t>
      </w:r>
      <w:r w:rsidR="00B41263">
        <w:t>,</w:t>
      </w:r>
      <w:r w:rsidR="00192335">
        <w:t xml:space="preserve"> with the </w:t>
      </w:r>
      <w:r w:rsidR="00B41263">
        <w:t xml:space="preserve">planned </w:t>
      </w:r>
      <w:r w:rsidR="00192335">
        <w:t>LAP site considerably north of Moama and Echu</w:t>
      </w:r>
      <w:r w:rsidR="0045460B">
        <w:t>c</w:t>
      </w:r>
      <w:r w:rsidR="00192335">
        <w:t>a. The removal of the current technical specifications from the LAP w</w:t>
      </w:r>
      <w:r w:rsidR="005260BB">
        <w:t xml:space="preserve">ill </w:t>
      </w:r>
      <w:r w:rsidR="00192335">
        <w:t>increase the availability of frequencies that may be needed for AM/FM conversion activities in nearby licence areas.</w:t>
      </w:r>
      <w:r w:rsidR="00641084">
        <w:t xml:space="preserve"> Further, the frequency is not being used to provide an HPON service.</w:t>
      </w:r>
    </w:p>
    <w:p w14:paraId="2D437502" w14:textId="17EDCD27" w:rsidR="00F006EC" w:rsidRPr="008A3531" w:rsidRDefault="00F006EC">
      <w:pPr>
        <w:rPr>
          <w:rFonts w:cs="Arial"/>
        </w:rPr>
      </w:pPr>
      <w:r w:rsidRPr="00A2352B">
        <w:rPr>
          <w:rFonts w:cs="Arial"/>
        </w:rPr>
        <w:t xml:space="preserve">Given </w:t>
      </w:r>
      <w:r w:rsidR="00B41263">
        <w:rPr>
          <w:rFonts w:cs="Arial"/>
        </w:rPr>
        <w:t xml:space="preserve">that </w:t>
      </w:r>
      <w:r w:rsidRPr="00A2352B">
        <w:rPr>
          <w:rFonts w:cs="Arial"/>
        </w:rPr>
        <w:t>the technical specification planned for</w:t>
      </w:r>
      <w:r w:rsidR="008A3884">
        <w:rPr>
          <w:rFonts w:cs="Arial"/>
        </w:rPr>
        <w:t xml:space="preserve"> the</w:t>
      </w:r>
      <w:r w:rsidRPr="00A2352B">
        <w:rPr>
          <w:rFonts w:cs="Arial"/>
        </w:rPr>
        <w:t xml:space="preserve"> Moama HPON </w:t>
      </w:r>
      <w:r w:rsidR="00641084">
        <w:rPr>
          <w:rFonts w:cs="Arial"/>
        </w:rPr>
        <w:t xml:space="preserve">service </w:t>
      </w:r>
      <w:r w:rsidRPr="00A2352B">
        <w:rPr>
          <w:rFonts w:cs="Arial"/>
        </w:rPr>
        <w:t>(proposed to be removed</w:t>
      </w:r>
      <w:r w:rsidR="00A41825">
        <w:rPr>
          <w:rFonts w:cs="Arial"/>
        </w:rPr>
        <w:t>)</w:t>
      </w:r>
      <w:r w:rsidRPr="00A2352B">
        <w:rPr>
          <w:rFonts w:cs="Arial"/>
        </w:rPr>
        <w:t xml:space="preserve"> has been used to transmit </w:t>
      </w:r>
      <w:r w:rsidR="00641084">
        <w:rPr>
          <w:rFonts w:cs="Arial"/>
        </w:rPr>
        <w:t xml:space="preserve">the </w:t>
      </w:r>
      <w:r w:rsidRPr="00A2352B">
        <w:rPr>
          <w:rFonts w:cs="Arial"/>
        </w:rPr>
        <w:t xml:space="preserve">2MOR service, </w:t>
      </w:r>
      <w:r w:rsidR="00B41263">
        <w:rPr>
          <w:rFonts w:cs="Arial"/>
        </w:rPr>
        <w:t>we</w:t>
      </w:r>
      <w:r w:rsidRPr="00A2352B">
        <w:rPr>
          <w:rFonts w:cs="Arial"/>
        </w:rPr>
        <w:t xml:space="preserve"> </w:t>
      </w:r>
      <w:r w:rsidR="00B41263" w:rsidRPr="00A2352B">
        <w:rPr>
          <w:rFonts w:cs="Arial"/>
        </w:rPr>
        <w:t>propos</w:t>
      </w:r>
      <w:r w:rsidR="00B41263">
        <w:rPr>
          <w:rFonts w:cs="Arial"/>
        </w:rPr>
        <w:t>e</w:t>
      </w:r>
      <w:r w:rsidR="00B41263" w:rsidRPr="00A2352B">
        <w:rPr>
          <w:rFonts w:cs="Arial"/>
        </w:rPr>
        <w:t xml:space="preserve"> </w:t>
      </w:r>
      <w:r w:rsidRPr="00A2352B">
        <w:rPr>
          <w:rFonts w:cs="Arial"/>
        </w:rPr>
        <w:t>to add a temporary infill transmitter for 2MOR using the same HPON frequency (92.5</w:t>
      </w:r>
      <w:r w:rsidR="00641084">
        <w:rPr>
          <w:rFonts w:cs="Arial"/>
        </w:rPr>
        <w:t xml:space="preserve"> </w:t>
      </w:r>
      <w:r w:rsidRPr="00A2352B">
        <w:rPr>
          <w:rFonts w:cs="Arial"/>
        </w:rPr>
        <w:t xml:space="preserve">MHz) to serve Echuca/Moama, to allow transition from the current transmission to the </w:t>
      </w:r>
      <w:r w:rsidR="00CF17CC">
        <w:rPr>
          <w:rFonts w:cs="Arial"/>
        </w:rPr>
        <w:t>proposed</w:t>
      </w:r>
      <w:r w:rsidRPr="00A2352B">
        <w:rPr>
          <w:rFonts w:cs="Arial"/>
        </w:rPr>
        <w:t xml:space="preserve"> technical specification on 103.9 MHz.</w:t>
      </w:r>
      <w:r w:rsidR="00DA7C13">
        <w:rPr>
          <w:rFonts w:cs="Arial"/>
        </w:rPr>
        <w:t xml:space="preserve"> </w:t>
      </w:r>
      <w:r w:rsidRPr="00A2352B">
        <w:rPr>
          <w:rFonts w:cs="Arial"/>
        </w:rPr>
        <w:t xml:space="preserve">The </w:t>
      </w:r>
      <w:r w:rsidR="00B41263">
        <w:rPr>
          <w:rFonts w:cs="Arial"/>
        </w:rPr>
        <w:t xml:space="preserve">proposed </w:t>
      </w:r>
      <w:r w:rsidRPr="00A2352B">
        <w:rPr>
          <w:rFonts w:cs="Arial"/>
        </w:rPr>
        <w:t>transmitter site is 2QN-2MOR Office</w:t>
      </w:r>
      <w:r w:rsidR="00CF17CC">
        <w:rPr>
          <w:rFonts w:cs="Arial"/>
        </w:rPr>
        <w:t>,</w:t>
      </w:r>
      <w:r w:rsidRPr="00A2352B">
        <w:rPr>
          <w:rFonts w:cs="Arial"/>
        </w:rPr>
        <w:t xml:space="preserve"> 250 Anstruther St</w:t>
      </w:r>
      <w:r w:rsidR="00CF17CC">
        <w:rPr>
          <w:rFonts w:cs="Arial"/>
        </w:rPr>
        <w:t>reet,</w:t>
      </w:r>
      <w:r w:rsidRPr="00A2352B">
        <w:rPr>
          <w:rFonts w:cs="Arial"/>
        </w:rPr>
        <w:t xml:space="preserve"> Echuca. This technical specification will </w:t>
      </w:r>
      <w:r w:rsidR="00F23775">
        <w:rPr>
          <w:rFonts w:cs="Arial"/>
        </w:rPr>
        <w:t xml:space="preserve">not </w:t>
      </w:r>
      <w:r w:rsidRPr="00A2352B">
        <w:rPr>
          <w:rFonts w:cs="Arial"/>
        </w:rPr>
        <w:t xml:space="preserve">be available </w:t>
      </w:r>
      <w:r w:rsidR="00F23775">
        <w:rPr>
          <w:rFonts w:cs="Arial"/>
        </w:rPr>
        <w:t>after</w:t>
      </w:r>
      <w:r w:rsidR="00F23775" w:rsidRPr="00A2352B">
        <w:rPr>
          <w:rFonts w:cs="Arial"/>
        </w:rPr>
        <w:t xml:space="preserve"> </w:t>
      </w:r>
      <w:r w:rsidRPr="00A2352B">
        <w:rPr>
          <w:rFonts w:cs="Arial"/>
        </w:rPr>
        <w:t xml:space="preserve">the </w:t>
      </w:r>
      <w:r w:rsidR="00F23775">
        <w:rPr>
          <w:rFonts w:cs="Arial"/>
        </w:rPr>
        <w:t>start</w:t>
      </w:r>
      <w:r w:rsidR="00F23775" w:rsidRPr="00A2352B">
        <w:rPr>
          <w:rFonts w:cs="Arial"/>
        </w:rPr>
        <w:t xml:space="preserve"> </w:t>
      </w:r>
      <w:r w:rsidRPr="00A2352B">
        <w:rPr>
          <w:rFonts w:cs="Arial"/>
        </w:rPr>
        <w:t xml:space="preserve">of </w:t>
      </w:r>
      <w:r w:rsidR="00CF17CC">
        <w:rPr>
          <w:rFonts w:cs="Arial"/>
        </w:rPr>
        <w:t xml:space="preserve">transmission by </w:t>
      </w:r>
      <w:r w:rsidRPr="00A2352B">
        <w:rPr>
          <w:rFonts w:cs="Arial"/>
        </w:rPr>
        <w:t>the FM infill transmitter operating on 103.9MHz.</w:t>
      </w:r>
    </w:p>
    <w:p w14:paraId="54B50085" w14:textId="1E43598B" w:rsidR="00BF6AC0" w:rsidRDefault="00BF6AC0" w:rsidP="00BF6AC0">
      <w:pPr>
        <w:pStyle w:val="Heading3"/>
      </w:pPr>
      <w:r>
        <w:t>Conclusion</w:t>
      </w:r>
    </w:p>
    <w:p w14:paraId="58D81BB4" w14:textId="5DDC7B6B" w:rsidR="00BF6AC0" w:rsidRDefault="00BF6AC0" w:rsidP="00BF6AC0">
      <w:pPr>
        <w:rPr>
          <w:rFonts w:cs="Arial"/>
        </w:rPr>
      </w:pPr>
      <w:r>
        <w:rPr>
          <w:rFonts w:cs="Arial"/>
        </w:rPr>
        <w:t xml:space="preserve">Taking into consideration </w:t>
      </w:r>
      <w:hyperlink r:id="rId30" w:history="1">
        <w:r w:rsidR="00A34C59">
          <w:rPr>
            <w:rStyle w:val="Hyperlink"/>
            <w:rFonts w:cs="Arial"/>
          </w:rPr>
          <w:t>the ACMA’s approach to AM–FM conversions and infill transmitters for commercial radio broadcasting services</w:t>
        </w:r>
      </w:hyperlink>
      <w:r w:rsidR="000E57FE">
        <w:rPr>
          <w:rFonts w:cs="Arial"/>
        </w:rPr>
        <w:t xml:space="preserve"> and the engineering assessment, </w:t>
      </w:r>
      <w:r w:rsidR="00241D34">
        <w:rPr>
          <w:rFonts w:cs="Arial"/>
        </w:rPr>
        <w:t>we</w:t>
      </w:r>
      <w:r w:rsidR="000E57FE">
        <w:rPr>
          <w:rFonts w:cs="Arial"/>
        </w:rPr>
        <w:t xml:space="preserve"> consider it appropriate </w:t>
      </w:r>
      <w:r w:rsidR="00E52B0E">
        <w:rPr>
          <w:rFonts w:cs="Arial"/>
        </w:rPr>
        <w:t xml:space="preserve">to </w:t>
      </w:r>
      <w:r w:rsidR="000E57FE">
        <w:rPr>
          <w:rFonts w:cs="Arial"/>
        </w:rPr>
        <w:t>make spectrum available for a</w:t>
      </w:r>
      <w:r w:rsidR="00621D1B">
        <w:rPr>
          <w:rFonts w:cs="Arial"/>
        </w:rPr>
        <w:t>n infill transmitter</w:t>
      </w:r>
      <w:r w:rsidR="00F73332">
        <w:rPr>
          <w:rFonts w:cs="Arial"/>
        </w:rPr>
        <w:t xml:space="preserve"> f</w:t>
      </w:r>
      <w:r w:rsidR="000E57FE">
        <w:rPr>
          <w:rFonts w:cs="Arial"/>
        </w:rPr>
        <w:t xml:space="preserve">or the 2MOR service to serve </w:t>
      </w:r>
      <w:r>
        <w:rPr>
          <w:rFonts w:cs="Arial"/>
        </w:rPr>
        <w:t>Echuca/Moama.</w:t>
      </w:r>
      <w:r w:rsidR="00571210">
        <w:rPr>
          <w:rFonts w:cs="Arial"/>
        </w:rPr>
        <w:t xml:space="preserve"> </w:t>
      </w:r>
      <w:r w:rsidR="00CE4B58">
        <w:rPr>
          <w:rFonts w:cs="Arial"/>
        </w:rPr>
        <w:t>For the</w:t>
      </w:r>
      <w:r w:rsidR="005260BB">
        <w:rPr>
          <w:rFonts w:cs="Arial"/>
        </w:rPr>
        <w:t>se</w:t>
      </w:r>
      <w:r w:rsidR="00CE4B58">
        <w:rPr>
          <w:rFonts w:cs="Arial"/>
        </w:rPr>
        <w:t xml:space="preserve"> reasons, </w:t>
      </w:r>
      <w:r w:rsidR="00241D34">
        <w:rPr>
          <w:rFonts w:cs="Arial"/>
        </w:rPr>
        <w:t>w</w:t>
      </w:r>
      <w:r w:rsidR="00F23775">
        <w:rPr>
          <w:rFonts w:cs="Arial"/>
        </w:rPr>
        <w:t>e</w:t>
      </w:r>
      <w:r w:rsidR="00241D34">
        <w:rPr>
          <w:rFonts w:cs="Arial"/>
        </w:rPr>
        <w:t xml:space="preserve"> </w:t>
      </w:r>
      <w:r w:rsidR="00571210">
        <w:rPr>
          <w:rFonts w:cs="Arial"/>
        </w:rPr>
        <w:t xml:space="preserve">also consider it appropriate to remove the Moama HPON </w:t>
      </w:r>
      <w:r w:rsidR="00EC1770">
        <w:rPr>
          <w:rFonts w:cs="Arial"/>
        </w:rPr>
        <w:t xml:space="preserve">service’s </w:t>
      </w:r>
      <w:r w:rsidR="00571210">
        <w:rPr>
          <w:rFonts w:cs="Arial"/>
        </w:rPr>
        <w:t>technical specification from the Deniliquin LAP</w:t>
      </w:r>
      <w:r w:rsidR="00CE4B58">
        <w:rPr>
          <w:rFonts w:cs="Arial"/>
        </w:rPr>
        <w:t>.</w:t>
      </w:r>
    </w:p>
    <w:p w14:paraId="3D7264A7" w14:textId="4ADEF162" w:rsidR="008513B6" w:rsidRPr="00E841E5" w:rsidRDefault="008513B6" w:rsidP="00BF6AC0">
      <w:r>
        <w:rPr>
          <w:rFonts w:cs="Arial"/>
        </w:rPr>
        <w:t xml:space="preserve">As a temporary solution, </w:t>
      </w:r>
      <w:r w:rsidR="00241D34">
        <w:rPr>
          <w:rFonts w:cs="Arial"/>
        </w:rPr>
        <w:t>we</w:t>
      </w:r>
      <w:r>
        <w:rPr>
          <w:rFonts w:cs="Arial"/>
        </w:rPr>
        <w:t xml:space="preserve"> consider it appropriate to add an infill transmitter for </w:t>
      </w:r>
      <w:r w:rsidR="00F23775">
        <w:rPr>
          <w:rFonts w:cs="Arial"/>
        </w:rPr>
        <w:t xml:space="preserve">the </w:t>
      </w:r>
      <w:r>
        <w:rPr>
          <w:rFonts w:cs="Arial"/>
        </w:rPr>
        <w:t>2MOR service operating on 92.5</w:t>
      </w:r>
      <w:r w:rsidR="00EC1770">
        <w:rPr>
          <w:rFonts w:cs="Arial"/>
        </w:rPr>
        <w:t xml:space="preserve"> </w:t>
      </w:r>
      <w:r>
        <w:rPr>
          <w:rFonts w:cs="Arial"/>
        </w:rPr>
        <w:t xml:space="preserve">MHz, until the </w:t>
      </w:r>
      <w:r w:rsidR="00F23775">
        <w:rPr>
          <w:rFonts w:cs="Arial"/>
        </w:rPr>
        <w:t xml:space="preserve">start </w:t>
      </w:r>
      <w:r>
        <w:rPr>
          <w:rFonts w:cs="Arial"/>
        </w:rPr>
        <w:t>of the infill transmitter operating on 103.9</w:t>
      </w:r>
      <w:r w:rsidR="00EC1770">
        <w:rPr>
          <w:rFonts w:cs="Arial"/>
        </w:rPr>
        <w:t xml:space="preserve"> </w:t>
      </w:r>
      <w:r>
        <w:rPr>
          <w:rFonts w:cs="Arial"/>
        </w:rPr>
        <w:t>MHz</w:t>
      </w:r>
      <w:r w:rsidR="00EC1770">
        <w:rPr>
          <w:rFonts w:cs="Arial"/>
        </w:rPr>
        <w:t>,</w:t>
      </w:r>
      <w:r w:rsidR="006A33EC">
        <w:rPr>
          <w:rFonts w:cs="Arial"/>
        </w:rPr>
        <w:t xml:space="preserve"> at which time </w:t>
      </w:r>
      <w:r w:rsidR="00EC1770">
        <w:rPr>
          <w:rFonts w:cs="Arial"/>
        </w:rPr>
        <w:t xml:space="preserve">the availability of </w:t>
      </w:r>
      <w:r w:rsidR="006A33EC">
        <w:rPr>
          <w:rFonts w:cs="Arial"/>
        </w:rPr>
        <w:t xml:space="preserve">the 92.5 MHz technical specification would </w:t>
      </w:r>
      <w:r w:rsidR="00F23775">
        <w:rPr>
          <w:rFonts w:cs="Arial"/>
        </w:rPr>
        <w:t>stop</w:t>
      </w:r>
      <w:r w:rsidR="006A33EC">
        <w:rPr>
          <w:rFonts w:cs="Arial"/>
        </w:rPr>
        <w:t>.</w:t>
      </w:r>
    </w:p>
    <w:p w14:paraId="14C85800" w14:textId="77777777" w:rsidR="00670A76" w:rsidRDefault="00670A76" w:rsidP="00670A76">
      <w:pPr>
        <w:pStyle w:val="Heading3"/>
      </w:pPr>
      <w:bookmarkStart w:id="21" w:name="_Toc14692761"/>
      <w:r w:rsidRPr="00F632AD">
        <w:t>Advisory note</w:t>
      </w:r>
      <w:r>
        <w:t>s</w:t>
      </w:r>
      <w:bookmarkEnd w:id="21"/>
    </w:p>
    <w:p w14:paraId="1B111D8C" w14:textId="3C5288DE" w:rsidR="00FF32A8" w:rsidRDefault="00670A76" w:rsidP="00670A76">
      <w:pPr>
        <w:rPr>
          <w:rFonts w:cs="Arial"/>
        </w:rPr>
      </w:pPr>
      <w:r>
        <w:t xml:space="preserve">Because of the potential for </w:t>
      </w:r>
      <w:r w:rsidR="00832365">
        <w:t xml:space="preserve">the </w:t>
      </w:r>
      <w:r w:rsidR="00621D1B">
        <w:t>infill transmitter</w:t>
      </w:r>
      <w:r w:rsidR="00832365">
        <w:t xml:space="preserve"> to receive</w:t>
      </w:r>
      <w:r w:rsidR="00984005">
        <w:t xml:space="preserve"> </w:t>
      </w:r>
      <w:r w:rsidR="00832365">
        <w:t xml:space="preserve">interference </w:t>
      </w:r>
      <w:r w:rsidR="00630A8C">
        <w:t xml:space="preserve">to </w:t>
      </w:r>
      <w:r w:rsidR="00832365">
        <w:t>field strengths below t</w:t>
      </w:r>
      <w:r>
        <w:t xml:space="preserve">he suburban grade </w:t>
      </w:r>
      <w:r w:rsidR="00832365">
        <w:t xml:space="preserve">level </w:t>
      </w:r>
      <w:r>
        <w:t>(</w:t>
      </w:r>
      <w:r w:rsidRPr="000E0D20">
        <w:rPr>
          <w:rFonts w:cs="Arial"/>
        </w:rPr>
        <w:t>&gt;66 dBµV/m</w:t>
      </w:r>
      <w:r>
        <w:rPr>
          <w:rFonts w:cs="Arial"/>
        </w:rPr>
        <w:t xml:space="preserve">), </w:t>
      </w:r>
      <w:r w:rsidR="00197393">
        <w:rPr>
          <w:rFonts w:cs="Arial"/>
        </w:rPr>
        <w:t xml:space="preserve">we </w:t>
      </w:r>
      <w:r>
        <w:rPr>
          <w:rFonts w:cs="Arial"/>
        </w:rPr>
        <w:t xml:space="preserve">propose to include advisory notes </w:t>
      </w:r>
      <w:r w:rsidR="00832365">
        <w:rPr>
          <w:rFonts w:cs="Arial"/>
        </w:rPr>
        <w:t xml:space="preserve">on the technical specification </w:t>
      </w:r>
      <w:r w:rsidR="00D72EA9">
        <w:rPr>
          <w:rFonts w:cs="Arial"/>
        </w:rPr>
        <w:t xml:space="preserve">(see </w:t>
      </w:r>
      <w:hyperlink w:anchor="_Appendix_B" w:history="1">
        <w:r w:rsidR="00D72EA9" w:rsidRPr="00D02BD3">
          <w:rPr>
            <w:rStyle w:val="Hyperlink"/>
            <w:rFonts w:cs="Arial"/>
          </w:rPr>
          <w:t>Appendix B</w:t>
        </w:r>
      </w:hyperlink>
      <w:r w:rsidR="00D72EA9">
        <w:rPr>
          <w:rFonts w:cs="Arial"/>
        </w:rPr>
        <w:t xml:space="preserve">) </w:t>
      </w:r>
      <w:r w:rsidR="00832365">
        <w:rPr>
          <w:rFonts w:cs="Arial"/>
        </w:rPr>
        <w:t xml:space="preserve">about </w:t>
      </w:r>
      <w:r w:rsidR="00503E69">
        <w:rPr>
          <w:rFonts w:cs="Arial"/>
        </w:rPr>
        <w:t>the planning of the transmitter and the level of protection provided.</w:t>
      </w:r>
    </w:p>
    <w:p w14:paraId="728F7299" w14:textId="7A9DA42B" w:rsidR="00475549" w:rsidRDefault="00475549" w:rsidP="00593304">
      <w:pPr>
        <w:pStyle w:val="Paragraph"/>
      </w:pPr>
      <w:r>
        <w:t xml:space="preserve">The draft </w:t>
      </w:r>
      <w:r w:rsidR="00654F80" w:rsidRPr="00260B90">
        <w:t>Variation to Licence Area Plan – Deniliquin Radio</w:t>
      </w:r>
      <w:r w:rsidR="0007271C" w:rsidRPr="00260B90">
        <w:t xml:space="preserve"> –</w:t>
      </w:r>
      <w:r w:rsidR="00654F80" w:rsidRPr="00260B90">
        <w:t xml:space="preserve"> 2022 (No. 1)</w:t>
      </w:r>
      <w:r w:rsidR="00654F80">
        <w:rPr>
          <w:i/>
          <w:iCs/>
        </w:rPr>
        <w:t xml:space="preserve"> </w:t>
      </w:r>
      <w:r>
        <w:t xml:space="preserve">is available alongside this paper on the </w:t>
      </w:r>
      <w:hyperlink r:id="rId31" w:history="1">
        <w:r>
          <w:rPr>
            <w:rStyle w:val="Hyperlink"/>
          </w:rPr>
          <w:t>ACMA website</w:t>
        </w:r>
      </w:hyperlink>
      <w:r>
        <w:t>.</w:t>
      </w:r>
    </w:p>
    <w:p w14:paraId="36143C27" w14:textId="4559801E" w:rsidR="00670A76" w:rsidRDefault="00670A76" w:rsidP="00381B65">
      <w:pPr>
        <w:pStyle w:val="Heading2"/>
        <w:keepLines/>
      </w:pPr>
      <w:bookmarkStart w:id="22" w:name="_Toc14692762"/>
      <w:bookmarkStart w:id="23" w:name="_Toc98412022"/>
      <w:r>
        <w:lastRenderedPageBreak/>
        <w:t>Discussion of proposal</w:t>
      </w:r>
      <w:r w:rsidR="00197393">
        <w:t xml:space="preserve"> </w:t>
      </w:r>
      <w:r>
        <w:t>–</w:t>
      </w:r>
      <w:r w:rsidR="00197393">
        <w:t xml:space="preserve"> </w:t>
      </w:r>
      <w:r>
        <w:t>2QN</w:t>
      </w:r>
      <w:bookmarkEnd w:id="22"/>
      <w:bookmarkEnd w:id="23"/>
    </w:p>
    <w:p w14:paraId="008D0F4E" w14:textId="44D3534E" w:rsidR="00F250D6" w:rsidRDefault="00670A76" w:rsidP="00381B65">
      <w:pPr>
        <w:keepNext/>
        <w:keepLines/>
      </w:pPr>
      <w:r>
        <w:t xml:space="preserve">The ACMA’s </w:t>
      </w:r>
      <w:hyperlink r:id="rId32" w:history="1">
        <w:r w:rsidRPr="0057151B">
          <w:rPr>
            <w:rStyle w:val="Hyperlink"/>
            <w:i/>
          </w:rPr>
          <w:t>Technical Planning Parameters and Methods for Terrestrial Broadcasting</w:t>
        </w:r>
        <w:r w:rsidR="009809FB" w:rsidRPr="0057151B">
          <w:rPr>
            <w:rStyle w:val="Hyperlink"/>
            <w:i/>
          </w:rPr>
          <w:t xml:space="preserve"> (TPPs)</w:t>
        </w:r>
      </w:hyperlink>
      <w:r>
        <w:t xml:space="preserve"> explains that for planning purposes, cities of more than 10,000 people are</w:t>
      </w:r>
      <w:r w:rsidR="00640374">
        <w:t xml:space="preserve"> considered</w:t>
      </w:r>
      <w:r>
        <w:t xml:space="preserve"> </w:t>
      </w:r>
      <w:r w:rsidR="00640374">
        <w:t>‘</w:t>
      </w:r>
      <w:r>
        <w:t>urban</w:t>
      </w:r>
      <w:r w:rsidR="00640374">
        <w:t>’</w:t>
      </w:r>
      <w:r>
        <w:t xml:space="preserve"> and </w:t>
      </w:r>
      <w:r w:rsidR="00376257">
        <w:t xml:space="preserve">towns with between 2,000 and 10,000 people are </w:t>
      </w:r>
      <w:r w:rsidR="00640374">
        <w:t>‘</w:t>
      </w:r>
      <w:r w:rsidR="00376257" w:rsidRPr="00376257">
        <w:t>suburban</w:t>
      </w:r>
      <w:r w:rsidR="00640374">
        <w:t>’</w:t>
      </w:r>
      <w:r>
        <w:t>.</w:t>
      </w:r>
    </w:p>
    <w:p w14:paraId="61A3C233" w14:textId="10C9F2C0" w:rsidR="00670A76" w:rsidRDefault="00670A76" w:rsidP="00381B65">
      <w:pPr>
        <w:pStyle w:val="Paragraph"/>
        <w:keepNext/>
        <w:keepLines/>
      </w:pPr>
      <w:r>
        <w:t xml:space="preserve">As mentioned, the </w:t>
      </w:r>
      <w:r w:rsidR="003B5FB7">
        <w:t xml:space="preserve">urban centre/locality </w:t>
      </w:r>
      <w:r>
        <w:t>of Echuca/Moama had a population of 18,526 as at the 2016 Census</w:t>
      </w:r>
      <w:r w:rsidR="009809FB">
        <w:t xml:space="preserve">. </w:t>
      </w:r>
      <w:r w:rsidR="00640374">
        <w:t xml:space="preserve">Our </w:t>
      </w:r>
      <w:r w:rsidR="009809FB">
        <w:t xml:space="preserve">assessment indicates that </w:t>
      </w:r>
      <w:r>
        <w:t>the signal level of the 2QN service is significantly below the protected field strength level</w:t>
      </w:r>
      <w:r w:rsidR="00950821">
        <w:t xml:space="preserve"> for an urban area</w:t>
      </w:r>
      <w:r w:rsidR="00AF7F32">
        <w:t>,</w:t>
      </w:r>
      <w:r>
        <w:t xml:space="preserve"> and therefore </w:t>
      </w:r>
      <w:r w:rsidR="00AF7F32">
        <w:t>is not consistent with the usual planning approach</w:t>
      </w:r>
      <w:r>
        <w:t>.</w:t>
      </w:r>
    </w:p>
    <w:p w14:paraId="28F50507" w14:textId="2E7264BA" w:rsidR="00641284" w:rsidRDefault="00641284" w:rsidP="00260B90">
      <w:pPr>
        <w:pStyle w:val="Paragraph"/>
      </w:pPr>
      <w:r w:rsidRPr="00E14FAA">
        <w:t xml:space="preserve">The </w:t>
      </w:r>
      <w:r w:rsidR="00FA4077">
        <w:t xml:space="preserve">urban centre/locality </w:t>
      </w:r>
      <w:r w:rsidR="00E14FAA" w:rsidRPr="00E14FAA">
        <w:t xml:space="preserve">of </w:t>
      </w:r>
      <w:hyperlink r:id="rId33" w:history="1">
        <w:r w:rsidRPr="00841F20">
          <w:rPr>
            <w:rStyle w:val="Hyperlink"/>
          </w:rPr>
          <w:t>Cobram</w:t>
        </w:r>
      </w:hyperlink>
      <w:r w:rsidR="003A5753">
        <w:t xml:space="preserve"> had a population of </w:t>
      </w:r>
      <w:r w:rsidR="004B2115">
        <w:t>5,375 as at the 2016 Census.</w:t>
      </w:r>
      <w:r w:rsidR="00627EBD">
        <w:t xml:space="preserve"> </w:t>
      </w:r>
      <w:r w:rsidR="00640374">
        <w:t xml:space="preserve">Our </w:t>
      </w:r>
      <w:r w:rsidR="00D4303A">
        <w:t xml:space="preserve">assessment indicates that the 2QN service’s signal level </w:t>
      </w:r>
      <w:r w:rsidR="00BC1964">
        <w:t>in Cobram is</w:t>
      </w:r>
      <w:r w:rsidR="00D4303A">
        <w:t xml:space="preserve"> less than the suburban level.</w:t>
      </w:r>
    </w:p>
    <w:p w14:paraId="1F06838A" w14:textId="0BAB2C34" w:rsidR="004E5EF3" w:rsidRDefault="00C27129" w:rsidP="00D4303A">
      <w:r>
        <w:t xml:space="preserve">As the </w:t>
      </w:r>
      <w:r w:rsidR="00C134A6">
        <w:t xml:space="preserve">field strength levels of the 2QN </w:t>
      </w:r>
      <w:r w:rsidR="00286D39">
        <w:t>AM transmission</w:t>
      </w:r>
      <w:r w:rsidR="00C134A6">
        <w:t xml:space="preserve"> are less than the </w:t>
      </w:r>
      <w:r w:rsidR="00AF7F32">
        <w:t xml:space="preserve">usual </w:t>
      </w:r>
      <w:r w:rsidR="00C134A6">
        <w:t xml:space="preserve">levels at both Echuca/Moama and Cobram, </w:t>
      </w:r>
      <w:r w:rsidR="00640374">
        <w:t xml:space="preserve">we propose </w:t>
      </w:r>
      <w:r w:rsidR="00C134A6">
        <w:t xml:space="preserve">to </w:t>
      </w:r>
      <w:r w:rsidR="00D4303A">
        <w:t xml:space="preserve">make spectrum available for </w:t>
      </w:r>
      <w:r w:rsidR="00640374">
        <w:t xml:space="preserve">2 </w:t>
      </w:r>
      <w:r w:rsidR="000304A3">
        <w:t>infill transmitters</w:t>
      </w:r>
      <w:r w:rsidR="00C134A6">
        <w:t xml:space="preserve">, one at each location. </w:t>
      </w:r>
      <w:r w:rsidR="00640374">
        <w:t>T</w:t>
      </w:r>
      <w:r w:rsidR="00C134A6">
        <w:t xml:space="preserve">his approach is in keeping with </w:t>
      </w:r>
      <w:r w:rsidR="00640374">
        <w:t xml:space="preserve">our </w:t>
      </w:r>
      <w:r w:rsidR="00C134A6">
        <w:t>infill policy.</w:t>
      </w:r>
    </w:p>
    <w:p w14:paraId="6CC91FF4" w14:textId="3B3D260D" w:rsidR="004B3FA2" w:rsidRPr="004B3FA2" w:rsidRDefault="00670A76" w:rsidP="004B3FA2">
      <w:pPr>
        <w:pStyle w:val="Heading3"/>
      </w:pPr>
      <w:bookmarkStart w:id="24" w:name="_Toc14692763"/>
      <w:r>
        <w:t>Spectrum availability</w:t>
      </w:r>
      <w:r w:rsidR="005D374B">
        <w:t xml:space="preserve">, </w:t>
      </w:r>
      <w:r>
        <w:t>coverage</w:t>
      </w:r>
      <w:bookmarkEnd w:id="24"/>
      <w:r w:rsidR="005D374B">
        <w:t xml:space="preserve"> and overspill</w:t>
      </w:r>
      <w:r w:rsidR="004B3FA2">
        <w:t xml:space="preserve"> </w:t>
      </w:r>
    </w:p>
    <w:p w14:paraId="408E7A16" w14:textId="7C751DCF" w:rsidR="00276655" w:rsidRPr="00957D11" w:rsidRDefault="00276655" w:rsidP="00A2352B">
      <w:pPr>
        <w:pStyle w:val="Heading4"/>
      </w:pPr>
      <w:r w:rsidRPr="00957D11">
        <w:t>Ech</w:t>
      </w:r>
      <w:r w:rsidR="006C7FAC" w:rsidRPr="00957D11">
        <w:t>uca/Moama</w:t>
      </w:r>
    </w:p>
    <w:p w14:paraId="6EDFB910" w14:textId="40CB90FF" w:rsidR="00670A76" w:rsidRDefault="00640374" w:rsidP="00670A76">
      <w:r>
        <w:t xml:space="preserve">Our </w:t>
      </w:r>
      <w:r w:rsidR="00B60031">
        <w:t xml:space="preserve">assessment </w:t>
      </w:r>
      <w:r w:rsidR="00670A76">
        <w:t>indicate</w:t>
      </w:r>
      <w:r w:rsidR="00B60031">
        <w:t>s</w:t>
      </w:r>
      <w:r w:rsidR="00670A76">
        <w:t xml:space="preserve"> that</w:t>
      </w:r>
      <w:r w:rsidR="00942B3B">
        <w:t>,</w:t>
      </w:r>
      <w:r w:rsidR="00670A76">
        <w:t xml:space="preserve"> in the absence of interference, a</w:t>
      </w:r>
      <w:r w:rsidR="000304A3">
        <w:t>n infill transmitter</w:t>
      </w:r>
      <w:r w:rsidR="00367BA1">
        <w:t xml:space="preserve"> with a </w:t>
      </w:r>
      <w:r w:rsidR="00670A76">
        <w:t xml:space="preserve">200 W </w:t>
      </w:r>
      <w:r w:rsidR="00367BA1">
        <w:t xml:space="preserve">maximum ERP </w:t>
      </w:r>
      <w:r w:rsidR="00C27129">
        <w:t xml:space="preserve">operating on frequency 102.9 MHz </w:t>
      </w:r>
      <w:r w:rsidR="00670A76">
        <w:t xml:space="preserve">would provide </w:t>
      </w:r>
      <w:r w:rsidR="00670A76" w:rsidRPr="0083331E">
        <w:t xml:space="preserve">a suburban level </w:t>
      </w:r>
      <w:r w:rsidR="00670A76">
        <w:t xml:space="preserve">of coverage to the </w:t>
      </w:r>
      <w:r w:rsidR="00163427">
        <w:t xml:space="preserve">entire </w:t>
      </w:r>
      <w:r w:rsidR="0061294D">
        <w:t xml:space="preserve">urban area of </w:t>
      </w:r>
      <w:r w:rsidR="00670A76">
        <w:t>Echuca/Moama</w:t>
      </w:r>
      <w:r w:rsidR="0061294D">
        <w:t>.</w:t>
      </w:r>
    </w:p>
    <w:p w14:paraId="252441E7" w14:textId="2821F1A9" w:rsidR="00C27129" w:rsidRPr="00E45F3A" w:rsidRDefault="00670A76" w:rsidP="00C27129">
      <w:r>
        <w:t xml:space="preserve">The assessment also indicates that </w:t>
      </w:r>
      <w:r w:rsidR="00C27129">
        <w:t>there would be some overspill of this service into the adjacent licence areas of</w:t>
      </w:r>
      <w:r w:rsidR="006D409A">
        <w:t xml:space="preserve"> </w:t>
      </w:r>
      <w:r>
        <w:t>Bendigo RA1 and Shepparton RA1</w:t>
      </w:r>
      <w:r w:rsidR="00B26949">
        <w:t>, which are planned in other LAPs</w:t>
      </w:r>
      <w:r w:rsidR="00CE2DE2">
        <w:t xml:space="preserve">. </w:t>
      </w:r>
      <w:r>
        <w:t xml:space="preserve">However, this overspill would not </w:t>
      </w:r>
      <w:r w:rsidR="00C27129">
        <w:t xml:space="preserve">provide a median field strength of </w:t>
      </w:r>
      <w:r w:rsidR="00152B0A" w:rsidRPr="000E0D20">
        <w:rPr>
          <w:rFonts w:cs="Arial"/>
        </w:rPr>
        <w:t>54</w:t>
      </w:r>
      <w:r w:rsidR="00152B0A">
        <w:rPr>
          <w:rFonts w:cs="Arial"/>
        </w:rPr>
        <w:t> </w:t>
      </w:r>
      <w:r w:rsidR="00C27129" w:rsidRPr="000E0D20">
        <w:rPr>
          <w:rFonts w:cs="Arial"/>
        </w:rPr>
        <w:t>dBµV/m</w:t>
      </w:r>
      <w:r w:rsidR="00C27129">
        <w:rPr>
          <w:rFonts w:cs="Arial"/>
        </w:rPr>
        <w:t xml:space="preserve"> to any urban centre/locality other than Echuca/Moama.</w:t>
      </w:r>
    </w:p>
    <w:p w14:paraId="5AF0744D" w14:textId="05725017" w:rsidR="006C7FAC" w:rsidRDefault="006C7FAC" w:rsidP="00A2352B">
      <w:pPr>
        <w:pStyle w:val="Heading4"/>
      </w:pPr>
      <w:r>
        <w:t>Cobram</w:t>
      </w:r>
    </w:p>
    <w:p w14:paraId="795CF651" w14:textId="012D18E1" w:rsidR="00670A76" w:rsidRDefault="00152B0A" w:rsidP="00670A76">
      <w:pPr>
        <w:rPr>
          <w:rFonts w:cs="Arial"/>
        </w:rPr>
      </w:pPr>
      <w:r>
        <w:t xml:space="preserve">Our </w:t>
      </w:r>
      <w:r w:rsidR="00B60031">
        <w:rPr>
          <w:rFonts w:cs="Arial"/>
        </w:rPr>
        <w:t>field strength predictions indicate that</w:t>
      </w:r>
      <w:r w:rsidR="00942B3B">
        <w:rPr>
          <w:rFonts w:cs="Arial"/>
        </w:rPr>
        <w:t>,</w:t>
      </w:r>
      <w:r w:rsidR="00B60031">
        <w:rPr>
          <w:rFonts w:cs="Arial"/>
        </w:rPr>
        <w:t xml:space="preserve"> </w:t>
      </w:r>
      <w:r w:rsidR="00367BA1">
        <w:rPr>
          <w:rFonts w:cs="Arial"/>
        </w:rPr>
        <w:t>in the absence of interference, a</w:t>
      </w:r>
      <w:r w:rsidR="000304A3">
        <w:rPr>
          <w:rFonts w:cs="Arial"/>
        </w:rPr>
        <w:t>n infill transmitter</w:t>
      </w:r>
      <w:r w:rsidR="00367BA1">
        <w:rPr>
          <w:rFonts w:cs="Arial"/>
        </w:rPr>
        <w:t xml:space="preserve"> operating at a maximum ERP of </w:t>
      </w:r>
      <w:r w:rsidR="00B60031">
        <w:rPr>
          <w:rFonts w:cs="Arial"/>
        </w:rPr>
        <w:t>100 W</w:t>
      </w:r>
      <w:r>
        <w:rPr>
          <w:rFonts w:cs="Arial"/>
        </w:rPr>
        <w:t>,</w:t>
      </w:r>
      <w:r w:rsidR="00367BA1">
        <w:rPr>
          <w:rFonts w:cs="Arial"/>
        </w:rPr>
        <w:t xml:space="preserve"> </w:t>
      </w:r>
      <w:r w:rsidR="00C27129">
        <w:rPr>
          <w:rFonts w:cs="Arial"/>
        </w:rPr>
        <w:t>operating on frequency 93.3</w:t>
      </w:r>
      <w:r w:rsidR="00942B3B">
        <w:rPr>
          <w:rFonts w:cs="Arial"/>
        </w:rPr>
        <w:t> </w:t>
      </w:r>
      <w:r w:rsidR="00C27129">
        <w:rPr>
          <w:rFonts w:cs="Arial"/>
        </w:rPr>
        <w:t xml:space="preserve">MHz </w:t>
      </w:r>
      <w:r w:rsidR="00367BA1">
        <w:rPr>
          <w:rFonts w:cs="Arial"/>
        </w:rPr>
        <w:t>would provide most of the Cobram urban centre/locality with</w:t>
      </w:r>
      <w:r w:rsidR="00942B3B">
        <w:rPr>
          <w:rFonts w:cs="Arial"/>
        </w:rPr>
        <w:t xml:space="preserve"> at least</w:t>
      </w:r>
      <w:r w:rsidR="00367BA1">
        <w:rPr>
          <w:rFonts w:cs="Arial"/>
        </w:rPr>
        <w:t xml:space="preserve"> a suburban level of signal. </w:t>
      </w:r>
    </w:p>
    <w:p w14:paraId="7E627F9A" w14:textId="77777777" w:rsidR="00670A76" w:rsidRDefault="00670A76" w:rsidP="00670A76">
      <w:pPr>
        <w:pStyle w:val="Heading3"/>
      </w:pPr>
      <w:bookmarkStart w:id="25" w:name="_Toc14692764"/>
      <w:r>
        <w:t>I</w:t>
      </w:r>
      <w:r w:rsidRPr="000872CC">
        <w:t xml:space="preserve">nterference </w:t>
      </w:r>
      <w:r>
        <w:t>to and from other broadcasting services</w:t>
      </w:r>
      <w:bookmarkEnd w:id="25"/>
    </w:p>
    <w:p w14:paraId="0A13BC54" w14:textId="33DFC605" w:rsidR="00094867" w:rsidRDefault="00094867" w:rsidP="00A2352B">
      <w:pPr>
        <w:pStyle w:val="Heading4"/>
      </w:pPr>
      <w:r>
        <w:t>Echuca/Moama</w:t>
      </w:r>
    </w:p>
    <w:p w14:paraId="03EF44C6" w14:textId="3EE2435C" w:rsidR="00E86840" w:rsidRDefault="00670A76" w:rsidP="00670A76">
      <w:pPr>
        <w:rPr>
          <w:rFonts w:cs="Arial"/>
        </w:rPr>
      </w:pPr>
      <w:r w:rsidRPr="0077721C">
        <w:rPr>
          <w:rFonts w:cs="Arial"/>
        </w:rPr>
        <w:t>There is some potential for interference to the proposed</w:t>
      </w:r>
      <w:r w:rsidR="00CA55EF" w:rsidRPr="0077721C">
        <w:rPr>
          <w:rFonts w:cs="Arial"/>
        </w:rPr>
        <w:t xml:space="preserve"> Echuca/Moama</w:t>
      </w:r>
      <w:r w:rsidRPr="0077721C">
        <w:rPr>
          <w:rFonts w:cs="Arial"/>
        </w:rPr>
        <w:t xml:space="preserve"> </w:t>
      </w:r>
      <w:r w:rsidR="00E45F3A" w:rsidRPr="0077721C">
        <w:rPr>
          <w:rFonts w:cs="Arial"/>
        </w:rPr>
        <w:t>infill transmitter</w:t>
      </w:r>
      <w:r w:rsidR="00152B0A">
        <w:rPr>
          <w:rFonts w:cs="Arial"/>
        </w:rPr>
        <w:t>,</w:t>
      </w:r>
      <w:r w:rsidR="00C41B47" w:rsidRPr="0077721C">
        <w:rPr>
          <w:rFonts w:cs="Arial"/>
        </w:rPr>
        <w:t xml:space="preserve"> </w:t>
      </w:r>
      <w:r w:rsidR="00FD6254">
        <w:rPr>
          <w:rFonts w:cs="Arial"/>
        </w:rPr>
        <w:t xml:space="preserve">mainly </w:t>
      </w:r>
      <w:r w:rsidR="00C41B47" w:rsidRPr="0077721C">
        <w:rPr>
          <w:rFonts w:cs="Arial"/>
        </w:rPr>
        <w:t xml:space="preserve">from the </w:t>
      </w:r>
      <w:r w:rsidRPr="0077721C">
        <w:rPr>
          <w:rFonts w:cs="Arial"/>
        </w:rPr>
        <w:t xml:space="preserve">3ABCRR Alexandra </w:t>
      </w:r>
      <w:r w:rsidR="0074434C">
        <w:rPr>
          <w:rFonts w:cs="Arial"/>
        </w:rPr>
        <w:t xml:space="preserve">national radio broadcasting </w:t>
      </w:r>
      <w:r w:rsidRPr="0077721C">
        <w:rPr>
          <w:rFonts w:cs="Arial"/>
        </w:rPr>
        <w:t>service</w:t>
      </w:r>
      <w:r w:rsidR="00EA36FE" w:rsidRPr="0077721C">
        <w:rPr>
          <w:rFonts w:cs="Arial"/>
        </w:rPr>
        <w:t>. This interference may occur even in areas</w:t>
      </w:r>
      <w:r w:rsidRPr="00593304">
        <w:rPr>
          <w:rFonts w:cs="Arial"/>
        </w:rPr>
        <w:t xml:space="preserve"> where the 2QN </w:t>
      </w:r>
      <w:r w:rsidR="0074434C">
        <w:rPr>
          <w:rFonts w:cs="Arial"/>
        </w:rPr>
        <w:t xml:space="preserve">service’s </w:t>
      </w:r>
      <w:r w:rsidRPr="00593304">
        <w:rPr>
          <w:rFonts w:cs="Arial"/>
        </w:rPr>
        <w:t>transmission exceeds 54 dBµV/m within the Deniliquin RA1 licence area.</w:t>
      </w:r>
      <w:r>
        <w:rPr>
          <w:rFonts w:cs="Arial"/>
        </w:rPr>
        <w:t xml:space="preserve"> The population potentially affected would be between </w:t>
      </w:r>
      <w:r w:rsidR="00B57AC1">
        <w:rPr>
          <w:rFonts w:cs="Arial"/>
        </w:rPr>
        <w:t>1.08</w:t>
      </w:r>
      <w:r w:rsidR="00152B0A">
        <w:rPr>
          <w:rFonts w:cs="Arial"/>
        </w:rPr>
        <w:t>%</w:t>
      </w:r>
      <w:r w:rsidR="00B57AC1">
        <w:rPr>
          <w:rStyle w:val="FootnoteReference"/>
          <w:rFonts w:cs="Arial"/>
        </w:rPr>
        <w:footnoteReference w:id="10"/>
      </w:r>
      <w:r w:rsidR="00B57AC1">
        <w:rPr>
          <w:rFonts w:cs="Arial"/>
        </w:rPr>
        <w:t xml:space="preserve"> and </w:t>
      </w:r>
      <w:r>
        <w:rPr>
          <w:rFonts w:cs="Arial"/>
        </w:rPr>
        <w:t>2.07</w:t>
      </w:r>
      <w:r w:rsidR="00152B0A">
        <w:rPr>
          <w:rFonts w:cs="Arial"/>
        </w:rPr>
        <w:t>%</w:t>
      </w:r>
      <w:r w:rsidR="00F01545">
        <w:rPr>
          <w:rStyle w:val="FootnoteReference"/>
          <w:rFonts w:cs="Arial"/>
        </w:rPr>
        <w:footnoteReference w:id="11"/>
      </w:r>
      <w:r>
        <w:rPr>
          <w:rFonts w:cs="Arial"/>
        </w:rPr>
        <w:t xml:space="preserve"> of the Deniliquin RA1 population. </w:t>
      </w:r>
    </w:p>
    <w:p w14:paraId="4E08F624" w14:textId="7E333DA1" w:rsidR="00670A76" w:rsidRDefault="00670A76" w:rsidP="00670A76">
      <w:pPr>
        <w:rPr>
          <w:rFonts w:cs="Arial"/>
        </w:rPr>
      </w:pPr>
      <w:r w:rsidRPr="005B4A52">
        <w:rPr>
          <w:rFonts w:cs="Arial"/>
        </w:rPr>
        <w:t>Further</w:t>
      </w:r>
      <w:r w:rsidR="0077721C">
        <w:rPr>
          <w:rFonts w:cs="Arial"/>
        </w:rPr>
        <w:t>more</w:t>
      </w:r>
      <w:r w:rsidRPr="005B4A52">
        <w:rPr>
          <w:rFonts w:cs="Arial"/>
        </w:rPr>
        <w:t>, there is potential for interference to the</w:t>
      </w:r>
      <w:r w:rsidR="00CA55EF" w:rsidRPr="005B4A52">
        <w:rPr>
          <w:rFonts w:cs="Arial"/>
        </w:rPr>
        <w:t xml:space="preserve"> Echuca/Moama</w:t>
      </w:r>
      <w:r w:rsidRPr="005B4A52">
        <w:rPr>
          <w:rFonts w:cs="Arial"/>
        </w:rPr>
        <w:t xml:space="preserve"> </w:t>
      </w:r>
      <w:r w:rsidR="00E45F3A" w:rsidRPr="005B4A52">
        <w:rPr>
          <w:rFonts w:cs="Arial"/>
        </w:rPr>
        <w:t>infill transmitter</w:t>
      </w:r>
      <w:r w:rsidR="00182FB6" w:rsidRPr="005B4A52">
        <w:rPr>
          <w:rFonts w:cs="Arial"/>
        </w:rPr>
        <w:t xml:space="preserve"> </w:t>
      </w:r>
      <w:r w:rsidRPr="005B4A52">
        <w:rPr>
          <w:rFonts w:cs="Arial"/>
        </w:rPr>
        <w:t xml:space="preserve">from other </w:t>
      </w:r>
      <w:r w:rsidR="00C41B47" w:rsidRPr="005B4A52">
        <w:rPr>
          <w:rFonts w:cs="Arial"/>
        </w:rPr>
        <w:t>broadcasting services</w:t>
      </w:r>
      <w:r w:rsidR="007002F6">
        <w:rPr>
          <w:rFonts w:cs="Arial"/>
        </w:rPr>
        <w:t>, even in areas</w:t>
      </w:r>
      <w:r w:rsidR="00C41B47" w:rsidRPr="005B4A52">
        <w:rPr>
          <w:rFonts w:cs="Arial"/>
        </w:rPr>
        <w:t xml:space="preserve"> where the </w:t>
      </w:r>
      <w:r w:rsidR="00E45F3A" w:rsidRPr="005B4A52">
        <w:rPr>
          <w:rFonts w:cs="Arial"/>
        </w:rPr>
        <w:t>infill transmitter</w:t>
      </w:r>
      <w:r w:rsidR="00182FB6" w:rsidRPr="005B4A52">
        <w:rPr>
          <w:rFonts w:cs="Arial"/>
        </w:rPr>
        <w:t>’s</w:t>
      </w:r>
      <w:r w:rsidR="00C41B47" w:rsidRPr="005B4A52">
        <w:rPr>
          <w:rFonts w:cs="Arial"/>
        </w:rPr>
        <w:t xml:space="preserve"> transmission </w:t>
      </w:r>
      <w:r w:rsidRPr="005B4A52">
        <w:rPr>
          <w:rFonts w:cs="Arial"/>
        </w:rPr>
        <w:t xml:space="preserve">exceeds 66 dBµV/m within </w:t>
      </w:r>
      <w:r w:rsidR="004434B0">
        <w:rPr>
          <w:rFonts w:cs="Arial"/>
        </w:rPr>
        <w:t xml:space="preserve">the </w:t>
      </w:r>
      <w:r w:rsidRPr="005B4A52">
        <w:rPr>
          <w:rFonts w:cs="Arial"/>
        </w:rPr>
        <w:t>Deniliquin RA1</w:t>
      </w:r>
      <w:r w:rsidR="004434B0">
        <w:rPr>
          <w:rFonts w:cs="Arial"/>
        </w:rPr>
        <w:t xml:space="preserve"> licence area</w:t>
      </w:r>
      <w:r w:rsidR="00182FB6" w:rsidRPr="005B4A52">
        <w:rPr>
          <w:rFonts w:cs="Arial"/>
        </w:rPr>
        <w:t>;</w:t>
      </w:r>
      <w:r w:rsidR="00182FB6">
        <w:rPr>
          <w:rFonts w:cs="Arial"/>
        </w:rPr>
        <w:t xml:space="preserve"> however, the </w:t>
      </w:r>
      <w:r w:rsidR="00152B0A">
        <w:rPr>
          <w:rFonts w:cs="Arial"/>
        </w:rPr>
        <w:t xml:space="preserve">approximate </w:t>
      </w:r>
      <w:r w:rsidR="00182FB6">
        <w:rPr>
          <w:rFonts w:cs="Arial"/>
        </w:rPr>
        <w:t xml:space="preserve">number of </w:t>
      </w:r>
      <w:r>
        <w:rPr>
          <w:rFonts w:cs="Arial"/>
        </w:rPr>
        <w:t xml:space="preserve">potentially affected </w:t>
      </w:r>
      <w:r w:rsidR="007002F6">
        <w:rPr>
          <w:rFonts w:cs="Arial"/>
        </w:rPr>
        <w:t xml:space="preserve">people </w:t>
      </w:r>
      <w:r w:rsidR="00182FB6">
        <w:rPr>
          <w:rFonts w:cs="Arial"/>
        </w:rPr>
        <w:t>is</w:t>
      </w:r>
      <w:r w:rsidR="00152B0A">
        <w:rPr>
          <w:rFonts w:cs="Arial"/>
        </w:rPr>
        <w:t xml:space="preserve"> </w:t>
      </w:r>
      <w:r w:rsidR="001F3EF3">
        <w:rPr>
          <w:rFonts w:cs="Arial"/>
        </w:rPr>
        <w:t xml:space="preserve">fewer </w:t>
      </w:r>
      <w:r w:rsidR="00182FB6">
        <w:rPr>
          <w:rFonts w:cs="Arial"/>
        </w:rPr>
        <w:t>than 10</w:t>
      </w:r>
      <w:r w:rsidR="00094867">
        <w:rPr>
          <w:rFonts w:cs="Arial"/>
        </w:rPr>
        <w:t>.</w:t>
      </w:r>
    </w:p>
    <w:p w14:paraId="52E7C510" w14:textId="032CD6D2" w:rsidR="00094867" w:rsidRDefault="00094867" w:rsidP="00260B90">
      <w:pPr>
        <w:pStyle w:val="Heading4"/>
        <w:keepNext/>
      </w:pPr>
      <w:r>
        <w:lastRenderedPageBreak/>
        <w:t>Cobram</w:t>
      </w:r>
    </w:p>
    <w:p w14:paraId="273A4352" w14:textId="669109AA" w:rsidR="00EC3ED2" w:rsidRDefault="00152B0A" w:rsidP="00670A76">
      <w:pPr>
        <w:rPr>
          <w:rFonts w:cs="Arial"/>
        </w:rPr>
      </w:pPr>
      <w:r>
        <w:rPr>
          <w:rFonts w:cs="Arial"/>
        </w:rPr>
        <w:t xml:space="preserve">Our </w:t>
      </w:r>
      <w:r w:rsidR="00EC3ED2">
        <w:rPr>
          <w:rFonts w:cs="Arial"/>
        </w:rPr>
        <w:t>assessment indicates a</w:t>
      </w:r>
      <w:r w:rsidR="00E45F3A">
        <w:rPr>
          <w:rFonts w:cs="Arial"/>
        </w:rPr>
        <w:t>n</w:t>
      </w:r>
      <w:r w:rsidR="00EC3ED2">
        <w:rPr>
          <w:rFonts w:cs="Arial"/>
        </w:rPr>
        <w:t xml:space="preserve"> </w:t>
      </w:r>
      <w:r w:rsidR="00E45F3A">
        <w:rPr>
          <w:rFonts w:cs="Arial"/>
        </w:rPr>
        <w:t>infill transmitter</w:t>
      </w:r>
      <w:r w:rsidR="00EC3ED2">
        <w:rPr>
          <w:rFonts w:cs="Arial"/>
        </w:rPr>
        <w:t xml:space="preserve"> operating in accordance with the technical specification proposed would not cause co-channel or adjacent channel interference to other broadcasting services.</w:t>
      </w:r>
    </w:p>
    <w:p w14:paraId="3211CC95" w14:textId="5B5F66CA" w:rsidR="00332694" w:rsidRDefault="00EC3ED2" w:rsidP="00670A76">
      <w:pPr>
        <w:rPr>
          <w:rFonts w:cs="Arial"/>
        </w:rPr>
      </w:pPr>
      <w:r w:rsidRPr="00914F8B">
        <w:rPr>
          <w:rFonts w:cs="Arial"/>
        </w:rPr>
        <w:t xml:space="preserve">The assessment </w:t>
      </w:r>
      <w:r w:rsidR="005260BB">
        <w:rPr>
          <w:rFonts w:cs="Arial"/>
        </w:rPr>
        <w:t>indicates</w:t>
      </w:r>
      <w:r w:rsidR="00C3367A">
        <w:rPr>
          <w:rFonts w:cs="Arial"/>
        </w:rPr>
        <w:t>,</w:t>
      </w:r>
      <w:r w:rsidRPr="00914F8B">
        <w:rPr>
          <w:rFonts w:cs="Arial"/>
        </w:rPr>
        <w:t xml:space="preserve"> </w:t>
      </w:r>
      <w:r w:rsidR="00E80571" w:rsidRPr="00914F8B">
        <w:rPr>
          <w:rFonts w:cs="Arial"/>
        </w:rPr>
        <w:t>however</w:t>
      </w:r>
      <w:r w:rsidR="005260BB">
        <w:rPr>
          <w:rFonts w:cs="Arial"/>
        </w:rPr>
        <w:t>,</w:t>
      </w:r>
      <w:r w:rsidRPr="00914F8B">
        <w:rPr>
          <w:rFonts w:cs="Arial"/>
        </w:rPr>
        <w:t xml:space="preserve"> that the </w:t>
      </w:r>
      <w:r w:rsidR="00E80571" w:rsidRPr="00914F8B">
        <w:rPr>
          <w:rFonts w:cs="Arial"/>
        </w:rPr>
        <w:t xml:space="preserve">Cobram </w:t>
      </w:r>
      <w:r w:rsidR="00E45F3A" w:rsidRPr="00914F8B">
        <w:rPr>
          <w:rFonts w:cs="Arial"/>
        </w:rPr>
        <w:t>infill transmitter</w:t>
      </w:r>
      <w:r w:rsidRPr="00914F8B">
        <w:rPr>
          <w:rFonts w:cs="Arial"/>
        </w:rPr>
        <w:t xml:space="preserve"> could potentially receive interference from other broadcasting services</w:t>
      </w:r>
      <w:r w:rsidR="00914F8B" w:rsidRPr="00593304">
        <w:rPr>
          <w:rFonts w:cs="Arial"/>
        </w:rPr>
        <w:t xml:space="preserve">. </w:t>
      </w:r>
      <w:r w:rsidR="00914F8B" w:rsidRPr="00914F8B">
        <w:rPr>
          <w:rFonts w:cs="Arial"/>
        </w:rPr>
        <w:t xml:space="preserve">This </w:t>
      </w:r>
      <w:r w:rsidR="00152B0A" w:rsidRPr="00914F8B">
        <w:rPr>
          <w:rFonts w:cs="Arial"/>
        </w:rPr>
        <w:t xml:space="preserve">potential </w:t>
      </w:r>
      <w:r w:rsidR="00914F8B" w:rsidRPr="00914F8B">
        <w:rPr>
          <w:rFonts w:cs="Arial"/>
        </w:rPr>
        <w:t xml:space="preserve">interference may occur even </w:t>
      </w:r>
      <w:r w:rsidRPr="00914F8B">
        <w:rPr>
          <w:rFonts w:cs="Arial"/>
        </w:rPr>
        <w:t xml:space="preserve">where the </w:t>
      </w:r>
      <w:r w:rsidR="00E45F3A" w:rsidRPr="00914F8B">
        <w:rPr>
          <w:rFonts w:cs="Arial"/>
        </w:rPr>
        <w:t>infill transmitter</w:t>
      </w:r>
      <w:r w:rsidRPr="00914F8B">
        <w:rPr>
          <w:rFonts w:cs="Arial"/>
        </w:rPr>
        <w:t>’s signal level exceeds 54 dBµV/m</w:t>
      </w:r>
      <w:r w:rsidR="00B57AC1" w:rsidRPr="00914F8B">
        <w:rPr>
          <w:rFonts w:cs="Arial"/>
        </w:rPr>
        <w:t xml:space="preserve"> within the Deniliquin RA1 licence area.</w:t>
      </w:r>
      <w:r w:rsidR="00B57AC1">
        <w:rPr>
          <w:rFonts w:cs="Arial"/>
        </w:rPr>
        <w:t xml:space="preserve"> The potentially affected </w:t>
      </w:r>
      <w:r w:rsidR="007002F6">
        <w:rPr>
          <w:rFonts w:cs="Arial"/>
        </w:rPr>
        <w:t xml:space="preserve">population </w:t>
      </w:r>
      <w:r w:rsidR="00B57AC1">
        <w:rPr>
          <w:rFonts w:cs="Arial"/>
        </w:rPr>
        <w:t>would be between 3.28</w:t>
      </w:r>
      <w:r w:rsidR="00152B0A">
        <w:rPr>
          <w:rFonts w:cs="Arial"/>
        </w:rPr>
        <w:t>%</w:t>
      </w:r>
      <w:r w:rsidR="00B57AC1">
        <w:rPr>
          <w:rStyle w:val="FootnoteReference"/>
          <w:rFonts w:cs="Arial"/>
        </w:rPr>
        <w:footnoteReference w:id="12"/>
      </w:r>
      <w:r w:rsidR="00B57AC1">
        <w:rPr>
          <w:rFonts w:cs="Arial"/>
        </w:rPr>
        <w:t xml:space="preserve"> and 5.43</w:t>
      </w:r>
      <w:r w:rsidR="00152B0A">
        <w:rPr>
          <w:rFonts w:cs="Arial"/>
        </w:rPr>
        <w:t>%</w:t>
      </w:r>
      <w:r w:rsidR="00B57AC1">
        <w:rPr>
          <w:rStyle w:val="FootnoteReference"/>
          <w:rFonts w:cs="Arial"/>
        </w:rPr>
        <w:footnoteReference w:id="13"/>
      </w:r>
      <w:r>
        <w:rPr>
          <w:rFonts w:cs="Arial"/>
        </w:rPr>
        <w:t xml:space="preserve"> </w:t>
      </w:r>
      <w:r w:rsidR="00AC1A93">
        <w:rPr>
          <w:rFonts w:cs="Arial"/>
        </w:rPr>
        <w:t>of the Deniliquin RA1 licence area.</w:t>
      </w:r>
      <w:r w:rsidR="006C311A">
        <w:rPr>
          <w:rFonts w:cs="Arial"/>
        </w:rPr>
        <w:t xml:space="preserve"> </w:t>
      </w:r>
      <w:r w:rsidR="00152B0A">
        <w:rPr>
          <w:rFonts w:cs="Arial"/>
        </w:rPr>
        <w:t>If</w:t>
      </w:r>
      <w:r w:rsidR="006C311A">
        <w:rPr>
          <w:rFonts w:cs="Arial"/>
        </w:rPr>
        <w:t xml:space="preserve"> the </w:t>
      </w:r>
      <w:r w:rsidR="00E45F3A">
        <w:rPr>
          <w:rFonts w:cs="Arial"/>
        </w:rPr>
        <w:t>infill transmitter</w:t>
      </w:r>
      <w:r w:rsidR="006C311A">
        <w:rPr>
          <w:rFonts w:cs="Arial"/>
        </w:rPr>
        <w:t>’s signal level exceeded 66</w:t>
      </w:r>
      <w:r w:rsidR="006C311A" w:rsidRPr="000E0D20">
        <w:rPr>
          <w:rFonts w:cs="Arial"/>
        </w:rPr>
        <w:t xml:space="preserve"> dBµV/m</w:t>
      </w:r>
      <w:r w:rsidR="006C311A">
        <w:rPr>
          <w:rFonts w:cs="Arial"/>
        </w:rPr>
        <w:t xml:space="preserve"> within </w:t>
      </w:r>
      <w:r w:rsidR="00C3367A">
        <w:rPr>
          <w:rFonts w:cs="Arial"/>
        </w:rPr>
        <w:t xml:space="preserve">the </w:t>
      </w:r>
      <w:r w:rsidR="006C311A">
        <w:rPr>
          <w:rFonts w:cs="Arial"/>
        </w:rPr>
        <w:t>Deniliquin RA1</w:t>
      </w:r>
      <w:r w:rsidR="00C3367A">
        <w:rPr>
          <w:rFonts w:cs="Arial"/>
        </w:rPr>
        <w:t xml:space="preserve"> licence area</w:t>
      </w:r>
      <w:r w:rsidR="006C311A">
        <w:rPr>
          <w:rFonts w:cs="Arial"/>
        </w:rPr>
        <w:t xml:space="preserve">, the </w:t>
      </w:r>
      <w:r w:rsidR="00152B0A">
        <w:rPr>
          <w:rFonts w:cs="Arial"/>
        </w:rPr>
        <w:t xml:space="preserve">approximate </w:t>
      </w:r>
      <w:r w:rsidR="006C311A">
        <w:rPr>
          <w:rFonts w:cs="Arial"/>
        </w:rPr>
        <w:t xml:space="preserve">number of </w:t>
      </w:r>
      <w:r w:rsidR="00682222">
        <w:rPr>
          <w:rFonts w:cs="Arial"/>
        </w:rPr>
        <w:t xml:space="preserve">potentially </w:t>
      </w:r>
      <w:r w:rsidR="007002F6">
        <w:rPr>
          <w:rFonts w:cs="Arial"/>
        </w:rPr>
        <w:t>affected people</w:t>
      </w:r>
      <w:r w:rsidR="00F24301">
        <w:rPr>
          <w:rFonts w:cs="Arial"/>
        </w:rPr>
        <w:t xml:space="preserve"> is</w:t>
      </w:r>
      <w:r w:rsidR="007002F6">
        <w:rPr>
          <w:rFonts w:cs="Arial"/>
        </w:rPr>
        <w:t xml:space="preserve"> </w:t>
      </w:r>
      <w:r w:rsidR="00682222">
        <w:rPr>
          <w:rFonts w:cs="Arial"/>
        </w:rPr>
        <w:t>less than 0.1</w:t>
      </w:r>
      <w:r w:rsidR="00152B0A">
        <w:rPr>
          <w:rFonts w:cs="Arial"/>
        </w:rPr>
        <w:t>%</w:t>
      </w:r>
      <w:r w:rsidR="00682222" w:rsidRPr="00682222">
        <w:t xml:space="preserve"> </w:t>
      </w:r>
      <w:r w:rsidR="00682222" w:rsidRPr="00682222">
        <w:rPr>
          <w:rFonts w:cs="Arial"/>
        </w:rPr>
        <w:t>of the licence area</w:t>
      </w:r>
      <w:r w:rsidR="00C3367A">
        <w:rPr>
          <w:rFonts w:cs="Arial"/>
        </w:rPr>
        <w:t xml:space="preserve"> population</w:t>
      </w:r>
      <w:r w:rsidR="006C311A">
        <w:rPr>
          <w:rFonts w:cs="Arial"/>
        </w:rPr>
        <w:t>.</w:t>
      </w:r>
      <w:r w:rsidR="006C311A">
        <w:rPr>
          <w:rStyle w:val="FootnoteReference"/>
          <w:rFonts w:cs="Arial"/>
        </w:rPr>
        <w:footnoteReference w:id="14"/>
      </w:r>
      <w:r w:rsidR="006C311A">
        <w:rPr>
          <w:rFonts w:cs="Arial"/>
        </w:rPr>
        <w:t xml:space="preserve"> </w:t>
      </w:r>
    </w:p>
    <w:p w14:paraId="35325D6A" w14:textId="77777777" w:rsidR="004B5137" w:rsidRDefault="004B5137" w:rsidP="004B5137">
      <w:pPr>
        <w:pStyle w:val="Heading3"/>
      </w:pPr>
      <w:r>
        <w:t>Conclusion</w:t>
      </w:r>
    </w:p>
    <w:p w14:paraId="68368A24" w14:textId="7EF7E4C8" w:rsidR="004B5137" w:rsidRPr="00E841E5" w:rsidRDefault="004B5137" w:rsidP="004B5137">
      <w:r>
        <w:rPr>
          <w:rFonts w:cs="Arial"/>
        </w:rPr>
        <w:t xml:space="preserve">Taking into consideration </w:t>
      </w:r>
      <w:r w:rsidR="00152B0A">
        <w:rPr>
          <w:rFonts w:cs="Arial"/>
        </w:rPr>
        <w:t xml:space="preserve">our </w:t>
      </w:r>
      <w:r>
        <w:rPr>
          <w:rFonts w:cs="Arial"/>
        </w:rPr>
        <w:t xml:space="preserve">published approach to infill transmitters and the outcome of the engineering assessment, </w:t>
      </w:r>
      <w:r w:rsidR="00152B0A">
        <w:rPr>
          <w:rFonts w:cs="Arial"/>
        </w:rPr>
        <w:t>we</w:t>
      </w:r>
      <w:r>
        <w:rPr>
          <w:rFonts w:cs="Arial"/>
        </w:rPr>
        <w:t xml:space="preserve"> </w:t>
      </w:r>
      <w:r w:rsidR="008D4C59">
        <w:rPr>
          <w:rFonts w:cs="Arial"/>
        </w:rPr>
        <w:t>propose</w:t>
      </w:r>
      <w:r>
        <w:rPr>
          <w:rFonts w:cs="Arial"/>
        </w:rPr>
        <w:t xml:space="preserve"> to make spectrum available for </w:t>
      </w:r>
      <w:r w:rsidR="00E45F3A">
        <w:rPr>
          <w:rFonts w:cs="Arial"/>
        </w:rPr>
        <w:t>infill transmitter</w:t>
      </w:r>
      <w:r>
        <w:rPr>
          <w:rFonts w:cs="Arial"/>
        </w:rPr>
        <w:t xml:space="preserve">s </w:t>
      </w:r>
      <w:r w:rsidR="00581938">
        <w:rPr>
          <w:rFonts w:cs="Arial"/>
        </w:rPr>
        <w:t xml:space="preserve">for the 2QN service </w:t>
      </w:r>
      <w:r>
        <w:rPr>
          <w:rFonts w:cs="Arial"/>
        </w:rPr>
        <w:t>at Echuca/Moama and Cobram.</w:t>
      </w:r>
    </w:p>
    <w:p w14:paraId="12B174CA" w14:textId="77777777" w:rsidR="00670A76" w:rsidRDefault="00670A76" w:rsidP="00670A76">
      <w:pPr>
        <w:pStyle w:val="Heading3"/>
      </w:pPr>
      <w:bookmarkStart w:id="26" w:name="_Toc14692765"/>
      <w:r w:rsidRPr="00F632AD">
        <w:t>Advisory note</w:t>
      </w:r>
      <w:r>
        <w:t>s</w:t>
      </w:r>
      <w:bookmarkEnd w:id="26"/>
    </w:p>
    <w:p w14:paraId="704E312F" w14:textId="288D3A16" w:rsidR="00832365" w:rsidRPr="00E41858" w:rsidRDefault="00832365" w:rsidP="00832365">
      <w:r w:rsidRPr="00E41858">
        <w:t xml:space="preserve">Because of the potential for the Echuca/Moama and Cobram </w:t>
      </w:r>
      <w:r w:rsidR="00E45F3A" w:rsidRPr="00E41858">
        <w:t>infill transmitter</w:t>
      </w:r>
      <w:r w:rsidRPr="00E41858">
        <w:t>s to receive interference to field strengths below the suburban grade level</w:t>
      </w:r>
      <w:r w:rsidR="006E7EF8">
        <w:t xml:space="preserve"> </w:t>
      </w:r>
      <w:r w:rsidRPr="00E41858">
        <w:t>(</w:t>
      </w:r>
      <w:r w:rsidRPr="00E41858">
        <w:rPr>
          <w:rFonts w:cs="Arial"/>
        </w:rPr>
        <w:t>&gt;66</w:t>
      </w:r>
      <w:r w:rsidR="006E7EF8">
        <w:rPr>
          <w:rFonts w:cs="Arial"/>
        </w:rPr>
        <w:t> </w:t>
      </w:r>
      <w:r w:rsidRPr="00E41858">
        <w:rPr>
          <w:rFonts w:cs="Arial"/>
        </w:rPr>
        <w:t xml:space="preserve">dBµV/m), </w:t>
      </w:r>
      <w:r w:rsidR="00152B0A">
        <w:rPr>
          <w:rFonts w:cs="Arial"/>
        </w:rPr>
        <w:t xml:space="preserve">we </w:t>
      </w:r>
      <w:r w:rsidRPr="00E41858">
        <w:rPr>
          <w:rFonts w:cs="Arial"/>
        </w:rPr>
        <w:t xml:space="preserve">propose to include the same </w:t>
      </w:r>
      <w:r w:rsidR="00152B0A">
        <w:rPr>
          <w:rFonts w:cs="Arial"/>
        </w:rPr>
        <w:t>2</w:t>
      </w:r>
      <w:r w:rsidR="00152B0A" w:rsidRPr="00E41858">
        <w:rPr>
          <w:rFonts w:cs="Arial"/>
        </w:rPr>
        <w:t xml:space="preserve"> </w:t>
      </w:r>
      <w:r w:rsidRPr="00E41858">
        <w:rPr>
          <w:rFonts w:cs="Arial"/>
        </w:rPr>
        <w:t xml:space="preserve">advisory notes on each </w:t>
      </w:r>
      <w:r w:rsidR="00E45F3A" w:rsidRPr="00E41858">
        <w:rPr>
          <w:rFonts w:cs="Arial"/>
        </w:rPr>
        <w:t>infill transmitter</w:t>
      </w:r>
      <w:r w:rsidRPr="00E41858">
        <w:rPr>
          <w:rFonts w:cs="Arial"/>
        </w:rPr>
        <w:t>’s technical specification</w:t>
      </w:r>
      <w:r w:rsidR="00D72EA9" w:rsidRPr="00E41858">
        <w:rPr>
          <w:rFonts w:cs="Arial"/>
        </w:rPr>
        <w:t xml:space="preserve"> (</w:t>
      </w:r>
      <w:hyperlink w:anchor="AppendixC" w:history="1">
        <w:r w:rsidR="00D72EA9" w:rsidRPr="00D02BD3">
          <w:rPr>
            <w:rStyle w:val="Hyperlink"/>
            <w:rFonts w:cs="Arial"/>
          </w:rPr>
          <w:t>Appendix C</w:t>
        </w:r>
      </w:hyperlink>
      <w:r w:rsidR="00914DC0" w:rsidRPr="006E7EF8">
        <w:rPr>
          <w:rStyle w:val="Hyperlink"/>
          <w:rFonts w:cs="Arial"/>
          <w:color w:val="auto"/>
          <w:u w:val="none"/>
        </w:rPr>
        <w:t xml:space="preserve"> and</w:t>
      </w:r>
      <w:r w:rsidR="00D72EA9" w:rsidRPr="006E7EF8">
        <w:rPr>
          <w:rStyle w:val="Hyperlink"/>
          <w:rFonts w:cs="Arial"/>
          <w:color w:val="auto"/>
          <w:u w:val="none"/>
        </w:rPr>
        <w:t xml:space="preserve"> </w:t>
      </w:r>
      <w:hyperlink w:anchor="AppendixD" w:history="1">
        <w:r w:rsidR="00D72EA9" w:rsidRPr="00D02BD3">
          <w:rPr>
            <w:rStyle w:val="Hyperlink"/>
            <w:rFonts w:cs="Arial"/>
          </w:rPr>
          <w:t>Appendix D</w:t>
        </w:r>
      </w:hyperlink>
      <w:r w:rsidR="00914DC0" w:rsidRPr="006E7EF8">
        <w:rPr>
          <w:rStyle w:val="Hyperlink"/>
          <w:rFonts w:cs="Arial"/>
          <w:color w:val="auto"/>
          <w:u w:val="none"/>
        </w:rPr>
        <w:t>, respectively</w:t>
      </w:r>
      <w:r w:rsidR="00D72EA9" w:rsidRPr="006E7EF8">
        <w:rPr>
          <w:rStyle w:val="Hyperlink"/>
          <w:rFonts w:cs="Arial"/>
          <w:color w:val="auto"/>
          <w:u w:val="none"/>
        </w:rPr>
        <w:t>)</w:t>
      </w:r>
      <w:r w:rsidRPr="006E7EF8">
        <w:rPr>
          <w:rFonts w:cs="Arial"/>
        </w:rPr>
        <w:t>.</w:t>
      </w:r>
      <w:r w:rsidRPr="00E41858">
        <w:rPr>
          <w:rFonts w:cs="Arial"/>
        </w:rPr>
        <w:t xml:space="preserve"> The advisory notes are about the planning of each transmitter and the level of protection provided</w:t>
      </w:r>
      <w:r w:rsidR="00D72EA9" w:rsidRPr="00E41858">
        <w:rPr>
          <w:rFonts w:cs="Arial"/>
        </w:rPr>
        <w:t>.</w:t>
      </w:r>
    </w:p>
    <w:p w14:paraId="0BCE9672" w14:textId="44DB0267" w:rsidR="00DB3327" w:rsidRDefault="00475549" w:rsidP="00C87E8A">
      <w:pPr>
        <w:pStyle w:val="Paragraph"/>
      </w:pPr>
      <w:r>
        <w:t xml:space="preserve">The draft </w:t>
      </w:r>
      <w:r w:rsidR="00654F80" w:rsidRPr="00260B90">
        <w:t>Variation to Licence Area Plan – Deniliquin Radio</w:t>
      </w:r>
      <w:r w:rsidR="003A38F2" w:rsidRPr="00260B90">
        <w:t xml:space="preserve"> – </w:t>
      </w:r>
      <w:r w:rsidR="00654F80" w:rsidRPr="00260B90">
        <w:t>2022 (No. 1)</w:t>
      </w:r>
      <w:r>
        <w:t xml:space="preserve"> is available alongside this paper on the </w:t>
      </w:r>
      <w:hyperlink r:id="rId34" w:history="1">
        <w:r>
          <w:rPr>
            <w:rStyle w:val="Hyperlink"/>
          </w:rPr>
          <w:t>ACMA website</w:t>
        </w:r>
      </w:hyperlink>
      <w:r>
        <w:t>.</w:t>
      </w:r>
    </w:p>
    <w:p w14:paraId="5249FD78" w14:textId="34D92288" w:rsidR="007B59BE" w:rsidRDefault="00561285" w:rsidP="007B59BE">
      <w:pPr>
        <w:pStyle w:val="Heading1"/>
      </w:pPr>
      <w:bookmarkStart w:id="27" w:name="_Toc531857082"/>
      <w:bookmarkStart w:id="28" w:name="_Toc14692766"/>
      <w:bookmarkStart w:id="29" w:name="_Toc98412023"/>
      <w:r>
        <w:lastRenderedPageBreak/>
        <w:t>M</w:t>
      </w:r>
      <w:r w:rsidR="007B59BE">
        <w:t>inor amendments</w:t>
      </w:r>
      <w:bookmarkEnd w:id="27"/>
      <w:bookmarkEnd w:id="28"/>
      <w:r>
        <w:t xml:space="preserve"> to the Deniliquin LAP</w:t>
      </w:r>
      <w:bookmarkEnd w:id="29"/>
    </w:p>
    <w:p w14:paraId="099E452E" w14:textId="74A4A428" w:rsidR="007B59BE" w:rsidRPr="003835D5" w:rsidRDefault="00561285" w:rsidP="00260B90">
      <w:pPr>
        <w:pStyle w:val="Paragraphbeforelist"/>
      </w:pPr>
      <w:r>
        <w:t>In addition to the more substantial changes outlined, w</w:t>
      </w:r>
      <w:r w:rsidR="00152B0A">
        <w:t>e</w:t>
      </w:r>
      <w:r w:rsidR="007B59BE">
        <w:t xml:space="preserve"> </w:t>
      </w:r>
      <w:r>
        <w:t xml:space="preserve">also </w:t>
      </w:r>
      <w:r w:rsidR="007B59BE">
        <w:t xml:space="preserve">propose </w:t>
      </w:r>
      <w:r>
        <w:t xml:space="preserve">to </w:t>
      </w:r>
      <w:r w:rsidR="007B59BE">
        <w:t>mak</w:t>
      </w:r>
      <w:r>
        <w:t>e</w:t>
      </w:r>
      <w:r w:rsidR="007B59BE">
        <w:t xml:space="preserve"> minor amendments to the text, schedules and attachments of the Deniliquin LAP to:</w:t>
      </w:r>
    </w:p>
    <w:p w14:paraId="17D09D80" w14:textId="71048C23" w:rsidR="007B59BE" w:rsidRDefault="007B59BE" w:rsidP="00260B90">
      <w:pPr>
        <w:pStyle w:val="Bulletlevel1"/>
      </w:pPr>
      <w:r>
        <w:t>update various transmitter site nominal locations and chang</w:t>
      </w:r>
      <w:r w:rsidR="00007A79">
        <w:t xml:space="preserve">e </w:t>
      </w:r>
      <w:r>
        <w:t xml:space="preserve">all Australian Map Grid </w:t>
      </w:r>
      <w:r w:rsidR="00007A79">
        <w:t xml:space="preserve">references to </w:t>
      </w:r>
      <w:r>
        <w:t>Geocentric Datum of Australia (GDA94)</w:t>
      </w:r>
      <w:r w:rsidR="00007A79">
        <w:t xml:space="preserve"> co-ordinates</w:t>
      </w:r>
    </w:p>
    <w:p w14:paraId="3936FC49" w14:textId="77777777" w:rsidR="007B59BE" w:rsidRDefault="007B59BE" w:rsidP="00260B90">
      <w:pPr>
        <w:pStyle w:val="Bulletlevel1"/>
      </w:pPr>
      <w:r>
        <w:t>insert the word ‘and’ between the service licence numbers in Attachment 1.1</w:t>
      </w:r>
    </w:p>
    <w:p w14:paraId="0D794C9F" w14:textId="77777777" w:rsidR="007B59BE" w:rsidRDefault="007B59BE" w:rsidP="00260B90">
      <w:pPr>
        <w:pStyle w:val="Bulletlevel1"/>
      </w:pPr>
      <w:r>
        <w:t>change the advisory note about maximum cymomotive force in Attachment 1.4 to a special condition as the text is prescriptive rather than advisory in nature</w:t>
      </w:r>
    </w:p>
    <w:p w14:paraId="017D29E9" w14:textId="6E0F0122" w:rsidR="007B59BE" w:rsidRDefault="007B59BE" w:rsidP="00260B90">
      <w:pPr>
        <w:pStyle w:val="Bulletlevel1"/>
      </w:pPr>
      <w:r>
        <w:t xml:space="preserve">change the </w:t>
      </w:r>
      <w:r w:rsidR="00152B0A">
        <w:t xml:space="preserve">2 </w:t>
      </w:r>
      <w:r>
        <w:t xml:space="preserve">special conditions in </w:t>
      </w:r>
      <w:r w:rsidR="00152B0A">
        <w:t>a</w:t>
      </w:r>
      <w:r>
        <w:t>ttachments 1.</w:t>
      </w:r>
      <w:r w:rsidR="009E0FAE">
        <w:t>11</w:t>
      </w:r>
      <w:r>
        <w:t>, 1.</w:t>
      </w:r>
      <w:r w:rsidR="00AD7841">
        <w:t>13</w:t>
      </w:r>
      <w:r w:rsidR="00487EAE">
        <w:t>,</w:t>
      </w:r>
      <w:r>
        <w:t xml:space="preserve"> 1.1</w:t>
      </w:r>
      <w:r w:rsidR="00405D6C">
        <w:t>5</w:t>
      </w:r>
      <w:r>
        <w:t>, 1.1</w:t>
      </w:r>
      <w:r w:rsidR="00405D6C">
        <w:t>6</w:t>
      </w:r>
      <w:r>
        <w:t xml:space="preserve"> and 1.1</w:t>
      </w:r>
      <w:r w:rsidR="00405D6C">
        <w:t>7</w:t>
      </w:r>
      <w:r>
        <w:t xml:space="preserve"> to advisory notes as the text is advisory rather than prescriptive, and </w:t>
      </w:r>
      <w:r w:rsidR="00152B0A">
        <w:t xml:space="preserve">make </w:t>
      </w:r>
      <w:r>
        <w:t>minor changes to the first note in each attachment to refer to GDA94 co</w:t>
      </w:r>
      <w:r w:rsidR="00007A79">
        <w:t>-</w:t>
      </w:r>
      <w:r>
        <w:t>ordinates</w:t>
      </w:r>
    </w:p>
    <w:p w14:paraId="39BD8153" w14:textId="50AB5B41" w:rsidR="007B59BE" w:rsidRDefault="007B59BE" w:rsidP="00260B90">
      <w:pPr>
        <w:pStyle w:val="Bulletlevel1"/>
      </w:pPr>
      <w:r>
        <w:t>amend Attachment 1.</w:t>
      </w:r>
      <w:r w:rsidR="008D7882">
        <w:t>12</w:t>
      </w:r>
      <w:r>
        <w:t xml:space="preserve"> to change the special condition to an advisory note</w:t>
      </w:r>
      <w:r w:rsidR="00EC447A" w:rsidRPr="00EC447A">
        <w:t xml:space="preserve"> </w:t>
      </w:r>
      <w:r w:rsidR="00EC447A">
        <w:t>as the text is advisory rather than prescriptive,</w:t>
      </w:r>
      <w:r>
        <w:t xml:space="preserve"> and update the note to include GDA94 co</w:t>
      </w:r>
      <w:r w:rsidR="00007A79">
        <w:t>-</w:t>
      </w:r>
      <w:r>
        <w:t>ordinates</w:t>
      </w:r>
    </w:p>
    <w:p w14:paraId="3617110A" w14:textId="58D8A7A6" w:rsidR="007B59BE" w:rsidRDefault="007B59BE" w:rsidP="00260B90">
      <w:pPr>
        <w:pStyle w:val="Bulletlevel1"/>
      </w:pPr>
      <w:r>
        <w:t xml:space="preserve">amend </w:t>
      </w:r>
      <w:r w:rsidR="00EC447A">
        <w:t>a</w:t>
      </w:r>
      <w:r>
        <w:t>ttachments 1.1</w:t>
      </w:r>
      <w:r w:rsidR="00AA48EE">
        <w:t>7</w:t>
      </w:r>
      <w:r>
        <w:t xml:space="preserve"> and 2.2 to change the special condition to an advisory note and add a second advisory note about minimum field strength</w:t>
      </w:r>
    </w:p>
    <w:p w14:paraId="2DF5814E" w14:textId="67ECB171" w:rsidR="007B59BE" w:rsidRDefault="007B59BE" w:rsidP="00260B90">
      <w:pPr>
        <w:pStyle w:val="Bulletlevel1"/>
      </w:pPr>
      <w:r>
        <w:t xml:space="preserve">make consequential amendments to </w:t>
      </w:r>
      <w:r w:rsidR="00CF4A99">
        <w:t>S</w:t>
      </w:r>
      <w:r>
        <w:t>chedule</w:t>
      </w:r>
      <w:r w:rsidR="00487EAE">
        <w:t xml:space="preserve"> 1</w:t>
      </w:r>
      <w:r w:rsidR="001F0C7D">
        <w:t xml:space="preserve"> </w:t>
      </w:r>
    </w:p>
    <w:p w14:paraId="3E6E4A8E" w14:textId="7E602E8A" w:rsidR="007B59BE" w:rsidRDefault="007B59BE" w:rsidP="00260B90">
      <w:pPr>
        <w:pStyle w:val="Bulletlevel1last"/>
      </w:pPr>
      <w:r>
        <w:t>make formatting and gramma</w:t>
      </w:r>
      <w:r w:rsidR="006A6EA5">
        <w:t>tical</w:t>
      </w:r>
      <w:r>
        <w:t xml:space="preserve"> changes to various attachments.</w:t>
      </w:r>
    </w:p>
    <w:p w14:paraId="02D30387" w14:textId="02C501A2" w:rsidR="00EF75CA" w:rsidRDefault="00EF75CA" w:rsidP="00EF75CA">
      <w:pPr>
        <w:pStyle w:val="Paragraph"/>
      </w:pPr>
      <w:r>
        <w:t xml:space="preserve">The draft </w:t>
      </w:r>
      <w:r w:rsidR="00654F80" w:rsidRPr="00260B90">
        <w:t>Variation to Licence Area Plan – Deniliquin Radio</w:t>
      </w:r>
      <w:r w:rsidR="002E02D1" w:rsidRPr="00260B90">
        <w:t xml:space="preserve"> –</w:t>
      </w:r>
      <w:r w:rsidR="00654F80" w:rsidRPr="00260B90">
        <w:t xml:space="preserve"> 2022 (No. 1</w:t>
      </w:r>
      <w:r w:rsidR="00654F80">
        <w:rPr>
          <w:i/>
          <w:iCs/>
        </w:rPr>
        <w:t xml:space="preserve">) </w:t>
      </w:r>
      <w:r>
        <w:t xml:space="preserve">is available alongside this paper on the </w:t>
      </w:r>
      <w:hyperlink r:id="rId35" w:history="1">
        <w:r>
          <w:rPr>
            <w:rStyle w:val="Hyperlink"/>
          </w:rPr>
          <w:t>ACMA website</w:t>
        </w:r>
      </w:hyperlink>
      <w:r>
        <w:t>.</w:t>
      </w:r>
    </w:p>
    <w:p w14:paraId="48E15C1E" w14:textId="77777777" w:rsidR="00EF75CA" w:rsidRDefault="00EF75CA" w:rsidP="00C87E8A">
      <w:pPr>
        <w:pStyle w:val="Paragraph"/>
      </w:pPr>
    </w:p>
    <w:p w14:paraId="784E2CEB" w14:textId="77777777" w:rsidR="006C1631" w:rsidRDefault="006C1631" w:rsidP="006C1631">
      <w:pPr>
        <w:pStyle w:val="Heading1"/>
      </w:pPr>
      <w:bookmarkStart w:id="30" w:name="_Toc98412024"/>
      <w:r>
        <w:lastRenderedPageBreak/>
        <w:t>Invitation to comment</w:t>
      </w:r>
      <w:bookmarkEnd w:id="30"/>
    </w:p>
    <w:p w14:paraId="6A1E35D2" w14:textId="77777777" w:rsidR="006C1631" w:rsidRDefault="006C1631" w:rsidP="006C1631">
      <w:pPr>
        <w:pStyle w:val="Heading2"/>
      </w:pPr>
      <w:bookmarkStart w:id="31" w:name="_Toc433122131"/>
      <w:bookmarkStart w:id="32" w:name="_Toc348105637"/>
      <w:bookmarkStart w:id="33" w:name="_Toc300909556"/>
      <w:bookmarkStart w:id="34" w:name="_Toc298924673"/>
      <w:bookmarkStart w:id="35" w:name="_Toc348105638"/>
      <w:bookmarkStart w:id="36" w:name="_Toc300909557"/>
      <w:bookmarkStart w:id="37" w:name="_Toc298924674"/>
      <w:bookmarkStart w:id="38" w:name="_Toc274296357"/>
      <w:bookmarkStart w:id="39" w:name="_Toc98412025"/>
      <w:r>
        <w:t>Making a submission</w:t>
      </w:r>
      <w:bookmarkEnd w:id="31"/>
      <w:bookmarkEnd w:id="32"/>
      <w:bookmarkEnd w:id="33"/>
      <w:bookmarkEnd w:id="34"/>
      <w:bookmarkEnd w:id="39"/>
    </w:p>
    <w:p w14:paraId="24039C45" w14:textId="2D51B4ED" w:rsidR="006C1631" w:rsidRDefault="006C1631" w:rsidP="006C1631">
      <w:r>
        <w:t xml:space="preserve">The ACMA invites comments on the issues set out in this </w:t>
      </w:r>
      <w:r w:rsidR="00E84843">
        <w:t>consultation</w:t>
      </w:r>
      <w:r>
        <w:t xml:space="preserve"> paper. </w:t>
      </w:r>
    </w:p>
    <w:p w14:paraId="398EDAE2" w14:textId="77777777" w:rsidR="0070133D" w:rsidRDefault="00904EA9" w:rsidP="0070133D">
      <w:pPr>
        <w:pStyle w:val="Bulletlevel1"/>
      </w:pPr>
      <w:hyperlink r:id="rId36" w:history="1">
        <w:r w:rsidR="0070133D">
          <w:rPr>
            <w:rStyle w:val="Hyperlink"/>
          </w:rPr>
          <w:t>Online submissions</w:t>
        </w:r>
      </w:hyperlink>
      <w:r w:rsidR="0070133D">
        <w:t xml:space="preserve"> can be made by </w:t>
      </w:r>
      <w:r w:rsidR="0070133D" w:rsidRPr="0070133D">
        <w:t>uploading</w:t>
      </w:r>
      <w:r w:rsidR="0070133D">
        <w:t xml:space="preserve"> a document. Submissions in</w:t>
      </w:r>
      <w:r w:rsidR="00396DC2">
        <w:t xml:space="preserve"> PDF, </w:t>
      </w:r>
      <w:r w:rsidR="0070133D">
        <w:t>Microsoft Word or Rich Text Format are preferred.</w:t>
      </w:r>
    </w:p>
    <w:p w14:paraId="386FE572" w14:textId="77777777" w:rsidR="006C1631" w:rsidRDefault="006C1631" w:rsidP="0070133D">
      <w:pPr>
        <w:pStyle w:val="Bulletlevel1"/>
      </w:pPr>
      <w:r>
        <w:t xml:space="preserve">Submissions by post can be sent to: </w:t>
      </w:r>
    </w:p>
    <w:p w14:paraId="37C21BFC" w14:textId="77777777" w:rsidR="006C1631" w:rsidRPr="00D160F1" w:rsidRDefault="006C1631" w:rsidP="006C1631">
      <w:pPr>
        <w:tabs>
          <w:tab w:val="num" w:pos="295"/>
        </w:tabs>
        <w:spacing w:after="0"/>
        <w:ind w:left="295"/>
        <w:rPr>
          <w:szCs w:val="20"/>
        </w:rPr>
      </w:pPr>
      <w:r w:rsidRPr="00D160F1">
        <w:rPr>
          <w:szCs w:val="20"/>
        </w:rPr>
        <w:t>The Manager</w:t>
      </w:r>
    </w:p>
    <w:p w14:paraId="2CB856A8" w14:textId="01AB4673" w:rsidR="006C1631" w:rsidRPr="00D160F1" w:rsidRDefault="00E027FB" w:rsidP="006C1631">
      <w:pPr>
        <w:spacing w:after="0"/>
        <w:ind w:left="295"/>
        <w:rPr>
          <w:szCs w:val="20"/>
        </w:rPr>
      </w:pPr>
      <w:r w:rsidRPr="00D160F1">
        <w:rPr>
          <w:szCs w:val="20"/>
        </w:rPr>
        <w:t>Broadcasting Carriage Policy Section</w:t>
      </w:r>
    </w:p>
    <w:p w14:paraId="36E14924" w14:textId="77777777" w:rsidR="006C1631" w:rsidRPr="00D160F1" w:rsidRDefault="006C1631" w:rsidP="006C1631">
      <w:pPr>
        <w:spacing w:after="0"/>
        <w:ind w:left="295"/>
        <w:rPr>
          <w:szCs w:val="20"/>
        </w:rPr>
      </w:pPr>
      <w:r w:rsidRPr="00D160F1">
        <w:rPr>
          <w:szCs w:val="20"/>
        </w:rPr>
        <w:t>Australian Communications and Media Authority</w:t>
      </w:r>
    </w:p>
    <w:p w14:paraId="7BBFC94F" w14:textId="77777777" w:rsidR="006C1631" w:rsidRPr="00D160F1" w:rsidRDefault="006C1631" w:rsidP="006C1631">
      <w:pPr>
        <w:spacing w:after="0"/>
        <w:ind w:left="295"/>
        <w:rPr>
          <w:szCs w:val="20"/>
        </w:rPr>
      </w:pPr>
      <w:r w:rsidRPr="00D160F1">
        <w:rPr>
          <w:szCs w:val="20"/>
        </w:rPr>
        <w:t>PO Box 78</w:t>
      </w:r>
    </w:p>
    <w:p w14:paraId="079AD6BC" w14:textId="77777777" w:rsidR="006C1631" w:rsidRDefault="006C1631" w:rsidP="006C1631">
      <w:pPr>
        <w:ind w:left="295"/>
        <w:rPr>
          <w:szCs w:val="20"/>
        </w:rPr>
      </w:pPr>
      <w:r w:rsidRPr="00D160F1">
        <w:rPr>
          <w:szCs w:val="20"/>
        </w:rPr>
        <w:t>Belconnen ACT 2616</w:t>
      </w:r>
    </w:p>
    <w:p w14:paraId="5A2CA7A9" w14:textId="7E0E6FB0" w:rsidR="006C1631" w:rsidRDefault="006C1631" w:rsidP="006C1631">
      <w:r>
        <w:t xml:space="preserve">The closing date for submissions is COB, </w:t>
      </w:r>
      <w:r w:rsidR="00561285" w:rsidRPr="00781B9E">
        <w:rPr>
          <w:b/>
          <w:bCs/>
        </w:rPr>
        <w:t>Friday</w:t>
      </w:r>
      <w:r w:rsidRPr="00781B9E">
        <w:rPr>
          <w:b/>
          <w:bCs/>
        </w:rPr>
        <w:t xml:space="preserve"> </w:t>
      </w:r>
      <w:r w:rsidR="00561285" w:rsidRPr="00781B9E">
        <w:rPr>
          <w:b/>
          <w:bCs/>
        </w:rPr>
        <w:t xml:space="preserve">22 April </w:t>
      </w:r>
      <w:r w:rsidRPr="00781B9E">
        <w:rPr>
          <w:b/>
          <w:bCs/>
        </w:rPr>
        <w:t>20</w:t>
      </w:r>
      <w:r w:rsidR="005445D9" w:rsidRPr="00781B9E">
        <w:rPr>
          <w:b/>
          <w:bCs/>
        </w:rPr>
        <w:t>2</w:t>
      </w:r>
      <w:r w:rsidR="00B50452" w:rsidRPr="00781B9E">
        <w:rPr>
          <w:b/>
          <w:bCs/>
        </w:rPr>
        <w:t>2</w:t>
      </w:r>
      <w:r>
        <w:t>.</w:t>
      </w:r>
    </w:p>
    <w:p w14:paraId="7E28F587" w14:textId="27981C63" w:rsidR="006C1631" w:rsidRDefault="006C1631" w:rsidP="006C1631">
      <w:pPr>
        <w:rPr>
          <w:szCs w:val="20"/>
        </w:rPr>
      </w:pPr>
      <w:r>
        <w:t xml:space="preserve">Consultation enquiries can be emailed </w:t>
      </w:r>
      <w:r>
        <w:rPr>
          <w:szCs w:val="20"/>
        </w:rPr>
        <w:t>to</w:t>
      </w:r>
      <w:r w:rsidR="00AB4BB9">
        <w:rPr>
          <w:szCs w:val="20"/>
        </w:rPr>
        <w:t xml:space="preserve"> </w:t>
      </w:r>
      <w:hyperlink r:id="rId37" w:history="1">
        <w:r w:rsidR="00EC5A28">
          <w:rPr>
            <w:rStyle w:val="Hyperlink"/>
            <w:szCs w:val="20"/>
          </w:rPr>
          <w:t>BCP@acma.gov.au</w:t>
        </w:r>
      </w:hyperlink>
      <w:hyperlink r:id="rId38" w:history="1"/>
      <w:r>
        <w:rPr>
          <w:szCs w:val="20"/>
        </w:rPr>
        <w:t>.</w:t>
      </w:r>
    </w:p>
    <w:p w14:paraId="046034E8" w14:textId="77777777" w:rsidR="006C1631" w:rsidRDefault="006C1631" w:rsidP="005B2F0D">
      <w:pPr>
        <w:pStyle w:val="Heading4"/>
      </w:pPr>
      <w:bookmarkStart w:id="40" w:name="_Toc348105639"/>
      <w:bookmarkStart w:id="41" w:name="_Toc300909558"/>
      <w:bookmarkEnd w:id="35"/>
      <w:bookmarkEnd w:id="36"/>
      <w:r>
        <w:t xml:space="preserve">Publication of </w:t>
      </w:r>
      <w:r w:rsidRPr="005B2F0D">
        <w:t>submissions</w:t>
      </w:r>
      <w:bookmarkEnd w:id="37"/>
      <w:bookmarkEnd w:id="38"/>
      <w:bookmarkEnd w:id="40"/>
      <w:bookmarkEnd w:id="41"/>
    </w:p>
    <w:p w14:paraId="79DA5B4E" w14:textId="77777777" w:rsidR="006C1631" w:rsidRDefault="006C1631" w:rsidP="006C1631">
      <w:bookmarkStart w:id="42" w:name="_Toc348105640"/>
      <w:bookmarkStart w:id="43" w:name="_Toc300909559"/>
      <w:bookmarkStart w:id="44" w:name="_Toc265246234"/>
      <w:r>
        <w:t>The ACMA publishes submissions on our website</w:t>
      </w:r>
      <w:r>
        <w:rPr>
          <w:rFonts w:cs="Arial"/>
        </w:rPr>
        <w:t>, including personal information (such as names and contact details)</w:t>
      </w:r>
      <w:r>
        <w:t xml:space="preserve">, except for information that you have claimed (and we have accepted) is confidential. </w:t>
      </w:r>
    </w:p>
    <w:p w14:paraId="48EDB3ED" w14:textId="77777777" w:rsidR="006C1631" w:rsidRDefault="006C1631" w:rsidP="006C1631">
      <w:r>
        <w:t>Confidential information will not be published or otherwise released unless required or authorised by law.</w:t>
      </w:r>
    </w:p>
    <w:p w14:paraId="621C56D9" w14:textId="77777777" w:rsidR="006C1631" w:rsidRDefault="006C1631" w:rsidP="005B2F0D">
      <w:pPr>
        <w:pStyle w:val="Heading4"/>
      </w:pPr>
      <w:r>
        <w:t>Privacy</w:t>
      </w:r>
    </w:p>
    <w:p w14:paraId="743CB52B" w14:textId="77777777" w:rsidR="006C1631" w:rsidRDefault="00E21056" w:rsidP="005B2F0D">
      <w:pPr>
        <w:pStyle w:val="Paragraph"/>
      </w:pPr>
      <w:r>
        <w:t>View</w:t>
      </w:r>
      <w:r w:rsidR="006C1631">
        <w:t xml:space="preserve"> information about </w:t>
      </w:r>
      <w:r>
        <w:t xml:space="preserve">our policy on the </w:t>
      </w:r>
      <w:hyperlink r:id="rId39" w:history="1">
        <w:r>
          <w:rPr>
            <w:rStyle w:val="Hyperlink"/>
          </w:rPr>
          <w:t>p</w:t>
        </w:r>
        <w:r w:rsidRPr="00E21056">
          <w:rPr>
            <w:rStyle w:val="Hyperlink"/>
          </w:rPr>
          <w:t>ublication of submissions</w:t>
        </w:r>
      </w:hyperlink>
      <w:r>
        <w:t xml:space="preserve">, including </w:t>
      </w:r>
      <w:r w:rsidR="006C1631">
        <w:t>collection of personal information during consultation and how we handle that information</w:t>
      </w:r>
      <w:r>
        <w:t>.</w:t>
      </w:r>
    </w:p>
    <w:bookmarkEnd w:id="42"/>
    <w:bookmarkEnd w:id="43"/>
    <w:bookmarkEnd w:id="44"/>
    <w:p w14:paraId="57FF39DE" w14:textId="77777777" w:rsidR="00A4193E" w:rsidRPr="0041233F" w:rsidRDefault="006C1631" w:rsidP="005B2F0D">
      <w:pPr>
        <w:pStyle w:val="Paragraph"/>
      </w:pPr>
      <w:r>
        <w:t xml:space="preserve">Information on the </w:t>
      </w:r>
      <w:r>
        <w:rPr>
          <w:i/>
        </w:rPr>
        <w:t>Privacy Act 1988</w:t>
      </w:r>
      <w:r w:rsidR="006A4CCA">
        <w:rPr>
          <w:i/>
        </w:rPr>
        <w:t xml:space="preserve">, </w:t>
      </w:r>
      <w:r>
        <w:t>how to access or correct personal information, how to make a privacy complaint and how we will deal with the complaint</w:t>
      </w:r>
      <w:r w:rsidR="00BB6335">
        <w:t>,</w:t>
      </w:r>
      <w:r w:rsidR="00CF0BFE">
        <w:t xml:space="preserve"> </w:t>
      </w:r>
      <w:r>
        <w:t xml:space="preserve">is available </w:t>
      </w:r>
      <w:r w:rsidR="00E21056">
        <w:t xml:space="preserve">in our </w:t>
      </w:r>
      <w:hyperlink r:id="rId40" w:history="1">
        <w:r w:rsidR="00E21056" w:rsidRPr="00E21056">
          <w:rPr>
            <w:rStyle w:val="Hyperlink"/>
          </w:rPr>
          <w:t>privacy policy</w:t>
        </w:r>
      </w:hyperlink>
      <w:r>
        <w:t>.</w:t>
      </w:r>
      <w:r w:rsidR="00A4193E">
        <w:t xml:space="preserve"> </w:t>
      </w:r>
    </w:p>
    <w:p w14:paraId="755BCE3D" w14:textId="77777777" w:rsidR="00240CE9" w:rsidRDefault="00FF3C69" w:rsidP="00FF3C69">
      <w:pPr>
        <w:pStyle w:val="Heading1"/>
      </w:pPr>
      <w:bookmarkStart w:id="45" w:name="AppendixA"/>
      <w:bookmarkStart w:id="46" w:name="_Appendix_A"/>
      <w:bookmarkStart w:id="47" w:name="_Toc348105641"/>
      <w:bookmarkStart w:id="48" w:name="_Toc98412026"/>
      <w:bookmarkEnd w:id="45"/>
      <w:bookmarkEnd w:id="46"/>
      <w:r w:rsidRPr="006D46E5">
        <w:t>Appendix A</w:t>
      </w:r>
      <w:bookmarkEnd w:id="47"/>
      <w:bookmarkEnd w:id="48"/>
    </w:p>
    <w:p w14:paraId="6BA06A7E" w14:textId="6A4254D0" w:rsidR="009C3325" w:rsidRDefault="009C3325" w:rsidP="009C3325">
      <w:pPr>
        <w:pStyle w:val="Heading2"/>
        <w:rPr>
          <w:b w:val="0"/>
          <w:bCs w:val="0"/>
        </w:rPr>
      </w:pPr>
      <w:bookmarkStart w:id="49" w:name="_Toc98412027"/>
      <w:r>
        <w:t>Ma</w:t>
      </w:r>
      <w:r w:rsidR="006310C1">
        <w:t>p of Deniliquin RA1 licence area</w:t>
      </w:r>
      <w:bookmarkEnd w:id="49"/>
    </w:p>
    <w:p w14:paraId="0DBC99F7" w14:textId="7DCEA057" w:rsidR="00CC1D40" w:rsidRDefault="009406A3" w:rsidP="00CC1D40">
      <w:pPr>
        <w:pStyle w:val="Paragraph"/>
      </w:pPr>
      <w:r>
        <w:rPr>
          <w:noProof/>
        </w:rPr>
        <w:drawing>
          <wp:inline distT="0" distB="0" distL="0" distR="0" wp14:anchorId="025BE49B" wp14:editId="0B758CB2">
            <wp:extent cx="4871085" cy="7102475"/>
            <wp:effectExtent l="0" t="0" r="5715" b="3175"/>
            <wp:docPr id="3" name="Picture 3" descr="Shows Deniliquin licence area on a map. If you need help accessing or reading this diagram, please contact the ACMA's Customer Service Centre by phone on 1300 850 115 or by email at info@acm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ows Deniliquin licence area on a map. If you need help accessing or reading this diagram, please contact the ACMA's Customer Service Centre by phone on 1300 850 115 or by email at info@acma.gov.au"/>
                    <pic:cNvPicPr/>
                  </pic:nvPicPr>
                  <pic:blipFill>
                    <a:blip r:embed="rId41"/>
                    <a:stretch>
                      <a:fillRect/>
                    </a:stretch>
                  </pic:blipFill>
                  <pic:spPr>
                    <a:xfrm>
                      <a:off x="0" y="0"/>
                      <a:ext cx="4871085" cy="7102475"/>
                    </a:xfrm>
                    <a:prstGeom prst="rect">
                      <a:avLst/>
                    </a:prstGeom>
                  </pic:spPr>
                </pic:pic>
              </a:graphicData>
            </a:graphic>
          </wp:inline>
        </w:drawing>
      </w:r>
    </w:p>
    <w:p w14:paraId="7AEA2C21" w14:textId="19D42E95" w:rsidR="00A95120" w:rsidRDefault="00A95120" w:rsidP="00CC1D40">
      <w:pPr>
        <w:pStyle w:val="Paragraph"/>
      </w:pPr>
    </w:p>
    <w:p w14:paraId="7C0BD86D" w14:textId="6D7AC6AE" w:rsidR="00A95120" w:rsidRDefault="00A95120" w:rsidP="00CC1D40">
      <w:pPr>
        <w:pStyle w:val="Paragraph"/>
      </w:pPr>
    </w:p>
    <w:p w14:paraId="0D304D59" w14:textId="6EA363B4" w:rsidR="00421F8D" w:rsidRDefault="00421F8D" w:rsidP="00421F8D">
      <w:pPr>
        <w:pStyle w:val="Heading1"/>
      </w:pPr>
      <w:bookmarkStart w:id="50" w:name="_Appendix_B"/>
      <w:bookmarkStart w:id="51" w:name="AppendixB"/>
      <w:bookmarkStart w:id="52" w:name="_Toc98412028"/>
      <w:bookmarkEnd w:id="50"/>
      <w:bookmarkEnd w:id="51"/>
      <w:r w:rsidRPr="006D46E5">
        <w:t xml:space="preserve">Appendix </w:t>
      </w:r>
      <w:r w:rsidR="001F5100">
        <w:t>B</w:t>
      </w:r>
      <w:bookmarkEnd w:id="52"/>
    </w:p>
    <w:p w14:paraId="1114189D" w14:textId="69C1B98F" w:rsidR="00421F8D" w:rsidRDefault="00C22160" w:rsidP="00421F8D">
      <w:pPr>
        <w:pStyle w:val="Heading2"/>
      </w:pPr>
      <w:bookmarkStart w:id="53" w:name="_Toc98412029"/>
      <w:r>
        <w:t>Pro</w:t>
      </w:r>
      <w:r w:rsidR="00421F8D">
        <w:t>p</w:t>
      </w:r>
      <w:r>
        <w:t xml:space="preserve">osed specification for 2MOR </w:t>
      </w:r>
      <w:r w:rsidR="00E45F3A">
        <w:t>infill transmitter</w:t>
      </w:r>
      <w:r w:rsidR="00B90096">
        <w:t xml:space="preserve"> </w:t>
      </w:r>
      <w:r>
        <w:t>to serve Echuca/Moama</w:t>
      </w:r>
      <w:bookmarkEnd w:id="53"/>
    </w:p>
    <w:p w14:paraId="7B7600AD" w14:textId="77777777" w:rsidR="00B8272B" w:rsidRPr="002E6D88" w:rsidRDefault="00B8272B" w:rsidP="00B8272B">
      <w:pPr>
        <w:pStyle w:val="ABAHeading3"/>
        <w:rPr>
          <w:rFonts w:ascii="Times New Roman" w:hAnsi="Times New Roman"/>
          <w:sz w:val="20"/>
        </w:rPr>
      </w:pPr>
      <w:bookmarkStart w:id="54" w:name="_Toc14692774"/>
      <w:r w:rsidRPr="002E6D88">
        <w:rPr>
          <w:rFonts w:ascii="Times New Roman" w:hAnsi="Times New Roman"/>
          <w:sz w:val="20"/>
        </w:rPr>
        <w:t>LICENCE AREA PLAN :</w:t>
      </w:r>
      <w:r w:rsidRPr="002E6D88">
        <w:rPr>
          <w:rFonts w:ascii="Times New Roman" w:hAnsi="Times New Roman"/>
          <w:sz w:val="20"/>
        </w:rPr>
        <w:tab/>
        <w:t xml:space="preserve">Deniliquin Radio  </w:t>
      </w:r>
    </w:p>
    <w:p w14:paraId="7904F0CB" w14:textId="77777777" w:rsidR="00B8272B" w:rsidRPr="002E6D88" w:rsidRDefault="00B8272B" w:rsidP="00B8272B">
      <w:pPr>
        <w:pStyle w:val="ABABodyText"/>
        <w:tabs>
          <w:tab w:val="left" w:pos="3969"/>
          <w:tab w:val="left" w:pos="4820"/>
          <w:tab w:val="left" w:pos="5812"/>
        </w:tabs>
        <w:rPr>
          <w:sz w:val="20"/>
        </w:rPr>
      </w:pPr>
      <w:r w:rsidRPr="002E6D88">
        <w:rPr>
          <w:sz w:val="20"/>
        </w:rPr>
        <w:t>Category :</w:t>
      </w:r>
      <w:r w:rsidRPr="002E6D88">
        <w:rPr>
          <w:sz w:val="20"/>
        </w:rPr>
        <w:tab/>
        <w:t>Commercial</w:t>
      </w:r>
    </w:p>
    <w:p w14:paraId="4D969701" w14:textId="77777777" w:rsidR="00B8272B" w:rsidRPr="002E6D88" w:rsidRDefault="00B8272B" w:rsidP="00B8272B">
      <w:pPr>
        <w:pStyle w:val="ABABodyText"/>
        <w:tabs>
          <w:tab w:val="left" w:pos="3969"/>
          <w:tab w:val="left" w:pos="4820"/>
          <w:tab w:val="left" w:pos="5812"/>
        </w:tabs>
        <w:rPr>
          <w:sz w:val="20"/>
        </w:rPr>
      </w:pPr>
      <w:r w:rsidRPr="002E6D88">
        <w:rPr>
          <w:sz w:val="20"/>
        </w:rPr>
        <w:t>General Area Served :</w:t>
      </w:r>
      <w:r w:rsidRPr="002E6D88">
        <w:rPr>
          <w:sz w:val="20"/>
        </w:rPr>
        <w:tab/>
        <w:t>Echuca/Moama (VIC)</w:t>
      </w:r>
    </w:p>
    <w:p w14:paraId="252BD390" w14:textId="77777777" w:rsidR="00B8272B" w:rsidRPr="002E6D88" w:rsidRDefault="00B8272B" w:rsidP="00B8272B">
      <w:pPr>
        <w:pStyle w:val="ABABodyText"/>
        <w:tabs>
          <w:tab w:val="left" w:pos="3969"/>
          <w:tab w:val="left" w:pos="4820"/>
          <w:tab w:val="left" w:pos="5812"/>
        </w:tabs>
        <w:rPr>
          <w:sz w:val="20"/>
        </w:rPr>
      </w:pPr>
      <w:r w:rsidRPr="002E6D88">
        <w:rPr>
          <w:sz w:val="20"/>
        </w:rPr>
        <w:t>Service Licence Number :</w:t>
      </w:r>
      <w:r w:rsidRPr="002E6D88">
        <w:rPr>
          <w:sz w:val="20"/>
        </w:rPr>
        <w:tab/>
      </w:r>
      <w:bookmarkStart w:id="55" w:name="_Hlk94598496"/>
      <w:r w:rsidRPr="002E6D88">
        <w:rPr>
          <w:sz w:val="20"/>
        </w:rPr>
        <w:t>SL10408</w:t>
      </w:r>
      <w:bookmarkEnd w:id="55"/>
    </w:p>
    <w:p w14:paraId="1D5FF8C2" w14:textId="77777777" w:rsidR="00B8272B" w:rsidRPr="002E6D88" w:rsidRDefault="00B8272B" w:rsidP="00B8272B">
      <w:pPr>
        <w:pStyle w:val="ABAHeading3"/>
        <w:rPr>
          <w:rFonts w:ascii="Times New Roman" w:hAnsi="Times New Roman"/>
          <w:sz w:val="20"/>
        </w:rPr>
      </w:pPr>
    </w:p>
    <w:p w14:paraId="05D6DBDC" w14:textId="77777777" w:rsidR="00B8272B" w:rsidRPr="002E6D88" w:rsidRDefault="00B8272B" w:rsidP="00B8272B">
      <w:pPr>
        <w:pStyle w:val="ABAHeading3"/>
        <w:rPr>
          <w:rFonts w:ascii="Times New Roman" w:hAnsi="Times New Roman"/>
          <w:sz w:val="20"/>
        </w:rPr>
      </w:pPr>
      <w:r w:rsidRPr="002E6D88">
        <w:rPr>
          <w:rFonts w:ascii="Times New Roman" w:hAnsi="Times New Roman"/>
          <w:sz w:val="20"/>
        </w:rPr>
        <w:t>TECHNICAL SPECIFICATION - FM Radio</w:t>
      </w:r>
    </w:p>
    <w:p w14:paraId="1EBD2EF0" w14:textId="77777777" w:rsidR="00B8272B" w:rsidRPr="002E6D88" w:rsidRDefault="00B8272B" w:rsidP="00B8272B">
      <w:pPr>
        <w:pStyle w:val="ABABodyText"/>
        <w:tabs>
          <w:tab w:val="left" w:pos="3969"/>
          <w:tab w:val="left" w:pos="4820"/>
          <w:tab w:val="left" w:pos="5812"/>
        </w:tabs>
        <w:rPr>
          <w:sz w:val="20"/>
        </w:rPr>
      </w:pPr>
      <w:r w:rsidRPr="002E6D88">
        <w:rPr>
          <w:sz w:val="20"/>
        </w:rPr>
        <w:t>Specification Number :</w:t>
      </w:r>
      <w:r w:rsidRPr="002E6D88">
        <w:rPr>
          <w:sz w:val="20"/>
        </w:rPr>
        <w:tab/>
      </w:r>
      <w:bookmarkStart w:id="56" w:name="_Hlk94598474"/>
      <w:r w:rsidRPr="002E6D88">
        <w:rPr>
          <w:sz w:val="20"/>
        </w:rPr>
        <w:t>TS12000441</w:t>
      </w:r>
      <w:bookmarkEnd w:id="56"/>
    </w:p>
    <w:p w14:paraId="5ABE6083" w14:textId="77777777" w:rsidR="00B8272B" w:rsidRPr="002E6D88" w:rsidRDefault="00B8272B" w:rsidP="00B8272B">
      <w:pPr>
        <w:pStyle w:val="ABAHeading4"/>
        <w:rPr>
          <w:rFonts w:ascii="Times New Roman" w:hAnsi="Times New Roman"/>
        </w:rPr>
      </w:pPr>
    </w:p>
    <w:p w14:paraId="54896BB0" w14:textId="77777777" w:rsidR="00B8272B" w:rsidRPr="002E6D88" w:rsidRDefault="00B8272B" w:rsidP="00B8272B">
      <w:pPr>
        <w:pStyle w:val="ABAHeading4"/>
        <w:rPr>
          <w:rFonts w:ascii="Times New Roman" w:hAnsi="Times New Roman"/>
        </w:rPr>
      </w:pPr>
      <w:r w:rsidRPr="002E6D88">
        <w:rPr>
          <w:rFonts w:ascii="Times New Roman" w:hAnsi="Times New Roman"/>
        </w:rPr>
        <w:t>Transmitter Site :-</w:t>
      </w:r>
    </w:p>
    <w:p w14:paraId="36F52092" w14:textId="77777777" w:rsidR="00B8272B" w:rsidRPr="002E6D88" w:rsidRDefault="00B8272B" w:rsidP="00A2352B">
      <w:pPr>
        <w:pStyle w:val="ABABodyText"/>
        <w:tabs>
          <w:tab w:val="left" w:pos="3969"/>
          <w:tab w:val="left" w:pos="4820"/>
          <w:tab w:val="left" w:pos="5812"/>
        </w:tabs>
        <w:ind w:left="3969" w:hanging="3969"/>
        <w:rPr>
          <w:sz w:val="20"/>
        </w:rPr>
      </w:pPr>
      <w:r w:rsidRPr="002E6D88">
        <w:rPr>
          <w:sz w:val="20"/>
        </w:rPr>
        <w:t>Nominal location :</w:t>
      </w:r>
      <w:r w:rsidRPr="002E6D88">
        <w:rPr>
          <w:sz w:val="20"/>
        </w:rPr>
        <w:tab/>
        <w:t>2QN-2MOR Office 250 Anstruther St ECHUCA</w:t>
      </w:r>
    </w:p>
    <w:p w14:paraId="74EF4E83" w14:textId="77777777" w:rsidR="00B8272B" w:rsidRPr="002E6D88" w:rsidRDefault="00B8272B" w:rsidP="00B8272B">
      <w:pPr>
        <w:pStyle w:val="ABABodyText"/>
        <w:tabs>
          <w:tab w:val="left" w:pos="3969"/>
          <w:tab w:val="left" w:pos="4820"/>
          <w:tab w:val="left" w:pos="5812"/>
        </w:tabs>
        <w:rPr>
          <w:sz w:val="20"/>
        </w:rPr>
      </w:pPr>
      <w:r w:rsidRPr="002E6D88">
        <w:rPr>
          <w:sz w:val="20"/>
        </w:rPr>
        <w:t xml:space="preserve">Nominal Co-ordinates </w:t>
      </w:r>
      <w:r w:rsidRPr="002E6D88">
        <w:rPr>
          <w:sz w:val="20"/>
        </w:rPr>
        <w:tab/>
        <w:t>Latitude</w:t>
      </w:r>
      <w:r w:rsidRPr="002E6D88">
        <w:rPr>
          <w:sz w:val="20"/>
        </w:rPr>
        <w:tab/>
      </w:r>
      <w:r w:rsidRPr="002E6D88">
        <w:rPr>
          <w:sz w:val="20"/>
        </w:rPr>
        <w:tab/>
        <w:t>Longitude</w:t>
      </w:r>
      <w:r w:rsidRPr="002E6D88">
        <w:rPr>
          <w:sz w:val="20"/>
        </w:rPr>
        <w:br/>
        <w:t>(GDA94) :</w:t>
      </w:r>
      <w:r w:rsidRPr="002E6D88">
        <w:rPr>
          <w:sz w:val="20"/>
        </w:rPr>
        <w:tab/>
        <w:t>-36.126345</w:t>
      </w:r>
      <w:r w:rsidRPr="002E6D88">
        <w:rPr>
          <w:sz w:val="20"/>
        </w:rPr>
        <w:tab/>
        <w:t>144.74853611</w:t>
      </w:r>
    </w:p>
    <w:p w14:paraId="1BA3F0C0" w14:textId="77777777" w:rsidR="00B8272B" w:rsidRPr="002E6D88" w:rsidRDefault="00B8272B" w:rsidP="00B8272B">
      <w:pPr>
        <w:pStyle w:val="ABABodyText"/>
        <w:tabs>
          <w:tab w:val="left" w:pos="3969"/>
          <w:tab w:val="left" w:pos="4820"/>
          <w:tab w:val="left" w:pos="5812"/>
        </w:tabs>
        <w:rPr>
          <w:sz w:val="20"/>
        </w:rPr>
      </w:pPr>
      <w:r w:rsidRPr="002E6D88">
        <w:rPr>
          <w:sz w:val="20"/>
        </w:rPr>
        <w:t>Site Tolerance :</w:t>
      </w:r>
      <w:r w:rsidRPr="002E6D88">
        <w:rPr>
          <w:sz w:val="20"/>
        </w:rPr>
        <w:tab/>
        <w:t xml:space="preserve">Refer to </w:t>
      </w:r>
      <w:r w:rsidRPr="002E6D88">
        <w:rPr>
          <w:i/>
          <w:sz w:val="20"/>
        </w:rPr>
        <w:t xml:space="preserve">Broadcasting Services </w:t>
      </w:r>
      <w:r w:rsidRPr="002E6D88">
        <w:rPr>
          <w:i/>
          <w:sz w:val="20"/>
        </w:rPr>
        <w:br/>
      </w:r>
      <w:r w:rsidRPr="002E6D88">
        <w:rPr>
          <w:i/>
          <w:sz w:val="20"/>
        </w:rPr>
        <w:tab/>
        <w:t>(Technical Planning) Guidelines 2017</w:t>
      </w:r>
    </w:p>
    <w:p w14:paraId="7B57C4A5" w14:textId="77777777" w:rsidR="00B8272B" w:rsidRPr="002E6D88" w:rsidRDefault="00B8272B" w:rsidP="00B8272B">
      <w:pPr>
        <w:pStyle w:val="ABAHeading4"/>
        <w:rPr>
          <w:rFonts w:ascii="Times New Roman" w:hAnsi="Times New Roman"/>
        </w:rPr>
      </w:pPr>
    </w:p>
    <w:p w14:paraId="711FF868" w14:textId="77777777" w:rsidR="00B8272B" w:rsidRPr="002E6D88" w:rsidRDefault="00B8272B" w:rsidP="00B8272B">
      <w:pPr>
        <w:pStyle w:val="ABAHeading4"/>
        <w:rPr>
          <w:rFonts w:ascii="Times New Roman" w:hAnsi="Times New Roman"/>
        </w:rPr>
      </w:pPr>
      <w:r w:rsidRPr="002E6D88">
        <w:rPr>
          <w:rFonts w:ascii="Times New Roman" w:hAnsi="Times New Roman"/>
        </w:rPr>
        <w:t>Emission :-</w:t>
      </w:r>
    </w:p>
    <w:p w14:paraId="7289A165" w14:textId="77777777" w:rsidR="00B8272B" w:rsidRPr="002E6D88" w:rsidRDefault="00B8272B" w:rsidP="00B8272B">
      <w:pPr>
        <w:pStyle w:val="ABABodyText"/>
        <w:tabs>
          <w:tab w:val="left" w:pos="3969"/>
          <w:tab w:val="left" w:pos="4820"/>
          <w:tab w:val="left" w:pos="5812"/>
        </w:tabs>
        <w:rPr>
          <w:sz w:val="20"/>
        </w:rPr>
      </w:pPr>
      <w:r w:rsidRPr="002E6D88">
        <w:rPr>
          <w:sz w:val="20"/>
        </w:rPr>
        <w:t>Frequency Band &amp; Mode :</w:t>
      </w:r>
      <w:r w:rsidRPr="002E6D88">
        <w:rPr>
          <w:sz w:val="20"/>
        </w:rPr>
        <w:tab/>
        <w:t>VHF-FM</w:t>
      </w:r>
    </w:p>
    <w:p w14:paraId="25018406" w14:textId="77777777" w:rsidR="00B8272B" w:rsidRPr="002E6D88" w:rsidRDefault="00B8272B" w:rsidP="00B8272B">
      <w:pPr>
        <w:pStyle w:val="ABABodyText"/>
        <w:tabs>
          <w:tab w:val="left" w:pos="3969"/>
          <w:tab w:val="left" w:pos="4820"/>
          <w:tab w:val="left" w:pos="5812"/>
        </w:tabs>
        <w:rPr>
          <w:sz w:val="20"/>
        </w:rPr>
      </w:pPr>
      <w:r w:rsidRPr="002E6D88">
        <w:rPr>
          <w:sz w:val="20"/>
        </w:rPr>
        <w:t>Carrier Frequency :</w:t>
      </w:r>
      <w:r w:rsidRPr="002E6D88">
        <w:rPr>
          <w:sz w:val="20"/>
        </w:rPr>
        <w:tab/>
        <w:t>103.9 MHz</w:t>
      </w:r>
    </w:p>
    <w:p w14:paraId="4632960C" w14:textId="77777777" w:rsidR="00B8272B" w:rsidRPr="002E6D88" w:rsidRDefault="00B8272B" w:rsidP="00B8272B">
      <w:pPr>
        <w:pStyle w:val="ABABodyText"/>
        <w:tabs>
          <w:tab w:val="left" w:pos="3969"/>
          <w:tab w:val="left" w:pos="4820"/>
          <w:tab w:val="left" w:pos="5812"/>
        </w:tabs>
        <w:rPr>
          <w:sz w:val="20"/>
        </w:rPr>
      </w:pPr>
      <w:r w:rsidRPr="002E6D88">
        <w:rPr>
          <w:sz w:val="20"/>
        </w:rPr>
        <w:t>Polarisation :</w:t>
      </w:r>
      <w:r w:rsidRPr="002E6D88">
        <w:rPr>
          <w:sz w:val="20"/>
        </w:rPr>
        <w:tab/>
        <w:t>Mixed</w:t>
      </w:r>
    </w:p>
    <w:p w14:paraId="1DB32939" w14:textId="77777777" w:rsidR="00B8272B" w:rsidRPr="002E6D88" w:rsidRDefault="00B8272B" w:rsidP="00B8272B">
      <w:pPr>
        <w:pStyle w:val="ABABodyText"/>
        <w:tabs>
          <w:tab w:val="left" w:pos="3969"/>
          <w:tab w:val="left" w:pos="4820"/>
          <w:tab w:val="left" w:pos="5812"/>
        </w:tabs>
        <w:rPr>
          <w:sz w:val="20"/>
        </w:rPr>
      </w:pPr>
      <w:r w:rsidRPr="002E6D88">
        <w:rPr>
          <w:sz w:val="20"/>
        </w:rPr>
        <w:t>Maximum antenna height :</w:t>
      </w:r>
      <w:r w:rsidRPr="002E6D88">
        <w:rPr>
          <w:sz w:val="20"/>
        </w:rPr>
        <w:tab/>
        <w:t>25 m</w:t>
      </w:r>
    </w:p>
    <w:p w14:paraId="7D412188" w14:textId="77777777" w:rsidR="00B8272B" w:rsidRPr="002E6D88" w:rsidRDefault="00B8272B" w:rsidP="00B8272B">
      <w:pPr>
        <w:pStyle w:val="ABAHeading4"/>
        <w:rPr>
          <w:rFonts w:ascii="Times New Roman" w:hAnsi="Times New Roman"/>
        </w:rPr>
      </w:pPr>
    </w:p>
    <w:p w14:paraId="46B05697" w14:textId="77777777" w:rsidR="00B8272B" w:rsidRPr="002E6D88" w:rsidRDefault="00B8272B" w:rsidP="00B8272B">
      <w:pPr>
        <w:pStyle w:val="ABAHeading4"/>
        <w:rPr>
          <w:rFonts w:ascii="Times New Roman" w:hAnsi="Times New Roman"/>
        </w:rPr>
      </w:pPr>
      <w:r w:rsidRPr="002E6D88">
        <w:rPr>
          <w:rFonts w:ascii="Times New Roman" w:hAnsi="Times New Roman"/>
        </w:rPr>
        <w:t>Output Radiation Pattern :-</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2835"/>
        <w:gridCol w:w="2835"/>
      </w:tblGrid>
      <w:tr w:rsidR="00B8272B" w:rsidRPr="004D45A7" w14:paraId="6B376F19" w14:textId="77777777" w:rsidTr="00B8272B">
        <w:tc>
          <w:tcPr>
            <w:tcW w:w="2835" w:type="dxa"/>
            <w:tcBorders>
              <w:top w:val="single" w:sz="4" w:space="0" w:color="auto"/>
              <w:left w:val="nil"/>
              <w:bottom w:val="single" w:sz="4" w:space="0" w:color="auto"/>
              <w:right w:val="nil"/>
            </w:tcBorders>
            <w:hideMark/>
          </w:tcPr>
          <w:p w14:paraId="75F6C62E" w14:textId="77777777" w:rsidR="00B8272B" w:rsidRPr="002E6D88" w:rsidRDefault="00B8272B">
            <w:pPr>
              <w:pStyle w:val="ABATableHeading"/>
              <w:spacing w:line="256" w:lineRule="auto"/>
              <w:jc w:val="center"/>
              <w:rPr>
                <w:rFonts w:ascii="Times New Roman" w:hAnsi="Times New Roman"/>
              </w:rPr>
            </w:pPr>
            <w:r w:rsidRPr="002E6D88">
              <w:rPr>
                <w:rFonts w:ascii="Times New Roman" w:hAnsi="Times New Roman"/>
              </w:rPr>
              <w:t xml:space="preserve">Bearing or Sector </w:t>
            </w:r>
            <w:r w:rsidRPr="002E6D88">
              <w:rPr>
                <w:rFonts w:ascii="Times New Roman" w:hAnsi="Times New Roman"/>
              </w:rPr>
              <w:br/>
              <w:t>(Clockwise direction)</w:t>
            </w:r>
          </w:p>
        </w:tc>
        <w:tc>
          <w:tcPr>
            <w:tcW w:w="2835" w:type="dxa"/>
            <w:tcBorders>
              <w:top w:val="single" w:sz="4" w:space="0" w:color="auto"/>
              <w:left w:val="nil"/>
              <w:bottom w:val="single" w:sz="4" w:space="0" w:color="auto"/>
              <w:right w:val="nil"/>
            </w:tcBorders>
            <w:hideMark/>
          </w:tcPr>
          <w:p w14:paraId="171DBF0F" w14:textId="77777777" w:rsidR="00B8272B" w:rsidRPr="002E6D88" w:rsidRDefault="00B8272B">
            <w:pPr>
              <w:pStyle w:val="ABATableHeading"/>
              <w:spacing w:line="256" w:lineRule="auto"/>
              <w:jc w:val="center"/>
              <w:rPr>
                <w:rFonts w:ascii="Times New Roman" w:hAnsi="Times New Roman"/>
              </w:rPr>
            </w:pPr>
            <w:r w:rsidRPr="002E6D88">
              <w:rPr>
                <w:rFonts w:ascii="Times New Roman" w:hAnsi="Times New Roman"/>
              </w:rPr>
              <w:t>Maximum ERP</w:t>
            </w:r>
          </w:p>
        </w:tc>
      </w:tr>
      <w:tr w:rsidR="00B8272B" w:rsidRPr="004D45A7" w14:paraId="6BE91519" w14:textId="77777777" w:rsidTr="00B8272B">
        <w:tc>
          <w:tcPr>
            <w:tcW w:w="2835" w:type="dxa"/>
            <w:tcBorders>
              <w:top w:val="single" w:sz="4" w:space="0" w:color="auto"/>
              <w:left w:val="nil"/>
              <w:bottom w:val="single" w:sz="4" w:space="0" w:color="auto"/>
              <w:right w:val="nil"/>
            </w:tcBorders>
            <w:hideMark/>
          </w:tcPr>
          <w:p w14:paraId="48AE0B51" w14:textId="77777777" w:rsidR="00B8272B" w:rsidRPr="002E6D88" w:rsidRDefault="00B8272B">
            <w:pPr>
              <w:pStyle w:val="ABATableText"/>
              <w:rPr>
                <w:rFonts w:ascii="Times New Roman" w:hAnsi="Times New Roman"/>
                <w:sz w:val="18"/>
                <w:szCs w:val="18"/>
              </w:rPr>
            </w:pPr>
            <w:r w:rsidRPr="002E6D88">
              <w:rPr>
                <w:sz w:val="18"/>
                <w:szCs w:val="18"/>
              </w:rPr>
              <w:t>At all angles of azimuth</w:t>
            </w:r>
          </w:p>
        </w:tc>
        <w:tc>
          <w:tcPr>
            <w:tcW w:w="2835" w:type="dxa"/>
            <w:tcBorders>
              <w:top w:val="single" w:sz="4" w:space="0" w:color="auto"/>
              <w:left w:val="nil"/>
              <w:bottom w:val="single" w:sz="4" w:space="0" w:color="auto"/>
              <w:right w:val="nil"/>
            </w:tcBorders>
            <w:hideMark/>
          </w:tcPr>
          <w:p w14:paraId="57F4F85E" w14:textId="77777777" w:rsidR="00B8272B" w:rsidRPr="002E6D88" w:rsidRDefault="00B8272B">
            <w:pPr>
              <w:pStyle w:val="ABATableText"/>
              <w:rPr>
                <w:sz w:val="18"/>
                <w:szCs w:val="18"/>
              </w:rPr>
            </w:pPr>
            <w:r w:rsidRPr="002E6D88">
              <w:rPr>
                <w:sz w:val="18"/>
                <w:szCs w:val="18"/>
              </w:rPr>
              <w:t>200 W</w:t>
            </w:r>
          </w:p>
        </w:tc>
      </w:tr>
    </w:tbl>
    <w:p w14:paraId="74D156A4" w14:textId="77777777" w:rsidR="00904EA9" w:rsidRDefault="00904EA9" w:rsidP="00392248">
      <w:pPr>
        <w:pStyle w:val="ABAHeading4"/>
        <w:rPr>
          <w:rFonts w:ascii="Times New Roman" w:hAnsi="Times New Roman"/>
          <w:sz w:val="18"/>
          <w:szCs w:val="18"/>
        </w:rPr>
      </w:pPr>
    </w:p>
    <w:p w14:paraId="34D6F964" w14:textId="77759490" w:rsidR="00392248" w:rsidRPr="002E6D88" w:rsidRDefault="00392248" w:rsidP="00392248">
      <w:pPr>
        <w:pStyle w:val="ABAHeading4"/>
        <w:rPr>
          <w:rFonts w:ascii="Times New Roman" w:hAnsi="Times New Roman"/>
          <w:sz w:val="18"/>
          <w:szCs w:val="18"/>
        </w:rPr>
      </w:pPr>
      <w:r w:rsidRPr="002E6D88">
        <w:rPr>
          <w:rFonts w:ascii="Times New Roman" w:hAnsi="Times New Roman"/>
          <w:sz w:val="18"/>
          <w:szCs w:val="18"/>
        </w:rPr>
        <w:t xml:space="preserve">Availability of </w:t>
      </w:r>
      <w:r w:rsidR="008C7124" w:rsidRPr="002E6D88">
        <w:rPr>
          <w:rFonts w:ascii="Times New Roman" w:hAnsi="Times New Roman"/>
          <w:sz w:val="18"/>
          <w:szCs w:val="18"/>
        </w:rPr>
        <w:t>TS12000441</w:t>
      </w:r>
      <w:r w:rsidRPr="002E6D88">
        <w:rPr>
          <w:rFonts w:ascii="Times New Roman" w:hAnsi="Times New Roman"/>
          <w:sz w:val="18"/>
          <w:szCs w:val="18"/>
        </w:rPr>
        <w:t xml:space="preserve"> :- </w:t>
      </w:r>
    </w:p>
    <w:p w14:paraId="362A4FAA" w14:textId="6CBA71F6" w:rsidR="00392248" w:rsidRPr="002E6D88" w:rsidRDefault="00392248" w:rsidP="00392248">
      <w:pPr>
        <w:pStyle w:val="ABAHeading4"/>
        <w:rPr>
          <w:rFonts w:ascii="Times New Roman" w:hAnsi="Times New Roman"/>
          <w:sz w:val="14"/>
          <w:szCs w:val="14"/>
        </w:rPr>
      </w:pPr>
      <w:r w:rsidRPr="002E6D88">
        <w:rPr>
          <w:rFonts w:ascii="Times New Roman" w:hAnsi="Times New Roman"/>
          <w:b w:val="0"/>
          <w:i w:val="0"/>
          <w:snapToGrid w:val="0"/>
          <w:sz w:val="18"/>
          <w:szCs w:val="14"/>
        </w:rPr>
        <w:t>TS12000441 is only available for the transmission of a service under licence SL10408 when the transmission of a service under licence SL10408 by transmitter TS12000971 has ceased.</w:t>
      </w:r>
    </w:p>
    <w:p w14:paraId="67DB4FF3" w14:textId="77777777" w:rsidR="00B8272B" w:rsidRPr="002E6D88" w:rsidRDefault="00B8272B" w:rsidP="00B8272B">
      <w:pPr>
        <w:pStyle w:val="ABAHeading4"/>
        <w:rPr>
          <w:rFonts w:ascii="Times New Roman" w:hAnsi="Times New Roman"/>
        </w:rPr>
      </w:pPr>
    </w:p>
    <w:p w14:paraId="6396FE75" w14:textId="77777777" w:rsidR="00B8272B" w:rsidRPr="002E6D88" w:rsidRDefault="00B8272B" w:rsidP="00B8272B">
      <w:pPr>
        <w:pStyle w:val="ABAHeading4"/>
        <w:rPr>
          <w:rFonts w:ascii="Times New Roman" w:hAnsi="Times New Roman"/>
        </w:rPr>
      </w:pPr>
      <w:r w:rsidRPr="002E6D88">
        <w:rPr>
          <w:rFonts w:ascii="Times New Roman" w:hAnsi="Times New Roman"/>
        </w:rPr>
        <w:t>Advisory Note :-</w:t>
      </w:r>
    </w:p>
    <w:p w14:paraId="32ACBEE6" w14:textId="77777777" w:rsidR="00B8272B" w:rsidRPr="002E6D88" w:rsidRDefault="00B8272B" w:rsidP="00B8272B">
      <w:pPr>
        <w:pStyle w:val="ABABodyText"/>
        <w:tabs>
          <w:tab w:val="left" w:pos="3969"/>
          <w:tab w:val="left" w:pos="4820"/>
          <w:tab w:val="left" w:pos="5812"/>
        </w:tabs>
        <w:rPr>
          <w:sz w:val="20"/>
        </w:rPr>
      </w:pPr>
      <w:r w:rsidRPr="002E6D88">
        <w:rPr>
          <w:sz w:val="20"/>
        </w:rPr>
        <w:t>This service has been planned on an interference limited basis. Field strengths below the planned minimum median field strength level are likely to suffer interference from other broadcasting services.</w:t>
      </w:r>
    </w:p>
    <w:p w14:paraId="282442B7" w14:textId="77777777" w:rsidR="00B8272B" w:rsidRPr="002E6D88" w:rsidRDefault="00B8272B" w:rsidP="00B8272B">
      <w:pPr>
        <w:pStyle w:val="ABABodyText"/>
        <w:tabs>
          <w:tab w:val="left" w:pos="3969"/>
          <w:tab w:val="left" w:pos="4820"/>
          <w:tab w:val="left" w:pos="5812"/>
        </w:tabs>
        <w:rPr>
          <w:sz w:val="20"/>
        </w:rPr>
      </w:pPr>
      <w:r w:rsidRPr="002E6D88">
        <w:rPr>
          <w:sz w:val="20"/>
        </w:rPr>
        <w:t>Any transmission in accordance with this specification is planned on the basis that it will be protected to a minimum median field strength level of 66 dBµV/m against interference from other broadcasting services.</w:t>
      </w:r>
    </w:p>
    <w:p w14:paraId="5CD313EC" w14:textId="77777777" w:rsidR="00F93D3C" w:rsidRDefault="00F93D3C" w:rsidP="00F93D3C">
      <w:pPr>
        <w:pStyle w:val="Heading1"/>
      </w:pPr>
      <w:bookmarkStart w:id="57" w:name="AppendixC"/>
      <w:bookmarkStart w:id="58" w:name="_Appendix_C"/>
      <w:bookmarkStart w:id="59" w:name="_Toc98412030"/>
      <w:bookmarkEnd w:id="57"/>
      <w:bookmarkEnd w:id="58"/>
      <w:r w:rsidRPr="006D46E5">
        <w:t xml:space="preserve">Appendix </w:t>
      </w:r>
      <w:r>
        <w:t>C</w:t>
      </w:r>
      <w:bookmarkEnd w:id="54"/>
      <w:bookmarkEnd w:id="59"/>
    </w:p>
    <w:p w14:paraId="4C5E85AD" w14:textId="572F0A6F" w:rsidR="0097061D" w:rsidRDefault="0097061D" w:rsidP="0097061D">
      <w:pPr>
        <w:pStyle w:val="Heading2"/>
      </w:pPr>
      <w:bookmarkStart w:id="60" w:name="_Proposed_specification_for"/>
      <w:bookmarkStart w:id="61" w:name="_Toc14692775"/>
      <w:bookmarkStart w:id="62" w:name="_Toc98412031"/>
      <w:bookmarkEnd w:id="60"/>
      <w:r>
        <w:t xml:space="preserve">Proposed specification for 2QN </w:t>
      </w:r>
      <w:r w:rsidR="00E45F3A">
        <w:t>infill transmitter</w:t>
      </w:r>
      <w:r w:rsidR="00B90096">
        <w:t xml:space="preserve"> </w:t>
      </w:r>
      <w:r>
        <w:t>to serve Echuca/Moama</w:t>
      </w:r>
      <w:bookmarkEnd w:id="61"/>
      <w:bookmarkEnd w:id="62"/>
    </w:p>
    <w:p w14:paraId="1AA2BC9E" w14:textId="77777777" w:rsidR="00B8272B" w:rsidRPr="001343BC" w:rsidRDefault="00B8272B" w:rsidP="00B8272B">
      <w:pPr>
        <w:pStyle w:val="ABAHeading3"/>
        <w:rPr>
          <w:rFonts w:ascii="Times New Roman" w:hAnsi="Times New Roman"/>
          <w:sz w:val="20"/>
          <w:szCs w:val="16"/>
        </w:rPr>
      </w:pPr>
      <w:bookmarkStart w:id="63" w:name="_Appendix_D"/>
      <w:bookmarkEnd w:id="63"/>
      <w:r w:rsidRPr="001343BC">
        <w:rPr>
          <w:rFonts w:ascii="Times New Roman" w:hAnsi="Times New Roman"/>
          <w:sz w:val="20"/>
          <w:szCs w:val="16"/>
        </w:rPr>
        <w:t>LICENCE AREA PLAN :</w:t>
      </w:r>
      <w:r w:rsidRPr="001343BC">
        <w:rPr>
          <w:rFonts w:ascii="Times New Roman" w:hAnsi="Times New Roman"/>
          <w:sz w:val="20"/>
          <w:szCs w:val="16"/>
        </w:rPr>
        <w:tab/>
        <w:t xml:space="preserve">Deniliquin Radio  </w:t>
      </w:r>
    </w:p>
    <w:p w14:paraId="702AC6DF" w14:textId="77777777" w:rsidR="00B8272B" w:rsidRPr="001343BC" w:rsidRDefault="00B8272B" w:rsidP="00B8272B">
      <w:pPr>
        <w:pStyle w:val="ABABodyText"/>
        <w:tabs>
          <w:tab w:val="left" w:pos="3969"/>
          <w:tab w:val="left" w:pos="4820"/>
          <w:tab w:val="left" w:pos="5812"/>
        </w:tabs>
        <w:rPr>
          <w:sz w:val="20"/>
          <w:szCs w:val="16"/>
        </w:rPr>
      </w:pPr>
      <w:r w:rsidRPr="001343BC">
        <w:rPr>
          <w:sz w:val="20"/>
          <w:szCs w:val="16"/>
        </w:rPr>
        <w:t>Category :</w:t>
      </w:r>
      <w:r w:rsidRPr="001343BC">
        <w:rPr>
          <w:sz w:val="20"/>
          <w:szCs w:val="16"/>
        </w:rPr>
        <w:tab/>
        <w:t>Commercial</w:t>
      </w:r>
    </w:p>
    <w:p w14:paraId="341C522C" w14:textId="77777777" w:rsidR="00B8272B" w:rsidRPr="001343BC" w:rsidRDefault="00B8272B" w:rsidP="00B8272B">
      <w:pPr>
        <w:pStyle w:val="ABABodyText"/>
        <w:tabs>
          <w:tab w:val="left" w:pos="3969"/>
          <w:tab w:val="left" w:pos="4820"/>
          <w:tab w:val="left" w:pos="5812"/>
        </w:tabs>
        <w:rPr>
          <w:sz w:val="20"/>
          <w:szCs w:val="16"/>
        </w:rPr>
      </w:pPr>
      <w:r w:rsidRPr="001343BC">
        <w:rPr>
          <w:sz w:val="20"/>
          <w:szCs w:val="16"/>
        </w:rPr>
        <w:t>General Area Served :</w:t>
      </w:r>
      <w:r w:rsidRPr="001343BC">
        <w:rPr>
          <w:sz w:val="20"/>
          <w:szCs w:val="16"/>
        </w:rPr>
        <w:tab/>
        <w:t>Echuca/Moama (VIC)</w:t>
      </w:r>
    </w:p>
    <w:p w14:paraId="3D8930E2" w14:textId="77777777" w:rsidR="00B8272B" w:rsidRPr="001343BC" w:rsidRDefault="00B8272B" w:rsidP="00B8272B">
      <w:pPr>
        <w:pStyle w:val="ABABodyText"/>
        <w:tabs>
          <w:tab w:val="left" w:pos="3969"/>
          <w:tab w:val="left" w:pos="4820"/>
          <w:tab w:val="left" w:pos="5812"/>
        </w:tabs>
        <w:rPr>
          <w:sz w:val="20"/>
          <w:szCs w:val="16"/>
        </w:rPr>
      </w:pPr>
      <w:r w:rsidRPr="001343BC">
        <w:rPr>
          <w:sz w:val="20"/>
          <w:szCs w:val="16"/>
        </w:rPr>
        <w:t>Service Licence Number :</w:t>
      </w:r>
      <w:r w:rsidRPr="001343BC">
        <w:rPr>
          <w:sz w:val="20"/>
          <w:szCs w:val="16"/>
        </w:rPr>
        <w:tab/>
        <w:t>SL10407</w:t>
      </w:r>
    </w:p>
    <w:p w14:paraId="53253234" w14:textId="77777777" w:rsidR="00B8272B" w:rsidRPr="001343BC" w:rsidRDefault="00B8272B" w:rsidP="00B8272B">
      <w:pPr>
        <w:pStyle w:val="ABAHeading3"/>
        <w:rPr>
          <w:rFonts w:ascii="Times New Roman" w:hAnsi="Times New Roman"/>
          <w:sz w:val="20"/>
          <w:szCs w:val="16"/>
        </w:rPr>
      </w:pPr>
    </w:p>
    <w:p w14:paraId="5503E881" w14:textId="77777777" w:rsidR="00B8272B" w:rsidRPr="001343BC" w:rsidRDefault="00B8272B" w:rsidP="00B8272B">
      <w:pPr>
        <w:pStyle w:val="ABAHeading3"/>
        <w:rPr>
          <w:rFonts w:ascii="Times New Roman" w:hAnsi="Times New Roman"/>
          <w:sz w:val="20"/>
          <w:szCs w:val="16"/>
        </w:rPr>
      </w:pPr>
      <w:r w:rsidRPr="001343BC">
        <w:rPr>
          <w:rFonts w:ascii="Times New Roman" w:hAnsi="Times New Roman"/>
          <w:sz w:val="20"/>
          <w:szCs w:val="16"/>
        </w:rPr>
        <w:t>TECHNICAL SPECIFICATION - FM Radio</w:t>
      </w:r>
    </w:p>
    <w:p w14:paraId="11FB811F" w14:textId="77777777" w:rsidR="00B8272B" w:rsidRPr="001343BC" w:rsidRDefault="00B8272B" w:rsidP="00B8272B">
      <w:pPr>
        <w:pStyle w:val="ABABodyText"/>
        <w:tabs>
          <w:tab w:val="left" w:pos="3969"/>
          <w:tab w:val="left" w:pos="4820"/>
          <w:tab w:val="left" w:pos="5812"/>
        </w:tabs>
        <w:rPr>
          <w:sz w:val="20"/>
          <w:szCs w:val="16"/>
        </w:rPr>
      </w:pPr>
      <w:r w:rsidRPr="001343BC">
        <w:rPr>
          <w:sz w:val="20"/>
          <w:szCs w:val="16"/>
        </w:rPr>
        <w:t>Specification Number :</w:t>
      </w:r>
      <w:r w:rsidRPr="001343BC">
        <w:rPr>
          <w:sz w:val="20"/>
          <w:szCs w:val="16"/>
        </w:rPr>
        <w:tab/>
        <w:t>TS12000437</w:t>
      </w:r>
    </w:p>
    <w:p w14:paraId="78953715" w14:textId="77777777" w:rsidR="00B8272B" w:rsidRPr="001343BC" w:rsidRDefault="00B8272B" w:rsidP="00B8272B">
      <w:pPr>
        <w:pStyle w:val="ABAHeading4"/>
        <w:rPr>
          <w:rFonts w:ascii="Times New Roman" w:hAnsi="Times New Roman"/>
          <w:sz w:val="16"/>
          <w:szCs w:val="16"/>
        </w:rPr>
      </w:pPr>
    </w:p>
    <w:p w14:paraId="0F6F2302" w14:textId="77777777" w:rsidR="00B8272B" w:rsidRPr="001343BC" w:rsidRDefault="00B8272B" w:rsidP="00B8272B">
      <w:pPr>
        <w:pStyle w:val="ABAHeading4"/>
        <w:rPr>
          <w:rFonts w:ascii="Times New Roman" w:hAnsi="Times New Roman"/>
        </w:rPr>
      </w:pPr>
      <w:r w:rsidRPr="001343BC">
        <w:rPr>
          <w:rFonts w:ascii="Times New Roman" w:hAnsi="Times New Roman"/>
        </w:rPr>
        <w:t>Transmitter Site :-</w:t>
      </w:r>
    </w:p>
    <w:p w14:paraId="359EB94D" w14:textId="77777777" w:rsidR="00B8272B" w:rsidRPr="001343BC" w:rsidRDefault="00B8272B" w:rsidP="00A2352B">
      <w:pPr>
        <w:pStyle w:val="ABABodyText"/>
        <w:tabs>
          <w:tab w:val="left" w:pos="3969"/>
          <w:tab w:val="left" w:pos="4820"/>
          <w:tab w:val="left" w:pos="5812"/>
        </w:tabs>
        <w:ind w:left="3969" w:hanging="3969"/>
        <w:rPr>
          <w:sz w:val="20"/>
          <w:szCs w:val="16"/>
        </w:rPr>
      </w:pPr>
      <w:r w:rsidRPr="001343BC">
        <w:rPr>
          <w:sz w:val="20"/>
          <w:szCs w:val="16"/>
        </w:rPr>
        <w:t>Nominal location :</w:t>
      </w:r>
      <w:r w:rsidRPr="001343BC">
        <w:rPr>
          <w:sz w:val="20"/>
          <w:szCs w:val="16"/>
        </w:rPr>
        <w:tab/>
        <w:t>2QN-2MOR Office 250 Anstruther St ECHUCA</w:t>
      </w:r>
    </w:p>
    <w:p w14:paraId="253793F1" w14:textId="77777777" w:rsidR="00B8272B" w:rsidRPr="001343BC" w:rsidRDefault="00B8272B" w:rsidP="00B8272B">
      <w:pPr>
        <w:pStyle w:val="ABABodyText"/>
        <w:tabs>
          <w:tab w:val="left" w:pos="3969"/>
          <w:tab w:val="left" w:pos="4820"/>
          <w:tab w:val="left" w:pos="5812"/>
        </w:tabs>
        <w:rPr>
          <w:sz w:val="20"/>
          <w:szCs w:val="16"/>
        </w:rPr>
      </w:pPr>
      <w:r w:rsidRPr="001343BC">
        <w:rPr>
          <w:sz w:val="20"/>
          <w:szCs w:val="16"/>
        </w:rPr>
        <w:t xml:space="preserve">Nominal Co-ordinates </w:t>
      </w:r>
      <w:r w:rsidRPr="001343BC">
        <w:rPr>
          <w:sz w:val="20"/>
          <w:szCs w:val="16"/>
        </w:rPr>
        <w:tab/>
        <w:t>Latitude</w:t>
      </w:r>
      <w:r w:rsidRPr="001343BC">
        <w:rPr>
          <w:sz w:val="20"/>
          <w:szCs w:val="16"/>
        </w:rPr>
        <w:tab/>
      </w:r>
      <w:r w:rsidRPr="001343BC">
        <w:rPr>
          <w:sz w:val="20"/>
          <w:szCs w:val="16"/>
        </w:rPr>
        <w:tab/>
        <w:t>Longitude</w:t>
      </w:r>
      <w:r w:rsidRPr="001343BC">
        <w:rPr>
          <w:sz w:val="20"/>
          <w:szCs w:val="16"/>
        </w:rPr>
        <w:br/>
        <w:t>(GDA94) :</w:t>
      </w:r>
      <w:r w:rsidRPr="001343BC">
        <w:rPr>
          <w:sz w:val="20"/>
          <w:szCs w:val="16"/>
        </w:rPr>
        <w:tab/>
        <w:t>-36.126345</w:t>
      </w:r>
      <w:r w:rsidRPr="001343BC">
        <w:rPr>
          <w:sz w:val="20"/>
          <w:szCs w:val="16"/>
        </w:rPr>
        <w:tab/>
        <w:t>144.74853611</w:t>
      </w:r>
    </w:p>
    <w:p w14:paraId="60335DA4" w14:textId="77777777" w:rsidR="00B8272B" w:rsidRPr="001343BC" w:rsidRDefault="00B8272B" w:rsidP="00B8272B">
      <w:pPr>
        <w:pStyle w:val="ABABodyText"/>
        <w:tabs>
          <w:tab w:val="left" w:pos="3969"/>
          <w:tab w:val="left" w:pos="4820"/>
          <w:tab w:val="left" w:pos="5812"/>
        </w:tabs>
        <w:rPr>
          <w:sz w:val="20"/>
          <w:szCs w:val="16"/>
        </w:rPr>
      </w:pPr>
      <w:r w:rsidRPr="001343BC">
        <w:rPr>
          <w:sz w:val="20"/>
          <w:szCs w:val="16"/>
        </w:rPr>
        <w:t>Site Tolerance :</w:t>
      </w:r>
      <w:r w:rsidRPr="001343BC">
        <w:rPr>
          <w:sz w:val="20"/>
          <w:szCs w:val="16"/>
        </w:rPr>
        <w:tab/>
        <w:t xml:space="preserve">Refer to </w:t>
      </w:r>
      <w:r w:rsidRPr="001343BC">
        <w:rPr>
          <w:i/>
          <w:sz w:val="20"/>
          <w:szCs w:val="16"/>
        </w:rPr>
        <w:t xml:space="preserve">Broadcasting Services </w:t>
      </w:r>
      <w:r w:rsidRPr="001343BC">
        <w:rPr>
          <w:i/>
          <w:sz w:val="20"/>
          <w:szCs w:val="16"/>
        </w:rPr>
        <w:br/>
      </w:r>
      <w:r w:rsidRPr="001343BC">
        <w:rPr>
          <w:i/>
          <w:sz w:val="20"/>
          <w:szCs w:val="16"/>
        </w:rPr>
        <w:tab/>
        <w:t>(Technical Planning) Guidelines 2017</w:t>
      </w:r>
    </w:p>
    <w:p w14:paraId="2D9C354B" w14:textId="77777777" w:rsidR="00B8272B" w:rsidRPr="001343BC" w:rsidRDefault="00B8272B" w:rsidP="00B8272B">
      <w:pPr>
        <w:pStyle w:val="ABAHeading4"/>
        <w:rPr>
          <w:rFonts w:ascii="Times New Roman" w:hAnsi="Times New Roman"/>
          <w:sz w:val="16"/>
          <w:szCs w:val="16"/>
        </w:rPr>
      </w:pPr>
    </w:p>
    <w:p w14:paraId="5CB55A7B" w14:textId="77777777" w:rsidR="00B8272B" w:rsidRPr="001343BC" w:rsidRDefault="00B8272B" w:rsidP="00B8272B">
      <w:pPr>
        <w:pStyle w:val="ABAHeading4"/>
        <w:rPr>
          <w:rFonts w:ascii="Times New Roman" w:hAnsi="Times New Roman"/>
        </w:rPr>
      </w:pPr>
      <w:r w:rsidRPr="001343BC">
        <w:rPr>
          <w:rFonts w:ascii="Times New Roman" w:hAnsi="Times New Roman"/>
        </w:rPr>
        <w:t>Emission :-</w:t>
      </w:r>
    </w:p>
    <w:p w14:paraId="345D1187" w14:textId="77777777" w:rsidR="00B8272B" w:rsidRPr="001343BC" w:rsidRDefault="00B8272B" w:rsidP="00B8272B">
      <w:pPr>
        <w:pStyle w:val="ABABodyText"/>
        <w:tabs>
          <w:tab w:val="left" w:pos="3969"/>
          <w:tab w:val="left" w:pos="4820"/>
          <w:tab w:val="left" w:pos="5812"/>
        </w:tabs>
        <w:rPr>
          <w:sz w:val="20"/>
          <w:szCs w:val="16"/>
        </w:rPr>
      </w:pPr>
      <w:r w:rsidRPr="001343BC">
        <w:rPr>
          <w:sz w:val="20"/>
          <w:szCs w:val="16"/>
        </w:rPr>
        <w:t>Frequency Band &amp; Mode :</w:t>
      </w:r>
      <w:r w:rsidRPr="001343BC">
        <w:rPr>
          <w:sz w:val="20"/>
          <w:szCs w:val="16"/>
        </w:rPr>
        <w:tab/>
        <w:t>VHF-FM</w:t>
      </w:r>
    </w:p>
    <w:p w14:paraId="717630A5" w14:textId="77777777" w:rsidR="00B8272B" w:rsidRPr="001343BC" w:rsidRDefault="00B8272B" w:rsidP="00B8272B">
      <w:pPr>
        <w:pStyle w:val="ABABodyText"/>
        <w:tabs>
          <w:tab w:val="left" w:pos="3969"/>
          <w:tab w:val="left" w:pos="4820"/>
          <w:tab w:val="left" w:pos="5812"/>
        </w:tabs>
        <w:rPr>
          <w:sz w:val="20"/>
          <w:szCs w:val="16"/>
        </w:rPr>
      </w:pPr>
      <w:r w:rsidRPr="001343BC">
        <w:rPr>
          <w:sz w:val="20"/>
          <w:szCs w:val="16"/>
        </w:rPr>
        <w:t>Carrier Frequency :</w:t>
      </w:r>
      <w:r w:rsidRPr="001343BC">
        <w:rPr>
          <w:sz w:val="20"/>
          <w:szCs w:val="16"/>
        </w:rPr>
        <w:tab/>
        <w:t>102.9 MHz</w:t>
      </w:r>
    </w:p>
    <w:p w14:paraId="5E352A84" w14:textId="77777777" w:rsidR="00B8272B" w:rsidRPr="001343BC" w:rsidRDefault="00B8272B" w:rsidP="00B8272B">
      <w:pPr>
        <w:pStyle w:val="ABABodyText"/>
        <w:tabs>
          <w:tab w:val="left" w:pos="3969"/>
          <w:tab w:val="left" w:pos="4820"/>
          <w:tab w:val="left" w:pos="5812"/>
        </w:tabs>
        <w:rPr>
          <w:sz w:val="20"/>
          <w:szCs w:val="16"/>
        </w:rPr>
      </w:pPr>
      <w:r w:rsidRPr="001343BC">
        <w:rPr>
          <w:sz w:val="20"/>
          <w:szCs w:val="16"/>
        </w:rPr>
        <w:t>Polarisation :</w:t>
      </w:r>
      <w:r w:rsidRPr="001343BC">
        <w:rPr>
          <w:sz w:val="20"/>
          <w:szCs w:val="16"/>
        </w:rPr>
        <w:tab/>
        <w:t>Mixed</w:t>
      </w:r>
    </w:p>
    <w:p w14:paraId="38ACFE78" w14:textId="77777777" w:rsidR="00B8272B" w:rsidRPr="001343BC" w:rsidRDefault="00B8272B" w:rsidP="00B8272B">
      <w:pPr>
        <w:pStyle w:val="ABABodyText"/>
        <w:tabs>
          <w:tab w:val="left" w:pos="3969"/>
          <w:tab w:val="left" w:pos="4820"/>
          <w:tab w:val="left" w:pos="5812"/>
        </w:tabs>
        <w:rPr>
          <w:sz w:val="20"/>
          <w:szCs w:val="16"/>
        </w:rPr>
      </w:pPr>
      <w:r w:rsidRPr="001343BC">
        <w:rPr>
          <w:sz w:val="20"/>
          <w:szCs w:val="16"/>
        </w:rPr>
        <w:t>Maximum antenna height :</w:t>
      </w:r>
      <w:r w:rsidRPr="001343BC">
        <w:rPr>
          <w:sz w:val="20"/>
          <w:szCs w:val="16"/>
        </w:rPr>
        <w:tab/>
        <w:t>25 m</w:t>
      </w:r>
    </w:p>
    <w:p w14:paraId="5FAB0660" w14:textId="77777777" w:rsidR="00B8272B" w:rsidRPr="001343BC" w:rsidRDefault="00B8272B" w:rsidP="00B8272B">
      <w:pPr>
        <w:pStyle w:val="ABAHeading4"/>
        <w:rPr>
          <w:rFonts w:ascii="Times New Roman" w:hAnsi="Times New Roman"/>
          <w:sz w:val="16"/>
          <w:szCs w:val="16"/>
        </w:rPr>
      </w:pPr>
    </w:p>
    <w:p w14:paraId="3F208756" w14:textId="77777777" w:rsidR="00B8272B" w:rsidRPr="001343BC" w:rsidRDefault="00B8272B" w:rsidP="00B8272B">
      <w:pPr>
        <w:pStyle w:val="ABAHeading4"/>
        <w:rPr>
          <w:rFonts w:ascii="Times New Roman" w:hAnsi="Times New Roman"/>
        </w:rPr>
      </w:pPr>
      <w:r w:rsidRPr="001343BC">
        <w:rPr>
          <w:rFonts w:ascii="Times New Roman" w:hAnsi="Times New Roman"/>
        </w:rPr>
        <w:t>Output Radiation Pattern :-</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2835"/>
        <w:gridCol w:w="2835"/>
      </w:tblGrid>
      <w:tr w:rsidR="00B8272B" w:rsidRPr="001343BC" w14:paraId="59E2F6A1" w14:textId="77777777" w:rsidTr="00B8272B">
        <w:tc>
          <w:tcPr>
            <w:tcW w:w="2835" w:type="dxa"/>
            <w:tcBorders>
              <w:top w:val="single" w:sz="4" w:space="0" w:color="auto"/>
              <w:left w:val="nil"/>
              <w:bottom w:val="single" w:sz="4" w:space="0" w:color="auto"/>
              <w:right w:val="nil"/>
            </w:tcBorders>
            <w:hideMark/>
          </w:tcPr>
          <w:p w14:paraId="5DF4CEC0" w14:textId="77777777" w:rsidR="00B8272B" w:rsidRPr="0022271B" w:rsidRDefault="00B8272B">
            <w:pPr>
              <w:pStyle w:val="ABATableHeading"/>
              <w:spacing w:line="256" w:lineRule="auto"/>
              <w:jc w:val="center"/>
              <w:rPr>
                <w:rFonts w:ascii="Times New Roman" w:hAnsi="Times New Roman"/>
              </w:rPr>
            </w:pPr>
            <w:r w:rsidRPr="0022271B">
              <w:rPr>
                <w:rFonts w:ascii="Times New Roman" w:hAnsi="Times New Roman"/>
              </w:rPr>
              <w:t xml:space="preserve">Bearing or Sector </w:t>
            </w:r>
            <w:r w:rsidRPr="0022271B">
              <w:rPr>
                <w:rFonts w:ascii="Times New Roman" w:hAnsi="Times New Roman"/>
              </w:rPr>
              <w:br/>
              <w:t>(Clockwise direction)</w:t>
            </w:r>
          </w:p>
        </w:tc>
        <w:tc>
          <w:tcPr>
            <w:tcW w:w="2835" w:type="dxa"/>
            <w:tcBorders>
              <w:top w:val="single" w:sz="4" w:space="0" w:color="auto"/>
              <w:left w:val="nil"/>
              <w:bottom w:val="single" w:sz="4" w:space="0" w:color="auto"/>
              <w:right w:val="nil"/>
            </w:tcBorders>
            <w:hideMark/>
          </w:tcPr>
          <w:p w14:paraId="13AC73CB" w14:textId="77777777" w:rsidR="00B8272B" w:rsidRPr="0022271B" w:rsidRDefault="00B8272B">
            <w:pPr>
              <w:pStyle w:val="ABATableHeading"/>
              <w:spacing w:line="256" w:lineRule="auto"/>
              <w:jc w:val="center"/>
              <w:rPr>
                <w:rFonts w:ascii="Times New Roman" w:hAnsi="Times New Roman"/>
              </w:rPr>
            </w:pPr>
            <w:r w:rsidRPr="0022271B">
              <w:rPr>
                <w:rFonts w:ascii="Times New Roman" w:hAnsi="Times New Roman"/>
              </w:rPr>
              <w:t>Maximum ERP</w:t>
            </w:r>
          </w:p>
        </w:tc>
      </w:tr>
      <w:tr w:rsidR="00B8272B" w:rsidRPr="001343BC" w14:paraId="1ABBDF1F" w14:textId="77777777" w:rsidTr="00B8272B">
        <w:tc>
          <w:tcPr>
            <w:tcW w:w="2835" w:type="dxa"/>
            <w:tcBorders>
              <w:top w:val="single" w:sz="4" w:space="0" w:color="auto"/>
              <w:left w:val="nil"/>
              <w:bottom w:val="single" w:sz="4" w:space="0" w:color="auto"/>
              <w:right w:val="nil"/>
            </w:tcBorders>
            <w:hideMark/>
          </w:tcPr>
          <w:p w14:paraId="731C6E0E" w14:textId="77777777" w:rsidR="00B8272B" w:rsidRPr="0022271B" w:rsidRDefault="00B8272B">
            <w:pPr>
              <w:pStyle w:val="ABATableText"/>
              <w:rPr>
                <w:rFonts w:ascii="Times New Roman" w:hAnsi="Times New Roman"/>
              </w:rPr>
            </w:pPr>
            <w:r w:rsidRPr="0022271B">
              <w:t>At all angles of azimuth</w:t>
            </w:r>
          </w:p>
        </w:tc>
        <w:tc>
          <w:tcPr>
            <w:tcW w:w="2835" w:type="dxa"/>
            <w:tcBorders>
              <w:top w:val="single" w:sz="4" w:space="0" w:color="auto"/>
              <w:left w:val="nil"/>
              <w:bottom w:val="single" w:sz="4" w:space="0" w:color="auto"/>
              <w:right w:val="nil"/>
            </w:tcBorders>
            <w:hideMark/>
          </w:tcPr>
          <w:p w14:paraId="24B6FAAF" w14:textId="77777777" w:rsidR="00B8272B" w:rsidRPr="0022271B" w:rsidRDefault="00B8272B">
            <w:pPr>
              <w:pStyle w:val="ABATableText"/>
            </w:pPr>
            <w:r w:rsidRPr="0022271B">
              <w:t>200 W</w:t>
            </w:r>
          </w:p>
        </w:tc>
      </w:tr>
    </w:tbl>
    <w:p w14:paraId="346B700B" w14:textId="77777777" w:rsidR="00B8272B" w:rsidRPr="001343BC" w:rsidRDefault="00B8272B" w:rsidP="00B8272B">
      <w:pPr>
        <w:pStyle w:val="ABAHeading4"/>
        <w:rPr>
          <w:rFonts w:ascii="Times New Roman" w:hAnsi="Times New Roman"/>
        </w:rPr>
      </w:pPr>
    </w:p>
    <w:p w14:paraId="3281953E" w14:textId="77777777" w:rsidR="00B8272B" w:rsidRPr="001343BC" w:rsidRDefault="00B8272B" w:rsidP="00B8272B">
      <w:pPr>
        <w:spacing w:after="0" w:line="240" w:lineRule="auto"/>
        <w:rPr>
          <w:rFonts w:ascii="Times New Roman" w:hAnsi="Times New Roman"/>
          <w:sz w:val="18"/>
          <w:szCs w:val="22"/>
        </w:rPr>
      </w:pPr>
    </w:p>
    <w:p w14:paraId="30473BFF" w14:textId="77777777" w:rsidR="00B8272B" w:rsidRPr="001343BC" w:rsidRDefault="00B8272B" w:rsidP="00B8272B">
      <w:pPr>
        <w:pStyle w:val="ABAHeading4"/>
        <w:rPr>
          <w:rFonts w:ascii="Times New Roman" w:hAnsi="Times New Roman"/>
        </w:rPr>
      </w:pPr>
      <w:r w:rsidRPr="001343BC">
        <w:rPr>
          <w:rFonts w:ascii="Times New Roman" w:hAnsi="Times New Roman"/>
        </w:rPr>
        <w:t>Advisory Note :-</w:t>
      </w:r>
    </w:p>
    <w:p w14:paraId="37D582A0" w14:textId="77777777" w:rsidR="00B8272B" w:rsidRPr="001343BC" w:rsidRDefault="00B8272B" w:rsidP="00B8272B">
      <w:pPr>
        <w:pStyle w:val="ABABodyText"/>
        <w:tabs>
          <w:tab w:val="left" w:pos="3969"/>
          <w:tab w:val="left" w:pos="4820"/>
          <w:tab w:val="left" w:pos="5812"/>
        </w:tabs>
        <w:rPr>
          <w:sz w:val="20"/>
          <w:szCs w:val="16"/>
        </w:rPr>
      </w:pPr>
      <w:r w:rsidRPr="001343BC">
        <w:rPr>
          <w:sz w:val="20"/>
          <w:szCs w:val="16"/>
        </w:rPr>
        <w:t>This service has been planned on an interference limited basis. Field strengths below the planned minimum median field strength level are likely to suffer interference from other broadcasting services.</w:t>
      </w:r>
    </w:p>
    <w:p w14:paraId="1500F790" w14:textId="77777777" w:rsidR="00B8272B" w:rsidRPr="00D02BD3" w:rsidRDefault="00B8272B" w:rsidP="00B8272B">
      <w:pPr>
        <w:pStyle w:val="ABABodyText"/>
        <w:tabs>
          <w:tab w:val="left" w:pos="3969"/>
          <w:tab w:val="left" w:pos="4820"/>
          <w:tab w:val="left" w:pos="5812"/>
        </w:tabs>
        <w:rPr>
          <w:sz w:val="20"/>
          <w:szCs w:val="16"/>
        </w:rPr>
      </w:pPr>
      <w:r w:rsidRPr="00D02BD3">
        <w:rPr>
          <w:sz w:val="20"/>
          <w:szCs w:val="16"/>
        </w:rPr>
        <w:t>Any transmission in accordance with this specification is planned on the basis that it will be protected to a minimum median field strength level of 66 dBµV/m against interference from other broadcasting services.</w:t>
      </w:r>
    </w:p>
    <w:p w14:paraId="332F7AC3" w14:textId="7C546ECB" w:rsidR="00102B8D" w:rsidRDefault="00102B8D" w:rsidP="00102B8D">
      <w:pPr>
        <w:pStyle w:val="Heading1"/>
      </w:pPr>
      <w:bookmarkStart w:id="64" w:name="AppendixD"/>
      <w:bookmarkStart w:id="65" w:name="_Toc98412032"/>
      <w:bookmarkEnd w:id="64"/>
      <w:r w:rsidRPr="006D46E5">
        <w:t xml:space="preserve">Appendix </w:t>
      </w:r>
      <w:r>
        <w:t>D</w:t>
      </w:r>
      <w:bookmarkEnd w:id="65"/>
    </w:p>
    <w:p w14:paraId="6592FE16" w14:textId="766277D9" w:rsidR="00813B7C" w:rsidRDefault="00813B7C" w:rsidP="00813B7C">
      <w:pPr>
        <w:pStyle w:val="Heading2"/>
      </w:pPr>
      <w:bookmarkStart w:id="66" w:name="_Proposed_specification_for_1"/>
      <w:bookmarkStart w:id="67" w:name="_Toc14692777"/>
      <w:bookmarkStart w:id="68" w:name="_Toc98412033"/>
      <w:bookmarkEnd w:id="66"/>
      <w:r>
        <w:t xml:space="preserve">Proposed specification for 2QN </w:t>
      </w:r>
      <w:r w:rsidR="00E45F3A">
        <w:t>infill transmitter</w:t>
      </w:r>
      <w:r>
        <w:t xml:space="preserve"> to serve Cobram</w:t>
      </w:r>
      <w:bookmarkEnd w:id="67"/>
      <w:bookmarkEnd w:id="68"/>
    </w:p>
    <w:p w14:paraId="393E7CE9" w14:textId="77777777" w:rsidR="00B8272B" w:rsidRPr="00184726" w:rsidRDefault="00B8272B" w:rsidP="00B8272B">
      <w:pPr>
        <w:pStyle w:val="ABAHeading3"/>
        <w:rPr>
          <w:rFonts w:ascii="Times New Roman" w:hAnsi="Times New Roman"/>
          <w:sz w:val="20"/>
        </w:rPr>
      </w:pPr>
      <w:r w:rsidRPr="00184726">
        <w:rPr>
          <w:rFonts w:ascii="Times New Roman" w:hAnsi="Times New Roman"/>
          <w:sz w:val="20"/>
        </w:rPr>
        <w:t>LICENCE AREA PLAN :</w:t>
      </w:r>
      <w:r w:rsidRPr="00184726">
        <w:rPr>
          <w:rFonts w:ascii="Times New Roman" w:hAnsi="Times New Roman"/>
          <w:sz w:val="20"/>
        </w:rPr>
        <w:tab/>
        <w:t xml:space="preserve">Deniliquin Radio  </w:t>
      </w:r>
    </w:p>
    <w:p w14:paraId="2D4AC698" w14:textId="77777777" w:rsidR="00B8272B" w:rsidRPr="00184726" w:rsidRDefault="00B8272B" w:rsidP="00B8272B">
      <w:pPr>
        <w:pStyle w:val="ABABodyText"/>
        <w:tabs>
          <w:tab w:val="left" w:pos="3969"/>
          <w:tab w:val="left" w:pos="4820"/>
          <w:tab w:val="left" w:pos="5812"/>
        </w:tabs>
        <w:rPr>
          <w:sz w:val="20"/>
        </w:rPr>
      </w:pPr>
      <w:r w:rsidRPr="00184726">
        <w:rPr>
          <w:sz w:val="20"/>
        </w:rPr>
        <w:t>Category :</w:t>
      </w:r>
      <w:r w:rsidRPr="00184726">
        <w:rPr>
          <w:sz w:val="20"/>
        </w:rPr>
        <w:tab/>
        <w:t>Commercial</w:t>
      </w:r>
    </w:p>
    <w:p w14:paraId="28B187CB" w14:textId="77777777" w:rsidR="00B8272B" w:rsidRPr="00184726" w:rsidRDefault="00B8272B" w:rsidP="00B8272B">
      <w:pPr>
        <w:pStyle w:val="ABABodyText"/>
        <w:tabs>
          <w:tab w:val="left" w:pos="3969"/>
          <w:tab w:val="left" w:pos="4820"/>
          <w:tab w:val="left" w:pos="5812"/>
        </w:tabs>
        <w:rPr>
          <w:sz w:val="20"/>
        </w:rPr>
      </w:pPr>
      <w:r w:rsidRPr="00184726">
        <w:rPr>
          <w:sz w:val="20"/>
        </w:rPr>
        <w:t>General Area Served :</w:t>
      </w:r>
      <w:r w:rsidRPr="00184726">
        <w:rPr>
          <w:sz w:val="20"/>
        </w:rPr>
        <w:tab/>
        <w:t>Cobram (VIC)</w:t>
      </w:r>
    </w:p>
    <w:p w14:paraId="3DB330AB" w14:textId="77777777" w:rsidR="00B8272B" w:rsidRPr="00184726" w:rsidRDefault="00B8272B" w:rsidP="00B8272B">
      <w:pPr>
        <w:pStyle w:val="ABABodyText"/>
        <w:tabs>
          <w:tab w:val="left" w:pos="3969"/>
          <w:tab w:val="left" w:pos="4820"/>
          <w:tab w:val="left" w:pos="5812"/>
        </w:tabs>
        <w:rPr>
          <w:sz w:val="20"/>
        </w:rPr>
      </w:pPr>
      <w:r w:rsidRPr="00184726">
        <w:rPr>
          <w:sz w:val="20"/>
        </w:rPr>
        <w:t>Service Licence Number :</w:t>
      </w:r>
      <w:r w:rsidRPr="00184726">
        <w:rPr>
          <w:sz w:val="20"/>
        </w:rPr>
        <w:tab/>
        <w:t>SL10407</w:t>
      </w:r>
    </w:p>
    <w:p w14:paraId="1E5ED342" w14:textId="77777777" w:rsidR="00B8272B" w:rsidRPr="00184726" w:rsidRDefault="00B8272B" w:rsidP="00B8272B">
      <w:pPr>
        <w:pStyle w:val="ABAHeading3"/>
        <w:rPr>
          <w:rFonts w:ascii="Times New Roman" w:hAnsi="Times New Roman"/>
          <w:sz w:val="20"/>
        </w:rPr>
      </w:pPr>
    </w:p>
    <w:p w14:paraId="36DB5B3A" w14:textId="77777777" w:rsidR="00B8272B" w:rsidRPr="00184726" w:rsidRDefault="00B8272B" w:rsidP="00B8272B">
      <w:pPr>
        <w:pStyle w:val="ABAHeading3"/>
        <w:rPr>
          <w:rFonts w:ascii="Times New Roman" w:hAnsi="Times New Roman"/>
          <w:sz w:val="20"/>
        </w:rPr>
      </w:pPr>
      <w:r w:rsidRPr="00184726">
        <w:rPr>
          <w:rFonts w:ascii="Times New Roman" w:hAnsi="Times New Roman"/>
          <w:sz w:val="20"/>
        </w:rPr>
        <w:t>TECHNICAL SPECIFICATION - FM Radio</w:t>
      </w:r>
    </w:p>
    <w:p w14:paraId="18478827" w14:textId="77777777" w:rsidR="00B8272B" w:rsidRPr="00184726" w:rsidRDefault="00B8272B" w:rsidP="00B8272B">
      <w:pPr>
        <w:pStyle w:val="ABABodyText"/>
        <w:tabs>
          <w:tab w:val="left" w:pos="3969"/>
          <w:tab w:val="left" w:pos="4820"/>
          <w:tab w:val="left" w:pos="5812"/>
        </w:tabs>
        <w:rPr>
          <w:sz w:val="20"/>
        </w:rPr>
      </w:pPr>
      <w:r w:rsidRPr="00184726">
        <w:rPr>
          <w:sz w:val="20"/>
        </w:rPr>
        <w:t>Specification Number :</w:t>
      </w:r>
      <w:r w:rsidRPr="00184726">
        <w:rPr>
          <w:sz w:val="20"/>
        </w:rPr>
        <w:tab/>
        <w:t>TS12000648</w:t>
      </w:r>
    </w:p>
    <w:p w14:paraId="0B3F0FF8" w14:textId="77777777" w:rsidR="00B8272B" w:rsidRPr="00184726" w:rsidRDefault="00B8272B" w:rsidP="00B8272B">
      <w:pPr>
        <w:pStyle w:val="ABAHeading4"/>
        <w:rPr>
          <w:rFonts w:ascii="Times New Roman" w:hAnsi="Times New Roman"/>
        </w:rPr>
      </w:pPr>
    </w:p>
    <w:p w14:paraId="0D5461BB" w14:textId="77777777" w:rsidR="00B8272B" w:rsidRPr="00184726" w:rsidRDefault="00B8272B" w:rsidP="00B8272B">
      <w:pPr>
        <w:pStyle w:val="ABAHeading4"/>
        <w:rPr>
          <w:rFonts w:ascii="Times New Roman" w:hAnsi="Times New Roman"/>
        </w:rPr>
      </w:pPr>
      <w:r w:rsidRPr="00184726">
        <w:rPr>
          <w:rFonts w:ascii="Times New Roman" w:hAnsi="Times New Roman"/>
        </w:rPr>
        <w:t>Transmitter Site :-</w:t>
      </w:r>
    </w:p>
    <w:p w14:paraId="79360518" w14:textId="77777777" w:rsidR="00B8272B" w:rsidRPr="00184726" w:rsidRDefault="00B8272B" w:rsidP="00A2352B">
      <w:pPr>
        <w:pStyle w:val="ABABodyText"/>
        <w:tabs>
          <w:tab w:val="left" w:pos="3969"/>
          <w:tab w:val="left" w:pos="4820"/>
          <w:tab w:val="left" w:pos="5812"/>
        </w:tabs>
        <w:ind w:left="3969" w:hanging="3969"/>
        <w:rPr>
          <w:sz w:val="20"/>
        </w:rPr>
      </w:pPr>
      <w:r w:rsidRPr="00184726">
        <w:rPr>
          <w:sz w:val="20"/>
        </w:rPr>
        <w:t>Nominal location :</w:t>
      </w:r>
      <w:r w:rsidRPr="00184726">
        <w:rPr>
          <w:sz w:val="20"/>
        </w:rPr>
        <w:tab/>
        <w:t>Broadcast Site Racecourse  Ritchie Rd COBRAM</w:t>
      </w:r>
    </w:p>
    <w:p w14:paraId="286E5278" w14:textId="77777777" w:rsidR="00B8272B" w:rsidRPr="00184726" w:rsidRDefault="00B8272B" w:rsidP="00B8272B">
      <w:pPr>
        <w:pStyle w:val="ABABodyText"/>
        <w:tabs>
          <w:tab w:val="left" w:pos="3969"/>
          <w:tab w:val="left" w:pos="4820"/>
          <w:tab w:val="left" w:pos="5812"/>
        </w:tabs>
        <w:rPr>
          <w:sz w:val="20"/>
        </w:rPr>
      </w:pPr>
      <w:r w:rsidRPr="00184726">
        <w:rPr>
          <w:sz w:val="20"/>
        </w:rPr>
        <w:t xml:space="preserve">Nominal Co-ordinates </w:t>
      </w:r>
      <w:r w:rsidRPr="00184726">
        <w:rPr>
          <w:sz w:val="20"/>
        </w:rPr>
        <w:tab/>
        <w:t>Latitude</w:t>
      </w:r>
      <w:r w:rsidRPr="00184726">
        <w:rPr>
          <w:sz w:val="20"/>
        </w:rPr>
        <w:tab/>
      </w:r>
      <w:r w:rsidRPr="00184726">
        <w:rPr>
          <w:sz w:val="20"/>
        </w:rPr>
        <w:tab/>
        <w:t>Longitude</w:t>
      </w:r>
      <w:r w:rsidRPr="00184726">
        <w:rPr>
          <w:sz w:val="20"/>
        </w:rPr>
        <w:br/>
        <w:t>(GDA94) :</w:t>
      </w:r>
      <w:r w:rsidRPr="00184726">
        <w:rPr>
          <w:sz w:val="20"/>
        </w:rPr>
        <w:tab/>
        <w:t>-35.904024</w:t>
      </w:r>
      <w:r w:rsidRPr="00184726">
        <w:rPr>
          <w:sz w:val="20"/>
        </w:rPr>
        <w:tab/>
        <w:t>145.636837</w:t>
      </w:r>
    </w:p>
    <w:p w14:paraId="2B5E9D09" w14:textId="77777777" w:rsidR="00B8272B" w:rsidRPr="00184726" w:rsidRDefault="00B8272B" w:rsidP="00B8272B">
      <w:pPr>
        <w:pStyle w:val="ABABodyText"/>
        <w:tabs>
          <w:tab w:val="left" w:pos="3969"/>
          <w:tab w:val="left" w:pos="4820"/>
          <w:tab w:val="left" w:pos="5812"/>
        </w:tabs>
        <w:rPr>
          <w:sz w:val="20"/>
        </w:rPr>
      </w:pPr>
      <w:r w:rsidRPr="00184726">
        <w:rPr>
          <w:sz w:val="20"/>
        </w:rPr>
        <w:t>Site Tolerance :</w:t>
      </w:r>
      <w:r w:rsidRPr="00184726">
        <w:rPr>
          <w:sz w:val="20"/>
        </w:rPr>
        <w:tab/>
        <w:t xml:space="preserve">Refer to </w:t>
      </w:r>
      <w:r w:rsidRPr="00184726">
        <w:rPr>
          <w:i/>
          <w:sz w:val="20"/>
        </w:rPr>
        <w:t xml:space="preserve">Broadcasting Services </w:t>
      </w:r>
      <w:r w:rsidRPr="00184726">
        <w:rPr>
          <w:i/>
          <w:sz w:val="20"/>
        </w:rPr>
        <w:br/>
      </w:r>
      <w:r w:rsidRPr="00184726">
        <w:rPr>
          <w:i/>
          <w:sz w:val="20"/>
        </w:rPr>
        <w:tab/>
        <w:t>(Technical Planning) Guidelines 2017</w:t>
      </w:r>
    </w:p>
    <w:p w14:paraId="67BB3B22" w14:textId="77777777" w:rsidR="00B8272B" w:rsidRPr="00184726" w:rsidRDefault="00B8272B" w:rsidP="00B8272B">
      <w:pPr>
        <w:pStyle w:val="ABAHeading4"/>
        <w:rPr>
          <w:rFonts w:ascii="Times New Roman" w:hAnsi="Times New Roman"/>
        </w:rPr>
      </w:pPr>
    </w:p>
    <w:p w14:paraId="14D87187" w14:textId="77777777" w:rsidR="00B8272B" w:rsidRPr="00184726" w:rsidRDefault="00B8272B" w:rsidP="00B8272B">
      <w:pPr>
        <w:pStyle w:val="ABAHeading4"/>
        <w:rPr>
          <w:rFonts w:ascii="Times New Roman" w:hAnsi="Times New Roman"/>
        </w:rPr>
      </w:pPr>
      <w:r w:rsidRPr="00184726">
        <w:rPr>
          <w:rFonts w:ascii="Times New Roman" w:hAnsi="Times New Roman"/>
        </w:rPr>
        <w:t>Emission :-</w:t>
      </w:r>
    </w:p>
    <w:p w14:paraId="4E880A47" w14:textId="77777777" w:rsidR="00B8272B" w:rsidRPr="00184726" w:rsidRDefault="00B8272B" w:rsidP="00B8272B">
      <w:pPr>
        <w:pStyle w:val="ABABodyText"/>
        <w:tabs>
          <w:tab w:val="left" w:pos="3969"/>
          <w:tab w:val="left" w:pos="4820"/>
          <w:tab w:val="left" w:pos="5812"/>
        </w:tabs>
        <w:rPr>
          <w:sz w:val="20"/>
        </w:rPr>
      </w:pPr>
      <w:r w:rsidRPr="00184726">
        <w:rPr>
          <w:sz w:val="20"/>
        </w:rPr>
        <w:t>Frequency Band &amp; Mode :</w:t>
      </w:r>
      <w:r w:rsidRPr="00184726">
        <w:rPr>
          <w:sz w:val="20"/>
        </w:rPr>
        <w:tab/>
        <w:t>VHF-FM</w:t>
      </w:r>
    </w:p>
    <w:p w14:paraId="53FF3583" w14:textId="77777777" w:rsidR="00B8272B" w:rsidRPr="00184726" w:rsidRDefault="00B8272B" w:rsidP="00B8272B">
      <w:pPr>
        <w:pStyle w:val="ABABodyText"/>
        <w:tabs>
          <w:tab w:val="left" w:pos="3969"/>
          <w:tab w:val="left" w:pos="4820"/>
          <w:tab w:val="left" w:pos="5812"/>
        </w:tabs>
        <w:rPr>
          <w:sz w:val="20"/>
        </w:rPr>
      </w:pPr>
      <w:r w:rsidRPr="00184726">
        <w:rPr>
          <w:sz w:val="20"/>
        </w:rPr>
        <w:t>Carrier Frequency :</w:t>
      </w:r>
      <w:r w:rsidRPr="00184726">
        <w:rPr>
          <w:sz w:val="20"/>
        </w:rPr>
        <w:tab/>
        <w:t>93.3 MHz</w:t>
      </w:r>
    </w:p>
    <w:p w14:paraId="00B4B5C4" w14:textId="77777777" w:rsidR="00B8272B" w:rsidRPr="00184726" w:rsidRDefault="00B8272B" w:rsidP="00B8272B">
      <w:pPr>
        <w:pStyle w:val="ABABodyText"/>
        <w:tabs>
          <w:tab w:val="left" w:pos="3969"/>
          <w:tab w:val="left" w:pos="4820"/>
          <w:tab w:val="left" w:pos="5812"/>
        </w:tabs>
        <w:rPr>
          <w:sz w:val="20"/>
        </w:rPr>
      </w:pPr>
      <w:r w:rsidRPr="00184726">
        <w:rPr>
          <w:sz w:val="20"/>
        </w:rPr>
        <w:t>Polarisation :</w:t>
      </w:r>
      <w:r w:rsidRPr="00184726">
        <w:rPr>
          <w:sz w:val="20"/>
        </w:rPr>
        <w:tab/>
        <w:t>Mixed</w:t>
      </w:r>
    </w:p>
    <w:p w14:paraId="2FADC525" w14:textId="77777777" w:rsidR="00B8272B" w:rsidRPr="00184726" w:rsidRDefault="00B8272B" w:rsidP="00B8272B">
      <w:pPr>
        <w:pStyle w:val="ABABodyText"/>
        <w:tabs>
          <w:tab w:val="left" w:pos="3969"/>
          <w:tab w:val="left" w:pos="4820"/>
          <w:tab w:val="left" w:pos="5812"/>
        </w:tabs>
        <w:rPr>
          <w:sz w:val="20"/>
        </w:rPr>
      </w:pPr>
      <w:r w:rsidRPr="00184726">
        <w:rPr>
          <w:sz w:val="20"/>
        </w:rPr>
        <w:t>Maximum antenna height :</w:t>
      </w:r>
      <w:r w:rsidRPr="00184726">
        <w:rPr>
          <w:sz w:val="20"/>
        </w:rPr>
        <w:tab/>
        <w:t>30 m</w:t>
      </w:r>
    </w:p>
    <w:p w14:paraId="3870E4F9" w14:textId="77777777" w:rsidR="00B8272B" w:rsidRPr="00184726" w:rsidRDefault="00B8272B" w:rsidP="00B8272B">
      <w:pPr>
        <w:pStyle w:val="ABAHeading4"/>
        <w:rPr>
          <w:rFonts w:ascii="Times New Roman" w:hAnsi="Times New Roman"/>
        </w:rPr>
      </w:pPr>
    </w:p>
    <w:p w14:paraId="5E0D0334" w14:textId="77777777" w:rsidR="00B8272B" w:rsidRPr="00184726" w:rsidRDefault="00B8272B" w:rsidP="00B8272B">
      <w:pPr>
        <w:pStyle w:val="ABAHeading4"/>
        <w:rPr>
          <w:rFonts w:ascii="Times New Roman" w:hAnsi="Times New Roman"/>
        </w:rPr>
      </w:pPr>
      <w:r w:rsidRPr="00184726">
        <w:rPr>
          <w:rFonts w:ascii="Times New Roman" w:hAnsi="Times New Roman"/>
        </w:rPr>
        <w:t>Output Radiation Pattern :-</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2835"/>
        <w:gridCol w:w="2835"/>
      </w:tblGrid>
      <w:tr w:rsidR="00B8272B" w:rsidRPr="00184726" w14:paraId="4AE74D50" w14:textId="77777777" w:rsidTr="00B8272B">
        <w:tc>
          <w:tcPr>
            <w:tcW w:w="2835" w:type="dxa"/>
            <w:tcBorders>
              <w:top w:val="single" w:sz="4" w:space="0" w:color="auto"/>
              <w:left w:val="nil"/>
              <w:bottom w:val="single" w:sz="4" w:space="0" w:color="auto"/>
              <w:right w:val="nil"/>
            </w:tcBorders>
            <w:hideMark/>
          </w:tcPr>
          <w:p w14:paraId="3440C2D9" w14:textId="77777777" w:rsidR="00B8272B" w:rsidRPr="00184726" w:rsidRDefault="00B8272B">
            <w:pPr>
              <w:pStyle w:val="ABATableHeading"/>
              <w:spacing w:line="256" w:lineRule="auto"/>
              <w:jc w:val="center"/>
              <w:rPr>
                <w:rFonts w:ascii="Times New Roman" w:hAnsi="Times New Roman"/>
              </w:rPr>
            </w:pPr>
            <w:r w:rsidRPr="00184726">
              <w:rPr>
                <w:rFonts w:ascii="Times New Roman" w:hAnsi="Times New Roman"/>
              </w:rPr>
              <w:t xml:space="preserve">Bearing or Sector </w:t>
            </w:r>
            <w:r w:rsidRPr="00184726">
              <w:rPr>
                <w:rFonts w:ascii="Times New Roman" w:hAnsi="Times New Roman"/>
              </w:rPr>
              <w:br/>
              <w:t>(Clockwise direction)</w:t>
            </w:r>
          </w:p>
        </w:tc>
        <w:tc>
          <w:tcPr>
            <w:tcW w:w="2835" w:type="dxa"/>
            <w:tcBorders>
              <w:top w:val="single" w:sz="4" w:space="0" w:color="auto"/>
              <w:left w:val="nil"/>
              <w:bottom w:val="single" w:sz="4" w:space="0" w:color="auto"/>
              <w:right w:val="nil"/>
            </w:tcBorders>
            <w:hideMark/>
          </w:tcPr>
          <w:p w14:paraId="337FDA52" w14:textId="77777777" w:rsidR="00B8272B" w:rsidRPr="00184726" w:rsidRDefault="00B8272B">
            <w:pPr>
              <w:pStyle w:val="ABATableHeading"/>
              <w:spacing w:line="256" w:lineRule="auto"/>
              <w:jc w:val="center"/>
              <w:rPr>
                <w:rFonts w:ascii="Times New Roman" w:hAnsi="Times New Roman"/>
              </w:rPr>
            </w:pPr>
            <w:r w:rsidRPr="00184726">
              <w:rPr>
                <w:rFonts w:ascii="Times New Roman" w:hAnsi="Times New Roman"/>
              </w:rPr>
              <w:t>Maximum ERP</w:t>
            </w:r>
          </w:p>
        </w:tc>
      </w:tr>
      <w:tr w:rsidR="00B8272B" w:rsidRPr="00184726" w14:paraId="3933E93D" w14:textId="77777777" w:rsidTr="00B8272B">
        <w:tc>
          <w:tcPr>
            <w:tcW w:w="2835" w:type="dxa"/>
            <w:tcBorders>
              <w:top w:val="single" w:sz="4" w:space="0" w:color="auto"/>
              <w:left w:val="nil"/>
              <w:bottom w:val="single" w:sz="4" w:space="0" w:color="auto"/>
              <w:right w:val="nil"/>
            </w:tcBorders>
            <w:hideMark/>
          </w:tcPr>
          <w:p w14:paraId="268DC184" w14:textId="77777777" w:rsidR="00B8272B" w:rsidRPr="00184726" w:rsidRDefault="00B8272B">
            <w:pPr>
              <w:pStyle w:val="ABATableText"/>
              <w:rPr>
                <w:rFonts w:ascii="Times New Roman" w:hAnsi="Times New Roman"/>
              </w:rPr>
            </w:pPr>
            <w:r w:rsidRPr="00184726">
              <w:t>At all angles of azimuth</w:t>
            </w:r>
          </w:p>
        </w:tc>
        <w:tc>
          <w:tcPr>
            <w:tcW w:w="2835" w:type="dxa"/>
            <w:tcBorders>
              <w:top w:val="single" w:sz="4" w:space="0" w:color="auto"/>
              <w:left w:val="nil"/>
              <w:bottom w:val="single" w:sz="4" w:space="0" w:color="auto"/>
              <w:right w:val="nil"/>
            </w:tcBorders>
            <w:hideMark/>
          </w:tcPr>
          <w:p w14:paraId="2745BB6C" w14:textId="77777777" w:rsidR="00B8272B" w:rsidRPr="00184726" w:rsidRDefault="00B8272B">
            <w:pPr>
              <w:pStyle w:val="ABATableText"/>
            </w:pPr>
            <w:r w:rsidRPr="00184726">
              <w:t>100 W</w:t>
            </w:r>
          </w:p>
        </w:tc>
      </w:tr>
    </w:tbl>
    <w:p w14:paraId="17879C2F" w14:textId="77777777" w:rsidR="00B8272B" w:rsidRPr="00184726" w:rsidRDefault="00B8272B" w:rsidP="00B8272B">
      <w:pPr>
        <w:pStyle w:val="ABAHeading4"/>
        <w:rPr>
          <w:rFonts w:ascii="Times New Roman" w:hAnsi="Times New Roman"/>
        </w:rPr>
      </w:pPr>
    </w:p>
    <w:p w14:paraId="487F7471" w14:textId="77777777" w:rsidR="00B8272B" w:rsidRPr="00184726" w:rsidRDefault="00B8272B" w:rsidP="00B8272B">
      <w:pPr>
        <w:pStyle w:val="ABAHeading4"/>
        <w:rPr>
          <w:rFonts w:ascii="Times New Roman" w:hAnsi="Times New Roman"/>
        </w:rPr>
      </w:pPr>
      <w:r w:rsidRPr="00184726">
        <w:rPr>
          <w:rFonts w:ascii="Times New Roman" w:hAnsi="Times New Roman"/>
        </w:rPr>
        <w:t>Advisory Note :-</w:t>
      </w:r>
    </w:p>
    <w:p w14:paraId="5CA2E3D2" w14:textId="77777777" w:rsidR="00B8272B" w:rsidRPr="00184726" w:rsidRDefault="00B8272B" w:rsidP="00B8272B">
      <w:pPr>
        <w:pStyle w:val="ABABodyText"/>
        <w:tabs>
          <w:tab w:val="left" w:pos="3969"/>
          <w:tab w:val="left" w:pos="4820"/>
          <w:tab w:val="left" w:pos="5812"/>
        </w:tabs>
        <w:rPr>
          <w:sz w:val="20"/>
        </w:rPr>
      </w:pPr>
      <w:r w:rsidRPr="00184726">
        <w:rPr>
          <w:sz w:val="20"/>
        </w:rPr>
        <w:t>This service has been planned on an interference limited basis. Field strengths below the planned minimum median field strength level are likely to suffer interference from other broadcasting services.</w:t>
      </w:r>
    </w:p>
    <w:p w14:paraId="091D6718" w14:textId="31D2FDFF" w:rsidR="00555627" w:rsidRPr="00184726" w:rsidRDefault="00B8272B" w:rsidP="00B8272B">
      <w:pPr>
        <w:pStyle w:val="ABABodyText"/>
        <w:tabs>
          <w:tab w:val="left" w:pos="3969"/>
          <w:tab w:val="left" w:pos="4820"/>
          <w:tab w:val="left" w:pos="5812"/>
        </w:tabs>
        <w:rPr>
          <w:sz w:val="20"/>
        </w:rPr>
      </w:pPr>
      <w:r w:rsidRPr="00184726">
        <w:rPr>
          <w:sz w:val="20"/>
        </w:rPr>
        <w:t>Any transmission in accordance with this specification is planned on the basis that it will be protected to a minimum median field strength level of 66 dBµV/m against interference from other broadcasting services.</w:t>
      </w:r>
    </w:p>
    <w:p w14:paraId="7FAEFA85" w14:textId="711FEC9E" w:rsidR="00B8272B" w:rsidRDefault="00B8272B" w:rsidP="00B8272B">
      <w:pPr>
        <w:pStyle w:val="Heading1"/>
      </w:pPr>
      <w:bookmarkStart w:id="69" w:name="AppendixE"/>
      <w:bookmarkStart w:id="70" w:name="_Appendix_E"/>
      <w:bookmarkStart w:id="71" w:name="_Toc98412034"/>
      <w:bookmarkEnd w:id="69"/>
      <w:bookmarkEnd w:id="70"/>
      <w:r w:rsidRPr="006D46E5">
        <w:t xml:space="preserve">Appendix </w:t>
      </w:r>
      <w:r>
        <w:t>E</w:t>
      </w:r>
      <w:bookmarkEnd w:id="71"/>
    </w:p>
    <w:p w14:paraId="7B52697B" w14:textId="381CF270" w:rsidR="00B8272B" w:rsidRPr="00381B65" w:rsidRDefault="00B8272B" w:rsidP="00B8272B">
      <w:pPr>
        <w:pStyle w:val="Heading2"/>
      </w:pPr>
      <w:bookmarkStart w:id="72" w:name="_Toc98412035"/>
      <w:r w:rsidRPr="00381B65">
        <w:t>Proposed specification for 2</w:t>
      </w:r>
      <w:r w:rsidR="001C45CF" w:rsidRPr="00381B65">
        <w:t>MOR</w:t>
      </w:r>
      <w:r w:rsidRPr="00381B65">
        <w:t xml:space="preserve"> infill transmitter to serve </w:t>
      </w:r>
      <w:r w:rsidR="00E41858" w:rsidRPr="00381B65">
        <w:t>Echuca/Moama</w:t>
      </w:r>
      <w:bookmarkEnd w:id="72"/>
    </w:p>
    <w:p w14:paraId="4540C30D" w14:textId="77777777" w:rsidR="00B8272B" w:rsidRPr="00184726" w:rsidRDefault="00B8272B" w:rsidP="00B8272B">
      <w:pPr>
        <w:pStyle w:val="ABAHeading3"/>
        <w:rPr>
          <w:rFonts w:ascii="Times New Roman" w:hAnsi="Times New Roman"/>
          <w:sz w:val="20"/>
        </w:rPr>
      </w:pPr>
      <w:r w:rsidRPr="00184726">
        <w:rPr>
          <w:rFonts w:ascii="Times New Roman" w:hAnsi="Times New Roman"/>
          <w:sz w:val="20"/>
        </w:rPr>
        <w:t>LICENCE AREA PLAN :</w:t>
      </w:r>
      <w:r w:rsidRPr="00184726">
        <w:rPr>
          <w:rFonts w:ascii="Times New Roman" w:hAnsi="Times New Roman"/>
          <w:sz w:val="20"/>
        </w:rPr>
        <w:tab/>
        <w:t xml:space="preserve">Deniliquin Radio  </w:t>
      </w:r>
    </w:p>
    <w:p w14:paraId="60879D44" w14:textId="77777777" w:rsidR="00B8272B" w:rsidRPr="00184726" w:rsidRDefault="00B8272B" w:rsidP="00B8272B">
      <w:pPr>
        <w:pStyle w:val="ABABodyText"/>
        <w:tabs>
          <w:tab w:val="left" w:pos="3969"/>
          <w:tab w:val="left" w:pos="4820"/>
          <w:tab w:val="left" w:pos="5812"/>
        </w:tabs>
        <w:rPr>
          <w:sz w:val="20"/>
        </w:rPr>
      </w:pPr>
      <w:r w:rsidRPr="00184726">
        <w:rPr>
          <w:sz w:val="20"/>
        </w:rPr>
        <w:t>Category :</w:t>
      </w:r>
      <w:r w:rsidRPr="00184726">
        <w:rPr>
          <w:sz w:val="20"/>
        </w:rPr>
        <w:tab/>
        <w:t>Commercial</w:t>
      </w:r>
    </w:p>
    <w:p w14:paraId="4DA927D9" w14:textId="77777777" w:rsidR="00B8272B" w:rsidRPr="00184726" w:rsidRDefault="00B8272B" w:rsidP="00B8272B">
      <w:pPr>
        <w:pStyle w:val="ABABodyText"/>
        <w:tabs>
          <w:tab w:val="left" w:pos="3969"/>
          <w:tab w:val="left" w:pos="4820"/>
          <w:tab w:val="left" w:pos="5812"/>
        </w:tabs>
        <w:rPr>
          <w:sz w:val="20"/>
        </w:rPr>
      </w:pPr>
      <w:r w:rsidRPr="00184726">
        <w:rPr>
          <w:sz w:val="20"/>
        </w:rPr>
        <w:t>General Area Served :</w:t>
      </w:r>
      <w:r w:rsidRPr="00184726">
        <w:rPr>
          <w:sz w:val="20"/>
        </w:rPr>
        <w:tab/>
        <w:t>Echuca/Moama (VIC)</w:t>
      </w:r>
    </w:p>
    <w:p w14:paraId="6D6A8A1E" w14:textId="6F3CA00C" w:rsidR="00B8272B" w:rsidRPr="00184726" w:rsidRDefault="00B8272B" w:rsidP="00B8272B">
      <w:pPr>
        <w:pStyle w:val="ABABodyText"/>
        <w:tabs>
          <w:tab w:val="left" w:pos="3969"/>
          <w:tab w:val="left" w:pos="4820"/>
          <w:tab w:val="left" w:pos="5812"/>
        </w:tabs>
        <w:rPr>
          <w:sz w:val="20"/>
        </w:rPr>
      </w:pPr>
      <w:r w:rsidRPr="00184726">
        <w:rPr>
          <w:sz w:val="20"/>
        </w:rPr>
        <w:t>Service Licence Number :</w:t>
      </w:r>
      <w:r w:rsidRPr="00184726">
        <w:rPr>
          <w:sz w:val="20"/>
        </w:rPr>
        <w:tab/>
      </w:r>
      <w:bookmarkStart w:id="73" w:name="_Hlk94598330"/>
      <w:r w:rsidR="001C45CF" w:rsidRPr="001C45CF">
        <w:rPr>
          <w:sz w:val="20"/>
        </w:rPr>
        <w:t>SL10408</w:t>
      </w:r>
      <w:bookmarkEnd w:id="73"/>
    </w:p>
    <w:p w14:paraId="2B419C62" w14:textId="77777777" w:rsidR="00B8272B" w:rsidRPr="00184726" w:rsidRDefault="00B8272B" w:rsidP="00B8272B">
      <w:pPr>
        <w:pStyle w:val="ABAHeading3"/>
        <w:rPr>
          <w:rFonts w:ascii="Times New Roman" w:hAnsi="Times New Roman"/>
          <w:sz w:val="20"/>
        </w:rPr>
      </w:pPr>
    </w:p>
    <w:p w14:paraId="0F191C45" w14:textId="77777777" w:rsidR="00B8272B" w:rsidRPr="00184726" w:rsidRDefault="00B8272B" w:rsidP="00B8272B">
      <w:pPr>
        <w:pStyle w:val="ABAHeading3"/>
        <w:rPr>
          <w:rFonts w:ascii="Times New Roman" w:hAnsi="Times New Roman"/>
          <w:sz w:val="20"/>
        </w:rPr>
      </w:pPr>
      <w:r w:rsidRPr="00184726">
        <w:rPr>
          <w:rFonts w:ascii="Times New Roman" w:hAnsi="Times New Roman"/>
          <w:sz w:val="20"/>
        </w:rPr>
        <w:t>TECHNICAL SPECIFICATION - FM Radio</w:t>
      </w:r>
    </w:p>
    <w:p w14:paraId="515E2D2D" w14:textId="77777777" w:rsidR="00B8272B" w:rsidRPr="00184726" w:rsidRDefault="00B8272B" w:rsidP="00B8272B">
      <w:pPr>
        <w:pStyle w:val="ABABodyText"/>
        <w:tabs>
          <w:tab w:val="left" w:pos="3969"/>
          <w:tab w:val="left" w:pos="4820"/>
          <w:tab w:val="left" w:pos="5812"/>
        </w:tabs>
        <w:rPr>
          <w:sz w:val="20"/>
        </w:rPr>
      </w:pPr>
      <w:r w:rsidRPr="00184726">
        <w:rPr>
          <w:sz w:val="20"/>
        </w:rPr>
        <w:t>Specification Number :</w:t>
      </w:r>
      <w:r w:rsidRPr="00184726">
        <w:rPr>
          <w:sz w:val="20"/>
        </w:rPr>
        <w:tab/>
      </w:r>
      <w:bookmarkStart w:id="74" w:name="_Hlk94598430"/>
      <w:r w:rsidRPr="00184726">
        <w:rPr>
          <w:sz w:val="20"/>
        </w:rPr>
        <w:t>TS12000971</w:t>
      </w:r>
      <w:bookmarkEnd w:id="74"/>
    </w:p>
    <w:p w14:paraId="24F7F456" w14:textId="77777777" w:rsidR="00B8272B" w:rsidRPr="00184726" w:rsidRDefault="00B8272B" w:rsidP="00B8272B">
      <w:pPr>
        <w:pStyle w:val="ABAHeading4"/>
        <w:rPr>
          <w:rFonts w:ascii="Times New Roman" w:hAnsi="Times New Roman"/>
        </w:rPr>
      </w:pPr>
    </w:p>
    <w:p w14:paraId="57654AAD" w14:textId="77777777" w:rsidR="00B8272B" w:rsidRPr="00184726" w:rsidRDefault="00B8272B" w:rsidP="00B8272B">
      <w:pPr>
        <w:pStyle w:val="ABAHeading4"/>
        <w:rPr>
          <w:rFonts w:ascii="Times New Roman" w:hAnsi="Times New Roman"/>
        </w:rPr>
      </w:pPr>
      <w:r w:rsidRPr="00184726">
        <w:rPr>
          <w:rFonts w:ascii="Times New Roman" w:hAnsi="Times New Roman"/>
        </w:rPr>
        <w:t>Transmitter Site :-</w:t>
      </w:r>
    </w:p>
    <w:p w14:paraId="63EEBAF8" w14:textId="77777777" w:rsidR="00B8272B" w:rsidRPr="00184726" w:rsidRDefault="00B8272B" w:rsidP="00A2352B">
      <w:pPr>
        <w:pStyle w:val="ABABodyText"/>
        <w:tabs>
          <w:tab w:val="left" w:pos="3969"/>
          <w:tab w:val="left" w:pos="4820"/>
          <w:tab w:val="left" w:pos="5812"/>
        </w:tabs>
        <w:ind w:left="3969" w:hanging="3969"/>
        <w:rPr>
          <w:sz w:val="20"/>
        </w:rPr>
      </w:pPr>
      <w:r w:rsidRPr="00184726">
        <w:rPr>
          <w:sz w:val="20"/>
        </w:rPr>
        <w:t>Nominal location :</w:t>
      </w:r>
      <w:r w:rsidRPr="00184726">
        <w:rPr>
          <w:sz w:val="20"/>
        </w:rPr>
        <w:tab/>
        <w:t>2QN-2MOR Office 250 Anstruther St ECHUCA</w:t>
      </w:r>
    </w:p>
    <w:p w14:paraId="58879A0D" w14:textId="77777777" w:rsidR="00B8272B" w:rsidRPr="00184726" w:rsidRDefault="00B8272B" w:rsidP="00B8272B">
      <w:pPr>
        <w:pStyle w:val="ABABodyText"/>
        <w:tabs>
          <w:tab w:val="left" w:pos="3969"/>
          <w:tab w:val="left" w:pos="4820"/>
          <w:tab w:val="left" w:pos="5812"/>
        </w:tabs>
        <w:rPr>
          <w:sz w:val="20"/>
        </w:rPr>
      </w:pPr>
      <w:r w:rsidRPr="00184726">
        <w:rPr>
          <w:sz w:val="20"/>
        </w:rPr>
        <w:t xml:space="preserve">Nominal Co-ordinates </w:t>
      </w:r>
      <w:r w:rsidRPr="00184726">
        <w:rPr>
          <w:sz w:val="20"/>
        </w:rPr>
        <w:tab/>
        <w:t>Latitude</w:t>
      </w:r>
      <w:r w:rsidRPr="00184726">
        <w:rPr>
          <w:sz w:val="20"/>
        </w:rPr>
        <w:tab/>
      </w:r>
      <w:r w:rsidRPr="00184726">
        <w:rPr>
          <w:sz w:val="20"/>
        </w:rPr>
        <w:tab/>
        <w:t>Longitude</w:t>
      </w:r>
      <w:r w:rsidRPr="00184726">
        <w:rPr>
          <w:sz w:val="20"/>
        </w:rPr>
        <w:br/>
        <w:t>(GDA94) :</w:t>
      </w:r>
      <w:r w:rsidRPr="00184726">
        <w:rPr>
          <w:sz w:val="20"/>
        </w:rPr>
        <w:tab/>
        <w:t>-36.126345</w:t>
      </w:r>
      <w:r w:rsidRPr="00184726">
        <w:rPr>
          <w:sz w:val="20"/>
        </w:rPr>
        <w:tab/>
        <w:t>144.74853611</w:t>
      </w:r>
    </w:p>
    <w:p w14:paraId="652DDC62" w14:textId="77777777" w:rsidR="00B8272B" w:rsidRPr="00184726" w:rsidRDefault="00B8272B" w:rsidP="00B8272B">
      <w:pPr>
        <w:pStyle w:val="ABABodyText"/>
        <w:tabs>
          <w:tab w:val="left" w:pos="3969"/>
          <w:tab w:val="left" w:pos="4820"/>
          <w:tab w:val="left" w:pos="5812"/>
        </w:tabs>
        <w:rPr>
          <w:sz w:val="20"/>
        </w:rPr>
      </w:pPr>
      <w:r w:rsidRPr="00184726">
        <w:rPr>
          <w:sz w:val="20"/>
        </w:rPr>
        <w:t>Site Tolerance :</w:t>
      </w:r>
      <w:r w:rsidRPr="00184726">
        <w:rPr>
          <w:sz w:val="20"/>
        </w:rPr>
        <w:tab/>
        <w:t xml:space="preserve">Refer to </w:t>
      </w:r>
      <w:r w:rsidRPr="00184726">
        <w:rPr>
          <w:i/>
          <w:sz w:val="20"/>
        </w:rPr>
        <w:t xml:space="preserve">Broadcasting Services </w:t>
      </w:r>
      <w:r w:rsidRPr="00184726">
        <w:rPr>
          <w:i/>
          <w:sz w:val="20"/>
        </w:rPr>
        <w:br/>
      </w:r>
      <w:r w:rsidRPr="00184726">
        <w:rPr>
          <w:i/>
          <w:sz w:val="20"/>
        </w:rPr>
        <w:tab/>
        <w:t>(Technical Planning) Guidelines 2017</w:t>
      </w:r>
    </w:p>
    <w:p w14:paraId="2B6C7884" w14:textId="77777777" w:rsidR="00B8272B" w:rsidRPr="00184726" w:rsidRDefault="00B8272B" w:rsidP="00B8272B">
      <w:pPr>
        <w:pStyle w:val="ABAHeading4"/>
        <w:rPr>
          <w:rFonts w:ascii="Times New Roman" w:hAnsi="Times New Roman"/>
        </w:rPr>
      </w:pPr>
    </w:p>
    <w:p w14:paraId="7B581C6B" w14:textId="77777777" w:rsidR="00B8272B" w:rsidRPr="00184726" w:rsidRDefault="00B8272B" w:rsidP="00B8272B">
      <w:pPr>
        <w:pStyle w:val="ABAHeading4"/>
        <w:rPr>
          <w:rFonts w:ascii="Times New Roman" w:hAnsi="Times New Roman"/>
        </w:rPr>
      </w:pPr>
      <w:r w:rsidRPr="00184726">
        <w:rPr>
          <w:rFonts w:ascii="Times New Roman" w:hAnsi="Times New Roman"/>
        </w:rPr>
        <w:t>Emission :-</w:t>
      </w:r>
    </w:p>
    <w:p w14:paraId="7E47251C" w14:textId="77777777" w:rsidR="00B8272B" w:rsidRPr="00184726" w:rsidRDefault="00B8272B" w:rsidP="00B8272B">
      <w:pPr>
        <w:pStyle w:val="ABABodyText"/>
        <w:tabs>
          <w:tab w:val="left" w:pos="3969"/>
          <w:tab w:val="left" w:pos="4820"/>
          <w:tab w:val="left" w:pos="5812"/>
        </w:tabs>
        <w:rPr>
          <w:sz w:val="20"/>
        </w:rPr>
      </w:pPr>
      <w:r w:rsidRPr="00184726">
        <w:rPr>
          <w:sz w:val="20"/>
        </w:rPr>
        <w:t>Frequency Band &amp; Mode :</w:t>
      </w:r>
      <w:r w:rsidRPr="00184726">
        <w:rPr>
          <w:sz w:val="20"/>
        </w:rPr>
        <w:tab/>
        <w:t>VHF-FM</w:t>
      </w:r>
    </w:p>
    <w:p w14:paraId="0A67A746" w14:textId="77777777" w:rsidR="00B8272B" w:rsidRPr="00184726" w:rsidRDefault="00B8272B" w:rsidP="00B8272B">
      <w:pPr>
        <w:pStyle w:val="ABABodyText"/>
        <w:tabs>
          <w:tab w:val="left" w:pos="3969"/>
          <w:tab w:val="left" w:pos="4820"/>
          <w:tab w:val="left" w:pos="5812"/>
        </w:tabs>
        <w:rPr>
          <w:sz w:val="20"/>
        </w:rPr>
      </w:pPr>
      <w:r w:rsidRPr="00184726">
        <w:rPr>
          <w:sz w:val="20"/>
        </w:rPr>
        <w:t>Carrier Frequency :</w:t>
      </w:r>
      <w:r w:rsidRPr="00184726">
        <w:rPr>
          <w:sz w:val="20"/>
        </w:rPr>
        <w:tab/>
        <w:t>92.5 MHz</w:t>
      </w:r>
    </w:p>
    <w:p w14:paraId="4588E4E6" w14:textId="77777777" w:rsidR="00B8272B" w:rsidRPr="00184726" w:rsidRDefault="00B8272B" w:rsidP="00B8272B">
      <w:pPr>
        <w:pStyle w:val="ABABodyText"/>
        <w:tabs>
          <w:tab w:val="left" w:pos="3969"/>
          <w:tab w:val="left" w:pos="4820"/>
          <w:tab w:val="left" w:pos="5812"/>
        </w:tabs>
        <w:rPr>
          <w:sz w:val="20"/>
        </w:rPr>
      </w:pPr>
      <w:r w:rsidRPr="00184726">
        <w:rPr>
          <w:sz w:val="20"/>
        </w:rPr>
        <w:t>Polarisation :</w:t>
      </w:r>
      <w:r w:rsidRPr="00184726">
        <w:rPr>
          <w:sz w:val="20"/>
        </w:rPr>
        <w:tab/>
        <w:t>Mixed</w:t>
      </w:r>
    </w:p>
    <w:p w14:paraId="2FC2156F" w14:textId="77777777" w:rsidR="00B8272B" w:rsidRPr="00184726" w:rsidRDefault="00B8272B" w:rsidP="00B8272B">
      <w:pPr>
        <w:pStyle w:val="ABABodyText"/>
        <w:tabs>
          <w:tab w:val="left" w:pos="3969"/>
          <w:tab w:val="left" w:pos="4820"/>
          <w:tab w:val="left" w:pos="5812"/>
        </w:tabs>
        <w:rPr>
          <w:sz w:val="20"/>
        </w:rPr>
      </w:pPr>
      <w:r w:rsidRPr="00184726">
        <w:rPr>
          <w:sz w:val="20"/>
        </w:rPr>
        <w:t>Maximum antenna height :</w:t>
      </w:r>
      <w:r w:rsidRPr="00184726">
        <w:rPr>
          <w:sz w:val="20"/>
        </w:rPr>
        <w:tab/>
        <w:t>25 m</w:t>
      </w:r>
    </w:p>
    <w:p w14:paraId="43BD20E9" w14:textId="77777777" w:rsidR="00B8272B" w:rsidRPr="00184726" w:rsidRDefault="00B8272B" w:rsidP="00B8272B">
      <w:pPr>
        <w:pStyle w:val="ABAHeading4"/>
        <w:rPr>
          <w:rFonts w:ascii="Times New Roman" w:hAnsi="Times New Roman"/>
        </w:rPr>
      </w:pPr>
    </w:p>
    <w:p w14:paraId="49A45F77" w14:textId="77777777" w:rsidR="00B8272B" w:rsidRPr="00184726" w:rsidRDefault="00B8272B" w:rsidP="00B8272B">
      <w:pPr>
        <w:pStyle w:val="ABAHeading4"/>
        <w:rPr>
          <w:rFonts w:ascii="Times New Roman" w:hAnsi="Times New Roman"/>
        </w:rPr>
      </w:pPr>
      <w:r w:rsidRPr="00184726">
        <w:rPr>
          <w:rFonts w:ascii="Times New Roman" w:hAnsi="Times New Roman"/>
        </w:rPr>
        <w:t>Output Radiation Pattern :-</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2835"/>
        <w:gridCol w:w="2835"/>
      </w:tblGrid>
      <w:tr w:rsidR="00B8272B" w:rsidRPr="00184726" w14:paraId="7A1F146F" w14:textId="77777777" w:rsidTr="00B8272B">
        <w:tc>
          <w:tcPr>
            <w:tcW w:w="2835" w:type="dxa"/>
            <w:tcBorders>
              <w:top w:val="single" w:sz="4" w:space="0" w:color="auto"/>
              <w:left w:val="nil"/>
              <w:bottom w:val="single" w:sz="4" w:space="0" w:color="auto"/>
              <w:right w:val="nil"/>
            </w:tcBorders>
            <w:hideMark/>
          </w:tcPr>
          <w:p w14:paraId="41EF2362" w14:textId="77777777" w:rsidR="00B8272B" w:rsidRPr="00184726" w:rsidRDefault="00B8272B">
            <w:pPr>
              <w:pStyle w:val="ABATableHeading"/>
              <w:spacing w:line="256" w:lineRule="auto"/>
              <w:jc w:val="center"/>
              <w:rPr>
                <w:rFonts w:ascii="Times New Roman" w:hAnsi="Times New Roman"/>
              </w:rPr>
            </w:pPr>
            <w:r w:rsidRPr="00184726">
              <w:rPr>
                <w:rFonts w:ascii="Times New Roman" w:hAnsi="Times New Roman"/>
              </w:rPr>
              <w:t xml:space="preserve">Bearing or Sector </w:t>
            </w:r>
            <w:r w:rsidRPr="00184726">
              <w:rPr>
                <w:rFonts w:ascii="Times New Roman" w:hAnsi="Times New Roman"/>
              </w:rPr>
              <w:br/>
              <w:t>(Clockwise direction)</w:t>
            </w:r>
          </w:p>
        </w:tc>
        <w:tc>
          <w:tcPr>
            <w:tcW w:w="2835" w:type="dxa"/>
            <w:tcBorders>
              <w:top w:val="single" w:sz="4" w:space="0" w:color="auto"/>
              <w:left w:val="nil"/>
              <w:bottom w:val="single" w:sz="4" w:space="0" w:color="auto"/>
              <w:right w:val="nil"/>
            </w:tcBorders>
            <w:hideMark/>
          </w:tcPr>
          <w:p w14:paraId="0E2D4790" w14:textId="77777777" w:rsidR="00B8272B" w:rsidRPr="00184726" w:rsidRDefault="00B8272B">
            <w:pPr>
              <w:pStyle w:val="ABATableHeading"/>
              <w:spacing w:line="256" w:lineRule="auto"/>
              <w:jc w:val="center"/>
              <w:rPr>
                <w:rFonts w:ascii="Times New Roman" w:hAnsi="Times New Roman"/>
              </w:rPr>
            </w:pPr>
            <w:r w:rsidRPr="00184726">
              <w:rPr>
                <w:rFonts w:ascii="Times New Roman" w:hAnsi="Times New Roman"/>
              </w:rPr>
              <w:t>Maximum ERP</w:t>
            </w:r>
          </w:p>
        </w:tc>
      </w:tr>
      <w:tr w:rsidR="00B8272B" w:rsidRPr="00184726" w14:paraId="3C834E02" w14:textId="77777777" w:rsidTr="00B8272B">
        <w:tc>
          <w:tcPr>
            <w:tcW w:w="2835" w:type="dxa"/>
            <w:tcBorders>
              <w:top w:val="single" w:sz="4" w:space="0" w:color="auto"/>
              <w:left w:val="nil"/>
              <w:bottom w:val="single" w:sz="4" w:space="0" w:color="auto"/>
              <w:right w:val="nil"/>
            </w:tcBorders>
            <w:hideMark/>
          </w:tcPr>
          <w:p w14:paraId="155FDE36" w14:textId="77777777" w:rsidR="00B8272B" w:rsidRPr="00184726" w:rsidRDefault="00B8272B">
            <w:pPr>
              <w:pStyle w:val="ABATableText"/>
              <w:rPr>
                <w:rFonts w:ascii="Times New Roman" w:hAnsi="Times New Roman"/>
              </w:rPr>
            </w:pPr>
            <w:r w:rsidRPr="00184726">
              <w:t>At all angles of azimuth</w:t>
            </w:r>
          </w:p>
        </w:tc>
        <w:tc>
          <w:tcPr>
            <w:tcW w:w="2835" w:type="dxa"/>
            <w:tcBorders>
              <w:top w:val="single" w:sz="4" w:space="0" w:color="auto"/>
              <w:left w:val="nil"/>
              <w:bottom w:val="single" w:sz="4" w:space="0" w:color="auto"/>
              <w:right w:val="nil"/>
            </w:tcBorders>
            <w:hideMark/>
          </w:tcPr>
          <w:p w14:paraId="19DC8913" w14:textId="77777777" w:rsidR="00B8272B" w:rsidRPr="00184726" w:rsidRDefault="00B8272B">
            <w:pPr>
              <w:pStyle w:val="ABATableText"/>
            </w:pPr>
            <w:r w:rsidRPr="00184726">
              <w:t>200 W</w:t>
            </w:r>
          </w:p>
        </w:tc>
      </w:tr>
    </w:tbl>
    <w:p w14:paraId="14546DBC" w14:textId="77777777" w:rsidR="00B8272B" w:rsidRPr="00184726" w:rsidRDefault="00B8272B" w:rsidP="00B8272B">
      <w:pPr>
        <w:keepNext/>
        <w:spacing w:before="80" w:after="0" w:line="240" w:lineRule="auto"/>
        <w:rPr>
          <w:rFonts w:ascii="Times New Roman" w:hAnsi="Times New Roman"/>
          <w:b/>
          <w:bCs/>
          <w:i/>
          <w:iCs/>
          <w:szCs w:val="20"/>
          <w:lang w:eastAsia="en-US"/>
        </w:rPr>
      </w:pPr>
    </w:p>
    <w:p w14:paraId="060271F5" w14:textId="77777777" w:rsidR="00B8272B" w:rsidRPr="00184726" w:rsidRDefault="00B8272B" w:rsidP="00B8272B">
      <w:pPr>
        <w:keepNext/>
        <w:spacing w:before="80" w:after="0" w:line="240" w:lineRule="auto"/>
        <w:rPr>
          <w:rFonts w:ascii="Times New Roman" w:hAnsi="Times New Roman"/>
          <w:b/>
          <w:bCs/>
          <w:i/>
          <w:iCs/>
          <w:szCs w:val="20"/>
        </w:rPr>
      </w:pPr>
      <w:r w:rsidRPr="00184726">
        <w:rPr>
          <w:rFonts w:ascii="Times New Roman" w:hAnsi="Times New Roman"/>
          <w:b/>
          <w:bCs/>
          <w:i/>
          <w:iCs/>
          <w:szCs w:val="20"/>
        </w:rPr>
        <w:t xml:space="preserve">Availability of TS12000971 :- </w:t>
      </w:r>
    </w:p>
    <w:p w14:paraId="26DA815F" w14:textId="6F85C26D" w:rsidR="00B8272B" w:rsidRPr="00184726" w:rsidRDefault="00B8272B" w:rsidP="00B8272B">
      <w:pPr>
        <w:keepNext/>
        <w:spacing w:before="80" w:after="0" w:line="240" w:lineRule="auto"/>
        <w:rPr>
          <w:rFonts w:ascii="Times New Roman" w:hAnsi="Times New Roman"/>
          <w:b/>
          <w:bCs/>
          <w:i/>
          <w:iCs/>
          <w:szCs w:val="20"/>
        </w:rPr>
      </w:pPr>
      <w:r w:rsidRPr="00184726">
        <w:rPr>
          <w:rFonts w:ascii="Times New Roman" w:hAnsi="Times New Roman"/>
          <w:snapToGrid w:val="0"/>
          <w:szCs w:val="20"/>
        </w:rPr>
        <w:t xml:space="preserve">TS12000971 ceases to be available under licence </w:t>
      </w:r>
      <w:r w:rsidR="00392248" w:rsidRPr="00392248">
        <w:rPr>
          <w:rFonts w:ascii="Times New Roman" w:hAnsi="Times New Roman"/>
          <w:snapToGrid w:val="0"/>
          <w:szCs w:val="20"/>
        </w:rPr>
        <w:t>SL10408</w:t>
      </w:r>
      <w:r w:rsidRPr="00184726">
        <w:rPr>
          <w:rFonts w:ascii="Times New Roman" w:hAnsi="Times New Roman"/>
          <w:snapToGrid w:val="0"/>
          <w:szCs w:val="20"/>
        </w:rPr>
        <w:t xml:space="preserve"> upon the commencement of transmission of a service under licence </w:t>
      </w:r>
      <w:r w:rsidR="00392248" w:rsidRPr="00392248">
        <w:rPr>
          <w:rFonts w:ascii="Times New Roman" w:hAnsi="Times New Roman"/>
          <w:snapToGrid w:val="0"/>
          <w:szCs w:val="20"/>
        </w:rPr>
        <w:t>SL10408</w:t>
      </w:r>
      <w:r w:rsidRPr="00184726">
        <w:rPr>
          <w:rFonts w:ascii="Times New Roman" w:hAnsi="Times New Roman"/>
          <w:snapToGrid w:val="0"/>
          <w:szCs w:val="20"/>
        </w:rPr>
        <w:t xml:space="preserve"> by transmitter </w:t>
      </w:r>
      <w:r w:rsidR="00392248" w:rsidRPr="00392248">
        <w:rPr>
          <w:rFonts w:ascii="Times New Roman" w:hAnsi="Times New Roman"/>
          <w:snapToGrid w:val="0"/>
          <w:szCs w:val="20"/>
        </w:rPr>
        <w:t>TS12000441</w:t>
      </w:r>
      <w:r w:rsidRPr="00184726">
        <w:rPr>
          <w:rFonts w:ascii="Times New Roman" w:hAnsi="Times New Roman"/>
          <w:snapToGrid w:val="0"/>
          <w:szCs w:val="20"/>
        </w:rPr>
        <w:t>.</w:t>
      </w:r>
    </w:p>
    <w:p w14:paraId="27A1EA49" w14:textId="77777777" w:rsidR="00B8272B" w:rsidRPr="00184726" w:rsidRDefault="00B8272B" w:rsidP="00B8272B">
      <w:pPr>
        <w:spacing w:after="0" w:line="240" w:lineRule="auto"/>
        <w:rPr>
          <w:rFonts w:ascii="Times New Roman" w:hAnsi="Times New Roman"/>
          <w:szCs w:val="20"/>
        </w:rPr>
      </w:pPr>
    </w:p>
    <w:p w14:paraId="09A5C505" w14:textId="77777777" w:rsidR="00B8272B" w:rsidRPr="00184726" w:rsidRDefault="00B8272B" w:rsidP="00B8272B">
      <w:pPr>
        <w:pStyle w:val="ABAHeading4"/>
        <w:rPr>
          <w:rFonts w:ascii="Times New Roman" w:hAnsi="Times New Roman"/>
        </w:rPr>
      </w:pPr>
      <w:r w:rsidRPr="00184726">
        <w:rPr>
          <w:rFonts w:ascii="Times New Roman" w:hAnsi="Times New Roman"/>
        </w:rPr>
        <w:t>Advisory Note :-</w:t>
      </w:r>
    </w:p>
    <w:p w14:paraId="378403C5" w14:textId="77777777" w:rsidR="00B8272B" w:rsidRPr="00184726" w:rsidRDefault="00B8272B" w:rsidP="00B8272B">
      <w:pPr>
        <w:pStyle w:val="ABABodyText"/>
        <w:tabs>
          <w:tab w:val="left" w:pos="3969"/>
          <w:tab w:val="left" w:pos="4820"/>
          <w:tab w:val="left" w:pos="5812"/>
        </w:tabs>
        <w:rPr>
          <w:sz w:val="20"/>
        </w:rPr>
      </w:pPr>
      <w:r w:rsidRPr="00184726">
        <w:rPr>
          <w:sz w:val="20"/>
        </w:rPr>
        <w:t>This service has been planned on an interference limited basis. Field strengths below the planned minimum median field strength level are likely to suffer interference from other broadcasting services.</w:t>
      </w:r>
    </w:p>
    <w:p w14:paraId="0666F103" w14:textId="46E55757" w:rsidR="00B8272B" w:rsidRPr="00184726" w:rsidRDefault="00B8272B" w:rsidP="00B8272B">
      <w:pPr>
        <w:pStyle w:val="ABABodyText"/>
        <w:tabs>
          <w:tab w:val="left" w:pos="3969"/>
          <w:tab w:val="left" w:pos="4820"/>
          <w:tab w:val="left" w:pos="5812"/>
        </w:tabs>
        <w:rPr>
          <w:sz w:val="20"/>
        </w:rPr>
      </w:pPr>
      <w:r w:rsidRPr="00184726">
        <w:rPr>
          <w:sz w:val="20"/>
        </w:rPr>
        <w:t>Any transmission in accordance with this specification is planned on the basis that it will be protected to a minimum median field strength level of 66 dBµV/m against interference from other broadcasting services.</w:t>
      </w:r>
    </w:p>
    <w:sectPr w:rsidR="00B8272B" w:rsidRPr="00184726" w:rsidSect="00C77380">
      <w:headerReference w:type="even" r:id="rId42"/>
      <w:headerReference w:type="default" r:id="rId43"/>
      <w:footerReference w:type="even" r:id="rId44"/>
      <w:footerReference w:type="default" r:id="rId45"/>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CF2B" w14:textId="77777777" w:rsidR="0051671E" w:rsidRDefault="0051671E">
      <w:r>
        <w:separator/>
      </w:r>
    </w:p>
  </w:endnote>
  <w:endnote w:type="continuationSeparator" w:id="0">
    <w:p w14:paraId="5122D158" w14:textId="77777777" w:rsidR="0051671E" w:rsidRDefault="0051671E">
      <w:r>
        <w:continuationSeparator/>
      </w:r>
    </w:p>
  </w:endnote>
  <w:endnote w:type="continuationNotice" w:id="1">
    <w:p w14:paraId="7010A49A" w14:textId="77777777" w:rsidR="00A776A4" w:rsidRDefault="00A77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DB10" w14:textId="77777777" w:rsidR="000C798D" w:rsidRDefault="000C798D" w:rsidP="005E250B">
    <w:pPr>
      <w:pStyle w:val="Footer"/>
      <w:jc w:val="right"/>
    </w:pPr>
    <w:r w:rsidRPr="005E250B">
      <w:rPr>
        <w:noProof/>
        <w:vertAlign w:val="subscript"/>
      </w:rPr>
      <w:drawing>
        <wp:inline distT="0" distB="0" distL="0" distR="0" wp14:anchorId="06F6A517" wp14:editId="3F2808F8">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3113" w14:textId="77777777" w:rsidR="000C798D" w:rsidRDefault="000C79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36C0" w14:textId="77777777" w:rsidR="000C798D" w:rsidRDefault="000C79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87B8" w14:textId="77777777" w:rsidR="000C798D" w:rsidRPr="00622A3B" w:rsidRDefault="000C798D"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2FFD4209" w14:textId="77777777" w:rsidR="000C798D" w:rsidRPr="00A5474E" w:rsidRDefault="000C798D"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8E8F" w14:textId="77777777" w:rsidR="000C798D" w:rsidRPr="00622A3B" w:rsidRDefault="000C798D"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6B6DF8D6" w14:textId="77777777" w:rsidR="000C798D" w:rsidRPr="00A5474E" w:rsidRDefault="000C798D"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2515" w14:textId="77777777" w:rsidR="000C798D" w:rsidRPr="00622A3B" w:rsidRDefault="000C798D"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30B659B1" w14:textId="77777777" w:rsidR="000C798D" w:rsidRPr="00A5474E" w:rsidRDefault="000C798D"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552A" w14:textId="77777777" w:rsidR="000C798D" w:rsidRPr="00622A3B" w:rsidRDefault="000C798D"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7704D65D" w14:textId="77777777" w:rsidR="000C798D" w:rsidRPr="00A5474E" w:rsidRDefault="000C798D"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4F3A" w14:textId="77777777" w:rsidR="000C798D" w:rsidRPr="00622A3B" w:rsidRDefault="000C798D"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13C430CD" w14:textId="77777777" w:rsidR="000C798D" w:rsidRPr="00A5474E" w:rsidRDefault="000C798D"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9CD0" w14:textId="77777777" w:rsidR="0051671E" w:rsidRDefault="0051671E" w:rsidP="00260B90">
      <w:pPr>
        <w:spacing w:after="0"/>
      </w:pPr>
      <w:r>
        <w:separator/>
      </w:r>
    </w:p>
  </w:footnote>
  <w:footnote w:type="continuationSeparator" w:id="0">
    <w:p w14:paraId="04B7382A" w14:textId="77777777" w:rsidR="0051671E" w:rsidRDefault="0051671E">
      <w:r>
        <w:continuationSeparator/>
      </w:r>
    </w:p>
  </w:footnote>
  <w:footnote w:type="continuationNotice" w:id="1">
    <w:p w14:paraId="0BB78E9A" w14:textId="77777777" w:rsidR="00A776A4" w:rsidRDefault="00A776A4">
      <w:pPr>
        <w:spacing w:after="0" w:line="240" w:lineRule="auto"/>
      </w:pPr>
    </w:p>
  </w:footnote>
  <w:footnote w:id="2">
    <w:p w14:paraId="07BB5461" w14:textId="77777777" w:rsidR="000C798D" w:rsidRDefault="000C798D" w:rsidP="00670A76">
      <w:pPr>
        <w:pStyle w:val="FootnoteText"/>
        <w:ind w:left="142" w:hanging="142"/>
      </w:pPr>
      <w:r>
        <w:rPr>
          <w:rStyle w:val="FootnoteReference"/>
        </w:rPr>
        <w:footnoteRef/>
      </w:r>
      <w:r>
        <w:t xml:space="preserve"> Broadcasting services licence number 10408.</w:t>
      </w:r>
    </w:p>
  </w:footnote>
  <w:footnote w:id="3">
    <w:p w14:paraId="38A0CB81" w14:textId="77777777" w:rsidR="000C798D" w:rsidRDefault="000C798D" w:rsidP="00670A76">
      <w:pPr>
        <w:pStyle w:val="FootnoteText"/>
        <w:ind w:left="142" w:hanging="142"/>
      </w:pPr>
      <w:r w:rsidRPr="00DB3A82">
        <w:rPr>
          <w:rStyle w:val="FootnoteReference"/>
        </w:rPr>
        <w:footnoteRef/>
      </w:r>
      <w:r w:rsidRPr="00DB3A82">
        <w:rPr>
          <w:rStyle w:val="FootnoteReference"/>
        </w:rPr>
        <w:t xml:space="preserve"> </w:t>
      </w:r>
      <w:r>
        <w:t>Broadcasting services licence number 10407.</w:t>
      </w:r>
    </w:p>
  </w:footnote>
  <w:footnote w:id="4">
    <w:p w14:paraId="1EFE54D4" w14:textId="359687A8" w:rsidR="008A6219" w:rsidRDefault="008A6219">
      <w:pPr>
        <w:pStyle w:val="FootnoteText"/>
      </w:pPr>
      <w:r>
        <w:rPr>
          <w:rStyle w:val="FootnoteReference"/>
        </w:rPr>
        <w:footnoteRef/>
      </w:r>
      <w:r>
        <w:t xml:space="preserve"> For further information </w:t>
      </w:r>
      <w:r w:rsidR="007D0918">
        <w:t>regarding different coverage levels see:</w:t>
      </w:r>
      <w:r w:rsidR="00085753">
        <w:t xml:space="preserve"> ‘Adequate coverage levels’ in</w:t>
      </w:r>
      <w:r w:rsidR="007D0918">
        <w:t xml:space="preserve"> </w:t>
      </w:r>
      <w:hyperlink r:id="rId1" w:history="1">
        <w:r w:rsidR="007D0918" w:rsidRPr="007D0918">
          <w:rPr>
            <w:color w:val="0000FF"/>
            <w:u w:val="single"/>
          </w:rPr>
          <w:t>AM-FM conversions | ACMA</w:t>
        </w:r>
      </w:hyperlink>
      <w:r w:rsidR="007D0918">
        <w:t>.</w:t>
      </w:r>
    </w:p>
  </w:footnote>
  <w:footnote w:id="5">
    <w:p w14:paraId="6B62984D" w14:textId="52B3B488" w:rsidR="000E6BFD" w:rsidRDefault="000E6BFD">
      <w:pPr>
        <w:pStyle w:val="FootnoteText"/>
      </w:pPr>
      <w:r>
        <w:rPr>
          <w:rStyle w:val="FootnoteReference"/>
        </w:rPr>
        <w:footnoteRef/>
      </w:r>
      <w:r>
        <w:t xml:space="preserve"> </w:t>
      </w:r>
      <w:r w:rsidRPr="003B74A3">
        <w:t xml:space="preserve">As per </w:t>
      </w:r>
      <w:r w:rsidRPr="003B74A3">
        <w:rPr>
          <w:i/>
          <w:iCs/>
        </w:rPr>
        <w:t>Broadcasting Services (Technical Planning) Guidelines</w:t>
      </w:r>
      <w:r w:rsidRPr="003B74A3">
        <w:t xml:space="preserve"> </w:t>
      </w:r>
      <w:r>
        <w:t xml:space="preserve">2017 (TPG), </w:t>
      </w:r>
      <w:r w:rsidRPr="003B74A3">
        <w:t xml:space="preserve">a transmitter can be located at a site </w:t>
      </w:r>
      <w:r w:rsidR="00EB4E0D">
        <w:t>that</w:t>
      </w:r>
      <w:r w:rsidR="00EB4E0D" w:rsidRPr="003B74A3">
        <w:t xml:space="preserve"> </w:t>
      </w:r>
      <w:r w:rsidRPr="003B74A3">
        <w:t xml:space="preserve">is not </w:t>
      </w:r>
      <w:r w:rsidR="004D78F3">
        <w:t xml:space="preserve">a </w:t>
      </w:r>
      <w:r w:rsidRPr="003B74A3">
        <w:t>LAP</w:t>
      </w:r>
      <w:r w:rsidR="00EB4E0D">
        <w:t>-</w:t>
      </w:r>
      <w:r w:rsidRPr="003B74A3">
        <w:t>planned nominal location if it operates in accordance with Part 3 and Part 4 of TPGs</w:t>
      </w:r>
      <w:r>
        <w:t>.</w:t>
      </w:r>
    </w:p>
  </w:footnote>
  <w:footnote w:id="6">
    <w:p w14:paraId="4670D222" w14:textId="0C25707A" w:rsidR="000C798D" w:rsidRDefault="000C798D">
      <w:pPr>
        <w:pStyle w:val="FootnoteText"/>
      </w:pPr>
      <w:r w:rsidRPr="004E4D86">
        <w:rPr>
          <w:rStyle w:val="FootnoteReference"/>
        </w:rPr>
        <w:footnoteRef/>
      </w:r>
      <w:r w:rsidRPr="004E4D86">
        <w:t xml:space="preserve"> Between 1.08</w:t>
      </w:r>
      <w:r w:rsidR="00EB4E0D">
        <w:t xml:space="preserve">% </w:t>
      </w:r>
      <w:r w:rsidRPr="004E4D86">
        <w:t>and 2.20</w:t>
      </w:r>
      <w:r w:rsidR="00EB4E0D">
        <w:t xml:space="preserve">% </w:t>
      </w:r>
      <w:r w:rsidRPr="004E4D86">
        <w:t>of the Echuca RA1 licence area population</w:t>
      </w:r>
      <w:r w:rsidR="00765F3B">
        <w:t>.</w:t>
      </w:r>
      <w:r w:rsidRPr="004E4D86">
        <w:t xml:space="preserve"> </w:t>
      </w:r>
    </w:p>
  </w:footnote>
  <w:footnote w:id="7">
    <w:p w14:paraId="11F387B5" w14:textId="5D33B696" w:rsidR="009E1BE9" w:rsidRDefault="009E1BE9" w:rsidP="009E1BE9">
      <w:pPr>
        <w:pStyle w:val="FootnoteText"/>
      </w:pPr>
      <w:r>
        <w:rPr>
          <w:rStyle w:val="FootnoteReference"/>
        </w:rPr>
        <w:footnoteRef/>
      </w:r>
      <w:r>
        <w:t xml:space="preserve"> Between 0.06</w:t>
      </w:r>
      <w:r w:rsidR="00EB4E0D">
        <w:t>%</w:t>
      </w:r>
      <w:r>
        <w:t xml:space="preserve"> and 0.11</w:t>
      </w:r>
      <w:r w:rsidR="004D78F3">
        <w:t>%</w:t>
      </w:r>
      <w:r>
        <w:t xml:space="preserve"> of the licence area population</w:t>
      </w:r>
      <w:r w:rsidR="00765F3B">
        <w:t>.</w:t>
      </w:r>
      <w:r w:rsidR="000E6BFD">
        <w:t xml:space="preserve"> </w:t>
      </w:r>
    </w:p>
  </w:footnote>
  <w:footnote w:id="8">
    <w:p w14:paraId="08E66AB7" w14:textId="2404CA2D" w:rsidR="000C798D" w:rsidRDefault="000C798D">
      <w:pPr>
        <w:pStyle w:val="FootnoteText"/>
      </w:pPr>
      <w:r>
        <w:rPr>
          <w:rStyle w:val="FootnoteReference"/>
        </w:rPr>
        <w:footnoteRef/>
      </w:r>
      <w:r>
        <w:t xml:space="preserve"> Predicted number of people affected would be </w:t>
      </w:r>
      <w:r w:rsidR="00576DA3">
        <w:t xml:space="preserve">between </w:t>
      </w:r>
      <w:r>
        <w:t>1</w:t>
      </w:r>
      <w:r w:rsidR="004D78F3">
        <w:t>,</w:t>
      </w:r>
      <w:r>
        <w:t>758</w:t>
      </w:r>
      <w:r w:rsidR="00576DA3">
        <w:t xml:space="preserve"> and</w:t>
      </w:r>
      <w:r w:rsidR="00BB710F">
        <w:t xml:space="preserve"> </w:t>
      </w:r>
      <w:r>
        <w:t>3</w:t>
      </w:r>
      <w:r w:rsidR="004D78F3">
        <w:t>,</w:t>
      </w:r>
      <w:r>
        <w:t>003</w:t>
      </w:r>
      <w:r w:rsidR="00765F3B">
        <w:t>.</w:t>
      </w:r>
    </w:p>
  </w:footnote>
  <w:footnote w:id="9">
    <w:p w14:paraId="3B14BD52" w14:textId="545FBFC8" w:rsidR="000C798D" w:rsidRDefault="000C798D">
      <w:pPr>
        <w:pStyle w:val="FootnoteText"/>
      </w:pPr>
      <w:r>
        <w:rPr>
          <w:rStyle w:val="FootnoteReference"/>
        </w:rPr>
        <w:footnoteRef/>
      </w:r>
      <w:r>
        <w:t xml:space="preserve"> Predicted number of people affected would be</w:t>
      </w:r>
      <w:r w:rsidR="00576DA3">
        <w:t xml:space="preserve"> between</w:t>
      </w:r>
      <w:r>
        <w:t xml:space="preserve"> 359</w:t>
      </w:r>
      <w:r w:rsidR="00576DA3">
        <w:t xml:space="preserve"> and </w:t>
      </w:r>
      <w:r>
        <w:t>1</w:t>
      </w:r>
      <w:r w:rsidR="00640374">
        <w:t>,</w:t>
      </w:r>
      <w:r>
        <w:t>572</w:t>
      </w:r>
      <w:r w:rsidR="00765F3B">
        <w:t>.</w:t>
      </w:r>
    </w:p>
  </w:footnote>
  <w:footnote w:id="10">
    <w:p w14:paraId="0B234A91" w14:textId="5B8D7393" w:rsidR="000C798D" w:rsidRPr="001E60C4" w:rsidRDefault="000C798D" w:rsidP="00B57AC1">
      <w:pPr>
        <w:pStyle w:val="FootnoteText"/>
        <w:ind w:left="142" w:hanging="142"/>
        <w:rPr>
          <w:rFonts w:cs="Arial"/>
        </w:rPr>
      </w:pPr>
      <w:r w:rsidRPr="001E60C4">
        <w:rPr>
          <w:rStyle w:val="FootnoteReference"/>
        </w:rPr>
        <w:footnoteRef/>
      </w:r>
      <w:r w:rsidRPr="001E60C4">
        <w:rPr>
          <w:rFonts w:cs="Arial"/>
        </w:rPr>
        <w:t xml:space="preserve"> </w:t>
      </w:r>
      <w:r>
        <w:rPr>
          <w:rFonts w:cs="Arial"/>
        </w:rPr>
        <w:t>The predicted number of people is 587 (</w:t>
      </w:r>
      <w:r w:rsidRPr="001E60C4">
        <w:rPr>
          <w:rFonts w:cs="Arial"/>
        </w:rPr>
        <w:t>CRC-Predict. DEM: 3s</w:t>
      </w:r>
      <w:r>
        <w:rPr>
          <w:rFonts w:cs="Arial"/>
        </w:rPr>
        <w:t>).</w:t>
      </w:r>
    </w:p>
  </w:footnote>
  <w:footnote w:id="11">
    <w:p w14:paraId="2D37CC4D" w14:textId="3D7C1B07" w:rsidR="000C798D" w:rsidRPr="001E60C4" w:rsidRDefault="000C798D" w:rsidP="00F01545">
      <w:pPr>
        <w:pStyle w:val="FootnoteText"/>
        <w:ind w:left="142" w:hanging="142"/>
        <w:rPr>
          <w:rFonts w:cs="Arial"/>
        </w:rPr>
      </w:pPr>
      <w:r w:rsidRPr="00DE33EF">
        <w:rPr>
          <w:rStyle w:val="FootnoteReference"/>
        </w:rPr>
        <w:footnoteRef/>
      </w:r>
      <w:r w:rsidRPr="00DE33EF">
        <w:rPr>
          <w:rStyle w:val="FootnoteReference"/>
        </w:rPr>
        <w:t xml:space="preserve"> </w:t>
      </w:r>
      <w:r>
        <w:rPr>
          <w:rFonts w:cs="Arial"/>
        </w:rPr>
        <w:t>The predicted number of people is 1,130 (I</w:t>
      </w:r>
      <w:r w:rsidRPr="001E60C4">
        <w:rPr>
          <w:rFonts w:cs="Arial"/>
        </w:rPr>
        <w:t>TU 1546-1 Terrain. DEM: 3s</w:t>
      </w:r>
      <w:r>
        <w:rPr>
          <w:rFonts w:cs="Arial"/>
        </w:rPr>
        <w:t>).</w:t>
      </w:r>
    </w:p>
  </w:footnote>
  <w:footnote w:id="12">
    <w:p w14:paraId="2D177DD8" w14:textId="13E6019E" w:rsidR="000C798D" w:rsidRDefault="000C798D">
      <w:pPr>
        <w:pStyle w:val="FootnoteText"/>
      </w:pPr>
      <w:r>
        <w:rPr>
          <w:rStyle w:val="FootnoteReference"/>
        </w:rPr>
        <w:footnoteRef/>
      </w:r>
      <w:r>
        <w:t xml:space="preserve"> The predicted number of people is 1,790 (</w:t>
      </w:r>
      <w:r w:rsidRPr="001E60C4">
        <w:rPr>
          <w:rFonts w:cs="Arial"/>
        </w:rPr>
        <w:t>CRC-Predict. DEM: 3s</w:t>
      </w:r>
      <w:r>
        <w:rPr>
          <w:rFonts w:cs="Arial"/>
        </w:rPr>
        <w:t>).</w:t>
      </w:r>
    </w:p>
  </w:footnote>
  <w:footnote w:id="13">
    <w:p w14:paraId="16BF76F3" w14:textId="7A2538DA" w:rsidR="000C798D" w:rsidRDefault="000C798D">
      <w:pPr>
        <w:pStyle w:val="FootnoteText"/>
      </w:pPr>
      <w:r>
        <w:rPr>
          <w:rStyle w:val="FootnoteReference"/>
        </w:rPr>
        <w:footnoteRef/>
      </w:r>
      <w:r>
        <w:t xml:space="preserve"> The predicted number of people is 2,961 (</w:t>
      </w:r>
      <w:r>
        <w:rPr>
          <w:rFonts w:cs="Arial"/>
        </w:rPr>
        <w:t>I</w:t>
      </w:r>
      <w:r w:rsidRPr="001E60C4">
        <w:rPr>
          <w:rFonts w:cs="Arial"/>
        </w:rPr>
        <w:t>TU 1546-1 Terrain. DEM: 3s</w:t>
      </w:r>
      <w:r>
        <w:rPr>
          <w:rFonts w:cs="Arial"/>
        </w:rPr>
        <w:t>).</w:t>
      </w:r>
    </w:p>
  </w:footnote>
  <w:footnote w:id="14">
    <w:p w14:paraId="22FAE1E8" w14:textId="2A13B8CE" w:rsidR="000C798D" w:rsidRDefault="000C798D">
      <w:pPr>
        <w:pStyle w:val="FootnoteText"/>
      </w:pPr>
      <w:r w:rsidRPr="008A7BF5">
        <w:rPr>
          <w:rStyle w:val="FootnoteReference"/>
        </w:rPr>
        <w:footnoteRef/>
      </w:r>
      <w:r w:rsidRPr="008A7BF5">
        <w:t xml:space="preserve"> </w:t>
      </w:r>
      <w:r>
        <w:t>(</w:t>
      </w:r>
      <w:r>
        <w:rPr>
          <w:rFonts w:cs="Arial"/>
        </w:rPr>
        <w:t>I</w:t>
      </w:r>
      <w:r w:rsidRPr="001E60C4">
        <w:rPr>
          <w:rFonts w:cs="Arial"/>
        </w:rPr>
        <w:t>TU 1546-1 Terrain. DEM: 3s</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AD9E" w14:textId="77777777" w:rsidR="000C798D" w:rsidRPr="00A5474E" w:rsidRDefault="000C798D" w:rsidP="00A5474E">
    <w:pPr>
      <w:pStyle w:val="Header"/>
    </w:pPr>
    <w:r>
      <w:rPr>
        <w:noProof/>
      </w:rPr>
      <w:drawing>
        <wp:inline distT="0" distB="0" distL="0" distR="0" wp14:anchorId="3B40A5AB" wp14:editId="3A205F59">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9EC4" w14:textId="77777777" w:rsidR="000C798D" w:rsidRPr="00A5474E" w:rsidRDefault="000C798D"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F31D" w14:textId="77777777" w:rsidR="000C798D" w:rsidRDefault="000C79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985D" w14:textId="77777777" w:rsidR="000C798D" w:rsidRDefault="000C79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0C798D" w14:paraId="50E926FC" w14:textId="77777777" w:rsidTr="00BF6AC0">
      <w:trPr>
        <w:trHeight w:hRule="exact" w:val="988"/>
      </w:trPr>
      <w:tc>
        <w:tcPr>
          <w:tcW w:w="7678" w:type="dxa"/>
          <w:shd w:val="clear" w:color="auto" w:fill="auto"/>
        </w:tcPr>
        <w:p w14:paraId="1EA23C1F" w14:textId="77777777" w:rsidR="000C798D" w:rsidRDefault="000C798D" w:rsidP="00971914">
          <w:pPr>
            <w:pStyle w:val="Header"/>
          </w:pPr>
        </w:p>
      </w:tc>
    </w:tr>
    <w:tr w:rsidR="000C798D" w14:paraId="034556FE" w14:textId="77777777" w:rsidTr="00BF6AC0">
      <w:tc>
        <w:tcPr>
          <w:tcW w:w="7678" w:type="dxa"/>
          <w:shd w:val="clear" w:color="auto" w:fill="auto"/>
        </w:tcPr>
        <w:p w14:paraId="1B897474" w14:textId="77777777" w:rsidR="000C798D" w:rsidRDefault="000C798D" w:rsidP="00971914">
          <w:pPr>
            <w:pStyle w:val="GridTable31"/>
          </w:pPr>
          <w:r>
            <w:t xml:space="preserve">Contents </w:t>
          </w:r>
          <w:r w:rsidRPr="00915B1C">
            <w:rPr>
              <w:b w:val="0"/>
              <w:spacing w:val="0"/>
              <w:sz w:val="28"/>
              <w:szCs w:val="28"/>
            </w:rPr>
            <w:t>(Continued)</w:t>
          </w:r>
        </w:p>
      </w:tc>
    </w:tr>
    <w:tr w:rsidR="000C798D" w14:paraId="716C9511" w14:textId="77777777" w:rsidTr="00BF6AC0">
      <w:trPr>
        <w:trHeight w:val="1220"/>
      </w:trPr>
      <w:tc>
        <w:tcPr>
          <w:tcW w:w="7678" w:type="dxa"/>
          <w:shd w:val="clear" w:color="auto" w:fill="auto"/>
        </w:tcPr>
        <w:p w14:paraId="16270161" w14:textId="77777777" w:rsidR="000C798D" w:rsidRDefault="000C798D" w:rsidP="00971914"/>
      </w:tc>
    </w:tr>
  </w:tbl>
  <w:p w14:paraId="6D9FB22C" w14:textId="77777777" w:rsidR="000C798D" w:rsidRDefault="000C798D"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0C798D" w14:paraId="6E0FBD3B" w14:textId="77777777" w:rsidTr="00BF6AC0">
      <w:trPr>
        <w:trHeight w:hRule="exact" w:val="988"/>
      </w:trPr>
      <w:tc>
        <w:tcPr>
          <w:tcW w:w="7678" w:type="dxa"/>
          <w:shd w:val="clear" w:color="auto" w:fill="auto"/>
        </w:tcPr>
        <w:p w14:paraId="1D30A3FC" w14:textId="77777777" w:rsidR="000C798D" w:rsidRDefault="000C798D" w:rsidP="00971914">
          <w:pPr>
            <w:pStyle w:val="Header"/>
          </w:pPr>
        </w:p>
      </w:tc>
    </w:tr>
    <w:tr w:rsidR="000C798D" w14:paraId="39EE9577" w14:textId="77777777" w:rsidTr="00BF6AC0">
      <w:tc>
        <w:tcPr>
          <w:tcW w:w="7678" w:type="dxa"/>
          <w:shd w:val="clear" w:color="auto" w:fill="auto"/>
        </w:tcPr>
        <w:p w14:paraId="6CDB7399" w14:textId="77777777" w:rsidR="000C798D" w:rsidRDefault="000C798D" w:rsidP="00971914">
          <w:pPr>
            <w:pStyle w:val="GridTable31"/>
          </w:pPr>
          <w:r>
            <w:t xml:space="preserve">Contents </w:t>
          </w:r>
          <w:r w:rsidRPr="00915B1C">
            <w:rPr>
              <w:b w:val="0"/>
              <w:spacing w:val="0"/>
              <w:sz w:val="28"/>
              <w:szCs w:val="28"/>
            </w:rPr>
            <w:t>(Continued)</w:t>
          </w:r>
        </w:p>
      </w:tc>
    </w:tr>
    <w:tr w:rsidR="000C798D" w14:paraId="4DB9DD43" w14:textId="77777777" w:rsidTr="00BF6AC0">
      <w:trPr>
        <w:trHeight w:val="1220"/>
      </w:trPr>
      <w:tc>
        <w:tcPr>
          <w:tcW w:w="7678" w:type="dxa"/>
          <w:shd w:val="clear" w:color="auto" w:fill="auto"/>
        </w:tcPr>
        <w:p w14:paraId="10E8CAD4" w14:textId="77777777" w:rsidR="000C798D" w:rsidRDefault="000C798D" w:rsidP="00971914"/>
      </w:tc>
    </w:tr>
  </w:tbl>
  <w:p w14:paraId="6E6A40A8" w14:textId="77777777" w:rsidR="000C798D" w:rsidRPr="00A5474E" w:rsidRDefault="000C798D"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B456" w14:textId="77777777" w:rsidR="000C798D" w:rsidRDefault="000C798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A87D" w14:textId="77777777" w:rsidR="000C798D" w:rsidRDefault="000C7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F8CC2B86"/>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62766B"/>
    <w:multiLevelType w:val="hybridMultilevel"/>
    <w:tmpl w:val="5678A9DC"/>
    <w:lvl w:ilvl="0" w:tplc="2EBE998C">
      <w:numFmt w:val="bullet"/>
      <w:lvlText w:val=""/>
      <w:lvlJc w:val="left"/>
      <w:pPr>
        <w:ind w:left="720" w:hanging="360"/>
      </w:pPr>
      <w:rPr>
        <w:rFonts w:ascii="Symbol" w:eastAsia="Times New Roman"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2F5A5080"/>
    <w:multiLevelType w:val="hybridMultilevel"/>
    <w:tmpl w:val="BE2AF6CE"/>
    <w:lvl w:ilvl="0" w:tplc="D05E2434">
      <w:start w:val="1"/>
      <w:numFmt w:val="bullet"/>
      <w:pStyle w:val="ACMABulletLevel1"/>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3660F84"/>
    <w:multiLevelType w:val="hybridMultilevel"/>
    <w:tmpl w:val="AE46259E"/>
    <w:lvl w:ilvl="0" w:tplc="2EBE998C">
      <w:numFmt w:val="bullet"/>
      <w:lvlText w:val=""/>
      <w:lvlJc w:val="left"/>
      <w:pPr>
        <w:ind w:left="720" w:hanging="360"/>
      </w:pPr>
      <w:rPr>
        <w:rFonts w:ascii="Symbol" w:eastAsia="Times New Roman" w:hAnsi="Symbol" w:cs="Arial" w:hint="default"/>
        <w:b/>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E313AA"/>
    <w:multiLevelType w:val="hybridMultilevel"/>
    <w:tmpl w:val="16A63E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66F4108"/>
    <w:multiLevelType w:val="hybridMultilevel"/>
    <w:tmpl w:val="004CA2A2"/>
    <w:lvl w:ilvl="0" w:tplc="F6B4FD8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A3013F"/>
    <w:multiLevelType w:val="hybridMultilevel"/>
    <w:tmpl w:val="02FE1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9F42A2"/>
    <w:multiLevelType w:val="hybridMultilevel"/>
    <w:tmpl w:val="F814D4F2"/>
    <w:lvl w:ilvl="0" w:tplc="2EBE998C">
      <w:numFmt w:val="bullet"/>
      <w:lvlText w:val=""/>
      <w:lvlJc w:val="left"/>
      <w:pPr>
        <w:ind w:left="720" w:hanging="360"/>
      </w:pPr>
      <w:rPr>
        <w:rFonts w:ascii="Symbol" w:eastAsia="Times New Roman" w:hAnsi="Symbol" w:cs="Arial" w:hint="default"/>
        <w:b/>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7"/>
  </w:num>
  <w:num w:numId="6">
    <w:abstractNumId w:val="15"/>
  </w:num>
  <w:num w:numId="7">
    <w:abstractNumId w:val="13"/>
  </w:num>
  <w:num w:numId="8">
    <w:abstractNumId w:val="14"/>
  </w:num>
  <w:num w:numId="9">
    <w:abstractNumId w:val="16"/>
  </w:num>
  <w:num w:numId="10">
    <w:abstractNumId w:val="5"/>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8"/>
  </w:num>
  <w:num w:numId="17">
    <w:abstractNumId w:val="9"/>
  </w:num>
  <w:num w:numId="18">
    <w:abstractNumId w:val="6"/>
  </w:num>
  <w:num w:numId="19">
    <w:abstractNumId w:val="17"/>
  </w:num>
  <w:num w:numId="20">
    <w:abstractNumId w:val="11"/>
  </w:num>
  <w:num w:numId="21">
    <w:abstractNumId w:val="3"/>
  </w:num>
  <w:num w:numId="22">
    <w:abstractNumId w:val="12"/>
  </w:num>
  <w:num w:numId="2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82"/>
    <w:rsid w:val="000014D7"/>
    <w:rsid w:val="0000410A"/>
    <w:rsid w:val="00007A79"/>
    <w:rsid w:val="00010667"/>
    <w:rsid w:val="00010932"/>
    <w:rsid w:val="000129D5"/>
    <w:rsid w:val="00015AE7"/>
    <w:rsid w:val="00016E21"/>
    <w:rsid w:val="0001719C"/>
    <w:rsid w:val="00021FBF"/>
    <w:rsid w:val="0002224E"/>
    <w:rsid w:val="00024028"/>
    <w:rsid w:val="000245E5"/>
    <w:rsid w:val="00026F91"/>
    <w:rsid w:val="000304A3"/>
    <w:rsid w:val="00030F14"/>
    <w:rsid w:val="00032621"/>
    <w:rsid w:val="00033557"/>
    <w:rsid w:val="0004764C"/>
    <w:rsid w:val="0005011A"/>
    <w:rsid w:val="0005045A"/>
    <w:rsid w:val="00050740"/>
    <w:rsid w:val="00051C1E"/>
    <w:rsid w:val="000539F9"/>
    <w:rsid w:val="00054C27"/>
    <w:rsid w:val="00055135"/>
    <w:rsid w:val="00055EC3"/>
    <w:rsid w:val="000563CE"/>
    <w:rsid w:val="00061054"/>
    <w:rsid w:val="000644D6"/>
    <w:rsid w:val="000659B6"/>
    <w:rsid w:val="0006686F"/>
    <w:rsid w:val="0006722A"/>
    <w:rsid w:val="000719A3"/>
    <w:rsid w:val="0007271C"/>
    <w:rsid w:val="000732CF"/>
    <w:rsid w:val="00075B96"/>
    <w:rsid w:val="0007733D"/>
    <w:rsid w:val="000813F6"/>
    <w:rsid w:val="0008196A"/>
    <w:rsid w:val="00085753"/>
    <w:rsid w:val="000915ED"/>
    <w:rsid w:val="0009209D"/>
    <w:rsid w:val="0009463C"/>
    <w:rsid w:val="00094867"/>
    <w:rsid w:val="00094A76"/>
    <w:rsid w:val="000969BD"/>
    <w:rsid w:val="000969BF"/>
    <w:rsid w:val="0009710C"/>
    <w:rsid w:val="000A0C22"/>
    <w:rsid w:val="000A1400"/>
    <w:rsid w:val="000A1CCD"/>
    <w:rsid w:val="000A3C43"/>
    <w:rsid w:val="000A4A51"/>
    <w:rsid w:val="000A5D2B"/>
    <w:rsid w:val="000B4664"/>
    <w:rsid w:val="000B5DE3"/>
    <w:rsid w:val="000B63CE"/>
    <w:rsid w:val="000B788C"/>
    <w:rsid w:val="000C0A57"/>
    <w:rsid w:val="000C0F74"/>
    <w:rsid w:val="000C1934"/>
    <w:rsid w:val="000C230C"/>
    <w:rsid w:val="000C6201"/>
    <w:rsid w:val="000C635F"/>
    <w:rsid w:val="000C6AB4"/>
    <w:rsid w:val="000C7852"/>
    <w:rsid w:val="000C798D"/>
    <w:rsid w:val="000D2DCF"/>
    <w:rsid w:val="000D71D9"/>
    <w:rsid w:val="000D76E0"/>
    <w:rsid w:val="000D7E8B"/>
    <w:rsid w:val="000E38FB"/>
    <w:rsid w:val="000E4449"/>
    <w:rsid w:val="000E57FE"/>
    <w:rsid w:val="000E6097"/>
    <w:rsid w:val="000E6BFD"/>
    <w:rsid w:val="000E7C21"/>
    <w:rsid w:val="000F3A84"/>
    <w:rsid w:val="0010009A"/>
    <w:rsid w:val="00102B8D"/>
    <w:rsid w:val="00103829"/>
    <w:rsid w:val="00111FCE"/>
    <w:rsid w:val="001155FC"/>
    <w:rsid w:val="0012250D"/>
    <w:rsid w:val="001229A5"/>
    <w:rsid w:val="00123066"/>
    <w:rsid w:val="001231F9"/>
    <w:rsid w:val="0012489B"/>
    <w:rsid w:val="00125DB0"/>
    <w:rsid w:val="00130017"/>
    <w:rsid w:val="00130B17"/>
    <w:rsid w:val="00130F91"/>
    <w:rsid w:val="0013116F"/>
    <w:rsid w:val="001343BC"/>
    <w:rsid w:val="001349C7"/>
    <w:rsid w:val="001349ED"/>
    <w:rsid w:val="00137424"/>
    <w:rsid w:val="00140318"/>
    <w:rsid w:val="00141AD9"/>
    <w:rsid w:val="00146CE6"/>
    <w:rsid w:val="00152868"/>
    <w:rsid w:val="00152903"/>
    <w:rsid w:val="00152B0A"/>
    <w:rsid w:val="00153FD5"/>
    <w:rsid w:val="00156050"/>
    <w:rsid w:val="0015614F"/>
    <w:rsid w:val="001577C2"/>
    <w:rsid w:val="0016299D"/>
    <w:rsid w:val="001633C4"/>
    <w:rsid w:val="00163427"/>
    <w:rsid w:val="001653D4"/>
    <w:rsid w:val="00165982"/>
    <w:rsid w:val="001704D5"/>
    <w:rsid w:val="00171591"/>
    <w:rsid w:val="00173981"/>
    <w:rsid w:val="001758C4"/>
    <w:rsid w:val="00176C7F"/>
    <w:rsid w:val="0017719D"/>
    <w:rsid w:val="001771BD"/>
    <w:rsid w:val="00181B3B"/>
    <w:rsid w:val="001821E6"/>
    <w:rsid w:val="00182FB6"/>
    <w:rsid w:val="00183FD7"/>
    <w:rsid w:val="00184726"/>
    <w:rsid w:val="00185CAB"/>
    <w:rsid w:val="0018624A"/>
    <w:rsid w:val="001875B7"/>
    <w:rsid w:val="00187CB3"/>
    <w:rsid w:val="0019050A"/>
    <w:rsid w:val="001910D4"/>
    <w:rsid w:val="00191A7F"/>
    <w:rsid w:val="00192335"/>
    <w:rsid w:val="0019734F"/>
    <w:rsid w:val="00197393"/>
    <w:rsid w:val="001976E3"/>
    <w:rsid w:val="001A05EA"/>
    <w:rsid w:val="001A091C"/>
    <w:rsid w:val="001A3999"/>
    <w:rsid w:val="001A44EC"/>
    <w:rsid w:val="001B4EB5"/>
    <w:rsid w:val="001B58AA"/>
    <w:rsid w:val="001B7E48"/>
    <w:rsid w:val="001C17CE"/>
    <w:rsid w:val="001C22CF"/>
    <w:rsid w:val="001C36CA"/>
    <w:rsid w:val="001C39D5"/>
    <w:rsid w:val="001C44D1"/>
    <w:rsid w:val="001C45CF"/>
    <w:rsid w:val="001C6707"/>
    <w:rsid w:val="001C6AEE"/>
    <w:rsid w:val="001C7136"/>
    <w:rsid w:val="001C7630"/>
    <w:rsid w:val="001D6D15"/>
    <w:rsid w:val="001D7083"/>
    <w:rsid w:val="001D716B"/>
    <w:rsid w:val="001E25AB"/>
    <w:rsid w:val="001E26B8"/>
    <w:rsid w:val="001E50DB"/>
    <w:rsid w:val="001F0C7D"/>
    <w:rsid w:val="001F2371"/>
    <w:rsid w:val="001F2835"/>
    <w:rsid w:val="001F3EF3"/>
    <w:rsid w:val="001F50F7"/>
    <w:rsid w:val="001F5100"/>
    <w:rsid w:val="001F7558"/>
    <w:rsid w:val="0020073E"/>
    <w:rsid w:val="00201049"/>
    <w:rsid w:val="00201EE2"/>
    <w:rsid w:val="00202761"/>
    <w:rsid w:val="00205B57"/>
    <w:rsid w:val="002063A2"/>
    <w:rsid w:val="0021088E"/>
    <w:rsid w:val="002126B1"/>
    <w:rsid w:val="0021426C"/>
    <w:rsid w:val="002157E0"/>
    <w:rsid w:val="00215FE6"/>
    <w:rsid w:val="00216A57"/>
    <w:rsid w:val="00217448"/>
    <w:rsid w:val="0022271B"/>
    <w:rsid w:val="0022334F"/>
    <w:rsid w:val="00226720"/>
    <w:rsid w:val="00226819"/>
    <w:rsid w:val="00230409"/>
    <w:rsid w:val="00232713"/>
    <w:rsid w:val="00232896"/>
    <w:rsid w:val="00233101"/>
    <w:rsid w:val="00233817"/>
    <w:rsid w:val="002367FF"/>
    <w:rsid w:val="00236D19"/>
    <w:rsid w:val="00240CE9"/>
    <w:rsid w:val="00241D34"/>
    <w:rsid w:val="002434BA"/>
    <w:rsid w:val="002449F1"/>
    <w:rsid w:val="00246089"/>
    <w:rsid w:val="00246093"/>
    <w:rsid w:val="00246702"/>
    <w:rsid w:val="0024685D"/>
    <w:rsid w:val="00247C59"/>
    <w:rsid w:val="00247F2E"/>
    <w:rsid w:val="00250ADC"/>
    <w:rsid w:val="00250B07"/>
    <w:rsid w:val="0025120C"/>
    <w:rsid w:val="00251682"/>
    <w:rsid w:val="002520EA"/>
    <w:rsid w:val="00255D8D"/>
    <w:rsid w:val="00257553"/>
    <w:rsid w:val="00260B90"/>
    <w:rsid w:val="00260FB2"/>
    <w:rsid w:val="00262128"/>
    <w:rsid w:val="00263C09"/>
    <w:rsid w:val="002649DA"/>
    <w:rsid w:val="0027165D"/>
    <w:rsid w:val="00273510"/>
    <w:rsid w:val="00273CEB"/>
    <w:rsid w:val="0027575C"/>
    <w:rsid w:val="00276655"/>
    <w:rsid w:val="0028071F"/>
    <w:rsid w:val="00281C89"/>
    <w:rsid w:val="00281EC9"/>
    <w:rsid w:val="0028282F"/>
    <w:rsid w:val="00286D39"/>
    <w:rsid w:val="002909BB"/>
    <w:rsid w:val="0029593B"/>
    <w:rsid w:val="00297FC5"/>
    <w:rsid w:val="002A0417"/>
    <w:rsid w:val="002A16D8"/>
    <w:rsid w:val="002A1BC8"/>
    <w:rsid w:val="002A3EF2"/>
    <w:rsid w:val="002B0DED"/>
    <w:rsid w:val="002B19A2"/>
    <w:rsid w:val="002B25B9"/>
    <w:rsid w:val="002B381A"/>
    <w:rsid w:val="002B4FCC"/>
    <w:rsid w:val="002B5839"/>
    <w:rsid w:val="002B7408"/>
    <w:rsid w:val="002B7CFD"/>
    <w:rsid w:val="002C0530"/>
    <w:rsid w:val="002C210F"/>
    <w:rsid w:val="002C36DB"/>
    <w:rsid w:val="002C3DA6"/>
    <w:rsid w:val="002C458D"/>
    <w:rsid w:val="002C561C"/>
    <w:rsid w:val="002C5A1C"/>
    <w:rsid w:val="002C7025"/>
    <w:rsid w:val="002D02CF"/>
    <w:rsid w:val="002D3600"/>
    <w:rsid w:val="002D4A44"/>
    <w:rsid w:val="002D4B2A"/>
    <w:rsid w:val="002D4B7D"/>
    <w:rsid w:val="002E02D1"/>
    <w:rsid w:val="002E285C"/>
    <w:rsid w:val="002E4DDC"/>
    <w:rsid w:val="002E6D88"/>
    <w:rsid w:val="002F548D"/>
    <w:rsid w:val="002F6AA7"/>
    <w:rsid w:val="002F6E4C"/>
    <w:rsid w:val="002F7071"/>
    <w:rsid w:val="00301085"/>
    <w:rsid w:val="00302480"/>
    <w:rsid w:val="00302758"/>
    <w:rsid w:val="00311B75"/>
    <w:rsid w:val="00315A3C"/>
    <w:rsid w:val="003165E6"/>
    <w:rsid w:val="00316B38"/>
    <w:rsid w:val="003215B5"/>
    <w:rsid w:val="003221CF"/>
    <w:rsid w:val="003233ED"/>
    <w:rsid w:val="00324D9F"/>
    <w:rsid w:val="0032704D"/>
    <w:rsid w:val="00327948"/>
    <w:rsid w:val="0033000F"/>
    <w:rsid w:val="00332011"/>
    <w:rsid w:val="00332518"/>
    <w:rsid w:val="00332694"/>
    <w:rsid w:val="00332925"/>
    <w:rsid w:val="00332E3F"/>
    <w:rsid w:val="0033322D"/>
    <w:rsid w:val="003332ED"/>
    <w:rsid w:val="003340F9"/>
    <w:rsid w:val="003368DC"/>
    <w:rsid w:val="003429EC"/>
    <w:rsid w:val="00345927"/>
    <w:rsid w:val="00350323"/>
    <w:rsid w:val="00350584"/>
    <w:rsid w:val="00351857"/>
    <w:rsid w:val="003545E8"/>
    <w:rsid w:val="003610E1"/>
    <w:rsid w:val="00366C7E"/>
    <w:rsid w:val="003671BE"/>
    <w:rsid w:val="00367BA1"/>
    <w:rsid w:val="0037225B"/>
    <w:rsid w:val="00372485"/>
    <w:rsid w:val="00373200"/>
    <w:rsid w:val="00373F43"/>
    <w:rsid w:val="0037511C"/>
    <w:rsid w:val="00375EF5"/>
    <w:rsid w:val="00376257"/>
    <w:rsid w:val="003767A5"/>
    <w:rsid w:val="0038102E"/>
    <w:rsid w:val="00381B65"/>
    <w:rsid w:val="00381D15"/>
    <w:rsid w:val="00385254"/>
    <w:rsid w:val="00386DA0"/>
    <w:rsid w:val="00392248"/>
    <w:rsid w:val="00392328"/>
    <w:rsid w:val="00392B97"/>
    <w:rsid w:val="003933E8"/>
    <w:rsid w:val="00394031"/>
    <w:rsid w:val="00396DC2"/>
    <w:rsid w:val="003A04DB"/>
    <w:rsid w:val="003A213C"/>
    <w:rsid w:val="003A38F2"/>
    <w:rsid w:val="003A4125"/>
    <w:rsid w:val="003A5427"/>
    <w:rsid w:val="003A5753"/>
    <w:rsid w:val="003A5F5B"/>
    <w:rsid w:val="003A789A"/>
    <w:rsid w:val="003B0CC0"/>
    <w:rsid w:val="003B12EC"/>
    <w:rsid w:val="003B1DBF"/>
    <w:rsid w:val="003B2770"/>
    <w:rsid w:val="003B541C"/>
    <w:rsid w:val="003B5FB7"/>
    <w:rsid w:val="003C00BF"/>
    <w:rsid w:val="003C03B8"/>
    <w:rsid w:val="003C5897"/>
    <w:rsid w:val="003C67F2"/>
    <w:rsid w:val="003C77E0"/>
    <w:rsid w:val="003D17D7"/>
    <w:rsid w:val="003D2678"/>
    <w:rsid w:val="003D33B5"/>
    <w:rsid w:val="003D521D"/>
    <w:rsid w:val="003D6CDD"/>
    <w:rsid w:val="003D71A3"/>
    <w:rsid w:val="003E2B8A"/>
    <w:rsid w:val="003E452F"/>
    <w:rsid w:val="003E59D4"/>
    <w:rsid w:val="003E59DD"/>
    <w:rsid w:val="003E6800"/>
    <w:rsid w:val="003F0D6B"/>
    <w:rsid w:val="003F10EE"/>
    <w:rsid w:val="003F16F6"/>
    <w:rsid w:val="003F28C0"/>
    <w:rsid w:val="003F4DC7"/>
    <w:rsid w:val="003F5235"/>
    <w:rsid w:val="003F5AFC"/>
    <w:rsid w:val="003F79BC"/>
    <w:rsid w:val="004027E4"/>
    <w:rsid w:val="00405D6C"/>
    <w:rsid w:val="0041071D"/>
    <w:rsid w:val="00414AFC"/>
    <w:rsid w:val="004151A7"/>
    <w:rsid w:val="00415310"/>
    <w:rsid w:val="0041652A"/>
    <w:rsid w:val="004176E0"/>
    <w:rsid w:val="00421709"/>
    <w:rsid w:val="00421F8D"/>
    <w:rsid w:val="00423763"/>
    <w:rsid w:val="0042604A"/>
    <w:rsid w:val="0042762F"/>
    <w:rsid w:val="00427DC7"/>
    <w:rsid w:val="00431613"/>
    <w:rsid w:val="00431792"/>
    <w:rsid w:val="00431E76"/>
    <w:rsid w:val="0043297A"/>
    <w:rsid w:val="00432EB2"/>
    <w:rsid w:val="004338AB"/>
    <w:rsid w:val="0043714F"/>
    <w:rsid w:val="0044020A"/>
    <w:rsid w:val="004434B0"/>
    <w:rsid w:val="004438B5"/>
    <w:rsid w:val="00447037"/>
    <w:rsid w:val="0045124D"/>
    <w:rsid w:val="00452C66"/>
    <w:rsid w:val="00454596"/>
    <w:rsid w:val="0045460B"/>
    <w:rsid w:val="00454C64"/>
    <w:rsid w:val="0045605D"/>
    <w:rsid w:val="00457134"/>
    <w:rsid w:val="004575DF"/>
    <w:rsid w:val="00457B2D"/>
    <w:rsid w:val="0046135B"/>
    <w:rsid w:val="00461D47"/>
    <w:rsid w:val="00461EA2"/>
    <w:rsid w:val="00470E03"/>
    <w:rsid w:val="004718CC"/>
    <w:rsid w:val="00472CF9"/>
    <w:rsid w:val="00473CDA"/>
    <w:rsid w:val="00473DF8"/>
    <w:rsid w:val="004748CB"/>
    <w:rsid w:val="00475549"/>
    <w:rsid w:val="00475AD8"/>
    <w:rsid w:val="00475AE7"/>
    <w:rsid w:val="00481695"/>
    <w:rsid w:val="00484FCB"/>
    <w:rsid w:val="00487EAE"/>
    <w:rsid w:val="00492F01"/>
    <w:rsid w:val="00495A96"/>
    <w:rsid w:val="00495BB3"/>
    <w:rsid w:val="0049721B"/>
    <w:rsid w:val="004A22E3"/>
    <w:rsid w:val="004A4328"/>
    <w:rsid w:val="004A56BB"/>
    <w:rsid w:val="004A70D6"/>
    <w:rsid w:val="004A7DDC"/>
    <w:rsid w:val="004B1751"/>
    <w:rsid w:val="004B2115"/>
    <w:rsid w:val="004B3FA2"/>
    <w:rsid w:val="004B4428"/>
    <w:rsid w:val="004B5137"/>
    <w:rsid w:val="004B73F8"/>
    <w:rsid w:val="004C0253"/>
    <w:rsid w:val="004C326A"/>
    <w:rsid w:val="004D0E18"/>
    <w:rsid w:val="004D45A7"/>
    <w:rsid w:val="004D56FF"/>
    <w:rsid w:val="004D78F3"/>
    <w:rsid w:val="004E07DC"/>
    <w:rsid w:val="004E08B0"/>
    <w:rsid w:val="004E39D3"/>
    <w:rsid w:val="004E4390"/>
    <w:rsid w:val="004E4D86"/>
    <w:rsid w:val="004E508A"/>
    <w:rsid w:val="004E5EF3"/>
    <w:rsid w:val="004E616D"/>
    <w:rsid w:val="004F1BDE"/>
    <w:rsid w:val="004F2CEE"/>
    <w:rsid w:val="004F4A6E"/>
    <w:rsid w:val="004F556E"/>
    <w:rsid w:val="004F591C"/>
    <w:rsid w:val="004F7F44"/>
    <w:rsid w:val="005037B4"/>
    <w:rsid w:val="00503E69"/>
    <w:rsid w:val="005079BF"/>
    <w:rsid w:val="0051269A"/>
    <w:rsid w:val="00512DA5"/>
    <w:rsid w:val="00514A1E"/>
    <w:rsid w:val="00514E45"/>
    <w:rsid w:val="0051671E"/>
    <w:rsid w:val="00517A74"/>
    <w:rsid w:val="005219E7"/>
    <w:rsid w:val="00523603"/>
    <w:rsid w:val="005258D9"/>
    <w:rsid w:val="005260BB"/>
    <w:rsid w:val="00531B9A"/>
    <w:rsid w:val="00531D15"/>
    <w:rsid w:val="00537604"/>
    <w:rsid w:val="00542377"/>
    <w:rsid w:val="0054332A"/>
    <w:rsid w:val="005433FA"/>
    <w:rsid w:val="005445D9"/>
    <w:rsid w:val="005476EB"/>
    <w:rsid w:val="00551782"/>
    <w:rsid w:val="005549D8"/>
    <w:rsid w:val="00555232"/>
    <w:rsid w:val="00555627"/>
    <w:rsid w:val="00555D88"/>
    <w:rsid w:val="00560140"/>
    <w:rsid w:val="00561285"/>
    <w:rsid w:val="00563EF1"/>
    <w:rsid w:val="00564FED"/>
    <w:rsid w:val="00566AB4"/>
    <w:rsid w:val="005704BC"/>
    <w:rsid w:val="00571210"/>
    <w:rsid w:val="0057151B"/>
    <w:rsid w:val="00572DF2"/>
    <w:rsid w:val="00573812"/>
    <w:rsid w:val="00573888"/>
    <w:rsid w:val="00575AC5"/>
    <w:rsid w:val="0057605D"/>
    <w:rsid w:val="00576DA3"/>
    <w:rsid w:val="00581347"/>
    <w:rsid w:val="00581938"/>
    <w:rsid w:val="00581AC9"/>
    <w:rsid w:val="005849F8"/>
    <w:rsid w:val="00586E0F"/>
    <w:rsid w:val="00593304"/>
    <w:rsid w:val="005938DF"/>
    <w:rsid w:val="00594E9C"/>
    <w:rsid w:val="00596EC4"/>
    <w:rsid w:val="005A099B"/>
    <w:rsid w:val="005A1897"/>
    <w:rsid w:val="005A2D9C"/>
    <w:rsid w:val="005A55FE"/>
    <w:rsid w:val="005A6A11"/>
    <w:rsid w:val="005B07A8"/>
    <w:rsid w:val="005B2F0D"/>
    <w:rsid w:val="005B39E2"/>
    <w:rsid w:val="005B4A52"/>
    <w:rsid w:val="005B6ED1"/>
    <w:rsid w:val="005C07D2"/>
    <w:rsid w:val="005C1E3E"/>
    <w:rsid w:val="005C22C1"/>
    <w:rsid w:val="005C34EF"/>
    <w:rsid w:val="005C3956"/>
    <w:rsid w:val="005C4D04"/>
    <w:rsid w:val="005D1119"/>
    <w:rsid w:val="005D1439"/>
    <w:rsid w:val="005D16F3"/>
    <w:rsid w:val="005D2502"/>
    <w:rsid w:val="005D374B"/>
    <w:rsid w:val="005D3926"/>
    <w:rsid w:val="005D40BB"/>
    <w:rsid w:val="005D44E4"/>
    <w:rsid w:val="005D47F3"/>
    <w:rsid w:val="005D49BF"/>
    <w:rsid w:val="005D4AA5"/>
    <w:rsid w:val="005D4AC4"/>
    <w:rsid w:val="005D6F4E"/>
    <w:rsid w:val="005D732B"/>
    <w:rsid w:val="005D7C73"/>
    <w:rsid w:val="005E250B"/>
    <w:rsid w:val="005E3ACD"/>
    <w:rsid w:val="005E4331"/>
    <w:rsid w:val="005E5705"/>
    <w:rsid w:val="005E6779"/>
    <w:rsid w:val="005E6EDB"/>
    <w:rsid w:val="005E7226"/>
    <w:rsid w:val="005E7A57"/>
    <w:rsid w:val="005F1605"/>
    <w:rsid w:val="005F2033"/>
    <w:rsid w:val="005F24B0"/>
    <w:rsid w:val="005F3E7E"/>
    <w:rsid w:val="00602ACC"/>
    <w:rsid w:val="00604315"/>
    <w:rsid w:val="006043AF"/>
    <w:rsid w:val="006048C3"/>
    <w:rsid w:val="00604E26"/>
    <w:rsid w:val="006051AC"/>
    <w:rsid w:val="0060523F"/>
    <w:rsid w:val="006052CF"/>
    <w:rsid w:val="00607B8D"/>
    <w:rsid w:val="00611F04"/>
    <w:rsid w:val="00611F5C"/>
    <w:rsid w:val="0061294D"/>
    <w:rsid w:val="00616E09"/>
    <w:rsid w:val="0062121D"/>
    <w:rsid w:val="00621D1B"/>
    <w:rsid w:val="00622950"/>
    <w:rsid w:val="00622A3B"/>
    <w:rsid w:val="00622EEA"/>
    <w:rsid w:val="0062396C"/>
    <w:rsid w:val="00623FF9"/>
    <w:rsid w:val="0062633F"/>
    <w:rsid w:val="00626DC9"/>
    <w:rsid w:val="00627D4E"/>
    <w:rsid w:val="00627EBD"/>
    <w:rsid w:val="00630A8C"/>
    <w:rsid w:val="006310C1"/>
    <w:rsid w:val="00631A88"/>
    <w:rsid w:val="00632B89"/>
    <w:rsid w:val="0063346D"/>
    <w:rsid w:val="00634478"/>
    <w:rsid w:val="006369AB"/>
    <w:rsid w:val="00640374"/>
    <w:rsid w:val="00641084"/>
    <w:rsid w:val="00641284"/>
    <w:rsid w:val="00644373"/>
    <w:rsid w:val="00645915"/>
    <w:rsid w:val="00645A3E"/>
    <w:rsid w:val="00646CC4"/>
    <w:rsid w:val="00651873"/>
    <w:rsid w:val="006519C3"/>
    <w:rsid w:val="00652B30"/>
    <w:rsid w:val="00654F80"/>
    <w:rsid w:val="00655583"/>
    <w:rsid w:val="00656345"/>
    <w:rsid w:val="006569EA"/>
    <w:rsid w:val="00656DC6"/>
    <w:rsid w:val="006600F0"/>
    <w:rsid w:val="00660EC6"/>
    <w:rsid w:val="00664110"/>
    <w:rsid w:val="00664CBC"/>
    <w:rsid w:val="00664D17"/>
    <w:rsid w:val="00665BA2"/>
    <w:rsid w:val="00666520"/>
    <w:rsid w:val="0066768B"/>
    <w:rsid w:val="00667C5B"/>
    <w:rsid w:val="00670A76"/>
    <w:rsid w:val="00674D03"/>
    <w:rsid w:val="006819B6"/>
    <w:rsid w:val="00682222"/>
    <w:rsid w:val="00687869"/>
    <w:rsid w:val="00691733"/>
    <w:rsid w:val="00691EB8"/>
    <w:rsid w:val="00692CDE"/>
    <w:rsid w:val="00693073"/>
    <w:rsid w:val="006977FF"/>
    <w:rsid w:val="006A01FA"/>
    <w:rsid w:val="006A0E9E"/>
    <w:rsid w:val="006A25C7"/>
    <w:rsid w:val="006A2F40"/>
    <w:rsid w:val="006A33EC"/>
    <w:rsid w:val="006A4AAD"/>
    <w:rsid w:val="006A4CCA"/>
    <w:rsid w:val="006A6DA2"/>
    <w:rsid w:val="006A6EA5"/>
    <w:rsid w:val="006A7AB2"/>
    <w:rsid w:val="006B0E48"/>
    <w:rsid w:val="006B52DE"/>
    <w:rsid w:val="006B5717"/>
    <w:rsid w:val="006B582F"/>
    <w:rsid w:val="006B5EB2"/>
    <w:rsid w:val="006B675B"/>
    <w:rsid w:val="006C013E"/>
    <w:rsid w:val="006C0CEB"/>
    <w:rsid w:val="006C1631"/>
    <w:rsid w:val="006C311A"/>
    <w:rsid w:val="006C3B1E"/>
    <w:rsid w:val="006C47FD"/>
    <w:rsid w:val="006C5C19"/>
    <w:rsid w:val="006C6289"/>
    <w:rsid w:val="006C70A0"/>
    <w:rsid w:val="006C7FAC"/>
    <w:rsid w:val="006D0C4B"/>
    <w:rsid w:val="006D27CB"/>
    <w:rsid w:val="006D2F08"/>
    <w:rsid w:val="006D409A"/>
    <w:rsid w:val="006D576C"/>
    <w:rsid w:val="006D5865"/>
    <w:rsid w:val="006E04C8"/>
    <w:rsid w:val="006E0FE0"/>
    <w:rsid w:val="006E49B3"/>
    <w:rsid w:val="006E4B1B"/>
    <w:rsid w:val="006E5445"/>
    <w:rsid w:val="006E7D93"/>
    <w:rsid w:val="006E7EF8"/>
    <w:rsid w:val="006F436C"/>
    <w:rsid w:val="006F6F6A"/>
    <w:rsid w:val="006F77DE"/>
    <w:rsid w:val="007002F6"/>
    <w:rsid w:val="0070133D"/>
    <w:rsid w:val="007021A2"/>
    <w:rsid w:val="007029A3"/>
    <w:rsid w:val="00706E4E"/>
    <w:rsid w:val="0070791C"/>
    <w:rsid w:val="0071196F"/>
    <w:rsid w:val="0071383C"/>
    <w:rsid w:val="007141A7"/>
    <w:rsid w:val="00715722"/>
    <w:rsid w:val="00715BAF"/>
    <w:rsid w:val="00717053"/>
    <w:rsid w:val="00717F14"/>
    <w:rsid w:val="00721032"/>
    <w:rsid w:val="00721B55"/>
    <w:rsid w:val="00726CE4"/>
    <w:rsid w:val="00727878"/>
    <w:rsid w:val="007314D9"/>
    <w:rsid w:val="007319F5"/>
    <w:rsid w:val="00733F42"/>
    <w:rsid w:val="00734143"/>
    <w:rsid w:val="00735457"/>
    <w:rsid w:val="00737E47"/>
    <w:rsid w:val="00740EAC"/>
    <w:rsid w:val="00741448"/>
    <w:rsid w:val="0074434C"/>
    <w:rsid w:val="00744956"/>
    <w:rsid w:val="00745A4A"/>
    <w:rsid w:val="00745A5C"/>
    <w:rsid w:val="0074605F"/>
    <w:rsid w:val="00747E94"/>
    <w:rsid w:val="00747F3D"/>
    <w:rsid w:val="007504A0"/>
    <w:rsid w:val="00752537"/>
    <w:rsid w:val="00754991"/>
    <w:rsid w:val="00754C83"/>
    <w:rsid w:val="00761E5C"/>
    <w:rsid w:val="00762FA0"/>
    <w:rsid w:val="00763396"/>
    <w:rsid w:val="00765DF8"/>
    <w:rsid w:val="00765F3B"/>
    <w:rsid w:val="00766327"/>
    <w:rsid w:val="00766749"/>
    <w:rsid w:val="00767C1B"/>
    <w:rsid w:val="00770B3F"/>
    <w:rsid w:val="007714A9"/>
    <w:rsid w:val="0077355B"/>
    <w:rsid w:val="007748DC"/>
    <w:rsid w:val="00774F88"/>
    <w:rsid w:val="00774FDB"/>
    <w:rsid w:val="0077721C"/>
    <w:rsid w:val="00777BA2"/>
    <w:rsid w:val="00781408"/>
    <w:rsid w:val="00781B9E"/>
    <w:rsid w:val="00784D5C"/>
    <w:rsid w:val="00784F7F"/>
    <w:rsid w:val="007878BD"/>
    <w:rsid w:val="0079660E"/>
    <w:rsid w:val="00796F25"/>
    <w:rsid w:val="00797DF3"/>
    <w:rsid w:val="007A16E0"/>
    <w:rsid w:val="007A2E98"/>
    <w:rsid w:val="007A3BA3"/>
    <w:rsid w:val="007A6345"/>
    <w:rsid w:val="007A6CC0"/>
    <w:rsid w:val="007A7FEC"/>
    <w:rsid w:val="007B1499"/>
    <w:rsid w:val="007B1BBF"/>
    <w:rsid w:val="007B2960"/>
    <w:rsid w:val="007B355D"/>
    <w:rsid w:val="007B39E2"/>
    <w:rsid w:val="007B416F"/>
    <w:rsid w:val="007B59BE"/>
    <w:rsid w:val="007B6C3D"/>
    <w:rsid w:val="007B7980"/>
    <w:rsid w:val="007C0DEF"/>
    <w:rsid w:val="007C105D"/>
    <w:rsid w:val="007C5D5A"/>
    <w:rsid w:val="007C607F"/>
    <w:rsid w:val="007C79DD"/>
    <w:rsid w:val="007C7AF8"/>
    <w:rsid w:val="007C7BB8"/>
    <w:rsid w:val="007D0918"/>
    <w:rsid w:val="007D1A97"/>
    <w:rsid w:val="007D2CD6"/>
    <w:rsid w:val="007D3063"/>
    <w:rsid w:val="007D3949"/>
    <w:rsid w:val="007D3CEB"/>
    <w:rsid w:val="007D4531"/>
    <w:rsid w:val="007D6A80"/>
    <w:rsid w:val="007D7C2D"/>
    <w:rsid w:val="007E10F4"/>
    <w:rsid w:val="007E7683"/>
    <w:rsid w:val="007E7E69"/>
    <w:rsid w:val="007F2573"/>
    <w:rsid w:val="007F2A29"/>
    <w:rsid w:val="007F49FA"/>
    <w:rsid w:val="007F4F71"/>
    <w:rsid w:val="007F54C4"/>
    <w:rsid w:val="007F6E9A"/>
    <w:rsid w:val="0080015E"/>
    <w:rsid w:val="00800CCD"/>
    <w:rsid w:val="0080406E"/>
    <w:rsid w:val="008044D4"/>
    <w:rsid w:val="0080781D"/>
    <w:rsid w:val="00810AB4"/>
    <w:rsid w:val="00813B7C"/>
    <w:rsid w:val="0081580D"/>
    <w:rsid w:val="00817B56"/>
    <w:rsid w:val="00820F53"/>
    <w:rsid w:val="00820F71"/>
    <w:rsid w:val="00821A88"/>
    <w:rsid w:val="0082322E"/>
    <w:rsid w:val="0082495D"/>
    <w:rsid w:val="00831AC3"/>
    <w:rsid w:val="00832365"/>
    <w:rsid w:val="0083331E"/>
    <w:rsid w:val="00836FCE"/>
    <w:rsid w:val="00837E0B"/>
    <w:rsid w:val="008408FF"/>
    <w:rsid w:val="00841F20"/>
    <w:rsid w:val="008513B6"/>
    <w:rsid w:val="00851F3F"/>
    <w:rsid w:val="008559A3"/>
    <w:rsid w:val="008560A8"/>
    <w:rsid w:val="00856EDC"/>
    <w:rsid w:val="00860429"/>
    <w:rsid w:val="008623B5"/>
    <w:rsid w:val="00870ABA"/>
    <w:rsid w:val="008710E1"/>
    <w:rsid w:val="008716E5"/>
    <w:rsid w:val="0087248B"/>
    <w:rsid w:val="00874E95"/>
    <w:rsid w:val="00876F14"/>
    <w:rsid w:val="00881CA9"/>
    <w:rsid w:val="00883628"/>
    <w:rsid w:val="00885544"/>
    <w:rsid w:val="0088634E"/>
    <w:rsid w:val="008872A7"/>
    <w:rsid w:val="00893AB8"/>
    <w:rsid w:val="0089797F"/>
    <w:rsid w:val="008A04C8"/>
    <w:rsid w:val="008A0A20"/>
    <w:rsid w:val="008A3531"/>
    <w:rsid w:val="008A3884"/>
    <w:rsid w:val="008A572F"/>
    <w:rsid w:val="008A608B"/>
    <w:rsid w:val="008A6219"/>
    <w:rsid w:val="008A6913"/>
    <w:rsid w:val="008A7BF5"/>
    <w:rsid w:val="008B4733"/>
    <w:rsid w:val="008B70F3"/>
    <w:rsid w:val="008B71C4"/>
    <w:rsid w:val="008B76DF"/>
    <w:rsid w:val="008C10F4"/>
    <w:rsid w:val="008C25C1"/>
    <w:rsid w:val="008C4C04"/>
    <w:rsid w:val="008C62D1"/>
    <w:rsid w:val="008C65F7"/>
    <w:rsid w:val="008C7124"/>
    <w:rsid w:val="008D4C59"/>
    <w:rsid w:val="008D7882"/>
    <w:rsid w:val="008E0428"/>
    <w:rsid w:val="008E0D89"/>
    <w:rsid w:val="008E25C5"/>
    <w:rsid w:val="008E4767"/>
    <w:rsid w:val="008E5D89"/>
    <w:rsid w:val="008E6E41"/>
    <w:rsid w:val="008E7A8C"/>
    <w:rsid w:val="008F1138"/>
    <w:rsid w:val="008F40C0"/>
    <w:rsid w:val="0090203B"/>
    <w:rsid w:val="00903285"/>
    <w:rsid w:val="00903F7B"/>
    <w:rsid w:val="00904EA9"/>
    <w:rsid w:val="00906F40"/>
    <w:rsid w:val="0090731E"/>
    <w:rsid w:val="00911CFA"/>
    <w:rsid w:val="00912F00"/>
    <w:rsid w:val="00914DC0"/>
    <w:rsid w:val="00914F8B"/>
    <w:rsid w:val="00915B1C"/>
    <w:rsid w:val="009174F3"/>
    <w:rsid w:val="0091797D"/>
    <w:rsid w:val="00917DDE"/>
    <w:rsid w:val="00923CBA"/>
    <w:rsid w:val="00924BF7"/>
    <w:rsid w:val="00926703"/>
    <w:rsid w:val="00927691"/>
    <w:rsid w:val="00927A5F"/>
    <w:rsid w:val="00930510"/>
    <w:rsid w:val="00933DB3"/>
    <w:rsid w:val="00934583"/>
    <w:rsid w:val="00935B63"/>
    <w:rsid w:val="00936E95"/>
    <w:rsid w:val="009406A3"/>
    <w:rsid w:val="0094078F"/>
    <w:rsid w:val="00940FA3"/>
    <w:rsid w:val="00941FB0"/>
    <w:rsid w:val="009426D4"/>
    <w:rsid w:val="00942B3B"/>
    <w:rsid w:val="009432A0"/>
    <w:rsid w:val="009447DB"/>
    <w:rsid w:val="00944A4D"/>
    <w:rsid w:val="00947F25"/>
    <w:rsid w:val="00950159"/>
    <w:rsid w:val="00950821"/>
    <w:rsid w:val="00953A3B"/>
    <w:rsid w:val="00953AF1"/>
    <w:rsid w:val="0095490B"/>
    <w:rsid w:val="00954AEF"/>
    <w:rsid w:val="00957D11"/>
    <w:rsid w:val="00960A33"/>
    <w:rsid w:val="00965E94"/>
    <w:rsid w:val="00966523"/>
    <w:rsid w:val="0097061D"/>
    <w:rsid w:val="00971914"/>
    <w:rsid w:val="00973C53"/>
    <w:rsid w:val="00974363"/>
    <w:rsid w:val="00976810"/>
    <w:rsid w:val="00976E3E"/>
    <w:rsid w:val="009809FB"/>
    <w:rsid w:val="00981898"/>
    <w:rsid w:val="00984005"/>
    <w:rsid w:val="00984EEA"/>
    <w:rsid w:val="009851D6"/>
    <w:rsid w:val="00991171"/>
    <w:rsid w:val="0099393E"/>
    <w:rsid w:val="00995687"/>
    <w:rsid w:val="0099577C"/>
    <w:rsid w:val="009A021C"/>
    <w:rsid w:val="009A25CC"/>
    <w:rsid w:val="009B0DD4"/>
    <w:rsid w:val="009B1BFB"/>
    <w:rsid w:val="009B24A5"/>
    <w:rsid w:val="009B2601"/>
    <w:rsid w:val="009B477F"/>
    <w:rsid w:val="009B4E9E"/>
    <w:rsid w:val="009C1690"/>
    <w:rsid w:val="009C3325"/>
    <w:rsid w:val="009C3F69"/>
    <w:rsid w:val="009C6881"/>
    <w:rsid w:val="009C7759"/>
    <w:rsid w:val="009D043D"/>
    <w:rsid w:val="009D07C8"/>
    <w:rsid w:val="009D4604"/>
    <w:rsid w:val="009D4C85"/>
    <w:rsid w:val="009D6C71"/>
    <w:rsid w:val="009E0631"/>
    <w:rsid w:val="009E0FAE"/>
    <w:rsid w:val="009E16D0"/>
    <w:rsid w:val="009E1BE9"/>
    <w:rsid w:val="009E2051"/>
    <w:rsid w:val="009E38FD"/>
    <w:rsid w:val="009F13D6"/>
    <w:rsid w:val="009F1ADC"/>
    <w:rsid w:val="009F4C6B"/>
    <w:rsid w:val="009F78A8"/>
    <w:rsid w:val="00A02AD6"/>
    <w:rsid w:val="00A03DAF"/>
    <w:rsid w:val="00A0691B"/>
    <w:rsid w:val="00A07096"/>
    <w:rsid w:val="00A07318"/>
    <w:rsid w:val="00A0750F"/>
    <w:rsid w:val="00A11370"/>
    <w:rsid w:val="00A147ED"/>
    <w:rsid w:val="00A157CB"/>
    <w:rsid w:val="00A224CE"/>
    <w:rsid w:val="00A22522"/>
    <w:rsid w:val="00A2352B"/>
    <w:rsid w:val="00A24AFD"/>
    <w:rsid w:val="00A24F5C"/>
    <w:rsid w:val="00A32F96"/>
    <w:rsid w:val="00A34C59"/>
    <w:rsid w:val="00A3581E"/>
    <w:rsid w:val="00A3672D"/>
    <w:rsid w:val="00A40871"/>
    <w:rsid w:val="00A412AB"/>
    <w:rsid w:val="00A41825"/>
    <w:rsid w:val="00A4193E"/>
    <w:rsid w:val="00A440E0"/>
    <w:rsid w:val="00A442EF"/>
    <w:rsid w:val="00A46C67"/>
    <w:rsid w:val="00A51D1A"/>
    <w:rsid w:val="00A5418D"/>
    <w:rsid w:val="00A5474E"/>
    <w:rsid w:val="00A55125"/>
    <w:rsid w:val="00A5788F"/>
    <w:rsid w:val="00A64234"/>
    <w:rsid w:val="00A64D7F"/>
    <w:rsid w:val="00A66046"/>
    <w:rsid w:val="00A70ADF"/>
    <w:rsid w:val="00A71466"/>
    <w:rsid w:val="00A74B5E"/>
    <w:rsid w:val="00A74E0F"/>
    <w:rsid w:val="00A776A4"/>
    <w:rsid w:val="00A77740"/>
    <w:rsid w:val="00A8018C"/>
    <w:rsid w:val="00A81BED"/>
    <w:rsid w:val="00A81EC4"/>
    <w:rsid w:val="00A824E8"/>
    <w:rsid w:val="00A8540F"/>
    <w:rsid w:val="00A945CF"/>
    <w:rsid w:val="00A95120"/>
    <w:rsid w:val="00A95262"/>
    <w:rsid w:val="00A967FD"/>
    <w:rsid w:val="00AA2DE5"/>
    <w:rsid w:val="00AA371E"/>
    <w:rsid w:val="00AA48EE"/>
    <w:rsid w:val="00AB10D8"/>
    <w:rsid w:val="00AB156C"/>
    <w:rsid w:val="00AB2543"/>
    <w:rsid w:val="00AB4BB9"/>
    <w:rsid w:val="00AB62EA"/>
    <w:rsid w:val="00AB6609"/>
    <w:rsid w:val="00AB6814"/>
    <w:rsid w:val="00AB687E"/>
    <w:rsid w:val="00AC04BA"/>
    <w:rsid w:val="00AC0E39"/>
    <w:rsid w:val="00AC1A93"/>
    <w:rsid w:val="00AC5C2A"/>
    <w:rsid w:val="00AD021A"/>
    <w:rsid w:val="00AD2FB5"/>
    <w:rsid w:val="00AD3082"/>
    <w:rsid w:val="00AD32B4"/>
    <w:rsid w:val="00AD4AD0"/>
    <w:rsid w:val="00AD5186"/>
    <w:rsid w:val="00AD5436"/>
    <w:rsid w:val="00AD5CDF"/>
    <w:rsid w:val="00AD60CD"/>
    <w:rsid w:val="00AD6C8C"/>
    <w:rsid w:val="00AD7841"/>
    <w:rsid w:val="00AE091D"/>
    <w:rsid w:val="00AE2550"/>
    <w:rsid w:val="00AE329C"/>
    <w:rsid w:val="00AE3B37"/>
    <w:rsid w:val="00AE3B60"/>
    <w:rsid w:val="00AE53A1"/>
    <w:rsid w:val="00AE62CE"/>
    <w:rsid w:val="00AF008F"/>
    <w:rsid w:val="00AF0682"/>
    <w:rsid w:val="00AF2484"/>
    <w:rsid w:val="00AF63E7"/>
    <w:rsid w:val="00AF6E17"/>
    <w:rsid w:val="00AF7F32"/>
    <w:rsid w:val="00B004AD"/>
    <w:rsid w:val="00B0165D"/>
    <w:rsid w:val="00B01B60"/>
    <w:rsid w:val="00B02A46"/>
    <w:rsid w:val="00B031F3"/>
    <w:rsid w:val="00B03676"/>
    <w:rsid w:val="00B052A4"/>
    <w:rsid w:val="00B07B17"/>
    <w:rsid w:val="00B07FDE"/>
    <w:rsid w:val="00B125DE"/>
    <w:rsid w:val="00B13FDD"/>
    <w:rsid w:val="00B218B0"/>
    <w:rsid w:val="00B22EB2"/>
    <w:rsid w:val="00B26949"/>
    <w:rsid w:val="00B27442"/>
    <w:rsid w:val="00B31167"/>
    <w:rsid w:val="00B329D8"/>
    <w:rsid w:val="00B32BB9"/>
    <w:rsid w:val="00B3333D"/>
    <w:rsid w:val="00B337E8"/>
    <w:rsid w:val="00B33AE1"/>
    <w:rsid w:val="00B37C38"/>
    <w:rsid w:val="00B41263"/>
    <w:rsid w:val="00B4288C"/>
    <w:rsid w:val="00B43262"/>
    <w:rsid w:val="00B432A0"/>
    <w:rsid w:val="00B44100"/>
    <w:rsid w:val="00B46071"/>
    <w:rsid w:val="00B46CBA"/>
    <w:rsid w:val="00B46F94"/>
    <w:rsid w:val="00B50452"/>
    <w:rsid w:val="00B53831"/>
    <w:rsid w:val="00B57AC1"/>
    <w:rsid w:val="00B60031"/>
    <w:rsid w:val="00B6003C"/>
    <w:rsid w:val="00B61F03"/>
    <w:rsid w:val="00B626E4"/>
    <w:rsid w:val="00B65046"/>
    <w:rsid w:val="00B72F4A"/>
    <w:rsid w:val="00B8272B"/>
    <w:rsid w:val="00B83C27"/>
    <w:rsid w:val="00B83FA5"/>
    <w:rsid w:val="00B84BC3"/>
    <w:rsid w:val="00B84BDD"/>
    <w:rsid w:val="00B84FC6"/>
    <w:rsid w:val="00B86FBF"/>
    <w:rsid w:val="00B87D9A"/>
    <w:rsid w:val="00B90096"/>
    <w:rsid w:val="00B92812"/>
    <w:rsid w:val="00B950D0"/>
    <w:rsid w:val="00B95972"/>
    <w:rsid w:val="00B959BB"/>
    <w:rsid w:val="00BA2303"/>
    <w:rsid w:val="00BA2939"/>
    <w:rsid w:val="00BA38F3"/>
    <w:rsid w:val="00BA69B2"/>
    <w:rsid w:val="00BB06A4"/>
    <w:rsid w:val="00BB45A1"/>
    <w:rsid w:val="00BB6335"/>
    <w:rsid w:val="00BB710F"/>
    <w:rsid w:val="00BB7686"/>
    <w:rsid w:val="00BB7802"/>
    <w:rsid w:val="00BC08FC"/>
    <w:rsid w:val="00BC14E0"/>
    <w:rsid w:val="00BC1964"/>
    <w:rsid w:val="00BC23F9"/>
    <w:rsid w:val="00BC3421"/>
    <w:rsid w:val="00BC732C"/>
    <w:rsid w:val="00BD3259"/>
    <w:rsid w:val="00BD4421"/>
    <w:rsid w:val="00BD4605"/>
    <w:rsid w:val="00BE1C22"/>
    <w:rsid w:val="00BE2580"/>
    <w:rsid w:val="00BE266D"/>
    <w:rsid w:val="00BE3938"/>
    <w:rsid w:val="00BE4C11"/>
    <w:rsid w:val="00BE66EE"/>
    <w:rsid w:val="00BE71C0"/>
    <w:rsid w:val="00BE7A1C"/>
    <w:rsid w:val="00BF5720"/>
    <w:rsid w:val="00BF610C"/>
    <w:rsid w:val="00BF6523"/>
    <w:rsid w:val="00BF6AC0"/>
    <w:rsid w:val="00C0060B"/>
    <w:rsid w:val="00C01A6C"/>
    <w:rsid w:val="00C0277D"/>
    <w:rsid w:val="00C02F26"/>
    <w:rsid w:val="00C053A1"/>
    <w:rsid w:val="00C054ED"/>
    <w:rsid w:val="00C05D2D"/>
    <w:rsid w:val="00C120C5"/>
    <w:rsid w:val="00C134A6"/>
    <w:rsid w:val="00C13EBB"/>
    <w:rsid w:val="00C16198"/>
    <w:rsid w:val="00C1622F"/>
    <w:rsid w:val="00C1659B"/>
    <w:rsid w:val="00C16860"/>
    <w:rsid w:val="00C2083D"/>
    <w:rsid w:val="00C220FA"/>
    <w:rsid w:val="00C22160"/>
    <w:rsid w:val="00C24A53"/>
    <w:rsid w:val="00C27129"/>
    <w:rsid w:val="00C32864"/>
    <w:rsid w:val="00C3367A"/>
    <w:rsid w:val="00C3462F"/>
    <w:rsid w:val="00C34A05"/>
    <w:rsid w:val="00C35CCE"/>
    <w:rsid w:val="00C36375"/>
    <w:rsid w:val="00C4032F"/>
    <w:rsid w:val="00C41B47"/>
    <w:rsid w:val="00C41F21"/>
    <w:rsid w:val="00C44047"/>
    <w:rsid w:val="00C450B4"/>
    <w:rsid w:val="00C45155"/>
    <w:rsid w:val="00C4609A"/>
    <w:rsid w:val="00C46714"/>
    <w:rsid w:val="00C53C0F"/>
    <w:rsid w:val="00C5498F"/>
    <w:rsid w:val="00C55235"/>
    <w:rsid w:val="00C55476"/>
    <w:rsid w:val="00C61F4B"/>
    <w:rsid w:val="00C640ED"/>
    <w:rsid w:val="00C64CD0"/>
    <w:rsid w:val="00C64DE8"/>
    <w:rsid w:val="00C65333"/>
    <w:rsid w:val="00C65F61"/>
    <w:rsid w:val="00C6684F"/>
    <w:rsid w:val="00C67BB7"/>
    <w:rsid w:val="00C67BBC"/>
    <w:rsid w:val="00C70E70"/>
    <w:rsid w:val="00C758C2"/>
    <w:rsid w:val="00C75F8D"/>
    <w:rsid w:val="00C77380"/>
    <w:rsid w:val="00C85C34"/>
    <w:rsid w:val="00C87D31"/>
    <w:rsid w:val="00C87E8A"/>
    <w:rsid w:val="00C90241"/>
    <w:rsid w:val="00C913D6"/>
    <w:rsid w:val="00C95153"/>
    <w:rsid w:val="00C97736"/>
    <w:rsid w:val="00C97CF0"/>
    <w:rsid w:val="00CA345A"/>
    <w:rsid w:val="00CA55EF"/>
    <w:rsid w:val="00CB1E82"/>
    <w:rsid w:val="00CB21BB"/>
    <w:rsid w:val="00CB4BA8"/>
    <w:rsid w:val="00CB52D7"/>
    <w:rsid w:val="00CC1D40"/>
    <w:rsid w:val="00CC55A8"/>
    <w:rsid w:val="00CC6732"/>
    <w:rsid w:val="00CC6882"/>
    <w:rsid w:val="00CD1271"/>
    <w:rsid w:val="00CD438C"/>
    <w:rsid w:val="00CD6ACF"/>
    <w:rsid w:val="00CD70C0"/>
    <w:rsid w:val="00CD7C3C"/>
    <w:rsid w:val="00CE02DF"/>
    <w:rsid w:val="00CE2DE2"/>
    <w:rsid w:val="00CE3C96"/>
    <w:rsid w:val="00CE4B58"/>
    <w:rsid w:val="00CE51A8"/>
    <w:rsid w:val="00CF0408"/>
    <w:rsid w:val="00CF0BFE"/>
    <w:rsid w:val="00CF17CC"/>
    <w:rsid w:val="00CF2F56"/>
    <w:rsid w:val="00CF369B"/>
    <w:rsid w:val="00CF4A99"/>
    <w:rsid w:val="00D00E28"/>
    <w:rsid w:val="00D0269E"/>
    <w:rsid w:val="00D02BD3"/>
    <w:rsid w:val="00D03D57"/>
    <w:rsid w:val="00D05D6C"/>
    <w:rsid w:val="00D114D9"/>
    <w:rsid w:val="00D11D18"/>
    <w:rsid w:val="00D15810"/>
    <w:rsid w:val="00D160F1"/>
    <w:rsid w:val="00D16D4E"/>
    <w:rsid w:val="00D16FE3"/>
    <w:rsid w:val="00D21FEF"/>
    <w:rsid w:val="00D22A7D"/>
    <w:rsid w:val="00D230B9"/>
    <w:rsid w:val="00D25DEB"/>
    <w:rsid w:val="00D27338"/>
    <w:rsid w:val="00D2775D"/>
    <w:rsid w:val="00D27F41"/>
    <w:rsid w:val="00D3044F"/>
    <w:rsid w:val="00D3051A"/>
    <w:rsid w:val="00D31770"/>
    <w:rsid w:val="00D36441"/>
    <w:rsid w:val="00D4064E"/>
    <w:rsid w:val="00D40D79"/>
    <w:rsid w:val="00D4303A"/>
    <w:rsid w:val="00D43D18"/>
    <w:rsid w:val="00D442D1"/>
    <w:rsid w:val="00D44E9B"/>
    <w:rsid w:val="00D47AEB"/>
    <w:rsid w:val="00D47B5A"/>
    <w:rsid w:val="00D50DB9"/>
    <w:rsid w:val="00D512EC"/>
    <w:rsid w:val="00D51302"/>
    <w:rsid w:val="00D52439"/>
    <w:rsid w:val="00D52C43"/>
    <w:rsid w:val="00D60F7F"/>
    <w:rsid w:val="00D61243"/>
    <w:rsid w:val="00D6507F"/>
    <w:rsid w:val="00D70E67"/>
    <w:rsid w:val="00D72EA9"/>
    <w:rsid w:val="00D730BC"/>
    <w:rsid w:val="00D73912"/>
    <w:rsid w:val="00D82B06"/>
    <w:rsid w:val="00D85226"/>
    <w:rsid w:val="00D8662E"/>
    <w:rsid w:val="00D87B94"/>
    <w:rsid w:val="00D92D49"/>
    <w:rsid w:val="00D92EC1"/>
    <w:rsid w:val="00D9305B"/>
    <w:rsid w:val="00D94B56"/>
    <w:rsid w:val="00D96DEA"/>
    <w:rsid w:val="00DA213E"/>
    <w:rsid w:val="00DA4E41"/>
    <w:rsid w:val="00DA67A6"/>
    <w:rsid w:val="00DA7C13"/>
    <w:rsid w:val="00DB117A"/>
    <w:rsid w:val="00DB3327"/>
    <w:rsid w:val="00DB5173"/>
    <w:rsid w:val="00DB74D0"/>
    <w:rsid w:val="00DB7873"/>
    <w:rsid w:val="00DC187B"/>
    <w:rsid w:val="00DC25CF"/>
    <w:rsid w:val="00DD1A43"/>
    <w:rsid w:val="00DD1D40"/>
    <w:rsid w:val="00DD6E3C"/>
    <w:rsid w:val="00DD73C2"/>
    <w:rsid w:val="00DE27EC"/>
    <w:rsid w:val="00DE319B"/>
    <w:rsid w:val="00DE4CA3"/>
    <w:rsid w:val="00DF34FE"/>
    <w:rsid w:val="00DF56AA"/>
    <w:rsid w:val="00DF56AF"/>
    <w:rsid w:val="00DF6078"/>
    <w:rsid w:val="00DF78E7"/>
    <w:rsid w:val="00DF7AFC"/>
    <w:rsid w:val="00DF7B23"/>
    <w:rsid w:val="00E027FB"/>
    <w:rsid w:val="00E0305A"/>
    <w:rsid w:val="00E06EEC"/>
    <w:rsid w:val="00E110E0"/>
    <w:rsid w:val="00E14FAA"/>
    <w:rsid w:val="00E15371"/>
    <w:rsid w:val="00E21056"/>
    <w:rsid w:val="00E23504"/>
    <w:rsid w:val="00E24104"/>
    <w:rsid w:val="00E302D0"/>
    <w:rsid w:val="00E35707"/>
    <w:rsid w:val="00E36AA1"/>
    <w:rsid w:val="00E370C4"/>
    <w:rsid w:val="00E4041F"/>
    <w:rsid w:val="00E41858"/>
    <w:rsid w:val="00E41ECB"/>
    <w:rsid w:val="00E42676"/>
    <w:rsid w:val="00E43705"/>
    <w:rsid w:val="00E45F3A"/>
    <w:rsid w:val="00E469B2"/>
    <w:rsid w:val="00E52B0E"/>
    <w:rsid w:val="00E54FDB"/>
    <w:rsid w:val="00E5617D"/>
    <w:rsid w:val="00E563D7"/>
    <w:rsid w:val="00E663F4"/>
    <w:rsid w:val="00E666F2"/>
    <w:rsid w:val="00E66D10"/>
    <w:rsid w:val="00E66DD4"/>
    <w:rsid w:val="00E7114B"/>
    <w:rsid w:val="00E71872"/>
    <w:rsid w:val="00E71E94"/>
    <w:rsid w:val="00E7360F"/>
    <w:rsid w:val="00E7411E"/>
    <w:rsid w:val="00E748CC"/>
    <w:rsid w:val="00E75415"/>
    <w:rsid w:val="00E75567"/>
    <w:rsid w:val="00E775B1"/>
    <w:rsid w:val="00E80571"/>
    <w:rsid w:val="00E810A7"/>
    <w:rsid w:val="00E8152A"/>
    <w:rsid w:val="00E84162"/>
    <w:rsid w:val="00E8479A"/>
    <w:rsid w:val="00E84843"/>
    <w:rsid w:val="00E854C3"/>
    <w:rsid w:val="00E86840"/>
    <w:rsid w:val="00E87E51"/>
    <w:rsid w:val="00E93629"/>
    <w:rsid w:val="00E9392B"/>
    <w:rsid w:val="00E93B5C"/>
    <w:rsid w:val="00E94B4A"/>
    <w:rsid w:val="00E94CEC"/>
    <w:rsid w:val="00E95529"/>
    <w:rsid w:val="00EA04EF"/>
    <w:rsid w:val="00EA0C87"/>
    <w:rsid w:val="00EA36FE"/>
    <w:rsid w:val="00EA6C79"/>
    <w:rsid w:val="00EA6F19"/>
    <w:rsid w:val="00EB4E0D"/>
    <w:rsid w:val="00EB7090"/>
    <w:rsid w:val="00EC1770"/>
    <w:rsid w:val="00EC1BBE"/>
    <w:rsid w:val="00EC2B68"/>
    <w:rsid w:val="00EC3AEF"/>
    <w:rsid w:val="00EC3ED2"/>
    <w:rsid w:val="00EC447A"/>
    <w:rsid w:val="00EC5A28"/>
    <w:rsid w:val="00EC5CD7"/>
    <w:rsid w:val="00EC704D"/>
    <w:rsid w:val="00EC7703"/>
    <w:rsid w:val="00ED2F0E"/>
    <w:rsid w:val="00EE08ED"/>
    <w:rsid w:val="00EE17ED"/>
    <w:rsid w:val="00EE5FB3"/>
    <w:rsid w:val="00EE6E13"/>
    <w:rsid w:val="00EE7D56"/>
    <w:rsid w:val="00EE7F79"/>
    <w:rsid w:val="00EF2382"/>
    <w:rsid w:val="00EF3FF1"/>
    <w:rsid w:val="00EF4EB3"/>
    <w:rsid w:val="00EF715A"/>
    <w:rsid w:val="00EF75CA"/>
    <w:rsid w:val="00F006EC"/>
    <w:rsid w:val="00F00B51"/>
    <w:rsid w:val="00F01545"/>
    <w:rsid w:val="00F01C0F"/>
    <w:rsid w:val="00F01F6A"/>
    <w:rsid w:val="00F02FEA"/>
    <w:rsid w:val="00F0497E"/>
    <w:rsid w:val="00F052AC"/>
    <w:rsid w:val="00F06E14"/>
    <w:rsid w:val="00F179D4"/>
    <w:rsid w:val="00F210E9"/>
    <w:rsid w:val="00F22A23"/>
    <w:rsid w:val="00F23775"/>
    <w:rsid w:val="00F24301"/>
    <w:rsid w:val="00F250D6"/>
    <w:rsid w:val="00F268F9"/>
    <w:rsid w:val="00F273A6"/>
    <w:rsid w:val="00F315AD"/>
    <w:rsid w:val="00F33C56"/>
    <w:rsid w:val="00F347C7"/>
    <w:rsid w:val="00F34848"/>
    <w:rsid w:val="00F34B73"/>
    <w:rsid w:val="00F35D84"/>
    <w:rsid w:val="00F36FD3"/>
    <w:rsid w:val="00F417AF"/>
    <w:rsid w:val="00F42D46"/>
    <w:rsid w:val="00F4496C"/>
    <w:rsid w:val="00F44F3A"/>
    <w:rsid w:val="00F51AD4"/>
    <w:rsid w:val="00F51F10"/>
    <w:rsid w:val="00F529A5"/>
    <w:rsid w:val="00F5310D"/>
    <w:rsid w:val="00F54BDA"/>
    <w:rsid w:val="00F60F00"/>
    <w:rsid w:val="00F614C0"/>
    <w:rsid w:val="00F6418C"/>
    <w:rsid w:val="00F65357"/>
    <w:rsid w:val="00F72927"/>
    <w:rsid w:val="00F73332"/>
    <w:rsid w:val="00F742EF"/>
    <w:rsid w:val="00F76FA1"/>
    <w:rsid w:val="00F817E6"/>
    <w:rsid w:val="00F81F90"/>
    <w:rsid w:val="00F83848"/>
    <w:rsid w:val="00F85B9C"/>
    <w:rsid w:val="00F907DA"/>
    <w:rsid w:val="00F90EDB"/>
    <w:rsid w:val="00F93D3C"/>
    <w:rsid w:val="00F975E9"/>
    <w:rsid w:val="00FA1B7D"/>
    <w:rsid w:val="00FA2FCC"/>
    <w:rsid w:val="00FA324E"/>
    <w:rsid w:val="00FA39BA"/>
    <w:rsid w:val="00FA4077"/>
    <w:rsid w:val="00FA6CB6"/>
    <w:rsid w:val="00FB179B"/>
    <w:rsid w:val="00FB36D3"/>
    <w:rsid w:val="00FC07B9"/>
    <w:rsid w:val="00FC36F0"/>
    <w:rsid w:val="00FC442A"/>
    <w:rsid w:val="00FC485B"/>
    <w:rsid w:val="00FC4E21"/>
    <w:rsid w:val="00FC5F6D"/>
    <w:rsid w:val="00FD0107"/>
    <w:rsid w:val="00FD02B4"/>
    <w:rsid w:val="00FD2C2F"/>
    <w:rsid w:val="00FD3B31"/>
    <w:rsid w:val="00FD4942"/>
    <w:rsid w:val="00FD6254"/>
    <w:rsid w:val="00FD65BF"/>
    <w:rsid w:val="00FD7EA7"/>
    <w:rsid w:val="00FE03E7"/>
    <w:rsid w:val="00FE1823"/>
    <w:rsid w:val="00FE487A"/>
    <w:rsid w:val="00FF0569"/>
    <w:rsid w:val="00FF206E"/>
    <w:rsid w:val="00FF32A8"/>
    <w:rsid w:val="00FF3C69"/>
    <w:rsid w:val="00FF6C8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4423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C34EF"/>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uiPriority w:val="99"/>
    <w:rsid w:val="00566AB4"/>
    <w:rPr>
      <w:rFonts w:ascii="Arial" w:hAnsi="Arial"/>
      <w:vertAlign w:val="superscript"/>
    </w:rPr>
  </w:style>
  <w:style w:type="paragraph" w:styleId="FootnoteText">
    <w:name w:val="footnote text"/>
    <w:aliases w:val="Footnote text,ACMA Footnote Text,ABA Footnote Text"/>
    <w:basedOn w:val="Normal"/>
    <w:link w:val="FootnoteTextChar"/>
    <w:qFormat/>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rsid w:val="00F5310D"/>
    <w:rPr>
      <w:rFonts w:ascii="Arial" w:hAnsi="Arial" w:cs="Arial"/>
      <w:bCs/>
      <w:color w:val="323232"/>
      <w:kern w:val="32"/>
      <w:sz w:val="53"/>
      <w:szCs w:val="32"/>
    </w:rPr>
  </w:style>
  <w:style w:type="character" w:customStyle="1" w:styleId="Heading2Char">
    <w:name w:val="Heading 2 Char"/>
    <w:basedOn w:val="DefaultParagraphFont"/>
    <w:link w:val="Heading2"/>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ACMABulletLevel1">
    <w:name w:val="ACMA Bullet Level 1"/>
    <w:rsid w:val="005C34EF"/>
    <w:pPr>
      <w:numPr>
        <w:numId w:val="16"/>
      </w:numPr>
      <w:tabs>
        <w:tab w:val="num" w:pos="-31680"/>
      </w:tabs>
      <w:spacing w:after="120"/>
    </w:pPr>
    <w:rPr>
      <w:szCs w:val="20"/>
      <w:lang w:eastAsia="en-US"/>
    </w:rPr>
  </w:style>
  <w:style w:type="paragraph" w:customStyle="1" w:styleId="Protectivemarking">
    <w:name w:val="Protective marking"/>
    <w:basedOn w:val="ACMABulletLevel1"/>
    <w:uiPriority w:val="99"/>
    <w:qFormat/>
    <w:rsid w:val="005C34EF"/>
    <w:pPr>
      <w:numPr>
        <w:numId w:val="0"/>
      </w:numPr>
      <w:tabs>
        <w:tab w:val="left" w:pos="720"/>
      </w:tabs>
      <w:spacing w:after="0"/>
      <w:jc w:val="center"/>
    </w:pPr>
    <w:rPr>
      <w:rFonts w:ascii="Arial" w:hAnsi="Arial" w:cs="Arial"/>
      <w:b/>
      <w:bCs/>
      <w:color w:val="FF0000"/>
      <w:sz w:val="32"/>
      <w:szCs w:val="24"/>
    </w:rPr>
  </w:style>
  <w:style w:type="character" w:customStyle="1" w:styleId="FootnoteTextChar">
    <w:name w:val="Footnote Text Char"/>
    <w:aliases w:val="Footnote text Char,ACMA Footnote Text Char,ABA Footnote Text Char"/>
    <w:basedOn w:val="DefaultParagraphFont"/>
    <w:link w:val="FootnoteText"/>
    <w:rsid w:val="00EE6E13"/>
    <w:rPr>
      <w:rFonts w:ascii="Arial" w:hAnsi="Arial"/>
      <w:sz w:val="16"/>
      <w:szCs w:val="16"/>
    </w:rPr>
  </w:style>
  <w:style w:type="paragraph" w:styleId="ListParagraph">
    <w:name w:val="List Paragraph"/>
    <w:basedOn w:val="Normal"/>
    <w:rsid w:val="00C05D2D"/>
    <w:pPr>
      <w:ind w:left="720"/>
      <w:contextualSpacing/>
    </w:pPr>
  </w:style>
  <w:style w:type="paragraph" w:customStyle="1" w:styleId="ABABodyText">
    <w:name w:val="ABA Body Text"/>
    <w:link w:val="ABABodyTextChar"/>
    <w:rsid w:val="005F1605"/>
    <w:pPr>
      <w:suppressAutoHyphens/>
      <w:snapToGrid w:val="0"/>
      <w:spacing w:before="80" w:after="120" w:line="280" w:lineRule="atLeast"/>
    </w:pPr>
    <w:rPr>
      <w:szCs w:val="20"/>
      <w:lang w:eastAsia="en-US"/>
    </w:rPr>
  </w:style>
  <w:style w:type="character" w:customStyle="1" w:styleId="ABABodyTextChar">
    <w:name w:val="ABA Body Text Char"/>
    <w:basedOn w:val="DefaultParagraphFont"/>
    <w:link w:val="ABABodyText"/>
    <w:rsid w:val="005F1605"/>
    <w:rPr>
      <w:szCs w:val="20"/>
      <w:lang w:eastAsia="en-US"/>
    </w:rPr>
  </w:style>
  <w:style w:type="character" w:styleId="Strong">
    <w:name w:val="Strong"/>
    <w:basedOn w:val="DefaultParagraphFont"/>
    <w:qFormat/>
    <w:rsid w:val="00F85B9C"/>
    <w:rPr>
      <w:b/>
      <w:bCs/>
    </w:rPr>
  </w:style>
  <w:style w:type="paragraph" w:customStyle="1" w:styleId="ABAHeading3">
    <w:name w:val="ABA Heading 3"/>
    <w:next w:val="ABABodyText"/>
    <w:link w:val="ABAHeading3CharChar"/>
    <w:rsid w:val="00D230B9"/>
    <w:pPr>
      <w:keepNext/>
      <w:spacing w:before="120"/>
    </w:pPr>
    <w:rPr>
      <w:rFonts w:ascii="Arial" w:hAnsi="Arial"/>
      <w:b/>
      <w:szCs w:val="20"/>
      <w:lang w:eastAsia="en-US"/>
    </w:rPr>
  </w:style>
  <w:style w:type="character" w:customStyle="1" w:styleId="ABAHeading3CharChar">
    <w:name w:val="ABA Heading 3 Char Char"/>
    <w:link w:val="ABAHeading3"/>
    <w:locked/>
    <w:rsid w:val="00D230B9"/>
    <w:rPr>
      <w:rFonts w:ascii="Arial" w:hAnsi="Arial"/>
      <w:b/>
      <w:szCs w:val="20"/>
      <w:lang w:eastAsia="en-US"/>
    </w:rPr>
  </w:style>
  <w:style w:type="paragraph" w:customStyle="1" w:styleId="ABAHeading4">
    <w:name w:val="ABA Heading 4"/>
    <w:next w:val="ABABodyText"/>
    <w:link w:val="ABAHeading4Char"/>
    <w:rsid w:val="00D230B9"/>
    <w:pPr>
      <w:keepNext/>
      <w:suppressAutoHyphens/>
      <w:spacing w:before="80"/>
    </w:pPr>
    <w:rPr>
      <w:rFonts w:ascii="Arial" w:hAnsi="Arial"/>
      <w:b/>
      <w:i/>
      <w:sz w:val="20"/>
      <w:szCs w:val="20"/>
      <w:lang w:eastAsia="en-US"/>
    </w:rPr>
  </w:style>
  <w:style w:type="character" w:customStyle="1" w:styleId="ABAHeading4Char">
    <w:name w:val="ABA Heading 4 Char"/>
    <w:link w:val="ABAHeading4"/>
    <w:rsid w:val="00D230B9"/>
    <w:rPr>
      <w:rFonts w:ascii="Arial" w:hAnsi="Arial"/>
      <w:b/>
      <w:i/>
      <w:sz w:val="20"/>
      <w:szCs w:val="20"/>
      <w:lang w:eastAsia="en-US"/>
    </w:rPr>
  </w:style>
  <w:style w:type="paragraph" w:customStyle="1" w:styleId="ABATableHeading">
    <w:name w:val="ABA Table Heading"/>
    <w:rsid w:val="00D230B9"/>
    <w:pPr>
      <w:spacing w:before="40" w:after="40"/>
    </w:pPr>
    <w:rPr>
      <w:rFonts w:ascii="Arial" w:hAnsi="Arial"/>
      <w:b/>
      <w:sz w:val="20"/>
      <w:szCs w:val="20"/>
      <w:lang w:eastAsia="en-US"/>
    </w:rPr>
  </w:style>
  <w:style w:type="paragraph" w:customStyle="1" w:styleId="ABATableText">
    <w:name w:val="ABA Table Text"/>
    <w:autoRedefine/>
    <w:rsid w:val="008C4C04"/>
    <w:pPr>
      <w:spacing w:before="40" w:after="40" w:line="256" w:lineRule="auto"/>
      <w:ind w:left="284" w:right="-497"/>
      <w:jc w:val="center"/>
    </w:pPr>
    <w:rPr>
      <w:rFonts w:ascii="Arial" w:hAnsi="Arial"/>
      <w:sz w:val="20"/>
      <w:szCs w:val="20"/>
      <w:lang w:eastAsia="en-US"/>
    </w:rPr>
  </w:style>
  <w:style w:type="character" w:customStyle="1" w:styleId="ACMABodyTextChar">
    <w:name w:val="ACMA Body Text Char"/>
    <w:basedOn w:val="DefaultParagraphFont"/>
    <w:link w:val="ACMABodyText"/>
    <w:locked/>
    <w:rsid w:val="00FF32A8"/>
    <w:rPr>
      <w:lang w:eastAsia="en-US"/>
    </w:rPr>
  </w:style>
  <w:style w:type="paragraph" w:customStyle="1" w:styleId="ACMABodyText">
    <w:name w:val="ACMA Body Text"/>
    <w:link w:val="ACMABodyTextChar"/>
    <w:rsid w:val="00FF32A8"/>
    <w:pPr>
      <w:suppressAutoHyphens/>
      <w:snapToGrid w:val="0"/>
      <w:spacing w:before="80" w:after="120" w:line="280" w:lineRule="atLeast"/>
    </w:pPr>
    <w:rPr>
      <w:lang w:eastAsia="en-US"/>
    </w:rPr>
  </w:style>
  <w:style w:type="paragraph" w:styleId="Revision">
    <w:name w:val="Revision"/>
    <w:hidden/>
    <w:semiHidden/>
    <w:rsid w:val="008A3531"/>
    <w:rPr>
      <w:rFonts w:ascii="Arial" w:hAnsi="Arial"/>
      <w:sz w:val="20"/>
    </w:rPr>
  </w:style>
  <w:style w:type="paragraph" w:styleId="EndnoteText">
    <w:name w:val="endnote text"/>
    <w:basedOn w:val="Normal"/>
    <w:link w:val="EndnoteTextChar"/>
    <w:semiHidden/>
    <w:unhideWhenUsed/>
    <w:rsid w:val="008A6219"/>
    <w:pPr>
      <w:spacing w:after="0" w:line="240" w:lineRule="auto"/>
    </w:pPr>
    <w:rPr>
      <w:szCs w:val="20"/>
    </w:rPr>
  </w:style>
  <w:style w:type="character" w:customStyle="1" w:styleId="EndnoteTextChar">
    <w:name w:val="Endnote Text Char"/>
    <w:basedOn w:val="DefaultParagraphFont"/>
    <w:link w:val="EndnoteText"/>
    <w:semiHidden/>
    <w:rsid w:val="008A6219"/>
    <w:rPr>
      <w:rFonts w:ascii="Arial" w:hAnsi="Arial"/>
      <w:sz w:val="20"/>
      <w:szCs w:val="20"/>
    </w:rPr>
  </w:style>
  <w:style w:type="character" w:styleId="EndnoteReference">
    <w:name w:val="endnote reference"/>
    <w:basedOn w:val="DefaultParagraphFont"/>
    <w:semiHidden/>
    <w:unhideWhenUsed/>
    <w:rsid w:val="008A62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88581">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320893386">
      <w:bodyDiv w:val="1"/>
      <w:marLeft w:val="0"/>
      <w:marRight w:val="0"/>
      <w:marTop w:val="0"/>
      <w:marBottom w:val="0"/>
      <w:divBdr>
        <w:top w:val="none" w:sz="0" w:space="0" w:color="auto"/>
        <w:left w:val="none" w:sz="0" w:space="0" w:color="auto"/>
        <w:bottom w:val="none" w:sz="0" w:space="0" w:color="auto"/>
        <w:right w:val="none" w:sz="0" w:space="0" w:color="auto"/>
      </w:divBdr>
    </w:div>
    <w:div w:id="354233726">
      <w:bodyDiv w:val="1"/>
      <w:marLeft w:val="0"/>
      <w:marRight w:val="0"/>
      <w:marTop w:val="0"/>
      <w:marBottom w:val="0"/>
      <w:divBdr>
        <w:top w:val="none" w:sz="0" w:space="0" w:color="auto"/>
        <w:left w:val="none" w:sz="0" w:space="0" w:color="auto"/>
        <w:bottom w:val="none" w:sz="0" w:space="0" w:color="auto"/>
        <w:right w:val="none" w:sz="0" w:space="0" w:color="auto"/>
      </w:divBdr>
    </w:div>
    <w:div w:id="363363437">
      <w:bodyDiv w:val="1"/>
      <w:marLeft w:val="0"/>
      <w:marRight w:val="0"/>
      <w:marTop w:val="0"/>
      <w:marBottom w:val="0"/>
      <w:divBdr>
        <w:top w:val="none" w:sz="0" w:space="0" w:color="auto"/>
        <w:left w:val="none" w:sz="0" w:space="0" w:color="auto"/>
        <w:bottom w:val="none" w:sz="0" w:space="0" w:color="auto"/>
        <w:right w:val="none" w:sz="0" w:space="0" w:color="auto"/>
      </w:divBdr>
    </w:div>
    <w:div w:id="374085047">
      <w:bodyDiv w:val="1"/>
      <w:marLeft w:val="0"/>
      <w:marRight w:val="0"/>
      <w:marTop w:val="0"/>
      <w:marBottom w:val="0"/>
      <w:divBdr>
        <w:top w:val="none" w:sz="0" w:space="0" w:color="auto"/>
        <w:left w:val="none" w:sz="0" w:space="0" w:color="auto"/>
        <w:bottom w:val="none" w:sz="0" w:space="0" w:color="auto"/>
        <w:right w:val="none" w:sz="0" w:space="0" w:color="auto"/>
      </w:divBdr>
    </w:div>
    <w:div w:id="402261370">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653410461">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696928880">
      <w:bodyDiv w:val="1"/>
      <w:marLeft w:val="0"/>
      <w:marRight w:val="0"/>
      <w:marTop w:val="0"/>
      <w:marBottom w:val="0"/>
      <w:divBdr>
        <w:top w:val="none" w:sz="0" w:space="0" w:color="auto"/>
        <w:left w:val="none" w:sz="0" w:space="0" w:color="auto"/>
        <w:bottom w:val="none" w:sz="0" w:space="0" w:color="auto"/>
        <w:right w:val="none" w:sz="0" w:space="0" w:color="auto"/>
      </w:divBdr>
    </w:div>
    <w:div w:id="1920744786">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33195991">
      <w:bodyDiv w:val="1"/>
      <w:marLeft w:val="0"/>
      <w:marRight w:val="0"/>
      <w:marTop w:val="0"/>
      <w:marBottom w:val="0"/>
      <w:divBdr>
        <w:top w:val="none" w:sz="0" w:space="0" w:color="auto"/>
        <w:left w:val="none" w:sz="0" w:space="0" w:color="auto"/>
        <w:bottom w:val="none" w:sz="0" w:space="0" w:color="auto"/>
        <w:right w:val="none" w:sz="0" w:space="0" w:color="auto"/>
      </w:divBdr>
    </w:div>
    <w:div w:id="211782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sites/default/files/2021-08/ACMA%20approach%20to%20broadcast%20planning%20and%20varying%20LAPs.docx" TargetMode="External"/><Relationship Id="rId39" Type="http://schemas.openxmlformats.org/officeDocument/2006/relationships/hyperlink" Target="https://www.acma.gov.au/publication-submissions"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s://www.acma.gov.au/have-your-say" TargetMode="External"/><Relationship Id="rId42" Type="http://schemas.openxmlformats.org/officeDocument/2006/relationships/header" Target="header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have-your-say" TargetMode="External"/><Relationship Id="rId33" Type="http://schemas.openxmlformats.org/officeDocument/2006/relationships/hyperlink" Target="https://quickstats.censusdata.abs.gov.au/census_services/getproduct/census/2016/quickstat/UCL214004?opendocument" TargetMode="External"/><Relationship Id="rId38" Type="http://schemas.openxmlformats.org/officeDocument/2006/relationships/hyperlink" Target="mailto:"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quickstats.censusdata.abs.gov.au/census_services/getproduct/census/2016/quickstat/UCL113004?opendocument"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Details/F2017C01171" TargetMode="External"/><Relationship Id="rId32" Type="http://schemas.openxmlformats.org/officeDocument/2006/relationships/hyperlink" Target="https://www.acma.gov.au/publications/2019-11/guide/technical-planning-parameters-and-methods-terrestrial-broadcasting-tpps" TargetMode="External"/><Relationship Id="rId37" Type="http://schemas.openxmlformats.org/officeDocument/2006/relationships/hyperlink" Target="mailto:BCP@acma.gov.au" TargetMode="External"/><Relationship Id="rId40" Type="http://schemas.openxmlformats.org/officeDocument/2006/relationships/hyperlink" Target="https://www.acma.gov.au/privacy-policy" TargetMode="Externa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quickstats.censusdata.abs.gov.au/census_services/getproduct/census/2016/quickstat/UCL213006?opendocument" TargetMode="External"/><Relationship Id="rId36" Type="http://schemas.openxmlformats.org/officeDocument/2006/relationships/hyperlink" Target="https://www.acma.gov.au/have-your-say"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acma.gov.au/have-your-say" TargetMode="Externa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en.wikipedia.org/wiki/Sydney" TargetMode="External"/><Relationship Id="rId30" Type="http://schemas.openxmlformats.org/officeDocument/2006/relationships/hyperlink" Target="https://www.acma.gov.au/publications/2017-11/guide/am-fm-conversion-and-requests-fm-fill-transmitters" TargetMode="External"/><Relationship Id="rId35" Type="http://schemas.openxmlformats.org/officeDocument/2006/relationships/hyperlink" Target="https://www.acma.gov.au/have-your-say" TargetMode="External"/><Relationship Id="rId43" Type="http://schemas.openxmlformats.org/officeDocument/2006/relationships/header" Target="header8.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ma.gov.au/am-fm-conver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F1D7B-D006-42C6-8B2E-C0676B5D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4301</Words>
  <Characters>24260</Characters>
  <Application>Microsoft Office Word</Application>
  <DocSecurity>0</DocSecurity>
  <Lines>527</Lines>
  <Paragraphs>238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2022-03-17T01:29:00Z</dcterms:created>
  <dcterms:modified xsi:type="dcterms:W3CDTF">2022-03-17T01:29:00Z</dcterms:modified>
  <cp:category/>
</cp:coreProperties>
</file>