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DDC0E" w14:textId="7A59FEAA" w:rsidR="004A13A7" w:rsidRPr="00A51D1A" w:rsidRDefault="00E1337B" w:rsidP="004A13A7">
      <w:pPr>
        <w:pStyle w:val="ACMAReportTitle"/>
      </w:pPr>
      <w:bookmarkStart w:id="0" w:name="_Toc6298709"/>
      <w:r>
        <w:t xml:space="preserve">Frequency coordination and licensing procedures for </w:t>
      </w:r>
      <w:r w:rsidR="002D29BC">
        <w:t>Area</w:t>
      </w:r>
      <w:r w:rsidR="00CB79F0">
        <w:t>-</w:t>
      </w:r>
      <w:r w:rsidR="002D29BC">
        <w:t>Wide Licence (AWL)</w:t>
      </w:r>
      <w:r>
        <w:t xml:space="preserve"> in the 3400–</w:t>
      </w:r>
      <w:r w:rsidR="00D94CAF">
        <w:t>4000 </w:t>
      </w:r>
      <w:r>
        <w:t>MHz band</w:t>
      </w:r>
    </w:p>
    <w:p w14:paraId="3CCFE1E1" w14:textId="50664D4E" w:rsidR="004A13A7" w:rsidRDefault="004A13A7" w:rsidP="004A13A7">
      <w:pPr>
        <w:pStyle w:val="ACMAReportSubTitle"/>
      </w:pPr>
    </w:p>
    <w:p w14:paraId="0E1958B2" w14:textId="77777777" w:rsidR="004A13A7" w:rsidRPr="0069580E" w:rsidRDefault="004A13A7" w:rsidP="0069580E">
      <w:pPr>
        <w:spacing w:after="120"/>
        <w:rPr>
          <w:b/>
          <w:bCs/>
          <w:sz w:val="20"/>
          <w:szCs w:val="22"/>
        </w:rPr>
      </w:pPr>
      <w:r w:rsidRPr="0069580E">
        <w:rPr>
          <w:b/>
          <w:bCs/>
          <w:sz w:val="20"/>
          <w:szCs w:val="22"/>
        </w:rPr>
        <w:t>Radiocommunications Assignment and Licensing Instruction</w:t>
      </w:r>
    </w:p>
    <w:p w14:paraId="7D6C63FA" w14:textId="0BF5EDF7" w:rsidR="004A13A7" w:rsidRPr="00A629B5" w:rsidRDefault="00D94CAF" w:rsidP="004A13A7">
      <w:pPr>
        <w:pStyle w:val="ACMAReportDate"/>
        <w:rPr>
          <w:b/>
          <w:caps w:val="0"/>
        </w:rPr>
      </w:pPr>
      <w:r>
        <w:rPr>
          <w:b/>
          <w:caps w:val="0"/>
        </w:rPr>
        <w:t>RALI</w:t>
      </w:r>
      <w:r w:rsidR="00CB79F0">
        <w:rPr>
          <w:b/>
          <w:caps w:val="0"/>
        </w:rPr>
        <w:t xml:space="preserve"> </w:t>
      </w:r>
      <w:r w:rsidR="00DA3E07">
        <w:rPr>
          <w:b/>
          <w:caps w:val="0"/>
        </w:rPr>
        <w:t>MS 47</w:t>
      </w:r>
    </w:p>
    <w:p w14:paraId="42445A51" w14:textId="52A1A1E1" w:rsidR="004A13A7" w:rsidRPr="00C87159" w:rsidRDefault="004A13A7" w:rsidP="008F7E36">
      <w:pPr>
        <w:pStyle w:val="ACMAReportDate"/>
        <w:widowControl w:val="0"/>
        <w:rPr>
          <w:b/>
        </w:rPr>
      </w:pPr>
      <w:r w:rsidRPr="00C87159">
        <w:rPr>
          <w:b/>
        </w:rPr>
        <w:t xml:space="preserve">date of effect: </w:t>
      </w:r>
      <w:r w:rsidR="005B53BD">
        <w:rPr>
          <w:b/>
        </w:rPr>
        <w:t xml:space="preserve"> </w:t>
      </w:r>
      <w:r w:rsidR="00CB06EF">
        <w:rPr>
          <w:b/>
        </w:rPr>
        <w:t>[DRAFT, NOT IN EFFECT]</w:t>
      </w:r>
    </w:p>
    <w:p w14:paraId="5349AFDD" w14:textId="77777777" w:rsidR="0040306E" w:rsidRDefault="008D6BD1" w:rsidP="0040306E">
      <w:pPr>
        <w:spacing w:after="0" w:line="240" w:lineRule="auto"/>
      </w:pPr>
      <w:r>
        <w:br w:type="page"/>
      </w:r>
    </w:p>
    <w:p w14:paraId="4CEC9457" w14:textId="77777777" w:rsidR="00822B3D" w:rsidRDefault="00822B3D" w:rsidP="00BA5A9D">
      <w:pPr>
        <w:pStyle w:val="Heading1"/>
        <w:rPr>
          <w:szCs w:val="44"/>
        </w:rPr>
        <w:sectPr w:rsidR="00822B3D" w:rsidSect="0008711C">
          <w:footerReference w:type="default" r:id="rId12"/>
          <w:headerReference w:type="first" r:id="rId13"/>
          <w:type w:val="oddPage"/>
          <w:pgSz w:w="11906" w:h="16838"/>
          <w:pgMar w:top="3249" w:right="1134" w:bottom="1440" w:left="1134" w:header="709" w:footer="709" w:gutter="284"/>
          <w:pgNumType w:fmt="lowerRoman" w:start="1"/>
          <w:cols w:space="708"/>
          <w:titlePg/>
          <w:docGrid w:linePitch="360"/>
        </w:sectPr>
      </w:pPr>
    </w:p>
    <w:p w14:paraId="2B03AC64" w14:textId="77777777" w:rsidR="004A13A7" w:rsidRPr="00420CAF" w:rsidRDefault="004A13A7" w:rsidP="00420CAF">
      <w:pPr>
        <w:rPr>
          <w:sz w:val="32"/>
        </w:rPr>
      </w:pPr>
      <w:r w:rsidRPr="00420CAF">
        <w:rPr>
          <w:sz w:val="32"/>
          <w:szCs w:val="32"/>
        </w:rPr>
        <w:lastRenderedPageBreak/>
        <w:t>Amendment history</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5"/>
        <w:gridCol w:w="7091"/>
      </w:tblGrid>
      <w:tr w:rsidR="004A13A7" w:rsidRPr="002E390A" w14:paraId="3CB33E36" w14:textId="77777777" w:rsidTr="00CA4A3F">
        <w:trPr>
          <w:tblHeader/>
        </w:trPr>
        <w:tc>
          <w:tcPr>
            <w:tcW w:w="2085" w:type="dxa"/>
            <w:shd w:val="clear" w:color="auto" w:fill="D9D9D9"/>
          </w:tcPr>
          <w:p w14:paraId="46F9498D" w14:textId="77777777" w:rsidR="004A13A7" w:rsidRPr="00AF06C8" w:rsidRDefault="004A13A7" w:rsidP="00E87F66">
            <w:pPr>
              <w:pStyle w:val="TableHeading"/>
              <w:spacing w:line="240" w:lineRule="auto"/>
              <w:rPr>
                <w:rFonts w:eastAsiaTheme="minorHAnsi"/>
                <w:szCs w:val="22"/>
              </w:rPr>
            </w:pPr>
            <w:r w:rsidRPr="00AF06C8">
              <w:rPr>
                <w:rFonts w:eastAsiaTheme="minorHAnsi"/>
                <w:szCs w:val="22"/>
              </w:rPr>
              <w:t>Date</w:t>
            </w:r>
          </w:p>
        </w:tc>
        <w:tc>
          <w:tcPr>
            <w:tcW w:w="6528" w:type="dxa"/>
            <w:shd w:val="clear" w:color="auto" w:fill="D9D9D9"/>
          </w:tcPr>
          <w:p w14:paraId="64877C2A" w14:textId="77777777" w:rsidR="004A13A7" w:rsidRPr="00AF06C8" w:rsidRDefault="004A13A7" w:rsidP="00E87F66">
            <w:pPr>
              <w:pStyle w:val="TableHeading"/>
              <w:spacing w:line="240" w:lineRule="auto"/>
              <w:rPr>
                <w:rFonts w:eastAsiaTheme="minorHAnsi"/>
                <w:szCs w:val="22"/>
              </w:rPr>
            </w:pPr>
            <w:r w:rsidRPr="00AF06C8">
              <w:rPr>
                <w:rFonts w:eastAsiaTheme="minorHAnsi"/>
                <w:szCs w:val="22"/>
              </w:rPr>
              <w:t>Comments</w:t>
            </w:r>
          </w:p>
        </w:tc>
      </w:tr>
      <w:tr w:rsidR="004A13A7" w:rsidRPr="002E390A" w14:paraId="68CE8C92" w14:textId="77777777" w:rsidTr="00CA4A3F">
        <w:tc>
          <w:tcPr>
            <w:tcW w:w="2085" w:type="dxa"/>
          </w:tcPr>
          <w:p w14:paraId="4366671F" w14:textId="2926C27A" w:rsidR="004A13A7" w:rsidRPr="00106E80" w:rsidRDefault="00B402A8" w:rsidP="00E87F66">
            <w:pPr>
              <w:pStyle w:val="TableBody"/>
              <w:rPr>
                <w:rFonts w:eastAsiaTheme="minorHAnsi"/>
                <w:szCs w:val="22"/>
              </w:rPr>
            </w:pPr>
            <w:r w:rsidRPr="00106E80">
              <w:rPr>
                <w:rFonts w:eastAsiaTheme="minorHAnsi"/>
                <w:szCs w:val="22"/>
              </w:rPr>
              <w:t xml:space="preserve">15 </w:t>
            </w:r>
            <w:r w:rsidR="00961942" w:rsidRPr="00106E80">
              <w:rPr>
                <w:rFonts w:eastAsiaTheme="minorHAnsi"/>
                <w:szCs w:val="22"/>
              </w:rPr>
              <w:t>September 2021</w:t>
            </w:r>
          </w:p>
        </w:tc>
        <w:tc>
          <w:tcPr>
            <w:tcW w:w="6528" w:type="dxa"/>
          </w:tcPr>
          <w:p w14:paraId="4A8EF15E" w14:textId="2A81F437" w:rsidR="004A13A7" w:rsidRPr="00AF06C8" w:rsidRDefault="004D1FE8" w:rsidP="00E87F66">
            <w:pPr>
              <w:pStyle w:val="TableBody"/>
              <w:rPr>
                <w:rFonts w:eastAsiaTheme="minorHAnsi"/>
                <w:szCs w:val="22"/>
              </w:rPr>
            </w:pPr>
            <w:r w:rsidRPr="00106E80">
              <w:rPr>
                <w:rFonts w:eastAsiaTheme="minorHAnsi"/>
                <w:szCs w:val="22"/>
              </w:rPr>
              <w:t xml:space="preserve">First </w:t>
            </w:r>
            <w:r w:rsidR="00763A6F" w:rsidRPr="00106E80">
              <w:rPr>
                <w:rFonts w:eastAsiaTheme="minorHAnsi"/>
                <w:szCs w:val="22"/>
              </w:rPr>
              <w:t>draft</w:t>
            </w:r>
          </w:p>
        </w:tc>
      </w:tr>
      <w:tr w:rsidR="004A13A7" w:rsidRPr="002E390A" w14:paraId="42637EB8" w14:textId="77777777" w:rsidTr="00CA4A3F">
        <w:tc>
          <w:tcPr>
            <w:tcW w:w="2085" w:type="dxa"/>
          </w:tcPr>
          <w:p w14:paraId="56F3ACAE" w14:textId="091F69BB" w:rsidR="004A13A7" w:rsidRPr="00AF06C8" w:rsidRDefault="00302D97" w:rsidP="00E87F66">
            <w:pPr>
              <w:pStyle w:val="TableBody"/>
              <w:rPr>
                <w:rFonts w:eastAsiaTheme="minorHAnsi"/>
                <w:szCs w:val="22"/>
              </w:rPr>
            </w:pPr>
            <w:r>
              <w:rPr>
                <w:rFonts w:eastAsiaTheme="minorHAnsi"/>
                <w:szCs w:val="22"/>
              </w:rPr>
              <w:t xml:space="preserve">21 </w:t>
            </w:r>
            <w:r w:rsidR="007E7BF7">
              <w:rPr>
                <w:rFonts w:eastAsiaTheme="minorHAnsi"/>
                <w:szCs w:val="22"/>
              </w:rPr>
              <w:t>December 2021</w:t>
            </w:r>
          </w:p>
        </w:tc>
        <w:tc>
          <w:tcPr>
            <w:tcW w:w="6528" w:type="dxa"/>
          </w:tcPr>
          <w:p w14:paraId="5D3481C6" w14:textId="562C5AE0" w:rsidR="004A13A7" w:rsidRPr="00AF06C8" w:rsidRDefault="007E7BF7" w:rsidP="00E87F66">
            <w:pPr>
              <w:pStyle w:val="TableBody"/>
              <w:rPr>
                <w:rFonts w:eastAsiaTheme="minorHAnsi"/>
                <w:szCs w:val="22"/>
              </w:rPr>
            </w:pPr>
            <w:r>
              <w:rPr>
                <w:rFonts w:eastAsiaTheme="minorHAnsi"/>
                <w:szCs w:val="22"/>
              </w:rPr>
              <w:t>Second draft after 3400-4000 MHz TLG paper V2 comments</w:t>
            </w:r>
          </w:p>
        </w:tc>
      </w:tr>
      <w:tr w:rsidR="004A13A7" w:rsidRPr="002E390A" w14:paraId="39D7ED3B" w14:textId="77777777" w:rsidTr="00CA4A3F">
        <w:tc>
          <w:tcPr>
            <w:tcW w:w="2085" w:type="dxa"/>
          </w:tcPr>
          <w:p w14:paraId="7E0120FF" w14:textId="77777777" w:rsidR="004A13A7" w:rsidRPr="00AF06C8" w:rsidRDefault="004A13A7" w:rsidP="00E87F66">
            <w:pPr>
              <w:pStyle w:val="TableBody"/>
              <w:rPr>
                <w:rFonts w:eastAsiaTheme="minorHAnsi"/>
                <w:szCs w:val="22"/>
              </w:rPr>
            </w:pPr>
          </w:p>
        </w:tc>
        <w:tc>
          <w:tcPr>
            <w:tcW w:w="6528" w:type="dxa"/>
          </w:tcPr>
          <w:p w14:paraId="0C5BD3C5" w14:textId="77777777" w:rsidR="004A13A7" w:rsidRPr="00AF06C8" w:rsidRDefault="004A13A7" w:rsidP="00E87F66">
            <w:pPr>
              <w:pStyle w:val="TableBody"/>
              <w:rPr>
                <w:rFonts w:eastAsiaTheme="minorHAnsi"/>
                <w:szCs w:val="22"/>
              </w:rPr>
            </w:pPr>
          </w:p>
        </w:tc>
      </w:tr>
    </w:tbl>
    <w:p w14:paraId="2BB4C0E8" w14:textId="77777777" w:rsidR="004A13A7" w:rsidRDefault="004A13A7" w:rsidP="004A13A7">
      <w:pPr>
        <w:pStyle w:val="ACMASpaceaftertable"/>
      </w:pPr>
    </w:p>
    <w:p w14:paraId="50596144" w14:textId="19A16431" w:rsidR="004A13A7" w:rsidRPr="00AF06C8" w:rsidRDefault="004A13A7" w:rsidP="004A13A7">
      <w:pPr>
        <w:rPr>
          <w:szCs w:val="22"/>
        </w:rPr>
      </w:pPr>
      <w:r w:rsidRPr="00AF06C8">
        <w:rPr>
          <w:szCs w:val="22"/>
        </w:rPr>
        <w:t xml:space="preserve">Suggestions for improvements to Radiocommunications Assignment and Licensing Instruction </w:t>
      </w:r>
      <w:r w:rsidR="004D1FE8">
        <w:rPr>
          <w:szCs w:val="22"/>
        </w:rPr>
        <w:t>should</w:t>
      </w:r>
      <w:r w:rsidR="004D1FE8" w:rsidRPr="00AF06C8">
        <w:rPr>
          <w:szCs w:val="22"/>
        </w:rPr>
        <w:t xml:space="preserve"> </w:t>
      </w:r>
      <w:r w:rsidRPr="00AF06C8">
        <w:rPr>
          <w:szCs w:val="22"/>
        </w:rPr>
        <w:t>be addressed to:</w:t>
      </w:r>
    </w:p>
    <w:p w14:paraId="0FF55781" w14:textId="4F97D71A" w:rsidR="004A13A7" w:rsidRPr="00AF06C8" w:rsidRDefault="004A13A7" w:rsidP="004A13A7">
      <w:pPr>
        <w:rPr>
          <w:szCs w:val="22"/>
        </w:rPr>
      </w:pPr>
      <w:r w:rsidRPr="00AF06C8">
        <w:rPr>
          <w:szCs w:val="22"/>
        </w:rPr>
        <w:t xml:space="preserve">The Manager, Spectrum </w:t>
      </w:r>
      <w:r w:rsidR="00746A68">
        <w:rPr>
          <w:szCs w:val="22"/>
        </w:rPr>
        <w:t>Planning Section</w:t>
      </w:r>
      <w:r w:rsidRPr="00AF06C8">
        <w:rPr>
          <w:szCs w:val="22"/>
        </w:rPr>
        <w:br/>
        <w:t>Australian Communications and Media Authority</w:t>
      </w:r>
      <w:r w:rsidRPr="00AF06C8">
        <w:rPr>
          <w:szCs w:val="22"/>
        </w:rPr>
        <w:br/>
        <w:t>PO Box 78</w:t>
      </w:r>
      <w:r w:rsidRPr="00AF06C8">
        <w:rPr>
          <w:szCs w:val="22"/>
        </w:rPr>
        <w:br/>
        <w:t>Belconnen ACT 2616</w:t>
      </w:r>
    </w:p>
    <w:p w14:paraId="522AB59F" w14:textId="77777777" w:rsidR="004A13A7" w:rsidRPr="00AF06C8" w:rsidRDefault="004A13A7" w:rsidP="004A13A7">
      <w:pPr>
        <w:rPr>
          <w:rFonts w:cstheme="minorHAnsi"/>
          <w:szCs w:val="22"/>
        </w:rPr>
      </w:pPr>
      <w:r w:rsidRPr="00AF06C8">
        <w:rPr>
          <w:rFonts w:cstheme="minorHAnsi"/>
          <w:szCs w:val="22"/>
        </w:rPr>
        <w:t xml:space="preserve">or by email to: </w:t>
      </w:r>
      <w:hyperlink r:id="rId14" w:history="1">
        <w:r w:rsidRPr="00AF06C8">
          <w:rPr>
            <w:rStyle w:val="Hyperlink"/>
            <w:rFonts w:cstheme="minorHAnsi"/>
            <w:szCs w:val="22"/>
          </w:rPr>
          <w:t>freqplan@acma.gov.au</w:t>
        </w:r>
      </w:hyperlink>
      <w:r w:rsidRPr="00AF06C8">
        <w:rPr>
          <w:rFonts w:cstheme="minorHAnsi"/>
          <w:szCs w:val="22"/>
        </w:rPr>
        <w:t>.</w:t>
      </w:r>
    </w:p>
    <w:p w14:paraId="4B8672B9" w14:textId="22C4CE32" w:rsidR="00B95DA7" w:rsidRDefault="004A13A7" w:rsidP="004A13A7">
      <w:pPr>
        <w:rPr>
          <w:szCs w:val="22"/>
        </w:rPr>
      </w:pPr>
      <w:r w:rsidRPr="00AF06C8">
        <w:rPr>
          <w:szCs w:val="22"/>
        </w:rPr>
        <w:t xml:space="preserve">Please notify the ACMA of any inaccuracy or ambiguity found in this </w:t>
      </w:r>
      <w:r w:rsidR="00B3419E">
        <w:rPr>
          <w:szCs w:val="22"/>
        </w:rPr>
        <w:t>RALI.</w:t>
      </w:r>
    </w:p>
    <w:p w14:paraId="73272AA1" w14:textId="77777777" w:rsidR="00B3419E" w:rsidRPr="00AF06C8" w:rsidRDefault="00B3419E" w:rsidP="004A13A7">
      <w:pPr>
        <w:rPr>
          <w:szCs w:val="22"/>
        </w:rPr>
      </w:pPr>
    </w:p>
    <w:p w14:paraId="7FEBF480" w14:textId="77777777" w:rsidR="00822B3D" w:rsidRDefault="00822B3D" w:rsidP="004A13A7">
      <w:pPr>
        <w:rPr>
          <w:b/>
          <w:sz w:val="52"/>
          <w:szCs w:val="52"/>
        </w:rPr>
        <w:sectPr w:rsidR="00822B3D" w:rsidSect="0008711C">
          <w:footerReference w:type="even" r:id="rId15"/>
          <w:type w:val="evenPage"/>
          <w:pgSz w:w="11906" w:h="16838"/>
          <w:pgMar w:top="1440" w:right="1134" w:bottom="1440" w:left="1134" w:header="709" w:footer="709" w:gutter="284"/>
          <w:pgNumType w:fmt="lowerRoman" w:start="2"/>
          <w:cols w:space="708"/>
          <w:docGrid w:linePitch="360"/>
        </w:sectPr>
      </w:pPr>
    </w:p>
    <w:sdt>
      <w:sdtPr>
        <w:rPr>
          <w:b w:val="0"/>
          <w:color w:val="auto"/>
          <w:spacing w:val="0"/>
          <w:sz w:val="24"/>
        </w:rPr>
        <w:id w:val="2122026567"/>
        <w:docPartObj>
          <w:docPartGallery w:val="Table of Contents"/>
          <w:docPartUnique/>
        </w:docPartObj>
      </w:sdtPr>
      <w:sdtEndPr>
        <w:rPr>
          <w:bCs/>
          <w:noProof/>
          <w:sz w:val="22"/>
        </w:rPr>
      </w:sdtEndPr>
      <w:sdtContent>
        <w:p w14:paraId="1A0FD5C7" w14:textId="77777777" w:rsidR="00097D72" w:rsidRDefault="00097D72">
          <w:pPr>
            <w:pStyle w:val="TOCHeading"/>
          </w:pPr>
          <w:r>
            <w:t>Contents</w:t>
          </w:r>
        </w:p>
        <w:p w14:paraId="26C0BC06" w14:textId="7A527153" w:rsidR="00B74678" w:rsidRDefault="00097D72">
          <w:pPr>
            <w:pStyle w:val="TOC1"/>
            <w:tabs>
              <w:tab w:val="left" w:pos="885"/>
            </w:tabs>
            <w:rPr>
              <w:rFonts w:asciiTheme="minorHAnsi" w:eastAsiaTheme="minorEastAsia" w:hAnsiTheme="minorHAnsi" w:cstheme="minorBidi"/>
              <w:b w:val="0"/>
              <w:spacing w:val="0"/>
              <w:sz w:val="22"/>
              <w:szCs w:val="22"/>
            </w:rPr>
          </w:pPr>
          <w:r>
            <w:fldChar w:fldCharType="begin"/>
          </w:r>
          <w:r>
            <w:instrText xml:space="preserve"> TOC \o "1-3" \h \z \u </w:instrText>
          </w:r>
          <w:r>
            <w:fldChar w:fldCharType="separate"/>
          </w:r>
          <w:hyperlink w:anchor="_Toc90984568" w:history="1">
            <w:r w:rsidR="00B74678" w:rsidRPr="00DC25E1">
              <w:rPr>
                <w:rStyle w:val="Hyperlink"/>
                <w14:scene3d>
                  <w14:camera w14:prst="orthographicFront"/>
                  <w14:lightRig w14:rig="threePt" w14:dir="t">
                    <w14:rot w14:lat="0" w14:lon="0" w14:rev="0"/>
                  </w14:lightRig>
                </w14:scene3d>
              </w:rPr>
              <w:t>1</w:t>
            </w:r>
            <w:r w:rsidR="00B74678">
              <w:rPr>
                <w:rFonts w:asciiTheme="minorHAnsi" w:eastAsiaTheme="minorEastAsia" w:hAnsiTheme="minorHAnsi" w:cstheme="minorBidi"/>
                <w:b w:val="0"/>
                <w:spacing w:val="0"/>
                <w:sz w:val="22"/>
                <w:szCs w:val="22"/>
              </w:rPr>
              <w:tab/>
            </w:r>
            <w:r w:rsidR="00B74678" w:rsidRPr="00DC25E1">
              <w:rPr>
                <w:rStyle w:val="Hyperlink"/>
              </w:rPr>
              <w:t>Introduction</w:t>
            </w:r>
            <w:r w:rsidR="00B74678">
              <w:rPr>
                <w:webHidden/>
              </w:rPr>
              <w:tab/>
            </w:r>
            <w:r w:rsidR="00B74678">
              <w:rPr>
                <w:webHidden/>
              </w:rPr>
              <w:fldChar w:fldCharType="begin"/>
            </w:r>
            <w:r w:rsidR="00B74678">
              <w:rPr>
                <w:webHidden/>
              </w:rPr>
              <w:instrText xml:space="preserve"> PAGEREF _Toc90984568 \h </w:instrText>
            </w:r>
            <w:r w:rsidR="00B74678">
              <w:rPr>
                <w:webHidden/>
              </w:rPr>
            </w:r>
            <w:r w:rsidR="00B74678">
              <w:rPr>
                <w:webHidden/>
              </w:rPr>
              <w:fldChar w:fldCharType="separate"/>
            </w:r>
            <w:r w:rsidR="00B74678">
              <w:rPr>
                <w:webHidden/>
              </w:rPr>
              <w:t>1</w:t>
            </w:r>
            <w:r w:rsidR="00B74678">
              <w:rPr>
                <w:webHidden/>
              </w:rPr>
              <w:fldChar w:fldCharType="end"/>
            </w:r>
          </w:hyperlink>
        </w:p>
        <w:p w14:paraId="4AFA04AD" w14:textId="76E283CA" w:rsidR="00B74678" w:rsidRDefault="00B74678">
          <w:pPr>
            <w:pStyle w:val="TOC2"/>
            <w:rPr>
              <w:rFonts w:asciiTheme="minorHAnsi" w:eastAsiaTheme="minorEastAsia" w:hAnsiTheme="minorHAnsi" w:cstheme="minorBidi"/>
              <w:spacing w:val="0"/>
              <w:sz w:val="22"/>
              <w:szCs w:val="22"/>
            </w:rPr>
          </w:pPr>
          <w:hyperlink w:anchor="_Toc90984569" w:history="1">
            <w:r w:rsidRPr="00DC25E1">
              <w:rPr>
                <w:rStyle w:val="Hyperlink"/>
              </w:rPr>
              <w:t>1.1</w:t>
            </w:r>
            <w:r>
              <w:rPr>
                <w:rFonts w:asciiTheme="minorHAnsi" w:eastAsiaTheme="minorEastAsia" w:hAnsiTheme="minorHAnsi" w:cstheme="minorBidi"/>
                <w:spacing w:val="0"/>
                <w:sz w:val="22"/>
                <w:szCs w:val="22"/>
              </w:rPr>
              <w:tab/>
            </w:r>
            <w:r w:rsidRPr="00DC25E1">
              <w:rPr>
                <w:rStyle w:val="Hyperlink"/>
              </w:rPr>
              <w:t>Purpose</w:t>
            </w:r>
            <w:r>
              <w:rPr>
                <w:webHidden/>
              </w:rPr>
              <w:tab/>
            </w:r>
            <w:r>
              <w:rPr>
                <w:webHidden/>
              </w:rPr>
              <w:fldChar w:fldCharType="begin"/>
            </w:r>
            <w:r>
              <w:rPr>
                <w:webHidden/>
              </w:rPr>
              <w:instrText xml:space="preserve"> PAGEREF _Toc90984569 \h </w:instrText>
            </w:r>
            <w:r>
              <w:rPr>
                <w:webHidden/>
              </w:rPr>
            </w:r>
            <w:r>
              <w:rPr>
                <w:webHidden/>
              </w:rPr>
              <w:fldChar w:fldCharType="separate"/>
            </w:r>
            <w:r>
              <w:rPr>
                <w:webHidden/>
              </w:rPr>
              <w:t>1</w:t>
            </w:r>
            <w:r>
              <w:rPr>
                <w:webHidden/>
              </w:rPr>
              <w:fldChar w:fldCharType="end"/>
            </w:r>
          </w:hyperlink>
        </w:p>
        <w:p w14:paraId="74923A29" w14:textId="3268BBC4" w:rsidR="00B74678" w:rsidRDefault="00B74678">
          <w:pPr>
            <w:pStyle w:val="TOC2"/>
            <w:rPr>
              <w:rFonts w:asciiTheme="minorHAnsi" w:eastAsiaTheme="minorEastAsia" w:hAnsiTheme="minorHAnsi" w:cstheme="minorBidi"/>
              <w:spacing w:val="0"/>
              <w:sz w:val="22"/>
              <w:szCs w:val="22"/>
            </w:rPr>
          </w:pPr>
          <w:hyperlink w:anchor="_Toc90984570" w:history="1">
            <w:r w:rsidRPr="00DC25E1">
              <w:rPr>
                <w:rStyle w:val="Hyperlink"/>
              </w:rPr>
              <w:t>1.2</w:t>
            </w:r>
            <w:r>
              <w:rPr>
                <w:rFonts w:asciiTheme="minorHAnsi" w:eastAsiaTheme="minorEastAsia" w:hAnsiTheme="minorHAnsi" w:cstheme="minorBidi"/>
                <w:spacing w:val="0"/>
                <w:sz w:val="22"/>
                <w:szCs w:val="22"/>
              </w:rPr>
              <w:tab/>
            </w:r>
            <w:r w:rsidRPr="00DC25E1">
              <w:rPr>
                <w:rStyle w:val="Hyperlink"/>
              </w:rPr>
              <w:t>Background</w:t>
            </w:r>
            <w:r>
              <w:rPr>
                <w:webHidden/>
              </w:rPr>
              <w:tab/>
            </w:r>
            <w:r>
              <w:rPr>
                <w:webHidden/>
              </w:rPr>
              <w:fldChar w:fldCharType="begin"/>
            </w:r>
            <w:r>
              <w:rPr>
                <w:webHidden/>
              </w:rPr>
              <w:instrText xml:space="preserve"> PAGEREF _Toc90984570 \h </w:instrText>
            </w:r>
            <w:r>
              <w:rPr>
                <w:webHidden/>
              </w:rPr>
            </w:r>
            <w:r>
              <w:rPr>
                <w:webHidden/>
              </w:rPr>
              <w:fldChar w:fldCharType="separate"/>
            </w:r>
            <w:r>
              <w:rPr>
                <w:webHidden/>
              </w:rPr>
              <w:t>1</w:t>
            </w:r>
            <w:r>
              <w:rPr>
                <w:webHidden/>
              </w:rPr>
              <w:fldChar w:fldCharType="end"/>
            </w:r>
          </w:hyperlink>
        </w:p>
        <w:p w14:paraId="28CE2484" w14:textId="25F254B3" w:rsidR="00B74678" w:rsidRDefault="00B74678">
          <w:pPr>
            <w:pStyle w:val="TOC2"/>
            <w:rPr>
              <w:rFonts w:asciiTheme="minorHAnsi" w:eastAsiaTheme="minorEastAsia" w:hAnsiTheme="minorHAnsi" w:cstheme="minorBidi"/>
              <w:spacing w:val="0"/>
              <w:sz w:val="22"/>
              <w:szCs w:val="22"/>
            </w:rPr>
          </w:pPr>
          <w:hyperlink w:anchor="_Toc90984571" w:history="1">
            <w:r w:rsidRPr="00DC25E1">
              <w:rPr>
                <w:rStyle w:val="Hyperlink"/>
              </w:rPr>
              <w:t>1.3</w:t>
            </w:r>
            <w:r>
              <w:rPr>
                <w:rFonts w:asciiTheme="minorHAnsi" w:eastAsiaTheme="minorEastAsia" w:hAnsiTheme="minorHAnsi" w:cstheme="minorBidi"/>
                <w:spacing w:val="0"/>
                <w:sz w:val="22"/>
                <w:szCs w:val="22"/>
              </w:rPr>
              <w:tab/>
            </w:r>
            <w:r w:rsidRPr="00DC25E1">
              <w:rPr>
                <w:rStyle w:val="Hyperlink"/>
              </w:rPr>
              <w:t>Scope</w:t>
            </w:r>
            <w:r>
              <w:rPr>
                <w:webHidden/>
              </w:rPr>
              <w:tab/>
            </w:r>
            <w:r>
              <w:rPr>
                <w:webHidden/>
              </w:rPr>
              <w:fldChar w:fldCharType="begin"/>
            </w:r>
            <w:r>
              <w:rPr>
                <w:webHidden/>
              </w:rPr>
              <w:instrText xml:space="preserve"> PAGEREF _Toc90984571 \h </w:instrText>
            </w:r>
            <w:r>
              <w:rPr>
                <w:webHidden/>
              </w:rPr>
            </w:r>
            <w:r>
              <w:rPr>
                <w:webHidden/>
              </w:rPr>
              <w:fldChar w:fldCharType="separate"/>
            </w:r>
            <w:r>
              <w:rPr>
                <w:webHidden/>
              </w:rPr>
              <w:t>2</w:t>
            </w:r>
            <w:r>
              <w:rPr>
                <w:webHidden/>
              </w:rPr>
              <w:fldChar w:fldCharType="end"/>
            </w:r>
          </w:hyperlink>
        </w:p>
        <w:p w14:paraId="075BABE8" w14:textId="5A0CD676" w:rsidR="00B74678" w:rsidRDefault="00B74678">
          <w:pPr>
            <w:pStyle w:val="TOC3"/>
            <w:tabs>
              <w:tab w:val="left" w:pos="885"/>
            </w:tabs>
            <w:rPr>
              <w:rFonts w:asciiTheme="minorHAnsi" w:eastAsiaTheme="minorEastAsia" w:hAnsiTheme="minorHAnsi" w:cstheme="minorBidi"/>
            </w:rPr>
          </w:pPr>
          <w:hyperlink w:anchor="_Toc90984572" w:history="1">
            <w:r w:rsidRPr="00DC25E1">
              <w:rPr>
                <w:rStyle w:val="Hyperlink"/>
              </w:rPr>
              <w:t>1.3.1</w:t>
            </w:r>
            <w:r>
              <w:rPr>
                <w:rFonts w:asciiTheme="minorHAnsi" w:eastAsiaTheme="minorEastAsia" w:hAnsiTheme="minorHAnsi" w:cstheme="minorBidi"/>
              </w:rPr>
              <w:tab/>
            </w:r>
            <w:r w:rsidRPr="00DC25E1">
              <w:rPr>
                <w:rStyle w:val="Hyperlink"/>
              </w:rPr>
              <w:t>Basic principles</w:t>
            </w:r>
            <w:r>
              <w:rPr>
                <w:webHidden/>
              </w:rPr>
              <w:tab/>
            </w:r>
            <w:r>
              <w:rPr>
                <w:webHidden/>
              </w:rPr>
              <w:fldChar w:fldCharType="begin"/>
            </w:r>
            <w:r>
              <w:rPr>
                <w:webHidden/>
              </w:rPr>
              <w:instrText xml:space="preserve"> PAGEREF _Toc90984572 \h </w:instrText>
            </w:r>
            <w:r>
              <w:rPr>
                <w:webHidden/>
              </w:rPr>
            </w:r>
            <w:r>
              <w:rPr>
                <w:webHidden/>
              </w:rPr>
              <w:fldChar w:fldCharType="separate"/>
            </w:r>
            <w:r>
              <w:rPr>
                <w:webHidden/>
              </w:rPr>
              <w:t>2</w:t>
            </w:r>
            <w:r>
              <w:rPr>
                <w:webHidden/>
              </w:rPr>
              <w:fldChar w:fldCharType="end"/>
            </w:r>
          </w:hyperlink>
        </w:p>
        <w:p w14:paraId="62DE8F7D" w14:textId="364E7246" w:rsidR="00B74678" w:rsidRDefault="00B74678">
          <w:pPr>
            <w:pStyle w:val="TOC2"/>
            <w:rPr>
              <w:rFonts w:asciiTheme="minorHAnsi" w:eastAsiaTheme="minorEastAsia" w:hAnsiTheme="minorHAnsi" w:cstheme="minorBidi"/>
              <w:spacing w:val="0"/>
              <w:sz w:val="22"/>
              <w:szCs w:val="22"/>
            </w:rPr>
          </w:pPr>
          <w:hyperlink w:anchor="_Toc90984573" w:history="1">
            <w:r w:rsidRPr="00DC25E1">
              <w:rPr>
                <w:rStyle w:val="Hyperlink"/>
              </w:rPr>
              <w:t>1.4</w:t>
            </w:r>
            <w:r>
              <w:rPr>
                <w:rFonts w:asciiTheme="minorHAnsi" w:eastAsiaTheme="minorEastAsia" w:hAnsiTheme="minorHAnsi" w:cstheme="minorBidi"/>
                <w:spacing w:val="0"/>
                <w:sz w:val="22"/>
                <w:szCs w:val="22"/>
              </w:rPr>
              <w:tab/>
            </w:r>
            <w:r w:rsidRPr="00DC25E1">
              <w:rPr>
                <w:rStyle w:val="Hyperlink"/>
              </w:rPr>
              <w:t>Operation of the technical framework</w:t>
            </w:r>
            <w:r>
              <w:rPr>
                <w:webHidden/>
              </w:rPr>
              <w:tab/>
            </w:r>
            <w:r>
              <w:rPr>
                <w:webHidden/>
              </w:rPr>
              <w:fldChar w:fldCharType="begin"/>
            </w:r>
            <w:r>
              <w:rPr>
                <w:webHidden/>
              </w:rPr>
              <w:instrText xml:space="preserve"> PAGEREF _Toc90984573 \h </w:instrText>
            </w:r>
            <w:r>
              <w:rPr>
                <w:webHidden/>
              </w:rPr>
            </w:r>
            <w:r>
              <w:rPr>
                <w:webHidden/>
              </w:rPr>
              <w:fldChar w:fldCharType="separate"/>
            </w:r>
            <w:r>
              <w:rPr>
                <w:webHidden/>
              </w:rPr>
              <w:t>3</w:t>
            </w:r>
            <w:r>
              <w:rPr>
                <w:webHidden/>
              </w:rPr>
              <w:fldChar w:fldCharType="end"/>
            </w:r>
          </w:hyperlink>
        </w:p>
        <w:p w14:paraId="0F338EB2" w14:textId="1DFE6F8F" w:rsidR="00B74678" w:rsidRDefault="00B74678">
          <w:pPr>
            <w:pStyle w:val="TOC1"/>
            <w:tabs>
              <w:tab w:val="left" w:pos="885"/>
            </w:tabs>
            <w:rPr>
              <w:rFonts w:asciiTheme="minorHAnsi" w:eastAsiaTheme="minorEastAsia" w:hAnsiTheme="minorHAnsi" w:cstheme="minorBidi"/>
              <w:b w:val="0"/>
              <w:spacing w:val="0"/>
              <w:sz w:val="22"/>
              <w:szCs w:val="22"/>
            </w:rPr>
          </w:pPr>
          <w:hyperlink w:anchor="_Toc90984574" w:history="1">
            <w:r w:rsidRPr="00DC25E1">
              <w:rPr>
                <w:rStyle w:val="Hyperlink"/>
                <w14:scene3d>
                  <w14:camera w14:prst="orthographicFront"/>
                  <w14:lightRig w14:rig="threePt" w14:dir="t">
                    <w14:rot w14:lat="0" w14:lon="0" w14:rev="0"/>
                  </w14:lightRig>
                </w14:scene3d>
              </w:rPr>
              <w:t>2</w:t>
            </w:r>
            <w:r>
              <w:rPr>
                <w:rFonts w:asciiTheme="minorHAnsi" w:eastAsiaTheme="minorEastAsia" w:hAnsiTheme="minorHAnsi" w:cstheme="minorBidi"/>
                <w:b w:val="0"/>
                <w:spacing w:val="0"/>
                <w:sz w:val="22"/>
                <w:szCs w:val="22"/>
              </w:rPr>
              <w:tab/>
            </w:r>
            <w:r w:rsidRPr="00DC25E1">
              <w:rPr>
                <w:rStyle w:val="Hyperlink"/>
              </w:rPr>
              <w:t>RF arrangements</w:t>
            </w:r>
            <w:r>
              <w:rPr>
                <w:webHidden/>
              </w:rPr>
              <w:tab/>
            </w:r>
            <w:r>
              <w:rPr>
                <w:webHidden/>
              </w:rPr>
              <w:fldChar w:fldCharType="begin"/>
            </w:r>
            <w:r>
              <w:rPr>
                <w:webHidden/>
              </w:rPr>
              <w:instrText xml:space="preserve"> PAGEREF _Toc90984574 \h </w:instrText>
            </w:r>
            <w:r>
              <w:rPr>
                <w:webHidden/>
              </w:rPr>
            </w:r>
            <w:r>
              <w:rPr>
                <w:webHidden/>
              </w:rPr>
              <w:fldChar w:fldCharType="separate"/>
            </w:r>
            <w:r>
              <w:rPr>
                <w:webHidden/>
              </w:rPr>
              <w:t>5</w:t>
            </w:r>
            <w:r>
              <w:rPr>
                <w:webHidden/>
              </w:rPr>
              <w:fldChar w:fldCharType="end"/>
            </w:r>
          </w:hyperlink>
        </w:p>
        <w:p w14:paraId="47F605CD" w14:textId="0DD4F6DD" w:rsidR="00B74678" w:rsidRDefault="00B74678">
          <w:pPr>
            <w:pStyle w:val="TOC2"/>
            <w:rPr>
              <w:rFonts w:asciiTheme="minorHAnsi" w:eastAsiaTheme="minorEastAsia" w:hAnsiTheme="minorHAnsi" w:cstheme="minorBidi"/>
              <w:spacing w:val="0"/>
              <w:sz w:val="22"/>
              <w:szCs w:val="22"/>
            </w:rPr>
          </w:pPr>
          <w:hyperlink w:anchor="_Toc90984575" w:history="1">
            <w:r w:rsidRPr="00DC25E1">
              <w:rPr>
                <w:rStyle w:val="Hyperlink"/>
              </w:rPr>
              <w:t>2.1</w:t>
            </w:r>
            <w:r>
              <w:rPr>
                <w:rFonts w:asciiTheme="minorHAnsi" w:eastAsiaTheme="minorEastAsia" w:hAnsiTheme="minorHAnsi" w:cstheme="minorBidi"/>
                <w:spacing w:val="0"/>
                <w:sz w:val="22"/>
                <w:szCs w:val="22"/>
              </w:rPr>
              <w:tab/>
            </w:r>
            <w:r w:rsidRPr="00DC25E1">
              <w:rPr>
                <w:rStyle w:val="Hyperlink"/>
              </w:rPr>
              <w:t>Frequency ranges and areas available for AWLs</w:t>
            </w:r>
            <w:r>
              <w:rPr>
                <w:webHidden/>
              </w:rPr>
              <w:tab/>
            </w:r>
            <w:r>
              <w:rPr>
                <w:webHidden/>
              </w:rPr>
              <w:fldChar w:fldCharType="begin"/>
            </w:r>
            <w:r>
              <w:rPr>
                <w:webHidden/>
              </w:rPr>
              <w:instrText xml:space="preserve"> PAGEREF _Toc90984575 \h </w:instrText>
            </w:r>
            <w:r>
              <w:rPr>
                <w:webHidden/>
              </w:rPr>
            </w:r>
            <w:r>
              <w:rPr>
                <w:webHidden/>
              </w:rPr>
              <w:fldChar w:fldCharType="separate"/>
            </w:r>
            <w:r>
              <w:rPr>
                <w:webHidden/>
              </w:rPr>
              <w:t>5</w:t>
            </w:r>
            <w:r>
              <w:rPr>
                <w:webHidden/>
              </w:rPr>
              <w:fldChar w:fldCharType="end"/>
            </w:r>
          </w:hyperlink>
        </w:p>
        <w:p w14:paraId="444959B9" w14:textId="45CBB66C" w:rsidR="00B74678" w:rsidRDefault="00B74678">
          <w:pPr>
            <w:pStyle w:val="TOC2"/>
            <w:rPr>
              <w:rFonts w:asciiTheme="minorHAnsi" w:eastAsiaTheme="minorEastAsia" w:hAnsiTheme="minorHAnsi" w:cstheme="minorBidi"/>
              <w:spacing w:val="0"/>
              <w:sz w:val="22"/>
              <w:szCs w:val="22"/>
            </w:rPr>
          </w:pPr>
          <w:hyperlink w:anchor="_Toc90984576" w:history="1">
            <w:r w:rsidRPr="00DC25E1">
              <w:rPr>
                <w:rStyle w:val="Hyperlink"/>
              </w:rPr>
              <w:t>2.2</w:t>
            </w:r>
            <w:r>
              <w:rPr>
                <w:rFonts w:asciiTheme="minorHAnsi" w:eastAsiaTheme="minorEastAsia" w:hAnsiTheme="minorHAnsi" w:cstheme="minorBidi"/>
                <w:spacing w:val="0"/>
                <w:sz w:val="22"/>
                <w:szCs w:val="22"/>
              </w:rPr>
              <w:tab/>
            </w:r>
            <w:r w:rsidRPr="00DC25E1">
              <w:rPr>
                <w:rStyle w:val="Hyperlink"/>
              </w:rPr>
              <w:t>Channel arrangements</w:t>
            </w:r>
            <w:r>
              <w:rPr>
                <w:webHidden/>
              </w:rPr>
              <w:tab/>
            </w:r>
            <w:r>
              <w:rPr>
                <w:webHidden/>
              </w:rPr>
              <w:fldChar w:fldCharType="begin"/>
            </w:r>
            <w:r>
              <w:rPr>
                <w:webHidden/>
              </w:rPr>
              <w:instrText xml:space="preserve"> PAGEREF _Toc90984576 \h </w:instrText>
            </w:r>
            <w:r>
              <w:rPr>
                <w:webHidden/>
              </w:rPr>
            </w:r>
            <w:r>
              <w:rPr>
                <w:webHidden/>
              </w:rPr>
              <w:fldChar w:fldCharType="separate"/>
            </w:r>
            <w:r>
              <w:rPr>
                <w:webHidden/>
              </w:rPr>
              <w:t>5</w:t>
            </w:r>
            <w:r>
              <w:rPr>
                <w:webHidden/>
              </w:rPr>
              <w:fldChar w:fldCharType="end"/>
            </w:r>
          </w:hyperlink>
        </w:p>
        <w:p w14:paraId="4D03D64A" w14:textId="6CA499E3" w:rsidR="00B74678" w:rsidRDefault="00B74678">
          <w:pPr>
            <w:pStyle w:val="TOC1"/>
            <w:tabs>
              <w:tab w:val="left" w:pos="885"/>
            </w:tabs>
            <w:rPr>
              <w:rFonts w:asciiTheme="minorHAnsi" w:eastAsiaTheme="minorEastAsia" w:hAnsiTheme="minorHAnsi" w:cstheme="minorBidi"/>
              <w:b w:val="0"/>
              <w:spacing w:val="0"/>
              <w:sz w:val="22"/>
              <w:szCs w:val="22"/>
            </w:rPr>
          </w:pPr>
          <w:hyperlink w:anchor="_Toc90984577" w:history="1">
            <w:r w:rsidRPr="00DC25E1">
              <w:rPr>
                <w:rStyle w:val="Hyperlink"/>
                <w14:scene3d>
                  <w14:camera w14:prst="orthographicFront"/>
                  <w14:lightRig w14:rig="threePt" w14:dir="t">
                    <w14:rot w14:lat="0" w14:lon="0" w14:rev="0"/>
                  </w14:lightRig>
                </w14:scene3d>
              </w:rPr>
              <w:t>3</w:t>
            </w:r>
            <w:r>
              <w:rPr>
                <w:rFonts w:asciiTheme="minorHAnsi" w:eastAsiaTheme="minorEastAsia" w:hAnsiTheme="minorHAnsi" w:cstheme="minorBidi"/>
                <w:b w:val="0"/>
                <w:spacing w:val="0"/>
                <w:sz w:val="22"/>
                <w:szCs w:val="22"/>
              </w:rPr>
              <w:tab/>
            </w:r>
            <w:r w:rsidRPr="00DC25E1">
              <w:rPr>
                <w:rStyle w:val="Hyperlink"/>
              </w:rPr>
              <w:t>Licensing</w:t>
            </w:r>
            <w:r>
              <w:rPr>
                <w:webHidden/>
              </w:rPr>
              <w:tab/>
            </w:r>
            <w:r>
              <w:rPr>
                <w:webHidden/>
              </w:rPr>
              <w:fldChar w:fldCharType="begin"/>
            </w:r>
            <w:r>
              <w:rPr>
                <w:webHidden/>
              </w:rPr>
              <w:instrText xml:space="preserve"> PAGEREF _Toc90984577 \h </w:instrText>
            </w:r>
            <w:r>
              <w:rPr>
                <w:webHidden/>
              </w:rPr>
            </w:r>
            <w:r>
              <w:rPr>
                <w:webHidden/>
              </w:rPr>
              <w:fldChar w:fldCharType="separate"/>
            </w:r>
            <w:r>
              <w:rPr>
                <w:webHidden/>
              </w:rPr>
              <w:t>7</w:t>
            </w:r>
            <w:r>
              <w:rPr>
                <w:webHidden/>
              </w:rPr>
              <w:fldChar w:fldCharType="end"/>
            </w:r>
          </w:hyperlink>
        </w:p>
        <w:p w14:paraId="2740A4AF" w14:textId="165935BF" w:rsidR="00B74678" w:rsidRDefault="00B74678">
          <w:pPr>
            <w:pStyle w:val="TOC2"/>
            <w:rPr>
              <w:rFonts w:asciiTheme="minorHAnsi" w:eastAsiaTheme="minorEastAsia" w:hAnsiTheme="minorHAnsi" w:cstheme="minorBidi"/>
              <w:spacing w:val="0"/>
              <w:sz w:val="22"/>
              <w:szCs w:val="22"/>
            </w:rPr>
          </w:pPr>
          <w:hyperlink w:anchor="_Toc90984578" w:history="1">
            <w:r w:rsidRPr="00DC25E1">
              <w:rPr>
                <w:rStyle w:val="Hyperlink"/>
              </w:rPr>
              <w:t>3.1</w:t>
            </w:r>
            <w:r>
              <w:rPr>
                <w:rFonts w:asciiTheme="minorHAnsi" w:eastAsiaTheme="minorEastAsia" w:hAnsiTheme="minorHAnsi" w:cstheme="minorBidi"/>
                <w:spacing w:val="0"/>
                <w:sz w:val="22"/>
                <w:szCs w:val="22"/>
              </w:rPr>
              <w:tab/>
            </w:r>
            <w:r w:rsidRPr="00DC25E1">
              <w:rPr>
                <w:rStyle w:val="Hyperlink"/>
              </w:rPr>
              <w:t>Overview of Licensing</w:t>
            </w:r>
            <w:r>
              <w:rPr>
                <w:webHidden/>
              </w:rPr>
              <w:tab/>
            </w:r>
            <w:r>
              <w:rPr>
                <w:webHidden/>
              </w:rPr>
              <w:fldChar w:fldCharType="begin"/>
            </w:r>
            <w:r>
              <w:rPr>
                <w:webHidden/>
              </w:rPr>
              <w:instrText xml:space="preserve"> PAGEREF _Toc90984578 \h </w:instrText>
            </w:r>
            <w:r>
              <w:rPr>
                <w:webHidden/>
              </w:rPr>
            </w:r>
            <w:r>
              <w:rPr>
                <w:webHidden/>
              </w:rPr>
              <w:fldChar w:fldCharType="separate"/>
            </w:r>
            <w:r>
              <w:rPr>
                <w:webHidden/>
              </w:rPr>
              <w:t>7</w:t>
            </w:r>
            <w:r>
              <w:rPr>
                <w:webHidden/>
              </w:rPr>
              <w:fldChar w:fldCharType="end"/>
            </w:r>
          </w:hyperlink>
        </w:p>
        <w:p w14:paraId="75FA9235" w14:textId="1D4C7C9C" w:rsidR="00B74678" w:rsidRDefault="00B74678">
          <w:pPr>
            <w:pStyle w:val="TOC2"/>
            <w:rPr>
              <w:rFonts w:asciiTheme="minorHAnsi" w:eastAsiaTheme="minorEastAsia" w:hAnsiTheme="minorHAnsi" w:cstheme="minorBidi"/>
              <w:spacing w:val="0"/>
              <w:sz w:val="22"/>
              <w:szCs w:val="22"/>
            </w:rPr>
          </w:pPr>
          <w:hyperlink w:anchor="_Toc90984579" w:history="1">
            <w:r w:rsidRPr="00DC25E1">
              <w:rPr>
                <w:rStyle w:val="Hyperlink"/>
              </w:rPr>
              <w:t>3.2</w:t>
            </w:r>
            <w:r>
              <w:rPr>
                <w:rFonts w:asciiTheme="minorHAnsi" w:eastAsiaTheme="minorEastAsia" w:hAnsiTheme="minorHAnsi" w:cstheme="minorBidi"/>
                <w:spacing w:val="0"/>
                <w:sz w:val="22"/>
                <w:szCs w:val="22"/>
              </w:rPr>
              <w:tab/>
            </w:r>
            <w:r w:rsidRPr="00DC25E1">
              <w:rPr>
                <w:rStyle w:val="Hyperlink"/>
              </w:rPr>
              <w:t>Licence conditions</w:t>
            </w:r>
            <w:r>
              <w:rPr>
                <w:webHidden/>
              </w:rPr>
              <w:tab/>
            </w:r>
            <w:r>
              <w:rPr>
                <w:webHidden/>
              </w:rPr>
              <w:fldChar w:fldCharType="begin"/>
            </w:r>
            <w:r>
              <w:rPr>
                <w:webHidden/>
              </w:rPr>
              <w:instrText xml:space="preserve"> PAGEREF _Toc90984579 \h </w:instrText>
            </w:r>
            <w:r>
              <w:rPr>
                <w:webHidden/>
              </w:rPr>
            </w:r>
            <w:r>
              <w:rPr>
                <w:webHidden/>
              </w:rPr>
              <w:fldChar w:fldCharType="separate"/>
            </w:r>
            <w:r>
              <w:rPr>
                <w:webHidden/>
              </w:rPr>
              <w:t>7</w:t>
            </w:r>
            <w:r>
              <w:rPr>
                <w:webHidden/>
              </w:rPr>
              <w:fldChar w:fldCharType="end"/>
            </w:r>
          </w:hyperlink>
        </w:p>
        <w:p w14:paraId="28C7E3C8" w14:textId="0C37A020" w:rsidR="00B74678" w:rsidRDefault="00B74678">
          <w:pPr>
            <w:pStyle w:val="TOC3"/>
            <w:tabs>
              <w:tab w:val="left" w:pos="885"/>
            </w:tabs>
            <w:rPr>
              <w:rFonts w:asciiTheme="minorHAnsi" w:eastAsiaTheme="minorEastAsia" w:hAnsiTheme="minorHAnsi" w:cstheme="minorBidi"/>
            </w:rPr>
          </w:pPr>
          <w:hyperlink w:anchor="_Toc90984580" w:history="1">
            <w:r w:rsidRPr="00DC25E1">
              <w:rPr>
                <w:rStyle w:val="Hyperlink"/>
              </w:rPr>
              <w:t>3.2.1</w:t>
            </w:r>
            <w:r>
              <w:rPr>
                <w:rFonts w:asciiTheme="minorHAnsi" w:eastAsiaTheme="minorEastAsia" w:hAnsiTheme="minorHAnsi" w:cstheme="minorBidi"/>
              </w:rPr>
              <w:tab/>
            </w:r>
            <w:r w:rsidRPr="00DC25E1">
              <w:rPr>
                <w:rStyle w:val="Hyperlink"/>
              </w:rPr>
              <w:t>Advisory notes – all AWLs</w:t>
            </w:r>
            <w:r>
              <w:rPr>
                <w:webHidden/>
              </w:rPr>
              <w:tab/>
            </w:r>
            <w:r>
              <w:rPr>
                <w:webHidden/>
              </w:rPr>
              <w:fldChar w:fldCharType="begin"/>
            </w:r>
            <w:r>
              <w:rPr>
                <w:webHidden/>
              </w:rPr>
              <w:instrText xml:space="preserve"> PAGEREF _Toc90984580 \h </w:instrText>
            </w:r>
            <w:r>
              <w:rPr>
                <w:webHidden/>
              </w:rPr>
            </w:r>
            <w:r>
              <w:rPr>
                <w:webHidden/>
              </w:rPr>
              <w:fldChar w:fldCharType="separate"/>
            </w:r>
            <w:r>
              <w:rPr>
                <w:webHidden/>
              </w:rPr>
              <w:t>7</w:t>
            </w:r>
            <w:r>
              <w:rPr>
                <w:webHidden/>
              </w:rPr>
              <w:fldChar w:fldCharType="end"/>
            </w:r>
          </w:hyperlink>
        </w:p>
        <w:p w14:paraId="177A321F" w14:textId="1E615FA5" w:rsidR="00B74678" w:rsidRDefault="00B74678">
          <w:pPr>
            <w:pStyle w:val="TOC2"/>
            <w:rPr>
              <w:rFonts w:asciiTheme="minorHAnsi" w:eastAsiaTheme="minorEastAsia" w:hAnsiTheme="minorHAnsi" w:cstheme="minorBidi"/>
              <w:spacing w:val="0"/>
              <w:sz w:val="22"/>
              <w:szCs w:val="22"/>
            </w:rPr>
          </w:pPr>
          <w:hyperlink w:anchor="_Toc90984581" w:history="1">
            <w:r w:rsidRPr="00DC25E1">
              <w:rPr>
                <w:rStyle w:val="Hyperlink"/>
              </w:rPr>
              <w:t>3.3</w:t>
            </w:r>
            <w:r>
              <w:rPr>
                <w:rFonts w:asciiTheme="minorHAnsi" w:eastAsiaTheme="minorEastAsia" w:hAnsiTheme="minorHAnsi" w:cstheme="minorBidi"/>
                <w:spacing w:val="0"/>
                <w:sz w:val="22"/>
                <w:szCs w:val="22"/>
              </w:rPr>
              <w:tab/>
            </w:r>
            <w:r w:rsidRPr="00DC25E1">
              <w:rPr>
                <w:rStyle w:val="Hyperlink"/>
              </w:rPr>
              <w:t>Assignment rules</w:t>
            </w:r>
            <w:r>
              <w:rPr>
                <w:webHidden/>
              </w:rPr>
              <w:tab/>
            </w:r>
            <w:r>
              <w:rPr>
                <w:webHidden/>
              </w:rPr>
              <w:fldChar w:fldCharType="begin"/>
            </w:r>
            <w:r>
              <w:rPr>
                <w:webHidden/>
              </w:rPr>
              <w:instrText xml:space="preserve"> PAGEREF _Toc90984581 \h </w:instrText>
            </w:r>
            <w:r>
              <w:rPr>
                <w:webHidden/>
              </w:rPr>
            </w:r>
            <w:r>
              <w:rPr>
                <w:webHidden/>
              </w:rPr>
              <w:fldChar w:fldCharType="separate"/>
            </w:r>
            <w:r>
              <w:rPr>
                <w:webHidden/>
              </w:rPr>
              <w:t>8</w:t>
            </w:r>
            <w:r>
              <w:rPr>
                <w:webHidden/>
              </w:rPr>
              <w:fldChar w:fldCharType="end"/>
            </w:r>
          </w:hyperlink>
        </w:p>
        <w:p w14:paraId="45E18728" w14:textId="2186B342" w:rsidR="00B74678" w:rsidRDefault="00B74678">
          <w:pPr>
            <w:pStyle w:val="TOC3"/>
            <w:tabs>
              <w:tab w:val="left" w:pos="885"/>
            </w:tabs>
            <w:rPr>
              <w:rFonts w:asciiTheme="minorHAnsi" w:eastAsiaTheme="minorEastAsia" w:hAnsiTheme="minorHAnsi" w:cstheme="minorBidi"/>
            </w:rPr>
          </w:pPr>
          <w:hyperlink w:anchor="_Toc90984582" w:history="1">
            <w:r w:rsidRPr="00DC25E1">
              <w:rPr>
                <w:rStyle w:val="Hyperlink"/>
              </w:rPr>
              <w:t>3.3.1</w:t>
            </w:r>
            <w:r>
              <w:rPr>
                <w:rFonts w:asciiTheme="minorHAnsi" w:eastAsiaTheme="minorEastAsia" w:hAnsiTheme="minorHAnsi" w:cstheme="minorBidi"/>
              </w:rPr>
              <w:tab/>
            </w:r>
            <w:r w:rsidRPr="00DC25E1">
              <w:rPr>
                <w:rStyle w:val="Hyperlink"/>
              </w:rPr>
              <w:t>Assignment instructions</w:t>
            </w:r>
            <w:r>
              <w:rPr>
                <w:webHidden/>
              </w:rPr>
              <w:tab/>
            </w:r>
            <w:r>
              <w:rPr>
                <w:webHidden/>
              </w:rPr>
              <w:fldChar w:fldCharType="begin"/>
            </w:r>
            <w:r>
              <w:rPr>
                <w:webHidden/>
              </w:rPr>
              <w:instrText xml:space="preserve"> PAGEREF _Toc90984582 \h </w:instrText>
            </w:r>
            <w:r>
              <w:rPr>
                <w:webHidden/>
              </w:rPr>
            </w:r>
            <w:r>
              <w:rPr>
                <w:webHidden/>
              </w:rPr>
              <w:fldChar w:fldCharType="separate"/>
            </w:r>
            <w:r>
              <w:rPr>
                <w:webHidden/>
              </w:rPr>
              <w:t>9</w:t>
            </w:r>
            <w:r>
              <w:rPr>
                <w:webHidden/>
              </w:rPr>
              <w:fldChar w:fldCharType="end"/>
            </w:r>
          </w:hyperlink>
        </w:p>
        <w:p w14:paraId="780AF6B3" w14:textId="456A8D7B" w:rsidR="00B74678" w:rsidRDefault="00B74678">
          <w:pPr>
            <w:pStyle w:val="TOC3"/>
            <w:tabs>
              <w:tab w:val="left" w:pos="885"/>
            </w:tabs>
            <w:rPr>
              <w:rFonts w:asciiTheme="minorHAnsi" w:eastAsiaTheme="minorEastAsia" w:hAnsiTheme="minorHAnsi" w:cstheme="minorBidi"/>
            </w:rPr>
          </w:pPr>
          <w:hyperlink w:anchor="_Toc90984583" w:history="1">
            <w:r w:rsidRPr="00DC25E1">
              <w:rPr>
                <w:rStyle w:val="Hyperlink"/>
              </w:rPr>
              <w:t>3.3.2</w:t>
            </w:r>
            <w:r>
              <w:rPr>
                <w:rFonts w:asciiTheme="minorHAnsi" w:eastAsiaTheme="minorEastAsia" w:hAnsiTheme="minorHAnsi" w:cstheme="minorBidi"/>
              </w:rPr>
              <w:tab/>
            </w:r>
            <w:r w:rsidRPr="00DC25E1">
              <w:rPr>
                <w:rStyle w:val="Hyperlink"/>
              </w:rPr>
              <w:t>Radiolocation authorised under section 10(7) of the Australian Radiofrequency Spectrum Plan (ARSP)</w:t>
            </w:r>
            <w:r>
              <w:rPr>
                <w:webHidden/>
              </w:rPr>
              <w:tab/>
            </w:r>
            <w:r>
              <w:rPr>
                <w:webHidden/>
              </w:rPr>
              <w:fldChar w:fldCharType="begin"/>
            </w:r>
            <w:r>
              <w:rPr>
                <w:webHidden/>
              </w:rPr>
              <w:instrText xml:space="preserve"> PAGEREF _Toc90984583 \h </w:instrText>
            </w:r>
            <w:r>
              <w:rPr>
                <w:webHidden/>
              </w:rPr>
            </w:r>
            <w:r>
              <w:rPr>
                <w:webHidden/>
              </w:rPr>
              <w:fldChar w:fldCharType="separate"/>
            </w:r>
            <w:r>
              <w:rPr>
                <w:webHidden/>
              </w:rPr>
              <w:t>9</w:t>
            </w:r>
            <w:r>
              <w:rPr>
                <w:webHidden/>
              </w:rPr>
              <w:fldChar w:fldCharType="end"/>
            </w:r>
          </w:hyperlink>
        </w:p>
        <w:p w14:paraId="57A723D1" w14:textId="75F72B72" w:rsidR="00B74678" w:rsidRDefault="00B74678">
          <w:pPr>
            <w:pStyle w:val="TOC3"/>
            <w:tabs>
              <w:tab w:val="left" w:pos="885"/>
            </w:tabs>
            <w:rPr>
              <w:rFonts w:asciiTheme="minorHAnsi" w:eastAsiaTheme="minorEastAsia" w:hAnsiTheme="minorHAnsi" w:cstheme="minorBidi"/>
            </w:rPr>
          </w:pPr>
          <w:hyperlink w:anchor="_Toc90984584" w:history="1">
            <w:r w:rsidRPr="00DC25E1">
              <w:rPr>
                <w:rStyle w:val="Hyperlink"/>
              </w:rPr>
              <w:t>3.3.3</w:t>
            </w:r>
            <w:r>
              <w:rPr>
                <w:rFonts w:asciiTheme="minorHAnsi" w:eastAsiaTheme="minorEastAsia" w:hAnsiTheme="minorHAnsi" w:cstheme="minorBidi"/>
              </w:rPr>
              <w:tab/>
            </w:r>
            <w:r w:rsidRPr="00DC25E1">
              <w:rPr>
                <w:rStyle w:val="Hyperlink"/>
              </w:rPr>
              <w:t>Darwin and Geraldton coordination zones</w:t>
            </w:r>
            <w:r>
              <w:rPr>
                <w:webHidden/>
              </w:rPr>
              <w:tab/>
            </w:r>
            <w:r>
              <w:rPr>
                <w:webHidden/>
              </w:rPr>
              <w:fldChar w:fldCharType="begin"/>
            </w:r>
            <w:r>
              <w:rPr>
                <w:webHidden/>
              </w:rPr>
              <w:instrText xml:space="preserve"> PAGEREF _Toc90984584 \h </w:instrText>
            </w:r>
            <w:r>
              <w:rPr>
                <w:webHidden/>
              </w:rPr>
            </w:r>
            <w:r>
              <w:rPr>
                <w:webHidden/>
              </w:rPr>
              <w:fldChar w:fldCharType="separate"/>
            </w:r>
            <w:r>
              <w:rPr>
                <w:webHidden/>
              </w:rPr>
              <w:t>9</w:t>
            </w:r>
            <w:r>
              <w:rPr>
                <w:webHidden/>
              </w:rPr>
              <w:fldChar w:fldCharType="end"/>
            </w:r>
          </w:hyperlink>
        </w:p>
        <w:p w14:paraId="4215ED41" w14:textId="49EB7C85" w:rsidR="00B74678" w:rsidRDefault="00B74678">
          <w:pPr>
            <w:pStyle w:val="TOC3"/>
            <w:tabs>
              <w:tab w:val="left" w:pos="885"/>
            </w:tabs>
            <w:rPr>
              <w:rFonts w:asciiTheme="minorHAnsi" w:eastAsiaTheme="minorEastAsia" w:hAnsiTheme="minorHAnsi" w:cstheme="minorBidi"/>
            </w:rPr>
          </w:pPr>
          <w:hyperlink w:anchor="_Toc90984585" w:history="1">
            <w:r w:rsidRPr="00DC25E1">
              <w:rPr>
                <w:rStyle w:val="Hyperlink"/>
              </w:rPr>
              <w:t>3.3.4</w:t>
            </w:r>
            <w:r>
              <w:rPr>
                <w:rFonts w:asciiTheme="minorHAnsi" w:eastAsiaTheme="minorEastAsia" w:hAnsiTheme="minorHAnsi" w:cstheme="minorBidi"/>
              </w:rPr>
              <w:tab/>
            </w:r>
            <w:r w:rsidRPr="00DC25E1">
              <w:rPr>
                <w:rStyle w:val="Hyperlink"/>
              </w:rPr>
              <w:t>Woomera Protected Area</w:t>
            </w:r>
            <w:r>
              <w:rPr>
                <w:webHidden/>
              </w:rPr>
              <w:tab/>
            </w:r>
            <w:r>
              <w:rPr>
                <w:webHidden/>
              </w:rPr>
              <w:fldChar w:fldCharType="begin"/>
            </w:r>
            <w:r>
              <w:rPr>
                <w:webHidden/>
              </w:rPr>
              <w:instrText xml:space="preserve"> PAGEREF _Toc90984585 \h </w:instrText>
            </w:r>
            <w:r>
              <w:rPr>
                <w:webHidden/>
              </w:rPr>
            </w:r>
            <w:r>
              <w:rPr>
                <w:webHidden/>
              </w:rPr>
              <w:fldChar w:fldCharType="separate"/>
            </w:r>
            <w:r>
              <w:rPr>
                <w:webHidden/>
              </w:rPr>
              <w:t>9</w:t>
            </w:r>
            <w:r>
              <w:rPr>
                <w:webHidden/>
              </w:rPr>
              <w:fldChar w:fldCharType="end"/>
            </w:r>
          </w:hyperlink>
        </w:p>
        <w:p w14:paraId="5E3BB8C5" w14:textId="6613123E" w:rsidR="00B74678" w:rsidRDefault="00B74678">
          <w:pPr>
            <w:pStyle w:val="TOC3"/>
            <w:tabs>
              <w:tab w:val="left" w:pos="885"/>
            </w:tabs>
            <w:rPr>
              <w:rFonts w:asciiTheme="minorHAnsi" w:eastAsiaTheme="minorEastAsia" w:hAnsiTheme="minorHAnsi" w:cstheme="minorBidi"/>
            </w:rPr>
          </w:pPr>
          <w:hyperlink w:anchor="_Toc90984586" w:history="1">
            <w:r w:rsidRPr="00DC25E1">
              <w:rPr>
                <w:rStyle w:val="Hyperlink"/>
              </w:rPr>
              <w:t>3.3.5</w:t>
            </w:r>
            <w:r>
              <w:rPr>
                <w:rFonts w:asciiTheme="minorHAnsi" w:eastAsiaTheme="minorEastAsia" w:hAnsiTheme="minorHAnsi" w:cstheme="minorBidi"/>
              </w:rPr>
              <w:tab/>
            </w:r>
            <w:r w:rsidRPr="00DC25E1">
              <w:rPr>
                <w:rStyle w:val="Hyperlink"/>
              </w:rPr>
              <w:t>Assignment priority</w:t>
            </w:r>
            <w:r>
              <w:rPr>
                <w:webHidden/>
              </w:rPr>
              <w:tab/>
            </w:r>
            <w:r>
              <w:rPr>
                <w:webHidden/>
              </w:rPr>
              <w:fldChar w:fldCharType="begin"/>
            </w:r>
            <w:r>
              <w:rPr>
                <w:webHidden/>
              </w:rPr>
              <w:instrText xml:space="preserve"> PAGEREF _Toc90984586 \h </w:instrText>
            </w:r>
            <w:r>
              <w:rPr>
                <w:webHidden/>
              </w:rPr>
            </w:r>
            <w:r>
              <w:rPr>
                <w:webHidden/>
              </w:rPr>
              <w:fldChar w:fldCharType="separate"/>
            </w:r>
            <w:r>
              <w:rPr>
                <w:webHidden/>
              </w:rPr>
              <w:t>10</w:t>
            </w:r>
            <w:r>
              <w:rPr>
                <w:webHidden/>
              </w:rPr>
              <w:fldChar w:fldCharType="end"/>
            </w:r>
          </w:hyperlink>
        </w:p>
        <w:p w14:paraId="342C3575" w14:textId="0613BB9F" w:rsidR="00B74678" w:rsidRDefault="00B74678">
          <w:pPr>
            <w:pStyle w:val="TOC1"/>
            <w:tabs>
              <w:tab w:val="left" w:pos="885"/>
            </w:tabs>
            <w:rPr>
              <w:rFonts w:asciiTheme="minorHAnsi" w:eastAsiaTheme="minorEastAsia" w:hAnsiTheme="minorHAnsi" w:cstheme="minorBidi"/>
              <w:b w:val="0"/>
              <w:spacing w:val="0"/>
              <w:sz w:val="22"/>
              <w:szCs w:val="22"/>
            </w:rPr>
          </w:pPr>
          <w:hyperlink w:anchor="_Toc90984587" w:history="1">
            <w:r w:rsidRPr="00DC25E1">
              <w:rPr>
                <w:rStyle w:val="Hyperlink"/>
                <w14:scene3d>
                  <w14:camera w14:prst="orthographicFront"/>
                  <w14:lightRig w14:rig="threePt" w14:dir="t">
                    <w14:rot w14:lat="0" w14:lon="0" w14:rev="0"/>
                  </w14:lightRig>
                </w14:scene3d>
              </w:rPr>
              <w:t>4</w:t>
            </w:r>
            <w:r>
              <w:rPr>
                <w:rFonts w:asciiTheme="minorHAnsi" w:eastAsiaTheme="minorEastAsia" w:hAnsiTheme="minorHAnsi" w:cstheme="minorBidi"/>
                <w:b w:val="0"/>
                <w:spacing w:val="0"/>
                <w:sz w:val="22"/>
                <w:szCs w:val="22"/>
              </w:rPr>
              <w:tab/>
            </w:r>
            <w:r w:rsidRPr="00DC25E1">
              <w:rPr>
                <w:rStyle w:val="Hyperlink"/>
              </w:rPr>
              <w:t>Frequency coordination procedures and pre-registration requirements</w:t>
            </w:r>
            <w:r>
              <w:rPr>
                <w:webHidden/>
              </w:rPr>
              <w:tab/>
            </w:r>
            <w:r>
              <w:rPr>
                <w:webHidden/>
              </w:rPr>
              <w:fldChar w:fldCharType="begin"/>
            </w:r>
            <w:r>
              <w:rPr>
                <w:webHidden/>
              </w:rPr>
              <w:instrText xml:space="preserve"> PAGEREF _Toc90984587 \h </w:instrText>
            </w:r>
            <w:r>
              <w:rPr>
                <w:webHidden/>
              </w:rPr>
            </w:r>
            <w:r>
              <w:rPr>
                <w:webHidden/>
              </w:rPr>
              <w:fldChar w:fldCharType="separate"/>
            </w:r>
            <w:r>
              <w:rPr>
                <w:webHidden/>
              </w:rPr>
              <w:t>11</w:t>
            </w:r>
            <w:r>
              <w:rPr>
                <w:webHidden/>
              </w:rPr>
              <w:fldChar w:fldCharType="end"/>
            </w:r>
          </w:hyperlink>
        </w:p>
        <w:p w14:paraId="1F0BA5D1" w14:textId="79F93CDA" w:rsidR="00B74678" w:rsidRDefault="00B74678">
          <w:pPr>
            <w:pStyle w:val="TOC2"/>
            <w:rPr>
              <w:rFonts w:asciiTheme="minorHAnsi" w:eastAsiaTheme="minorEastAsia" w:hAnsiTheme="minorHAnsi" w:cstheme="minorBidi"/>
              <w:spacing w:val="0"/>
              <w:sz w:val="22"/>
              <w:szCs w:val="22"/>
            </w:rPr>
          </w:pPr>
          <w:hyperlink w:anchor="_Toc90984588" w:history="1">
            <w:r w:rsidRPr="00DC25E1">
              <w:rPr>
                <w:rStyle w:val="Hyperlink"/>
              </w:rPr>
              <w:t>4.1</w:t>
            </w:r>
            <w:r>
              <w:rPr>
                <w:rFonts w:asciiTheme="minorHAnsi" w:eastAsiaTheme="minorEastAsia" w:hAnsiTheme="minorHAnsi" w:cstheme="minorBidi"/>
                <w:spacing w:val="0"/>
                <w:sz w:val="22"/>
                <w:szCs w:val="22"/>
              </w:rPr>
              <w:tab/>
            </w:r>
            <w:r w:rsidRPr="00DC25E1">
              <w:rPr>
                <w:rStyle w:val="Hyperlink"/>
              </w:rPr>
              <w:t>Coordination at the geographic boundary</w:t>
            </w:r>
            <w:r>
              <w:rPr>
                <w:webHidden/>
              </w:rPr>
              <w:tab/>
            </w:r>
            <w:r>
              <w:rPr>
                <w:webHidden/>
              </w:rPr>
              <w:fldChar w:fldCharType="begin"/>
            </w:r>
            <w:r>
              <w:rPr>
                <w:webHidden/>
              </w:rPr>
              <w:instrText xml:space="preserve"> PAGEREF _Toc90984588 \h </w:instrText>
            </w:r>
            <w:r>
              <w:rPr>
                <w:webHidden/>
              </w:rPr>
            </w:r>
            <w:r>
              <w:rPr>
                <w:webHidden/>
              </w:rPr>
              <w:fldChar w:fldCharType="separate"/>
            </w:r>
            <w:r>
              <w:rPr>
                <w:webHidden/>
              </w:rPr>
              <w:t>11</w:t>
            </w:r>
            <w:r>
              <w:rPr>
                <w:webHidden/>
              </w:rPr>
              <w:fldChar w:fldCharType="end"/>
            </w:r>
          </w:hyperlink>
        </w:p>
        <w:p w14:paraId="1CE51460" w14:textId="2CC3E7FB" w:rsidR="00B74678" w:rsidRDefault="00B74678">
          <w:pPr>
            <w:pStyle w:val="TOC3"/>
            <w:tabs>
              <w:tab w:val="left" w:pos="885"/>
            </w:tabs>
            <w:rPr>
              <w:rFonts w:asciiTheme="minorHAnsi" w:eastAsiaTheme="minorEastAsia" w:hAnsiTheme="minorHAnsi" w:cstheme="minorBidi"/>
            </w:rPr>
          </w:pPr>
          <w:hyperlink w:anchor="_Toc90984589" w:history="1">
            <w:r w:rsidRPr="00DC25E1">
              <w:rPr>
                <w:rStyle w:val="Hyperlink"/>
              </w:rPr>
              <w:t>4.1.1</w:t>
            </w:r>
            <w:r>
              <w:rPr>
                <w:rFonts w:asciiTheme="minorHAnsi" w:eastAsiaTheme="minorEastAsia" w:hAnsiTheme="minorHAnsi" w:cstheme="minorBidi"/>
              </w:rPr>
              <w:tab/>
            </w:r>
            <w:r w:rsidRPr="00DC25E1">
              <w:rPr>
                <w:rStyle w:val="Hyperlink"/>
              </w:rPr>
              <w:t>Coordination at the AWL boundary</w:t>
            </w:r>
            <w:r>
              <w:rPr>
                <w:webHidden/>
              </w:rPr>
              <w:tab/>
            </w:r>
            <w:r>
              <w:rPr>
                <w:webHidden/>
              </w:rPr>
              <w:fldChar w:fldCharType="begin"/>
            </w:r>
            <w:r>
              <w:rPr>
                <w:webHidden/>
              </w:rPr>
              <w:instrText xml:space="preserve"> PAGEREF _Toc90984589 \h </w:instrText>
            </w:r>
            <w:r>
              <w:rPr>
                <w:webHidden/>
              </w:rPr>
            </w:r>
            <w:r>
              <w:rPr>
                <w:webHidden/>
              </w:rPr>
              <w:fldChar w:fldCharType="separate"/>
            </w:r>
            <w:r>
              <w:rPr>
                <w:webHidden/>
              </w:rPr>
              <w:t>11</w:t>
            </w:r>
            <w:r>
              <w:rPr>
                <w:webHidden/>
              </w:rPr>
              <w:fldChar w:fldCharType="end"/>
            </w:r>
          </w:hyperlink>
        </w:p>
        <w:p w14:paraId="1B4B6B5D" w14:textId="3912B265" w:rsidR="00B74678" w:rsidRDefault="00B74678">
          <w:pPr>
            <w:pStyle w:val="TOC3"/>
            <w:tabs>
              <w:tab w:val="left" w:pos="885"/>
            </w:tabs>
            <w:rPr>
              <w:rFonts w:asciiTheme="minorHAnsi" w:eastAsiaTheme="minorEastAsia" w:hAnsiTheme="minorHAnsi" w:cstheme="minorBidi"/>
            </w:rPr>
          </w:pPr>
          <w:hyperlink w:anchor="_Toc90984590" w:history="1">
            <w:r w:rsidRPr="00DC25E1">
              <w:rPr>
                <w:rStyle w:val="Hyperlink"/>
              </w:rPr>
              <w:t>4.1.2</w:t>
            </w:r>
            <w:r>
              <w:rPr>
                <w:rFonts w:asciiTheme="minorHAnsi" w:eastAsiaTheme="minorEastAsia" w:hAnsiTheme="minorHAnsi" w:cstheme="minorBidi"/>
              </w:rPr>
              <w:tab/>
            </w:r>
            <w:r w:rsidRPr="00DC25E1">
              <w:rPr>
                <w:rStyle w:val="Hyperlink"/>
              </w:rPr>
              <w:t>Coordination at the boundary of a spectrum licensed area</w:t>
            </w:r>
            <w:r>
              <w:rPr>
                <w:webHidden/>
              </w:rPr>
              <w:tab/>
            </w:r>
            <w:r>
              <w:rPr>
                <w:webHidden/>
              </w:rPr>
              <w:fldChar w:fldCharType="begin"/>
            </w:r>
            <w:r>
              <w:rPr>
                <w:webHidden/>
              </w:rPr>
              <w:instrText xml:space="preserve"> PAGEREF _Toc90984590 \h </w:instrText>
            </w:r>
            <w:r>
              <w:rPr>
                <w:webHidden/>
              </w:rPr>
            </w:r>
            <w:r>
              <w:rPr>
                <w:webHidden/>
              </w:rPr>
              <w:fldChar w:fldCharType="separate"/>
            </w:r>
            <w:r>
              <w:rPr>
                <w:webHidden/>
              </w:rPr>
              <w:t>11</w:t>
            </w:r>
            <w:r>
              <w:rPr>
                <w:webHidden/>
              </w:rPr>
              <w:fldChar w:fldCharType="end"/>
            </w:r>
          </w:hyperlink>
        </w:p>
        <w:p w14:paraId="37628303" w14:textId="794AAEF2" w:rsidR="00B74678" w:rsidRDefault="00B74678">
          <w:pPr>
            <w:pStyle w:val="TOC2"/>
            <w:rPr>
              <w:rFonts w:asciiTheme="minorHAnsi" w:eastAsiaTheme="minorEastAsia" w:hAnsiTheme="minorHAnsi" w:cstheme="minorBidi"/>
              <w:spacing w:val="0"/>
              <w:sz w:val="22"/>
              <w:szCs w:val="22"/>
            </w:rPr>
          </w:pPr>
          <w:hyperlink w:anchor="_Toc90984591" w:history="1">
            <w:r w:rsidRPr="00DC25E1">
              <w:rPr>
                <w:rStyle w:val="Hyperlink"/>
              </w:rPr>
              <w:t>4.2</w:t>
            </w:r>
            <w:r>
              <w:rPr>
                <w:rFonts w:asciiTheme="minorHAnsi" w:eastAsiaTheme="minorEastAsia" w:hAnsiTheme="minorHAnsi" w:cstheme="minorBidi"/>
                <w:spacing w:val="0"/>
                <w:sz w:val="22"/>
                <w:szCs w:val="22"/>
              </w:rPr>
              <w:tab/>
            </w:r>
            <w:r w:rsidRPr="00DC25E1">
              <w:rPr>
                <w:rStyle w:val="Hyperlink"/>
              </w:rPr>
              <w:t>Coordination with AWL receivers</w:t>
            </w:r>
            <w:r>
              <w:rPr>
                <w:webHidden/>
              </w:rPr>
              <w:tab/>
            </w:r>
            <w:r>
              <w:rPr>
                <w:webHidden/>
              </w:rPr>
              <w:fldChar w:fldCharType="begin"/>
            </w:r>
            <w:r>
              <w:rPr>
                <w:webHidden/>
              </w:rPr>
              <w:instrText xml:space="preserve"> PAGEREF _Toc90984591 \h </w:instrText>
            </w:r>
            <w:r>
              <w:rPr>
                <w:webHidden/>
              </w:rPr>
            </w:r>
            <w:r>
              <w:rPr>
                <w:webHidden/>
              </w:rPr>
              <w:fldChar w:fldCharType="separate"/>
            </w:r>
            <w:r>
              <w:rPr>
                <w:webHidden/>
              </w:rPr>
              <w:t>12</w:t>
            </w:r>
            <w:r>
              <w:rPr>
                <w:webHidden/>
              </w:rPr>
              <w:fldChar w:fldCharType="end"/>
            </w:r>
          </w:hyperlink>
        </w:p>
        <w:p w14:paraId="5948D4B8" w14:textId="301A84D9" w:rsidR="00B74678" w:rsidRDefault="00B74678">
          <w:pPr>
            <w:pStyle w:val="TOC3"/>
            <w:tabs>
              <w:tab w:val="left" w:pos="885"/>
            </w:tabs>
            <w:rPr>
              <w:rFonts w:asciiTheme="minorHAnsi" w:eastAsiaTheme="minorEastAsia" w:hAnsiTheme="minorHAnsi" w:cstheme="minorBidi"/>
            </w:rPr>
          </w:pPr>
          <w:hyperlink w:anchor="_Toc90984592" w:history="1">
            <w:r w:rsidRPr="00DC25E1">
              <w:rPr>
                <w:rStyle w:val="Hyperlink"/>
              </w:rPr>
              <w:t>4.2.1</w:t>
            </w:r>
            <w:r>
              <w:rPr>
                <w:rFonts w:asciiTheme="minorHAnsi" w:eastAsiaTheme="minorEastAsia" w:hAnsiTheme="minorHAnsi" w:cstheme="minorBidi"/>
              </w:rPr>
              <w:tab/>
            </w:r>
            <w:r w:rsidRPr="00DC25E1">
              <w:rPr>
                <w:rStyle w:val="Hyperlink"/>
              </w:rPr>
              <w:t>Co-channel coordination</w:t>
            </w:r>
            <w:r>
              <w:rPr>
                <w:webHidden/>
              </w:rPr>
              <w:tab/>
            </w:r>
            <w:r>
              <w:rPr>
                <w:webHidden/>
              </w:rPr>
              <w:fldChar w:fldCharType="begin"/>
            </w:r>
            <w:r>
              <w:rPr>
                <w:webHidden/>
              </w:rPr>
              <w:instrText xml:space="preserve"> PAGEREF _Toc90984592 \h </w:instrText>
            </w:r>
            <w:r>
              <w:rPr>
                <w:webHidden/>
              </w:rPr>
            </w:r>
            <w:r>
              <w:rPr>
                <w:webHidden/>
              </w:rPr>
              <w:fldChar w:fldCharType="separate"/>
            </w:r>
            <w:r>
              <w:rPr>
                <w:webHidden/>
              </w:rPr>
              <w:t>12</w:t>
            </w:r>
            <w:r>
              <w:rPr>
                <w:webHidden/>
              </w:rPr>
              <w:fldChar w:fldCharType="end"/>
            </w:r>
          </w:hyperlink>
        </w:p>
        <w:p w14:paraId="5A156D62" w14:textId="21F08241" w:rsidR="00B74678" w:rsidRDefault="00B74678">
          <w:pPr>
            <w:pStyle w:val="TOC3"/>
            <w:tabs>
              <w:tab w:val="left" w:pos="885"/>
            </w:tabs>
            <w:rPr>
              <w:rFonts w:asciiTheme="minorHAnsi" w:eastAsiaTheme="minorEastAsia" w:hAnsiTheme="minorHAnsi" w:cstheme="minorBidi"/>
            </w:rPr>
          </w:pPr>
          <w:hyperlink w:anchor="_Toc90984593" w:history="1">
            <w:r w:rsidRPr="00DC25E1">
              <w:rPr>
                <w:rStyle w:val="Hyperlink"/>
              </w:rPr>
              <w:t>4.2.2</w:t>
            </w:r>
            <w:r>
              <w:rPr>
                <w:rFonts w:asciiTheme="minorHAnsi" w:eastAsiaTheme="minorEastAsia" w:hAnsiTheme="minorHAnsi" w:cstheme="minorBidi"/>
              </w:rPr>
              <w:tab/>
            </w:r>
            <w:r w:rsidRPr="00DC25E1">
              <w:rPr>
                <w:rStyle w:val="Hyperlink"/>
              </w:rPr>
              <w:t>Adjacent-channel coordination</w:t>
            </w:r>
            <w:r>
              <w:rPr>
                <w:webHidden/>
              </w:rPr>
              <w:tab/>
            </w:r>
            <w:r>
              <w:rPr>
                <w:webHidden/>
              </w:rPr>
              <w:fldChar w:fldCharType="begin"/>
            </w:r>
            <w:r>
              <w:rPr>
                <w:webHidden/>
              </w:rPr>
              <w:instrText xml:space="preserve"> PAGEREF _Toc90984593 \h </w:instrText>
            </w:r>
            <w:r>
              <w:rPr>
                <w:webHidden/>
              </w:rPr>
            </w:r>
            <w:r>
              <w:rPr>
                <w:webHidden/>
              </w:rPr>
              <w:fldChar w:fldCharType="separate"/>
            </w:r>
            <w:r>
              <w:rPr>
                <w:webHidden/>
              </w:rPr>
              <w:t>12</w:t>
            </w:r>
            <w:r>
              <w:rPr>
                <w:webHidden/>
              </w:rPr>
              <w:fldChar w:fldCharType="end"/>
            </w:r>
          </w:hyperlink>
        </w:p>
        <w:p w14:paraId="031240F1" w14:textId="5097DD0E" w:rsidR="00B74678" w:rsidRDefault="00B74678">
          <w:pPr>
            <w:pStyle w:val="TOC2"/>
            <w:rPr>
              <w:rFonts w:asciiTheme="minorHAnsi" w:eastAsiaTheme="minorEastAsia" w:hAnsiTheme="minorHAnsi" w:cstheme="minorBidi"/>
              <w:spacing w:val="0"/>
              <w:sz w:val="22"/>
              <w:szCs w:val="22"/>
            </w:rPr>
          </w:pPr>
          <w:hyperlink w:anchor="_Toc90984594" w:history="1">
            <w:r w:rsidRPr="00DC25E1">
              <w:rPr>
                <w:rStyle w:val="Hyperlink"/>
              </w:rPr>
              <w:t>4.3</w:t>
            </w:r>
            <w:r>
              <w:rPr>
                <w:rFonts w:asciiTheme="minorHAnsi" w:eastAsiaTheme="minorEastAsia" w:hAnsiTheme="minorHAnsi" w:cstheme="minorBidi"/>
                <w:spacing w:val="0"/>
                <w:sz w:val="22"/>
                <w:szCs w:val="22"/>
              </w:rPr>
              <w:tab/>
            </w:r>
            <w:r w:rsidRPr="00DC25E1">
              <w:rPr>
                <w:rStyle w:val="Hyperlink"/>
              </w:rPr>
              <w:t>Registration of AWL receivers</w:t>
            </w:r>
            <w:r>
              <w:rPr>
                <w:webHidden/>
              </w:rPr>
              <w:tab/>
            </w:r>
            <w:r>
              <w:rPr>
                <w:webHidden/>
              </w:rPr>
              <w:fldChar w:fldCharType="begin"/>
            </w:r>
            <w:r>
              <w:rPr>
                <w:webHidden/>
              </w:rPr>
              <w:instrText xml:space="preserve"> PAGEREF _Toc90984594 \h </w:instrText>
            </w:r>
            <w:r>
              <w:rPr>
                <w:webHidden/>
              </w:rPr>
            </w:r>
            <w:r>
              <w:rPr>
                <w:webHidden/>
              </w:rPr>
              <w:fldChar w:fldCharType="separate"/>
            </w:r>
            <w:r>
              <w:rPr>
                <w:webHidden/>
              </w:rPr>
              <w:t>13</w:t>
            </w:r>
            <w:r>
              <w:rPr>
                <w:webHidden/>
              </w:rPr>
              <w:fldChar w:fldCharType="end"/>
            </w:r>
          </w:hyperlink>
        </w:p>
        <w:p w14:paraId="6E520616" w14:textId="5C17FD65" w:rsidR="00B74678" w:rsidRDefault="00B74678">
          <w:pPr>
            <w:pStyle w:val="TOC2"/>
            <w:rPr>
              <w:rFonts w:asciiTheme="minorHAnsi" w:eastAsiaTheme="minorEastAsia" w:hAnsiTheme="minorHAnsi" w:cstheme="minorBidi"/>
              <w:spacing w:val="0"/>
              <w:sz w:val="22"/>
              <w:szCs w:val="22"/>
            </w:rPr>
          </w:pPr>
          <w:hyperlink w:anchor="_Toc90984595" w:history="1">
            <w:r w:rsidRPr="00DC25E1">
              <w:rPr>
                <w:rStyle w:val="Hyperlink"/>
              </w:rPr>
              <w:t>4.4</w:t>
            </w:r>
            <w:r>
              <w:rPr>
                <w:rFonts w:asciiTheme="minorHAnsi" w:eastAsiaTheme="minorEastAsia" w:hAnsiTheme="minorHAnsi" w:cstheme="minorBidi"/>
                <w:spacing w:val="0"/>
                <w:sz w:val="22"/>
                <w:szCs w:val="22"/>
              </w:rPr>
              <w:tab/>
            </w:r>
            <w:r w:rsidRPr="00DC25E1">
              <w:rPr>
                <w:rStyle w:val="Hyperlink"/>
              </w:rPr>
              <w:t>Coordination requirements contained in other RALIs</w:t>
            </w:r>
            <w:r>
              <w:rPr>
                <w:webHidden/>
              </w:rPr>
              <w:tab/>
            </w:r>
            <w:r>
              <w:rPr>
                <w:webHidden/>
              </w:rPr>
              <w:fldChar w:fldCharType="begin"/>
            </w:r>
            <w:r>
              <w:rPr>
                <w:webHidden/>
              </w:rPr>
              <w:instrText xml:space="preserve"> PAGEREF _Toc90984595 \h </w:instrText>
            </w:r>
            <w:r>
              <w:rPr>
                <w:webHidden/>
              </w:rPr>
            </w:r>
            <w:r>
              <w:rPr>
                <w:webHidden/>
              </w:rPr>
              <w:fldChar w:fldCharType="separate"/>
            </w:r>
            <w:r>
              <w:rPr>
                <w:webHidden/>
              </w:rPr>
              <w:t>13</w:t>
            </w:r>
            <w:r>
              <w:rPr>
                <w:webHidden/>
              </w:rPr>
              <w:fldChar w:fldCharType="end"/>
            </w:r>
          </w:hyperlink>
        </w:p>
        <w:p w14:paraId="5BC05E19" w14:textId="2C05BD79" w:rsidR="00B74678" w:rsidRDefault="00B74678">
          <w:pPr>
            <w:pStyle w:val="TOC3"/>
            <w:tabs>
              <w:tab w:val="left" w:pos="885"/>
            </w:tabs>
            <w:rPr>
              <w:rFonts w:asciiTheme="minorHAnsi" w:eastAsiaTheme="minorEastAsia" w:hAnsiTheme="minorHAnsi" w:cstheme="minorBidi"/>
            </w:rPr>
          </w:pPr>
          <w:hyperlink w:anchor="_Toc90984596" w:history="1">
            <w:r w:rsidRPr="00DC25E1">
              <w:rPr>
                <w:rStyle w:val="Hyperlink"/>
              </w:rPr>
              <w:t>4.4.1</w:t>
            </w:r>
            <w:r>
              <w:rPr>
                <w:rFonts w:asciiTheme="minorHAnsi" w:eastAsiaTheme="minorEastAsia" w:hAnsiTheme="minorHAnsi" w:cstheme="minorBidi"/>
              </w:rPr>
              <w:tab/>
            </w:r>
            <w:r w:rsidRPr="00DC25E1">
              <w:rPr>
                <w:rStyle w:val="Hyperlink"/>
              </w:rPr>
              <w:t>Protection from AWL transmitters that are registration exempt</w:t>
            </w:r>
            <w:r>
              <w:rPr>
                <w:webHidden/>
              </w:rPr>
              <w:tab/>
            </w:r>
            <w:r>
              <w:rPr>
                <w:webHidden/>
              </w:rPr>
              <w:fldChar w:fldCharType="begin"/>
            </w:r>
            <w:r>
              <w:rPr>
                <w:webHidden/>
              </w:rPr>
              <w:instrText xml:space="preserve"> PAGEREF _Toc90984596 \h </w:instrText>
            </w:r>
            <w:r>
              <w:rPr>
                <w:webHidden/>
              </w:rPr>
            </w:r>
            <w:r>
              <w:rPr>
                <w:webHidden/>
              </w:rPr>
              <w:fldChar w:fldCharType="separate"/>
            </w:r>
            <w:r>
              <w:rPr>
                <w:webHidden/>
              </w:rPr>
              <w:t>14</w:t>
            </w:r>
            <w:r>
              <w:rPr>
                <w:webHidden/>
              </w:rPr>
              <w:fldChar w:fldCharType="end"/>
            </w:r>
          </w:hyperlink>
        </w:p>
        <w:p w14:paraId="7DE6C968" w14:textId="6CA9E4BA" w:rsidR="00B74678" w:rsidRDefault="00B74678">
          <w:pPr>
            <w:pStyle w:val="TOC2"/>
            <w:rPr>
              <w:rFonts w:asciiTheme="minorHAnsi" w:eastAsiaTheme="minorEastAsia" w:hAnsiTheme="minorHAnsi" w:cstheme="minorBidi"/>
              <w:spacing w:val="0"/>
              <w:sz w:val="22"/>
              <w:szCs w:val="22"/>
            </w:rPr>
          </w:pPr>
          <w:hyperlink w:anchor="_Toc90984597" w:history="1">
            <w:r w:rsidRPr="00DC25E1">
              <w:rPr>
                <w:rStyle w:val="Hyperlink"/>
              </w:rPr>
              <w:t>4.5</w:t>
            </w:r>
            <w:r>
              <w:rPr>
                <w:rFonts w:asciiTheme="minorHAnsi" w:eastAsiaTheme="minorEastAsia" w:hAnsiTheme="minorHAnsi" w:cstheme="minorBidi"/>
                <w:spacing w:val="0"/>
                <w:sz w:val="22"/>
                <w:szCs w:val="22"/>
              </w:rPr>
              <w:tab/>
            </w:r>
            <w:r w:rsidRPr="00DC25E1">
              <w:rPr>
                <w:rStyle w:val="Hyperlink"/>
              </w:rPr>
              <w:t>Coexistence with incumbent point to multipoint services</w:t>
            </w:r>
            <w:r>
              <w:rPr>
                <w:webHidden/>
              </w:rPr>
              <w:tab/>
            </w:r>
            <w:r>
              <w:rPr>
                <w:webHidden/>
              </w:rPr>
              <w:fldChar w:fldCharType="begin"/>
            </w:r>
            <w:r>
              <w:rPr>
                <w:webHidden/>
              </w:rPr>
              <w:instrText xml:space="preserve"> PAGEREF _Toc90984597 \h </w:instrText>
            </w:r>
            <w:r>
              <w:rPr>
                <w:webHidden/>
              </w:rPr>
            </w:r>
            <w:r>
              <w:rPr>
                <w:webHidden/>
              </w:rPr>
              <w:fldChar w:fldCharType="separate"/>
            </w:r>
            <w:r>
              <w:rPr>
                <w:webHidden/>
              </w:rPr>
              <w:t>14</w:t>
            </w:r>
            <w:r>
              <w:rPr>
                <w:webHidden/>
              </w:rPr>
              <w:fldChar w:fldCharType="end"/>
            </w:r>
          </w:hyperlink>
        </w:p>
        <w:p w14:paraId="19C9A34E" w14:textId="69072850" w:rsidR="00B74678" w:rsidRDefault="00B74678">
          <w:pPr>
            <w:pStyle w:val="TOC3"/>
            <w:tabs>
              <w:tab w:val="left" w:pos="885"/>
            </w:tabs>
            <w:rPr>
              <w:rFonts w:asciiTheme="minorHAnsi" w:eastAsiaTheme="minorEastAsia" w:hAnsiTheme="minorHAnsi" w:cstheme="minorBidi"/>
            </w:rPr>
          </w:pPr>
          <w:hyperlink w:anchor="_Toc90984598" w:history="1">
            <w:r w:rsidRPr="00DC25E1">
              <w:rPr>
                <w:rStyle w:val="Hyperlink"/>
              </w:rPr>
              <w:t>4.5.1</w:t>
            </w:r>
            <w:r>
              <w:rPr>
                <w:rFonts w:asciiTheme="minorHAnsi" w:eastAsiaTheme="minorEastAsia" w:hAnsiTheme="minorHAnsi" w:cstheme="minorBidi"/>
              </w:rPr>
              <w:tab/>
            </w:r>
            <w:r w:rsidRPr="00DC25E1">
              <w:rPr>
                <w:rStyle w:val="Hyperlink"/>
              </w:rPr>
              <w:t>Protection of legacy point to multipoint base stations</w:t>
            </w:r>
            <w:r>
              <w:rPr>
                <w:webHidden/>
              </w:rPr>
              <w:tab/>
            </w:r>
            <w:r>
              <w:rPr>
                <w:webHidden/>
              </w:rPr>
              <w:fldChar w:fldCharType="begin"/>
            </w:r>
            <w:r>
              <w:rPr>
                <w:webHidden/>
              </w:rPr>
              <w:instrText xml:space="preserve"> PAGEREF _Toc90984598 \h </w:instrText>
            </w:r>
            <w:r>
              <w:rPr>
                <w:webHidden/>
              </w:rPr>
            </w:r>
            <w:r>
              <w:rPr>
                <w:webHidden/>
              </w:rPr>
              <w:fldChar w:fldCharType="separate"/>
            </w:r>
            <w:r>
              <w:rPr>
                <w:webHidden/>
              </w:rPr>
              <w:t>14</w:t>
            </w:r>
            <w:r>
              <w:rPr>
                <w:webHidden/>
              </w:rPr>
              <w:fldChar w:fldCharType="end"/>
            </w:r>
          </w:hyperlink>
        </w:p>
        <w:p w14:paraId="678A9903" w14:textId="132B0014" w:rsidR="00B74678" w:rsidRDefault="00B74678">
          <w:pPr>
            <w:pStyle w:val="TOC3"/>
            <w:tabs>
              <w:tab w:val="left" w:pos="885"/>
            </w:tabs>
            <w:rPr>
              <w:rFonts w:asciiTheme="minorHAnsi" w:eastAsiaTheme="minorEastAsia" w:hAnsiTheme="minorHAnsi" w:cstheme="minorBidi"/>
            </w:rPr>
          </w:pPr>
          <w:hyperlink w:anchor="_Toc90984599" w:history="1">
            <w:r w:rsidRPr="00DC25E1">
              <w:rPr>
                <w:rStyle w:val="Hyperlink"/>
              </w:rPr>
              <w:t>4.5.2</w:t>
            </w:r>
            <w:r>
              <w:rPr>
                <w:rFonts w:asciiTheme="minorHAnsi" w:eastAsiaTheme="minorEastAsia" w:hAnsiTheme="minorHAnsi" w:cstheme="minorBidi"/>
              </w:rPr>
              <w:tab/>
            </w:r>
            <w:r w:rsidRPr="00DC25E1">
              <w:rPr>
                <w:rStyle w:val="Hyperlink"/>
              </w:rPr>
              <w:t>Protection of remote and supplemental base stations</w:t>
            </w:r>
            <w:r>
              <w:rPr>
                <w:webHidden/>
              </w:rPr>
              <w:tab/>
            </w:r>
            <w:r>
              <w:rPr>
                <w:webHidden/>
              </w:rPr>
              <w:fldChar w:fldCharType="begin"/>
            </w:r>
            <w:r>
              <w:rPr>
                <w:webHidden/>
              </w:rPr>
              <w:instrText xml:space="preserve"> PAGEREF _Toc90984599 \h </w:instrText>
            </w:r>
            <w:r>
              <w:rPr>
                <w:webHidden/>
              </w:rPr>
            </w:r>
            <w:r>
              <w:rPr>
                <w:webHidden/>
              </w:rPr>
              <w:fldChar w:fldCharType="separate"/>
            </w:r>
            <w:r>
              <w:rPr>
                <w:webHidden/>
              </w:rPr>
              <w:t>16</w:t>
            </w:r>
            <w:r>
              <w:rPr>
                <w:webHidden/>
              </w:rPr>
              <w:fldChar w:fldCharType="end"/>
            </w:r>
          </w:hyperlink>
        </w:p>
        <w:p w14:paraId="4B1CF256" w14:textId="56E1394C" w:rsidR="00B74678" w:rsidRDefault="00B74678">
          <w:pPr>
            <w:pStyle w:val="TOC2"/>
            <w:rPr>
              <w:rFonts w:asciiTheme="minorHAnsi" w:eastAsiaTheme="minorEastAsia" w:hAnsiTheme="minorHAnsi" w:cstheme="minorBidi"/>
              <w:spacing w:val="0"/>
              <w:sz w:val="22"/>
              <w:szCs w:val="22"/>
            </w:rPr>
          </w:pPr>
          <w:hyperlink w:anchor="_Toc90984600" w:history="1">
            <w:r w:rsidRPr="00DC25E1">
              <w:rPr>
                <w:rStyle w:val="Hyperlink"/>
              </w:rPr>
              <w:t>4.6</w:t>
            </w:r>
            <w:r>
              <w:rPr>
                <w:rFonts w:asciiTheme="minorHAnsi" w:eastAsiaTheme="minorEastAsia" w:hAnsiTheme="minorHAnsi" w:cstheme="minorBidi"/>
                <w:spacing w:val="0"/>
                <w:sz w:val="22"/>
                <w:szCs w:val="22"/>
              </w:rPr>
              <w:tab/>
            </w:r>
            <w:r w:rsidRPr="00DC25E1">
              <w:rPr>
                <w:rStyle w:val="Hyperlink"/>
              </w:rPr>
              <w:t>Other coordination scenarios</w:t>
            </w:r>
            <w:r>
              <w:rPr>
                <w:webHidden/>
              </w:rPr>
              <w:tab/>
            </w:r>
            <w:r>
              <w:rPr>
                <w:webHidden/>
              </w:rPr>
              <w:fldChar w:fldCharType="begin"/>
            </w:r>
            <w:r>
              <w:rPr>
                <w:webHidden/>
              </w:rPr>
              <w:instrText xml:space="preserve"> PAGEREF _Toc90984600 \h </w:instrText>
            </w:r>
            <w:r>
              <w:rPr>
                <w:webHidden/>
              </w:rPr>
            </w:r>
            <w:r>
              <w:rPr>
                <w:webHidden/>
              </w:rPr>
              <w:fldChar w:fldCharType="separate"/>
            </w:r>
            <w:r>
              <w:rPr>
                <w:webHidden/>
              </w:rPr>
              <w:t>16</w:t>
            </w:r>
            <w:r>
              <w:rPr>
                <w:webHidden/>
              </w:rPr>
              <w:fldChar w:fldCharType="end"/>
            </w:r>
          </w:hyperlink>
        </w:p>
        <w:p w14:paraId="3089BCD0" w14:textId="46CA4C0F" w:rsidR="00B74678" w:rsidRDefault="00B74678">
          <w:pPr>
            <w:pStyle w:val="TOC3"/>
            <w:tabs>
              <w:tab w:val="left" w:pos="885"/>
            </w:tabs>
            <w:rPr>
              <w:rFonts w:asciiTheme="minorHAnsi" w:eastAsiaTheme="minorEastAsia" w:hAnsiTheme="minorHAnsi" w:cstheme="minorBidi"/>
            </w:rPr>
          </w:pPr>
          <w:hyperlink w:anchor="_Toc90984601" w:history="1">
            <w:r w:rsidRPr="00DC25E1">
              <w:rPr>
                <w:rStyle w:val="Hyperlink"/>
              </w:rPr>
              <w:t>4.6.1</w:t>
            </w:r>
            <w:r>
              <w:rPr>
                <w:rFonts w:asciiTheme="minorHAnsi" w:eastAsiaTheme="minorEastAsia" w:hAnsiTheme="minorHAnsi" w:cstheme="minorBidi"/>
              </w:rPr>
              <w:tab/>
            </w:r>
            <w:r w:rsidRPr="00DC25E1">
              <w:rPr>
                <w:rStyle w:val="Hyperlink"/>
              </w:rPr>
              <w:t>Earth station receivers authorised under an earth receive licence</w:t>
            </w:r>
            <w:r>
              <w:rPr>
                <w:webHidden/>
              </w:rPr>
              <w:tab/>
            </w:r>
            <w:r>
              <w:rPr>
                <w:webHidden/>
              </w:rPr>
              <w:fldChar w:fldCharType="begin"/>
            </w:r>
            <w:r>
              <w:rPr>
                <w:webHidden/>
              </w:rPr>
              <w:instrText xml:space="preserve"> PAGEREF _Toc90984601 \h </w:instrText>
            </w:r>
            <w:r>
              <w:rPr>
                <w:webHidden/>
              </w:rPr>
            </w:r>
            <w:r>
              <w:rPr>
                <w:webHidden/>
              </w:rPr>
              <w:fldChar w:fldCharType="separate"/>
            </w:r>
            <w:r>
              <w:rPr>
                <w:webHidden/>
              </w:rPr>
              <w:t>16</w:t>
            </w:r>
            <w:r>
              <w:rPr>
                <w:webHidden/>
              </w:rPr>
              <w:fldChar w:fldCharType="end"/>
            </w:r>
          </w:hyperlink>
        </w:p>
        <w:p w14:paraId="2F1D3CCC" w14:textId="43FD0A25" w:rsidR="00B74678" w:rsidRDefault="00B74678">
          <w:pPr>
            <w:pStyle w:val="TOC3"/>
            <w:tabs>
              <w:tab w:val="left" w:pos="885"/>
            </w:tabs>
            <w:rPr>
              <w:rFonts w:asciiTheme="minorHAnsi" w:eastAsiaTheme="minorEastAsia" w:hAnsiTheme="minorHAnsi" w:cstheme="minorBidi"/>
            </w:rPr>
          </w:pPr>
          <w:hyperlink w:anchor="_Toc90984602" w:history="1">
            <w:r w:rsidRPr="00DC25E1">
              <w:rPr>
                <w:rStyle w:val="Hyperlink"/>
              </w:rPr>
              <w:t>4.6.2</w:t>
            </w:r>
            <w:r>
              <w:rPr>
                <w:rFonts w:asciiTheme="minorHAnsi" w:eastAsiaTheme="minorEastAsia" w:hAnsiTheme="minorHAnsi" w:cstheme="minorBidi"/>
              </w:rPr>
              <w:tab/>
            </w:r>
            <w:r w:rsidRPr="00DC25E1">
              <w:rPr>
                <w:rStyle w:val="Hyperlink"/>
              </w:rPr>
              <w:t>Radiodetermination services</w:t>
            </w:r>
            <w:r>
              <w:rPr>
                <w:webHidden/>
              </w:rPr>
              <w:tab/>
            </w:r>
            <w:r>
              <w:rPr>
                <w:webHidden/>
              </w:rPr>
              <w:fldChar w:fldCharType="begin"/>
            </w:r>
            <w:r>
              <w:rPr>
                <w:webHidden/>
              </w:rPr>
              <w:instrText xml:space="preserve"> PAGEREF _Toc90984602 \h </w:instrText>
            </w:r>
            <w:r>
              <w:rPr>
                <w:webHidden/>
              </w:rPr>
            </w:r>
            <w:r>
              <w:rPr>
                <w:webHidden/>
              </w:rPr>
              <w:fldChar w:fldCharType="separate"/>
            </w:r>
            <w:r>
              <w:rPr>
                <w:webHidden/>
              </w:rPr>
              <w:t>17</w:t>
            </w:r>
            <w:r>
              <w:rPr>
                <w:webHidden/>
              </w:rPr>
              <w:fldChar w:fldCharType="end"/>
            </w:r>
          </w:hyperlink>
        </w:p>
        <w:p w14:paraId="0FB231A8" w14:textId="0E3D50E9" w:rsidR="00B74678" w:rsidRDefault="00B74678">
          <w:pPr>
            <w:pStyle w:val="TOC3"/>
            <w:tabs>
              <w:tab w:val="left" w:pos="885"/>
            </w:tabs>
            <w:rPr>
              <w:rFonts w:asciiTheme="minorHAnsi" w:eastAsiaTheme="minorEastAsia" w:hAnsiTheme="minorHAnsi" w:cstheme="minorBidi"/>
            </w:rPr>
          </w:pPr>
          <w:hyperlink w:anchor="_Toc90984603" w:history="1">
            <w:r w:rsidRPr="00DC25E1">
              <w:rPr>
                <w:rStyle w:val="Hyperlink"/>
              </w:rPr>
              <w:t>4.6.3</w:t>
            </w:r>
            <w:r>
              <w:rPr>
                <w:rFonts w:asciiTheme="minorHAnsi" w:eastAsiaTheme="minorEastAsia" w:hAnsiTheme="minorHAnsi" w:cstheme="minorBidi"/>
              </w:rPr>
              <w:tab/>
            </w:r>
            <w:r w:rsidRPr="00DC25E1">
              <w:rPr>
                <w:rStyle w:val="Hyperlink"/>
              </w:rPr>
              <w:t>Amateur service</w:t>
            </w:r>
            <w:r>
              <w:rPr>
                <w:webHidden/>
              </w:rPr>
              <w:tab/>
            </w:r>
            <w:r>
              <w:rPr>
                <w:webHidden/>
              </w:rPr>
              <w:fldChar w:fldCharType="begin"/>
            </w:r>
            <w:r>
              <w:rPr>
                <w:webHidden/>
              </w:rPr>
              <w:instrText xml:space="preserve"> PAGEREF _Toc90984603 \h </w:instrText>
            </w:r>
            <w:r>
              <w:rPr>
                <w:webHidden/>
              </w:rPr>
            </w:r>
            <w:r>
              <w:rPr>
                <w:webHidden/>
              </w:rPr>
              <w:fldChar w:fldCharType="separate"/>
            </w:r>
            <w:r>
              <w:rPr>
                <w:webHidden/>
              </w:rPr>
              <w:t>18</w:t>
            </w:r>
            <w:r>
              <w:rPr>
                <w:webHidden/>
              </w:rPr>
              <w:fldChar w:fldCharType="end"/>
            </w:r>
          </w:hyperlink>
        </w:p>
        <w:p w14:paraId="4227C1D0" w14:textId="5BE93889" w:rsidR="00B74678" w:rsidRDefault="00B74678">
          <w:pPr>
            <w:pStyle w:val="TOC2"/>
            <w:rPr>
              <w:rFonts w:asciiTheme="minorHAnsi" w:eastAsiaTheme="minorEastAsia" w:hAnsiTheme="minorHAnsi" w:cstheme="minorBidi"/>
              <w:spacing w:val="0"/>
              <w:sz w:val="22"/>
              <w:szCs w:val="22"/>
            </w:rPr>
          </w:pPr>
          <w:hyperlink w:anchor="_Toc90984604" w:history="1">
            <w:r w:rsidRPr="00DC25E1">
              <w:rPr>
                <w:rStyle w:val="Hyperlink"/>
              </w:rPr>
              <w:t>4.7</w:t>
            </w:r>
            <w:r>
              <w:rPr>
                <w:rFonts w:asciiTheme="minorHAnsi" w:eastAsiaTheme="minorEastAsia" w:hAnsiTheme="minorHAnsi" w:cstheme="minorBidi"/>
                <w:spacing w:val="0"/>
                <w:sz w:val="22"/>
                <w:szCs w:val="22"/>
              </w:rPr>
              <w:tab/>
            </w:r>
            <w:r w:rsidRPr="00DC25E1">
              <w:rPr>
                <w:rStyle w:val="Hyperlink"/>
              </w:rPr>
              <w:t>Site engineering aspects</w:t>
            </w:r>
            <w:r>
              <w:rPr>
                <w:webHidden/>
              </w:rPr>
              <w:tab/>
            </w:r>
            <w:r>
              <w:rPr>
                <w:webHidden/>
              </w:rPr>
              <w:fldChar w:fldCharType="begin"/>
            </w:r>
            <w:r>
              <w:rPr>
                <w:webHidden/>
              </w:rPr>
              <w:instrText xml:space="preserve"> PAGEREF _Toc90984604 \h </w:instrText>
            </w:r>
            <w:r>
              <w:rPr>
                <w:webHidden/>
              </w:rPr>
            </w:r>
            <w:r>
              <w:rPr>
                <w:webHidden/>
              </w:rPr>
              <w:fldChar w:fldCharType="separate"/>
            </w:r>
            <w:r>
              <w:rPr>
                <w:webHidden/>
              </w:rPr>
              <w:t>18</w:t>
            </w:r>
            <w:r>
              <w:rPr>
                <w:webHidden/>
              </w:rPr>
              <w:fldChar w:fldCharType="end"/>
            </w:r>
          </w:hyperlink>
        </w:p>
        <w:p w14:paraId="0A4322DB" w14:textId="792D839D" w:rsidR="00B74678" w:rsidRDefault="00B74678">
          <w:pPr>
            <w:pStyle w:val="TOC2"/>
            <w:rPr>
              <w:rFonts w:asciiTheme="minorHAnsi" w:eastAsiaTheme="minorEastAsia" w:hAnsiTheme="minorHAnsi" w:cstheme="minorBidi"/>
              <w:spacing w:val="0"/>
              <w:sz w:val="22"/>
              <w:szCs w:val="22"/>
            </w:rPr>
          </w:pPr>
          <w:hyperlink w:anchor="_Toc90984605" w:history="1">
            <w:r w:rsidRPr="00DC25E1">
              <w:rPr>
                <w:rStyle w:val="Hyperlink"/>
              </w:rPr>
              <w:t>4.8</w:t>
            </w:r>
            <w:r>
              <w:rPr>
                <w:rFonts w:asciiTheme="minorHAnsi" w:eastAsiaTheme="minorEastAsia" w:hAnsiTheme="minorHAnsi" w:cstheme="minorBidi"/>
                <w:spacing w:val="0"/>
                <w:sz w:val="22"/>
                <w:szCs w:val="22"/>
              </w:rPr>
              <w:tab/>
            </w:r>
            <w:r w:rsidRPr="00DC25E1">
              <w:rPr>
                <w:rStyle w:val="Hyperlink"/>
              </w:rPr>
              <w:t>Additional information on technical records</w:t>
            </w:r>
            <w:r>
              <w:rPr>
                <w:webHidden/>
              </w:rPr>
              <w:tab/>
            </w:r>
            <w:r>
              <w:rPr>
                <w:webHidden/>
              </w:rPr>
              <w:fldChar w:fldCharType="begin"/>
            </w:r>
            <w:r>
              <w:rPr>
                <w:webHidden/>
              </w:rPr>
              <w:instrText xml:space="preserve"> PAGEREF _Toc90984605 \h </w:instrText>
            </w:r>
            <w:r>
              <w:rPr>
                <w:webHidden/>
              </w:rPr>
            </w:r>
            <w:r>
              <w:rPr>
                <w:webHidden/>
              </w:rPr>
              <w:fldChar w:fldCharType="separate"/>
            </w:r>
            <w:r>
              <w:rPr>
                <w:webHidden/>
              </w:rPr>
              <w:t>19</w:t>
            </w:r>
            <w:r>
              <w:rPr>
                <w:webHidden/>
              </w:rPr>
              <w:fldChar w:fldCharType="end"/>
            </w:r>
          </w:hyperlink>
        </w:p>
        <w:p w14:paraId="4C9CDA50" w14:textId="598BE85A" w:rsidR="00B74678" w:rsidRDefault="00B74678">
          <w:pPr>
            <w:pStyle w:val="TOC1"/>
            <w:tabs>
              <w:tab w:val="left" w:pos="885"/>
            </w:tabs>
            <w:rPr>
              <w:rFonts w:asciiTheme="minorHAnsi" w:eastAsiaTheme="minorEastAsia" w:hAnsiTheme="minorHAnsi" w:cstheme="minorBidi"/>
              <w:b w:val="0"/>
              <w:spacing w:val="0"/>
              <w:sz w:val="22"/>
              <w:szCs w:val="22"/>
            </w:rPr>
          </w:pPr>
          <w:hyperlink w:anchor="_Toc90984606" w:history="1">
            <w:r w:rsidRPr="00DC25E1">
              <w:rPr>
                <w:rStyle w:val="Hyperlink"/>
                <w14:scene3d>
                  <w14:camera w14:prst="orthographicFront"/>
                  <w14:lightRig w14:rig="threePt" w14:dir="t">
                    <w14:rot w14:lat="0" w14:lon="0" w14:rev="0"/>
                  </w14:lightRig>
                </w14:scene3d>
              </w:rPr>
              <w:t>5</w:t>
            </w:r>
            <w:r>
              <w:rPr>
                <w:rFonts w:asciiTheme="minorHAnsi" w:eastAsiaTheme="minorEastAsia" w:hAnsiTheme="minorHAnsi" w:cstheme="minorBidi"/>
                <w:b w:val="0"/>
                <w:spacing w:val="0"/>
                <w:sz w:val="22"/>
                <w:szCs w:val="22"/>
              </w:rPr>
              <w:tab/>
            </w:r>
            <w:r w:rsidRPr="00DC25E1">
              <w:rPr>
                <w:rStyle w:val="Hyperlink"/>
              </w:rPr>
              <w:t>Exceptions</w:t>
            </w:r>
            <w:r>
              <w:rPr>
                <w:webHidden/>
              </w:rPr>
              <w:tab/>
            </w:r>
            <w:r>
              <w:rPr>
                <w:webHidden/>
              </w:rPr>
              <w:fldChar w:fldCharType="begin"/>
            </w:r>
            <w:r>
              <w:rPr>
                <w:webHidden/>
              </w:rPr>
              <w:instrText xml:space="preserve"> PAGEREF _Toc90984606 \h </w:instrText>
            </w:r>
            <w:r>
              <w:rPr>
                <w:webHidden/>
              </w:rPr>
            </w:r>
            <w:r>
              <w:rPr>
                <w:webHidden/>
              </w:rPr>
              <w:fldChar w:fldCharType="separate"/>
            </w:r>
            <w:r>
              <w:rPr>
                <w:webHidden/>
              </w:rPr>
              <w:t>20</w:t>
            </w:r>
            <w:r>
              <w:rPr>
                <w:webHidden/>
              </w:rPr>
              <w:fldChar w:fldCharType="end"/>
            </w:r>
          </w:hyperlink>
        </w:p>
        <w:p w14:paraId="38701617" w14:textId="20BCAEED" w:rsidR="00B74678" w:rsidRDefault="00B74678">
          <w:pPr>
            <w:pStyle w:val="TOC1"/>
            <w:tabs>
              <w:tab w:val="left" w:pos="885"/>
            </w:tabs>
            <w:rPr>
              <w:rFonts w:asciiTheme="minorHAnsi" w:eastAsiaTheme="minorEastAsia" w:hAnsiTheme="minorHAnsi" w:cstheme="minorBidi"/>
              <w:b w:val="0"/>
              <w:spacing w:val="0"/>
              <w:sz w:val="22"/>
              <w:szCs w:val="22"/>
            </w:rPr>
          </w:pPr>
          <w:hyperlink w:anchor="_Toc90984607" w:history="1">
            <w:r w:rsidRPr="00DC25E1">
              <w:rPr>
                <w:rStyle w:val="Hyperlink"/>
                <w14:scene3d>
                  <w14:camera w14:prst="orthographicFront"/>
                  <w14:lightRig w14:rig="threePt" w14:dir="t">
                    <w14:rot w14:lat="0" w14:lon="0" w14:rev="0"/>
                  </w14:lightRig>
                </w14:scene3d>
              </w:rPr>
              <w:t>6</w:t>
            </w:r>
            <w:r>
              <w:rPr>
                <w:rFonts w:asciiTheme="minorHAnsi" w:eastAsiaTheme="minorEastAsia" w:hAnsiTheme="minorHAnsi" w:cstheme="minorBidi"/>
                <w:b w:val="0"/>
                <w:spacing w:val="0"/>
                <w:sz w:val="22"/>
                <w:szCs w:val="22"/>
              </w:rPr>
              <w:tab/>
            </w:r>
            <w:r w:rsidRPr="00DC25E1">
              <w:rPr>
                <w:rStyle w:val="Hyperlink"/>
              </w:rPr>
              <w:t>RALI Authorisation</w:t>
            </w:r>
            <w:r>
              <w:rPr>
                <w:webHidden/>
              </w:rPr>
              <w:tab/>
            </w:r>
            <w:r>
              <w:rPr>
                <w:webHidden/>
              </w:rPr>
              <w:fldChar w:fldCharType="begin"/>
            </w:r>
            <w:r>
              <w:rPr>
                <w:webHidden/>
              </w:rPr>
              <w:instrText xml:space="preserve"> PAGEREF _Toc90984607 \h </w:instrText>
            </w:r>
            <w:r>
              <w:rPr>
                <w:webHidden/>
              </w:rPr>
            </w:r>
            <w:r>
              <w:rPr>
                <w:webHidden/>
              </w:rPr>
              <w:fldChar w:fldCharType="separate"/>
            </w:r>
            <w:r>
              <w:rPr>
                <w:webHidden/>
              </w:rPr>
              <w:t>21</w:t>
            </w:r>
            <w:r>
              <w:rPr>
                <w:webHidden/>
              </w:rPr>
              <w:fldChar w:fldCharType="end"/>
            </w:r>
          </w:hyperlink>
        </w:p>
        <w:p w14:paraId="3F0C40D4" w14:textId="437FBB2A" w:rsidR="00B74678" w:rsidRDefault="00B74678">
          <w:pPr>
            <w:pStyle w:val="TOC1"/>
            <w:tabs>
              <w:tab w:val="left" w:pos="1760"/>
            </w:tabs>
            <w:rPr>
              <w:rFonts w:asciiTheme="minorHAnsi" w:eastAsiaTheme="minorEastAsia" w:hAnsiTheme="minorHAnsi" w:cstheme="minorBidi"/>
              <w:b w:val="0"/>
              <w:spacing w:val="0"/>
              <w:sz w:val="22"/>
              <w:szCs w:val="22"/>
            </w:rPr>
          </w:pPr>
          <w:hyperlink w:anchor="_Toc90984608" w:history="1">
            <w:r w:rsidRPr="00DC25E1">
              <w:rPr>
                <w:rStyle w:val="Hyperlink"/>
              </w:rPr>
              <w:t>Appendix A:</w:t>
            </w:r>
            <w:r>
              <w:rPr>
                <w:rFonts w:asciiTheme="minorHAnsi" w:eastAsiaTheme="minorEastAsia" w:hAnsiTheme="minorHAnsi" w:cstheme="minorBidi"/>
                <w:b w:val="0"/>
                <w:spacing w:val="0"/>
                <w:sz w:val="22"/>
                <w:szCs w:val="22"/>
              </w:rPr>
              <w:tab/>
            </w:r>
            <w:r w:rsidRPr="00DC25E1">
              <w:rPr>
                <w:rStyle w:val="Hyperlink"/>
              </w:rPr>
              <w:t>Areas available for AWL licensing</w:t>
            </w:r>
            <w:r>
              <w:rPr>
                <w:webHidden/>
              </w:rPr>
              <w:tab/>
            </w:r>
            <w:r>
              <w:rPr>
                <w:webHidden/>
              </w:rPr>
              <w:fldChar w:fldCharType="begin"/>
            </w:r>
            <w:r>
              <w:rPr>
                <w:webHidden/>
              </w:rPr>
              <w:instrText xml:space="preserve"> PAGEREF _Toc90984608 \h </w:instrText>
            </w:r>
            <w:r>
              <w:rPr>
                <w:webHidden/>
              </w:rPr>
            </w:r>
            <w:r>
              <w:rPr>
                <w:webHidden/>
              </w:rPr>
              <w:fldChar w:fldCharType="separate"/>
            </w:r>
            <w:r>
              <w:rPr>
                <w:webHidden/>
              </w:rPr>
              <w:t>22</w:t>
            </w:r>
            <w:r>
              <w:rPr>
                <w:webHidden/>
              </w:rPr>
              <w:fldChar w:fldCharType="end"/>
            </w:r>
          </w:hyperlink>
        </w:p>
        <w:p w14:paraId="541FE200" w14:textId="0E5A5375" w:rsidR="00B74678" w:rsidRDefault="00B74678">
          <w:pPr>
            <w:pStyle w:val="TOC1"/>
            <w:tabs>
              <w:tab w:val="left" w:pos="1760"/>
            </w:tabs>
            <w:rPr>
              <w:rFonts w:asciiTheme="minorHAnsi" w:eastAsiaTheme="minorEastAsia" w:hAnsiTheme="minorHAnsi" w:cstheme="minorBidi"/>
              <w:b w:val="0"/>
              <w:spacing w:val="0"/>
              <w:sz w:val="22"/>
              <w:szCs w:val="22"/>
            </w:rPr>
          </w:pPr>
          <w:hyperlink w:anchor="_Toc90984609" w:history="1">
            <w:r w:rsidRPr="00DC25E1">
              <w:rPr>
                <w:rStyle w:val="Hyperlink"/>
              </w:rPr>
              <w:t>Appendix B:</w:t>
            </w:r>
            <w:r>
              <w:rPr>
                <w:rFonts w:asciiTheme="minorHAnsi" w:eastAsiaTheme="minorEastAsia" w:hAnsiTheme="minorHAnsi" w:cstheme="minorBidi"/>
                <w:b w:val="0"/>
                <w:spacing w:val="0"/>
                <w:sz w:val="22"/>
                <w:szCs w:val="22"/>
              </w:rPr>
              <w:tab/>
            </w:r>
            <w:r w:rsidRPr="00DC25E1">
              <w:rPr>
                <w:rStyle w:val="Hyperlink"/>
              </w:rPr>
              <w:t>Coverage and interference calculations</w:t>
            </w:r>
            <w:r>
              <w:rPr>
                <w:webHidden/>
              </w:rPr>
              <w:tab/>
            </w:r>
            <w:r>
              <w:rPr>
                <w:webHidden/>
              </w:rPr>
              <w:fldChar w:fldCharType="begin"/>
            </w:r>
            <w:r>
              <w:rPr>
                <w:webHidden/>
              </w:rPr>
              <w:instrText xml:space="preserve"> PAGEREF _Toc90984609 \h </w:instrText>
            </w:r>
            <w:r>
              <w:rPr>
                <w:webHidden/>
              </w:rPr>
            </w:r>
            <w:r>
              <w:rPr>
                <w:webHidden/>
              </w:rPr>
              <w:fldChar w:fldCharType="separate"/>
            </w:r>
            <w:r>
              <w:rPr>
                <w:webHidden/>
              </w:rPr>
              <w:t>23</w:t>
            </w:r>
            <w:r>
              <w:rPr>
                <w:webHidden/>
              </w:rPr>
              <w:fldChar w:fldCharType="end"/>
            </w:r>
          </w:hyperlink>
        </w:p>
        <w:p w14:paraId="662E03CC" w14:textId="55E31264" w:rsidR="00B74678" w:rsidRDefault="00B74678">
          <w:pPr>
            <w:pStyle w:val="TOC2"/>
            <w:rPr>
              <w:rFonts w:asciiTheme="minorHAnsi" w:eastAsiaTheme="minorEastAsia" w:hAnsiTheme="minorHAnsi" w:cstheme="minorBidi"/>
              <w:spacing w:val="0"/>
              <w:sz w:val="22"/>
              <w:szCs w:val="22"/>
            </w:rPr>
          </w:pPr>
          <w:hyperlink w:anchor="_Toc90984610" w:history="1">
            <w:r w:rsidRPr="00DC25E1">
              <w:rPr>
                <w:rStyle w:val="Hyperlink"/>
              </w:rPr>
              <w:t>B.1</w:t>
            </w:r>
            <w:r>
              <w:rPr>
                <w:rFonts w:asciiTheme="minorHAnsi" w:eastAsiaTheme="minorEastAsia" w:hAnsiTheme="minorHAnsi" w:cstheme="minorBidi"/>
                <w:spacing w:val="0"/>
                <w:sz w:val="22"/>
                <w:szCs w:val="22"/>
              </w:rPr>
              <w:tab/>
            </w:r>
            <w:r w:rsidRPr="00DC25E1">
              <w:rPr>
                <w:rStyle w:val="Hyperlink"/>
              </w:rPr>
              <w:t>Coverage area</w:t>
            </w:r>
            <w:r>
              <w:rPr>
                <w:webHidden/>
              </w:rPr>
              <w:tab/>
            </w:r>
            <w:r>
              <w:rPr>
                <w:webHidden/>
              </w:rPr>
              <w:fldChar w:fldCharType="begin"/>
            </w:r>
            <w:r>
              <w:rPr>
                <w:webHidden/>
              </w:rPr>
              <w:instrText xml:space="preserve"> PAGEREF _Toc90984610 \h </w:instrText>
            </w:r>
            <w:r>
              <w:rPr>
                <w:webHidden/>
              </w:rPr>
            </w:r>
            <w:r>
              <w:rPr>
                <w:webHidden/>
              </w:rPr>
              <w:fldChar w:fldCharType="separate"/>
            </w:r>
            <w:r>
              <w:rPr>
                <w:webHidden/>
              </w:rPr>
              <w:t>23</w:t>
            </w:r>
            <w:r>
              <w:rPr>
                <w:webHidden/>
              </w:rPr>
              <w:fldChar w:fldCharType="end"/>
            </w:r>
          </w:hyperlink>
        </w:p>
        <w:p w14:paraId="0E54953C" w14:textId="3D5831A6" w:rsidR="00B74678" w:rsidRDefault="00B74678">
          <w:pPr>
            <w:pStyle w:val="TOC2"/>
            <w:rPr>
              <w:rFonts w:asciiTheme="minorHAnsi" w:eastAsiaTheme="minorEastAsia" w:hAnsiTheme="minorHAnsi" w:cstheme="minorBidi"/>
              <w:spacing w:val="0"/>
              <w:sz w:val="22"/>
              <w:szCs w:val="22"/>
            </w:rPr>
          </w:pPr>
          <w:hyperlink w:anchor="_Toc90984611" w:history="1">
            <w:r w:rsidRPr="00DC25E1">
              <w:rPr>
                <w:rStyle w:val="Hyperlink"/>
              </w:rPr>
              <w:t>B.2</w:t>
            </w:r>
            <w:r>
              <w:rPr>
                <w:rFonts w:asciiTheme="minorHAnsi" w:eastAsiaTheme="minorEastAsia" w:hAnsiTheme="minorHAnsi" w:cstheme="minorBidi"/>
                <w:spacing w:val="0"/>
                <w:sz w:val="22"/>
                <w:szCs w:val="22"/>
              </w:rPr>
              <w:tab/>
            </w:r>
            <w:r w:rsidRPr="00DC25E1">
              <w:rPr>
                <w:rStyle w:val="Hyperlink"/>
              </w:rPr>
              <w:t>Interference area</w:t>
            </w:r>
            <w:r>
              <w:rPr>
                <w:webHidden/>
              </w:rPr>
              <w:tab/>
            </w:r>
            <w:r>
              <w:rPr>
                <w:webHidden/>
              </w:rPr>
              <w:fldChar w:fldCharType="begin"/>
            </w:r>
            <w:r>
              <w:rPr>
                <w:webHidden/>
              </w:rPr>
              <w:instrText xml:space="preserve"> PAGEREF _Toc90984611 \h </w:instrText>
            </w:r>
            <w:r>
              <w:rPr>
                <w:webHidden/>
              </w:rPr>
            </w:r>
            <w:r>
              <w:rPr>
                <w:webHidden/>
              </w:rPr>
              <w:fldChar w:fldCharType="separate"/>
            </w:r>
            <w:r>
              <w:rPr>
                <w:webHidden/>
              </w:rPr>
              <w:t>23</w:t>
            </w:r>
            <w:r>
              <w:rPr>
                <w:webHidden/>
              </w:rPr>
              <w:fldChar w:fldCharType="end"/>
            </w:r>
          </w:hyperlink>
        </w:p>
        <w:p w14:paraId="5DEDD664" w14:textId="06D13D30" w:rsidR="00B74678" w:rsidRDefault="00B74678">
          <w:pPr>
            <w:pStyle w:val="TOC1"/>
            <w:tabs>
              <w:tab w:val="left" w:pos="1760"/>
            </w:tabs>
            <w:rPr>
              <w:rFonts w:asciiTheme="minorHAnsi" w:eastAsiaTheme="minorEastAsia" w:hAnsiTheme="minorHAnsi" w:cstheme="minorBidi"/>
              <w:b w:val="0"/>
              <w:spacing w:val="0"/>
              <w:sz w:val="22"/>
              <w:szCs w:val="22"/>
            </w:rPr>
          </w:pPr>
          <w:hyperlink w:anchor="_Toc90984612" w:history="1">
            <w:r w:rsidRPr="00DC25E1">
              <w:rPr>
                <w:rStyle w:val="Hyperlink"/>
              </w:rPr>
              <w:t>Appendix C:</w:t>
            </w:r>
            <w:r>
              <w:rPr>
                <w:rFonts w:asciiTheme="minorHAnsi" w:eastAsiaTheme="minorEastAsia" w:hAnsiTheme="minorHAnsi" w:cstheme="minorBidi"/>
                <w:b w:val="0"/>
                <w:spacing w:val="0"/>
                <w:sz w:val="22"/>
                <w:szCs w:val="22"/>
              </w:rPr>
              <w:tab/>
            </w:r>
            <w:r w:rsidRPr="00DC25E1">
              <w:rPr>
                <w:rStyle w:val="Hyperlink"/>
              </w:rPr>
              <w:t>Incumbent Apparatus Licenced Point to Multipoint (PMP) Services</w:t>
            </w:r>
            <w:r>
              <w:rPr>
                <w:webHidden/>
              </w:rPr>
              <w:tab/>
            </w:r>
            <w:r>
              <w:rPr>
                <w:webHidden/>
              </w:rPr>
              <w:fldChar w:fldCharType="begin"/>
            </w:r>
            <w:r>
              <w:rPr>
                <w:webHidden/>
              </w:rPr>
              <w:instrText xml:space="preserve"> PAGEREF _Toc90984612 \h </w:instrText>
            </w:r>
            <w:r>
              <w:rPr>
                <w:webHidden/>
              </w:rPr>
            </w:r>
            <w:r>
              <w:rPr>
                <w:webHidden/>
              </w:rPr>
              <w:fldChar w:fldCharType="separate"/>
            </w:r>
            <w:r>
              <w:rPr>
                <w:webHidden/>
              </w:rPr>
              <w:t>24</w:t>
            </w:r>
            <w:r>
              <w:rPr>
                <w:webHidden/>
              </w:rPr>
              <w:fldChar w:fldCharType="end"/>
            </w:r>
          </w:hyperlink>
        </w:p>
        <w:p w14:paraId="0846B1FE" w14:textId="289026FA" w:rsidR="00B74678" w:rsidRDefault="00B74678">
          <w:pPr>
            <w:pStyle w:val="TOC2"/>
            <w:rPr>
              <w:rFonts w:asciiTheme="minorHAnsi" w:eastAsiaTheme="minorEastAsia" w:hAnsiTheme="minorHAnsi" w:cstheme="minorBidi"/>
              <w:spacing w:val="0"/>
              <w:sz w:val="22"/>
              <w:szCs w:val="22"/>
            </w:rPr>
          </w:pPr>
          <w:hyperlink w:anchor="_Toc90984613" w:history="1">
            <w:r w:rsidRPr="00DC25E1">
              <w:rPr>
                <w:rStyle w:val="Hyperlink"/>
              </w:rPr>
              <w:t>C.1</w:t>
            </w:r>
            <w:r>
              <w:rPr>
                <w:rFonts w:asciiTheme="minorHAnsi" w:eastAsiaTheme="minorEastAsia" w:hAnsiTheme="minorHAnsi" w:cstheme="minorBidi"/>
                <w:spacing w:val="0"/>
                <w:sz w:val="22"/>
                <w:szCs w:val="22"/>
              </w:rPr>
              <w:tab/>
            </w:r>
            <w:r w:rsidRPr="00DC25E1">
              <w:rPr>
                <w:rStyle w:val="Hyperlink"/>
              </w:rPr>
              <w:t>TDD PMP emission limits</w:t>
            </w:r>
            <w:r>
              <w:rPr>
                <w:webHidden/>
              </w:rPr>
              <w:tab/>
            </w:r>
            <w:r>
              <w:rPr>
                <w:webHidden/>
              </w:rPr>
              <w:fldChar w:fldCharType="begin"/>
            </w:r>
            <w:r>
              <w:rPr>
                <w:webHidden/>
              </w:rPr>
              <w:instrText xml:space="preserve"> PAGEREF _Toc90984613 \h </w:instrText>
            </w:r>
            <w:r>
              <w:rPr>
                <w:webHidden/>
              </w:rPr>
            </w:r>
            <w:r>
              <w:rPr>
                <w:webHidden/>
              </w:rPr>
              <w:fldChar w:fldCharType="separate"/>
            </w:r>
            <w:r>
              <w:rPr>
                <w:webHidden/>
              </w:rPr>
              <w:t>24</w:t>
            </w:r>
            <w:r>
              <w:rPr>
                <w:webHidden/>
              </w:rPr>
              <w:fldChar w:fldCharType="end"/>
            </w:r>
          </w:hyperlink>
        </w:p>
        <w:p w14:paraId="1B2713D3" w14:textId="525C91C1" w:rsidR="00B74678" w:rsidRDefault="00B74678">
          <w:pPr>
            <w:pStyle w:val="TOC1"/>
            <w:tabs>
              <w:tab w:val="left" w:pos="1760"/>
            </w:tabs>
            <w:rPr>
              <w:rFonts w:asciiTheme="minorHAnsi" w:eastAsiaTheme="minorEastAsia" w:hAnsiTheme="minorHAnsi" w:cstheme="minorBidi"/>
              <w:b w:val="0"/>
              <w:spacing w:val="0"/>
              <w:sz w:val="22"/>
              <w:szCs w:val="22"/>
            </w:rPr>
          </w:pPr>
          <w:hyperlink w:anchor="_Toc90984614" w:history="1">
            <w:r w:rsidRPr="00DC25E1">
              <w:rPr>
                <w:rStyle w:val="Hyperlink"/>
              </w:rPr>
              <w:t>Appendix D:</w:t>
            </w:r>
            <w:r>
              <w:rPr>
                <w:rFonts w:asciiTheme="minorHAnsi" w:eastAsiaTheme="minorEastAsia" w:hAnsiTheme="minorHAnsi" w:cstheme="minorBidi"/>
                <w:b w:val="0"/>
                <w:spacing w:val="0"/>
                <w:sz w:val="22"/>
                <w:szCs w:val="22"/>
              </w:rPr>
              <w:tab/>
            </w:r>
            <w:r w:rsidRPr="00DC25E1">
              <w:rPr>
                <w:rStyle w:val="Hyperlink"/>
              </w:rPr>
              <w:t>Notification requirements</w:t>
            </w:r>
            <w:r>
              <w:rPr>
                <w:webHidden/>
              </w:rPr>
              <w:tab/>
            </w:r>
            <w:r>
              <w:rPr>
                <w:webHidden/>
              </w:rPr>
              <w:fldChar w:fldCharType="begin"/>
            </w:r>
            <w:r>
              <w:rPr>
                <w:webHidden/>
              </w:rPr>
              <w:instrText xml:space="preserve"> PAGEREF _Toc90984614 \h </w:instrText>
            </w:r>
            <w:r>
              <w:rPr>
                <w:webHidden/>
              </w:rPr>
            </w:r>
            <w:r>
              <w:rPr>
                <w:webHidden/>
              </w:rPr>
              <w:fldChar w:fldCharType="separate"/>
            </w:r>
            <w:r>
              <w:rPr>
                <w:webHidden/>
              </w:rPr>
              <w:t>26</w:t>
            </w:r>
            <w:r>
              <w:rPr>
                <w:webHidden/>
              </w:rPr>
              <w:fldChar w:fldCharType="end"/>
            </w:r>
          </w:hyperlink>
        </w:p>
        <w:p w14:paraId="0A6D7726" w14:textId="5FF9919F" w:rsidR="00097D72" w:rsidRDefault="00097D72">
          <w:r>
            <w:rPr>
              <w:b/>
              <w:bCs/>
              <w:noProof/>
            </w:rPr>
            <w:fldChar w:fldCharType="end"/>
          </w:r>
        </w:p>
      </w:sdtContent>
    </w:sdt>
    <w:p w14:paraId="24809BC9" w14:textId="77777777" w:rsidR="00097D72" w:rsidRDefault="00097D72" w:rsidP="00097D72">
      <w:bookmarkStart w:id="1" w:name="_Toc8983846"/>
      <w:bookmarkStart w:id="2" w:name="_Toc8986370"/>
    </w:p>
    <w:p w14:paraId="74E54396" w14:textId="77777777" w:rsidR="001F0E76" w:rsidRPr="00420CAF" w:rsidRDefault="001F0E76" w:rsidP="00420CAF">
      <w:pPr>
        <w:sectPr w:rsidR="001F0E76" w:rsidRPr="00420CAF" w:rsidSect="00554839">
          <w:footerReference w:type="even" r:id="rId16"/>
          <w:type w:val="oddPage"/>
          <w:pgSz w:w="11906" w:h="16838"/>
          <w:pgMar w:top="1440" w:right="1134" w:bottom="1134" w:left="1134" w:header="709" w:footer="709" w:gutter="284"/>
          <w:pgNumType w:fmt="lowerRoman" w:start="2"/>
          <w:cols w:space="708"/>
          <w:docGrid w:linePitch="360"/>
        </w:sectPr>
      </w:pPr>
    </w:p>
    <w:p w14:paraId="1A5EBBF8" w14:textId="281206B7" w:rsidR="004A13A7" w:rsidRPr="00923D7A" w:rsidRDefault="004A13A7" w:rsidP="000B27C0">
      <w:pPr>
        <w:pStyle w:val="Heading1"/>
      </w:pPr>
      <w:bookmarkStart w:id="3" w:name="_Toc90984568"/>
      <w:r w:rsidRPr="000B27C0">
        <w:lastRenderedPageBreak/>
        <w:t>Introduction</w:t>
      </w:r>
      <w:bookmarkEnd w:id="0"/>
      <w:bookmarkEnd w:id="1"/>
      <w:bookmarkEnd w:id="2"/>
      <w:bookmarkEnd w:id="3"/>
    </w:p>
    <w:p w14:paraId="3F5DD0EA" w14:textId="316568C3" w:rsidR="004A13A7" w:rsidRPr="00DE7566" w:rsidRDefault="004A13A7" w:rsidP="00F04B19">
      <w:pPr>
        <w:pStyle w:val="Heading2"/>
        <w:ind w:left="709" w:hanging="709"/>
      </w:pPr>
      <w:bookmarkStart w:id="4" w:name="_Toc6298710"/>
      <w:bookmarkStart w:id="5" w:name="_Toc8983847"/>
      <w:bookmarkStart w:id="6" w:name="_Toc8986371"/>
      <w:bookmarkStart w:id="7" w:name="_Toc90984569"/>
      <w:r w:rsidRPr="00DE7566">
        <w:t>Purpose</w:t>
      </w:r>
      <w:bookmarkEnd w:id="4"/>
      <w:bookmarkEnd w:id="5"/>
      <w:bookmarkEnd w:id="6"/>
      <w:bookmarkEnd w:id="7"/>
    </w:p>
    <w:p w14:paraId="278BA9D8" w14:textId="0636B47D" w:rsidR="00FE2393" w:rsidRDefault="00FE2393" w:rsidP="00AF06C8">
      <w:pPr>
        <w:rPr>
          <w:szCs w:val="22"/>
        </w:rPr>
      </w:pPr>
      <w:r w:rsidRPr="00FE2393">
        <w:rPr>
          <w:szCs w:val="22"/>
        </w:rPr>
        <w:t>The purpose of this Radiocommunications Assignment and Licensing Instruction (RALI) is to provide information about</w:t>
      </w:r>
      <w:r w:rsidR="00AD7690">
        <w:rPr>
          <w:szCs w:val="22"/>
        </w:rPr>
        <w:t>,</w:t>
      </w:r>
      <w:r w:rsidRPr="00FE2393">
        <w:rPr>
          <w:szCs w:val="22"/>
        </w:rPr>
        <w:t xml:space="preserve"> and describe necessary steps for</w:t>
      </w:r>
      <w:r w:rsidR="00AD7690">
        <w:rPr>
          <w:szCs w:val="22"/>
        </w:rPr>
        <w:t>,</w:t>
      </w:r>
      <w:r w:rsidRPr="00FE2393">
        <w:rPr>
          <w:szCs w:val="22"/>
        </w:rPr>
        <w:t xml:space="preserve"> the frequency coordination and licensing of </w:t>
      </w:r>
      <w:r w:rsidR="00E11137">
        <w:rPr>
          <w:szCs w:val="22"/>
        </w:rPr>
        <w:t>A</w:t>
      </w:r>
      <w:r w:rsidR="007744A7">
        <w:rPr>
          <w:szCs w:val="22"/>
        </w:rPr>
        <w:t>rea-</w:t>
      </w:r>
      <w:r w:rsidR="00E11137">
        <w:rPr>
          <w:szCs w:val="22"/>
        </w:rPr>
        <w:t>W</w:t>
      </w:r>
      <w:r w:rsidR="007744A7">
        <w:rPr>
          <w:szCs w:val="22"/>
        </w:rPr>
        <w:t xml:space="preserve">ide </w:t>
      </w:r>
      <w:r w:rsidR="00E11137">
        <w:rPr>
          <w:szCs w:val="22"/>
        </w:rPr>
        <w:t>L</w:t>
      </w:r>
      <w:r w:rsidR="007744A7">
        <w:rPr>
          <w:szCs w:val="22"/>
        </w:rPr>
        <w:t>icence</w:t>
      </w:r>
      <w:r w:rsidR="00E11137">
        <w:rPr>
          <w:szCs w:val="22"/>
        </w:rPr>
        <w:t xml:space="preserve"> (AWL)</w:t>
      </w:r>
      <w:r w:rsidR="007744A7">
        <w:rPr>
          <w:szCs w:val="22"/>
        </w:rPr>
        <w:t xml:space="preserve"> services </w:t>
      </w:r>
      <w:r w:rsidRPr="00FE2393">
        <w:rPr>
          <w:szCs w:val="22"/>
        </w:rPr>
        <w:t>in the 3400–</w:t>
      </w:r>
      <w:r w:rsidR="007744A7">
        <w:rPr>
          <w:szCs w:val="22"/>
        </w:rPr>
        <w:t>4000 </w:t>
      </w:r>
      <w:r w:rsidRPr="00FE2393">
        <w:rPr>
          <w:szCs w:val="22"/>
        </w:rPr>
        <w:t>MHz band.</w:t>
      </w:r>
    </w:p>
    <w:p w14:paraId="2249D0CB" w14:textId="6A3FF584" w:rsidR="00FE2393" w:rsidRPr="00A60D1A" w:rsidRDefault="00FE2393" w:rsidP="00FE2393">
      <w:pPr>
        <w:rPr>
          <w:szCs w:val="22"/>
        </w:rPr>
      </w:pPr>
      <w:r w:rsidRPr="00A60D1A">
        <w:rPr>
          <w:szCs w:val="22"/>
        </w:rPr>
        <w:t>The information in this document reflects the ACMA’s statement of current policy in relation to frequency coordination</w:t>
      </w:r>
      <w:r w:rsidR="00E11137">
        <w:rPr>
          <w:szCs w:val="22"/>
        </w:rPr>
        <w:t xml:space="preserve"> for devices authorised under an AWL </w:t>
      </w:r>
      <w:r w:rsidRPr="00A60D1A">
        <w:rPr>
          <w:szCs w:val="22"/>
        </w:rPr>
        <w:t>in the 3400–</w:t>
      </w:r>
      <w:r w:rsidR="00E11137">
        <w:rPr>
          <w:szCs w:val="22"/>
        </w:rPr>
        <w:t>40</w:t>
      </w:r>
      <w:r w:rsidRPr="00A60D1A">
        <w:rPr>
          <w:szCs w:val="22"/>
        </w:rPr>
        <w:t>00 MHz band</w:t>
      </w:r>
      <w:r w:rsidR="00E11137">
        <w:rPr>
          <w:szCs w:val="22"/>
        </w:rPr>
        <w:t>s</w:t>
      </w:r>
      <w:r w:rsidRPr="00A60D1A">
        <w:rPr>
          <w:szCs w:val="22"/>
        </w:rPr>
        <w:t xml:space="preserve">. </w:t>
      </w:r>
      <w:r w:rsidRPr="00A60D1A">
        <w:rPr>
          <w:rFonts w:cs="Calibri"/>
          <w:szCs w:val="22"/>
        </w:rPr>
        <w:t xml:space="preserve">In making decisions, </w:t>
      </w:r>
      <w:hyperlink r:id="rId17" w:history="1">
        <w:r w:rsidR="00226F16" w:rsidRPr="007A56C3">
          <w:rPr>
            <w:rStyle w:val="Hyperlink"/>
            <w:rFonts w:cstheme="minorHAnsi"/>
            <w:szCs w:val="22"/>
          </w:rPr>
          <w:t>A</w:t>
        </w:r>
        <w:r w:rsidR="002F4584" w:rsidRPr="007A56C3">
          <w:rPr>
            <w:rStyle w:val="Hyperlink"/>
            <w:rFonts w:cstheme="minorHAnsi"/>
            <w:szCs w:val="22"/>
          </w:rPr>
          <w:t xml:space="preserve">ccredited </w:t>
        </w:r>
        <w:r w:rsidR="00226F16" w:rsidRPr="007A56C3">
          <w:rPr>
            <w:rStyle w:val="Hyperlink"/>
            <w:rFonts w:cstheme="minorHAnsi"/>
            <w:szCs w:val="22"/>
          </w:rPr>
          <w:t>P</w:t>
        </w:r>
        <w:r w:rsidR="002F4584" w:rsidRPr="007A56C3">
          <w:rPr>
            <w:rStyle w:val="Hyperlink"/>
            <w:rFonts w:cstheme="minorHAnsi"/>
            <w:szCs w:val="22"/>
          </w:rPr>
          <w:t>ersons</w:t>
        </w:r>
      </w:hyperlink>
      <w:r w:rsidR="002F4584">
        <w:rPr>
          <w:rFonts w:cstheme="minorHAnsi"/>
          <w:szCs w:val="22"/>
        </w:rPr>
        <w:t xml:space="preserve"> </w:t>
      </w:r>
      <w:r w:rsidRPr="00A60D1A">
        <w:rPr>
          <w:rFonts w:cstheme="minorHAnsi"/>
          <w:szCs w:val="22"/>
        </w:rPr>
        <w:t xml:space="preserve">and the ACMA’s officers </w:t>
      </w:r>
      <w:r w:rsidRPr="00A60D1A">
        <w:rPr>
          <w:rFonts w:cs="Calibri"/>
          <w:szCs w:val="22"/>
        </w:rPr>
        <w:t>should take all relevant factors into account and decide each case on its merits.</w:t>
      </w:r>
      <w:r w:rsidR="004332EE">
        <w:rPr>
          <w:rFonts w:cs="Calibri"/>
          <w:szCs w:val="22"/>
        </w:rPr>
        <w:t xml:space="preserve"> </w:t>
      </w:r>
      <w:r w:rsidRPr="00A60D1A">
        <w:rPr>
          <w:rFonts w:cs="Calibri"/>
          <w:szCs w:val="22"/>
        </w:rPr>
        <w:t xml:space="preserve">Issues relating to this document that appear to fall outside the </w:t>
      </w:r>
      <w:r w:rsidR="002B0C9D">
        <w:rPr>
          <w:rFonts w:cs="Calibri"/>
          <w:szCs w:val="22"/>
        </w:rPr>
        <w:t>stated</w:t>
      </w:r>
      <w:r w:rsidR="002B0C9D" w:rsidRPr="00A60D1A">
        <w:rPr>
          <w:rFonts w:cs="Calibri"/>
          <w:szCs w:val="22"/>
        </w:rPr>
        <w:t xml:space="preserve"> </w:t>
      </w:r>
      <w:r w:rsidRPr="00A60D1A">
        <w:rPr>
          <w:rFonts w:cstheme="minorHAnsi"/>
          <w:szCs w:val="22"/>
        </w:rPr>
        <w:t xml:space="preserve">policy should be referred </w:t>
      </w:r>
      <w:r w:rsidRPr="00A60D1A">
        <w:rPr>
          <w:szCs w:val="22"/>
        </w:rPr>
        <w:t>to:</w:t>
      </w:r>
    </w:p>
    <w:p w14:paraId="0E747637" w14:textId="0913E50C" w:rsidR="004A13A7" w:rsidRPr="00AF06C8" w:rsidRDefault="004A13A7" w:rsidP="00AF06C8">
      <w:pPr>
        <w:rPr>
          <w:szCs w:val="22"/>
        </w:rPr>
      </w:pPr>
      <w:r w:rsidRPr="00AF06C8">
        <w:rPr>
          <w:szCs w:val="22"/>
        </w:rPr>
        <w:t xml:space="preserve">The Manager, Spectrum </w:t>
      </w:r>
      <w:r w:rsidR="00746A68">
        <w:rPr>
          <w:szCs w:val="22"/>
        </w:rPr>
        <w:t>Planning Section</w:t>
      </w:r>
      <w:r w:rsidRPr="00AF06C8">
        <w:rPr>
          <w:szCs w:val="22"/>
        </w:rPr>
        <w:br/>
        <w:t>Australian Communications and Media Authority</w:t>
      </w:r>
      <w:r w:rsidRPr="00AF06C8">
        <w:rPr>
          <w:szCs w:val="22"/>
        </w:rPr>
        <w:br/>
        <w:t>PO Box 78</w:t>
      </w:r>
      <w:r w:rsidRPr="00AF06C8">
        <w:rPr>
          <w:szCs w:val="22"/>
        </w:rPr>
        <w:br/>
        <w:t>Belconnen ACT 2616</w:t>
      </w:r>
    </w:p>
    <w:p w14:paraId="24E7DB4C" w14:textId="57C6783F" w:rsidR="004A13A7" w:rsidRPr="00AF06C8" w:rsidRDefault="004A13A7" w:rsidP="00AF06C8">
      <w:pPr>
        <w:rPr>
          <w:rFonts w:cstheme="minorHAnsi"/>
          <w:szCs w:val="22"/>
        </w:rPr>
      </w:pPr>
      <w:r w:rsidRPr="00AF06C8">
        <w:rPr>
          <w:rFonts w:cstheme="minorHAnsi"/>
          <w:szCs w:val="22"/>
        </w:rPr>
        <w:t xml:space="preserve">or by email to: </w:t>
      </w:r>
      <w:hyperlink r:id="rId18" w:history="1">
        <w:r w:rsidRPr="00AF06C8">
          <w:rPr>
            <w:rStyle w:val="Hyperlink"/>
            <w:rFonts w:cstheme="minorHAnsi"/>
            <w:szCs w:val="22"/>
          </w:rPr>
          <w:t>freqplan@acma.gov.au</w:t>
        </w:r>
      </w:hyperlink>
    </w:p>
    <w:p w14:paraId="6DD4B8BD" w14:textId="14E6D3FC" w:rsidR="004A13A7" w:rsidRPr="00FD1033" w:rsidRDefault="003F4369" w:rsidP="00F04B19">
      <w:pPr>
        <w:pStyle w:val="Heading2"/>
        <w:ind w:left="709" w:hanging="709"/>
      </w:pPr>
      <w:bookmarkStart w:id="8" w:name="_Toc90984570"/>
      <w:r>
        <w:t>Background</w:t>
      </w:r>
      <w:bookmarkEnd w:id="8"/>
    </w:p>
    <w:p w14:paraId="5AD56100" w14:textId="1E4BA2D5" w:rsidR="00253D56" w:rsidRDefault="00253D56" w:rsidP="00FE2393">
      <w:pPr>
        <w:rPr>
          <w:szCs w:val="22"/>
        </w:rPr>
      </w:pPr>
      <w:bookmarkStart w:id="9" w:name="_Toc6298713"/>
      <w:bookmarkStart w:id="10" w:name="_Toc8983850"/>
      <w:bookmarkStart w:id="11" w:name="_Toc8986374"/>
      <w:r w:rsidRPr="00885439">
        <w:rPr>
          <w:rFonts w:cs="Arial"/>
          <w:bCs/>
          <w:color w:val="000000" w:themeColor="text1"/>
          <w:szCs w:val="20"/>
        </w:rPr>
        <w:t xml:space="preserve">In </w:t>
      </w:r>
      <w:r>
        <w:rPr>
          <w:rFonts w:cs="Arial"/>
          <w:bCs/>
          <w:color w:val="000000" w:themeColor="text1"/>
          <w:szCs w:val="20"/>
        </w:rPr>
        <w:t>January 2021,</w:t>
      </w:r>
      <w:r w:rsidRPr="00885439">
        <w:rPr>
          <w:rFonts w:cs="Arial"/>
          <w:bCs/>
          <w:color w:val="000000" w:themeColor="text1"/>
          <w:szCs w:val="20"/>
        </w:rPr>
        <w:t xml:space="preserve"> the</w:t>
      </w:r>
      <w:r w:rsidR="00983BC4" w:rsidRPr="00885439">
        <w:rPr>
          <w:rFonts w:cs="Arial"/>
          <w:color w:val="000000" w:themeColor="text1"/>
          <w:szCs w:val="20"/>
        </w:rPr>
        <w:t xml:space="preserve"> </w:t>
      </w:r>
      <w:r w:rsidR="00983BC4" w:rsidRPr="007D04B2">
        <w:rPr>
          <w:rFonts w:cs="Arial"/>
        </w:rPr>
        <w:t>Australian Communications and Media Authority (ACMA)</w:t>
      </w:r>
      <w:r w:rsidRPr="00885439">
        <w:rPr>
          <w:rFonts w:cs="Arial"/>
          <w:bCs/>
          <w:color w:val="000000" w:themeColor="text1"/>
          <w:szCs w:val="20"/>
        </w:rPr>
        <w:t xml:space="preserve"> released the </w:t>
      </w:r>
      <w:hyperlink r:id="rId19" w:history="1">
        <w:r>
          <w:rPr>
            <w:rStyle w:val="Hyperlink"/>
            <w:rFonts w:cs="Arial"/>
            <w:i/>
            <w:iCs/>
            <w:szCs w:val="20"/>
          </w:rPr>
          <w:t>Replanning the 3700-4200 MHz band - Outcomes paper</w:t>
        </w:r>
      </w:hyperlink>
      <w:r w:rsidRPr="00885439">
        <w:rPr>
          <w:rFonts w:cs="Arial"/>
          <w:bCs/>
          <w:color w:val="000000" w:themeColor="text1"/>
          <w:szCs w:val="20"/>
        </w:rPr>
        <w:t xml:space="preserve"> (the </w:t>
      </w:r>
      <w:r>
        <w:rPr>
          <w:rFonts w:cs="Arial"/>
          <w:bCs/>
          <w:color w:val="000000" w:themeColor="text1"/>
          <w:szCs w:val="20"/>
        </w:rPr>
        <w:t xml:space="preserve">2021 </w:t>
      </w:r>
      <w:r w:rsidRPr="00885439">
        <w:rPr>
          <w:rFonts w:cs="Arial"/>
          <w:bCs/>
          <w:color w:val="000000" w:themeColor="text1"/>
          <w:szCs w:val="20"/>
        </w:rPr>
        <w:t>Outcomes paper).</w:t>
      </w:r>
      <w:r w:rsidRPr="00885439">
        <w:rPr>
          <w:rFonts w:cs="Arial"/>
          <w:b/>
          <w:color w:val="000000" w:themeColor="text1"/>
          <w:szCs w:val="20"/>
        </w:rPr>
        <w:t xml:space="preserve"> </w:t>
      </w:r>
      <w:r>
        <w:rPr>
          <w:rFonts w:cs="Arial"/>
        </w:rPr>
        <w:t>This paper described the ACMA’s planning outcomes and preliminary views to introduce wireless broadband services in the 3700-4200 MHz band, using a combination of apparatus and spectrum licensing arrangements.</w:t>
      </w:r>
    </w:p>
    <w:p w14:paraId="20056433" w14:textId="77777777" w:rsidR="00253D56" w:rsidRDefault="00253D56" w:rsidP="00253D56">
      <w:pPr>
        <w:rPr>
          <w:szCs w:val="20"/>
        </w:rPr>
      </w:pPr>
      <w:r>
        <w:t>T</w:t>
      </w:r>
      <w:r w:rsidRPr="00197A32">
        <w:t xml:space="preserve">he Outcomes paper </w:t>
      </w:r>
      <w:r>
        <w:t>also stated that</w:t>
      </w:r>
      <w:r w:rsidRPr="00197A32">
        <w:t xml:space="preserve"> the ACMA would</w:t>
      </w:r>
      <w:r>
        <w:t>,</w:t>
      </w:r>
      <w:r w:rsidRPr="00197A32">
        <w:t xml:space="preserve"> </w:t>
      </w:r>
      <w:r>
        <w:t>as far as practical, extend or align frameworks and the timing of their development with similar ones in the 3400-3700 MHz (3.4 GHz) band. T</w:t>
      </w:r>
      <w:r w:rsidRPr="00197A32">
        <w:rPr>
          <w:szCs w:val="20"/>
        </w:rPr>
        <w:t xml:space="preserve">he paper </w:t>
      </w:r>
      <w:hyperlink r:id="rId20" w:history="1">
        <w:r w:rsidRPr="00197A32">
          <w:rPr>
            <w:rStyle w:val="Hyperlink"/>
            <w:i/>
            <w:iCs/>
            <w:szCs w:val="20"/>
          </w:rPr>
          <w:t>Optimising arrangements for the 3400-3575 MHz band: Planning decisions and preliminary views</w:t>
        </w:r>
      </w:hyperlink>
      <w:r w:rsidRPr="00197A32">
        <w:rPr>
          <w:i/>
          <w:iCs/>
          <w:szCs w:val="20"/>
        </w:rPr>
        <w:t xml:space="preserve"> </w:t>
      </w:r>
      <w:r>
        <w:rPr>
          <w:szCs w:val="20"/>
        </w:rPr>
        <w:t xml:space="preserve">(the 2019 Outcomes paper) outlines the planning outcomes for the 3.4 GHz band. </w:t>
      </w:r>
    </w:p>
    <w:p w14:paraId="59CC9D14" w14:textId="4712855C" w:rsidR="00253D56" w:rsidRDefault="00253D56" w:rsidP="00FE2393">
      <w:pPr>
        <w:rPr>
          <w:szCs w:val="22"/>
        </w:rPr>
      </w:pPr>
      <w:r>
        <w:rPr>
          <w:rFonts w:cs="Arial"/>
          <w:bCs/>
          <w:color w:val="000000" w:themeColor="text1"/>
          <w:szCs w:val="20"/>
        </w:rPr>
        <w:t xml:space="preserve">To facilitate development of apparatus and spectrum licence arrangements, the ACMA </w:t>
      </w:r>
      <w:r w:rsidR="00983BC4">
        <w:rPr>
          <w:rFonts w:cs="Arial"/>
          <w:color w:val="000000" w:themeColor="text1"/>
          <w:szCs w:val="20"/>
        </w:rPr>
        <w:t>formed a technical liaison group (TLG) to review</w:t>
      </w:r>
      <w:r>
        <w:rPr>
          <w:rFonts w:cs="Arial"/>
          <w:bCs/>
          <w:color w:val="000000" w:themeColor="text1"/>
          <w:szCs w:val="20"/>
        </w:rPr>
        <w:t>/</w:t>
      </w:r>
      <w:r w:rsidR="00983BC4">
        <w:rPr>
          <w:rFonts w:cs="Arial"/>
          <w:color w:val="000000" w:themeColor="text1"/>
          <w:szCs w:val="20"/>
        </w:rPr>
        <w:t xml:space="preserve">develop spectrum and apparatus licence technical frameworks for the </w:t>
      </w:r>
      <w:r>
        <w:rPr>
          <w:rFonts w:cs="Arial"/>
          <w:bCs/>
          <w:color w:val="000000" w:themeColor="text1"/>
          <w:szCs w:val="20"/>
        </w:rPr>
        <w:t xml:space="preserve">broader </w:t>
      </w:r>
      <w:r w:rsidR="00983BC4">
        <w:rPr>
          <w:rFonts w:cs="Arial"/>
          <w:color w:val="000000" w:themeColor="text1"/>
          <w:szCs w:val="20"/>
        </w:rPr>
        <w:t>3400-4000 MHz range</w:t>
      </w:r>
      <w:r>
        <w:rPr>
          <w:rFonts w:cs="Arial"/>
          <w:bCs/>
          <w:color w:val="000000" w:themeColor="text1"/>
          <w:szCs w:val="20"/>
        </w:rPr>
        <w:t xml:space="preserve"> (where applicable). </w:t>
      </w:r>
      <w:r>
        <w:t>A</w:t>
      </w:r>
      <w:r w:rsidRPr="00736BE8">
        <w:t xml:space="preserve"> TLG is a short-term advisory body convened by the ACMA. Its purpose is to provide advice on the development of, or possible changes to, a spectrum or apparatus licence technical framework. </w:t>
      </w:r>
      <w:r>
        <w:rPr>
          <w:rFonts w:cs="Arial"/>
          <w:bCs/>
          <w:color w:val="000000" w:themeColor="text1"/>
          <w:szCs w:val="20"/>
        </w:rPr>
        <w:t xml:space="preserve">The TLG was formed in July 2021 and finalised its work in </w:t>
      </w:r>
      <w:r w:rsidRPr="00BF17A4">
        <w:rPr>
          <w:rFonts w:cs="Arial"/>
          <w:bCs/>
          <w:color w:val="000000" w:themeColor="text1"/>
          <w:szCs w:val="20"/>
          <w:highlight w:val="yellow"/>
        </w:rPr>
        <w:t>[</w:t>
      </w:r>
      <w:r w:rsidRPr="00106E80">
        <w:rPr>
          <w:rFonts w:cs="Arial"/>
          <w:bCs/>
          <w:color w:val="000000" w:themeColor="text1"/>
          <w:szCs w:val="20"/>
        </w:rPr>
        <w:t>TBD</w:t>
      </w:r>
      <w:r>
        <w:rPr>
          <w:rFonts w:cs="Arial"/>
          <w:bCs/>
          <w:color w:val="000000" w:themeColor="text1"/>
          <w:szCs w:val="20"/>
        </w:rPr>
        <w:t>].</w:t>
      </w:r>
      <w:r w:rsidR="002A60A9">
        <w:rPr>
          <w:rFonts w:cs="Arial"/>
          <w:bCs/>
          <w:color w:val="000000" w:themeColor="text1"/>
          <w:szCs w:val="20"/>
        </w:rPr>
        <w:t xml:space="preserve"> The </w:t>
      </w:r>
      <w:r w:rsidR="005D6B7B">
        <w:rPr>
          <w:rFonts w:cs="Arial"/>
          <w:bCs/>
          <w:color w:val="000000" w:themeColor="text1"/>
          <w:szCs w:val="20"/>
        </w:rPr>
        <w:t xml:space="preserve">interim </w:t>
      </w:r>
      <w:r w:rsidR="002A60A9">
        <w:rPr>
          <w:rFonts w:cs="Arial"/>
          <w:bCs/>
          <w:color w:val="000000" w:themeColor="text1"/>
          <w:szCs w:val="20"/>
        </w:rPr>
        <w:t>outcomes of the TLG</w:t>
      </w:r>
      <w:r w:rsidR="005D6B7B">
        <w:rPr>
          <w:rFonts w:cs="Arial"/>
          <w:bCs/>
          <w:color w:val="000000" w:themeColor="text1"/>
          <w:szCs w:val="20"/>
        </w:rPr>
        <w:t xml:space="preserve"> </w:t>
      </w:r>
      <w:r w:rsidR="005E69C2">
        <w:rPr>
          <w:rFonts w:cs="Arial"/>
          <w:bCs/>
          <w:color w:val="000000" w:themeColor="text1"/>
          <w:szCs w:val="20"/>
        </w:rPr>
        <w:t>[</w:t>
      </w:r>
      <w:r w:rsidR="002A60A9">
        <w:rPr>
          <w:rFonts w:cs="Arial"/>
          <w:bCs/>
          <w:color w:val="000000" w:themeColor="text1"/>
          <w:szCs w:val="20"/>
        </w:rPr>
        <w:t>are</w:t>
      </w:r>
      <w:r w:rsidR="005E69C2">
        <w:rPr>
          <w:rFonts w:cs="Arial"/>
          <w:bCs/>
          <w:color w:val="000000" w:themeColor="text1"/>
          <w:szCs w:val="20"/>
        </w:rPr>
        <w:t>/wi</w:t>
      </w:r>
      <w:r w:rsidR="00004B16">
        <w:rPr>
          <w:rFonts w:cs="Arial"/>
          <w:bCs/>
          <w:color w:val="000000" w:themeColor="text1"/>
          <w:szCs w:val="20"/>
        </w:rPr>
        <w:t>l</w:t>
      </w:r>
      <w:r w:rsidR="005E69C2">
        <w:rPr>
          <w:rFonts w:cs="Arial"/>
          <w:bCs/>
          <w:color w:val="000000" w:themeColor="text1"/>
          <w:szCs w:val="20"/>
        </w:rPr>
        <w:t>l be]</w:t>
      </w:r>
      <w:r w:rsidR="002A60A9">
        <w:rPr>
          <w:rFonts w:cs="Arial"/>
          <w:bCs/>
          <w:color w:val="000000" w:themeColor="text1"/>
          <w:szCs w:val="20"/>
        </w:rPr>
        <w:t xml:space="preserve"> available on the </w:t>
      </w:r>
      <w:hyperlink r:id="rId21" w:history="1">
        <w:r w:rsidR="002A60A9" w:rsidRPr="002A60A9">
          <w:rPr>
            <w:rStyle w:val="Hyperlink"/>
            <w:rFonts w:cs="Arial"/>
            <w:bCs/>
            <w:szCs w:val="20"/>
          </w:rPr>
          <w:t>ACMA website</w:t>
        </w:r>
      </w:hyperlink>
      <w:r w:rsidR="002A60A9">
        <w:rPr>
          <w:rFonts w:cs="Arial"/>
          <w:bCs/>
          <w:color w:val="000000" w:themeColor="text1"/>
          <w:szCs w:val="20"/>
        </w:rPr>
        <w:t xml:space="preserve">. </w:t>
      </w:r>
      <w:r w:rsidR="00D11E45">
        <w:rPr>
          <w:rFonts w:cs="Arial"/>
          <w:bCs/>
          <w:color w:val="000000" w:themeColor="text1"/>
          <w:szCs w:val="20"/>
        </w:rPr>
        <w:t xml:space="preserve">This </w:t>
      </w:r>
      <w:r w:rsidR="00004B16">
        <w:rPr>
          <w:rFonts w:cs="Arial"/>
          <w:bCs/>
          <w:color w:val="000000" w:themeColor="text1"/>
          <w:szCs w:val="20"/>
        </w:rPr>
        <w:t xml:space="preserve">draft </w:t>
      </w:r>
      <w:r w:rsidR="00D11E45">
        <w:rPr>
          <w:rFonts w:cs="Arial"/>
          <w:bCs/>
          <w:color w:val="000000" w:themeColor="text1"/>
          <w:szCs w:val="20"/>
        </w:rPr>
        <w:t xml:space="preserve">RALI reflects those </w:t>
      </w:r>
      <w:r w:rsidR="00370D6D">
        <w:rPr>
          <w:rFonts w:cs="Arial"/>
          <w:bCs/>
          <w:color w:val="000000" w:themeColor="text1"/>
          <w:szCs w:val="20"/>
        </w:rPr>
        <w:t>discussions but</w:t>
      </w:r>
      <w:r w:rsidR="00D11E45">
        <w:rPr>
          <w:rFonts w:cs="Arial"/>
          <w:bCs/>
          <w:color w:val="000000" w:themeColor="text1"/>
          <w:szCs w:val="20"/>
        </w:rPr>
        <w:t xml:space="preserve"> may need to be revised after formal technical framework consultation on remote area arrangements, and in the future when the technical framework in other areas is </w:t>
      </w:r>
      <w:r w:rsidR="00004B16">
        <w:rPr>
          <w:rFonts w:cs="Arial"/>
          <w:bCs/>
          <w:color w:val="000000" w:themeColor="text1"/>
          <w:szCs w:val="20"/>
        </w:rPr>
        <w:t xml:space="preserve">further </w:t>
      </w:r>
      <w:r w:rsidR="00D11E45">
        <w:rPr>
          <w:rFonts w:cs="Arial"/>
          <w:bCs/>
          <w:color w:val="000000" w:themeColor="text1"/>
          <w:szCs w:val="20"/>
        </w:rPr>
        <w:t>considered.</w:t>
      </w:r>
    </w:p>
    <w:p w14:paraId="3C931D47" w14:textId="313AC740" w:rsidR="00FE2393" w:rsidRDefault="00FE2393" w:rsidP="00FE2393">
      <w:pPr>
        <w:rPr>
          <w:rFonts w:cstheme="minorHAnsi"/>
          <w:szCs w:val="22"/>
        </w:rPr>
      </w:pPr>
      <w:r w:rsidRPr="00363251">
        <w:rPr>
          <w:szCs w:val="22"/>
        </w:rPr>
        <w:t xml:space="preserve">This RALI consolidates arrangements for </w:t>
      </w:r>
      <w:r w:rsidR="005915F3">
        <w:rPr>
          <w:szCs w:val="22"/>
        </w:rPr>
        <w:t xml:space="preserve">incumbent </w:t>
      </w:r>
      <w:r w:rsidRPr="00363251">
        <w:rPr>
          <w:szCs w:val="22"/>
        </w:rPr>
        <w:t xml:space="preserve">point to multipoint apparatus </w:t>
      </w:r>
      <w:r w:rsidR="005915F3">
        <w:rPr>
          <w:szCs w:val="22"/>
        </w:rPr>
        <w:t>services</w:t>
      </w:r>
      <w:r w:rsidRPr="00363251">
        <w:rPr>
          <w:szCs w:val="22"/>
        </w:rPr>
        <w:t xml:space="preserve"> </w:t>
      </w:r>
      <w:r w:rsidR="007744A7">
        <w:rPr>
          <w:szCs w:val="22"/>
        </w:rPr>
        <w:t xml:space="preserve">and </w:t>
      </w:r>
      <w:r w:rsidR="00F01336">
        <w:rPr>
          <w:szCs w:val="22"/>
        </w:rPr>
        <w:t xml:space="preserve">proposed </w:t>
      </w:r>
      <w:r w:rsidR="007744A7">
        <w:rPr>
          <w:szCs w:val="22"/>
        </w:rPr>
        <w:t xml:space="preserve">Area-Wide Licences </w:t>
      </w:r>
      <w:r w:rsidRPr="00363251">
        <w:rPr>
          <w:szCs w:val="22"/>
        </w:rPr>
        <w:t>across the 3400–</w:t>
      </w:r>
      <w:r w:rsidR="007744A7">
        <w:rPr>
          <w:szCs w:val="22"/>
        </w:rPr>
        <w:t>40</w:t>
      </w:r>
      <w:r w:rsidR="007744A7" w:rsidRPr="00363251">
        <w:rPr>
          <w:szCs w:val="22"/>
        </w:rPr>
        <w:t>00</w:t>
      </w:r>
      <w:r w:rsidR="007744A7">
        <w:rPr>
          <w:szCs w:val="22"/>
        </w:rPr>
        <w:t> </w:t>
      </w:r>
      <w:r w:rsidRPr="00363251">
        <w:rPr>
          <w:szCs w:val="22"/>
        </w:rPr>
        <w:t>MHz band.  It replaces</w:t>
      </w:r>
      <w:r>
        <w:rPr>
          <w:szCs w:val="22"/>
        </w:rPr>
        <w:t xml:space="preserve"> </w:t>
      </w:r>
      <w:hyperlink r:id="rId22" w:history="1">
        <w:r w:rsidRPr="00FD545B">
          <w:rPr>
            <w:rStyle w:val="Hyperlink"/>
            <w:rFonts w:cstheme="minorHAnsi"/>
            <w:i/>
            <w:iCs/>
            <w:szCs w:val="22"/>
          </w:rPr>
          <w:t>RALI FX14</w:t>
        </w:r>
        <w:r w:rsidR="004669F7">
          <w:rPr>
            <w:rStyle w:val="Hyperlink"/>
            <w:rFonts w:cstheme="minorHAnsi"/>
            <w:i/>
            <w:iCs/>
            <w:szCs w:val="22"/>
          </w:rPr>
          <w:t xml:space="preserve"> </w:t>
        </w:r>
        <w:r w:rsidRPr="00FD545B">
          <w:rPr>
            <w:rStyle w:val="Hyperlink"/>
            <w:rFonts w:cstheme="minorHAnsi"/>
            <w:i/>
            <w:iCs/>
            <w:szCs w:val="22"/>
          </w:rPr>
          <w:t>—</w:t>
        </w:r>
        <w:r w:rsidR="004669F7">
          <w:rPr>
            <w:rStyle w:val="Hyperlink"/>
            <w:rFonts w:cstheme="minorHAnsi"/>
            <w:i/>
            <w:iCs/>
            <w:szCs w:val="22"/>
          </w:rPr>
          <w:t xml:space="preserve"> </w:t>
        </w:r>
        <w:r w:rsidRPr="00FD545B">
          <w:rPr>
            <w:rStyle w:val="Hyperlink"/>
            <w:rFonts w:cstheme="minorHAnsi"/>
            <w:i/>
            <w:iCs/>
            <w:szCs w:val="22"/>
          </w:rPr>
          <w:t>Point to Multipoint Fixed Services in Specified Parts of the 3.4–3.5 GHz Band</w:t>
        </w:r>
      </w:hyperlink>
      <w:r w:rsidRPr="00FD545B">
        <w:rPr>
          <w:rFonts w:cstheme="minorHAnsi"/>
          <w:szCs w:val="22"/>
        </w:rPr>
        <w:t xml:space="preserve">; and </w:t>
      </w:r>
      <w:r>
        <w:rPr>
          <w:rFonts w:cstheme="minorHAnsi"/>
          <w:szCs w:val="22"/>
        </w:rPr>
        <w:t xml:space="preserve">the parts of </w:t>
      </w:r>
      <w:hyperlink r:id="rId23" w:history="1">
        <w:r w:rsidRPr="00FD545B">
          <w:rPr>
            <w:rStyle w:val="Hyperlink"/>
            <w:rFonts w:cstheme="minorHAnsi"/>
            <w:i/>
            <w:iCs/>
            <w:szCs w:val="22"/>
          </w:rPr>
          <w:t>RALI FX19</w:t>
        </w:r>
        <w:r w:rsidR="004669F7">
          <w:rPr>
            <w:rStyle w:val="Hyperlink"/>
            <w:rFonts w:cstheme="minorHAnsi"/>
            <w:i/>
            <w:iCs/>
            <w:szCs w:val="22"/>
          </w:rPr>
          <w:t xml:space="preserve"> </w:t>
        </w:r>
        <w:r w:rsidRPr="00FD545B">
          <w:rPr>
            <w:rStyle w:val="Hyperlink"/>
            <w:rFonts w:cstheme="minorHAnsi"/>
            <w:i/>
            <w:iCs/>
            <w:szCs w:val="22"/>
          </w:rPr>
          <w:t>—</w:t>
        </w:r>
        <w:r w:rsidR="004669F7">
          <w:rPr>
            <w:rStyle w:val="Hyperlink"/>
            <w:rFonts w:cstheme="minorHAnsi"/>
            <w:i/>
            <w:iCs/>
            <w:szCs w:val="22"/>
          </w:rPr>
          <w:t xml:space="preserve"> </w:t>
        </w:r>
        <w:r w:rsidRPr="00FD545B">
          <w:rPr>
            <w:rStyle w:val="Hyperlink"/>
            <w:rFonts w:cstheme="minorHAnsi"/>
            <w:i/>
            <w:iCs/>
            <w:szCs w:val="22"/>
          </w:rPr>
          <w:t>Frequency Coordination and Licensing Procedures for apparatus licensed Broadband Wireless Access Services in the 1900–1920 and 3575–3700 MHz bands</w:t>
        </w:r>
      </w:hyperlink>
      <w:r>
        <w:rPr>
          <w:rFonts w:cstheme="minorHAnsi"/>
          <w:szCs w:val="22"/>
        </w:rPr>
        <w:t xml:space="preserve"> that concern the 3575–3700 MHz band.</w:t>
      </w:r>
    </w:p>
    <w:p w14:paraId="39EDDB01" w14:textId="77777777" w:rsidR="00686D1B" w:rsidRDefault="00686D1B">
      <w:pPr>
        <w:spacing w:after="0" w:line="240" w:lineRule="auto"/>
        <w:rPr>
          <w:rFonts w:cs="Arial"/>
          <w:b/>
          <w:bCs/>
          <w:iCs/>
          <w:sz w:val="28"/>
          <w:szCs w:val="28"/>
        </w:rPr>
      </w:pPr>
      <w:r>
        <w:br w:type="page"/>
      </w:r>
    </w:p>
    <w:p w14:paraId="3D792107" w14:textId="0155215F" w:rsidR="00065F51" w:rsidRDefault="003F4369" w:rsidP="00F04B19">
      <w:pPr>
        <w:pStyle w:val="Heading2"/>
        <w:ind w:left="709" w:hanging="709"/>
      </w:pPr>
      <w:bookmarkStart w:id="12" w:name="_Toc90984571"/>
      <w:r>
        <w:lastRenderedPageBreak/>
        <w:t>Scope</w:t>
      </w:r>
      <w:bookmarkEnd w:id="12"/>
    </w:p>
    <w:p w14:paraId="21A9B4FB" w14:textId="53BFCAEB" w:rsidR="00482121" w:rsidRDefault="00ED4933" w:rsidP="00CE598A">
      <w:pPr>
        <w:rPr>
          <w:szCs w:val="22"/>
        </w:rPr>
      </w:pPr>
      <w:r w:rsidRPr="00AF06C8">
        <w:rPr>
          <w:szCs w:val="22"/>
        </w:rPr>
        <w:t xml:space="preserve">The scope of the RALI </w:t>
      </w:r>
      <w:r>
        <w:rPr>
          <w:szCs w:val="22"/>
        </w:rPr>
        <w:t xml:space="preserve">covers </w:t>
      </w:r>
      <w:r w:rsidR="002A60A9">
        <w:rPr>
          <w:szCs w:val="22"/>
        </w:rPr>
        <w:t>frequency assignment</w:t>
      </w:r>
      <w:r w:rsidR="000B6C35">
        <w:rPr>
          <w:szCs w:val="22"/>
        </w:rPr>
        <w:t xml:space="preserve"> </w:t>
      </w:r>
      <w:r>
        <w:rPr>
          <w:szCs w:val="22"/>
        </w:rPr>
        <w:t xml:space="preserve">and coordination arrangements for </w:t>
      </w:r>
      <w:r>
        <w:t xml:space="preserve">AWLs </w:t>
      </w:r>
      <w:r>
        <w:rPr>
          <w:szCs w:val="22"/>
        </w:rPr>
        <w:t>in the 3400-400</w:t>
      </w:r>
      <w:r w:rsidR="002A60A9">
        <w:rPr>
          <w:szCs w:val="22"/>
        </w:rPr>
        <w:t>0</w:t>
      </w:r>
      <w:r>
        <w:rPr>
          <w:szCs w:val="22"/>
        </w:rPr>
        <w:t xml:space="preserve"> MHz frequency range. </w:t>
      </w:r>
      <w:r w:rsidR="00931E24">
        <w:rPr>
          <w:szCs w:val="22"/>
        </w:rPr>
        <w:t xml:space="preserve">It also places </w:t>
      </w:r>
      <w:r w:rsidR="00A24EC5">
        <w:rPr>
          <w:szCs w:val="22"/>
        </w:rPr>
        <w:t>restrictions</w:t>
      </w:r>
      <w:r w:rsidR="00931E24">
        <w:rPr>
          <w:szCs w:val="22"/>
        </w:rPr>
        <w:t xml:space="preserve"> on the types of apparatus licences that may be issued in the 3400-4000 MHz range.</w:t>
      </w:r>
      <w:r w:rsidR="00482121" w:rsidRPr="00482121">
        <w:rPr>
          <w:szCs w:val="22"/>
        </w:rPr>
        <w:t xml:space="preserve"> </w:t>
      </w:r>
      <w:r w:rsidR="00CC2736">
        <w:rPr>
          <w:szCs w:val="22"/>
        </w:rPr>
        <w:t>[</w:t>
      </w:r>
      <w:r w:rsidR="00482121">
        <w:rPr>
          <w:szCs w:val="22"/>
        </w:rPr>
        <w:t xml:space="preserve">This RALI should be read in conjunction with the </w:t>
      </w:r>
      <w:r w:rsidR="000B6C35">
        <w:rPr>
          <w:szCs w:val="22"/>
        </w:rPr>
        <w:t>[</w:t>
      </w:r>
      <w:r w:rsidR="000B6C35">
        <w:rPr>
          <w:i/>
          <w:iCs/>
          <w:szCs w:val="22"/>
        </w:rPr>
        <w:t xml:space="preserve">any relevant application information pack </w:t>
      </w:r>
      <w:r w:rsidR="00482121">
        <w:rPr>
          <w:szCs w:val="22"/>
        </w:rPr>
        <w:t>(the Applicant Information Pack)</w:t>
      </w:r>
      <w:r w:rsidR="00D31308">
        <w:rPr>
          <w:szCs w:val="22"/>
        </w:rPr>
        <w:t>]</w:t>
      </w:r>
      <w:r w:rsidR="002A60A9">
        <w:rPr>
          <w:szCs w:val="22"/>
        </w:rPr>
        <w:t xml:space="preserve"> that may apply for the allocation of licences</w:t>
      </w:r>
      <w:r w:rsidR="000B6C35">
        <w:rPr>
          <w:szCs w:val="22"/>
        </w:rPr>
        <w:t>]</w:t>
      </w:r>
      <w:r w:rsidR="003C404D">
        <w:rPr>
          <w:szCs w:val="22"/>
        </w:rPr>
        <w:t>.</w:t>
      </w:r>
    </w:p>
    <w:p w14:paraId="22B9AA7B" w14:textId="1E0515F1" w:rsidR="00121469" w:rsidRDefault="00121469" w:rsidP="00CE598A">
      <w:pPr>
        <w:rPr>
          <w:szCs w:val="22"/>
        </w:rPr>
      </w:pPr>
      <w:r>
        <w:rPr>
          <w:szCs w:val="22"/>
        </w:rPr>
        <w:t xml:space="preserve">This, </w:t>
      </w:r>
      <w:r w:rsidR="00707C73">
        <w:rPr>
          <w:szCs w:val="22"/>
        </w:rPr>
        <w:t>first version</w:t>
      </w:r>
      <w:r>
        <w:rPr>
          <w:szCs w:val="22"/>
        </w:rPr>
        <w:t xml:space="preserve"> of the RALI </w:t>
      </w:r>
      <w:r w:rsidR="00D31308">
        <w:rPr>
          <w:szCs w:val="22"/>
        </w:rPr>
        <w:t>is applicable to</w:t>
      </w:r>
      <w:r>
        <w:rPr>
          <w:szCs w:val="22"/>
        </w:rPr>
        <w:t xml:space="preserve"> AWLs in remote areas, as defined in Appendix A, only</w:t>
      </w:r>
      <w:r w:rsidR="00707C73">
        <w:rPr>
          <w:szCs w:val="22"/>
        </w:rPr>
        <w:t>, where operation of earth stations under an AWL is not currently applicable</w:t>
      </w:r>
      <w:r>
        <w:rPr>
          <w:szCs w:val="22"/>
        </w:rPr>
        <w:t>. It is expected that the RALI will be updated when allocation arrangements in other areas are developed.</w:t>
      </w:r>
    </w:p>
    <w:p w14:paraId="5A81105A" w14:textId="77EB7E17" w:rsidR="00482121" w:rsidRDefault="00CE598A" w:rsidP="00482121">
      <w:r>
        <w:t>Th</w:t>
      </w:r>
      <w:r w:rsidR="00F21718">
        <w:t>is</w:t>
      </w:r>
      <w:r>
        <w:t xml:space="preserve"> RALI provides instructions </w:t>
      </w:r>
      <w:r w:rsidR="00463DE9">
        <w:t>to</w:t>
      </w:r>
      <w:r>
        <w:t xml:space="preserve"> be used by ACMA assigners and Accredited Persons when assessing whether proposed new systems will cause (or receive) unacceptable interference to (or from) existing services.</w:t>
      </w:r>
      <w:r w:rsidR="00482121" w:rsidRPr="00482121">
        <w:rPr>
          <w:szCs w:val="22"/>
        </w:rPr>
        <w:t xml:space="preserve"> </w:t>
      </w:r>
      <w:r w:rsidR="00482121">
        <w:rPr>
          <w:szCs w:val="22"/>
        </w:rPr>
        <w:t xml:space="preserve">Technical arrangements detailed in this RALI have been developed using information from the 3400-4000 MHz Technical Liaison Group (TLG) – TLG papers are available on the </w:t>
      </w:r>
      <w:hyperlink r:id="rId24" w:history="1">
        <w:r w:rsidR="00482121" w:rsidRPr="005E534B">
          <w:rPr>
            <w:rStyle w:val="Hyperlink"/>
            <w:szCs w:val="22"/>
          </w:rPr>
          <w:t>ACMA website</w:t>
        </w:r>
      </w:hyperlink>
      <w:r w:rsidR="00482121">
        <w:rPr>
          <w:szCs w:val="22"/>
        </w:rPr>
        <w:t>.</w:t>
      </w:r>
    </w:p>
    <w:p w14:paraId="0F6D441B" w14:textId="4E64CD4C" w:rsidR="00CE598A" w:rsidRDefault="00CE598A" w:rsidP="00CE598A">
      <w:r>
        <w:t>If interference occurs after a</w:t>
      </w:r>
      <w:r w:rsidR="00DE6871">
        <w:t>n AWL</w:t>
      </w:r>
      <w:r>
        <w:t xml:space="preserve"> is issued and the </w:t>
      </w:r>
      <w:r w:rsidR="000D00BF">
        <w:t>AWL</w:t>
      </w:r>
      <w:r w:rsidR="00DE6871">
        <w:t xml:space="preserve"> transmitter is registered</w:t>
      </w:r>
      <w:r w:rsidR="00674079">
        <w:t>,</w:t>
      </w:r>
      <w:r>
        <w:t xml:space="preserve"> and the issue cannot be resolved between the </w:t>
      </w:r>
      <w:r w:rsidR="00D31308">
        <w:t xml:space="preserve">relevant </w:t>
      </w:r>
      <w:r>
        <w:t xml:space="preserve">parties, licensees can expect the ACMA to have regard to this RALI and relevant legislative instruments in </w:t>
      </w:r>
      <w:r w:rsidR="002A60A9">
        <w:t>resolving</w:t>
      </w:r>
      <w:r>
        <w:t xml:space="preserve"> the </w:t>
      </w:r>
      <w:r w:rsidR="003C404D">
        <w:t>matter</w:t>
      </w:r>
      <w:r>
        <w:t>.</w:t>
      </w:r>
    </w:p>
    <w:p w14:paraId="4C447602" w14:textId="77777777" w:rsidR="0043648B" w:rsidRPr="00DE7566" w:rsidRDefault="0043648B" w:rsidP="00F04B19">
      <w:pPr>
        <w:pStyle w:val="Heading3"/>
        <w:ind w:left="709" w:hanging="709"/>
      </w:pPr>
      <w:bookmarkStart w:id="13" w:name="_Toc6298712"/>
      <w:bookmarkStart w:id="14" w:name="_Toc8983849"/>
      <w:bookmarkStart w:id="15" w:name="_Toc8986373"/>
      <w:bookmarkStart w:id="16" w:name="_Toc57195660"/>
      <w:bookmarkStart w:id="17" w:name="_Toc90984572"/>
      <w:r w:rsidRPr="00DE7566">
        <w:t>Basic principles</w:t>
      </w:r>
      <w:bookmarkEnd w:id="13"/>
      <w:bookmarkEnd w:id="14"/>
      <w:bookmarkEnd w:id="15"/>
      <w:bookmarkEnd w:id="16"/>
      <w:bookmarkEnd w:id="17"/>
    </w:p>
    <w:p w14:paraId="79701785" w14:textId="7D684906" w:rsidR="0043648B" w:rsidRDefault="0043648B" w:rsidP="0043648B">
      <w:pPr>
        <w:rPr>
          <w:szCs w:val="22"/>
        </w:rPr>
      </w:pPr>
      <w:r w:rsidRPr="00AF06C8">
        <w:rPr>
          <w:szCs w:val="22"/>
        </w:rPr>
        <w:t xml:space="preserve">The basic principles </w:t>
      </w:r>
      <w:r>
        <w:rPr>
          <w:szCs w:val="22"/>
        </w:rPr>
        <w:t xml:space="preserve">for issuing and operating devices under an </w:t>
      </w:r>
      <w:r>
        <w:t>AWL</w:t>
      </w:r>
      <w:r>
        <w:rPr>
          <w:szCs w:val="22"/>
        </w:rPr>
        <w:t xml:space="preserve"> in the 3400-4000 MHz range are:</w:t>
      </w:r>
    </w:p>
    <w:p w14:paraId="3101960B" w14:textId="0EF8A524" w:rsidR="0043648B" w:rsidRDefault="0043648B" w:rsidP="0043648B">
      <w:pPr>
        <w:pStyle w:val="ListBullet"/>
      </w:pPr>
      <w:r>
        <w:t xml:space="preserve">An AWL provides service-flexible and technology-flexible access to a frequency range and geographic area (its ‘licence area’) specified on the licence. Conditions applicable to all AWLs in the 3400-4000 MHz range are detailed in the </w:t>
      </w:r>
      <w:r w:rsidR="00686D1B" w:rsidRPr="00106E80">
        <w:t>Radiocommunications Licence Conditions (Area-Wide Licence) Determination 2020</w:t>
      </w:r>
      <w:r>
        <w:t xml:space="preserve"> (the AWL LCD),</w:t>
      </w:r>
      <w:r>
        <w:rPr>
          <w:rStyle w:val="FootnoteReference"/>
        </w:rPr>
        <w:footnoteReference w:id="2"/>
      </w:r>
      <w:r>
        <w:t xml:space="preserve"> as in force from time to time.</w:t>
      </w:r>
    </w:p>
    <w:p w14:paraId="4E10480A" w14:textId="25DA7553" w:rsidR="0043648B" w:rsidRDefault="0043648B" w:rsidP="005E5B48">
      <w:pPr>
        <w:pStyle w:val="ListBullet"/>
      </w:pPr>
      <w:r>
        <w:t xml:space="preserve">Consistent with the </w:t>
      </w:r>
      <w:hyperlink r:id="rId25" w:history="1">
        <w:r w:rsidR="00674079" w:rsidRPr="00674079">
          <w:rPr>
            <w:rStyle w:val="Hyperlink"/>
          </w:rPr>
          <w:t>Radiocommunications (Interpretation) Determination 2015</w:t>
        </w:r>
      </w:hyperlink>
      <w:r w:rsidR="00210A71">
        <w:t xml:space="preserve"> (the Interpretation Determination)</w:t>
      </w:r>
      <w:r>
        <w:t xml:space="preserve"> an AWL may be used to operate an area-wide service that consists of one or more area-wide stations (radiocommunications transmitters), and which may also consist of one or more area-wide receive stations. </w:t>
      </w:r>
    </w:p>
    <w:p w14:paraId="096F3E30" w14:textId="442781FC" w:rsidR="0043648B" w:rsidRDefault="0043648B" w:rsidP="0043648B">
      <w:pPr>
        <w:pStyle w:val="ListBullet"/>
      </w:pPr>
      <w:r>
        <w:t xml:space="preserve">The technical arrangements for AWLs in the 3400-4000 MHz bands have been designed to accommodate wireless broadband </w:t>
      </w:r>
      <w:r w:rsidR="001A195C">
        <w:t>services at this point</w:t>
      </w:r>
      <w:r>
        <w:t xml:space="preserve"> – although other services</w:t>
      </w:r>
      <w:r w:rsidR="001A195C">
        <w:t>, other than earth receive stations,</w:t>
      </w:r>
      <w:r>
        <w:t xml:space="preserve"> may be deployed </w:t>
      </w:r>
      <w:r w:rsidR="002C733B">
        <w:t>if</w:t>
      </w:r>
      <w:r>
        <w:t xml:space="preserve"> devices comply with the applicable licence conditions.</w:t>
      </w:r>
    </w:p>
    <w:p w14:paraId="491BE70A" w14:textId="77777777" w:rsidR="00692575" w:rsidRPr="00F04777" w:rsidRDefault="00692575" w:rsidP="00692575">
      <w:pPr>
        <w:pStyle w:val="ListBullet"/>
      </w:pPr>
      <w:r w:rsidRPr="00F04777">
        <w:t xml:space="preserve">An overview of how the AWL technical framework operates is provided in section </w:t>
      </w:r>
      <w:r w:rsidRPr="005E5B48">
        <w:t>1.4</w:t>
      </w:r>
      <w:r w:rsidRPr="00F04777">
        <w:t>.</w:t>
      </w:r>
    </w:p>
    <w:p w14:paraId="72507B6B" w14:textId="1C9A7EDA" w:rsidR="0007266D" w:rsidRPr="00F04777" w:rsidRDefault="0007266D" w:rsidP="00F01336">
      <w:pPr>
        <w:pStyle w:val="ListBullet"/>
      </w:pPr>
      <w:r w:rsidRPr="005E5B48">
        <w:t>RF arrangements, including frequency ranges and geographic areas where AWLs may be issued, and channel arrangements are detailed in Chapter 2</w:t>
      </w:r>
      <w:r w:rsidRPr="00F04777">
        <w:t>.</w:t>
      </w:r>
    </w:p>
    <w:p w14:paraId="2AF16F79" w14:textId="56BB80FE" w:rsidR="00411C85" w:rsidRPr="00F04777" w:rsidRDefault="0043648B" w:rsidP="00F01336">
      <w:pPr>
        <w:pStyle w:val="ListBullet"/>
      </w:pPr>
      <w:r w:rsidRPr="005E5B48">
        <w:t>An AWL is issued prior to device coordination (if required).</w:t>
      </w:r>
      <w:r w:rsidR="00692575" w:rsidRPr="005E5B48">
        <w:t xml:space="preserve"> </w:t>
      </w:r>
      <w:r w:rsidR="00411C85" w:rsidRPr="005E5B48">
        <w:t xml:space="preserve">An </w:t>
      </w:r>
      <w:r w:rsidR="00411C85" w:rsidRPr="005E5B48">
        <w:rPr>
          <w:rFonts w:cs="Arial"/>
        </w:rPr>
        <w:t>AWL</w:t>
      </w:r>
      <w:r w:rsidR="00411C85" w:rsidRPr="005E5B48">
        <w:t xml:space="preserve"> will generally only be issued if it complies with the licensing arrangements detailed in Chapter 3</w:t>
      </w:r>
      <w:r w:rsidR="00411C85" w:rsidRPr="00F04777">
        <w:t xml:space="preserve"> of this RALI.</w:t>
      </w:r>
      <w:r w:rsidRPr="00F04777">
        <w:t xml:space="preserve"> </w:t>
      </w:r>
    </w:p>
    <w:p w14:paraId="2AEB08C1" w14:textId="2950EBE8" w:rsidR="0043648B" w:rsidRPr="00F04777" w:rsidRDefault="0043648B" w:rsidP="00F01336">
      <w:pPr>
        <w:pStyle w:val="ListBullet"/>
      </w:pPr>
      <w:r w:rsidRPr="005E5B48">
        <w:t xml:space="preserve">Where applicable, any necessary device coordination is to be undertaken prior to including applicable devices in the </w:t>
      </w:r>
      <w:hyperlink r:id="rId26" w:history="1">
        <w:r w:rsidRPr="00F04777">
          <w:rPr>
            <w:rStyle w:val="Hyperlink"/>
          </w:rPr>
          <w:t>Register of Radiocommunications Licences</w:t>
        </w:r>
      </w:hyperlink>
      <w:r w:rsidRPr="00F04777">
        <w:t xml:space="preserve"> (RRL)</w:t>
      </w:r>
      <w:r w:rsidR="00411C85" w:rsidRPr="00F04777">
        <w:t xml:space="preserve"> – see Chapter </w:t>
      </w:r>
      <w:r w:rsidR="00411C85" w:rsidRPr="005E5B48">
        <w:t>4</w:t>
      </w:r>
      <w:r w:rsidRPr="00F04777">
        <w:t xml:space="preserve">. </w:t>
      </w:r>
    </w:p>
    <w:p w14:paraId="08234616" w14:textId="77777777" w:rsidR="0043648B" w:rsidRDefault="0043648B" w:rsidP="00CE598A"/>
    <w:p w14:paraId="13A24DA5" w14:textId="4DCFDB73" w:rsidR="00DB05A3" w:rsidRDefault="00DB05A3" w:rsidP="00F04B19">
      <w:pPr>
        <w:pStyle w:val="Heading2"/>
        <w:ind w:left="709" w:hanging="709"/>
      </w:pPr>
      <w:bookmarkStart w:id="18" w:name="_Toc90984573"/>
      <w:r>
        <w:lastRenderedPageBreak/>
        <w:t>Operation of the technical framework</w:t>
      </w:r>
      <w:bookmarkEnd w:id="18"/>
    </w:p>
    <w:p w14:paraId="765511AD" w14:textId="63135C31" w:rsidR="00DB05A3" w:rsidRDefault="00DB05A3" w:rsidP="00DB05A3">
      <w:r>
        <w:t>The technical framework for AWLs in the frequency range 3400–4000 MHz sets out the minimum conditions and arrangements that allow coexistence with other services operating in and adjacent to the 3400–4000 MHz range. The conditions or arrangements are:</w:t>
      </w:r>
    </w:p>
    <w:p w14:paraId="389400CD" w14:textId="77777777" w:rsidR="00DB05A3" w:rsidRDefault="00DB05A3" w:rsidP="00DB05A3">
      <w:pPr>
        <w:pStyle w:val="ListParagraph"/>
        <w:numPr>
          <w:ilvl w:val="0"/>
          <w:numId w:val="24"/>
        </w:numPr>
        <w:spacing w:after="160" w:line="259" w:lineRule="auto"/>
        <w:contextualSpacing/>
      </w:pPr>
      <w:r>
        <w:t>on individually issued licences</w:t>
      </w:r>
    </w:p>
    <w:p w14:paraId="20EF8221" w14:textId="73E40F78" w:rsidR="00DB05A3" w:rsidRDefault="00DB05A3" w:rsidP="00DB05A3">
      <w:pPr>
        <w:pStyle w:val="ListParagraph"/>
        <w:numPr>
          <w:ilvl w:val="0"/>
          <w:numId w:val="24"/>
        </w:numPr>
        <w:spacing w:after="160" w:line="259" w:lineRule="auto"/>
        <w:contextualSpacing/>
      </w:pPr>
      <w:r>
        <w:t xml:space="preserve">in the </w:t>
      </w:r>
      <w:r w:rsidR="00686D1B" w:rsidRPr="00106E80">
        <w:t>Radiocommunications Licence Conditions (Area-Wide Licence) Determination 2020</w:t>
      </w:r>
      <w:r>
        <w:t xml:space="preserve"> (AWL LCD)</w:t>
      </w:r>
      <w:r w:rsidR="003C54D9">
        <w:t xml:space="preserve"> [as proposed to be updated to include AWLs in the 3400-4000 MHz range]</w:t>
      </w:r>
    </w:p>
    <w:p w14:paraId="1F5FF4AC" w14:textId="74DC3F72" w:rsidR="00DB05A3" w:rsidRDefault="00DB05A3" w:rsidP="00DB05A3">
      <w:pPr>
        <w:pStyle w:val="ListParagraph"/>
        <w:numPr>
          <w:ilvl w:val="0"/>
          <w:numId w:val="24"/>
        </w:numPr>
        <w:spacing w:after="160" w:line="259" w:lineRule="auto"/>
        <w:contextualSpacing/>
      </w:pPr>
      <w:r>
        <w:t>in this RALI</w:t>
      </w:r>
    </w:p>
    <w:p w14:paraId="3F3A254E" w14:textId="77777777" w:rsidR="00DB05A3" w:rsidRDefault="00DB05A3" w:rsidP="00DB05A3">
      <w:pPr>
        <w:pStyle w:val="ListParagraph"/>
        <w:numPr>
          <w:ilvl w:val="0"/>
          <w:numId w:val="24"/>
        </w:numPr>
        <w:spacing w:after="160" w:line="259" w:lineRule="auto"/>
        <w:contextualSpacing/>
      </w:pPr>
      <w:r>
        <w:t xml:space="preserve">in the </w:t>
      </w:r>
      <w:hyperlink r:id="rId27" w:history="1">
        <w:r w:rsidRPr="00BB4BA0">
          <w:rPr>
            <w:rStyle w:val="Hyperlink"/>
          </w:rPr>
          <w:t>Radiocommunications Licence Conditions (Apparatus Licence) Determination 2015</w:t>
        </w:r>
      </w:hyperlink>
      <w:r>
        <w:rPr>
          <w:rStyle w:val="Hyperlink"/>
        </w:rPr>
        <w:t>,</w:t>
      </w:r>
      <w:r>
        <w:t xml:space="preserve"> which contains conditions for all apparatus licences. </w:t>
      </w:r>
    </w:p>
    <w:p w14:paraId="34B5EB5E" w14:textId="77777777" w:rsidR="00DB05A3" w:rsidRDefault="00DB05A3" w:rsidP="00DB05A3">
      <w:r>
        <w:t>The technical framework operates using these 3 steps:</w:t>
      </w:r>
    </w:p>
    <w:p w14:paraId="42133A4F" w14:textId="77777777" w:rsidR="00DB05A3" w:rsidRPr="0079290C" w:rsidRDefault="00DB05A3" w:rsidP="00DB05A3">
      <w:pPr>
        <w:keepNext/>
        <w:keepLines/>
        <w:rPr>
          <w:b/>
          <w:bCs/>
          <w:sz w:val="24"/>
        </w:rPr>
      </w:pPr>
      <w:r>
        <w:rPr>
          <w:b/>
          <w:bCs/>
          <w:sz w:val="24"/>
        </w:rPr>
        <w:t xml:space="preserve">Step </w:t>
      </w:r>
      <w:r w:rsidRPr="0079290C">
        <w:rPr>
          <w:b/>
          <w:bCs/>
          <w:sz w:val="24"/>
        </w:rPr>
        <w:t xml:space="preserve">1: </w:t>
      </w:r>
      <w:r>
        <w:rPr>
          <w:b/>
          <w:bCs/>
          <w:sz w:val="24"/>
        </w:rPr>
        <w:t xml:space="preserve">Determine your needs, then apply for </w:t>
      </w:r>
      <w:r w:rsidRPr="0079290C">
        <w:rPr>
          <w:b/>
          <w:bCs/>
          <w:sz w:val="24"/>
        </w:rPr>
        <w:t>a licence</w:t>
      </w:r>
    </w:p>
    <w:p w14:paraId="76B0B546" w14:textId="78C4C1FA" w:rsidR="00DB05A3" w:rsidRDefault="00DB05A3" w:rsidP="00DB05A3">
      <w:pPr>
        <w:keepNext/>
        <w:keepLines/>
      </w:pPr>
      <w:r>
        <w:rPr>
          <w:b/>
          <w:bCs/>
        </w:rPr>
        <w:t>Define</w:t>
      </w:r>
      <w:r w:rsidRPr="004D2C0A">
        <w:rPr>
          <w:b/>
          <w:bCs/>
        </w:rPr>
        <w:t xml:space="preserve"> the area and frequency range first</w:t>
      </w:r>
      <w:r>
        <w:t>:</w:t>
      </w:r>
    </w:p>
    <w:p w14:paraId="742730B1" w14:textId="27EDD13C" w:rsidR="00DB05A3" w:rsidRDefault="00DB05A3" w:rsidP="00DB05A3">
      <w:pPr>
        <w:pStyle w:val="ListBullet"/>
      </w:pPr>
      <w:r>
        <w:t xml:space="preserve">Unlike most other types of apparatus licences, AWLs are issued </w:t>
      </w:r>
      <w:r w:rsidRPr="00D3704B">
        <w:rPr>
          <w:i/>
          <w:iCs/>
        </w:rPr>
        <w:t>before</w:t>
      </w:r>
      <w:r>
        <w:t xml:space="preserve"> </w:t>
      </w:r>
      <w:r w:rsidR="003C54D9">
        <w:t xml:space="preserve">formal </w:t>
      </w:r>
      <w:r>
        <w:t xml:space="preserve">device coordination. You will need to know the area and frequency range you wish to operate in before applying for an AWL. </w:t>
      </w:r>
    </w:p>
    <w:p w14:paraId="1E83F6A8" w14:textId="61596C91" w:rsidR="00DB05A3" w:rsidRDefault="00DB05A3" w:rsidP="00DB05A3">
      <w:pPr>
        <w:pStyle w:val="ListBullet"/>
      </w:pPr>
      <w:r>
        <w:t xml:space="preserve">Go to the ACMA’s </w:t>
      </w:r>
      <w:hyperlink r:id="rId28" w:history="1">
        <w:r w:rsidRPr="004D2C0A">
          <w:rPr>
            <w:rStyle w:val="Hyperlink"/>
          </w:rPr>
          <w:t>Register of Radiocommunications Licences</w:t>
        </w:r>
      </w:hyperlink>
      <w:r>
        <w:t xml:space="preserve"> to check if your desired geographical area(s) and frequency range(s) are available. </w:t>
      </w:r>
    </w:p>
    <w:p w14:paraId="485FC6C3" w14:textId="2F528F87" w:rsidR="00DB05A3" w:rsidRDefault="00DB05A3" w:rsidP="00DB05A3">
      <w:pPr>
        <w:pStyle w:val="ListBullet"/>
      </w:pPr>
      <w:r>
        <w:t>Additional spectrum and/or area may be required so that</w:t>
      </w:r>
      <w:r w:rsidR="002A384B">
        <w:t>:</w:t>
      </w:r>
    </w:p>
    <w:p w14:paraId="7B05DEAC" w14:textId="7CA17F92" w:rsidR="00DB05A3" w:rsidRDefault="00DB05A3" w:rsidP="00DB05A3">
      <w:pPr>
        <w:pStyle w:val="ListBullet"/>
        <w:tabs>
          <w:tab w:val="clear" w:pos="295"/>
          <w:tab w:val="num" w:pos="579"/>
        </w:tabs>
        <w:ind w:left="579"/>
      </w:pPr>
      <w:r>
        <w:t xml:space="preserve">operation complies with all requirements at the frequency and area boundaries of the licence (detailed in the </w:t>
      </w:r>
      <w:r w:rsidR="00686D1B" w:rsidRPr="00106E80">
        <w:t>AWL LCD</w:t>
      </w:r>
      <w:r>
        <w:t xml:space="preserve"> and </w:t>
      </w:r>
      <w:r w:rsidR="0038044F">
        <w:t xml:space="preserve">section </w:t>
      </w:r>
      <w:r w:rsidR="001A195C">
        <w:t>4</w:t>
      </w:r>
      <w:r>
        <w:t xml:space="preserve"> of this </w:t>
      </w:r>
      <w:r w:rsidR="00686D1B" w:rsidRPr="00106E80">
        <w:t>RALI</w:t>
      </w:r>
      <w:r>
        <w:t>).</w:t>
      </w:r>
      <w:r w:rsidRPr="00FB3B9A">
        <w:t xml:space="preserve"> </w:t>
      </w:r>
    </w:p>
    <w:p w14:paraId="472B38CE" w14:textId="088025B9" w:rsidR="00DB05A3" w:rsidRDefault="00DB05A3" w:rsidP="00DB05A3">
      <w:pPr>
        <w:pStyle w:val="ListBullet"/>
        <w:tabs>
          <w:tab w:val="clear" w:pos="295"/>
          <w:tab w:val="num" w:pos="579"/>
        </w:tabs>
        <w:ind w:left="579"/>
      </w:pPr>
      <w:r>
        <w:t>There is enough frequency and/or geographic separation from existing and future transmitters to satisfy the desired level of protection for receivers operated under the AWL (especially in cases where the required protection is greater than explicitly provided by t</w:t>
      </w:r>
      <w:r w:rsidR="008D34E7">
        <w:t>h</w:t>
      </w:r>
      <w:r>
        <w:t>e technical framework (</w:t>
      </w:r>
      <w:r w:rsidDel="007C5FF2">
        <w:t>e.g</w:t>
      </w:r>
      <w:r w:rsidR="00AA10F0">
        <w:t xml:space="preserve"> where a licensee seeks to avoid invoking the fall-back synchronisation requirement in the AWL LCD</w:t>
      </w:r>
      <w:r>
        <w:t>).</w:t>
      </w:r>
    </w:p>
    <w:p w14:paraId="479A445A" w14:textId="0D5903B0" w:rsidR="00DB05A3" w:rsidRDefault="00DB05A3" w:rsidP="00F04B19">
      <w:pPr>
        <w:pStyle w:val="ListBullet"/>
        <w:numPr>
          <w:ilvl w:val="0"/>
          <w:numId w:val="0"/>
        </w:numPr>
        <w:ind w:left="284"/>
      </w:pPr>
      <w:r>
        <w:t>This will make sure that enough ‘spectrum space’ (geographic area and bandwidth) is licensed.</w:t>
      </w:r>
      <w:r w:rsidR="003C54D9">
        <w:t xml:space="preserve"> This may require some “device coordination-like” activities to be </w:t>
      </w:r>
      <w:r w:rsidR="00B50C4C">
        <w:t xml:space="preserve">prudently </w:t>
      </w:r>
      <w:r w:rsidR="003C54D9">
        <w:t>undertaken</w:t>
      </w:r>
      <w:r w:rsidR="002C733B">
        <w:t>.</w:t>
      </w:r>
    </w:p>
    <w:p w14:paraId="043D08D1" w14:textId="77777777" w:rsidR="00DB05A3" w:rsidRPr="004D2C0A" w:rsidRDefault="00DB05A3" w:rsidP="005E5B48">
      <w:pPr>
        <w:spacing w:before="240" w:after="120"/>
        <w:rPr>
          <w:b/>
          <w:bCs/>
        </w:rPr>
      </w:pPr>
      <w:r>
        <w:rPr>
          <w:b/>
          <w:bCs/>
        </w:rPr>
        <w:t>Apply to the ACMA</w:t>
      </w:r>
      <w:r w:rsidRPr="004D2C0A">
        <w:rPr>
          <w:b/>
          <w:bCs/>
        </w:rPr>
        <w:t>:</w:t>
      </w:r>
    </w:p>
    <w:p w14:paraId="3487DE6B" w14:textId="4DB1FB43" w:rsidR="00DB05A3" w:rsidRDefault="00DB05A3" w:rsidP="00DB05A3">
      <w:pPr>
        <w:pStyle w:val="ListBullet"/>
      </w:pPr>
      <w:r>
        <w:t xml:space="preserve">Chapter </w:t>
      </w:r>
      <w:r w:rsidR="0038044F" w:rsidRPr="005E5B48">
        <w:t>3</w:t>
      </w:r>
      <w:r>
        <w:t xml:space="preserve"> of this </w:t>
      </w:r>
      <w:r w:rsidR="00686D1B" w:rsidRPr="00106E80">
        <w:t xml:space="preserve">RALI </w:t>
      </w:r>
      <w:r>
        <w:t xml:space="preserve">contains the basic arrangements for AWLs in the </w:t>
      </w:r>
      <w:r w:rsidR="00FA79A9">
        <w:t>3400-4000</w:t>
      </w:r>
      <w:r>
        <w:t xml:space="preserve"> </w:t>
      </w:r>
      <w:r w:rsidR="00FA79A9">
        <w:t>M</w:t>
      </w:r>
      <w:r>
        <w:t xml:space="preserve">Hz </w:t>
      </w:r>
      <w:r w:rsidR="00FA79A9">
        <w:t>range</w:t>
      </w:r>
      <w:r>
        <w:t>.</w:t>
      </w:r>
      <w:r w:rsidRPr="00CA0CE4">
        <w:t xml:space="preserve"> </w:t>
      </w:r>
    </w:p>
    <w:p w14:paraId="6AA9439C" w14:textId="77777777" w:rsidR="00DB05A3" w:rsidRDefault="00DB05A3" w:rsidP="00DB05A3">
      <w:pPr>
        <w:pStyle w:val="ListBullet"/>
      </w:pPr>
      <w:r>
        <w:t xml:space="preserve">You should engage an </w:t>
      </w:r>
      <w:hyperlink r:id="rId29" w:history="1">
        <w:r w:rsidRPr="00F13925">
          <w:rPr>
            <w:rStyle w:val="Hyperlink"/>
          </w:rPr>
          <w:t>Accredited Person</w:t>
        </w:r>
      </w:hyperlink>
      <w:r w:rsidRPr="006E5C4C">
        <w:t xml:space="preserve"> to </w:t>
      </w:r>
      <w:r>
        <w:t>assist with your application.</w:t>
      </w:r>
    </w:p>
    <w:p w14:paraId="0E894EFE" w14:textId="77777777" w:rsidR="00DB05A3" w:rsidRPr="009F5779" w:rsidRDefault="00DB05A3" w:rsidP="005E5B48">
      <w:pPr>
        <w:spacing w:before="240" w:after="120"/>
        <w:rPr>
          <w:b/>
        </w:rPr>
      </w:pPr>
      <w:r>
        <w:rPr>
          <w:b/>
        </w:rPr>
        <w:t>After you apply:</w:t>
      </w:r>
      <w:r w:rsidRPr="009F5779">
        <w:rPr>
          <w:b/>
        </w:rPr>
        <w:t xml:space="preserve"> </w:t>
      </w:r>
    </w:p>
    <w:p w14:paraId="44A81C26" w14:textId="77777777" w:rsidR="00DB05A3" w:rsidRDefault="00DB05A3" w:rsidP="00DB05A3">
      <w:pPr>
        <w:pStyle w:val="ListBullet"/>
      </w:pPr>
      <w:r>
        <w:t xml:space="preserve">After we receive your application, we will send you an invoice for the application fee. </w:t>
      </w:r>
    </w:p>
    <w:p w14:paraId="004CA84A" w14:textId="77777777" w:rsidR="00DB05A3" w:rsidRDefault="00DB05A3" w:rsidP="00DB05A3">
      <w:pPr>
        <w:pStyle w:val="ListBullet"/>
      </w:pPr>
      <w:r>
        <w:t>After we approve your licence, we will send you an invoice for the apparatus licence tax. The licence will only be issued once the apparatus licence tax is paid.</w:t>
      </w:r>
    </w:p>
    <w:p w14:paraId="17E0C121" w14:textId="77777777" w:rsidR="00DB05A3" w:rsidRDefault="00DB05A3" w:rsidP="00DB05A3">
      <w:pPr>
        <w:pStyle w:val="ListBullet"/>
      </w:pPr>
      <w:r>
        <w:t>You may only operate a transmitter once your licence is issued (and all conditions below are met).</w:t>
      </w:r>
    </w:p>
    <w:p w14:paraId="245DC2D8" w14:textId="77777777" w:rsidR="00DB05A3" w:rsidRDefault="00DB05A3" w:rsidP="005E5B48">
      <w:pPr>
        <w:spacing w:before="240"/>
      </w:pPr>
      <w:r w:rsidRPr="009F5779">
        <w:rPr>
          <w:b/>
          <w:bCs/>
        </w:rPr>
        <w:t xml:space="preserve">Follow the conditions and registration requirements </w:t>
      </w:r>
      <w:r w:rsidRPr="00B75B54">
        <w:t>– see next steps.</w:t>
      </w:r>
    </w:p>
    <w:p w14:paraId="3C088EA0" w14:textId="37C46D71" w:rsidR="00DB05A3" w:rsidRDefault="00DB05A3" w:rsidP="00DB05A3">
      <w:pPr>
        <w:rPr>
          <w:b/>
          <w:bCs/>
          <w:sz w:val="24"/>
        </w:rPr>
      </w:pPr>
      <w:r w:rsidRPr="0079290C">
        <w:rPr>
          <w:b/>
          <w:bCs/>
          <w:sz w:val="24"/>
        </w:rPr>
        <w:lastRenderedPageBreak/>
        <w:t xml:space="preserve">Step 2: </w:t>
      </w:r>
      <w:r>
        <w:rPr>
          <w:b/>
          <w:bCs/>
          <w:sz w:val="24"/>
        </w:rPr>
        <w:t xml:space="preserve">Coordinate and register </w:t>
      </w:r>
      <w:r w:rsidR="003C57F8">
        <w:rPr>
          <w:b/>
          <w:bCs/>
          <w:sz w:val="24"/>
        </w:rPr>
        <w:t>devices</w:t>
      </w:r>
      <w:r>
        <w:rPr>
          <w:b/>
          <w:bCs/>
          <w:sz w:val="24"/>
        </w:rPr>
        <w:t xml:space="preserve"> </w:t>
      </w:r>
    </w:p>
    <w:p w14:paraId="2F5457FC" w14:textId="40011DAB" w:rsidR="00DB05A3" w:rsidRPr="009F5779" w:rsidRDefault="00DB05A3" w:rsidP="00DB05A3">
      <w:pPr>
        <w:rPr>
          <w:b/>
          <w:bCs/>
        </w:rPr>
      </w:pPr>
      <w:r w:rsidRPr="009F5779">
        <w:rPr>
          <w:b/>
          <w:bCs/>
        </w:rPr>
        <w:t>Before regist</w:t>
      </w:r>
      <w:r w:rsidR="00B51609">
        <w:rPr>
          <w:b/>
          <w:bCs/>
        </w:rPr>
        <w:t>er</w:t>
      </w:r>
      <w:r w:rsidRPr="009F5779">
        <w:rPr>
          <w:b/>
          <w:bCs/>
        </w:rPr>
        <w:t>i</w:t>
      </w:r>
      <w:r w:rsidR="00B51609">
        <w:rPr>
          <w:b/>
          <w:bCs/>
        </w:rPr>
        <w:t>ng a device</w:t>
      </w:r>
      <w:r w:rsidRPr="009F5779">
        <w:rPr>
          <w:b/>
          <w:bCs/>
        </w:rPr>
        <w:t xml:space="preserve">, meet the requirements in </w:t>
      </w:r>
      <w:r w:rsidRPr="001E5F72">
        <w:rPr>
          <w:b/>
          <w:bCs/>
        </w:rPr>
        <w:t xml:space="preserve">Chapter </w:t>
      </w:r>
      <w:r w:rsidR="0038044F" w:rsidRPr="005E5B48">
        <w:rPr>
          <w:b/>
          <w:bCs/>
        </w:rPr>
        <w:t>4</w:t>
      </w:r>
      <w:r w:rsidRPr="009F5779">
        <w:rPr>
          <w:b/>
          <w:bCs/>
        </w:rPr>
        <w:t xml:space="preserve"> of </w:t>
      </w:r>
      <w:r w:rsidR="00FA79A9">
        <w:rPr>
          <w:b/>
          <w:bCs/>
        </w:rPr>
        <w:t xml:space="preserve">this </w:t>
      </w:r>
      <w:r w:rsidR="00686D1B" w:rsidRPr="00106E80">
        <w:t>RALI</w:t>
      </w:r>
      <w:r w:rsidRPr="009F5779">
        <w:t>.</w:t>
      </w:r>
      <w:r>
        <w:rPr>
          <w:b/>
          <w:bCs/>
        </w:rPr>
        <w:t xml:space="preserve"> </w:t>
      </w:r>
      <w:r>
        <w:t>These include:</w:t>
      </w:r>
    </w:p>
    <w:p w14:paraId="51C01971" w14:textId="52AFCA95" w:rsidR="00DB05A3" w:rsidRPr="001E5F72" w:rsidRDefault="00DB05A3" w:rsidP="00DB05A3">
      <w:pPr>
        <w:pStyle w:val="ListBullet"/>
      </w:pPr>
      <w:r>
        <w:t xml:space="preserve">Coordinating with existing services – see sections </w:t>
      </w:r>
      <w:r w:rsidR="0038044F" w:rsidRPr="001E5F72">
        <w:t>4</w:t>
      </w:r>
      <w:r w:rsidR="0038044F" w:rsidRPr="005E5B48">
        <w:t xml:space="preserve">.2, </w:t>
      </w:r>
      <w:r w:rsidR="008D34E7" w:rsidRPr="005E5B48">
        <w:t>4.5 and 4.6</w:t>
      </w:r>
      <w:r w:rsidRPr="005E5B48">
        <w:t>.</w:t>
      </w:r>
    </w:p>
    <w:p w14:paraId="519CD50C" w14:textId="3CFB8BB3" w:rsidR="00DB05A3" w:rsidRPr="005E5B48" w:rsidRDefault="00FA79A9" w:rsidP="00DB05A3">
      <w:pPr>
        <w:pStyle w:val="ListBullet"/>
      </w:pPr>
      <w:r w:rsidRPr="005E5B48">
        <w:t>Complying with area boundary conditions</w:t>
      </w:r>
      <w:r w:rsidR="00DB05A3" w:rsidRPr="005E5B48">
        <w:t xml:space="preserve"> – see sections </w:t>
      </w:r>
      <w:r w:rsidR="008D34E7" w:rsidRPr="005E5B48">
        <w:t>4.1</w:t>
      </w:r>
      <w:r w:rsidR="00DB05A3" w:rsidRPr="005E5B48">
        <w:t>.</w:t>
      </w:r>
    </w:p>
    <w:p w14:paraId="08A614C4" w14:textId="192B1624" w:rsidR="00DB05A3" w:rsidRPr="005E5B48" w:rsidRDefault="00DB05A3" w:rsidP="00DB05A3">
      <w:pPr>
        <w:pStyle w:val="ListBullet"/>
      </w:pPr>
      <w:r w:rsidRPr="005E5B48">
        <w:t xml:space="preserve">Complying with arrangements detailed in other documents to be met prior to registration – see sections </w:t>
      </w:r>
      <w:r w:rsidR="008D34E7" w:rsidRPr="005E5B48">
        <w:t>4.2 and 4.3</w:t>
      </w:r>
      <w:r w:rsidRPr="005E5B48">
        <w:t xml:space="preserve">. </w:t>
      </w:r>
    </w:p>
    <w:p w14:paraId="667749CA" w14:textId="0ACE5CED" w:rsidR="00DB05A3" w:rsidRPr="001E5F72" w:rsidRDefault="00DB05A3" w:rsidP="005E5B48">
      <w:pPr>
        <w:spacing w:before="240"/>
      </w:pPr>
      <w:r w:rsidRPr="005E5B48">
        <w:rPr>
          <w:b/>
          <w:bCs/>
        </w:rPr>
        <w:t xml:space="preserve">Register the </w:t>
      </w:r>
      <w:r w:rsidR="00B51609" w:rsidRPr="005E5B48">
        <w:rPr>
          <w:b/>
          <w:bCs/>
        </w:rPr>
        <w:t>device</w:t>
      </w:r>
      <w:r w:rsidRPr="005E5B48">
        <w:rPr>
          <w:b/>
          <w:bCs/>
        </w:rPr>
        <w:t>:</w:t>
      </w:r>
      <w:r w:rsidRPr="005E5B48">
        <w:t xml:space="preserve"> </w:t>
      </w:r>
    </w:p>
    <w:p w14:paraId="0956B921" w14:textId="05DC0B48" w:rsidR="00DB05A3" w:rsidRDefault="00DB05A3" w:rsidP="00DB05A3">
      <w:pPr>
        <w:pStyle w:val="ListBullet"/>
      </w:pPr>
      <w:r w:rsidRPr="001E5F72">
        <w:t xml:space="preserve">Meet the requirements in Chapter </w:t>
      </w:r>
      <w:r w:rsidR="008D34E7" w:rsidRPr="005E5B48">
        <w:t>4</w:t>
      </w:r>
      <w:r>
        <w:t xml:space="preserve"> of</w:t>
      </w:r>
      <w:r w:rsidR="00FA79A9">
        <w:t xml:space="preserve"> this</w:t>
      </w:r>
      <w:r>
        <w:t xml:space="preserve"> </w:t>
      </w:r>
      <w:r w:rsidR="00686D1B" w:rsidRPr="00106E80">
        <w:t>RALI</w:t>
      </w:r>
      <w:r>
        <w:t xml:space="preserve"> before you register the </w:t>
      </w:r>
      <w:r w:rsidR="00B80EA9">
        <w:t>device</w:t>
      </w:r>
      <w:r>
        <w:t>.</w:t>
      </w:r>
      <w:r w:rsidR="00B51609">
        <w:t xml:space="preserve"> </w:t>
      </w:r>
    </w:p>
    <w:p w14:paraId="5F08EC4C" w14:textId="77777777" w:rsidR="00DB05A3" w:rsidRDefault="00DB05A3" w:rsidP="00DB05A3">
      <w:pPr>
        <w:pStyle w:val="ListBullet"/>
      </w:pPr>
      <w:r>
        <w:t xml:space="preserve">Engage an </w:t>
      </w:r>
      <w:hyperlink r:id="rId30" w:history="1">
        <w:r w:rsidRPr="00F13925">
          <w:rPr>
            <w:rStyle w:val="Hyperlink"/>
          </w:rPr>
          <w:t>Accredited Person</w:t>
        </w:r>
      </w:hyperlink>
      <w:r w:rsidRPr="006E5C4C">
        <w:t xml:space="preserve"> to register the device</w:t>
      </w:r>
      <w:r>
        <w:t xml:space="preserve"> in the </w:t>
      </w:r>
      <w:hyperlink r:id="rId31" w:history="1">
        <w:r w:rsidRPr="00F13925">
          <w:rPr>
            <w:rStyle w:val="Hyperlink"/>
          </w:rPr>
          <w:t>Register of Radiocommunications Licences</w:t>
        </w:r>
      </w:hyperlink>
      <w:r w:rsidRPr="009F5779">
        <w:rPr>
          <w:rStyle w:val="Hyperlink"/>
        </w:rPr>
        <w:t>.</w:t>
      </w:r>
      <w:r w:rsidRPr="007C0096">
        <w:t xml:space="preserve"> </w:t>
      </w:r>
    </w:p>
    <w:p w14:paraId="23E6CC56" w14:textId="3B7216BB" w:rsidR="003C57F8" w:rsidRDefault="00DB05A3" w:rsidP="00DB05A3">
      <w:pPr>
        <w:pStyle w:val="ListBullet"/>
      </w:pPr>
      <w:r>
        <w:t xml:space="preserve">You must register </w:t>
      </w:r>
      <w:r w:rsidR="003C57F8">
        <w:t xml:space="preserve">any </w:t>
      </w:r>
      <w:r>
        <w:t>transmitter</w:t>
      </w:r>
      <w:r w:rsidR="003C57F8">
        <w:t>s</w:t>
      </w:r>
      <w:r>
        <w:t xml:space="preserve"> </w:t>
      </w:r>
      <w:r w:rsidRPr="00D3704B">
        <w:rPr>
          <w:i/>
          <w:iCs/>
        </w:rPr>
        <w:t>before</w:t>
      </w:r>
      <w:r>
        <w:t xml:space="preserve"> </w:t>
      </w:r>
      <w:r w:rsidRPr="005E5B48">
        <w:rPr>
          <w:i/>
        </w:rPr>
        <w:t>operation</w:t>
      </w:r>
      <w:r>
        <w:t xml:space="preserve">, unless </w:t>
      </w:r>
      <w:r w:rsidR="003C57F8">
        <w:t>they are</w:t>
      </w:r>
      <w:r>
        <w:t xml:space="preserve"> exempt. Schedule </w:t>
      </w:r>
      <w:r w:rsidR="008D34E7" w:rsidRPr="009E179D">
        <w:t>4</w:t>
      </w:r>
      <w:r>
        <w:t xml:space="preserve"> </w:t>
      </w:r>
      <w:r w:rsidR="00EA798F">
        <w:t>Section 2</w:t>
      </w:r>
      <w:r>
        <w:t xml:space="preserve"> </w:t>
      </w:r>
      <w:r w:rsidR="001A630B">
        <w:t xml:space="preserve">paragraph 2 </w:t>
      </w:r>
      <w:r>
        <w:t xml:space="preserve">of the </w:t>
      </w:r>
      <w:r w:rsidR="00686D1B" w:rsidRPr="00106E80">
        <w:t>AWL LCD</w:t>
      </w:r>
      <w:r>
        <w:t xml:space="preserve"> shows the types of transmitters that are exempt from registration – registration-exempt transmitters must </w:t>
      </w:r>
      <w:r w:rsidR="003C54D9">
        <w:t xml:space="preserve">still </w:t>
      </w:r>
      <w:r>
        <w:t>comply with other applicable licence conditions (see Step 3).</w:t>
      </w:r>
      <w:r w:rsidR="00B51609">
        <w:t xml:space="preserve"> </w:t>
      </w:r>
    </w:p>
    <w:p w14:paraId="745DFA1F" w14:textId="7B7034C6" w:rsidR="00DB05A3" w:rsidRDefault="001A630B" w:rsidP="00DB05A3">
      <w:pPr>
        <w:pStyle w:val="ListBullet"/>
      </w:pPr>
      <w:r>
        <w:t>Noting that earth station receivers are not permitted under the AWL, o</w:t>
      </w:r>
      <w:r w:rsidR="00B92D2B">
        <w:t>ther types of receivers can be optionally registered.</w:t>
      </w:r>
      <w:r w:rsidR="003C57F8">
        <w:t xml:space="preserve"> </w:t>
      </w:r>
      <w:r w:rsidR="00B51609">
        <w:t xml:space="preserve">Only registered devices will be afforded </w:t>
      </w:r>
      <w:r w:rsidR="00B92D2B">
        <w:t xml:space="preserve">the </w:t>
      </w:r>
      <w:r w:rsidR="00B51609">
        <w:t>protection</w:t>
      </w:r>
      <w:r w:rsidR="00B92D2B">
        <w:t xml:space="preserve"> detailed in this RALI</w:t>
      </w:r>
      <w:r w:rsidR="00B51609">
        <w:t>.</w:t>
      </w:r>
      <w:r w:rsidR="003C57F8">
        <w:t xml:space="preserve"> </w:t>
      </w:r>
    </w:p>
    <w:p w14:paraId="54516149" w14:textId="77777777" w:rsidR="00DB05A3" w:rsidRPr="00D3704B" w:rsidRDefault="00DB05A3" w:rsidP="005E5B48">
      <w:pPr>
        <w:spacing w:before="240"/>
        <w:rPr>
          <w:b/>
          <w:bCs/>
          <w:sz w:val="24"/>
        </w:rPr>
      </w:pPr>
      <w:r w:rsidRPr="0079290C">
        <w:rPr>
          <w:b/>
          <w:bCs/>
          <w:sz w:val="24"/>
        </w:rPr>
        <w:t xml:space="preserve">Step 3: </w:t>
      </w:r>
      <w:r>
        <w:rPr>
          <w:b/>
          <w:bCs/>
          <w:sz w:val="24"/>
        </w:rPr>
        <w:t xml:space="preserve">Follow the operating conditions </w:t>
      </w:r>
    </w:p>
    <w:p w14:paraId="510E0842" w14:textId="3CA240EA" w:rsidR="00DB05A3" w:rsidRPr="0079290C" w:rsidRDefault="00DB05A3" w:rsidP="00DB05A3">
      <w:pPr>
        <w:pStyle w:val="ListBullet"/>
      </w:pPr>
      <w:r>
        <w:rPr>
          <w:b/>
          <w:bCs/>
        </w:rPr>
        <w:t>C</w:t>
      </w:r>
      <w:r w:rsidRPr="00D3704B">
        <w:rPr>
          <w:b/>
          <w:bCs/>
        </w:rPr>
        <w:t>onditions</w:t>
      </w:r>
      <w:r>
        <w:rPr>
          <w:b/>
          <w:bCs/>
        </w:rPr>
        <w:t xml:space="preserve"> </w:t>
      </w:r>
      <w:r w:rsidR="00B51609">
        <w:rPr>
          <w:b/>
          <w:bCs/>
        </w:rPr>
        <w:t xml:space="preserve">for operation </w:t>
      </w:r>
      <w:r>
        <w:rPr>
          <w:b/>
          <w:bCs/>
        </w:rPr>
        <w:t>are</w:t>
      </w:r>
      <w:r w:rsidRPr="00D3704B">
        <w:rPr>
          <w:b/>
          <w:bCs/>
        </w:rPr>
        <w:t xml:space="preserve"> </w:t>
      </w:r>
      <w:r w:rsidR="00B51609">
        <w:rPr>
          <w:b/>
          <w:bCs/>
        </w:rPr>
        <w:t xml:space="preserve">detailed </w:t>
      </w:r>
      <w:r w:rsidRPr="00D3704B">
        <w:rPr>
          <w:b/>
          <w:bCs/>
        </w:rPr>
        <w:t xml:space="preserve">in the </w:t>
      </w:r>
      <w:r w:rsidR="00686D1B" w:rsidRPr="00106E80">
        <w:t>AWL LCD</w:t>
      </w:r>
      <w:r w:rsidRPr="00D3704B">
        <w:rPr>
          <w:b/>
          <w:bCs/>
        </w:rPr>
        <w:t>, on the licence and in</w:t>
      </w:r>
      <w:r w:rsidR="00FA79A9">
        <w:rPr>
          <w:b/>
          <w:bCs/>
        </w:rPr>
        <w:t xml:space="preserve"> this</w:t>
      </w:r>
      <w:r w:rsidRPr="00D3704B">
        <w:rPr>
          <w:b/>
          <w:bCs/>
        </w:rPr>
        <w:t xml:space="preserve"> </w:t>
      </w:r>
      <w:r w:rsidR="00686D1B" w:rsidRPr="00106E80">
        <w:t>RALI</w:t>
      </w:r>
      <w:r>
        <w:t>.</w:t>
      </w:r>
    </w:p>
    <w:p w14:paraId="225FA48B" w14:textId="77777777" w:rsidR="00DB05A3" w:rsidRDefault="00DB05A3" w:rsidP="00DB05A3">
      <w:pPr>
        <w:pStyle w:val="ListBullet"/>
      </w:pPr>
      <w:r w:rsidRPr="006E5C4C">
        <w:rPr>
          <w:b/>
          <w:bCs/>
        </w:rPr>
        <w:t>All transmitters (including transmitters exempt from registration) must comply</w:t>
      </w:r>
      <w:r w:rsidRPr="007C0096">
        <w:rPr>
          <w:b/>
          <w:bCs/>
        </w:rPr>
        <w:t xml:space="preserve"> with conditions</w:t>
      </w:r>
      <w:r>
        <w:rPr>
          <w:b/>
          <w:bCs/>
        </w:rPr>
        <w:t xml:space="preserve"> where applicable</w:t>
      </w:r>
      <w:r w:rsidRPr="007C0096">
        <w:t>,</w:t>
      </w:r>
      <w:r w:rsidRPr="007C0096">
        <w:rPr>
          <w:b/>
          <w:bCs/>
        </w:rPr>
        <w:t xml:space="preserve"> </w:t>
      </w:r>
      <w:r>
        <w:t>including:</w:t>
      </w:r>
    </w:p>
    <w:p w14:paraId="4A3836CC" w14:textId="3C616F30" w:rsidR="00DB05A3" w:rsidRPr="000D779A" w:rsidRDefault="00DB05A3" w:rsidP="00DB05A3">
      <w:pPr>
        <w:pStyle w:val="ListBullet2"/>
      </w:pPr>
      <w:r>
        <w:t xml:space="preserve">Maximum power levels (within the licensed frequency range and in adjacent </w:t>
      </w:r>
      <w:r w:rsidRPr="000D779A">
        <w:t xml:space="preserve">frequencies) – see paragraphs </w:t>
      </w:r>
      <w:r w:rsidRPr="009E179D">
        <w:t xml:space="preserve">1 and </w:t>
      </w:r>
      <w:r w:rsidR="004047AC" w:rsidRPr="009E179D">
        <w:t>8</w:t>
      </w:r>
      <w:r w:rsidRPr="009E179D">
        <w:t xml:space="preserve"> of Schedule </w:t>
      </w:r>
      <w:r w:rsidR="008F6D0B" w:rsidRPr="009E179D">
        <w:t>4</w:t>
      </w:r>
      <w:r w:rsidRPr="000D779A">
        <w:t xml:space="preserve"> of the AWL LCD.</w:t>
      </w:r>
    </w:p>
    <w:p w14:paraId="699B02D4" w14:textId="470A924D" w:rsidR="00DB05A3" w:rsidRDefault="00B51609" w:rsidP="00DB05A3">
      <w:pPr>
        <w:pStyle w:val="ListBullet2"/>
      </w:pPr>
      <w:r>
        <w:t xml:space="preserve">Any </w:t>
      </w:r>
      <w:r w:rsidR="00B32CB6">
        <w:t xml:space="preserve">technical </w:t>
      </w:r>
      <w:r>
        <w:t>restrictions that may apply</w:t>
      </w:r>
      <w:r w:rsidR="00B32CB6">
        <w:t xml:space="preserve"> </w:t>
      </w:r>
      <w:r w:rsidR="00DB05A3">
        <w:t>in certain frequency ranges and geographic areas</w:t>
      </w:r>
      <w:bookmarkStart w:id="19" w:name="_Hlk77158843"/>
      <w:r w:rsidR="00DB05A3">
        <w:t xml:space="preserve"> </w:t>
      </w:r>
      <w:bookmarkEnd w:id="19"/>
    </w:p>
    <w:p w14:paraId="431E06D9" w14:textId="44554757" w:rsidR="00DB05A3" w:rsidRPr="000D779A" w:rsidRDefault="00DB05A3" w:rsidP="00DB05A3">
      <w:pPr>
        <w:pStyle w:val="ListBullet2"/>
      </w:pPr>
      <w:r w:rsidRPr="000D779A">
        <w:t xml:space="preserve">Obligations for licensees to help manage and resolve interference – see paragraphs </w:t>
      </w:r>
      <w:r w:rsidR="004047AC" w:rsidRPr="009E179D">
        <w:t>4, 5, 6, and 7</w:t>
      </w:r>
      <w:r w:rsidRPr="009E179D">
        <w:t xml:space="preserve"> of Schedule </w:t>
      </w:r>
      <w:r w:rsidR="008F6D0B" w:rsidRPr="000D779A">
        <w:t>4</w:t>
      </w:r>
      <w:r w:rsidRPr="000D779A">
        <w:t xml:space="preserve"> of the AWL LCD. </w:t>
      </w:r>
    </w:p>
    <w:p w14:paraId="3A22B0FB" w14:textId="77777777" w:rsidR="00DB05A3" w:rsidRPr="00DB05A3" w:rsidRDefault="00DB05A3" w:rsidP="00DB05A3"/>
    <w:p w14:paraId="2F48E59F" w14:textId="7803F594" w:rsidR="00663A77" w:rsidRPr="000B27C0" w:rsidRDefault="00663A77" w:rsidP="00663A77">
      <w:pPr>
        <w:pStyle w:val="Heading1"/>
      </w:pPr>
      <w:bookmarkStart w:id="20" w:name="_Toc57195662"/>
      <w:bookmarkStart w:id="21" w:name="_Toc90984574"/>
      <w:r>
        <w:lastRenderedPageBreak/>
        <w:t>RF arrangements</w:t>
      </w:r>
      <w:bookmarkEnd w:id="20"/>
      <w:bookmarkEnd w:id="21"/>
    </w:p>
    <w:p w14:paraId="12EB921A" w14:textId="49460A82" w:rsidR="00BB3E0A" w:rsidRDefault="00BB3E0A" w:rsidP="00BB3E0A">
      <w:pPr>
        <w:pStyle w:val="Heading2"/>
        <w:ind w:left="709" w:hanging="709"/>
      </w:pPr>
      <w:bookmarkStart w:id="22" w:name="_Toc90984575"/>
      <w:r>
        <w:t>Frequency ranges and areas available for AWLs</w:t>
      </w:r>
      <w:bookmarkEnd w:id="22"/>
    </w:p>
    <w:p w14:paraId="7795ECF0" w14:textId="7DCC8440" w:rsidR="00BB3E0A" w:rsidRDefault="00227E44" w:rsidP="00BB3E0A">
      <w:r>
        <w:t>T</w:t>
      </w:r>
      <w:r w:rsidR="005A5074">
        <w:t>his RALI</w:t>
      </w:r>
      <w:r>
        <w:t xml:space="preserve"> </w:t>
      </w:r>
      <w:r w:rsidR="00B51609">
        <w:t xml:space="preserve">defines arrangements for the frequency assignment and coordination </w:t>
      </w:r>
      <w:r>
        <w:t>of AWLs in the</w:t>
      </w:r>
      <w:r w:rsidR="00BB3E0A">
        <w:t xml:space="preserve"> frequency ranges and areas described in Table 1</w:t>
      </w:r>
      <w:r w:rsidR="002759A8">
        <w:t>. HCIS descript</w:t>
      </w:r>
      <w:r w:rsidR="005A5074">
        <w:t>ions</w:t>
      </w:r>
      <w:r w:rsidR="002759A8">
        <w:t xml:space="preserve"> of the geographic areas are provided in Appendix </w:t>
      </w:r>
      <w:r w:rsidR="00632AB6">
        <w:t>A</w:t>
      </w:r>
      <w:r w:rsidR="002759A8">
        <w:t>.</w:t>
      </w:r>
      <w:r w:rsidR="003A0ED9">
        <w:t xml:space="preserve"> Assignment of AWLs are subject to the rules detailed in section </w:t>
      </w:r>
      <w:r w:rsidR="003A0ED9" w:rsidRPr="005E5B48">
        <w:t>3.3</w:t>
      </w:r>
      <w:r w:rsidR="003A0ED9">
        <w:t xml:space="preserve">, </w:t>
      </w:r>
      <w:r w:rsidR="003A0ED9" w:rsidRPr="00227E44">
        <w:t>therefore not all frequency ranges and areas</w:t>
      </w:r>
      <w:r w:rsidR="003A0ED9" w:rsidRPr="00FD08BB">
        <w:t xml:space="preserve"> </w:t>
      </w:r>
      <w:r w:rsidRPr="00ED4933">
        <w:t xml:space="preserve">will be </w:t>
      </w:r>
      <w:r w:rsidR="004B0B70" w:rsidRPr="00ED4933">
        <w:t>available</w:t>
      </w:r>
      <w:r w:rsidRPr="00ED4933">
        <w:t xml:space="preserve"> in all </w:t>
      </w:r>
      <w:r w:rsidR="00B51609">
        <w:t>locations</w:t>
      </w:r>
      <w:r w:rsidRPr="00ED4933">
        <w:t>.</w:t>
      </w:r>
    </w:p>
    <w:p w14:paraId="65D4CE48" w14:textId="45684FF9" w:rsidR="00BB3E0A" w:rsidRDefault="00BB3E0A" w:rsidP="00BB3E0A">
      <w:pPr>
        <w:pStyle w:val="ACMATableHeader"/>
      </w:pPr>
      <w:r>
        <w:t>AWL frequency ranges and areas</w:t>
      </w:r>
    </w:p>
    <w:tbl>
      <w:tblPr>
        <w:tblStyle w:val="TableGrid"/>
        <w:tblW w:w="9351" w:type="dxa"/>
        <w:tblLook w:val="04A0" w:firstRow="1" w:lastRow="0" w:firstColumn="1" w:lastColumn="0" w:noHBand="0" w:noVBand="1"/>
      </w:tblPr>
      <w:tblGrid>
        <w:gridCol w:w="1980"/>
        <w:gridCol w:w="7371"/>
      </w:tblGrid>
      <w:tr w:rsidR="002759A8" w14:paraId="0438F3D7" w14:textId="77777777" w:rsidTr="005E5B48">
        <w:trPr>
          <w:trHeight w:val="493"/>
        </w:trPr>
        <w:tc>
          <w:tcPr>
            <w:tcW w:w="1980" w:type="dxa"/>
          </w:tcPr>
          <w:p w14:paraId="67A8A845" w14:textId="578C8E7C" w:rsidR="002759A8" w:rsidRPr="00F04B19" w:rsidRDefault="002759A8" w:rsidP="00BB3E0A">
            <w:pPr>
              <w:rPr>
                <w:b/>
                <w:bCs/>
              </w:rPr>
            </w:pPr>
            <w:r>
              <w:rPr>
                <w:b/>
                <w:bCs/>
              </w:rPr>
              <w:t>Geographic a</w:t>
            </w:r>
            <w:r w:rsidRPr="00F04B19">
              <w:rPr>
                <w:b/>
                <w:bCs/>
              </w:rPr>
              <w:t>rea</w:t>
            </w:r>
          </w:p>
        </w:tc>
        <w:tc>
          <w:tcPr>
            <w:tcW w:w="7371" w:type="dxa"/>
          </w:tcPr>
          <w:p w14:paraId="4C4C4CE9" w14:textId="15BB552C" w:rsidR="002759A8" w:rsidRPr="00F04B19" w:rsidRDefault="002759A8" w:rsidP="00BB3E0A">
            <w:pPr>
              <w:rPr>
                <w:b/>
                <w:bCs/>
              </w:rPr>
            </w:pPr>
            <w:r w:rsidRPr="00F04B19">
              <w:rPr>
                <w:b/>
                <w:bCs/>
              </w:rPr>
              <w:t>Frequency range</w:t>
            </w:r>
          </w:p>
        </w:tc>
      </w:tr>
      <w:tr w:rsidR="002759A8" w14:paraId="63436F61" w14:textId="77777777" w:rsidTr="005E5B48">
        <w:trPr>
          <w:trHeight w:val="493"/>
        </w:trPr>
        <w:tc>
          <w:tcPr>
            <w:tcW w:w="1980" w:type="dxa"/>
          </w:tcPr>
          <w:p w14:paraId="47905498" w14:textId="1BF74AD9" w:rsidR="002759A8" w:rsidRDefault="002759A8" w:rsidP="00BB3E0A">
            <w:r>
              <w:t>Remote</w:t>
            </w:r>
          </w:p>
        </w:tc>
        <w:tc>
          <w:tcPr>
            <w:tcW w:w="7371" w:type="dxa"/>
          </w:tcPr>
          <w:p w14:paraId="070A1999" w14:textId="1DD99C44" w:rsidR="002759A8" w:rsidRDefault="002759A8" w:rsidP="00BB3E0A">
            <w:r>
              <w:t>3400-4000 MHz</w:t>
            </w:r>
          </w:p>
        </w:tc>
      </w:tr>
    </w:tbl>
    <w:p w14:paraId="4DD0D6C7" w14:textId="77777777" w:rsidR="00BB3E0A" w:rsidRPr="00BB3E0A" w:rsidRDefault="00BB3E0A" w:rsidP="005E5B48">
      <w:pPr>
        <w:ind w:left="11"/>
      </w:pPr>
    </w:p>
    <w:p w14:paraId="35B5D05A" w14:textId="70C6D897" w:rsidR="00CE598A" w:rsidRDefault="00CE598A" w:rsidP="005E5B48">
      <w:pPr>
        <w:pStyle w:val="Heading2"/>
        <w:ind w:left="720" w:hanging="709"/>
      </w:pPr>
      <w:bookmarkStart w:id="23" w:name="_Ref25840046"/>
      <w:bookmarkStart w:id="24" w:name="_Ref25840102"/>
      <w:bookmarkStart w:id="25" w:name="_Toc90984576"/>
      <w:r>
        <w:t>Channel arrangements</w:t>
      </w:r>
      <w:bookmarkEnd w:id="23"/>
      <w:bookmarkEnd w:id="24"/>
      <w:bookmarkEnd w:id="25"/>
    </w:p>
    <w:p w14:paraId="117CEFFE" w14:textId="41BFDE01" w:rsidR="00396762" w:rsidRDefault="00396762" w:rsidP="005E5B48">
      <w:pPr>
        <w:ind w:left="11"/>
      </w:pPr>
      <w:r>
        <w:t xml:space="preserve">The RF channel arrangement </w:t>
      </w:r>
      <w:r w:rsidR="004B0B70">
        <w:t xml:space="preserve">for AWLs </w:t>
      </w:r>
      <w:r w:rsidRPr="00693FA0">
        <w:t xml:space="preserve">in 3400-4000 MHz </w:t>
      </w:r>
      <w:r>
        <w:t>range</w:t>
      </w:r>
      <w:r w:rsidRPr="00693FA0">
        <w:t xml:space="preserve"> provide</w:t>
      </w:r>
      <w:r>
        <w:t>s</w:t>
      </w:r>
      <w:r w:rsidRPr="00693FA0">
        <w:t xml:space="preserve"> for a total of 60 x 10 MHz channels across the frequency range</w:t>
      </w:r>
      <w:r>
        <w:t xml:space="preserve"> – see Table 2</w:t>
      </w:r>
      <w:r w:rsidRPr="00693FA0">
        <w:t xml:space="preserve">. The upper and lower frequency limits of the 10 MHz channels are </w:t>
      </w:r>
      <w:r>
        <w:t>derived as follows:</w:t>
      </w:r>
    </w:p>
    <w:p w14:paraId="010FAD62" w14:textId="77777777" w:rsidR="00396762" w:rsidRPr="00107F11" w:rsidRDefault="00396762" w:rsidP="005E5B48">
      <w:pPr>
        <w:spacing w:after="0"/>
        <w:ind w:left="11"/>
        <w:rPr>
          <w:szCs w:val="22"/>
        </w:rPr>
      </w:pPr>
      <w:r w:rsidRPr="00F01A16">
        <w:rPr>
          <w:i/>
          <w:iCs/>
          <w:sz w:val="24"/>
        </w:rPr>
        <w:t>f</w:t>
      </w:r>
      <w:r w:rsidRPr="00107F11">
        <w:rPr>
          <w:i/>
          <w:iCs/>
          <w:sz w:val="24"/>
          <w:vertAlign w:val="subscript"/>
        </w:rPr>
        <w:t>r</w:t>
      </w:r>
      <w:r w:rsidRPr="00107F11">
        <w:rPr>
          <w:i/>
          <w:iCs/>
          <w:szCs w:val="22"/>
        </w:rPr>
        <w:tab/>
      </w:r>
      <w:r w:rsidRPr="00107F11">
        <w:rPr>
          <w:szCs w:val="22"/>
        </w:rPr>
        <w:t>be the frequency of the lower edge of the band of frequencies occupied (MHz)</w:t>
      </w:r>
    </w:p>
    <w:p w14:paraId="517B2E5D" w14:textId="77777777" w:rsidR="00396762" w:rsidRDefault="00396762" w:rsidP="005E5B48">
      <w:pPr>
        <w:spacing w:after="0"/>
        <w:ind w:left="11"/>
      </w:pPr>
      <w:r w:rsidRPr="00107F11">
        <w:rPr>
          <w:i/>
          <w:iCs/>
          <w:sz w:val="24"/>
        </w:rPr>
        <w:t>f</w:t>
      </w:r>
      <w:r>
        <w:rPr>
          <w:i/>
          <w:iCs/>
          <w:sz w:val="24"/>
          <w:vertAlign w:val="subscript"/>
        </w:rPr>
        <w:t>L</w:t>
      </w:r>
      <w:r>
        <w:tab/>
        <w:t>be the frequency of the lower edge of the RF channel (MHz)</w:t>
      </w:r>
    </w:p>
    <w:p w14:paraId="7DAE949A" w14:textId="77777777" w:rsidR="00396762" w:rsidRDefault="00396762" w:rsidP="005E5B48">
      <w:pPr>
        <w:spacing w:after="0"/>
        <w:ind w:left="11"/>
      </w:pPr>
      <w:r w:rsidRPr="00107F11">
        <w:rPr>
          <w:i/>
          <w:iCs/>
          <w:sz w:val="24"/>
        </w:rPr>
        <w:t>f</w:t>
      </w:r>
      <w:r>
        <w:rPr>
          <w:i/>
          <w:iCs/>
          <w:sz w:val="24"/>
          <w:vertAlign w:val="subscript"/>
        </w:rPr>
        <w:t>U</w:t>
      </w:r>
      <w:r w:rsidRPr="00107F11">
        <w:rPr>
          <w:i/>
          <w:iCs/>
          <w:sz w:val="24"/>
        </w:rPr>
        <w:tab/>
      </w:r>
      <w:r>
        <w:t>be the frequency of the upper edge of the RF channel (MHz)</w:t>
      </w:r>
    </w:p>
    <w:p w14:paraId="2D87D60D" w14:textId="77777777" w:rsidR="00396762" w:rsidRDefault="00396762" w:rsidP="005E5B48">
      <w:pPr>
        <w:spacing w:after="120"/>
        <w:ind w:left="11"/>
      </w:pPr>
      <w:r w:rsidRPr="00107F11">
        <w:rPr>
          <w:i/>
          <w:iCs/>
          <w:sz w:val="24"/>
        </w:rPr>
        <w:t>f</w:t>
      </w:r>
      <w:r w:rsidRPr="00107F11">
        <w:rPr>
          <w:i/>
          <w:iCs/>
          <w:sz w:val="24"/>
          <w:vertAlign w:val="subscript"/>
        </w:rPr>
        <w:t>n</w:t>
      </w:r>
      <w:r w:rsidRPr="00107F11">
        <w:rPr>
          <w:i/>
          <w:iCs/>
          <w:sz w:val="24"/>
        </w:rPr>
        <w:tab/>
      </w:r>
      <w:r>
        <w:t>be the centre frequency of the RF channel (MHz)</w:t>
      </w:r>
    </w:p>
    <w:p w14:paraId="4F2B7F2C" w14:textId="77777777" w:rsidR="00396762" w:rsidRDefault="00396762" w:rsidP="005E5B48">
      <w:pPr>
        <w:spacing w:after="120"/>
        <w:ind w:left="11"/>
      </w:pPr>
      <w:r>
        <w:t xml:space="preserve">n </w:t>
      </w:r>
      <w:r>
        <w:tab/>
        <w:t>be the channel number (integer range is between 1 to 60).</w:t>
      </w:r>
    </w:p>
    <w:p w14:paraId="52BA9BA4" w14:textId="77777777" w:rsidR="00396762" w:rsidRPr="00C26744" w:rsidRDefault="00396762" w:rsidP="005E5B48">
      <w:pPr>
        <w:spacing w:after="0"/>
        <w:ind w:left="294" w:firstLine="284"/>
      </w:pPr>
      <w:r w:rsidRPr="00C26744">
        <w:rPr>
          <w:i/>
          <w:iCs/>
          <w:sz w:val="24"/>
        </w:rPr>
        <w:t>f</w:t>
      </w:r>
      <w:r w:rsidRPr="00C26744">
        <w:rPr>
          <w:i/>
          <w:iCs/>
          <w:sz w:val="24"/>
          <w:vertAlign w:val="subscript"/>
        </w:rPr>
        <w:t xml:space="preserve">n </w:t>
      </w:r>
      <w:r w:rsidRPr="00C26744">
        <w:rPr>
          <w:i/>
          <w:iCs/>
          <w:sz w:val="24"/>
        </w:rPr>
        <w:t xml:space="preserve">= </w:t>
      </w:r>
      <w:r>
        <w:rPr>
          <w:i/>
          <w:iCs/>
          <w:sz w:val="24"/>
        </w:rPr>
        <w:t>f</w:t>
      </w:r>
      <w:r w:rsidRPr="00107F11">
        <w:rPr>
          <w:i/>
          <w:iCs/>
          <w:sz w:val="24"/>
          <w:vertAlign w:val="subscript"/>
        </w:rPr>
        <w:t xml:space="preserve">r </w:t>
      </w:r>
      <w:r w:rsidRPr="00C26744">
        <w:t>+</w:t>
      </w:r>
      <w:r>
        <w:t xml:space="preserve"> </w:t>
      </w:r>
      <w:r w:rsidRPr="00C26744">
        <w:t>5</w:t>
      </w:r>
      <w:r>
        <w:t>*(2</w:t>
      </w:r>
      <w:r w:rsidRPr="00C26744">
        <w:t>n</w:t>
      </w:r>
      <w:r>
        <w:t>-1)</w:t>
      </w:r>
      <w:r w:rsidRPr="00C26744">
        <w:t xml:space="preserve"> </w:t>
      </w:r>
      <w:r>
        <w:t xml:space="preserve">in </w:t>
      </w:r>
      <w:r w:rsidRPr="00C26744">
        <w:t>MHz</w:t>
      </w:r>
    </w:p>
    <w:p w14:paraId="5BF1C88E" w14:textId="77777777" w:rsidR="00396762" w:rsidRPr="00C26744" w:rsidRDefault="00396762" w:rsidP="005E5B48">
      <w:pPr>
        <w:spacing w:after="0"/>
        <w:ind w:left="578"/>
      </w:pPr>
      <w:r w:rsidRPr="00C26744">
        <w:rPr>
          <w:i/>
          <w:iCs/>
          <w:sz w:val="24"/>
        </w:rPr>
        <w:t>f</w:t>
      </w:r>
      <w:r>
        <w:rPr>
          <w:i/>
          <w:iCs/>
          <w:sz w:val="24"/>
          <w:vertAlign w:val="subscript"/>
        </w:rPr>
        <w:t xml:space="preserve">L </w:t>
      </w:r>
      <w:r w:rsidRPr="00C26744">
        <w:rPr>
          <w:sz w:val="28"/>
          <w:szCs w:val="28"/>
        </w:rPr>
        <w:t>= (</w:t>
      </w:r>
      <w:r w:rsidRPr="00107F11">
        <w:rPr>
          <w:i/>
          <w:iCs/>
          <w:sz w:val="24"/>
        </w:rPr>
        <w:t>f</w:t>
      </w:r>
      <w:r w:rsidRPr="00107F11">
        <w:rPr>
          <w:i/>
          <w:iCs/>
          <w:sz w:val="24"/>
          <w:vertAlign w:val="subscript"/>
        </w:rPr>
        <w:t>n</w:t>
      </w:r>
      <w:r w:rsidRPr="00C26744">
        <w:t xml:space="preserve"> – 5) in MHz</w:t>
      </w:r>
      <w:r w:rsidRPr="00C26744">
        <w:tab/>
      </w:r>
      <w:r w:rsidRPr="00C26744">
        <w:tab/>
      </w:r>
    </w:p>
    <w:p w14:paraId="65A7D197" w14:textId="77777777" w:rsidR="00396762" w:rsidRDefault="00396762" w:rsidP="005E5B48">
      <w:pPr>
        <w:spacing w:after="0"/>
        <w:ind w:left="578"/>
      </w:pPr>
      <w:r w:rsidRPr="00C26744">
        <w:rPr>
          <w:i/>
          <w:iCs/>
          <w:sz w:val="24"/>
        </w:rPr>
        <w:t>f</w:t>
      </w:r>
      <w:r>
        <w:rPr>
          <w:i/>
          <w:iCs/>
          <w:sz w:val="24"/>
          <w:vertAlign w:val="subscript"/>
        </w:rPr>
        <w:t>U</w:t>
      </w:r>
      <w:r w:rsidRPr="00C26744">
        <w:rPr>
          <w:sz w:val="28"/>
          <w:szCs w:val="28"/>
          <w:vertAlign w:val="subscript"/>
        </w:rPr>
        <w:t xml:space="preserve"> </w:t>
      </w:r>
      <w:r w:rsidRPr="00C26744">
        <w:rPr>
          <w:sz w:val="28"/>
          <w:szCs w:val="28"/>
        </w:rPr>
        <w:t>= (</w:t>
      </w:r>
      <w:r w:rsidRPr="00107F11">
        <w:rPr>
          <w:i/>
          <w:iCs/>
          <w:sz w:val="24"/>
        </w:rPr>
        <w:t>f</w:t>
      </w:r>
      <w:r w:rsidRPr="00107F11">
        <w:rPr>
          <w:i/>
          <w:iCs/>
          <w:sz w:val="24"/>
          <w:vertAlign w:val="subscript"/>
        </w:rPr>
        <w:t>n</w:t>
      </w:r>
      <w:r w:rsidRPr="00107F11">
        <w:rPr>
          <w:i/>
          <w:iCs/>
          <w:sz w:val="24"/>
        </w:rPr>
        <w:t xml:space="preserve"> </w:t>
      </w:r>
      <w:r w:rsidRPr="00C26744">
        <w:t xml:space="preserve">+ 5) in MHz, </w:t>
      </w:r>
    </w:p>
    <w:p w14:paraId="72207E2C" w14:textId="77777777" w:rsidR="00396762" w:rsidRDefault="00396762" w:rsidP="005E5B48">
      <w:pPr>
        <w:spacing w:after="0"/>
        <w:ind w:left="11"/>
        <w:rPr>
          <w:lang w:val="en-US"/>
        </w:rPr>
      </w:pPr>
      <w:r w:rsidRPr="00C26744">
        <w:t>where n = 1,2,3,4,5….60.</w:t>
      </w:r>
      <w:r>
        <w:t xml:space="preserve"> </w:t>
      </w:r>
      <w:r>
        <w:rPr>
          <w:lang w:val="en-US"/>
        </w:rPr>
        <w:t>T</w:t>
      </w:r>
      <w:r w:rsidRPr="00C21A2D">
        <w:rPr>
          <w:lang w:val="en-US"/>
        </w:rPr>
        <w:t xml:space="preserve">he value of </w:t>
      </w:r>
      <w:r w:rsidRPr="00107F11">
        <w:rPr>
          <w:i/>
          <w:sz w:val="24"/>
          <w:lang w:val="en-US"/>
        </w:rPr>
        <w:t>f</w:t>
      </w:r>
      <w:r w:rsidRPr="00107F11">
        <w:rPr>
          <w:i/>
          <w:position w:val="-4"/>
          <w:sz w:val="24"/>
          <w:vertAlign w:val="subscript"/>
          <w:lang w:val="en-US"/>
        </w:rPr>
        <w:t>r</w:t>
      </w:r>
      <w:r w:rsidRPr="00107F11">
        <w:rPr>
          <w:sz w:val="24"/>
          <w:vertAlign w:val="subscript"/>
          <w:lang w:val="en-US"/>
        </w:rPr>
        <w:t xml:space="preserve"> </w:t>
      </w:r>
      <w:r w:rsidRPr="00C21A2D">
        <w:rPr>
          <w:lang w:val="en-US"/>
        </w:rPr>
        <w:t>is 3</w:t>
      </w:r>
      <w:r w:rsidRPr="00C21A2D">
        <w:rPr>
          <w:rFonts w:ascii="Tms Rmn" w:hAnsi="Tms Rmn"/>
          <w:sz w:val="12"/>
          <w:lang w:val="en-US"/>
        </w:rPr>
        <w:t> </w:t>
      </w:r>
      <w:r>
        <w:rPr>
          <w:lang w:val="en-US"/>
        </w:rPr>
        <w:t>4</w:t>
      </w:r>
      <w:r w:rsidRPr="00C21A2D">
        <w:rPr>
          <w:lang w:val="en-US"/>
        </w:rPr>
        <w:t>00 MHz</w:t>
      </w:r>
      <w:r>
        <w:rPr>
          <w:lang w:val="en-US"/>
        </w:rPr>
        <w:t>.</w:t>
      </w:r>
    </w:p>
    <w:p w14:paraId="3498C297" w14:textId="77777777" w:rsidR="00461ADE" w:rsidRPr="00C26744" w:rsidRDefault="00461ADE" w:rsidP="005E5B48">
      <w:pPr>
        <w:spacing w:after="0"/>
        <w:ind w:left="11"/>
      </w:pPr>
    </w:p>
    <w:p w14:paraId="702678FA" w14:textId="326C66E7" w:rsidR="00396762" w:rsidRPr="00107F11" w:rsidRDefault="00396762" w:rsidP="005E5B48">
      <w:pPr>
        <w:ind w:left="11"/>
      </w:pPr>
      <w:r>
        <w:t>A licence can be issued which authorises operation over multiple</w:t>
      </w:r>
      <w:r w:rsidR="000E6588">
        <w:t>,</w:t>
      </w:r>
      <w:r>
        <w:t xml:space="preserve"> aggregated</w:t>
      </w:r>
      <w:r w:rsidR="000E6588">
        <w:t>,</w:t>
      </w:r>
      <w:r>
        <w:t xml:space="preserve"> 10 MHz channels.</w:t>
      </w:r>
      <w:r w:rsidR="00D85F27">
        <w:t xml:space="preserve">  This also applies to area-wide receive licences, including those with the </w:t>
      </w:r>
      <w:r w:rsidR="00D85F27" w:rsidRPr="005E5B48">
        <w:rPr>
          <w:i/>
          <w:iCs/>
        </w:rPr>
        <w:fldChar w:fldCharType="begin"/>
      </w:r>
      <w:r w:rsidR="00D85F27" w:rsidRPr="005E5B48">
        <w:rPr>
          <w:i/>
          <w:iCs/>
        </w:rPr>
        <w:instrText xml:space="preserve"> REF _Ref82423484 \h </w:instrText>
      </w:r>
      <w:r w:rsidR="00D85F27">
        <w:rPr>
          <w:i/>
          <w:iCs/>
        </w:rPr>
        <w:instrText xml:space="preserve"> \* MERGEFORMAT </w:instrText>
      </w:r>
      <w:r w:rsidR="00D85F27" w:rsidRPr="005E5B48">
        <w:rPr>
          <w:i/>
          <w:iCs/>
        </w:rPr>
      </w:r>
      <w:r w:rsidR="00D85F27" w:rsidRPr="005E5B48">
        <w:rPr>
          <w:i/>
          <w:iCs/>
        </w:rPr>
        <w:fldChar w:fldCharType="separate"/>
      </w:r>
      <w:r w:rsidR="00D85F27" w:rsidRPr="005E5B48">
        <w:rPr>
          <w:i/>
          <w:iCs/>
        </w:rPr>
        <w:t>FSS-only condition</w:t>
      </w:r>
      <w:r w:rsidR="00D85F27" w:rsidRPr="005E5B48">
        <w:rPr>
          <w:i/>
          <w:iCs/>
        </w:rPr>
        <w:fldChar w:fldCharType="end"/>
      </w:r>
      <w:r w:rsidR="00D85F27">
        <w:t>.</w:t>
      </w:r>
    </w:p>
    <w:p w14:paraId="55E301A8" w14:textId="77777777" w:rsidR="00334F93" w:rsidRDefault="00334F93" w:rsidP="005E5B48">
      <w:pPr>
        <w:spacing w:after="0" w:line="240" w:lineRule="auto"/>
        <w:ind w:left="11"/>
        <w:rPr>
          <w:b/>
          <w:bCs/>
          <w:color w:val="323232"/>
          <w:szCs w:val="20"/>
        </w:rPr>
      </w:pPr>
      <w:bookmarkStart w:id="26" w:name="_Ref25754547"/>
      <w:r>
        <w:br w:type="page"/>
      </w:r>
    </w:p>
    <w:p w14:paraId="56B935D4" w14:textId="74FE2BCB" w:rsidR="002605C6" w:rsidRDefault="002605C6" w:rsidP="005E5B48">
      <w:pPr>
        <w:pStyle w:val="ACMATableHeader"/>
        <w:ind w:left="975"/>
      </w:pPr>
      <w:r>
        <w:lastRenderedPageBreak/>
        <w:t>10 MHz channel plan centre frequencies for the 3400–4000 MHz band.</w:t>
      </w: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8"/>
        <w:gridCol w:w="2268"/>
        <w:gridCol w:w="964"/>
        <w:gridCol w:w="1928"/>
        <w:gridCol w:w="2268"/>
      </w:tblGrid>
      <w:tr w:rsidR="002605C6" w14:paraId="0A2864C9" w14:textId="77777777" w:rsidTr="005E5B48">
        <w:trPr>
          <w:cantSplit/>
        </w:trPr>
        <w:tc>
          <w:tcPr>
            <w:tcW w:w="19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52E627" w14:textId="77777777" w:rsidR="002605C6" w:rsidRDefault="002605C6" w:rsidP="00EC3A9D">
            <w:pPr>
              <w:keepLines/>
              <w:spacing w:before="20" w:after="20" w:line="240" w:lineRule="auto"/>
              <w:jc w:val="center"/>
            </w:pPr>
            <w:r>
              <w:rPr>
                <w:rFonts w:cs="Arial"/>
                <w:b/>
                <w:bCs/>
                <w:color w:val="000000"/>
                <w:szCs w:val="22"/>
              </w:rPr>
              <w:t>10 MHz channel number</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541B5D" w14:textId="77777777" w:rsidR="002605C6" w:rsidRDefault="002605C6" w:rsidP="00EC3A9D">
            <w:pPr>
              <w:keepLines/>
              <w:spacing w:before="20" w:after="20" w:line="240" w:lineRule="auto"/>
              <w:jc w:val="center"/>
            </w:pPr>
            <w:r>
              <w:rPr>
                <w:rFonts w:cs="Arial"/>
                <w:b/>
                <w:bCs/>
                <w:szCs w:val="22"/>
              </w:rPr>
              <w:t>Centre frequency (MHz)</w:t>
            </w:r>
          </w:p>
        </w:tc>
        <w:tc>
          <w:tcPr>
            <w:tcW w:w="964" w:type="dxa"/>
            <w:tcBorders>
              <w:left w:val="single" w:sz="4" w:space="0" w:color="auto"/>
              <w:right w:val="single" w:sz="4" w:space="0" w:color="auto"/>
            </w:tcBorders>
            <w:shd w:val="clear" w:color="auto" w:fill="auto"/>
          </w:tcPr>
          <w:p w14:paraId="2AAABDA4"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3A03FB" w14:textId="77777777" w:rsidR="002605C6" w:rsidRDefault="002605C6" w:rsidP="00EC3A9D">
            <w:pPr>
              <w:keepLines/>
              <w:spacing w:before="20" w:after="20" w:line="240" w:lineRule="auto"/>
              <w:jc w:val="center"/>
            </w:pPr>
            <w:r>
              <w:rPr>
                <w:rFonts w:cs="Arial"/>
                <w:b/>
                <w:bCs/>
                <w:szCs w:val="22"/>
              </w:rPr>
              <w:t>10 MHz channel number</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B7B85C" w14:textId="77777777" w:rsidR="002605C6" w:rsidRDefault="002605C6" w:rsidP="00EC3A9D">
            <w:pPr>
              <w:keepLines/>
              <w:spacing w:before="20" w:after="20" w:line="240" w:lineRule="auto"/>
              <w:jc w:val="center"/>
            </w:pPr>
            <w:r>
              <w:rPr>
                <w:rFonts w:cs="Arial"/>
                <w:b/>
                <w:bCs/>
                <w:szCs w:val="22"/>
              </w:rPr>
              <w:t>Centre frequency (MHz)</w:t>
            </w:r>
          </w:p>
        </w:tc>
      </w:tr>
      <w:tr w:rsidR="002605C6" w14:paraId="3F6B5374"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4AAF31CF" w14:textId="77777777" w:rsidR="002605C6" w:rsidRDefault="002605C6" w:rsidP="00EC3A9D">
            <w:pPr>
              <w:keepLines/>
              <w:spacing w:before="20" w:after="20" w:line="240" w:lineRule="auto"/>
              <w:jc w:val="center"/>
            </w:pPr>
            <w:r>
              <w:rPr>
                <w:rFonts w:cs="Arial"/>
                <w:color w:val="000000"/>
                <w:szCs w:val="22"/>
              </w:rPr>
              <w:t>A1</w:t>
            </w:r>
          </w:p>
        </w:tc>
        <w:tc>
          <w:tcPr>
            <w:tcW w:w="2268" w:type="dxa"/>
            <w:tcBorders>
              <w:top w:val="single" w:sz="4" w:space="0" w:color="auto"/>
              <w:left w:val="single" w:sz="4" w:space="0" w:color="auto"/>
              <w:bottom w:val="single" w:sz="4" w:space="0" w:color="auto"/>
              <w:right w:val="single" w:sz="4" w:space="0" w:color="auto"/>
            </w:tcBorders>
            <w:vAlign w:val="center"/>
          </w:tcPr>
          <w:p w14:paraId="3E16B448" w14:textId="77777777" w:rsidR="002605C6" w:rsidRDefault="002605C6" w:rsidP="00EC3A9D">
            <w:pPr>
              <w:keepLines/>
              <w:spacing w:before="20" w:after="20" w:line="240" w:lineRule="auto"/>
              <w:jc w:val="center"/>
            </w:pPr>
            <w:r>
              <w:rPr>
                <w:rFonts w:cs="Arial"/>
                <w:color w:val="000000"/>
                <w:szCs w:val="22"/>
              </w:rPr>
              <w:t>3405</w:t>
            </w:r>
          </w:p>
        </w:tc>
        <w:tc>
          <w:tcPr>
            <w:tcW w:w="964" w:type="dxa"/>
            <w:tcBorders>
              <w:left w:val="single" w:sz="4" w:space="0" w:color="auto"/>
              <w:right w:val="single" w:sz="4" w:space="0" w:color="auto"/>
            </w:tcBorders>
          </w:tcPr>
          <w:p w14:paraId="080EFF15"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425C82B3" w14:textId="77777777" w:rsidR="002605C6" w:rsidRDefault="002605C6" w:rsidP="00EC3A9D">
            <w:pPr>
              <w:keepLines/>
              <w:spacing w:before="20" w:after="20" w:line="240" w:lineRule="auto"/>
              <w:jc w:val="center"/>
            </w:pPr>
            <w:r>
              <w:rPr>
                <w:rFonts w:cs="Arial"/>
                <w:color w:val="000000"/>
                <w:szCs w:val="22"/>
              </w:rPr>
              <w:t>A31</w:t>
            </w:r>
          </w:p>
        </w:tc>
        <w:tc>
          <w:tcPr>
            <w:tcW w:w="2268" w:type="dxa"/>
            <w:tcBorders>
              <w:top w:val="single" w:sz="4" w:space="0" w:color="auto"/>
              <w:left w:val="single" w:sz="4" w:space="0" w:color="auto"/>
              <w:bottom w:val="single" w:sz="4" w:space="0" w:color="auto"/>
              <w:right w:val="single" w:sz="4" w:space="0" w:color="auto"/>
            </w:tcBorders>
            <w:vAlign w:val="center"/>
          </w:tcPr>
          <w:p w14:paraId="720EDE19" w14:textId="77777777" w:rsidR="002605C6" w:rsidRDefault="002605C6" w:rsidP="00EC3A9D">
            <w:pPr>
              <w:keepLines/>
              <w:spacing w:before="20" w:after="20" w:line="240" w:lineRule="auto"/>
              <w:jc w:val="center"/>
            </w:pPr>
            <w:r>
              <w:rPr>
                <w:rFonts w:cs="Arial"/>
                <w:color w:val="000000"/>
                <w:szCs w:val="22"/>
              </w:rPr>
              <w:t>3705</w:t>
            </w:r>
          </w:p>
        </w:tc>
      </w:tr>
      <w:tr w:rsidR="002605C6" w14:paraId="45A3DA85"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136D520D" w14:textId="77777777" w:rsidR="002605C6" w:rsidRDefault="002605C6" w:rsidP="00EC3A9D">
            <w:pPr>
              <w:keepLines/>
              <w:spacing w:before="20" w:after="20" w:line="240" w:lineRule="auto"/>
              <w:jc w:val="center"/>
            </w:pPr>
            <w:r>
              <w:rPr>
                <w:rFonts w:cs="Arial"/>
                <w:color w:val="000000"/>
                <w:szCs w:val="22"/>
              </w:rPr>
              <w:t>A2</w:t>
            </w:r>
          </w:p>
        </w:tc>
        <w:tc>
          <w:tcPr>
            <w:tcW w:w="2268" w:type="dxa"/>
            <w:tcBorders>
              <w:top w:val="single" w:sz="4" w:space="0" w:color="auto"/>
              <w:left w:val="single" w:sz="4" w:space="0" w:color="auto"/>
              <w:bottom w:val="single" w:sz="4" w:space="0" w:color="auto"/>
              <w:right w:val="single" w:sz="4" w:space="0" w:color="auto"/>
            </w:tcBorders>
            <w:vAlign w:val="center"/>
          </w:tcPr>
          <w:p w14:paraId="63F16615" w14:textId="77777777" w:rsidR="002605C6" w:rsidRDefault="002605C6" w:rsidP="00EC3A9D">
            <w:pPr>
              <w:keepLines/>
              <w:spacing w:before="20" w:after="20" w:line="240" w:lineRule="auto"/>
              <w:jc w:val="center"/>
            </w:pPr>
            <w:r>
              <w:rPr>
                <w:rFonts w:cs="Arial"/>
                <w:color w:val="000000"/>
                <w:szCs w:val="22"/>
              </w:rPr>
              <w:t>3415</w:t>
            </w:r>
          </w:p>
        </w:tc>
        <w:tc>
          <w:tcPr>
            <w:tcW w:w="964" w:type="dxa"/>
            <w:tcBorders>
              <w:left w:val="single" w:sz="4" w:space="0" w:color="auto"/>
              <w:right w:val="single" w:sz="4" w:space="0" w:color="auto"/>
            </w:tcBorders>
          </w:tcPr>
          <w:p w14:paraId="3EE617A9"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1C2674AE" w14:textId="77777777" w:rsidR="002605C6" w:rsidRDefault="002605C6" w:rsidP="00EC3A9D">
            <w:pPr>
              <w:keepLines/>
              <w:spacing w:before="20" w:after="20" w:line="240" w:lineRule="auto"/>
              <w:jc w:val="center"/>
            </w:pPr>
            <w:r>
              <w:rPr>
                <w:rFonts w:cs="Arial"/>
                <w:color w:val="000000"/>
                <w:szCs w:val="22"/>
              </w:rPr>
              <w:t>A32</w:t>
            </w:r>
          </w:p>
        </w:tc>
        <w:tc>
          <w:tcPr>
            <w:tcW w:w="2268" w:type="dxa"/>
            <w:tcBorders>
              <w:top w:val="single" w:sz="4" w:space="0" w:color="auto"/>
              <w:left w:val="single" w:sz="4" w:space="0" w:color="auto"/>
              <w:bottom w:val="single" w:sz="4" w:space="0" w:color="auto"/>
              <w:right w:val="single" w:sz="4" w:space="0" w:color="auto"/>
            </w:tcBorders>
            <w:vAlign w:val="center"/>
          </w:tcPr>
          <w:p w14:paraId="0A56F93A" w14:textId="77777777" w:rsidR="002605C6" w:rsidRDefault="002605C6" w:rsidP="00EC3A9D">
            <w:pPr>
              <w:keepLines/>
              <w:spacing w:before="20" w:after="20" w:line="240" w:lineRule="auto"/>
              <w:jc w:val="center"/>
            </w:pPr>
            <w:r>
              <w:rPr>
                <w:rFonts w:cs="Arial"/>
                <w:color w:val="000000"/>
                <w:szCs w:val="22"/>
              </w:rPr>
              <w:t>3715</w:t>
            </w:r>
          </w:p>
        </w:tc>
      </w:tr>
      <w:tr w:rsidR="002605C6" w14:paraId="6F5EC8EC"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3A02FFDA" w14:textId="77777777" w:rsidR="002605C6" w:rsidRDefault="002605C6" w:rsidP="00EC3A9D">
            <w:pPr>
              <w:keepLines/>
              <w:spacing w:before="20" w:after="20" w:line="240" w:lineRule="auto"/>
              <w:jc w:val="center"/>
            </w:pPr>
            <w:r>
              <w:rPr>
                <w:rFonts w:cs="Arial"/>
                <w:color w:val="000000"/>
                <w:szCs w:val="22"/>
              </w:rPr>
              <w:t>A3</w:t>
            </w:r>
          </w:p>
        </w:tc>
        <w:tc>
          <w:tcPr>
            <w:tcW w:w="2268" w:type="dxa"/>
            <w:tcBorders>
              <w:top w:val="single" w:sz="4" w:space="0" w:color="auto"/>
              <w:left w:val="single" w:sz="4" w:space="0" w:color="auto"/>
              <w:bottom w:val="single" w:sz="4" w:space="0" w:color="auto"/>
              <w:right w:val="single" w:sz="4" w:space="0" w:color="auto"/>
            </w:tcBorders>
            <w:vAlign w:val="center"/>
          </w:tcPr>
          <w:p w14:paraId="201E1860" w14:textId="77777777" w:rsidR="002605C6" w:rsidRDefault="002605C6" w:rsidP="00EC3A9D">
            <w:pPr>
              <w:keepLines/>
              <w:spacing w:before="20" w:after="20" w:line="240" w:lineRule="auto"/>
              <w:jc w:val="center"/>
            </w:pPr>
            <w:r>
              <w:rPr>
                <w:rFonts w:cs="Arial"/>
                <w:color w:val="000000"/>
                <w:szCs w:val="22"/>
              </w:rPr>
              <w:t>3425</w:t>
            </w:r>
          </w:p>
        </w:tc>
        <w:tc>
          <w:tcPr>
            <w:tcW w:w="964" w:type="dxa"/>
            <w:tcBorders>
              <w:left w:val="single" w:sz="4" w:space="0" w:color="auto"/>
              <w:right w:val="single" w:sz="4" w:space="0" w:color="auto"/>
            </w:tcBorders>
          </w:tcPr>
          <w:p w14:paraId="3D99EDF9"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554B2DCA" w14:textId="77777777" w:rsidR="002605C6" w:rsidRDefault="002605C6" w:rsidP="00EC3A9D">
            <w:pPr>
              <w:keepLines/>
              <w:spacing w:before="20" w:after="20" w:line="240" w:lineRule="auto"/>
              <w:jc w:val="center"/>
            </w:pPr>
            <w:r>
              <w:rPr>
                <w:rFonts w:cs="Arial"/>
                <w:color w:val="000000"/>
                <w:szCs w:val="22"/>
              </w:rPr>
              <w:t>A33</w:t>
            </w:r>
          </w:p>
        </w:tc>
        <w:tc>
          <w:tcPr>
            <w:tcW w:w="2268" w:type="dxa"/>
            <w:tcBorders>
              <w:top w:val="single" w:sz="4" w:space="0" w:color="auto"/>
              <w:left w:val="single" w:sz="4" w:space="0" w:color="auto"/>
              <w:bottom w:val="single" w:sz="4" w:space="0" w:color="auto"/>
              <w:right w:val="single" w:sz="4" w:space="0" w:color="auto"/>
            </w:tcBorders>
            <w:vAlign w:val="center"/>
          </w:tcPr>
          <w:p w14:paraId="40289166" w14:textId="77777777" w:rsidR="002605C6" w:rsidRDefault="002605C6" w:rsidP="00EC3A9D">
            <w:pPr>
              <w:keepLines/>
              <w:spacing w:before="20" w:after="20" w:line="240" w:lineRule="auto"/>
              <w:jc w:val="center"/>
            </w:pPr>
            <w:r>
              <w:rPr>
                <w:rFonts w:cs="Arial"/>
                <w:color w:val="000000"/>
                <w:szCs w:val="22"/>
              </w:rPr>
              <w:t>3725</w:t>
            </w:r>
          </w:p>
        </w:tc>
      </w:tr>
      <w:tr w:rsidR="002605C6" w14:paraId="63124E7B"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224F01E5" w14:textId="77777777" w:rsidR="002605C6" w:rsidRDefault="002605C6" w:rsidP="00EC3A9D">
            <w:pPr>
              <w:keepLines/>
              <w:spacing w:before="20" w:after="20" w:line="240" w:lineRule="auto"/>
              <w:jc w:val="center"/>
            </w:pPr>
            <w:r>
              <w:rPr>
                <w:rFonts w:cs="Arial"/>
                <w:color w:val="000000"/>
                <w:szCs w:val="22"/>
              </w:rPr>
              <w:t>A4</w:t>
            </w:r>
          </w:p>
        </w:tc>
        <w:tc>
          <w:tcPr>
            <w:tcW w:w="2268" w:type="dxa"/>
            <w:tcBorders>
              <w:top w:val="single" w:sz="4" w:space="0" w:color="auto"/>
              <w:left w:val="single" w:sz="4" w:space="0" w:color="auto"/>
              <w:bottom w:val="single" w:sz="4" w:space="0" w:color="auto"/>
              <w:right w:val="single" w:sz="4" w:space="0" w:color="auto"/>
            </w:tcBorders>
            <w:vAlign w:val="center"/>
          </w:tcPr>
          <w:p w14:paraId="4C0860EB" w14:textId="77777777" w:rsidR="002605C6" w:rsidRDefault="002605C6" w:rsidP="00EC3A9D">
            <w:pPr>
              <w:keepLines/>
              <w:spacing w:before="20" w:after="20" w:line="240" w:lineRule="auto"/>
              <w:jc w:val="center"/>
            </w:pPr>
            <w:r>
              <w:rPr>
                <w:rFonts w:cs="Arial"/>
                <w:color w:val="000000"/>
                <w:szCs w:val="22"/>
              </w:rPr>
              <w:t>3435</w:t>
            </w:r>
          </w:p>
        </w:tc>
        <w:tc>
          <w:tcPr>
            <w:tcW w:w="964" w:type="dxa"/>
            <w:tcBorders>
              <w:left w:val="single" w:sz="4" w:space="0" w:color="auto"/>
              <w:right w:val="single" w:sz="4" w:space="0" w:color="auto"/>
            </w:tcBorders>
          </w:tcPr>
          <w:p w14:paraId="787AF015"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1F59583B" w14:textId="77777777" w:rsidR="002605C6" w:rsidRDefault="002605C6" w:rsidP="00EC3A9D">
            <w:pPr>
              <w:keepLines/>
              <w:spacing w:before="20" w:after="20" w:line="240" w:lineRule="auto"/>
              <w:jc w:val="center"/>
            </w:pPr>
            <w:r>
              <w:rPr>
                <w:rFonts w:cs="Arial"/>
                <w:color w:val="000000"/>
                <w:szCs w:val="22"/>
              </w:rPr>
              <w:t>A34</w:t>
            </w:r>
          </w:p>
        </w:tc>
        <w:tc>
          <w:tcPr>
            <w:tcW w:w="2268" w:type="dxa"/>
            <w:tcBorders>
              <w:top w:val="single" w:sz="4" w:space="0" w:color="auto"/>
              <w:left w:val="single" w:sz="4" w:space="0" w:color="auto"/>
              <w:bottom w:val="single" w:sz="4" w:space="0" w:color="auto"/>
              <w:right w:val="single" w:sz="4" w:space="0" w:color="auto"/>
            </w:tcBorders>
            <w:vAlign w:val="center"/>
          </w:tcPr>
          <w:p w14:paraId="419A99FD" w14:textId="77777777" w:rsidR="002605C6" w:rsidRDefault="002605C6" w:rsidP="00EC3A9D">
            <w:pPr>
              <w:keepLines/>
              <w:spacing w:before="20" w:after="20" w:line="240" w:lineRule="auto"/>
              <w:jc w:val="center"/>
            </w:pPr>
            <w:r>
              <w:rPr>
                <w:rFonts w:cs="Arial"/>
                <w:color w:val="000000"/>
                <w:szCs w:val="22"/>
              </w:rPr>
              <w:t>3735</w:t>
            </w:r>
          </w:p>
        </w:tc>
      </w:tr>
      <w:tr w:rsidR="002605C6" w14:paraId="7E649D93"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5059C124" w14:textId="77777777" w:rsidR="002605C6" w:rsidRDefault="002605C6" w:rsidP="00EC3A9D">
            <w:pPr>
              <w:keepLines/>
              <w:spacing w:before="20" w:after="20" w:line="240" w:lineRule="auto"/>
              <w:jc w:val="center"/>
            </w:pPr>
            <w:r>
              <w:rPr>
                <w:rFonts w:cs="Arial"/>
                <w:color w:val="000000"/>
                <w:szCs w:val="22"/>
              </w:rPr>
              <w:t>A5</w:t>
            </w:r>
          </w:p>
        </w:tc>
        <w:tc>
          <w:tcPr>
            <w:tcW w:w="2268" w:type="dxa"/>
            <w:tcBorders>
              <w:top w:val="single" w:sz="4" w:space="0" w:color="auto"/>
              <w:left w:val="single" w:sz="4" w:space="0" w:color="auto"/>
              <w:bottom w:val="single" w:sz="4" w:space="0" w:color="auto"/>
              <w:right w:val="single" w:sz="4" w:space="0" w:color="auto"/>
            </w:tcBorders>
            <w:vAlign w:val="center"/>
          </w:tcPr>
          <w:p w14:paraId="1E53509B" w14:textId="77777777" w:rsidR="002605C6" w:rsidRDefault="002605C6" w:rsidP="00EC3A9D">
            <w:pPr>
              <w:keepLines/>
              <w:spacing w:before="20" w:after="20" w:line="240" w:lineRule="auto"/>
              <w:jc w:val="center"/>
            </w:pPr>
            <w:r>
              <w:rPr>
                <w:rFonts w:cs="Arial"/>
                <w:color w:val="000000"/>
                <w:szCs w:val="22"/>
              </w:rPr>
              <w:t>3445</w:t>
            </w:r>
          </w:p>
        </w:tc>
        <w:tc>
          <w:tcPr>
            <w:tcW w:w="964" w:type="dxa"/>
            <w:tcBorders>
              <w:left w:val="single" w:sz="4" w:space="0" w:color="auto"/>
              <w:right w:val="single" w:sz="4" w:space="0" w:color="auto"/>
            </w:tcBorders>
          </w:tcPr>
          <w:p w14:paraId="7D480B91"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4FF0C1E5" w14:textId="77777777" w:rsidR="002605C6" w:rsidRDefault="002605C6" w:rsidP="00EC3A9D">
            <w:pPr>
              <w:keepLines/>
              <w:spacing w:before="20" w:after="20" w:line="240" w:lineRule="auto"/>
              <w:jc w:val="center"/>
            </w:pPr>
            <w:r>
              <w:rPr>
                <w:rFonts w:cs="Arial"/>
                <w:color w:val="000000"/>
                <w:szCs w:val="22"/>
              </w:rPr>
              <w:t>A35</w:t>
            </w:r>
          </w:p>
        </w:tc>
        <w:tc>
          <w:tcPr>
            <w:tcW w:w="2268" w:type="dxa"/>
            <w:tcBorders>
              <w:top w:val="single" w:sz="4" w:space="0" w:color="auto"/>
              <w:left w:val="single" w:sz="4" w:space="0" w:color="auto"/>
              <w:bottom w:val="single" w:sz="4" w:space="0" w:color="auto"/>
              <w:right w:val="single" w:sz="4" w:space="0" w:color="auto"/>
            </w:tcBorders>
            <w:vAlign w:val="center"/>
          </w:tcPr>
          <w:p w14:paraId="624B50B8" w14:textId="77777777" w:rsidR="002605C6" w:rsidRDefault="002605C6" w:rsidP="00EC3A9D">
            <w:pPr>
              <w:keepLines/>
              <w:spacing w:before="20" w:after="20" w:line="240" w:lineRule="auto"/>
              <w:jc w:val="center"/>
            </w:pPr>
            <w:r>
              <w:rPr>
                <w:rFonts w:cs="Arial"/>
                <w:color w:val="000000"/>
                <w:szCs w:val="22"/>
              </w:rPr>
              <w:t>3745</w:t>
            </w:r>
          </w:p>
        </w:tc>
      </w:tr>
      <w:tr w:rsidR="002605C6" w14:paraId="7E5F10B6"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74FDFE78" w14:textId="77777777" w:rsidR="002605C6" w:rsidRDefault="002605C6" w:rsidP="00EC3A9D">
            <w:pPr>
              <w:keepLines/>
              <w:spacing w:before="20" w:after="20" w:line="240" w:lineRule="auto"/>
              <w:jc w:val="center"/>
            </w:pPr>
            <w:r>
              <w:rPr>
                <w:rFonts w:cs="Arial"/>
                <w:color w:val="000000"/>
                <w:szCs w:val="22"/>
              </w:rPr>
              <w:t>A6</w:t>
            </w:r>
          </w:p>
        </w:tc>
        <w:tc>
          <w:tcPr>
            <w:tcW w:w="2268" w:type="dxa"/>
            <w:tcBorders>
              <w:top w:val="single" w:sz="4" w:space="0" w:color="auto"/>
              <w:left w:val="single" w:sz="4" w:space="0" w:color="auto"/>
              <w:bottom w:val="single" w:sz="4" w:space="0" w:color="auto"/>
              <w:right w:val="single" w:sz="4" w:space="0" w:color="auto"/>
            </w:tcBorders>
            <w:vAlign w:val="center"/>
          </w:tcPr>
          <w:p w14:paraId="4F183B5A" w14:textId="77777777" w:rsidR="002605C6" w:rsidRDefault="002605C6" w:rsidP="00EC3A9D">
            <w:pPr>
              <w:keepLines/>
              <w:spacing w:before="20" w:after="20" w:line="240" w:lineRule="auto"/>
              <w:jc w:val="center"/>
            </w:pPr>
            <w:r>
              <w:rPr>
                <w:rFonts w:cs="Arial"/>
                <w:color w:val="000000"/>
                <w:szCs w:val="22"/>
              </w:rPr>
              <w:t>3455</w:t>
            </w:r>
          </w:p>
        </w:tc>
        <w:tc>
          <w:tcPr>
            <w:tcW w:w="964" w:type="dxa"/>
            <w:tcBorders>
              <w:left w:val="single" w:sz="4" w:space="0" w:color="auto"/>
              <w:right w:val="single" w:sz="4" w:space="0" w:color="auto"/>
            </w:tcBorders>
          </w:tcPr>
          <w:p w14:paraId="6FA9CBFA"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60031F51" w14:textId="77777777" w:rsidR="002605C6" w:rsidRDefault="002605C6" w:rsidP="00EC3A9D">
            <w:pPr>
              <w:keepLines/>
              <w:spacing w:before="20" w:after="20" w:line="240" w:lineRule="auto"/>
              <w:jc w:val="center"/>
            </w:pPr>
            <w:r>
              <w:rPr>
                <w:rFonts w:cs="Arial"/>
                <w:color w:val="000000"/>
                <w:szCs w:val="22"/>
              </w:rPr>
              <w:t>A36</w:t>
            </w:r>
          </w:p>
        </w:tc>
        <w:tc>
          <w:tcPr>
            <w:tcW w:w="2268" w:type="dxa"/>
            <w:tcBorders>
              <w:top w:val="single" w:sz="4" w:space="0" w:color="auto"/>
              <w:left w:val="single" w:sz="4" w:space="0" w:color="auto"/>
              <w:bottom w:val="single" w:sz="4" w:space="0" w:color="auto"/>
              <w:right w:val="single" w:sz="4" w:space="0" w:color="auto"/>
            </w:tcBorders>
            <w:vAlign w:val="center"/>
          </w:tcPr>
          <w:p w14:paraId="72D55D09" w14:textId="77777777" w:rsidR="002605C6" w:rsidRDefault="002605C6" w:rsidP="00EC3A9D">
            <w:pPr>
              <w:keepLines/>
              <w:spacing w:before="20" w:after="20" w:line="240" w:lineRule="auto"/>
              <w:jc w:val="center"/>
            </w:pPr>
            <w:r>
              <w:rPr>
                <w:rFonts w:cs="Arial"/>
                <w:color w:val="000000"/>
                <w:szCs w:val="22"/>
              </w:rPr>
              <w:t>3755</w:t>
            </w:r>
          </w:p>
        </w:tc>
      </w:tr>
      <w:tr w:rsidR="002605C6" w14:paraId="49342EA3"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20110C6E" w14:textId="77777777" w:rsidR="002605C6" w:rsidRDefault="002605C6" w:rsidP="00EC3A9D">
            <w:pPr>
              <w:keepLines/>
              <w:spacing w:before="20" w:after="20" w:line="240" w:lineRule="auto"/>
              <w:jc w:val="center"/>
            </w:pPr>
            <w:r>
              <w:rPr>
                <w:rFonts w:cs="Arial"/>
                <w:color w:val="000000"/>
                <w:szCs w:val="22"/>
              </w:rPr>
              <w:t>A7</w:t>
            </w:r>
          </w:p>
        </w:tc>
        <w:tc>
          <w:tcPr>
            <w:tcW w:w="2268" w:type="dxa"/>
            <w:tcBorders>
              <w:top w:val="single" w:sz="4" w:space="0" w:color="auto"/>
              <w:left w:val="single" w:sz="4" w:space="0" w:color="auto"/>
              <w:bottom w:val="single" w:sz="4" w:space="0" w:color="auto"/>
              <w:right w:val="single" w:sz="4" w:space="0" w:color="auto"/>
            </w:tcBorders>
            <w:vAlign w:val="center"/>
          </w:tcPr>
          <w:p w14:paraId="4916AA9B" w14:textId="77777777" w:rsidR="002605C6" w:rsidRDefault="002605C6" w:rsidP="00EC3A9D">
            <w:pPr>
              <w:keepLines/>
              <w:spacing w:before="20" w:after="20" w:line="240" w:lineRule="auto"/>
              <w:jc w:val="center"/>
            </w:pPr>
            <w:r>
              <w:rPr>
                <w:rFonts w:cs="Arial"/>
                <w:color w:val="000000"/>
                <w:szCs w:val="22"/>
              </w:rPr>
              <w:t>3465</w:t>
            </w:r>
          </w:p>
        </w:tc>
        <w:tc>
          <w:tcPr>
            <w:tcW w:w="964" w:type="dxa"/>
            <w:tcBorders>
              <w:left w:val="single" w:sz="4" w:space="0" w:color="auto"/>
              <w:right w:val="single" w:sz="4" w:space="0" w:color="auto"/>
            </w:tcBorders>
          </w:tcPr>
          <w:p w14:paraId="059BE390"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4875CA54" w14:textId="77777777" w:rsidR="002605C6" w:rsidRDefault="002605C6" w:rsidP="00EC3A9D">
            <w:pPr>
              <w:keepLines/>
              <w:spacing w:before="20" w:after="20" w:line="240" w:lineRule="auto"/>
              <w:jc w:val="center"/>
            </w:pPr>
            <w:r>
              <w:rPr>
                <w:rFonts w:cs="Arial"/>
                <w:color w:val="000000"/>
                <w:szCs w:val="22"/>
              </w:rPr>
              <w:t>A37</w:t>
            </w:r>
          </w:p>
        </w:tc>
        <w:tc>
          <w:tcPr>
            <w:tcW w:w="2268" w:type="dxa"/>
            <w:tcBorders>
              <w:top w:val="single" w:sz="4" w:space="0" w:color="auto"/>
              <w:left w:val="single" w:sz="4" w:space="0" w:color="auto"/>
              <w:bottom w:val="single" w:sz="4" w:space="0" w:color="auto"/>
              <w:right w:val="single" w:sz="4" w:space="0" w:color="auto"/>
            </w:tcBorders>
            <w:vAlign w:val="center"/>
          </w:tcPr>
          <w:p w14:paraId="69DFC923" w14:textId="77777777" w:rsidR="002605C6" w:rsidRDefault="002605C6" w:rsidP="00EC3A9D">
            <w:pPr>
              <w:keepLines/>
              <w:spacing w:before="20" w:after="20" w:line="240" w:lineRule="auto"/>
              <w:jc w:val="center"/>
            </w:pPr>
            <w:r>
              <w:rPr>
                <w:rFonts w:cs="Arial"/>
                <w:color w:val="000000"/>
                <w:szCs w:val="22"/>
              </w:rPr>
              <w:t>3765</w:t>
            </w:r>
          </w:p>
        </w:tc>
      </w:tr>
      <w:tr w:rsidR="002605C6" w14:paraId="4E7ABE88"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71EE04C5" w14:textId="77777777" w:rsidR="002605C6" w:rsidRDefault="002605C6" w:rsidP="00EC3A9D">
            <w:pPr>
              <w:keepLines/>
              <w:spacing w:before="20" w:after="20" w:line="240" w:lineRule="auto"/>
              <w:jc w:val="center"/>
            </w:pPr>
            <w:r>
              <w:rPr>
                <w:rFonts w:cs="Arial"/>
                <w:color w:val="000000"/>
                <w:szCs w:val="22"/>
              </w:rPr>
              <w:t>A8</w:t>
            </w:r>
          </w:p>
        </w:tc>
        <w:tc>
          <w:tcPr>
            <w:tcW w:w="2268" w:type="dxa"/>
            <w:tcBorders>
              <w:top w:val="single" w:sz="4" w:space="0" w:color="auto"/>
              <w:left w:val="single" w:sz="4" w:space="0" w:color="auto"/>
              <w:bottom w:val="single" w:sz="4" w:space="0" w:color="auto"/>
              <w:right w:val="single" w:sz="4" w:space="0" w:color="auto"/>
            </w:tcBorders>
            <w:vAlign w:val="center"/>
          </w:tcPr>
          <w:p w14:paraId="5339E670" w14:textId="77777777" w:rsidR="002605C6" w:rsidRDefault="002605C6" w:rsidP="00EC3A9D">
            <w:pPr>
              <w:keepLines/>
              <w:spacing w:before="20" w:after="20" w:line="240" w:lineRule="auto"/>
              <w:jc w:val="center"/>
            </w:pPr>
            <w:r>
              <w:rPr>
                <w:rFonts w:cs="Arial"/>
                <w:color w:val="000000"/>
                <w:szCs w:val="22"/>
              </w:rPr>
              <w:t>3475</w:t>
            </w:r>
          </w:p>
        </w:tc>
        <w:tc>
          <w:tcPr>
            <w:tcW w:w="964" w:type="dxa"/>
            <w:tcBorders>
              <w:left w:val="single" w:sz="4" w:space="0" w:color="auto"/>
              <w:right w:val="single" w:sz="4" w:space="0" w:color="auto"/>
            </w:tcBorders>
          </w:tcPr>
          <w:p w14:paraId="6F4A2DAD"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0BC741A2" w14:textId="77777777" w:rsidR="002605C6" w:rsidRDefault="002605C6" w:rsidP="00EC3A9D">
            <w:pPr>
              <w:keepLines/>
              <w:spacing w:before="20" w:after="20" w:line="240" w:lineRule="auto"/>
              <w:jc w:val="center"/>
            </w:pPr>
            <w:r>
              <w:rPr>
                <w:rFonts w:cs="Arial"/>
                <w:color w:val="000000"/>
                <w:szCs w:val="22"/>
              </w:rPr>
              <w:t>A38</w:t>
            </w:r>
          </w:p>
        </w:tc>
        <w:tc>
          <w:tcPr>
            <w:tcW w:w="2268" w:type="dxa"/>
            <w:tcBorders>
              <w:top w:val="single" w:sz="4" w:space="0" w:color="auto"/>
              <w:left w:val="single" w:sz="4" w:space="0" w:color="auto"/>
              <w:bottom w:val="single" w:sz="4" w:space="0" w:color="auto"/>
              <w:right w:val="single" w:sz="4" w:space="0" w:color="auto"/>
            </w:tcBorders>
            <w:vAlign w:val="center"/>
          </w:tcPr>
          <w:p w14:paraId="762D9A06" w14:textId="77777777" w:rsidR="002605C6" w:rsidRDefault="002605C6" w:rsidP="00EC3A9D">
            <w:pPr>
              <w:keepLines/>
              <w:spacing w:before="20" w:after="20" w:line="240" w:lineRule="auto"/>
              <w:jc w:val="center"/>
            </w:pPr>
            <w:r>
              <w:rPr>
                <w:rFonts w:cs="Arial"/>
                <w:color w:val="000000"/>
                <w:szCs w:val="22"/>
              </w:rPr>
              <w:t>3775</w:t>
            </w:r>
          </w:p>
        </w:tc>
      </w:tr>
      <w:tr w:rsidR="002605C6" w14:paraId="5A615A57"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55EC460A" w14:textId="77777777" w:rsidR="002605C6" w:rsidRDefault="002605C6" w:rsidP="00EC3A9D">
            <w:pPr>
              <w:keepLines/>
              <w:spacing w:before="20" w:after="20" w:line="240" w:lineRule="auto"/>
              <w:jc w:val="center"/>
            </w:pPr>
            <w:r>
              <w:rPr>
                <w:rFonts w:cs="Arial"/>
                <w:color w:val="000000"/>
                <w:szCs w:val="22"/>
              </w:rPr>
              <w:t>A9</w:t>
            </w:r>
          </w:p>
        </w:tc>
        <w:tc>
          <w:tcPr>
            <w:tcW w:w="2268" w:type="dxa"/>
            <w:tcBorders>
              <w:top w:val="single" w:sz="4" w:space="0" w:color="auto"/>
              <w:left w:val="single" w:sz="4" w:space="0" w:color="auto"/>
              <w:bottom w:val="single" w:sz="4" w:space="0" w:color="auto"/>
              <w:right w:val="single" w:sz="4" w:space="0" w:color="auto"/>
            </w:tcBorders>
            <w:vAlign w:val="center"/>
          </w:tcPr>
          <w:p w14:paraId="6447D748" w14:textId="77777777" w:rsidR="002605C6" w:rsidRDefault="002605C6" w:rsidP="00EC3A9D">
            <w:pPr>
              <w:keepLines/>
              <w:spacing w:before="20" w:after="20" w:line="240" w:lineRule="auto"/>
              <w:jc w:val="center"/>
            </w:pPr>
            <w:r>
              <w:rPr>
                <w:rFonts w:cs="Arial"/>
                <w:color w:val="000000"/>
                <w:szCs w:val="22"/>
              </w:rPr>
              <w:t>3485</w:t>
            </w:r>
          </w:p>
        </w:tc>
        <w:tc>
          <w:tcPr>
            <w:tcW w:w="964" w:type="dxa"/>
            <w:tcBorders>
              <w:left w:val="single" w:sz="4" w:space="0" w:color="auto"/>
              <w:right w:val="single" w:sz="4" w:space="0" w:color="auto"/>
            </w:tcBorders>
          </w:tcPr>
          <w:p w14:paraId="331AC358"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24C4C6CF" w14:textId="77777777" w:rsidR="002605C6" w:rsidRDefault="002605C6" w:rsidP="00EC3A9D">
            <w:pPr>
              <w:keepLines/>
              <w:spacing w:before="20" w:after="20" w:line="240" w:lineRule="auto"/>
              <w:jc w:val="center"/>
            </w:pPr>
            <w:r>
              <w:rPr>
                <w:rFonts w:cs="Arial"/>
                <w:color w:val="000000"/>
                <w:szCs w:val="22"/>
              </w:rPr>
              <w:t>A39</w:t>
            </w:r>
          </w:p>
        </w:tc>
        <w:tc>
          <w:tcPr>
            <w:tcW w:w="2268" w:type="dxa"/>
            <w:tcBorders>
              <w:top w:val="single" w:sz="4" w:space="0" w:color="auto"/>
              <w:left w:val="single" w:sz="4" w:space="0" w:color="auto"/>
              <w:bottom w:val="single" w:sz="4" w:space="0" w:color="auto"/>
              <w:right w:val="single" w:sz="4" w:space="0" w:color="auto"/>
            </w:tcBorders>
            <w:vAlign w:val="center"/>
          </w:tcPr>
          <w:p w14:paraId="2C0BC3C0" w14:textId="77777777" w:rsidR="002605C6" w:rsidRDefault="002605C6" w:rsidP="00EC3A9D">
            <w:pPr>
              <w:keepLines/>
              <w:spacing w:before="20" w:after="20" w:line="240" w:lineRule="auto"/>
              <w:jc w:val="center"/>
            </w:pPr>
            <w:r>
              <w:rPr>
                <w:rFonts w:cs="Arial"/>
                <w:color w:val="000000"/>
                <w:szCs w:val="22"/>
              </w:rPr>
              <w:t>3785</w:t>
            </w:r>
          </w:p>
        </w:tc>
      </w:tr>
      <w:tr w:rsidR="002605C6" w14:paraId="5E9652C3"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63D3A148" w14:textId="77777777" w:rsidR="002605C6" w:rsidRDefault="002605C6" w:rsidP="00EC3A9D">
            <w:pPr>
              <w:keepLines/>
              <w:spacing w:before="20" w:after="20" w:line="240" w:lineRule="auto"/>
              <w:jc w:val="center"/>
            </w:pPr>
            <w:r>
              <w:rPr>
                <w:rFonts w:cs="Arial"/>
                <w:color w:val="000000"/>
                <w:szCs w:val="22"/>
              </w:rPr>
              <w:t>A10</w:t>
            </w:r>
          </w:p>
        </w:tc>
        <w:tc>
          <w:tcPr>
            <w:tcW w:w="2268" w:type="dxa"/>
            <w:tcBorders>
              <w:top w:val="single" w:sz="4" w:space="0" w:color="auto"/>
              <w:left w:val="single" w:sz="4" w:space="0" w:color="auto"/>
              <w:bottom w:val="single" w:sz="4" w:space="0" w:color="auto"/>
              <w:right w:val="single" w:sz="4" w:space="0" w:color="auto"/>
            </w:tcBorders>
            <w:vAlign w:val="center"/>
          </w:tcPr>
          <w:p w14:paraId="48DF33A7" w14:textId="77777777" w:rsidR="002605C6" w:rsidRDefault="002605C6" w:rsidP="00EC3A9D">
            <w:pPr>
              <w:keepLines/>
              <w:spacing w:before="20" w:after="20" w:line="240" w:lineRule="auto"/>
              <w:jc w:val="center"/>
            </w:pPr>
            <w:r>
              <w:rPr>
                <w:rFonts w:cs="Arial"/>
                <w:color w:val="000000"/>
                <w:szCs w:val="22"/>
              </w:rPr>
              <w:t>3495</w:t>
            </w:r>
          </w:p>
        </w:tc>
        <w:tc>
          <w:tcPr>
            <w:tcW w:w="964" w:type="dxa"/>
            <w:tcBorders>
              <w:left w:val="single" w:sz="4" w:space="0" w:color="auto"/>
              <w:right w:val="single" w:sz="4" w:space="0" w:color="auto"/>
            </w:tcBorders>
          </w:tcPr>
          <w:p w14:paraId="35CD681B"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241FB6DE" w14:textId="77777777" w:rsidR="002605C6" w:rsidRDefault="002605C6" w:rsidP="00EC3A9D">
            <w:pPr>
              <w:keepLines/>
              <w:spacing w:before="20" w:after="20" w:line="240" w:lineRule="auto"/>
              <w:jc w:val="center"/>
            </w:pPr>
            <w:r>
              <w:rPr>
                <w:rFonts w:cs="Arial"/>
                <w:color w:val="000000"/>
                <w:szCs w:val="22"/>
              </w:rPr>
              <w:t>A40</w:t>
            </w:r>
          </w:p>
        </w:tc>
        <w:tc>
          <w:tcPr>
            <w:tcW w:w="2268" w:type="dxa"/>
            <w:tcBorders>
              <w:top w:val="single" w:sz="4" w:space="0" w:color="auto"/>
              <w:left w:val="single" w:sz="4" w:space="0" w:color="auto"/>
              <w:bottom w:val="single" w:sz="4" w:space="0" w:color="auto"/>
              <w:right w:val="single" w:sz="4" w:space="0" w:color="auto"/>
            </w:tcBorders>
            <w:vAlign w:val="center"/>
          </w:tcPr>
          <w:p w14:paraId="6FB71B11" w14:textId="77777777" w:rsidR="002605C6" w:rsidRDefault="002605C6" w:rsidP="00EC3A9D">
            <w:pPr>
              <w:keepLines/>
              <w:spacing w:before="20" w:after="20" w:line="240" w:lineRule="auto"/>
              <w:jc w:val="center"/>
            </w:pPr>
            <w:r>
              <w:rPr>
                <w:rFonts w:cs="Arial"/>
                <w:color w:val="000000"/>
                <w:szCs w:val="22"/>
              </w:rPr>
              <w:t>3795</w:t>
            </w:r>
          </w:p>
        </w:tc>
      </w:tr>
      <w:tr w:rsidR="002605C6" w14:paraId="0DD372F6"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47F1D8C8" w14:textId="77777777" w:rsidR="002605C6" w:rsidRDefault="002605C6" w:rsidP="00EC3A9D">
            <w:pPr>
              <w:keepLines/>
              <w:spacing w:before="20" w:after="20" w:line="240" w:lineRule="auto"/>
              <w:jc w:val="center"/>
            </w:pPr>
            <w:r>
              <w:rPr>
                <w:rFonts w:cs="Arial"/>
                <w:color w:val="000000"/>
                <w:szCs w:val="22"/>
              </w:rPr>
              <w:t>A11</w:t>
            </w:r>
          </w:p>
        </w:tc>
        <w:tc>
          <w:tcPr>
            <w:tcW w:w="2268" w:type="dxa"/>
            <w:tcBorders>
              <w:top w:val="single" w:sz="4" w:space="0" w:color="auto"/>
              <w:left w:val="single" w:sz="4" w:space="0" w:color="auto"/>
              <w:bottom w:val="single" w:sz="4" w:space="0" w:color="auto"/>
              <w:right w:val="single" w:sz="4" w:space="0" w:color="auto"/>
            </w:tcBorders>
            <w:vAlign w:val="center"/>
          </w:tcPr>
          <w:p w14:paraId="2416579C" w14:textId="77777777" w:rsidR="002605C6" w:rsidRDefault="002605C6" w:rsidP="00EC3A9D">
            <w:pPr>
              <w:keepLines/>
              <w:spacing w:before="20" w:after="20" w:line="240" w:lineRule="auto"/>
              <w:jc w:val="center"/>
            </w:pPr>
            <w:r>
              <w:rPr>
                <w:rFonts w:cs="Arial"/>
                <w:color w:val="000000"/>
                <w:szCs w:val="22"/>
              </w:rPr>
              <w:t>3505</w:t>
            </w:r>
          </w:p>
        </w:tc>
        <w:tc>
          <w:tcPr>
            <w:tcW w:w="964" w:type="dxa"/>
            <w:tcBorders>
              <w:left w:val="single" w:sz="4" w:space="0" w:color="auto"/>
              <w:right w:val="single" w:sz="4" w:space="0" w:color="auto"/>
            </w:tcBorders>
          </w:tcPr>
          <w:p w14:paraId="082BC52E"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12383075" w14:textId="77777777" w:rsidR="002605C6" w:rsidRDefault="002605C6" w:rsidP="00EC3A9D">
            <w:pPr>
              <w:keepLines/>
              <w:spacing w:before="20" w:after="20" w:line="240" w:lineRule="auto"/>
              <w:jc w:val="center"/>
            </w:pPr>
            <w:r>
              <w:rPr>
                <w:rFonts w:cs="Arial"/>
                <w:color w:val="000000"/>
                <w:szCs w:val="22"/>
              </w:rPr>
              <w:t>A41</w:t>
            </w:r>
          </w:p>
        </w:tc>
        <w:tc>
          <w:tcPr>
            <w:tcW w:w="2268" w:type="dxa"/>
            <w:tcBorders>
              <w:top w:val="single" w:sz="4" w:space="0" w:color="auto"/>
              <w:left w:val="single" w:sz="4" w:space="0" w:color="auto"/>
              <w:bottom w:val="single" w:sz="4" w:space="0" w:color="auto"/>
              <w:right w:val="single" w:sz="4" w:space="0" w:color="auto"/>
            </w:tcBorders>
            <w:vAlign w:val="center"/>
          </w:tcPr>
          <w:p w14:paraId="10A7BB91" w14:textId="77777777" w:rsidR="002605C6" w:rsidRDefault="002605C6" w:rsidP="00EC3A9D">
            <w:pPr>
              <w:keepLines/>
              <w:spacing w:before="20" w:after="20" w:line="240" w:lineRule="auto"/>
              <w:jc w:val="center"/>
            </w:pPr>
            <w:r>
              <w:rPr>
                <w:rFonts w:cs="Arial"/>
                <w:color w:val="000000"/>
                <w:szCs w:val="22"/>
              </w:rPr>
              <w:t>3805</w:t>
            </w:r>
          </w:p>
        </w:tc>
      </w:tr>
      <w:tr w:rsidR="002605C6" w14:paraId="23003E01"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03EDED36" w14:textId="77777777" w:rsidR="002605C6" w:rsidRDefault="002605C6" w:rsidP="00EC3A9D">
            <w:pPr>
              <w:keepLines/>
              <w:spacing w:before="20" w:after="20" w:line="240" w:lineRule="auto"/>
              <w:jc w:val="center"/>
            </w:pPr>
            <w:r>
              <w:rPr>
                <w:rFonts w:cs="Arial"/>
                <w:color w:val="000000"/>
                <w:szCs w:val="22"/>
              </w:rPr>
              <w:t>A12</w:t>
            </w:r>
          </w:p>
        </w:tc>
        <w:tc>
          <w:tcPr>
            <w:tcW w:w="2268" w:type="dxa"/>
            <w:tcBorders>
              <w:top w:val="single" w:sz="4" w:space="0" w:color="auto"/>
              <w:left w:val="single" w:sz="4" w:space="0" w:color="auto"/>
              <w:bottom w:val="single" w:sz="4" w:space="0" w:color="auto"/>
              <w:right w:val="single" w:sz="4" w:space="0" w:color="auto"/>
            </w:tcBorders>
            <w:vAlign w:val="center"/>
          </w:tcPr>
          <w:p w14:paraId="59B1D9AD" w14:textId="77777777" w:rsidR="002605C6" w:rsidRDefault="002605C6" w:rsidP="00EC3A9D">
            <w:pPr>
              <w:keepLines/>
              <w:spacing w:before="20" w:after="20" w:line="240" w:lineRule="auto"/>
              <w:jc w:val="center"/>
            </w:pPr>
            <w:r>
              <w:rPr>
                <w:rFonts w:cs="Arial"/>
                <w:color w:val="000000"/>
                <w:szCs w:val="22"/>
              </w:rPr>
              <w:t>3515</w:t>
            </w:r>
          </w:p>
        </w:tc>
        <w:tc>
          <w:tcPr>
            <w:tcW w:w="964" w:type="dxa"/>
            <w:tcBorders>
              <w:left w:val="single" w:sz="4" w:space="0" w:color="auto"/>
              <w:right w:val="single" w:sz="4" w:space="0" w:color="auto"/>
            </w:tcBorders>
          </w:tcPr>
          <w:p w14:paraId="16F8B05F"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5D92DCEA" w14:textId="77777777" w:rsidR="002605C6" w:rsidRDefault="002605C6" w:rsidP="00EC3A9D">
            <w:pPr>
              <w:keepLines/>
              <w:spacing w:before="20" w:after="20" w:line="240" w:lineRule="auto"/>
              <w:jc w:val="center"/>
            </w:pPr>
            <w:r>
              <w:rPr>
                <w:rFonts w:cs="Arial"/>
                <w:color w:val="000000"/>
                <w:szCs w:val="22"/>
              </w:rPr>
              <w:t>A42</w:t>
            </w:r>
          </w:p>
        </w:tc>
        <w:tc>
          <w:tcPr>
            <w:tcW w:w="2268" w:type="dxa"/>
            <w:tcBorders>
              <w:top w:val="single" w:sz="4" w:space="0" w:color="auto"/>
              <w:left w:val="single" w:sz="4" w:space="0" w:color="auto"/>
              <w:bottom w:val="single" w:sz="4" w:space="0" w:color="auto"/>
              <w:right w:val="single" w:sz="4" w:space="0" w:color="auto"/>
            </w:tcBorders>
            <w:vAlign w:val="center"/>
          </w:tcPr>
          <w:p w14:paraId="6631E3E2" w14:textId="77777777" w:rsidR="002605C6" w:rsidRDefault="002605C6" w:rsidP="00EC3A9D">
            <w:pPr>
              <w:keepLines/>
              <w:spacing w:before="20" w:after="20" w:line="240" w:lineRule="auto"/>
              <w:jc w:val="center"/>
            </w:pPr>
            <w:r>
              <w:rPr>
                <w:rFonts w:cs="Arial"/>
                <w:color w:val="000000"/>
                <w:szCs w:val="22"/>
              </w:rPr>
              <w:t>3815</w:t>
            </w:r>
          </w:p>
        </w:tc>
      </w:tr>
      <w:tr w:rsidR="002605C6" w14:paraId="4F7B4CD3"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5B576B3A" w14:textId="77777777" w:rsidR="002605C6" w:rsidRDefault="002605C6" w:rsidP="00EC3A9D">
            <w:pPr>
              <w:keepLines/>
              <w:spacing w:before="20" w:after="20" w:line="240" w:lineRule="auto"/>
              <w:jc w:val="center"/>
            </w:pPr>
            <w:r>
              <w:rPr>
                <w:rFonts w:cs="Arial"/>
                <w:color w:val="000000"/>
                <w:szCs w:val="22"/>
              </w:rPr>
              <w:t>A13</w:t>
            </w:r>
          </w:p>
        </w:tc>
        <w:tc>
          <w:tcPr>
            <w:tcW w:w="2268" w:type="dxa"/>
            <w:tcBorders>
              <w:top w:val="single" w:sz="4" w:space="0" w:color="auto"/>
              <w:left w:val="single" w:sz="4" w:space="0" w:color="auto"/>
              <w:bottom w:val="single" w:sz="4" w:space="0" w:color="auto"/>
              <w:right w:val="single" w:sz="4" w:space="0" w:color="auto"/>
            </w:tcBorders>
            <w:vAlign w:val="center"/>
          </w:tcPr>
          <w:p w14:paraId="43B9791F" w14:textId="77777777" w:rsidR="002605C6" w:rsidRDefault="002605C6" w:rsidP="00EC3A9D">
            <w:pPr>
              <w:keepLines/>
              <w:spacing w:before="20" w:after="20" w:line="240" w:lineRule="auto"/>
              <w:jc w:val="center"/>
            </w:pPr>
            <w:r>
              <w:rPr>
                <w:rFonts w:cs="Arial"/>
                <w:color w:val="000000"/>
                <w:szCs w:val="22"/>
              </w:rPr>
              <w:t>3525</w:t>
            </w:r>
          </w:p>
        </w:tc>
        <w:tc>
          <w:tcPr>
            <w:tcW w:w="964" w:type="dxa"/>
            <w:tcBorders>
              <w:left w:val="single" w:sz="4" w:space="0" w:color="auto"/>
              <w:right w:val="single" w:sz="4" w:space="0" w:color="auto"/>
            </w:tcBorders>
          </w:tcPr>
          <w:p w14:paraId="3D686710"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6946B19E" w14:textId="77777777" w:rsidR="002605C6" w:rsidRDefault="002605C6" w:rsidP="00EC3A9D">
            <w:pPr>
              <w:keepLines/>
              <w:spacing w:before="20" w:after="20" w:line="240" w:lineRule="auto"/>
              <w:jc w:val="center"/>
            </w:pPr>
            <w:r>
              <w:rPr>
                <w:rFonts w:cs="Arial"/>
                <w:color w:val="000000"/>
                <w:szCs w:val="22"/>
              </w:rPr>
              <w:t>A43</w:t>
            </w:r>
          </w:p>
        </w:tc>
        <w:tc>
          <w:tcPr>
            <w:tcW w:w="2268" w:type="dxa"/>
            <w:tcBorders>
              <w:top w:val="single" w:sz="4" w:space="0" w:color="auto"/>
              <w:left w:val="single" w:sz="4" w:space="0" w:color="auto"/>
              <w:bottom w:val="single" w:sz="4" w:space="0" w:color="auto"/>
              <w:right w:val="single" w:sz="4" w:space="0" w:color="auto"/>
            </w:tcBorders>
            <w:vAlign w:val="center"/>
          </w:tcPr>
          <w:p w14:paraId="5818EE50" w14:textId="77777777" w:rsidR="002605C6" w:rsidRDefault="002605C6" w:rsidP="00EC3A9D">
            <w:pPr>
              <w:keepLines/>
              <w:spacing w:before="20" w:after="20" w:line="240" w:lineRule="auto"/>
              <w:jc w:val="center"/>
            </w:pPr>
            <w:r>
              <w:rPr>
                <w:rFonts w:cs="Arial"/>
                <w:color w:val="000000"/>
                <w:szCs w:val="22"/>
              </w:rPr>
              <w:t>3825</w:t>
            </w:r>
          </w:p>
        </w:tc>
      </w:tr>
      <w:tr w:rsidR="002605C6" w14:paraId="2A477AA7"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483F2BB8" w14:textId="77777777" w:rsidR="002605C6" w:rsidRDefault="002605C6" w:rsidP="00EC3A9D">
            <w:pPr>
              <w:keepLines/>
              <w:spacing w:before="20" w:after="20" w:line="240" w:lineRule="auto"/>
              <w:jc w:val="center"/>
            </w:pPr>
            <w:r>
              <w:rPr>
                <w:rFonts w:cs="Arial"/>
                <w:color w:val="000000"/>
                <w:szCs w:val="22"/>
              </w:rPr>
              <w:t>A14</w:t>
            </w:r>
          </w:p>
        </w:tc>
        <w:tc>
          <w:tcPr>
            <w:tcW w:w="2268" w:type="dxa"/>
            <w:tcBorders>
              <w:top w:val="single" w:sz="4" w:space="0" w:color="auto"/>
              <w:left w:val="single" w:sz="4" w:space="0" w:color="auto"/>
              <w:bottom w:val="single" w:sz="4" w:space="0" w:color="auto"/>
              <w:right w:val="single" w:sz="4" w:space="0" w:color="auto"/>
            </w:tcBorders>
            <w:vAlign w:val="center"/>
          </w:tcPr>
          <w:p w14:paraId="3A7D0F5B" w14:textId="77777777" w:rsidR="002605C6" w:rsidRDefault="002605C6" w:rsidP="00EC3A9D">
            <w:pPr>
              <w:keepLines/>
              <w:spacing w:before="20" w:after="20" w:line="240" w:lineRule="auto"/>
              <w:jc w:val="center"/>
            </w:pPr>
            <w:r>
              <w:rPr>
                <w:rFonts w:cs="Arial"/>
                <w:color w:val="000000"/>
                <w:szCs w:val="22"/>
              </w:rPr>
              <w:t>3535</w:t>
            </w:r>
          </w:p>
        </w:tc>
        <w:tc>
          <w:tcPr>
            <w:tcW w:w="964" w:type="dxa"/>
            <w:tcBorders>
              <w:left w:val="single" w:sz="4" w:space="0" w:color="auto"/>
              <w:right w:val="single" w:sz="4" w:space="0" w:color="auto"/>
            </w:tcBorders>
          </w:tcPr>
          <w:p w14:paraId="6AC2E3E8"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51AE30EB" w14:textId="77777777" w:rsidR="002605C6" w:rsidRDefault="002605C6" w:rsidP="00EC3A9D">
            <w:pPr>
              <w:keepLines/>
              <w:spacing w:before="20" w:after="20" w:line="240" w:lineRule="auto"/>
              <w:jc w:val="center"/>
            </w:pPr>
            <w:r>
              <w:rPr>
                <w:rFonts w:cs="Arial"/>
                <w:color w:val="000000"/>
                <w:szCs w:val="22"/>
              </w:rPr>
              <w:t>A44</w:t>
            </w:r>
          </w:p>
        </w:tc>
        <w:tc>
          <w:tcPr>
            <w:tcW w:w="2268" w:type="dxa"/>
            <w:tcBorders>
              <w:top w:val="single" w:sz="4" w:space="0" w:color="auto"/>
              <w:left w:val="single" w:sz="4" w:space="0" w:color="auto"/>
              <w:bottom w:val="single" w:sz="4" w:space="0" w:color="auto"/>
              <w:right w:val="single" w:sz="4" w:space="0" w:color="auto"/>
            </w:tcBorders>
            <w:vAlign w:val="center"/>
          </w:tcPr>
          <w:p w14:paraId="229787F5" w14:textId="77777777" w:rsidR="002605C6" w:rsidRDefault="002605C6" w:rsidP="00EC3A9D">
            <w:pPr>
              <w:keepLines/>
              <w:spacing w:before="20" w:after="20" w:line="240" w:lineRule="auto"/>
              <w:jc w:val="center"/>
            </w:pPr>
            <w:r>
              <w:rPr>
                <w:rFonts w:cs="Arial"/>
                <w:color w:val="000000"/>
                <w:szCs w:val="22"/>
              </w:rPr>
              <w:t>3835</w:t>
            </w:r>
          </w:p>
        </w:tc>
      </w:tr>
      <w:tr w:rsidR="002605C6" w14:paraId="15C03BEB"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1339186F" w14:textId="77777777" w:rsidR="002605C6" w:rsidRDefault="002605C6" w:rsidP="00EC3A9D">
            <w:pPr>
              <w:keepLines/>
              <w:spacing w:before="20" w:after="20" w:line="240" w:lineRule="auto"/>
              <w:jc w:val="center"/>
            </w:pPr>
            <w:r>
              <w:rPr>
                <w:rFonts w:cs="Arial"/>
                <w:color w:val="000000"/>
                <w:szCs w:val="22"/>
              </w:rPr>
              <w:t>A15</w:t>
            </w:r>
          </w:p>
        </w:tc>
        <w:tc>
          <w:tcPr>
            <w:tcW w:w="2268" w:type="dxa"/>
            <w:tcBorders>
              <w:top w:val="single" w:sz="4" w:space="0" w:color="auto"/>
              <w:left w:val="single" w:sz="4" w:space="0" w:color="auto"/>
              <w:bottom w:val="single" w:sz="4" w:space="0" w:color="auto"/>
              <w:right w:val="single" w:sz="4" w:space="0" w:color="auto"/>
            </w:tcBorders>
            <w:vAlign w:val="center"/>
          </w:tcPr>
          <w:p w14:paraId="106B23E8" w14:textId="77777777" w:rsidR="002605C6" w:rsidRDefault="002605C6" w:rsidP="00EC3A9D">
            <w:pPr>
              <w:keepLines/>
              <w:spacing w:before="20" w:after="20" w:line="240" w:lineRule="auto"/>
              <w:jc w:val="center"/>
            </w:pPr>
            <w:r>
              <w:rPr>
                <w:rFonts w:cs="Arial"/>
                <w:color w:val="000000"/>
                <w:szCs w:val="22"/>
              </w:rPr>
              <w:t>3545</w:t>
            </w:r>
          </w:p>
        </w:tc>
        <w:tc>
          <w:tcPr>
            <w:tcW w:w="964" w:type="dxa"/>
            <w:tcBorders>
              <w:left w:val="single" w:sz="4" w:space="0" w:color="auto"/>
              <w:right w:val="single" w:sz="4" w:space="0" w:color="auto"/>
            </w:tcBorders>
          </w:tcPr>
          <w:p w14:paraId="794D3CFD"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2329C194" w14:textId="77777777" w:rsidR="002605C6" w:rsidRDefault="002605C6" w:rsidP="00EC3A9D">
            <w:pPr>
              <w:keepLines/>
              <w:spacing w:before="20" w:after="20" w:line="240" w:lineRule="auto"/>
              <w:jc w:val="center"/>
            </w:pPr>
            <w:r>
              <w:rPr>
                <w:rFonts w:cs="Arial"/>
                <w:color w:val="000000"/>
                <w:szCs w:val="22"/>
              </w:rPr>
              <w:t>A45</w:t>
            </w:r>
          </w:p>
        </w:tc>
        <w:tc>
          <w:tcPr>
            <w:tcW w:w="2268" w:type="dxa"/>
            <w:tcBorders>
              <w:top w:val="single" w:sz="4" w:space="0" w:color="auto"/>
              <w:left w:val="single" w:sz="4" w:space="0" w:color="auto"/>
              <w:bottom w:val="single" w:sz="4" w:space="0" w:color="auto"/>
              <w:right w:val="single" w:sz="4" w:space="0" w:color="auto"/>
            </w:tcBorders>
            <w:vAlign w:val="center"/>
          </w:tcPr>
          <w:p w14:paraId="13F4146C" w14:textId="77777777" w:rsidR="002605C6" w:rsidRDefault="002605C6" w:rsidP="00EC3A9D">
            <w:pPr>
              <w:keepLines/>
              <w:spacing w:before="20" w:after="20" w:line="240" w:lineRule="auto"/>
              <w:jc w:val="center"/>
            </w:pPr>
            <w:r>
              <w:rPr>
                <w:rFonts w:cs="Arial"/>
                <w:color w:val="000000"/>
                <w:szCs w:val="22"/>
              </w:rPr>
              <w:t>3845</w:t>
            </w:r>
          </w:p>
        </w:tc>
      </w:tr>
      <w:tr w:rsidR="002605C6" w14:paraId="1F8EDB79"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0AC76132" w14:textId="77777777" w:rsidR="002605C6" w:rsidRDefault="002605C6" w:rsidP="00EC3A9D">
            <w:pPr>
              <w:keepLines/>
              <w:spacing w:before="20" w:after="20" w:line="240" w:lineRule="auto"/>
              <w:jc w:val="center"/>
            </w:pPr>
            <w:r>
              <w:rPr>
                <w:rFonts w:cs="Arial"/>
                <w:color w:val="000000"/>
                <w:szCs w:val="22"/>
              </w:rPr>
              <w:t>A16</w:t>
            </w:r>
          </w:p>
        </w:tc>
        <w:tc>
          <w:tcPr>
            <w:tcW w:w="2268" w:type="dxa"/>
            <w:tcBorders>
              <w:top w:val="single" w:sz="4" w:space="0" w:color="auto"/>
              <w:left w:val="single" w:sz="4" w:space="0" w:color="auto"/>
              <w:bottom w:val="single" w:sz="4" w:space="0" w:color="auto"/>
              <w:right w:val="single" w:sz="4" w:space="0" w:color="auto"/>
            </w:tcBorders>
            <w:vAlign w:val="center"/>
          </w:tcPr>
          <w:p w14:paraId="1DE85ED5" w14:textId="77777777" w:rsidR="002605C6" w:rsidRDefault="002605C6" w:rsidP="00EC3A9D">
            <w:pPr>
              <w:keepLines/>
              <w:spacing w:before="20" w:after="20" w:line="240" w:lineRule="auto"/>
              <w:jc w:val="center"/>
            </w:pPr>
            <w:r>
              <w:rPr>
                <w:rFonts w:cs="Arial"/>
                <w:color w:val="000000"/>
                <w:szCs w:val="22"/>
              </w:rPr>
              <w:t>3555</w:t>
            </w:r>
          </w:p>
        </w:tc>
        <w:tc>
          <w:tcPr>
            <w:tcW w:w="964" w:type="dxa"/>
            <w:tcBorders>
              <w:left w:val="single" w:sz="4" w:space="0" w:color="auto"/>
              <w:right w:val="single" w:sz="4" w:space="0" w:color="auto"/>
            </w:tcBorders>
          </w:tcPr>
          <w:p w14:paraId="768AD689"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475538B6" w14:textId="77777777" w:rsidR="002605C6" w:rsidRDefault="002605C6" w:rsidP="00EC3A9D">
            <w:pPr>
              <w:keepLines/>
              <w:spacing w:before="20" w:after="20" w:line="240" w:lineRule="auto"/>
              <w:jc w:val="center"/>
            </w:pPr>
            <w:r>
              <w:rPr>
                <w:rFonts w:cs="Arial"/>
                <w:color w:val="000000"/>
                <w:szCs w:val="22"/>
              </w:rPr>
              <w:t>A46</w:t>
            </w:r>
          </w:p>
        </w:tc>
        <w:tc>
          <w:tcPr>
            <w:tcW w:w="2268" w:type="dxa"/>
            <w:tcBorders>
              <w:top w:val="single" w:sz="4" w:space="0" w:color="auto"/>
              <w:left w:val="single" w:sz="4" w:space="0" w:color="auto"/>
              <w:bottom w:val="single" w:sz="4" w:space="0" w:color="auto"/>
              <w:right w:val="single" w:sz="4" w:space="0" w:color="auto"/>
            </w:tcBorders>
            <w:vAlign w:val="center"/>
          </w:tcPr>
          <w:p w14:paraId="2B6D6A2C" w14:textId="77777777" w:rsidR="002605C6" w:rsidRDefault="002605C6" w:rsidP="00EC3A9D">
            <w:pPr>
              <w:keepLines/>
              <w:spacing w:before="20" w:after="20" w:line="240" w:lineRule="auto"/>
              <w:jc w:val="center"/>
            </w:pPr>
            <w:r>
              <w:rPr>
                <w:rFonts w:cs="Arial"/>
                <w:color w:val="000000"/>
                <w:szCs w:val="22"/>
              </w:rPr>
              <w:t>3855</w:t>
            </w:r>
          </w:p>
        </w:tc>
      </w:tr>
      <w:tr w:rsidR="002605C6" w14:paraId="762B55A6"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4686815B" w14:textId="77777777" w:rsidR="002605C6" w:rsidRDefault="002605C6" w:rsidP="00EC3A9D">
            <w:pPr>
              <w:keepLines/>
              <w:spacing w:before="20" w:after="20" w:line="240" w:lineRule="auto"/>
              <w:jc w:val="center"/>
            </w:pPr>
            <w:r>
              <w:rPr>
                <w:rFonts w:cs="Arial"/>
                <w:color w:val="000000"/>
                <w:szCs w:val="22"/>
              </w:rPr>
              <w:t>A17</w:t>
            </w:r>
          </w:p>
        </w:tc>
        <w:tc>
          <w:tcPr>
            <w:tcW w:w="2268" w:type="dxa"/>
            <w:tcBorders>
              <w:top w:val="single" w:sz="4" w:space="0" w:color="auto"/>
              <w:left w:val="single" w:sz="4" w:space="0" w:color="auto"/>
              <w:bottom w:val="single" w:sz="4" w:space="0" w:color="auto"/>
              <w:right w:val="single" w:sz="4" w:space="0" w:color="auto"/>
            </w:tcBorders>
            <w:vAlign w:val="center"/>
          </w:tcPr>
          <w:p w14:paraId="311D5614" w14:textId="77777777" w:rsidR="002605C6" w:rsidRDefault="002605C6" w:rsidP="00EC3A9D">
            <w:pPr>
              <w:keepLines/>
              <w:spacing w:before="20" w:after="20" w:line="240" w:lineRule="auto"/>
              <w:jc w:val="center"/>
            </w:pPr>
            <w:r>
              <w:rPr>
                <w:rFonts w:cs="Arial"/>
                <w:color w:val="000000"/>
                <w:szCs w:val="22"/>
              </w:rPr>
              <w:t>3565</w:t>
            </w:r>
          </w:p>
        </w:tc>
        <w:tc>
          <w:tcPr>
            <w:tcW w:w="964" w:type="dxa"/>
            <w:tcBorders>
              <w:left w:val="single" w:sz="4" w:space="0" w:color="auto"/>
              <w:right w:val="single" w:sz="4" w:space="0" w:color="auto"/>
            </w:tcBorders>
          </w:tcPr>
          <w:p w14:paraId="4D7C04D2"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29D1D80A" w14:textId="77777777" w:rsidR="002605C6" w:rsidRDefault="002605C6" w:rsidP="00EC3A9D">
            <w:pPr>
              <w:keepLines/>
              <w:spacing w:before="20" w:after="20" w:line="240" w:lineRule="auto"/>
              <w:jc w:val="center"/>
            </w:pPr>
            <w:r>
              <w:rPr>
                <w:rFonts w:cs="Arial"/>
                <w:color w:val="000000"/>
                <w:szCs w:val="22"/>
              </w:rPr>
              <w:t>A47</w:t>
            </w:r>
          </w:p>
        </w:tc>
        <w:tc>
          <w:tcPr>
            <w:tcW w:w="2268" w:type="dxa"/>
            <w:tcBorders>
              <w:top w:val="single" w:sz="4" w:space="0" w:color="auto"/>
              <w:left w:val="single" w:sz="4" w:space="0" w:color="auto"/>
              <w:bottom w:val="single" w:sz="4" w:space="0" w:color="auto"/>
              <w:right w:val="single" w:sz="4" w:space="0" w:color="auto"/>
            </w:tcBorders>
            <w:vAlign w:val="center"/>
          </w:tcPr>
          <w:p w14:paraId="7259B2C0" w14:textId="77777777" w:rsidR="002605C6" w:rsidRDefault="002605C6" w:rsidP="00EC3A9D">
            <w:pPr>
              <w:keepLines/>
              <w:spacing w:before="20" w:after="20" w:line="240" w:lineRule="auto"/>
              <w:jc w:val="center"/>
            </w:pPr>
            <w:r>
              <w:rPr>
                <w:rFonts w:cs="Arial"/>
                <w:color w:val="000000"/>
                <w:szCs w:val="22"/>
              </w:rPr>
              <w:t>3865</w:t>
            </w:r>
          </w:p>
        </w:tc>
      </w:tr>
      <w:tr w:rsidR="002605C6" w14:paraId="6344E86E"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7781C2B4" w14:textId="77777777" w:rsidR="002605C6" w:rsidRDefault="002605C6" w:rsidP="00EC3A9D">
            <w:pPr>
              <w:keepLines/>
              <w:spacing w:before="20" w:after="20" w:line="240" w:lineRule="auto"/>
              <w:jc w:val="center"/>
            </w:pPr>
            <w:r>
              <w:rPr>
                <w:rFonts w:cs="Arial"/>
                <w:color w:val="000000"/>
                <w:szCs w:val="22"/>
              </w:rPr>
              <w:t>A18</w:t>
            </w:r>
          </w:p>
        </w:tc>
        <w:tc>
          <w:tcPr>
            <w:tcW w:w="2268" w:type="dxa"/>
            <w:tcBorders>
              <w:top w:val="single" w:sz="4" w:space="0" w:color="auto"/>
              <w:left w:val="single" w:sz="4" w:space="0" w:color="auto"/>
              <w:bottom w:val="single" w:sz="4" w:space="0" w:color="auto"/>
              <w:right w:val="single" w:sz="4" w:space="0" w:color="auto"/>
            </w:tcBorders>
            <w:vAlign w:val="center"/>
          </w:tcPr>
          <w:p w14:paraId="481767E7" w14:textId="77777777" w:rsidR="002605C6" w:rsidRDefault="002605C6" w:rsidP="00EC3A9D">
            <w:pPr>
              <w:keepLines/>
              <w:spacing w:before="20" w:after="20" w:line="240" w:lineRule="auto"/>
              <w:jc w:val="center"/>
            </w:pPr>
            <w:r>
              <w:rPr>
                <w:rFonts w:cs="Arial"/>
                <w:color w:val="000000"/>
                <w:szCs w:val="22"/>
              </w:rPr>
              <w:t>3575</w:t>
            </w:r>
          </w:p>
        </w:tc>
        <w:tc>
          <w:tcPr>
            <w:tcW w:w="964" w:type="dxa"/>
            <w:tcBorders>
              <w:left w:val="single" w:sz="4" w:space="0" w:color="auto"/>
              <w:right w:val="single" w:sz="4" w:space="0" w:color="auto"/>
            </w:tcBorders>
          </w:tcPr>
          <w:p w14:paraId="44F9F424"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4417E025" w14:textId="77777777" w:rsidR="002605C6" w:rsidRDefault="002605C6" w:rsidP="00EC3A9D">
            <w:pPr>
              <w:keepLines/>
              <w:spacing w:before="20" w:after="20" w:line="240" w:lineRule="auto"/>
              <w:jc w:val="center"/>
            </w:pPr>
            <w:r>
              <w:rPr>
                <w:rFonts w:cs="Arial"/>
                <w:color w:val="000000"/>
                <w:szCs w:val="22"/>
              </w:rPr>
              <w:t>A48</w:t>
            </w:r>
          </w:p>
        </w:tc>
        <w:tc>
          <w:tcPr>
            <w:tcW w:w="2268" w:type="dxa"/>
            <w:tcBorders>
              <w:top w:val="single" w:sz="4" w:space="0" w:color="auto"/>
              <w:left w:val="single" w:sz="4" w:space="0" w:color="auto"/>
              <w:bottom w:val="single" w:sz="4" w:space="0" w:color="auto"/>
              <w:right w:val="single" w:sz="4" w:space="0" w:color="auto"/>
            </w:tcBorders>
            <w:vAlign w:val="center"/>
          </w:tcPr>
          <w:p w14:paraId="62FEC7D4" w14:textId="77777777" w:rsidR="002605C6" w:rsidRDefault="002605C6" w:rsidP="00EC3A9D">
            <w:pPr>
              <w:keepLines/>
              <w:spacing w:before="20" w:after="20" w:line="240" w:lineRule="auto"/>
              <w:jc w:val="center"/>
            </w:pPr>
            <w:r>
              <w:rPr>
                <w:rFonts w:cs="Arial"/>
                <w:color w:val="000000"/>
                <w:szCs w:val="22"/>
              </w:rPr>
              <w:t>3875</w:t>
            </w:r>
          </w:p>
        </w:tc>
      </w:tr>
      <w:tr w:rsidR="002605C6" w14:paraId="3BCC8BB3"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6595AAB0" w14:textId="77777777" w:rsidR="002605C6" w:rsidRDefault="002605C6" w:rsidP="00EC3A9D">
            <w:pPr>
              <w:keepLines/>
              <w:spacing w:before="20" w:after="20" w:line="240" w:lineRule="auto"/>
              <w:jc w:val="center"/>
            </w:pPr>
            <w:r>
              <w:rPr>
                <w:rFonts w:cs="Arial"/>
                <w:color w:val="000000"/>
                <w:szCs w:val="22"/>
              </w:rPr>
              <w:t>A19</w:t>
            </w:r>
          </w:p>
        </w:tc>
        <w:tc>
          <w:tcPr>
            <w:tcW w:w="2268" w:type="dxa"/>
            <w:tcBorders>
              <w:top w:val="single" w:sz="4" w:space="0" w:color="auto"/>
              <w:left w:val="single" w:sz="4" w:space="0" w:color="auto"/>
              <w:bottom w:val="single" w:sz="4" w:space="0" w:color="auto"/>
              <w:right w:val="single" w:sz="4" w:space="0" w:color="auto"/>
            </w:tcBorders>
            <w:vAlign w:val="center"/>
          </w:tcPr>
          <w:p w14:paraId="39C1FCE7" w14:textId="77777777" w:rsidR="002605C6" w:rsidRDefault="002605C6" w:rsidP="00EC3A9D">
            <w:pPr>
              <w:keepLines/>
              <w:spacing w:before="20" w:after="20" w:line="240" w:lineRule="auto"/>
              <w:jc w:val="center"/>
            </w:pPr>
            <w:r>
              <w:rPr>
                <w:rFonts w:cs="Arial"/>
                <w:color w:val="000000"/>
                <w:szCs w:val="22"/>
              </w:rPr>
              <w:t>3585</w:t>
            </w:r>
          </w:p>
        </w:tc>
        <w:tc>
          <w:tcPr>
            <w:tcW w:w="964" w:type="dxa"/>
            <w:tcBorders>
              <w:left w:val="single" w:sz="4" w:space="0" w:color="auto"/>
              <w:right w:val="single" w:sz="4" w:space="0" w:color="auto"/>
            </w:tcBorders>
          </w:tcPr>
          <w:p w14:paraId="620FF106"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189E5B7C" w14:textId="77777777" w:rsidR="002605C6" w:rsidRDefault="002605C6" w:rsidP="00EC3A9D">
            <w:pPr>
              <w:keepLines/>
              <w:spacing w:before="20" w:after="20" w:line="240" w:lineRule="auto"/>
              <w:jc w:val="center"/>
            </w:pPr>
            <w:r>
              <w:rPr>
                <w:rFonts w:cs="Arial"/>
                <w:color w:val="000000"/>
                <w:szCs w:val="22"/>
              </w:rPr>
              <w:t>A49</w:t>
            </w:r>
          </w:p>
        </w:tc>
        <w:tc>
          <w:tcPr>
            <w:tcW w:w="2268" w:type="dxa"/>
            <w:tcBorders>
              <w:top w:val="single" w:sz="4" w:space="0" w:color="auto"/>
              <w:left w:val="single" w:sz="4" w:space="0" w:color="auto"/>
              <w:bottom w:val="single" w:sz="4" w:space="0" w:color="auto"/>
              <w:right w:val="single" w:sz="4" w:space="0" w:color="auto"/>
            </w:tcBorders>
            <w:vAlign w:val="center"/>
          </w:tcPr>
          <w:p w14:paraId="0E285188" w14:textId="77777777" w:rsidR="002605C6" w:rsidRDefault="002605C6" w:rsidP="00EC3A9D">
            <w:pPr>
              <w:keepLines/>
              <w:spacing w:before="20" w:after="20" w:line="240" w:lineRule="auto"/>
              <w:jc w:val="center"/>
            </w:pPr>
            <w:r>
              <w:rPr>
                <w:rFonts w:cs="Arial"/>
                <w:color w:val="000000"/>
                <w:szCs w:val="22"/>
              </w:rPr>
              <w:t>3885</w:t>
            </w:r>
          </w:p>
        </w:tc>
      </w:tr>
      <w:tr w:rsidR="002605C6" w14:paraId="3A5BABA0"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31181BD5" w14:textId="77777777" w:rsidR="002605C6" w:rsidRDefault="002605C6" w:rsidP="00EC3A9D">
            <w:pPr>
              <w:keepLines/>
              <w:spacing w:before="20" w:after="20" w:line="240" w:lineRule="auto"/>
              <w:jc w:val="center"/>
            </w:pPr>
            <w:r>
              <w:rPr>
                <w:rFonts w:cs="Arial"/>
                <w:color w:val="000000"/>
                <w:szCs w:val="22"/>
              </w:rPr>
              <w:t>A20</w:t>
            </w:r>
          </w:p>
        </w:tc>
        <w:tc>
          <w:tcPr>
            <w:tcW w:w="2268" w:type="dxa"/>
            <w:tcBorders>
              <w:top w:val="single" w:sz="4" w:space="0" w:color="auto"/>
              <w:left w:val="single" w:sz="4" w:space="0" w:color="auto"/>
              <w:bottom w:val="single" w:sz="4" w:space="0" w:color="auto"/>
              <w:right w:val="single" w:sz="4" w:space="0" w:color="auto"/>
            </w:tcBorders>
            <w:vAlign w:val="center"/>
          </w:tcPr>
          <w:p w14:paraId="04F09100" w14:textId="77777777" w:rsidR="002605C6" w:rsidRDefault="002605C6" w:rsidP="00EC3A9D">
            <w:pPr>
              <w:keepLines/>
              <w:spacing w:before="20" w:after="20" w:line="240" w:lineRule="auto"/>
              <w:jc w:val="center"/>
            </w:pPr>
            <w:r>
              <w:rPr>
                <w:rFonts w:cs="Arial"/>
                <w:color w:val="000000"/>
                <w:szCs w:val="22"/>
              </w:rPr>
              <w:t>3595</w:t>
            </w:r>
          </w:p>
        </w:tc>
        <w:tc>
          <w:tcPr>
            <w:tcW w:w="964" w:type="dxa"/>
            <w:tcBorders>
              <w:left w:val="single" w:sz="4" w:space="0" w:color="auto"/>
              <w:right w:val="single" w:sz="4" w:space="0" w:color="auto"/>
            </w:tcBorders>
          </w:tcPr>
          <w:p w14:paraId="1BF75F94"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7C1A7B8A" w14:textId="77777777" w:rsidR="002605C6" w:rsidRDefault="002605C6" w:rsidP="00EC3A9D">
            <w:pPr>
              <w:keepLines/>
              <w:spacing w:before="20" w:after="20" w:line="240" w:lineRule="auto"/>
              <w:jc w:val="center"/>
            </w:pPr>
            <w:r>
              <w:rPr>
                <w:rFonts w:cs="Arial"/>
                <w:color w:val="000000"/>
                <w:szCs w:val="22"/>
              </w:rPr>
              <w:t>A50</w:t>
            </w:r>
          </w:p>
        </w:tc>
        <w:tc>
          <w:tcPr>
            <w:tcW w:w="2268" w:type="dxa"/>
            <w:tcBorders>
              <w:top w:val="single" w:sz="4" w:space="0" w:color="auto"/>
              <w:left w:val="single" w:sz="4" w:space="0" w:color="auto"/>
              <w:bottom w:val="single" w:sz="4" w:space="0" w:color="auto"/>
              <w:right w:val="single" w:sz="4" w:space="0" w:color="auto"/>
            </w:tcBorders>
            <w:vAlign w:val="center"/>
          </w:tcPr>
          <w:p w14:paraId="1F0267FA" w14:textId="77777777" w:rsidR="002605C6" w:rsidRDefault="002605C6" w:rsidP="00EC3A9D">
            <w:pPr>
              <w:keepLines/>
              <w:spacing w:before="20" w:after="20" w:line="240" w:lineRule="auto"/>
              <w:jc w:val="center"/>
            </w:pPr>
            <w:r>
              <w:rPr>
                <w:rFonts w:cs="Arial"/>
                <w:color w:val="000000"/>
                <w:szCs w:val="22"/>
              </w:rPr>
              <w:t>3895</w:t>
            </w:r>
          </w:p>
        </w:tc>
      </w:tr>
      <w:tr w:rsidR="002605C6" w14:paraId="322882FE"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69D3EFBD" w14:textId="77777777" w:rsidR="002605C6" w:rsidRDefault="002605C6" w:rsidP="00EC3A9D">
            <w:pPr>
              <w:keepLines/>
              <w:spacing w:before="20" w:after="20" w:line="240" w:lineRule="auto"/>
              <w:jc w:val="center"/>
            </w:pPr>
            <w:r>
              <w:rPr>
                <w:rFonts w:cs="Arial"/>
                <w:color w:val="000000"/>
                <w:szCs w:val="22"/>
              </w:rPr>
              <w:t>A21</w:t>
            </w:r>
          </w:p>
        </w:tc>
        <w:tc>
          <w:tcPr>
            <w:tcW w:w="2268" w:type="dxa"/>
            <w:tcBorders>
              <w:top w:val="single" w:sz="4" w:space="0" w:color="auto"/>
              <w:left w:val="single" w:sz="4" w:space="0" w:color="auto"/>
              <w:bottom w:val="single" w:sz="4" w:space="0" w:color="auto"/>
              <w:right w:val="single" w:sz="4" w:space="0" w:color="auto"/>
            </w:tcBorders>
            <w:vAlign w:val="center"/>
          </w:tcPr>
          <w:p w14:paraId="02A124F8" w14:textId="77777777" w:rsidR="002605C6" w:rsidRDefault="002605C6" w:rsidP="00EC3A9D">
            <w:pPr>
              <w:keepLines/>
              <w:spacing w:before="20" w:after="20" w:line="240" w:lineRule="auto"/>
              <w:jc w:val="center"/>
            </w:pPr>
            <w:r>
              <w:rPr>
                <w:rFonts w:cs="Arial"/>
                <w:color w:val="000000"/>
                <w:szCs w:val="22"/>
              </w:rPr>
              <w:t>3605</w:t>
            </w:r>
          </w:p>
        </w:tc>
        <w:tc>
          <w:tcPr>
            <w:tcW w:w="964" w:type="dxa"/>
            <w:tcBorders>
              <w:left w:val="single" w:sz="4" w:space="0" w:color="auto"/>
              <w:right w:val="single" w:sz="4" w:space="0" w:color="auto"/>
            </w:tcBorders>
          </w:tcPr>
          <w:p w14:paraId="7B13E281"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44E579B5" w14:textId="77777777" w:rsidR="002605C6" w:rsidRDefault="002605C6" w:rsidP="00EC3A9D">
            <w:pPr>
              <w:keepLines/>
              <w:spacing w:before="20" w:after="20" w:line="240" w:lineRule="auto"/>
              <w:jc w:val="center"/>
            </w:pPr>
            <w:r>
              <w:rPr>
                <w:rFonts w:cs="Arial"/>
                <w:color w:val="000000"/>
                <w:szCs w:val="22"/>
              </w:rPr>
              <w:t>A51</w:t>
            </w:r>
          </w:p>
        </w:tc>
        <w:tc>
          <w:tcPr>
            <w:tcW w:w="2268" w:type="dxa"/>
            <w:tcBorders>
              <w:top w:val="single" w:sz="4" w:space="0" w:color="auto"/>
              <w:left w:val="single" w:sz="4" w:space="0" w:color="auto"/>
              <w:bottom w:val="single" w:sz="4" w:space="0" w:color="auto"/>
              <w:right w:val="single" w:sz="4" w:space="0" w:color="auto"/>
            </w:tcBorders>
            <w:vAlign w:val="center"/>
          </w:tcPr>
          <w:p w14:paraId="327AF57D" w14:textId="77777777" w:rsidR="002605C6" w:rsidRDefault="002605C6" w:rsidP="00EC3A9D">
            <w:pPr>
              <w:keepLines/>
              <w:spacing w:before="20" w:after="20" w:line="240" w:lineRule="auto"/>
              <w:jc w:val="center"/>
            </w:pPr>
            <w:r>
              <w:rPr>
                <w:rFonts w:cs="Arial"/>
                <w:color w:val="000000"/>
                <w:szCs w:val="22"/>
              </w:rPr>
              <w:t>3905</w:t>
            </w:r>
          </w:p>
        </w:tc>
      </w:tr>
      <w:tr w:rsidR="002605C6" w14:paraId="0B48CCCE"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57362828" w14:textId="77777777" w:rsidR="002605C6" w:rsidRDefault="002605C6" w:rsidP="00EC3A9D">
            <w:pPr>
              <w:keepLines/>
              <w:spacing w:before="20" w:after="20" w:line="240" w:lineRule="auto"/>
              <w:jc w:val="center"/>
            </w:pPr>
            <w:r>
              <w:rPr>
                <w:rFonts w:cs="Arial"/>
                <w:color w:val="000000"/>
                <w:szCs w:val="22"/>
              </w:rPr>
              <w:t>A22</w:t>
            </w:r>
          </w:p>
        </w:tc>
        <w:tc>
          <w:tcPr>
            <w:tcW w:w="2268" w:type="dxa"/>
            <w:tcBorders>
              <w:top w:val="single" w:sz="4" w:space="0" w:color="auto"/>
              <w:left w:val="single" w:sz="4" w:space="0" w:color="auto"/>
              <w:bottom w:val="single" w:sz="4" w:space="0" w:color="auto"/>
              <w:right w:val="single" w:sz="4" w:space="0" w:color="auto"/>
            </w:tcBorders>
            <w:vAlign w:val="center"/>
          </w:tcPr>
          <w:p w14:paraId="53AF7739" w14:textId="77777777" w:rsidR="002605C6" w:rsidRDefault="002605C6" w:rsidP="00EC3A9D">
            <w:pPr>
              <w:keepLines/>
              <w:spacing w:before="20" w:after="20" w:line="240" w:lineRule="auto"/>
              <w:jc w:val="center"/>
            </w:pPr>
            <w:r>
              <w:rPr>
                <w:rFonts w:cs="Arial"/>
                <w:color w:val="000000"/>
                <w:szCs w:val="22"/>
              </w:rPr>
              <w:t>3615</w:t>
            </w:r>
          </w:p>
        </w:tc>
        <w:tc>
          <w:tcPr>
            <w:tcW w:w="964" w:type="dxa"/>
            <w:tcBorders>
              <w:left w:val="single" w:sz="4" w:space="0" w:color="auto"/>
              <w:right w:val="single" w:sz="4" w:space="0" w:color="auto"/>
            </w:tcBorders>
          </w:tcPr>
          <w:p w14:paraId="0D7DA6BE"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2872831E" w14:textId="77777777" w:rsidR="002605C6" w:rsidRDefault="002605C6" w:rsidP="00EC3A9D">
            <w:pPr>
              <w:keepLines/>
              <w:spacing w:before="20" w:after="20" w:line="240" w:lineRule="auto"/>
              <w:jc w:val="center"/>
            </w:pPr>
            <w:r>
              <w:rPr>
                <w:rFonts w:cs="Arial"/>
                <w:color w:val="000000"/>
                <w:szCs w:val="22"/>
              </w:rPr>
              <w:t>A52</w:t>
            </w:r>
          </w:p>
        </w:tc>
        <w:tc>
          <w:tcPr>
            <w:tcW w:w="2268" w:type="dxa"/>
            <w:tcBorders>
              <w:top w:val="single" w:sz="4" w:space="0" w:color="auto"/>
              <w:left w:val="single" w:sz="4" w:space="0" w:color="auto"/>
              <w:bottom w:val="single" w:sz="4" w:space="0" w:color="auto"/>
              <w:right w:val="single" w:sz="4" w:space="0" w:color="auto"/>
            </w:tcBorders>
            <w:vAlign w:val="center"/>
          </w:tcPr>
          <w:p w14:paraId="4C1CE34D" w14:textId="77777777" w:rsidR="002605C6" w:rsidRDefault="002605C6" w:rsidP="00EC3A9D">
            <w:pPr>
              <w:keepLines/>
              <w:spacing w:before="20" w:after="20" w:line="240" w:lineRule="auto"/>
              <w:jc w:val="center"/>
            </w:pPr>
            <w:r>
              <w:rPr>
                <w:rFonts w:cs="Arial"/>
                <w:color w:val="000000"/>
                <w:szCs w:val="22"/>
              </w:rPr>
              <w:t>3915</w:t>
            </w:r>
          </w:p>
        </w:tc>
      </w:tr>
      <w:tr w:rsidR="002605C6" w14:paraId="3C12061C"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02E5A76C" w14:textId="77777777" w:rsidR="002605C6" w:rsidRDefault="002605C6" w:rsidP="00EC3A9D">
            <w:pPr>
              <w:keepLines/>
              <w:spacing w:before="20" w:after="20" w:line="240" w:lineRule="auto"/>
              <w:jc w:val="center"/>
            </w:pPr>
            <w:r>
              <w:rPr>
                <w:rFonts w:cs="Arial"/>
                <w:color w:val="000000"/>
                <w:szCs w:val="22"/>
              </w:rPr>
              <w:t>A23</w:t>
            </w:r>
          </w:p>
        </w:tc>
        <w:tc>
          <w:tcPr>
            <w:tcW w:w="2268" w:type="dxa"/>
            <w:tcBorders>
              <w:top w:val="single" w:sz="4" w:space="0" w:color="auto"/>
              <w:left w:val="single" w:sz="4" w:space="0" w:color="auto"/>
              <w:bottom w:val="single" w:sz="4" w:space="0" w:color="auto"/>
              <w:right w:val="single" w:sz="4" w:space="0" w:color="auto"/>
            </w:tcBorders>
            <w:vAlign w:val="center"/>
          </w:tcPr>
          <w:p w14:paraId="3F5490A2" w14:textId="77777777" w:rsidR="002605C6" w:rsidRDefault="002605C6" w:rsidP="00EC3A9D">
            <w:pPr>
              <w:keepLines/>
              <w:spacing w:before="20" w:after="20" w:line="240" w:lineRule="auto"/>
              <w:jc w:val="center"/>
            </w:pPr>
            <w:r>
              <w:rPr>
                <w:rFonts w:cs="Arial"/>
                <w:color w:val="000000"/>
                <w:szCs w:val="22"/>
              </w:rPr>
              <w:t>3625</w:t>
            </w:r>
          </w:p>
        </w:tc>
        <w:tc>
          <w:tcPr>
            <w:tcW w:w="964" w:type="dxa"/>
            <w:tcBorders>
              <w:left w:val="single" w:sz="4" w:space="0" w:color="auto"/>
              <w:right w:val="single" w:sz="4" w:space="0" w:color="auto"/>
            </w:tcBorders>
          </w:tcPr>
          <w:p w14:paraId="2A3D6BC0"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115B6784" w14:textId="77777777" w:rsidR="002605C6" w:rsidRDefault="002605C6" w:rsidP="00EC3A9D">
            <w:pPr>
              <w:keepLines/>
              <w:spacing w:before="20" w:after="20" w:line="240" w:lineRule="auto"/>
              <w:jc w:val="center"/>
            </w:pPr>
            <w:r>
              <w:rPr>
                <w:rFonts w:cs="Arial"/>
                <w:color w:val="000000"/>
                <w:szCs w:val="22"/>
              </w:rPr>
              <w:t>A53</w:t>
            </w:r>
          </w:p>
        </w:tc>
        <w:tc>
          <w:tcPr>
            <w:tcW w:w="2268" w:type="dxa"/>
            <w:tcBorders>
              <w:top w:val="single" w:sz="4" w:space="0" w:color="auto"/>
              <w:left w:val="single" w:sz="4" w:space="0" w:color="auto"/>
              <w:bottom w:val="single" w:sz="4" w:space="0" w:color="auto"/>
              <w:right w:val="single" w:sz="4" w:space="0" w:color="auto"/>
            </w:tcBorders>
            <w:vAlign w:val="center"/>
          </w:tcPr>
          <w:p w14:paraId="7A9EE05B" w14:textId="77777777" w:rsidR="002605C6" w:rsidRDefault="002605C6" w:rsidP="00EC3A9D">
            <w:pPr>
              <w:keepLines/>
              <w:spacing w:before="20" w:after="20" w:line="240" w:lineRule="auto"/>
              <w:jc w:val="center"/>
            </w:pPr>
            <w:r>
              <w:rPr>
                <w:rFonts w:cs="Arial"/>
                <w:color w:val="000000"/>
                <w:szCs w:val="22"/>
              </w:rPr>
              <w:t>3925</w:t>
            </w:r>
          </w:p>
        </w:tc>
      </w:tr>
      <w:tr w:rsidR="002605C6" w14:paraId="4F859290"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1A812E2D" w14:textId="77777777" w:rsidR="002605C6" w:rsidRDefault="002605C6" w:rsidP="00EC3A9D">
            <w:pPr>
              <w:keepLines/>
              <w:spacing w:before="20" w:after="20" w:line="240" w:lineRule="auto"/>
              <w:jc w:val="center"/>
            </w:pPr>
            <w:r>
              <w:rPr>
                <w:rFonts w:cs="Arial"/>
                <w:color w:val="000000"/>
                <w:szCs w:val="22"/>
              </w:rPr>
              <w:t>A24</w:t>
            </w:r>
          </w:p>
        </w:tc>
        <w:tc>
          <w:tcPr>
            <w:tcW w:w="2268" w:type="dxa"/>
            <w:tcBorders>
              <w:top w:val="single" w:sz="4" w:space="0" w:color="auto"/>
              <w:left w:val="single" w:sz="4" w:space="0" w:color="auto"/>
              <w:bottom w:val="single" w:sz="4" w:space="0" w:color="auto"/>
              <w:right w:val="single" w:sz="4" w:space="0" w:color="auto"/>
            </w:tcBorders>
            <w:vAlign w:val="center"/>
          </w:tcPr>
          <w:p w14:paraId="68D52B31" w14:textId="77777777" w:rsidR="002605C6" w:rsidRDefault="002605C6" w:rsidP="00EC3A9D">
            <w:pPr>
              <w:keepLines/>
              <w:spacing w:before="20" w:after="20" w:line="240" w:lineRule="auto"/>
              <w:jc w:val="center"/>
            </w:pPr>
            <w:r>
              <w:rPr>
                <w:rFonts w:cs="Arial"/>
                <w:color w:val="000000"/>
                <w:szCs w:val="22"/>
              </w:rPr>
              <w:t>3635</w:t>
            </w:r>
          </w:p>
        </w:tc>
        <w:tc>
          <w:tcPr>
            <w:tcW w:w="964" w:type="dxa"/>
            <w:tcBorders>
              <w:left w:val="single" w:sz="4" w:space="0" w:color="auto"/>
              <w:right w:val="single" w:sz="4" w:space="0" w:color="auto"/>
            </w:tcBorders>
          </w:tcPr>
          <w:p w14:paraId="54E6F581"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3B65359F" w14:textId="77777777" w:rsidR="002605C6" w:rsidRDefault="002605C6" w:rsidP="00EC3A9D">
            <w:pPr>
              <w:keepLines/>
              <w:spacing w:before="20" w:after="20" w:line="240" w:lineRule="auto"/>
              <w:jc w:val="center"/>
            </w:pPr>
            <w:r>
              <w:rPr>
                <w:rFonts w:cs="Arial"/>
                <w:color w:val="000000"/>
                <w:szCs w:val="22"/>
              </w:rPr>
              <w:t>A54</w:t>
            </w:r>
          </w:p>
        </w:tc>
        <w:tc>
          <w:tcPr>
            <w:tcW w:w="2268" w:type="dxa"/>
            <w:tcBorders>
              <w:top w:val="single" w:sz="4" w:space="0" w:color="auto"/>
              <w:left w:val="single" w:sz="4" w:space="0" w:color="auto"/>
              <w:bottom w:val="single" w:sz="4" w:space="0" w:color="auto"/>
              <w:right w:val="single" w:sz="4" w:space="0" w:color="auto"/>
            </w:tcBorders>
            <w:vAlign w:val="center"/>
          </w:tcPr>
          <w:p w14:paraId="34C6F3D9" w14:textId="77777777" w:rsidR="002605C6" w:rsidRDefault="002605C6" w:rsidP="00EC3A9D">
            <w:pPr>
              <w:keepLines/>
              <w:spacing w:before="20" w:after="20" w:line="240" w:lineRule="auto"/>
              <w:jc w:val="center"/>
            </w:pPr>
            <w:r>
              <w:rPr>
                <w:rFonts w:cs="Arial"/>
                <w:color w:val="000000"/>
                <w:szCs w:val="22"/>
              </w:rPr>
              <w:t>3935</w:t>
            </w:r>
          </w:p>
        </w:tc>
      </w:tr>
      <w:tr w:rsidR="002605C6" w14:paraId="0F2C8EA9"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52548A22" w14:textId="77777777" w:rsidR="002605C6" w:rsidRDefault="002605C6" w:rsidP="00EC3A9D">
            <w:pPr>
              <w:keepLines/>
              <w:spacing w:before="20" w:after="20" w:line="240" w:lineRule="auto"/>
              <w:jc w:val="center"/>
            </w:pPr>
            <w:r>
              <w:rPr>
                <w:rFonts w:cs="Arial"/>
                <w:color w:val="000000"/>
                <w:szCs w:val="22"/>
              </w:rPr>
              <w:t>A25</w:t>
            </w:r>
          </w:p>
        </w:tc>
        <w:tc>
          <w:tcPr>
            <w:tcW w:w="2268" w:type="dxa"/>
            <w:tcBorders>
              <w:top w:val="single" w:sz="4" w:space="0" w:color="auto"/>
              <w:left w:val="single" w:sz="4" w:space="0" w:color="auto"/>
              <w:bottom w:val="single" w:sz="4" w:space="0" w:color="auto"/>
              <w:right w:val="single" w:sz="4" w:space="0" w:color="auto"/>
            </w:tcBorders>
            <w:vAlign w:val="center"/>
          </w:tcPr>
          <w:p w14:paraId="104422CE" w14:textId="77777777" w:rsidR="002605C6" w:rsidRDefault="002605C6" w:rsidP="00EC3A9D">
            <w:pPr>
              <w:keepLines/>
              <w:spacing w:before="20" w:after="20" w:line="240" w:lineRule="auto"/>
              <w:jc w:val="center"/>
            </w:pPr>
            <w:r>
              <w:rPr>
                <w:rFonts w:cs="Arial"/>
                <w:color w:val="000000"/>
                <w:szCs w:val="22"/>
              </w:rPr>
              <w:t>3645</w:t>
            </w:r>
          </w:p>
        </w:tc>
        <w:tc>
          <w:tcPr>
            <w:tcW w:w="964" w:type="dxa"/>
            <w:tcBorders>
              <w:left w:val="single" w:sz="4" w:space="0" w:color="auto"/>
              <w:right w:val="single" w:sz="4" w:space="0" w:color="auto"/>
            </w:tcBorders>
          </w:tcPr>
          <w:p w14:paraId="20F7F442"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63623D06" w14:textId="77777777" w:rsidR="002605C6" w:rsidRDefault="002605C6" w:rsidP="00EC3A9D">
            <w:pPr>
              <w:keepLines/>
              <w:spacing w:before="20" w:after="20" w:line="240" w:lineRule="auto"/>
              <w:jc w:val="center"/>
            </w:pPr>
            <w:r>
              <w:rPr>
                <w:rFonts w:cs="Arial"/>
                <w:color w:val="000000"/>
                <w:szCs w:val="22"/>
              </w:rPr>
              <w:t>A55</w:t>
            </w:r>
          </w:p>
        </w:tc>
        <w:tc>
          <w:tcPr>
            <w:tcW w:w="2268" w:type="dxa"/>
            <w:tcBorders>
              <w:top w:val="single" w:sz="4" w:space="0" w:color="auto"/>
              <w:left w:val="single" w:sz="4" w:space="0" w:color="auto"/>
              <w:bottom w:val="single" w:sz="4" w:space="0" w:color="auto"/>
              <w:right w:val="single" w:sz="4" w:space="0" w:color="auto"/>
            </w:tcBorders>
            <w:vAlign w:val="center"/>
          </w:tcPr>
          <w:p w14:paraId="4ACC0019" w14:textId="77777777" w:rsidR="002605C6" w:rsidRDefault="002605C6" w:rsidP="00EC3A9D">
            <w:pPr>
              <w:keepLines/>
              <w:spacing w:before="20" w:after="20" w:line="240" w:lineRule="auto"/>
              <w:jc w:val="center"/>
            </w:pPr>
            <w:r>
              <w:rPr>
                <w:rFonts w:cs="Arial"/>
                <w:color w:val="000000"/>
                <w:szCs w:val="22"/>
              </w:rPr>
              <w:t>3945</w:t>
            </w:r>
          </w:p>
        </w:tc>
      </w:tr>
      <w:tr w:rsidR="002605C6" w14:paraId="07EEE223"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3B699920" w14:textId="77777777" w:rsidR="002605C6" w:rsidRDefault="002605C6" w:rsidP="00EC3A9D">
            <w:pPr>
              <w:keepLines/>
              <w:spacing w:before="20" w:after="20" w:line="240" w:lineRule="auto"/>
              <w:jc w:val="center"/>
            </w:pPr>
            <w:r>
              <w:rPr>
                <w:rFonts w:cs="Arial"/>
                <w:color w:val="000000"/>
                <w:szCs w:val="22"/>
              </w:rPr>
              <w:t>A26</w:t>
            </w:r>
          </w:p>
        </w:tc>
        <w:tc>
          <w:tcPr>
            <w:tcW w:w="2268" w:type="dxa"/>
            <w:tcBorders>
              <w:top w:val="single" w:sz="4" w:space="0" w:color="auto"/>
              <w:left w:val="single" w:sz="4" w:space="0" w:color="auto"/>
              <w:bottom w:val="single" w:sz="4" w:space="0" w:color="auto"/>
              <w:right w:val="single" w:sz="4" w:space="0" w:color="auto"/>
            </w:tcBorders>
            <w:vAlign w:val="center"/>
          </w:tcPr>
          <w:p w14:paraId="5D242F26" w14:textId="77777777" w:rsidR="002605C6" w:rsidRDefault="002605C6" w:rsidP="00EC3A9D">
            <w:pPr>
              <w:keepLines/>
              <w:spacing w:before="20" w:after="20" w:line="240" w:lineRule="auto"/>
              <w:jc w:val="center"/>
            </w:pPr>
            <w:r>
              <w:rPr>
                <w:rFonts w:cs="Arial"/>
                <w:color w:val="000000"/>
                <w:szCs w:val="22"/>
              </w:rPr>
              <w:t>3655</w:t>
            </w:r>
          </w:p>
        </w:tc>
        <w:tc>
          <w:tcPr>
            <w:tcW w:w="964" w:type="dxa"/>
            <w:tcBorders>
              <w:left w:val="single" w:sz="4" w:space="0" w:color="auto"/>
              <w:right w:val="single" w:sz="4" w:space="0" w:color="auto"/>
            </w:tcBorders>
          </w:tcPr>
          <w:p w14:paraId="5031AC6E"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1CB0D9D2" w14:textId="77777777" w:rsidR="002605C6" w:rsidRDefault="002605C6" w:rsidP="00EC3A9D">
            <w:pPr>
              <w:keepLines/>
              <w:spacing w:before="20" w:after="20" w:line="240" w:lineRule="auto"/>
              <w:jc w:val="center"/>
            </w:pPr>
            <w:r>
              <w:rPr>
                <w:rFonts w:cs="Arial"/>
                <w:color w:val="000000"/>
                <w:szCs w:val="22"/>
              </w:rPr>
              <w:t>A56</w:t>
            </w:r>
          </w:p>
        </w:tc>
        <w:tc>
          <w:tcPr>
            <w:tcW w:w="2268" w:type="dxa"/>
            <w:tcBorders>
              <w:top w:val="single" w:sz="4" w:space="0" w:color="auto"/>
              <w:left w:val="single" w:sz="4" w:space="0" w:color="auto"/>
              <w:bottom w:val="single" w:sz="4" w:space="0" w:color="auto"/>
              <w:right w:val="single" w:sz="4" w:space="0" w:color="auto"/>
            </w:tcBorders>
            <w:vAlign w:val="center"/>
          </w:tcPr>
          <w:p w14:paraId="47A1094E" w14:textId="77777777" w:rsidR="002605C6" w:rsidRDefault="002605C6" w:rsidP="00EC3A9D">
            <w:pPr>
              <w:keepLines/>
              <w:spacing w:before="20" w:after="20" w:line="240" w:lineRule="auto"/>
              <w:jc w:val="center"/>
            </w:pPr>
            <w:r>
              <w:rPr>
                <w:rFonts w:cs="Arial"/>
                <w:color w:val="000000"/>
                <w:szCs w:val="22"/>
              </w:rPr>
              <w:t>3955</w:t>
            </w:r>
          </w:p>
        </w:tc>
      </w:tr>
      <w:tr w:rsidR="002605C6" w14:paraId="22F55B33"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7266024C" w14:textId="77777777" w:rsidR="002605C6" w:rsidRDefault="002605C6" w:rsidP="00EC3A9D">
            <w:pPr>
              <w:keepLines/>
              <w:spacing w:before="20" w:after="20" w:line="240" w:lineRule="auto"/>
              <w:jc w:val="center"/>
            </w:pPr>
            <w:r>
              <w:rPr>
                <w:rFonts w:cs="Arial"/>
                <w:color w:val="000000"/>
                <w:szCs w:val="22"/>
              </w:rPr>
              <w:t>A27</w:t>
            </w:r>
          </w:p>
        </w:tc>
        <w:tc>
          <w:tcPr>
            <w:tcW w:w="2268" w:type="dxa"/>
            <w:tcBorders>
              <w:top w:val="single" w:sz="4" w:space="0" w:color="auto"/>
              <w:left w:val="single" w:sz="4" w:space="0" w:color="auto"/>
              <w:bottom w:val="single" w:sz="4" w:space="0" w:color="auto"/>
              <w:right w:val="single" w:sz="4" w:space="0" w:color="auto"/>
            </w:tcBorders>
            <w:vAlign w:val="center"/>
          </w:tcPr>
          <w:p w14:paraId="4E73168B" w14:textId="77777777" w:rsidR="002605C6" w:rsidRDefault="002605C6" w:rsidP="00EC3A9D">
            <w:pPr>
              <w:keepLines/>
              <w:spacing w:before="20" w:after="20" w:line="240" w:lineRule="auto"/>
              <w:jc w:val="center"/>
            </w:pPr>
            <w:r>
              <w:rPr>
                <w:rFonts w:cs="Arial"/>
                <w:color w:val="000000"/>
                <w:szCs w:val="22"/>
              </w:rPr>
              <w:t>3665</w:t>
            </w:r>
          </w:p>
        </w:tc>
        <w:tc>
          <w:tcPr>
            <w:tcW w:w="964" w:type="dxa"/>
            <w:tcBorders>
              <w:left w:val="single" w:sz="4" w:space="0" w:color="auto"/>
              <w:right w:val="single" w:sz="4" w:space="0" w:color="auto"/>
            </w:tcBorders>
          </w:tcPr>
          <w:p w14:paraId="3034B2EE"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70C12588" w14:textId="77777777" w:rsidR="002605C6" w:rsidRDefault="002605C6" w:rsidP="00EC3A9D">
            <w:pPr>
              <w:keepLines/>
              <w:spacing w:before="20" w:after="20" w:line="240" w:lineRule="auto"/>
              <w:jc w:val="center"/>
            </w:pPr>
            <w:r>
              <w:rPr>
                <w:rFonts w:cs="Arial"/>
                <w:color w:val="000000"/>
                <w:szCs w:val="22"/>
              </w:rPr>
              <w:t>A57</w:t>
            </w:r>
          </w:p>
        </w:tc>
        <w:tc>
          <w:tcPr>
            <w:tcW w:w="2268" w:type="dxa"/>
            <w:tcBorders>
              <w:top w:val="single" w:sz="4" w:space="0" w:color="auto"/>
              <w:left w:val="single" w:sz="4" w:space="0" w:color="auto"/>
              <w:bottom w:val="single" w:sz="4" w:space="0" w:color="auto"/>
              <w:right w:val="single" w:sz="4" w:space="0" w:color="auto"/>
            </w:tcBorders>
            <w:vAlign w:val="center"/>
          </w:tcPr>
          <w:p w14:paraId="3CC9C0C7" w14:textId="77777777" w:rsidR="002605C6" w:rsidRDefault="002605C6" w:rsidP="00EC3A9D">
            <w:pPr>
              <w:keepLines/>
              <w:spacing w:before="20" w:after="20" w:line="240" w:lineRule="auto"/>
              <w:jc w:val="center"/>
            </w:pPr>
            <w:r>
              <w:rPr>
                <w:rFonts w:cs="Arial"/>
                <w:color w:val="000000"/>
                <w:szCs w:val="22"/>
              </w:rPr>
              <w:t>3965</w:t>
            </w:r>
          </w:p>
        </w:tc>
      </w:tr>
      <w:tr w:rsidR="002605C6" w14:paraId="778B6870"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39B88340" w14:textId="77777777" w:rsidR="002605C6" w:rsidRDefault="002605C6" w:rsidP="00EC3A9D">
            <w:pPr>
              <w:keepLines/>
              <w:spacing w:before="20" w:after="20" w:line="240" w:lineRule="auto"/>
              <w:jc w:val="center"/>
            </w:pPr>
            <w:r>
              <w:rPr>
                <w:rFonts w:cs="Arial"/>
                <w:color w:val="000000"/>
                <w:szCs w:val="22"/>
              </w:rPr>
              <w:t>A28</w:t>
            </w:r>
          </w:p>
        </w:tc>
        <w:tc>
          <w:tcPr>
            <w:tcW w:w="2268" w:type="dxa"/>
            <w:tcBorders>
              <w:top w:val="single" w:sz="4" w:space="0" w:color="auto"/>
              <w:left w:val="single" w:sz="4" w:space="0" w:color="auto"/>
              <w:bottom w:val="single" w:sz="4" w:space="0" w:color="auto"/>
              <w:right w:val="single" w:sz="4" w:space="0" w:color="auto"/>
            </w:tcBorders>
            <w:vAlign w:val="center"/>
          </w:tcPr>
          <w:p w14:paraId="76901247" w14:textId="77777777" w:rsidR="002605C6" w:rsidRDefault="002605C6" w:rsidP="00EC3A9D">
            <w:pPr>
              <w:keepLines/>
              <w:spacing w:before="20" w:after="20" w:line="240" w:lineRule="auto"/>
              <w:jc w:val="center"/>
            </w:pPr>
            <w:r>
              <w:rPr>
                <w:rFonts w:cs="Arial"/>
                <w:color w:val="000000"/>
                <w:szCs w:val="22"/>
              </w:rPr>
              <w:t>3675</w:t>
            </w:r>
          </w:p>
        </w:tc>
        <w:tc>
          <w:tcPr>
            <w:tcW w:w="964" w:type="dxa"/>
            <w:tcBorders>
              <w:left w:val="single" w:sz="4" w:space="0" w:color="auto"/>
              <w:right w:val="single" w:sz="4" w:space="0" w:color="auto"/>
            </w:tcBorders>
          </w:tcPr>
          <w:p w14:paraId="101A1A71"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54752336" w14:textId="77777777" w:rsidR="002605C6" w:rsidRDefault="002605C6" w:rsidP="00EC3A9D">
            <w:pPr>
              <w:keepLines/>
              <w:spacing w:before="20" w:after="20" w:line="240" w:lineRule="auto"/>
              <w:jc w:val="center"/>
            </w:pPr>
            <w:r>
              <w:rPr>
                <w:rFonts w:cs="Arial"/>
                <w:color w:val="000000"/>
                <w:szCs w:val="22"/>
              </w:rPr>
              <w:t>A58</w:t>
            </w:r>
          </w:p>
        </w:tc>
        <w:tc>
          <w:tcPr>
            <w:tcW w:w="2268" w:type="dxa"/>
            <w:tcBorders>
              <w:top w:val="single" w:sz="4" w:space="0" w:color="auto"/>
              <w:left w:val="single" w:sz="4" w:space="0" w:color="auto"/>
              <w:bottom w:val="single" w:sz="4" w:space="0" w:color="auto"/>
              <w:right w:val="single" w:sz="4" w:space="0" w:color="auto"/>
            </w:tcBorders>
            <w:vAlign w:val="center"/>
          </w:tcPr>
          <w:p w14:paraId="2CD4B75E" w14:textId="77777777" w:rsidR="002605C6" w:rsidRDefault="002605C6" w:rsidP="00EC3A9D">
            <w:pPr>
              <w:keepLines/>
              <w:spacing w:before="20" w:after="20" w:line="240" w:lineRule="auto"/>
              <w:jc w:val="center"/>
            </w:pPr>
            <w:r>
              <w:rPr>
                <w:rFonts w:cs="Arial"/>
                <w:color w:val="000000"/>
                <w:szCs w:val="22"/>
              </w:rPr>
              <w:t>3975</w:t>
            </w:r>
          </w:p>
        </w:tc>
      </w:tr>
      <w:tr w:rsidR="002605C6" w14:paraId="780D85B3"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3A3281FB" w14:textId="77777777" w:rsidR="002605C6" w:rsidRDefault="002605C6" w:rsidP="00EC3A9D">
            <w:pPr>
              <w:keepLines/>
              <w:spacing w:before="20" w:after="20" w:line="240" w:lineRule="auto"/>
              <w:jc w:val="center"/>
            </w:pPr>
            <w:r>
              <w:rPr>
                <w:rFonts w:cs="Arial"/>
                <w:color w:val="000000"/>
                <w:szCs w:val="22"/>
              </w:rPr>
              <w:t>A29</w:t>
            </w:r>
          </w:p>
        </w:tc>
        <w:tc>
          <w:tcPr>
            <w:tcW w:w="2268" w:type="dxa"/>
            <w:tcBorders>
              <w:top w:val="single" w:sz="4" w:space="0" w:color="auto"/>
              <w:left w:val="single" w:sz="4" w:space="0" w:color="auto"/>
              <w:bottom w:val="single" w:sz="4" w:space="0" w:color="auto"/>
              <w:right w:val="single" w:sz="4" w:space="0" w:color="auto"/>
            </w:tcBorders>
            <w:vAlign w:val="center"/>
          </w:tcPr>
          <w:p w14:paraId="3EB1463C" w14:textId="77777777" w:rsidR="002605C6" w:rsidRDefault="002605C6" w:rsidP="00EC3A9D">
            <w:pPr>
              <w:keepLines/>
              <w:spacing w:before="20" w:after="20" w:line="240" w:lineRule="auto"/>
              <w:jc w:val="center"/>
            </w:pPr>
            <w:r>
              <w:rPr>
                <w:rFonts w:cs="Arial"/>
                <w:color w:val="000000"/>
                <w:szCs w:val="22"/>
              </w:rPr>
              <w:t>3685</w:t>
            </w:r>
          </w:p>
        </w:tc>
        <w:tc>
          <w:tcPr>
            <w:tcW w:w="964" w:type="dxa"/>
            <w:tcBorders>
              <w:left w:val="single" w:sz="4" w:space="0" w:color="auto"/>
              <w:right w:val="single" w:sz="4" w:space="0" w:color="auto"/>
            </w:tcBorders>
          </w:tcPr>
          <w:p w14:paraId="31E053A6"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05F5D7B5" w14:textId="77777777" w:rsidR="002605C6" w:rsidRDefault="002605C6" w:rsidP="00EC3A9D">
            <w:pPr>
              <w:keepLines/>
              <w:spacing w:before="20" w:after="20" w:line="240" w:lineRule="auto"/>
              <w:jc w:val="center"/>
            </w:pPr>
            <w:r>
              <w:rPr>
                <w:rFonts w:cs="Arial"/>
                <w:color w:val="000000"/>
                <w:szCs w:val="22"/>
              </w:rPr>
              <w:t>A59</w:t>
            </w:r>
          </w:p>
        </w:tc>
        <w:tc>
          <w:tcPr>
            <w:tcW w:w="2268" w:type="dxa"/>
            <w:tcBorders>
              <w:top w:val="single" w:sz="4" w:space="0" w:color="auto"/>
              <w:left w:val="single" w:sz="4" w:space="0" w:color="auto"/>
              <w:bottom w:val="single" w:sz="4" w:space="0" w:color="auto"/>
              <w:right w:val="single" w:sz="4" w:space="0" w:color="auto"/>
            </w:tcBorders>
            <w:vAlign w:val="center"/>
          </w:tcPr>
          <w:p w14:paraId="4360EA69" w14:textId="77777777" w:rsidR="002605C6" w:rsidRDefault="002605C6" w:rsidP="00EC3A9D">
            <w:pPr>
              <w:keepLines/>
              <w:spacing w:before="20" w:after="20" w:line="240" w:lineRule="auto"/>
              <w:jc w:val="center"/>
            </w:pPr>
            <w:r>
              <w:rPr>
                <w:rFonts w:cs="Arial"/>
                <w:color w:val="000000"/>
                <w:szCs w:val="22"/>
              </w:rPr>
              <w:t>3985</w:t>
            </w:r>
          </w:p>
        </w:tc>
      </w:tr>
      <w:tr w:rsidR="002605C6" w14:paraId="740A28E7"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39CF0FC6" w14:textId="77777777" w:rsidR="002605C6" w:rsidRDefault="002605C6" w:rsidP="00EC3A9D">
            <w:pPr>
              <w:keepLines/>
              <w:spacing w:before="20" w:after="20" w:line="240" w:lineRule="auto"/>
              <w:jc w:val="center"/>
            </w:pPr>
            <w:r>
              <w:rPr>
                <w:rFonts w:cs="Arial"/>
                <w:color w:val="000000"/>
                <w:szCs w:val="22"/>
              </w:rPr>
              <w:t>A30</w:t>
            </w:r>
          </w:p>
        </w:tc>
        <w:tc>
          <w:tcPr>
            <w:tcW w:w="2268" w:type="dxa"/>
            <w:tcBorders>
              <w:top w:val="single" w:sz="4" w:space="0" w:color="auto"/>
              <w:left w:val="single" w:sz="4" w:space="0" w:color="auto"/>
              <w:bottom w:val="single" w:sz="4" w:space="0" w:color="auto"/>
              <w:right w:val="single" w:sz="4" w:space="0" w:color="auto"/>
            </w:tcBorders>
            <w:vAlign w:val="center"/>
          </w:tcPr>
          <w:p w14:paraId="579D008F" w14:textId="77777777" w:rsidR="002605C6" w:rsidRDefault="002605C6" w:rsidP="00EC3A9D">
            <w:pPr>
              <w:keepLines/>
              <w:spacing w:before="20" w:after="20" w:line="240" w:lineRule="auto"/>
              <w:jc w:val="center"/>
            </w:pPr>
            <w:r>
              <w:rPr>
                <w:rFonts w:cs="Arial"/>
                <w:color w:val="000000"/>
                <w:szCs w:val="22"/>
              </w:rPr>
              <w:t>3695</w:t>
            </w:r>
          </w:p>
        </w:tc>
        <w:tc>
          <w:tcPr>
            <w:tcW w:w="964" w:type="dxa"/>
            <w:tcBorders>
              <w:left w:val="single" w:sz="4" w:space="0" w:color="auto"/>
              <w:right w:val="single" w:sz="4" w:space="0" w:color="auto"/>
            </w:tcBorders>
          </w:tcPr>
          <w:p w14:paraId="3D2B61CA"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4453552E" w14:textId="77777777" w:rsidR="002605C6" w:rsidRDefault="002605C6" w:rsidP="00EC3A9D">
            <w:pPr>
              <w:keepLines/>
              <w:spacing w:before="20" w:after="20" w:line="240" w:lineRule="auto"/>
              <w:jc w:val="center"/>
            </w:pPr>
            <w:r>
              <w:rPr>
                <w:rFonts w:cs="Arial"/>
                <w:color w:val="000000"/>
                <w:szCs w:val="22"/>
              </w:rPr>
              <w:t>A60</w:t>
            </w:r>
          </w:p>
        </w:tc>
        <w:tc>
          <w:tcPr>
            <w:tcW w:w="2268" w:type="dxa"/>
            <w:tcBorders>
              <w:top w:val="single" w:sz="4" w:space="0" w:color="auto"/>
              <w:left w:val="single" w:sz="4" w:space="0" w:color="auto"/>
              <w:bottom w:val="single" w:sz="4" w:space="0" w:color="auto"/>
              <w:right w:val="single" w:sz="4" w:space="0" w:color="auto"/>
            </w:tcBorders>
            <w:vAlign w:val="center"/>
          </w:tcPr>
          <w:p w14:paraId="4BF79489" w14:textId="77777777" w:rsidR="002605C6" w:rsidRDefault="002605C6" w:rsidP="00EC3A9D">
            <w:pPr>
              <w:keepLines/>
              <w:spacing w:before="20" w:after="20" w:line="240" w:lineRule="auto"/>
              <w:jc w:val="center"/>
            </w:pPr>
            <w:r>
              <w:rPr>
                <w:rFonts w:cs="Arial"/>
                <w:color w:val="000000"/>
                <w:szCs w:val="22"/>
              </w:rPr>
              <w:t>3995</w:t>
            </w:r>
          </w:p>
        </w:tc>
      </w:tr>
    </w:tbl>
    <w:p w14:paraId="02CB382D" w14:textId="0CE54D92" w:rsidR="00EC3A9D" w:rsidRDefault="00EC3A9D" w:rsidP="005E5B48">
      <w:pPr>
        <w:pStyle w:val="Heading1"/>
        <w:ind w:left="442"/>
        <w:rPr>
          <w:b/>
          <w:bCs w:val="0"/>
        </w:rPr>
      </w:pPr>
      <w:bookmarkStart w:id="27" w:name="_Toc82178432"/>
      <w:bookmarkStart w:id="28" w:name="_Toc82180968"/>
      <w:bookmarkStart w:id="29" w:name="_Toc82527154"/>
      <w:bookmarkStart w:id="30" w:name="_Toc82178433"/>
      <w:bookmarkStart w:id="31" w:name="_Toc82180969"/>
      <w:bookmarkStart w:id="32" w:name="_Toc82527155"/>
      <w:bookmarkStart w:id="33" w:name="_Toc82178434"/>
      <w:bookmarkStart w:id="34" w:name="_Toc82180970"/>
      <w:bookmarkStart w:id="35" w:name="_Toc82527156"/>
      <w:bookmarkStart w:id="36" w:name="_Toc82178435"/>
      <w:bookmarkStart w:id="37" w:name="_Toc82180971"/>
      <w:bookmarkStart w:id="38" w:name="_Toc82527157"/>
      <w:bookmarkStart w:id="39" w:name="_Toc90984577"/>
      <w:bookmarkEnd w:id="27"/>
      <w:bookmarkEnd w:id="28"/>
      <w:bookmarkEnd w:id="29"/>
      <w:bookmarkEnd w:id="30"/>
      <w:bookmarkEnd w:id="31"/>
      <w:bookmarkEnd w:id="32"/>
      <w:bookmarkEnd w:id="33"/>
      <w:bookmarkEnd w:id="34"/>
      <w:bookmarkEnd w:id="35"/>
      <w:bookmarkEnd w:id="36"/>
      <w:bookmarkEnd w:id="37"/>
      <w:bookmarkEnd w:id="38"/>
      <w:bookmarkEnd w:id="26"/>
      <w:r w:rsidRPr="00F04B19">
        <w:rPr>
          <w:b/>
          <w:bCs w:val="0"/>
        </w:rPr>
        <w:lastRenderedPageBreak/>
        <w:t>Licensing</w:t>
      </w:r>
      <w:bookmarkEnd w:id="39"/>
    </w:p>
    <w:p w14:paraId="742662A9" w14:textId="7C561020" w:rsidR="00EC3A9D" w:rsidRPr="00D506F8" w:rsidRDefault="00EC3A9D" w:rsidP="005E5B48">
      <w:pPr>
        <w:ind w:left="11"/>
      </w:pPr>
      <w:r>
        <w:t xml:space="preserve">This chapter provides an overview of the licensing arrangements for AWLs in the 3400-4000 MHz </w:t>
      </w:r>
      <w:r w:rsidR="004660C0">
        <w:t>range</w:t>
      </w:r>
      <w:r>
        <w:t xml:space="preserve"> and sets out the rules for issuing these licences. </w:t>
      </w:r>
      <w:r w:rsidR="00B338C1">
        <w:t>[</w:t>
      </w:r>
      <w:r>
        <w:t>The Applicant Information Pack (AIP) for AWLs in the band contains information regarding the licence application process and should be read in conjunction with this RALI.</w:t>
      </w:r>
      <w:r w:rsidR="00B338C1">
        <w:t>]</w:t>
      </w:r>
    </w:p>
    <w:p w14:paraId="5701EF7E" w14:textId="77777777" w:rsidR="00EC3A9D" w:rsidRDefault="00EC3A9D" w:rsidP="005E5B48">
      <w:pPr>
        <w:pStyle w:val="Heading2"/>
        <w:ind w:left="720" w:hanging="709"/>
      </w:pPr>
      <w:bookmarkStart w:id="40" w:name="_Toc57195687"/>
      <w:bookmarkStart w:id="41" w:name="_Toc90984578"/>
      <w:r>
        <w:t>Overview of Licensing</w:t>
      </w:r>
      <w:bookmarkEnd w:id="40"/>
      <w:bookmarkEnd w:id="41"/>
    </w:p>
    <w:p w14:paraId="3D89CA7F" w14:textId="6EB258DC" w:rsidR="00EC3A9D" w:rsidRPr="0036413C" w:rsidRDefault="00EC3A9D" w:rsidP="005E5B48">
      <w:pPr>
        <w:ind w:left="11"/>
        <w:rPr>
          <w:rFonts w:cs="Arial"/>
          <w:szCs w:val="28"/>
        </w:rPr>
      </w:pPr>
      <w:r>
        <w:t>An AWL authorises the operation of radiocommunications devices within a frequency range and geographic area specified on the licence. AWLs authorising operation in the 3400-4000 MHz band will only be issued in geographic areas that are located outside th</w:t>
      </w:r>
      <w:r w:rsidR="00BC1700">
        <w:t>ose</w:t>
      </w:r>
      <w:r>
        <w:t xml:space="preserve"> embargo</w:t>
      </w:r>
      <w:r w:rsidR="00BC1700">
        <w:t>ed</w:t>
      </w:r>
      <w:r>
        <w:t xml:space="preserve"> </w:t>
      </w:r>
      <w:r w:rsidR="00BC1700">
        <w:t xml:space="preserve">frequencies and </w:t>
      </w:r>
      <w:r>
        <w:t xml:space="preserve">areas defined in </w:t>
      </w:r>
      <w:r w:rsidRPr="0059006F">
        <w:rPr>
          <w:i/>
          <w:iCs/>
        </w:rPr>
        <w:t>RALI MS03</w:t>
      </w:r>
      <w:r>
        <w:t>.</w:t>
      </w:r>
    </w:p>
    <w:p w14:paraId="062E0FB9" w14:textId="5657F787" w:rsidR="0062135C" w:rsidRDefault="00F63B96" w:rsidP="005E5B48">
      <w:pPr>
        <w:ind w:left="11"/>
      </w:pPr>
      <w:r>
        <w:t xml:space="preserve">No new </w:t>
      </w:r>
      <w:r w:rsidR="004660C0">
        <w:t>P</w:t>
      </w:r>
      <w:r w:rsidR="002362D3">
        <w:t xml:space="preserve">ublic </w:t>
      </w:r>
      <w:r w:rsidR="004660C0">
        <w:t>T</w:t>
      </w:r>
      <w:r w:rsidR="002362D3">
        <w:t xml:space="preserve">elecommunications </w:t>
      </w:r>
      <w:r w:rsidR="004660C0">
        <w:t>S</w:t>
      </w:r>
      <w:r w:rsidR="002362D3">
        <w:t>ervice</w:t>
      </w:r>
      <w:r>
        <w:t xml:space="preserve"> licences are to be issued in </w:t>
      </w:r>
      <w:r w:rsidR="00466840">
        <w:t xml:space="preserve">the </w:t>
      </w:r>
      <w:r>
        <w:t xml:space="preserve">3400-4000 MHz range. </w:t>
      </w:r>
      <w:r w:rsidR="0058346F">
        <w:t xml:space="preserve">No new Point to Multipoint licences are to be issued in the 3400-4000 MHz range in the areas defined by Appendix A, but can be applied for on an exceptional basis in areas outside Appendix A. </w:t>
      </w:r>
      <w:r w:rsidR="00CF2EC2">
        <w:t>No new E</w:t>
      </w:r>
      <w:r w:rsidR="00CF2EC2" w:rsidRPr="00CF2EC2">
        <w:t xml:space="preserve">arth </w:t>
      </w:r>
      <w:r w:rsidR="00CF2EC2">
        <w:t>R</w:t>
      </w:r>
      <w:r w:rsidR="00CF2EC2" w:rsidRPr="00CF2EC2">
        <w:t xml:space="preserve">eceive </w:t>
      </w:r>
      <w:r w:rsidR="00CF2EC2">
        <w:t>or</w:t>
      </w:r>
      <w:r w:rsidR="00CF2EC2" w:rsidRPr="00CF2EC2">
        <w:t xml:space="preserve"> </w:t>
      </w:r>
      <w:r w:rsidR="00CF2EC2">
        <w:t>P</w:t>
      </w:r>
      <w:r w:rsidR="00CF2EC2" w:rsidRPr="00CF2EC2">
        <w:t>oint-to-</w:t>
      </w:r>
      <w:r w:rsidR="00CF2EC2">
        <w:t>P</w:t>
      </w:r>
      <w:r w:rsidR="00CF2EC2" w:rsidRPr="00CF2EC2">
        <w:t xml:space="preserve">oint apparatus licences </w:t>
      </w:r>
      <w:r w:rsidR="00CF2EC2">
        <w:t>are to be</w:t>
      </w:r>
      <w:r w:rsidR="00CF2EC2" w:rsidRPr="00CF2EC2">
        <w:t xml:space="preserve"> issued </w:t>
      </w:r>
      <w:r w:rsidR="00CF2EC2">
        <w:t xml:space="preserve">for the operation of devices </w:t>
      </w:r>
      <w:r w:rsidR="00CF2EC2" w:rsidRPr="00CF2EC2">
        <w:t>in</w:t>
      </w:r>
      <w:r w:rsidR="00C42AC4">
        <w:t xml:space="preserve"> a</w:t>
      </w:r>
      <w:r w:rsidR="00CF2EC2" w:rsidRPr="00CF2EC2">
        <w:t xml:space="preserve"> frequency range and area which </w:t>
      </w:r>
      <w:r w:rsidR="00C42AC4">
        <w:t>is</w:t>
      </w:r>
      <w:r w:rsidR="00CF2EC2" w:rsidRPr="00CF2EC2">
        <w:t xml:space="preserve"> authorised by an existing AWL.</w:t>
      </w:r>
      <w:r w:rsidR="007C1CA2">
        <w:t xml:space="preserve"> </w:t>
      </w:r>
      <w:r>
        <w:t xml:space="preserve">Services under an existing </w:t>
      </w:r>
      <w:r w:rsidR="00CF2EC2">
        <w:t>apparatus</w:t>
      </w:r>
      <w:r w:rsidR="00D71044">
        <w:t xml:space="preserve"> </w:t>
      </w:r>
      <w:r w:rsidR="004A463E">
        <w:t xml:space="preserve">licence </w:t>
      </w:r>
      <w:r>
        <w:t>may continue to operate.</w:t>
      </w:r>
    </w:p>
    <w:p w14:paraId="6A2A4087" w14:textId="77777777" w:rsidR="00EC3A9D" w:rsidRDefault="00EC3A9D" w:rsidP="005E5B48">
      <w:pPr>
        <w:pStyle w:val="Heading2"/>
        <w:ind w:left="720" w:hanging="709"/>
      </w:pPr>
      <w:bookmarkStart w:id="42" w:name="_Toc90908612"/>
      <w:bookmarkStart w:id="43" w:name="_Toc57195688"/>
      <w:bookmarkStart w:id="44" w:name="_Toc90984579"/>
      <w:bookmarkEnd w:id="42"/>
      <w:r>
        <w:t>Licence conditions</w:t>
      </w:r>
      <w:bookmarkEnd w:id="43"/>
      <w:bookmarkEnd w:id="44"/>
    </w:p>
    <w:p w14:paraId="71FA73D3" w14:textId="43C6146B" w:rsidR="00EC3A9D" w:rsidRDefault="00EC3A9D" w:rsidP="005E5B48">
      <w:pPr>
        <w:spacing w:after="120"/>
        <w:ind w:left="11"/>
      </w:pPr>
      <w:r>
        <w:t xml:space="preserve">The operation of radiocommunications devices authorised by an AWL in the 3400-4000 bands </w:t>
      </w:r>
      <w:r w:rsidR="00BC1700">
        <w:t>are</w:t>
      </w:r>
      <w:r>
        <w:t xml:space="preserve"> subject to:</w:t>
      </w:r>
    </w:p>
    <w:p w14:paraId="303A5E5D" w14:textId="77777777" w:rsidR="00EC3A9D" w:rsidRDefault="00EC3A9D" w:rsidP="005E5B48">
      <w:pPr>
        <w:pStyle w:val="ListBullet"/>
        <w:ind w:left="306"/>
      </w:pPr>
      <w:r>
        <w:t xml:space="preserve">Conditions specified in the </w:t>
      </w:r>
      <w:r w:rsidRPr="004776B7">
        <w:rPr>
          <w:i/>
          <w:iCs/>
        </w:rPr>
        <w:t>Radiocommunications Act 1992</w:t>
      </w:r>
      <w:r>
        <w:t xml:space="preserve"> (the Act), including an obligation to comply with the Act;</w:t>
      </w:r>
    </w:p>
    <w:p w14:paraId="4A42E13D" w14:textId="2752BC28" w:rsidR="00EC3A9D" w:rsidRDefault="00EC3A9D" w:rsidP="005E5B48">
      <w:pPr>
        <w:pStyle w:val="ListBullet"/>
        <w:ind w:left="306"/>
      </w:pPr>
      <w:r>
        <w:t xml:space="preserve">Conditions specified in the </w:t>
      </w:r>
      <w:hyperlink r:id="rId32" w:history="1">
        <w:r w:rsidR="00375039" w:rsidRPr="0036667C">
          <w:rPr>
            <w:rStyle w:val="Hyperlink"/>
            <w:i/>
            <w:iCs/>
          </w:rPr>
          <w:t>Radiocommunications Licence Conditions (Apparatus Licence) Determination 2015</w:t>
        </w:r>
      </w:hyperlink>
      <w:r w:rsidR="00375039">
        <w:t xml:space="preserve">, the </w:t>
      </w:r>
      <w:r>
        <w:t>Radiocommunications Licence Conditions (Area-Wide Licence) Determination 2020 (as in force from time to time), and any other applicable determinations made by the ACMA under section 107(1)(f) of the Act;</w:t>
      </w:r>
    </w:p>
    <w:p w14:paraId="23E562F8" w14:textId="1C7F0C14" w:rsidR="00375039" w:rsidRDefault="00375039" w:rsidP="005E5B48">
      <w:pPr>
        <w:pStyle w:val="ListBullet"/>
        <w:ind w:left="306"/>
      </w:pPr>
      <w:r>
        <w:t>Conditions specified in this RALI;</w:t>
      </w:r>
    </w:p>
    <w:p w14:paraId="02C7B7A2" w14:textId="77777777" w:rsidR="00EC3A9D" w:rsidRDefault="00EC3A9D" w:rsidP="005E5B48">
      <w:pPr>
        <w:pStyle w:val="ListBullet"/>
        <w:ind w:left="306"/>
      </w:pPr>
      <w:r>
        <w:t>Conditions specified in the licence; and</w:t>
      </w:r>
    </w:p>
    <w:p w14:paraId="42DC667E" w14:textId="47F7FC1C" w:rsidR="00EC3A9D" w:rsidRDefault="00EC3A9D" w:rsidP="005E5B48">
      <w:pPr>
        <w:pStyle w:val="ListBullet"/>
        <w:spacing w:after="240"/>
        <w:ind w:left="306"/>
      </w:pPr>
      <w:r>
        <w:t>Any further conditions imposed by the ACMA under section 111 of the Act.</w:t>
      </w:r>
    </w:p>
    <w:p w14:paraId="11D607A1" w14:textId="349C0635" w:rsidR="00375039" w:rsidRDefault="00375039" w:rsidP="005E5B48">
      <w:pPr>
        <w:ind w:left="11"/>
      </w:pPr>
      <w:r>
        <w:t xml:space="preserve">If interference occurs after a licence is issued and the </w:t>
      </w:r>
      <w:r w:rsidR="00BC1700">
        <w:t>device</w:t>
      </w:r>
      <w:r w:rsidR="000D00BF">
        <w:t xml:space="preserve"> is registered,</w:t>
      </w:r>
      <w:r>
        <w:t xml:space="preserve"> and the issue cannot be resolved between the affected parties, licensees can expect the ACMA to have regard to this RALI and relevant legislative instruments </w:t>
      </w:r>
      <w:r w:rsidR="00BC1700">
        <w:t xml:space="preserve">when resolving </w:t>
      </w:r>
      <w:r>
        <w:t xml:space="preserve">the </w:t>
      </w:r>
      <w:r w:rsidR="00026531">
        <w:t>matter</w:t>
      </w:r>
      <w:r>
        <w:t>.</w:t>
      </w:r>
    </w:p>
    <w:p w14:paraId="53DD8439" w14:textId="48FC64A4" w:rsidR="00EC3A9D" w:rsidRDefault="00CB4766" w:rsidP="005E5B48">
      <w:pPr>
        <w:pStyle w:val="Heading3"/>
        <w:ind w:left="720" w:hanging="709"/>
      </w:pPr>
      <w:bookmarkStart w:id="45" w:name="_Toc90908614"/>
      <w:bookmarkStart w:id="46" w:name="_Toc90908615"/>
      <w:bookmarkStart w:id="47" w:name="_Toc90908616"/>
      <w:bookmarkStart w:id="48" w:name="_Toc90908617"/>
      <w:bookmarkStart w:id="49" w:name="_Toc90984580"/>
      <w:bookmarkEnd w:id="45"/>
      <w:bookmarkEnd w:id="46"/>
      <w:bookmarkEnd w:id="47"/>
      <w:bookmarkEnd w:id="48"/>
      <w:r>
        <w:t>Advisory notes</w:t>
      </w:r>
      <w:r w:rsidR="00E24A5F">
        <w:t xml:space="preserve"> – all AWLs</w:t>
      </w:r>
      <w:bookmarkEnd w:id="49"/>
    </w:p>
    <w:p w14:paraId="1D329A06" w14:textId="4E28E6C9" w:rsidR="00CB4766" w:rsidRDefault="00CB4766" w:rsidP="005E5B48">
      <w:pPr>
        <w:ind w:left="11"/>
      </w:pPr>
      <w:r>
        <w:t>The following advisory notes are to be included on all AWLs in the 3400-4000 MHz range.</w:t>
      </w:r>
    </w:p>
    <w:p w14:paraId="033A5A83" w14:textId="740D06B0" w:rsidR="00CB4766" w:rsidRPr="00F04B19" w:rsidRDefault="00CB4766" w:rsidP="005E5B48">
      <w:pPr>
        <w:ind w:left="11"/>
        <w:rPr>
          <w:b/>
          <w:bCs/>
          <w:i/>
          <w:iCs/>
          <w:u w:val="single"/>
        </w:rPr>
      </w:pPr>
      <w:r>
        <w:rPr>
          <w:b/>
          <w:bCs/>
          <w:i/>
          <w:iCs/>
          <w:u w:val="single"/>
        </w:rPr>
        <w:t>Coexistence with radiolocation services</w:t>
      </w:r>
    </w:p>
    <w:p w14:paraId="40A6B72C" w14:textId="12986768" w:rsidR="00CB4766" w:rsidRPr="0036667C" w:rsidRDefault="00CB4766" w:rsidP="005E5B48">
      <w:pPr>
        <w:pStyle w:val="BlockQuote"/>
        <w:ind w:left="295"/>
      </w:pPr>
      <w:r w:rsidRPr="0036667C">
        <w:t xml:space="preserve">Allocations exist in the Australian Radiofrequency Spectrum Plan for the Radiolocation service in </w:t>
      </w:r>
      <w:r w:rsidRPr="00594796">
        <w:t>the</w:t>
      </w:r>
      <w:r w:rsidRPr="0036667C">
        <w:t xml:space="preserve"> </w:t>
      </w:r>
      <w:r w:rsidRPr="00594796">
        <w:t>3100</w:t>
      </w:r>
      <w:r w:rsidRPr="0036667C">
        <w:t xml:space="preserve">–3300 MHz and the 3300–3600 MHz bands on a primary or co-primary basis under the AUS 1 and AUS11 footnotes respectively. The licensee is advised that the operation of Radiolocation devices by the Department of Defence in these bands may result in interference to </w:t>
      </w:r>
      <w:r w:rsidR="00562D12">
        <w:t xml:space="preserve">receivers operating under this licence </w:t>
      </w:r>
      <w:r w:rsidRPr="0036667C">
        <w:t>which may reduce system performance.</w:t>
      </w:r>
    </w:p>
    <w:p w14:paraId="1C749C8E" w14:textId="693A4DC4" w:rsidR="00CB4766" w:rsidRDefault="00902113" w:rsidP="005E5B48">
      <w:pPr>
        <w:ind w:left="11"/>
      </w:pPr>
      <w:r>
        <w:lastRenderedPageBreak/>
        <w:t>The ACMA will continue to consult on and monitor this issue with AWL licensees and Defence to best enable the coexistence of both services</w:t>
      </w:r>
      <w:r w:rsidR="00BC1700">
        <w:t>.</w:t>
      </w:r>
      <w:r w:rsidR="00D031A5">
        <w:t xml:space="preserve"> </w:t>
      </w:r>
    </w:p>
    <w:p w14:paraId="0545AB1B" w14:textId="77777777" w:rsidR="00902113" w:rsidRPr="00977ED9" w:rsidRDefault="00902113" w:rsidP="005E5B48">
      <w:pPr>
        <w:pStyle w:val="paragraph"/>
        <w:spacing w:before="0" w:beforeAutospacing="0" w:after="0" w:afterAutospacing="0"/>
        <w:ind w:left="11"/>
        <w:textAlignment w:val="baseline"/>
        <w:rPr>
          <w:rFonts w:ascii="Segoe UI" w:hAnsi="Segoe UI" w:cs="Segoe UI"/>
          <w:color w:val="000000" w:themeColor="text1"/>
          <w:sz w:val="18"/>
          <w:szCs w:val="18"/>
        </w:rPr>
      </w:pPr>
      <w:r w:rsidRPr="00977ED9">
        <w:rPr>
          <w:rStyle w:val="normaltextrun"/>
          <w:rFonts w:ascii="Arial" w:hAnsi="Arial" w:cs="Arial"/>
          <w:b/>
          <w:bCs/>
          <w:i/>
          <w:iCs/>
          <w:color w:val="000000" w:themeColor="text1"/>
          <w:sz w:val="20"/>
          <w:szCs w:val="20"/>
          <w:u w:val="single"/>
        </w:rPr>
        <w:t>Coexistence with existing apparatus licensed services</w:t>
      </w:r>
      <w:r w:rsidRPr="00977ED9">
        <w:rPr>
          <w:rStyle w:val="eop"/>
          <w:color w:val="000000" w:themeColor="text1"/>
          <w:sz w:val="20"/>
          <w:szCs w:val="20"/>
        </w:rPr>
        <w:t> </w:t>
      </w:r>
    </w:p>
    <w:p w14:paraId="5CC1DE82" w14:textId="77777777" w:rsidR="00902113" w:rsidRPr="00F04B19" w:rsidRDefault="00902113" w:rsidP="005E5B48">
      <w:pPr>
        <w:ind w:left="11"/>
        <w:rPr>
          <w:i/>
          <w:iCs/>
          <w:color w:val="000000" w:themeColor="text1"/>
        </w:rPr>
      </w:pPr>
      <w:r w:rsidRPr="00F04B19">
        <w:rPr>
          <w:i/>
          <w:iCs/>
          <w:color w:val="000000" w:themeColor="text1"/>
        </w:rPr>
        <w:t>A radiocommunications receiver, that is:</w:t>
      </w:r>
    </w:p>
    <w:p w14:paraId="148207CE" w14:textId="7BC3CA95" w:rsidR="00902113" w:rsidRPr="00F04B19" w:rsidRDefault="00902113">
      <w:pPr>
        <w:pStyle w:val="ListParagraph"/>
        <w:numPr>
          <w:ilvl w:val="0"/>
          <w:numId w:val="62"/>
        </w:numPr>
        <w:spacing w:after="240"/>
        <w:ind w:left="791"/>
        <w:contextualSpacing/>
        <w:rPr>
          <w:i/>
          <w:iCs/>
        </w:rPr>
      </w:pPr>
      <w:r w:rsidRPr="00F04B19">
        <w:rPr>
          <w:i/>
          <w:iCs/>
        </w:rPr>
        <w:t>receiving radio emissions from a radiocommunications transmitter that is operated under this licence;</w:t>
      </w:r>
    </w:p>
    <w:p w14:paraId="289DF470" w14:textId="6039DD90" w:rsidR="00C05A82" w:rsidRPr="00C05A82" w:rsidRDefault="00C05A82" w:rsidP="005E5B48">
      <w:pPr>
        <w:pStyle w:val="ListParagraph"/>
        <w:numPr>
          <w:ilvl w:val="0"/>
          <w:numId w:val="62"/>
        </w:numPr>
        <w:spacing w:after="240"/>
        <w:ind w:left="791"/>
        <w:contextualSpacing/>
        <w:rPr>
          <w:i/>
          <w:iCs/>
        </w:rPr>
      </w:pPr>
      <w:r w:rsidRPr="00C05A82">
        <w:rPr>
          <w:i/>
          <w:iCs/>
        </w:rPr>
        <w:t>is a primary service as defined by the Australian Radiofrequency Spectrum Plan;</w:t>
      </w:r>
    </w:p>
    <w:p w14:paraId="5B7236DC" w14:textId="437B09AC" w:rsidR="00902113" w:rsidRDefault="00902113" w:rsidP="005E5B48">
      <w:pPr>
        <w:pStyle w:val="ListParagraph"/>
        <w:numPr>
          <w:ilvl w:val="0"/>
          <w:numId w:val="62"/>
        </w:numPr>
        <w:spacing w:after="240"/>
        <w:ind w:left="791"/>
        <w:contextualSpacing/>
        <w:rPr>
          <w:i/>
          <w:iCs/>
        </w:rPr>
      </w:pPr>
      <w:r w:rsidRPr="00F04B19">
        <w:rPr>
          <w:i/>
          <w:iCs/>
        </w:rPr>
        <w:t>located within an area authorised by this licence;</w:t>
      </w:r>
      <w:r w:rsidR="00D031A5">
        <w:rPr>
          <w:i/>
          <w:iCs/>
        </w:rPr>
        <w:t xml:space="preserve"> and</w:t>
      </w:r>
    </w:p>
    <w:p w14:paraId="1B1A20E3" w14:textId="0EE99EB2" w:rsidR="00D031A5" w:rsidRPr="00F04B19" w:rsidRDefault="00D031A5" w:rsidP="005E5B48">
      <w:pPr>
        <w:pStyle w:val="ListParagraph"/>
        <w:numPr>
          <w:ilvl w:val="0"/>
          <w:numId w:val="62"/>
        </w:numPr>
        <w:spacing w:after="240"/>
        <w:ind w:left="791"/>
        <w:contextualSpacing/>
        <w:rPr>
          <w:i/>
          <w:iCs/>
        </w:rPr>
      </w:pPr>
      <w:r>
        <w:rPr>
          <w:i/>
          <w:iCs/>
        </w:rPr>
        <w:t>has its location recorded on the register of radiocommunications licences;</w:t>
      </w:r>
    </w:p>
    <w:p w14:paraId="1DACBDFE" w14:textId="49CE0353" w:rsidR="00D031A5" w:rsidRDefault="00902113" w:rsidP="005E5B48">
      <w:pPr>
        <w:ind w:left="71"/>
        <w:rPr>
          <w:i/>
          <w:iCs/>
        </w:rPr>
      </w:pPr>
      <w:r w:rsidRPr="00F04B19">
        <w:rPr>
          <w:i/>
          <w:iCs/>
        </w:rPr>
        <w:t xml:space="preserve">is not afforded protection from interference caused by a radiocommunications transmitter </w:t>
      </w:r>
      <w:r w:rsidR="00D031A5">
        <w:rPr>
          <w:i/>
          <w:iCs/>
        </w:rPr>
        <w:t>that:</w:t>
      </w:r>
    </w:p>
    <w:p w14:paraId="143D70EB" w14:textId="23C7121D" w:rsidR="00D031A5" w:rsidRDefault="00D031A5" w:rsidP="005E5B48">
      <w:pPr>
        <w:pStyle w:val="ListParagraph"/>
        <w:numPr>
          <w:ilvl w:val="0"/>
          <w:numId w:val="97"/>
        </w:numPr>
        <w:ind w:left="791"/>
        <w:rPr>
          <w:i/>
          <w:iCs/>
        </w:rPr>
      </w:pPr>
      <w:r>
        <w:rPr>
          <w:i/>
          <w:iCs/>
        </w:rPr>
        <w:t xml:space="preserve">is </w:t>
      </w:r>
      <w:r w:rsidR="00902113" w:rsidRPr="005E5B48">
        <w:rPr>
          <w:i/>
          <w:iCs/>
        </w:rPr>
        <w:t>operated under an</w:t>
      </w:r>
      <w:r>
        <w:rPr>
          <w:i/>
          <w:iCs/>
        </w:rPr>
        <w:t>other</w:t>
      </w:r>
      <w:r w:rsidR="00902113" w:rsidRPr="005E5B48">
        <w:rPr>
          <w:i/>
          <w:iCs/>
        </w:rPr>
        <w:t xml:space="preserve"> apparatus licence which was first issued before the commencement </w:t>
      </w:r>
      <w:r>
        <w:rPr>
          <w:i/>
          <w:iCs/>
        </w:rPr>
        <w:t>of</w:t>
      </w:r>
      <w:r w:rsidR="00902113" w:rsidRPr="005E5B48">
        <w:rPr>
          <w:i/>
          <w:iCs/>
        </w:rPr>
        <w:t xml:space="preserve"> this licence</w:t>
      </w:r>
      <w:r>
        <w:rPr>
          <w:i/>
          <w:iCs/>
        </w:rPr>
        <w:t>;</w:t>
      </w:r>
      <w:r w:rsidR="00902113" w:rsidRPr="005E5B48">
        <w:rPr>
          <w:i/>
          <w:iCs/>
        </w:rPr>
        <w:t xml:space="preserve"> </w:t>
      </w:r>
    </w:p>
    <w:p w14:paraId="6760F276" w14:textId="1AD7B45E" w:rsidR="00D031A5" w:rsidRDefault="00D031A5" w:rsidP="005E5B48">
      <w:pPr>
        <w:pStyle w:val="ListParagraph"/>
        <w:numPr>
          <w:ilvl w:val="0"/>
          <w:numId w:val="97"/>
        </w:numPr>
        <w:spacing w:after="240"/>
        <w:ind w:left="791"/>
        <w:rPr>
          <w:i/>
          <w:iCs/>
        </w:rPr>
      </w:pPr>
      <w:r>
        <w:rPr>
          <w:i/>
          <w:iCs/>
        </w:rPr>
        <w:t>is a primary service as defined by the Australian Radiofrequency Spectrum Plan</w:t>
      </w:r>
    </w:p>
    <w:p w14:paraId="47AF8BA2" w14:textId="79A7D1CE" w:rsidR="00902113" w:rsidRPr="005E5B48" w:rsidRDefault="00902113" w:rsidP="005E5B48">
      <w:pPr>
        <w:pStyle w:val="ListParagraph"/>
        <w:spacing w:after="120"/>
        <w:ind w:left="11"/>
        <w:rPr>
          <w:i/>
          <w:iCs/>
        </w:rPr>
      </w:pPr>
      <w:r w:rsidRPr="005E5B48">
        <w:rPr>
          <w:i/>
          <w:iCs/>
        </w:rPr>
        <w:t>This provision does not apply if the transmitter is operated under an</w:t>
      </w:r>
      <w:r w:rsidR="00AC4CDC">
        <w:rPr>
          <w:i/>
          <w:iCs/>
        </w:rPr>
        <w:t>other</w:t>
      </w:r>
      <w:r w:rsidRPr="005E5B48">
        <w:rPr>
          <w:i/>
          <w:iCs/>
        </w:rPr>
        <w:t xml:space="preserve"> area-wide licence.  </w:t>
      </w:r>
    </w:p>
    <w:p w14:paraId="348CAD67" w14:textId="77777777" w:rsidR="00902113" w:rsidRPr="00F04B19" w:rsidRDefault="00902113" w:rsidP="005E5B48">
      <w:pPr>
        <w:ind w:left="11"/>
        <w:rPr>
          <w:i/>
          <w:iCs/>
        </w:rPr>
      </w:pPr>
      <w:r w:rsidRPr="00F04B19">
        <w:rPr>
          <w:i/>
          <w:iCs/>
        </w:rPr>
        <w:t>In planning deployments under this licence, the licensee should take account of existing apparatus licensed services and plan their services accordingly. </w:t>
      </w:r>
    </w:p>
    <w:p w14:paraId="02DB0ABD" w14:textId="24EB3698" w:rsidR="00E24A5F" w:rsidRPr="00707C73" w:rsidRDefault="00E17DAB" w:rsidP="005E5B48">
      <w:pPr>
        <w:pStyle w:val="paragraph"/>
        <w:spacing w:before="0" w:beforeAutospacing="0" w:after="0" w:afterAutospacing="0"/>
        <w:ind w:left="11"/>
        <w:textAlignment w:val="baseline"/>
        <w:rPr>
          <w:rStyle w:val="normaltextrun"/>
          <w:rFonts w:ascii="Arial" w:hAnsi="Arial" w:cs="Arial"/>
          <w:b/>
          <w:bCs/>
          <w:i/>
          <w:iCs/>
          <w:color w:val="000000" w:themeColor="text1"/>
          <w:sz w:val="22"/>
          <w:szCs w:val="22"/>
          <w:u w:val="single"/>
        </w:rPr>
      </w:pPr>
      <w:r w:rsidRPr="00707C73">
        <w:rPr>
          <w:rStyle w:val="normaltextrun"/>
          <w:rFonts w:ascii="Arial" w:hAnsi="Arial" w:cs="Arial"/>
          <w:b/>
          <w:bCs/>
          <w:i/>
          <w:iCs/>
          <w:color w:val="000000" w:themeColor="text1"/>
          <w:sz w:val="22"/>
          <w:szCs w:val="22"/>
          <w:u w:val="single"/>
        </w:rPr>
        <w:t>Operation of earth receive stations prohibited</w:t>
      </w:r>
    </w:p>
    <w:p w14:paraId="6E9A21FC" w14:textId="4689C9DD" w:rsidR="00E17DAB" w:rsidRPr="00707C73" w:rsidRDefault="00E17DAB" w:rsidP="005E5B48">
      <w:pPr>
        <w:pStyle w:val="paragraph"/>
        <w:spacing w:before="0" w:beforeAutospacing="0" w:after="0" w:afterAutospacing="0"/>
        <w:ind w:left="11"/>
        <w:textAlignment w:val="baseline"/>
        <w:rPr>
          <w:rStyle w:val="normaltextrun"/>
          <w:rFonts w:ascii="Arial" w:hAnsi="Arial" w:cs="Arial"/>
          <w:i/>
          <w:color w:val="000000" w:themeColor="text1"/>
          <w:sz w:val="22"/>
          <w:szCs w:val="22"/>
        </w:rPr>
      </w:pPr>
      <w:r w:rsidRPr="00707C73">
        <w:rPr>
          <w:rStyle w:val="normaltextrun"/>
          <w:rFonts w:ascii="Arial" w:hAnsi="Arial" w:cs="Arial"/>
          <w:i/>
          <w:color w:val="000000" w:themeColor="text1"/>
          <w:sz w:val="22"/>
          <w:szCs w:val="22"/>
        </w:rPr>
        <w:t>Earth receive stations are not authorised to operate under this licence.</w:t>
      </w:r>
    </w:p>
    <w:p w14:paraId="79EBE5C0" w14:textId="77777777" w:rsidR="00E17DAB" w:rsidRPr="00707C73" w:rsidRDefault="00E17DAB" w:rsidP="005E5B48">
      <w:pPr>
        <w:pStyle w:val="paragraph"/>
        <w:spacing w:before="0" w:beforeAutospacing="0" w:after="0" w:afterAutospacing="0"/>
        <w:ind w:left="11"/>
        <w:textAlignment w:val="baseline"/>
        <w:rPr>
          <w:rStyle w:val="normaltextrun"/>
          <w:rFonts w:ascii="Arial" w:hAnsi="Arial" w:cs="Arial"/>
          <w:b/>
          <w:bCs/>
          <w:i/>
          <w:iCs/>
          <w:color w:val="000000" w:themeColor="text1"/>
          <w:sz w:val="22"/>
          <w:szCs w:val="22"/>
          <w:u w:val="single"/>
        </w:rPr>
      </w:pPr>
    </w:p>
    <w:p w14:paraId="6A9D6A05" w14:textId="122A7BC6" w:rsidR="00902113" w:rsidRPr="00707C73" w:rsidRDefault="00902113" w:rsidP="005E5B48">
      <w:pPr>
        <w:pStyle w:val="paragraph"/>
        <w:spacing w:before="0" w:beforeAutospacing="0" w:after="0" w:afterAutospacing="0"/>
        <w:ind w:left="11"/>
        <w:textAlignment w:val="baseline"/>
        <w:rPr>
          <w:rFonts w:ascii="Segoe UI" w:hAnsi="Segoe UI" w:cs="Segoe UI"/>
          <w:color w:val="000000" w:themeColor="text1"/>
          <w:sz w:val="22"/>
          <w:szCs w:val="22"/>
        </w:rPr>
      </w:pPr>
      <w:r w:rsidRPr="00707C73">
        <w:rPr>
          <w:rStyle w:val="normaltextrun"/>
          <w:rFonts w:ascii="Arial" w:hAnsi="Arial" w:cs="Arial"/>
          <w:b/>
          <w:bCs/>
          <w:i/>
          <w:iCs/>
          <w:color w:val="000000" w:themeColor="text1"/>
          <w:sz w:val="22"/>
          <w:szCs w:val="22"/>
          <w:u w:val="single"/>
        </w:rPr>
        <w:t>Notional level of receiver performance</w:t>
      </w:r>
      <w:r w:rsidRPr="00707C73">
        <w:rPr>
          <w:rStyle w:val="eop"/>
          <w:color w:val="000000" w:themeColor="text1"/>
          <w:sz w:val="22"/>
          <w:szCs w:val="22"/>
        </w:rPr>
        <w:t> </w:t>
      </w:r>
    </w:p>
    <w:p w14:paraId="33F93AC0" w14:textId="4EFF51E4" w:rsidR="00902113" w:rsidRPr="00FF6C50" w:rsidRDefault="00902113" w:rsidP="005E5B48">
      <w:pPr>
        <w:ind w:left="11"/>
        <w:rPr>
          <w:i/>
        </w:rPr>
      </w:pPr>
      <w:r w:rsidRPr="00FF6C50">
        <w:rPr>
          <w:i/>
        </w:rPr>
        <w:t>The notional receiver performance level and compatibility requirement detailed in schedules 1 and 2 of the Radiocommunications Advisory Guidelines (Managing Interference to Spectrum Licensed Receivers — 3.4 GHz Band) 2015</w:t>
      </w:r>
      <w:r w:rsidR="00B66D4E">
        <w:rPr>
          <w:i/>
        </w:rPr>
        <w:t xml:space="preserve"> (RAG Rx)</w:t>
      </w:r>
      <w:r w:rsidRPr="00FF6C50">
        <w:rPr>
          <w:i/>
        </w:rPr>
        <w:t xml:space="preserve">, as in force from time to time, </w:t>
      </w:r>
      <w:r w:rsidR="00AC4CDC">
        <w:rPr>
          <w:i/>
        </w:rPr>
        <w:t xml:space="preserve">or in any instrument made under s.262 of the Radiocommunications Act 1992 as a replacement to those guidelines (as in force from time to time), </w:t>
      </w:r>
      <w:r w:rsidRPr="00FF6C50">
        <w:rPr>
          <w:i/>
        </w:rPr>
        <w:t>applies for radiocommunications receivers that:</w:t>
      </w:r>
    </w:p>
    <w:p w14:paraId="7B4FB808" w14:textId="77777777" w:rsidR="00902113" w:rsidRPr="00FF6C50" w:rsidRDefault="00902113" w:rsidP="005E5B48">
      <w:pPr>
        <w:pStyle w:val="ListParagraph"/>
        <w:numPr>
          <w:ilvl w:val="0"/>
          <w:numId w:val="63"/>
        </w:numPr>
        <w:spacing w:after="240"/>
        <w:ind w:left="731"/>
        <w:contextualSpacing/>
        <w:rPr>
          <w:i/>
        </w:rPr>
      </w:pPr>
      <w:r w:rsidRPr="00FF6C50">
        <w:rPr>
          <w:i/>
        </w:rPr>
        <w:t>are recorded in the RRL;</w:t>
      </w:r>
    </w:p>
    <w:p w14:paraId="3C53F468" w14:textId="77777777" w:rsidR="00902113" w:rsidRPr="00FF6C50" w:rsidRDefault="00902113" w:rsidP="005E5B48">
      <w:pPr>
        <w:pStyle w:val="ListParagraph"/>
        <w:numPr>
          <w:ilvl w:val="0"/>
          <w:numId w:val="63"/>
        </w:numPr>
        <w:spacing w:after="240"/>
        <w:ind w:left="731"/>
        <w:contextualSpacing/>
        <w:rPr>
          <w:i/>
        </w:rPr>
      </w:pPr>
      <w:r w:rsidRPr="00FF6C50">
        <w:rPr>
          <w:i/>
        </w:rPr>
        <w:t>receive radio emissions from radiocommunications transmitters that are operated under this licence; and</w:t>
      </w:r>
    </w:p>
    <w:p w14:paraId="01259385" w14:textId="77777777" w:rsidR="00AC4CDC" w:rsidRDefault="00902113" w:rsidP="005E5B48">
      <w:pPr>
        <w:pStyle w:val="ListParagraph"/>
        <w:numPr>
          <w:ilvl w:val="0"/>
          <w:numId w:val="63"/>
        </w:numPr>
        <w:spacing w:after="240"/>
        <w:ind w:left="731"/>
        <w:contextualSpacing/>
        <w:rPr>
          <w:i/>
        </w:rPr>
      </w:pPr>
      <w:r w:rsidRPr="00FF6C50">
        <w:rPr>
          <w:i/>
        </w:rPr>
        <w:t>are located within an area authorised by this licence</w:t>
      </w:r>
      <w:r w:rsidR="00AC4CDC">
        <w:rPr>
          <w:i/>
        </w:rPr>
        <w:t>;</w:t>
      </w:r>
    </w:p>
    <w:p w14:paraId="7BD40A07" w14:textId="270EAD51" w:rsidR="00902113" w:rsidRPr="00FF6C50" w:rsidRDefault="00AC4CDC" w:rsidP="005E5B48">
      <w:pPr>
        <w:pStyle w:val="ListParagraph"/>
        <w:numPr>
          <w:ilvl w:val="0"/>
          <w:numId w:val="63"/>
        </w:numPr>
        <w:spacing w:after="240"/>
        <w:ind w:left="731"/>
        <w:contextualSpacing/>
        <w:rPr>
          <w:i/>
        </w:rPr>
      </w:pPr>
      <w:r>
        <w:rPr>
          <w:i/>
          <w:iCs/>
        </w:rPr>
        <w:t>have their location recorded on the register of radiocommunications licences;</w:t>
      </w:r>
      <w:r w:rsidR="00902113" w:rsidRPr="00FF6C50">
        <w:rPr>
          <w:i/>
        </w:rPr>
        <w:t> </w:t>
      </w:r>
    </w:p>
    <w:p w14:paraId="10DBAFC1" w14:textId="61472F97" w:rsidR="00B66D4E" w:rsidRPr="00B66D4E" w:rsidRDefault="00B66D4E" w:rsidP="005E5B48">
      <w:pPr>
        <w:ind w:left="11"/>
        <w:rPr>
          <w:i/>
          <w:iCs/>
        </w:rPr>
      </w:pPr>
      <w:r w:rsidRPr="00707C73">
        <w:rPr>
          <w:i/>
          <w:iCs/>
        </w:rPr>
        <w:t xml:space="preserve">For application of the receiver blocking, the frequency range in subsection 5(a) of schedule 1 of RAG Rx should be replaced with </w:t>
      </w:r>
      <w:r w:rsidR="00F52D7E">
        <w:rPr>
          <w:i/>
          <w:iCs/>
        </w:rPr>
        <w:t>3340-4060</w:t>
      </w:r>
      <w:r w:rsidRPr="00707C73">
        <w:rPr>
          <w:i/>
          <w:iCs/>
        </w:rPr>
        <w:t xml:space="preserve"> MHz;</w:t>
      </w:r>
    </w:p>
    <w:p w14:paraId="3C4384AD" w14:textId="13B48EEC" w:rsidR="00902113" w:rsidRPr="00FF6C50" w:rsidRDefault="00AC4CDC" w:rsidP="005E5B48">
      <w:pPr>
        <w:ind w:left="11"/>
        <w:rPr>
          <w:i/>
        </w:rPr>
      </w:pPr>
      <w:r>
        <w:rPr>
          <w:i/>
        </w:rPr>
        <w:t>While c</w:t>
      </w:r>
      <w:r w:rsidR="00902113" w:rsidRPr="00FF6C50">
        <w:rPr>
          <w:i/>
        </w:rPr>
        <w:t>ompliance with these provisions is not mandatory</w:t>
      </w:r>
      <w:r>
        <w:rPr>
          <w:i/>
        </w:rPr>
        <w:t>,</w:t>
      </w:r>
      <w:r w:rsidR="00902113" w:rsidRPr="00FF6C50">
        <w:rPr>
          <w:i/>
        </w:rPr>
        <w:t xml:space="preserve"> the ACMA will take </w:t>
      </w:r>
      <w:r>
        <w:rPr>
          <w:i/>
        </w:rPr>
        <w:t>them</w:t>
      </w:r>
      <w:r w:rsidR="00902113" w:rsidRPr="00FF6C50">
        <w:rPr>
          <w:i/>
        </w:rPr>
        <w:t xml:space="preserve"> into account </w:t>
      </w:r>
      <w:r>
        <w:rPr>
          <w:i/>
        </w:rPr>
        <w:t>when assessing any interference disputes</w:t>
      </w:r>
      <w:r w:rsidR="00902113" w:rsidRPr="00FF6C50">
        <w:rPr>
          <w:i/>
        </w:rPr>
        <w:t>.</w:t>
      </w:r>
    </w:p>
    <w:p w14:paraId="26E737AD" w14:textId="77777777" w:rsidR="00CB4766" w:rsidRPr="00CB4766" w:rsidRDefault="00CB4766" w:rsidP="005E5B48">
      <w:pPr>
        <w:ind w:left="11"/>
      </w:pPr>
    </w:p>
    <w:p w14:paraId="632BB982" w14:textId="0E9D8348" w:rsidR="00CE598A" w:rsidRDefault="00CE598A" w:rsidP="005E5B48">
      <w:pPr>
        <w:pStyle w:val="Heading2"/>
        <w:ind w:left="720" w:hanging="709"/>
      </w:pPr>
      <w:bookmarkStart w:id="50" w:name="_Toc90984581"/>
      <w:r>
        <w:t>Assignment rules</w:t>
      </w:r>
      <w:bookmarkEnd w:id="50"/>
    </w:p>
    <w:p w14:paraId="4BC22677" w14:textId="2BAFEC4F" w:rsidR="0076152E" w:rsidRPr="00BF3A80" w:rsidRDefault="0076152E" w:rsidP="005E5B48">
      <w:pPr>
        <w:ind w:left="11"/>
      </w:pPr>
      <w:r>
        <w:t xml:space="preserve">This section outlines the rules for </w:t>
      </w:r>
      <w:r w:rsidR="004274BE">
        <w:t xml:space="preserve">administratively issuing an </w:t>
      </w:r>
      <w:r>
        <w:t xml:space="preserve">AWL in </w:t>
      </w:r>
      <w:r w:rsidR="004274BE">
        <w:t xml:space="preserve">the </w:t>
      </w:r>
      <w:r>
        <w:t>3400-4000 MHz</w:t>
      </w:r>
      <w:r w:rsidR="004274BE">
        <w:t xml:space="preserve"> range</w:t>
      </w:r>
      <w:r>
        <w:t xml:space="preserve">. An AWL in the band can be issued, subject to the rules in this section, prior to device coordination requirements detailed in </w:t>
      </w:r>
      <w:r w:rsidRPr="00487E96">
        <w:t xml:space="preserve">Chapter </w:t>
      </w:r>
      <w:r w:rsidRPr="005E5B48">
        <w:t>4</w:t>
      </w:r>
      <w:r w:rsidR="00386367" w:rsidRPr="00487E96">
        <w:t>.</w:t>
      </w:r>
    </w:p>
    <w:p w14:paraId="53DACA56" w14:textId="77777777" w:rsidR="00FE3C3A" w:rsidRPr="00BF3A80" w:rsidRDefault="00FE3C3A" w:rsidP="005E5B48">
      <w:pPr>
        <w:pStyle w:val="Heading3"/>
        <w:ind w:left="720" w:hanging="709"/>
      </w:pPr>
      <w:bookmarkStart w:id="51" w:name="_Ref22126455"/>
      <w:bookmarkStart w:id="52" w:name="_Ref46220240"/>
      <w:bookmarkStart w:id="53" w:name="_Toc57195690"/>
      <w:bookmarkStart w:id="54" w:name="_Toc90984582"/>
      <w:r w:rsidRPr="00BF3A80">
        <w:lastRenderedPageBreak/>
        <w:t>Assignment instructions</w:t>
      </w:r>
      <w:bookmarkEnd w:id="51"/>
      <w:bookmarkEnd w:id="52"/>
      <w:bookmarkEnd w:id="53"/>
      <w:bookmarkEnd w:id="54"/>
    </w:p>
    <w:p w14:paraId="4B767640" w14:textId="16356EBB" w:rsidR="00FE3C3A" w:rsidRPr="005E5B48" w:rsidRDefault="004274BE" w:rsidP="005E5B48">
      <w:pPr>
        <w:spacing w:after="120"/>
        <w:ind w:left="11"/>
      </w:pPr>
      <w:r w:rsidRPr="00BF3A80">
        <w:t>U</w:t>
      </w:r>
      <w:r w:rsidR="00FE3C3A" w:rsidRPr="00BF3A80">
        <w:t>nless the ACMA is satisfied that good reasons exist to do otherwise</w:t>
      </w:r>
      <w:r w:rsidRPr="00BF3A80">
        <w:t>, AWLs will be administratively issued in the 3400-4000 MHz range in accordance with the following instructions</w:t>
      </w:r>
      <w:r w:rsidR="00FE3C3A" w:rsidRPr="005E5B48">
        <w:t>:</w:t>
      </w:r>
    </w:p>
    <w:p w14:paraId="7757E215" w14:textId="3AFB5B9C" w:rsidR="003F76D6" w:rsidRPr="005E5B48" w:rsidRDefault="007248A2" w:rsidP="005E5B48">
      <w:pPr>
        <w:pStyle w:val="ListBullet"/>
        <w:ind w:left="306"/>
      </w:pPr>
      <w:r w:rsidRPr="005E5B48">
        <w:t xml:space="preserve">AWLs authorising operation in the </w:t>
      </w:r>
      <w:r w:rsidR="003F76D6" w:rsidRPr="005E5B48">
        <w:t>3400-4000</w:t>
      </w:r>
      <w:r w:rsidRPr="005E5B48">
        <w:t xml:space="preserve"> </w:t>
      </w:r>
      <w:r w:rsidR="003F76D6" w:rsidRPr="005E5B48">
        <w:t>M</w:t>
      </w:r>
      <w:r w:rsidRPr="005E5B48">
        <w:t xml:space="preserve">Hz band will </w:t>
      </w:r>
      <w:r w:rsidR="008C61C2" w:rsidRPr="005E5B48">
        <w:t xml:space="preserve">not be </w:t>
      </w:r>
      <w:r w:rsidRPr="005E5B48">
        <w:t xml:space="preserve">issued in geographic areas that are </w:t>
      </w:r>
      <w:r w:rsidR="008C61C2" w:rsidRPr="005E5B48">
        <w:t>subject to a spectrum</w:t>
      </w:r>
      <w:r w:rsidRPr="005E5B48">
        <w:t xml:space="preserve"> embargo defined in </w:t>
      </w:r>
      <w:r w:rsidRPr="005E5B48">
        <w:rPr>
          <w:i/>
          <w:iCs/>
        </w:rPr>
        <w:t>RALI MS03</w:t>
      </w:r>
      <w:r w:rsidR="00BB3E0A" w:rsidRPr="00487E96">
        <w:rPr>
          <w:rStyle w:val="FootnoteReference"/>
        </w:rPr>
        <w:footnoteReference w:id="3"/>
      </w:r>
      <w:r w:rsidR="00712E24" w:rsidRPr="00487E96">
        <w:rPr>
          <w:i/>
          <w:iCs/>
        </w:rPr>
        <w:t xml:space="preserve">, </w:t>
      </w:r>
      <w:r w:rsidR="00712E24" w:rsidRPr="00BF3A80">
        <w:t xml:space="preserve">or in areas described in section </w:t>
      </w:r>
      <w:r w:rsidR="00712E24" w:rsidRPr="005E5B48">
        <w:t>3.3.2</w:t>
      </w:r>
      <w:r w:rsidR="00712E24" w:rsidRPr="00487E96">
        <w:t xml:space="preserve">, </w:t>
      </w:r>
      <w:r w:rsidR="00712E24" w:rsidRPr="005E5B48">
        <w:t>3.3.3</w:t>
      </w:r>
      <w:r w:rsidR="00712E24" w:rsidRPr="00487E96">
        <w:t xml:space="preserve"> and </w:t>
      </w:r>
      <w:r w:rsidR="00712E24" w:rsidRPr="005E5B48">
        <w:t>3.3.4</w:t>
      </w:r>
      <w:r w:rsidR="00712E24" w:rsidRPr="00487E96">
        <w:t>, as applicable.</w:t>
      </w:r>
      <w:r w:rsidR="008C61C2" w:rsidRPr="00BF3A80">
        <w:t xml:space="preserve"> </w:t>
      </w:r>
    </w:p>
    <w:p w14:paraId="673EA466" w14:textId="7919BAC2" w:rsidR="00FE3C3A" w:rsidRPr="00BF3A80" w:rsidRDefault="00FE3C3A" w:rsidP="005E5B48">
      <w:pPr>
        <w:pStyle w:val="ListBullet"/>
        <w:ind w:left="306"/>
      </w:pPr>
      <w:r w:rsidRPr="005E5B48">
        <w:t xml:space="preserve">The upper and lower frequency limits authorised by the licence must </w:t>
      </w:r>
      <w:r w:rsidR="00954227" w:rsidRPr="005E5B48">
        <w:t>comply with the frequencies and areas defined in section 2.1</w:t>
      </w:r>
      <w:r w:rsidR="00954227" w:rsidRPr="00487E96">
        <w:t xml:space="preserve"> and </w:t>
      </w:r>
      <w:r w:rsidRPr="00BF3A80">
        <w:t xml:space="preserve">align with the channel raster in section </w:t>
      </w:r>
      <w:r w:rsidRPr="005E5B48">
        <w:t>2.</w:t>
      </w:r>
      <w:r w:rsidR="00954227" w:rsidRPr="005E5B48">
        <w:t>2</w:t>
      </w:r>
      <w:r w:rsidR="00F83F59" w:rsidRPr="00487E96">
        <w:t>.</w:t>
      </w:r>
    </w:p>
    <w:p w14:paraId="2F380B7B" w14:textId="7A150ACC" w:rsidR="002D773F" w:rsidRPr="00BF3A80" w:rsidRDefault="002D773F" w:rsidP="005E5B48">
      <w:pPr>
        <w:pStyle w:val="ListBullet"/>
        <w:ind w:left="306"/>
      </w:pPr>
      <w:r w:rsidRPr="00BF3A80">
        <w:t xml:space="preserve">Must follow assignment priority </w:t>
      </w:r>
      <w:r w:rsidR="0026648A">
        <w:t xml:space="preserve">guidelines </w:t>
      </w:r>
      <w:r w:rsidRPr="00BF3A80">
        <w:t xml:space="preserve">in section </w:t>
      </w:r>
      <w:r w:rsidRPr="005E5B48">
        <w:t>3.3.</w:t>
      </w:r>
      <w:r w:rsidR="002F1ED0" w:rsidRPr="005E5B48">
        <w:t>5</w:t>
      </w:r>
      <w:r w:rsidRPr="00487E96">
        <w:t>.</w:t>
      </w:r>
    </w:p>
    <w:p w14:paraId="4B4462E5" w14:textId="3D1C8643" w:rsidR="000B500E" w:rsidRDefault="00FE3C3A" w:rsidP="00707C73">
      <w:pPr>
        <w:pStyle w:val="ListBullet"/>
        <w:tabs>
          <w:tab w:val="clear" w:pos="295"/>
          <w:tab w:val="num" w:pos="579"/>
        </w:tabs>
        <w:ind w:left="306"/>
      </w:pPr>
      <w:r w:rsidRPr="005E5B48">
        <w:t>An AWL cannot be issued if its frequency range would overlap with the frequency range authorised by an existing AWL in the same HCIS cell</w:t>
      </w:r>
      <w:r w:rsidR="00E05457">
        <w:t>.</w:t>
      </w:r>
    </w:p>
    <w:p w14:paraId="4AFBD710" w14:textId="68F032A4" w:rsidR="00F901A9" w:rsidRDefault="00FE3C3A" w:rsidP="005E5B48">
      <w:pPr>
        <w:pStyle w:val="ListBullet"/>
        <w:ind w:left="306"/>
      </w:pPr>
      <w:r>
        <w:t xml:space="preserve">The geographic area authorised by an AWL </w:t>
      </w:r>
      <w:r w:rsidR="002F1ED0">
        <w:t>must</w:t>
      </w:r>
      <w:r>
        <w:t xml:space="preserve"> consist of only whole HCIS cells</w:t>
      </w:r>
      <w:r w:rsidR="00C85DBC">
        <w:t xml:space="preserve"> incorporatin</w:t>
      </w:r>
      <w:r w:rsidR="002F1ED0">
        <w:t>g</w:t>
      </w:r>
      <w:r w:rsidR="00C85DBC">
        <w:t xml:space="preserve"> level</w:t>
      </w:r>
      <w:r w:rsidR="002F1ED0">
        <w:t>s</w:t>
      </w:r>
      <w:r w:rsidR="00C85DBC">
        <w:t xml:space="preserve"> 0 and above (level 00 cells are not to be used)</w:t>
      </w:r>
      <w:r>
        <w:t xml:space="preserve">. The smallest geographic area authorised by an AWL is a single HCIS level 0 cell comprising an area of approximately </w:t>
      </w:r>
      <w:r w:rsidR="00C85DBC" w:rsidRPr="00F04B19">
        <w:t>1.8km</w:t>
      </w:r>
      <w:r w:rsidRPr="00C85DBC">
        <w:t xml:space="preserve"> x </w:t>
      </w:r>
      <w:r w:rsidR="00C85DBC" w:rsidRPr="00F04B19">
        <w:t>1.8km</w:t>
      </w:r>
      <w:r w:rsidR="00C85DBC">
        <w:t>.</w:t>
      </w:r>
    </w:p>
    <w:p w14:paraId="6BBE5122" w14:textId="3A3D89F4" w:rsidR="00FD08BB" w:rsidRDefault="00FD08BB" w:rsidP="005E5B48">
      <w:pPr>
        <w:pStyle w:val="ListBullet"/>
        <w:numPr>
          <w:ilvl w:val="0"/>
          <w:numId w:val="0"/>
        </w:numPr>
        <w:spacing w:after="240"/>
        <w:ind w:left="306" w:hanging="295"/>
        <w:rPr>
          <w:rFonts w:cs="Arial"/>
        </w:rPr>
      </w:pPr>
    </w:p>
    <w:p w14:paraId="2FF1229E" w14:textId="2E7B6BFE" w:rsidR="00FD08BB" w:rsidRPr="00591A7E" w:rsidRDefault="00FD08BB" w:rsidP="005E5B48">
      <w:pPr>
        <w:pStyle w:val="Heading3"/>
        <w:ind w:left="720" w:hanging="709"/>
        <w:rPr>
          <w:u w:val="single"/>
        </w:rPr>
      </w:pPr>
      <w:bookmarkStart w:id="55" w:name="_Toc90984583"/>
      <w:r w:rsidRPr="00591A7E">
        <w:rPr>
          <w:u w:val="single"/>
        </w:rPr>
        <w:t xml:space="preserve">Radiolocation authorised under </w:t>
      </w:r>
      <w:r w:rsidR="00CD4ED6">
        <w:rPr>
          <w:u w:val="single"/>
        </w:rPr>
        <w:t xml:space="preserve">section </w:t>
      </w:r>
      <w:r w:rsidRPr="00591A7E">
        <w:rPr>
          <w:u w:val="single"/>
        </w:rPr>
        <w:t xml:space="preserve">10(7) of the </w:t>
      </w:r>
      <w:r w:rsidR="00315188">
        <w:rPr>
          <w:u w:val="single"/>
        </w:rPr>
        <w:t>Australian Radiofrequency Spectrum Plan (</w:t>
      </w:r>
      <w:r w:rsidRPr="00591A7E">
        <w:rPr>
          <w:u w:val="single"/>
        </w:rPr>
        <w:t>ARSP</w:t>
      </w:r>
      <w:r w:rsidR="00315188">
        <w:rPr>
          <w:u w:val="single"/>
        </w:rPr>
        <w:t>)</w:t>
      </w:r>
      <w:bookmarkEnd w:id="55"/>
    </w:p>
    <w:p w14:paraId="50C9D459" w14:textId="3C203313" w:rsidR="00FD08BB" w:rsidRDefault="00FD08BB" w:rsidP="005E5B48">
      <w:pPr>
        <w:ind w:left="11"/>
      </w:pPr>
      <w:r>
        <w:rPr>
          <w:rFonts w:cs="Arial"/>
        </w:rPr>
        <w:t xml:space="preserve">Existing Defence radiolocation services </w:t>
      </w:r>
      <w:r w:rsidR="00315188">
        <w:rPr>
          <w:rFonts w:cs="Arial"/>
        </w:rPr>
        <w:t xml:space="preserve">operate in the range 3400-4000 MHz </w:t>
      </w:r>
      <w:r>
        <w:rPr>
          <w:rFonts w:cs="Arial"/>
        </w:rPr>
        <w:t xml:space="preserve">under </w:t>
      </w:r>
      <w:r w:rsidR="00CD4ED6">
        <w:rPr>
          <w:rFonts w:cs="Arial"/>
        </w:rPr>
        <w:t xml:space="preserve">section </w:t>
      </w:r>
      <w:r w:rsidR="00315188">
        <w:rPr>
          <w:rFonts w:cs="Arial"/>
        </w:rPr>
        <w:t xml:space="preserve">10(7) of the </w:t>
      </w:r>
      <w:hyperlink r:id="rId33" w:history="1">
        <w:r w:rsidR="00315188" w:rsidRPr="00315188">
          <w:rPr>
            <w:rStyle w:val="Hyperlink"/>
            <w:rFonts w:cs="Arial"/>
          </w:rPr>
          <w:t>ARSP</w:t>
        </w:r>
      </w:hyperlink>
      <w:r w:rsidR="00315188">
        <w:rPr>
          <w:rFonts w:cs="Arial"/>
        </w:rPr>
        <w:t>. These radiolocation</w:t>
      </w:r>
      <w:r>
        <w:rPr>
          <w:rFonts w:cs="Arial"/>
        </w:rPr>
        <w:t xml:space="preserve"> licence</w:t>
      </w:r>
      <w:r w:rsidR="00315188">
        <w:rPr>
          <w:rFonts w:cs="Arial"/>
        </w:rPr>
        <w:t>s have a</w:t>
      </w:r>
      <w:r>
        <w:rPr>
          <w:rFonts w:cs="Arial"/>
        </w:rPr>
        <w:t xml:space="preserve"> special condition that states that “</w:t>
      </w:r>
      <w:r>
        <w:t>No interference shall be caused to any Radiocommunication station or service and no protection from interference by such stations or services shall be afforded.”</w:t>
      </w:r>
    </w:p>
    <w:p w14:paraId="67A17CFE" w14:textId="695333F3" w:rsidR="00D13A51" w:rsidRDefault="00D13A51" w:rsidP="005E5B48">
      <w:pPr>
        <w:ind w:left="11"/>
      </w:pPr>
      <w:r>
        <w:t xml:space="preserve">Because of the higher potential for mutual interference caused by the introduction of </w:t>
      </w:r>
      <w:r w:rsidR="00315188">
        <w:t>wireless broadband (</w:t>
      </w:r>
      <w:r>
        <w:t>WBB</w:t>
      </w:r>
      <w:r w:rsidR="00315188">
        <w:t>)</w:t>
      </w:r>
      <w:r>
        <w:t xml:space="preserve"> services compared with incumbent service types in the area across 3400-4000 MHz, AWL</w:t>
      </w:r>
      <w:r w:rsidR="00932FD4">
        <w:t>s</w:t>
      </w:r>
      <w:r>
        <w:t xml:space="preserve"> will not normally be issued in the range of 3700-4000 MHz and within 100 km of, or within 3600-3700 MHz and within 60km of, latitude 15°38’55” South and longitude 131°54’04” East (GDA94 Datum). </w:t>
      </w:r>
    </w:p>
    <w:p w14:paraId="5C479B9D" w14:textId="77777777" w:rsidR="00177AE5" w:rsidRDefault="00177AE5" w:rsidP="005E5B48">
      <w:pPr>
        <w:pStyle w:val="Heading3"/>
        <w:ind w:left="720" w:hanging="709"/>
      </w:pPr>
      <w:bookmarkStart w:id="56" w:name="_Toc82527167"/>
      <w:bookmarkStart w:id="57" w:name="_Toc82527168"/>
      <w:bookmarkStart w:id="58" w:name="_Toc90984584"/>
      <w:bookmarkEnd w:id="56"/>
      <w:bookmarkEnd w:id="57"/>
      <w:r>
        <w:t>Darwin and Geraldton coordination zones</w:t>
      </w:r>
      <w:bookmarkEnd w:id="58"/>
    </w:p>
    <w:p w14:paraId="57527BAF" w14:textId="77777777" w:rsidR="00791D2D" w:rsidRDefault="00791D2D" w:rsidP="005E5B48">
      <w:pPr>
        <w:ind w:left="11"/>
        <w:rPr>
          <w:rFonts w:ascii="Calibri" w:hAnsi="Calibri"/>
        </w:rPr>
      </w:pPr>
      <w:r>
        <w:t>There are existing conditions in several RALIs stating that “Requests for any assignments within 150 km of latitude 12˚26’59” South and longitude 130˚50’0” East (GDA94 Datum) in Darwin (NT) and latitude 28˚45’59” South and longitude 114˚37’0” East (GDA94 Datum) in Geraldton (WA), are to be referred to the ACMA for preliminary coordination consultation.”</w:t>
      </w:r>
    </w:p>
    <w:p w14:paraId="60B18920" w14:textId="77777777" w:rsidR="00D13A51" w:rsidRDefault="00D13A51" w:rsidP="005E5B48">
      <w:pPr>
        <w:ind w:left="11"/>
        <w:rPr>
          <w:rFonts w:ascii="Calibri" w:hAnsi="Calibri"/>
        </w:rPr>
      </w:pPr>
      <w:r>
        <w:t xml:space="preserve">Because of the higher potential for mutual interference caused by the introduction of WBB services compared with incumbent service types in the areas across 3400-4000 MHz, AWLs will not normally be issued within 150 km of latitude 12˚26’59” South and longitude 130˚50’0” East (GDA94 Datum) in Darwin (NT) and latitude 28˚45’59” South and longitude 114˚37’0” East (GDA94 Datum) in Geraldton (WA). </w:t>
      </w:r>
    </w:p>
    <w:p w14:paraId="65E226A3" w14:textId="60A411F9" w:rsidR="00FD08BB" w:rsidRDefault="00AC22CD" w:rsidP="005E5B48">
      <w:pPr>
        <w:pStyle w:val="Heading3"/>
        <w:ind w:left="720" w:hanging="709"/>
      </w:pPr>
      <w:bookmarkStart w:id="59" w:name="_Toc90984585"/>
      <w:r>
        <w:t>Woomera Protected Area</w:t>
      </w:r>
      <w:bookmarkEnd w:id="59"/>
    </w:p>
    <w:p w14:paraId="1914E8CD" w14:textId="77777777" w:rsidR="00AC22CD" w:rsidRDefault="00AC22CD" w:rsidP="005E5B48">
      <w:pPr>
        <w:ind w:left="11"/>
        <w:rPr>
          <w:rFonts w:ascii="Calibri" w:hAnsi="Calibri"/>
        </w:rPr>
      </w:pPr>
      <w:r>
        <w:t>There are existing conditions in several RALIs in relation to the WPA stating that “Requests for any assignments inside and within 100 km of the Woomera Prohibited Area (WPA), as defined in embargo 52, are to be referred to the ACMA for preliminary coordination consultation.”</w:t>
      </w:r>
    </w:p>
    <w:p w14:paraId="11525DF8" w14:textId="025224ED" w:rsidR="00AC22CD" w:rsidRDefault="00AC22CD" w:rsidP="005E5B48">
      <w:pPr>
        <w:ind w:left="11"/>
      </w:pPr>
      <w:r>
        <w:lastRenderedPageBreak/>
        <w:t xml:space="preserve">Because of the higher potential for mutual interference caused by the introduction of WBB services compared with incumbent service types in the area across 3400-4000 MHz, AWLs will not normally be issued </w:t>
      </w:r>
      <w:r w:rsidR="004E0F2F">
        <w:t>within the</w:t>
      </w:r>
      <w:r>
        <w:t xml:space="preserve"> Woomera Protected Area, as defined in embargo 52.</w:t>
      </w:r>
      <w:r w:rsidR="004E0F2F">
        <w:t xml:space="preserve"> </w:t>
      </w:r>
      <w:r w:rsidR="002C1537">
        <w:t xml:space="preserve"> An advisory note is to be placed on all AWLs issued within 100km of the WPA stating that “</w:t>
      </w:r>
      <w:r w:rsidR="002C1537" w:rsidRPr="001230DA">
        <w:rPr>
          <w:i/>
          <w:iCs/>
        </w:rPr>
        <w:t>no protection from interference from transmissions from within the WPA is afforded</w:t>
      </w:r>
      <w:r w:rsidR="002C1537">
        <w:t>”</w:t>
      </w:r>
    </w:p>
    <w:p w14:paraId="1FF0872D" w14:textId="005181C4" w:rsidR="00CE598A" w:rsidRDefault="00CE598A" w:rsidP="005E5B48">
      <w:pPr>
        <w:pStyle w:val="Heading3"/>
        <w:ind w:left="720" w:hanging="709"/>
      </w:pPr>
      <w:bookmarkStart w:id="60" w:name="_Toc82527171"/>
      <w:bookmarkStart w:id="61" w:name="_Toc82527172"/>
      <w:bookmarkStart w:id="62" w:name="_Toc90984586"/>
      <w:bookmarkEnd w:id="60"/>
      <w:bookmarkEnd w:id="61"/>
      <w:r>
        <w:t>Assignment priority</w:t>
      </w:r>
      <w:bookmarkEnd w:id="62"/>
      <w:r w:rsidR="004C26D7">
        <w:t xml:space="preserve"> </w:t>
      </w:r>
    </w:p>
    <w:p w14:paraId="1DFD8FCB" w14:textId="722EE4E6" w:rsidR="00F057E3" w:rsidRDefault="00DB5504" w:rsidP="005E5B48">
      <w:pPr>
        <w:spacing w:after="120"/>
        <w:ind w:left="11"/>
      </w:pPr>
      <w:r>
        <w:t>AWLs are to</w:t>
      </w:r>
      <w:r w:rsidR="006B348A">
        <w:t xml:space="preserve"> be assigned</w:t>
      </w:r>
      <w:r w:rsidR="005120E7">
        <w:t xml:space="preserve"> using</w:t>
      </w:r>
      <w:r w:rsidR="009B5897">
        <w:t xml:space="preserve"> </w:t>
      </w:r>
      <w:r w:rsidR="006B348A">
        <w:t xml:space="preserve">contiguous channels </w:t>
      </w:r>
      <w:r w:rsidR="009B5897">
        <w:t>of 10MHz</w:t>
      </w:r>
      <w:r w:rsidR="00F057E3">
        <w:t xml:space="preserve"> </w:t>
      </w:r>
      <w:r w:rsidR="00DB0517">
        <w:t>with the following guidance</w:t>
      </w:r>
      <w:r w:rsidR="00F057E3">
        <w:t>:</w:t>
      </w:r>
    </w:p>
    <w:p w14:paraId="1620CA77" w14:textId="0C103582" w:rsidR="00343419" w:rsidRDefault="00343419">
      <w:pPr>
        <w:pStyle w:val="ListBullet"/>
        <w:numPr>
          <w:ilvl w:val="0"/>
          <w:numId w:val="101"/>
        </w:numPr>
      </w:pPr>
      <w:r>
        <w:t>f</w:t>
      </w:r>
      <w:r w:rsidR="00DB0517">
        <w:t xml:space="preserve">or </w:t>
      </w:r>
      <w:r w:rsidR="00A15928">
        <w:t xml:space="preserve">all </w:t>
      </w:r>
      <w:r w:rsidR="00DB0517">
        <w:t xml:space="preserve">AWLs </w:t>
      </w:r>
      <w:r>
        <w:t>where possible:</w:t>
      </w:r>
    </w:p>
    <w:p w14:paraId="177D99E2" w14:textId="267DB429" w:rsidR="00DB0517" w:rsidRDefault="00DB0517" w:rsidP="00343419">
      <w:pPr>
        <w:pStyle w:val="ListBullet"/>
        <w:numPr>
          <w:ilvl w:val="1"/>
          <w:numId w:val="101"/>
        </w:numPr>
      </w:pPr>
      <w:r>
        <w:t xml:space="preserve">existing </w:t>
      </w:r>
      <w:r w:rsidR="00184C6A">
        <w:t xml:space="preserve">3.4 GHz band </w:t>
      </w:r>
      <w:r>
        <w:t xml:space="preserve">spectrum licence holders should </w:t>
      </w:r>
      <w:r w:rsidR="00343419">
        <w:t xml:space="preserve">be assigned spectrum </w:t>
      </w:r>
      <w:r w:rsidR="00184C6A">
        <w:t xml:space="preserve">below 3700 MHz and preferably occupying </w:t>
      </w:r>
      <w:r w:rsidR="00343419">
        <w:t>the same frequenc</w:t>
      </w:r>
      <w:r w:rsidR="00184C6A">
        <w:t>ies</w:t>
      </w:r>
      <w:r w:rsidR="00343419">
        <w:t xml:space="preserve"> as</w:t>
      </w:r>
      <w:r w:rsidR="00184C6A">
        <w:t xml:space="preserve"> their</w:t>
      </w:r>
      <w:r>
        <w:t xml:space="preserve"> existing spectrum licence</w:t>
      </w:r>
      <w:r w:rsidR="00184C6A">
        <w:t xml:space="preserve"> holdings</w:t>
      </w:r>
      <w:r>
        <w:t>.</w:t>
      </w:r>
    </w:p>
    <w:p w14:paraId="14F5061F" w14:textId="73D7B1B6" w:rsidR="00C70C84" w:rsidRDefault="00C70C84" w:rsidP="00C70C84">
      <w:pPr>
        <w:pStyle w:val="ListBullet"/>
        <w:numPr>
          <w:ilvl w:val="1"/>
          <w:numId w:val="101"/>
        </w:numPr>
      </w:pPr>
      <w:r>
        <w:t>entities without 3.4 GHz spectrum licence holdings should be assigned spectrum above 3700 MHz and preferably occupying the same frequencies as any existing apparatus licence holdings.</w:t>
      </w:r>
    </w:p>
    <w:p w14:paraId="3DED1839" w14:textId="5841507C" w:rsidR="00F057E3" w:rsidRDefault="00243207" w:rsidP="00707C73">
      <w:pPr>
        <w:pStyle w:val="ListBullet"/>
        <w:numPr>
          <w:ilvl w:val="0"/>
          <w:numId w:val="101"/>
        </w:numPr>
      </w:pPr>
      <w:r>
        <w:t>s</w:t>
      </w:r>
      <w:r w:rsidR="00C70C84">
        <w:t xml:space="preserve">ubject to 3.3.5a, </w:t>
      </w:r>
      <w:r w:rsidR="00A15928">
        <w:t xml:space="preserve">in </w:t>
      </w:r>
      <w:r w:rsidR="00F057E3">
        <w:t xml:space="preserve">ascending order </w:t>
      </w:r>
      <w:r w:rsidR="00C70C84">
        <w:t>(lowest frequency available</w:t>
      </w:r>
      <w:r w:rsidR="00A15928">
        <w:t>)</w:t>
      </w:r>
      <w:r w:rsidR="00DB5504">
        <w:t>.</w:t>
      </w:r>
    </w:p>
    <w:p w14:paraId="26E0071B" w14:textId="615F7BDD" w:rsidR="00D62118" w:rsidRDefault="006B348A" w:rsidP="005E5B48">
      <w:pPr>
        <w:ind w:left="11"/>
      </w:pPr>
      <w:r>
        <w:t>These rules are aimed at improving spectral efficiency</w:t>
      </w:r>
      <w:r w:rsidR="00C859DF">
        <w:t>,</w:t>
      </w:r>
      <w:r>
        <w:t xml:space="preserve"> maximising spectrum availability for prospective licensees</w:t>
      </w:r>
      <w:r w:rsidR="00C859DF">
        <w:t xml:space="preserve"> and enabling the prospect of contiguous spectrum holdings across geographic boundaries</w:t>
      </w:r>
      <w:r>
        <w:t>.  Alternative ways of assigning spectrum can be considered on a case-by-case bas</w:t>
      </w:r>
      <w:r w:rsidR="00D25321">
        <w:t>i</w:t>
      </w:r>
      <w:r>
        <w:t>s by the ACMA where it is deemed to improve the efficiency in use and allocation of spectrum.</w:t>
      </w:r>
    </w:p>
    <w:p w14:paraId="45F2264D" w14:textId="50F978C6" w:rsidR="00090140" w:rsidRPr="00090140" w:rsidRDefault="006B348A" w:rsidP="005E5B48">
      <w:pPr>
        <w:ind w:left="11"/>
      </w:pPr>
      <w:r>
        <w:t>Request should be sent to FAC policy exemptions</w:t>
      </w:r>
      <w:r w:rsidR="00D62118">
        <w:t>:</w:t>
      </w:r>
      <w:r>
        <w:t xml:space="preserve"> </w:t>
      </w:r>
      <w:hyperlink r:id="rId34" w:history="1">
        <w:r w:rsidRPr="006B348A">
          <w:rPr>
            <w:rStyle w:val="Hyperlink"/>
          </w:rPr>
          <w:t>FACPolicyExemptions@acma.gov.au</w:t>
        </w:r>
      </w:hyperlink>
    </w:p>
    <w:p w14:paraId="57480BF8" w14:textId="770153B9" w:rsidR="004A13A7" w:rsidRDefault="004A13A7" w:rsidP="005E5B48">
      <w:pPr>
        <w:pStyle w:val="Heading1"/>
        <w:ind w:left="442"/>
      </w:pPr>
      <w:bookmarkStart w:id="63" w:name="_Toc90984587"/>
      <w:r w:rsidRPr="000B27C0">
        <w:lastRenderedPageBreak/>
        <w:t>Frequency coordination procedures</w:t>
      </w:r>
      <w:bookmarkEnd w:id="9"/>
      <w:bookmarkEnd w:id="10"/>
      <w:bookmarkEnd w:id="11"/>
      <w:r w:rsidR="0027330C">
        <w:t xml:space="preserve"> and pre-registration requirement</w:t>
      </w:r>
      <w:r w:rsidR="002D0F4C">
        <w:t>s</w:t>
      </w:r>
      <w:bookmarkEnd w:id="63"/>
      <w:r w:rsidR="0027330C">
        <w:t xml:space="preserve"> </w:t>
      </w:r>
    </w:p>
    <w:p w14:paraId="01D722DE" w14:textId="61A63CE2" w:rsidR="004C33B4" w:rsidRPr="00CD7947" w:rsidRDefault="004C33B4" w:rsidP="005E5B48">
      <w:pPr>
        <w:ind w:left="11"/>
      </w:pPr>
      <w:r>
        <w:t xml:space="preserve">This chapter details the coordination procedures and requirements which must be met before the details of a radiocommunications transmitter can be included in the RRL. As required by </w:t>
      </w:r>
      <w:r w:rsidR="006D34A4" w:rsidRPr="00BF3A80">
        <w:t xml:space="preserve">Paragraph </w:t>
      </w:r>
      <w:r w:rsidR="00733276">
        <w:t>2</w:t>
      </w:r>
      <w:r w:rsidR="006D34A4" w:rsidRPr="00BF3A80">
        <w:t xml:space="preserve"> of</w:t>
      </w:r>
      <w:r w:rsidRPr="00BF3A80">
        <w:t xml:space="preserve"> Schedule </w:t>
      </w:r>
      <w:r w:rsidR="00DB5504" w:rsidRPr="005E5B48">
        <w:t>4</w:t>
      </w:r>
      <w:r>
        <w:t xml:space="preserve"> of the AWL LCD, a transmitter must not be operated under an AWL in the range 3400-4000 MHz if its details are not included in the RRL, except for transmitters which are specifically exempt. </w:t>
      </w:r>
    </w:p>
    <w:p w14:paraId="196B5795" w14:textId="6A6C5A82" w:rsidR="008E5BB0" w:rsidRDefault="00210C38" w:rsidP="005E5B48">
      <w:pPr>
        <w:pStyle w:val="Heading2"/>
        <w:ind w:left="720" w:hanging="709"/>
      </w:pPr>
      <w:bookmarkStart w:id="64" w:name="_Ref25842452"/>
      <w:bookmarkStart w:id="65" w:name="_Ref25842513"/>
      <w:bookmarkStart w:id="66" w:name="_Ref25843524"/>
      <w:bookmarkStart w:id="67" w:name="_Ref25843532"/>
      <w:bookmarkStart w:id="68" w:name="_Ref25843639"/>
      <w:bookmarkStart w:id="69" w:name="_Toc90984588"/>
      <w:r>
        <w:t>Coordination at the geographic boundary</w:t>
      </w:r>
      <w:bookmarkEnd w:id="69"/>
    </w:p>
    <w:p w14:paraId="2B7165BA" w14:textId="1F004F87" w:rsidR="00210C38" w:rsidRDefault="00210C38" w:rsidP="005E5B48">
      <w:pPr>
        <w:pStyle w:val="Heading3"/>
        <w:ind w:left="720" w:hanging="709"/>
      </w:pPr>
      <w:bookmarkStart w:id="70" w:name="_Ref88050638"/>
      <w:bookmarkStart w:id="71" w:name="_Toc90984589"/>
      <w:r>
        <w:t>Coordination at the AWL boundary</w:t>
      </w:r>
      <w:bookmarkEnd w:id="70"/>
      <w:bookmarkEnd w:id="71"/>
    </w:p>
    <w:p w14:paraId="1366A755" w14:textId="19F6B1A5" w:rsidR="006C33E6" w:rsidRDefault="00A0281E" w:rsidP="00210C38">
      <w:r>
        <w:t xml:space="preserve">The details of an </w:t>
      </w:r>
      <w:r>
        <w:rPr>
          <w:rFonts w:cs="Arial"/>
        </w:rPr>
        <w:t xml:space="preserve">AWL </w:t>
      </w:r>
      <w:r>
        <w:t xml:space="preserve">transmitter must not be included in the RRL if any part of the device boundary of the transmitter lies </w:t>
      </w:r>
      <w:r w:rsidR="00390DC7">
        <w:t>outside a geographic area authorised by the licence</w:t>
      </w:r>
      <w:r w:rsidR="006C33E6">
        <w:t>, except when one or more of the following apply:</w:t>
      </w:r>
    </w:p>
    <w:p w14:paraId="209B8585" w14:textId="562B4740" w:rsidR="006C33E6" w:rsidRDefault="006C33E6" w:rsidP="006C33E6">
      <w:pPr>
        <w:pStyle w:val="ListBullet"/>
      </w:pPr>
      <w:r>
        <w:t xml:space="preserve">In situations as described in subsection 9(3) of </w:t>
      </w:r>
      <w:r>
        <w:rPr>
          <w:i/>
          <w:iCs/>
        </w:rPr>
        <w:t xml:space="preserve">Radiocommunications (Unacceptable Levels of Interference — 3.4 GHz band) Determination </w:t>
      </w:r>
      <w:r w:rsidRPr="000A0DDB">
        <w:rPr>
          <w:i/>
          <w:iCs/>
        </w:rPr>
        <w:t>20</w:t>
      </w:r>
      <w:r>
        <w:rPr>
          <w:i/>
          <w:iCs/>
        </w:rPr>
        <w:t>15</w:t>
      </w:r>
      <w:r>
        <w:t xml:space="preserve">, as in force from time to time (the s.145 determination) and when the </w:t>
      </w:r>
      <w:r w:rsidR="004A1DD5">
        <w:t xml:space="preserve">area authorised by the </w:t>
      </w:r>
      <w:r>
        <w:t xml:space="preserve">licence </w:t>
      </w:r>
      <w:r w:rsidR="007C1CA2">
        <w:t xml:space="preserve">is </w:t>
      </w:r>
      <w:r>
        <w:t>directly adjacent to an area described in RALI MS44</w:t>
      </w:r>
      <w:r w:rsidR="002B3EA0">
        <w:t>.</w:t>
      </w:r>
      <w:r>
        <w:t xml:space="preserve"> </w:t>
      </w:r>
    </w:p>
    <w:p w14:paraId="7B4D3E36" w14:textId="6D31A71D" w:rsidR="006C33E6" w:rsidRDefault="006C33E6" w:rsidP="006C33E6">
      <w:pPr>
        <w:pStyle w:val="ListBullet"/>
      </w:pPr>
      <w:r>
        <w:t>In situations as described in subsection 9(4) of the s.145 determination</w:t>
      </w:r>
      <w:r w:rsidR="00D222EC">
        <w:t>.</w:t>
      </w:r>
    </w:p>
    <w:p w14:paraId="548DADF8" w14:textId="719BB371" w:rsidR="007560BE" w:rsidRDefault="00E706A9" w:rsidP="00707C73">
      <w:pPr>
        <w:pStyle w:val="ListBulletLast"/>
      </w:pPr>
      <w:r>
        <w:t>The part of the device bo</w:t>
      </w:r>
      <w:r w:rsidR="006C33E6">
        <w:t xml:space="preserve">undary </w:t>
      </w:r>
      <w:r>
        <w:t xml:space="preserve">that is outside the area authorised by the licence </w:t>
      </w:r>
      <w:r w:rsidR="006C33E6">
        <w:t xml:space="preserve">falls </w:t>
      </w:r>
      <w:r>
        <w:t>entirely with</w:t>
      </w:r>
      <w:r w:rsidR="006C33E6">
        <w:t>in</w:t>
      </w:r>
      <w:r>
        <w:t xml:space="preserve"> an area authorised by another AWL</w:t>
      </w:r>
      <w:r w:rsidR="00675AB2">
        <w:t xml:space="preserve"> (which also </w:t>
      </w:r>
      <w:r w:rsidR="008D2AA3">
        <w:t>authorises</w:t>
      </w:r>
      <w:r w:rsidR="00675AB2">
        <w:t xml:space="preserve"> </w:t>
      </w:r>
      <w:r w:rsidR="008D2AA3">
        <w:t>operation in</w:t>
      </w:r>
      <w:r w:rsidR="00675AB2">
        <w:t xml:space="preserve"> the frequency range </w:t>
      </w:r>
      <w:r w:rsidR="008D2AA3">
        <w:t>of the proposed transmitter)</w:t>
      </w:r>
      <w:r>
        <w:t>, and there is an active agreement in place with the other licensee(s)</w:t>
      </w:r>
      <w:r w:rsidR="00390DC7">
        <w:t>.</w:t>
      </w:r>
      <w:r>
        <w:t xml:space="preserve"> This exception would no longer apply if </w:t>
      </w:r>
      <w:r w:rsidR="00F63978">
        <w:t xml:space="preserve">any </w:t>
      </w:r>
      <w:r>
        <w:t>relevant AWL</w:t>
      </w:r>
      <w:r w:rsidR="00F63978">
        <w:t xml:space="preserve"> </w:t>
      </w:r>
      <w:r w:rsidR="006F4FC1">
        <w:t>is</w:t>
      </w:r>
      <w:r>
        <w:t xml:space="preserve"> no</w:t>
      </w:r>
      <w:r w:rsidR="00F63978">
        <w:t xml:space="preserve"> longer effective</w:t>
      </w:r>
      <w:r>
        <w:t xml:space="preserve"> in the future (e.g. </w:t>
      </w:r>
      <w:r w:rsidR="00F63978">
        <w:t>they have expired or were cancelled</w:t>
      </w:r>
      <w:r>
        <w:t xml:space="preserve">). </w:t>
      </w:r>
    </w:p>
    <w:p w14:paraId="16DB7CD9" w14:textId="4366D787" w:rsidR="00210C38" w:rsidRDefault="007560BE" w:rsidP="005E5B48">
      <w:pPr>
        <w:ind w:left="11"/>
      </w:pPr>
      <w:r>
        <w:t xml:space="preserve">For the purposes of this section, the device boundary is to be calculated in accordance with Part 1 of Schedule 2 of </w:t>
      </w:r>
      <w:r w:rsidR="00E706A9">
        <w:t>the s.145 determination</w:t>
      </w:r>
      <w:r>
        <w:t>.</w:t>
      </w:r>
    </w:p>
    <w:p w14:paraId="45003DC7" w14:textId="38398681" w:rsidR="00210C38" w:rsidRPr="00210C38" w:rsidRDefault="00210C38" w:rsidP="005E5B48">
      <w:pPr>
        <w:pStyle w:val="Heading3"/>
        <w:ind w:left="720" w:hanging="709"/>
      </w:pPr>
      <w:bookmarkStart w:id="72" w:name="_Toc90984590"/>
      <w:r>
        <w:t xml:space="preserve">Coordination at the boundary of a </w:t>
      </w:r>
      <w:r w:rsidR="00390DC7">
        <w:t>spectrum licensed area</w:t>
      </w:r>
      <w:bookmarkEnd w:id="72"/>
    </w:p>
    <w:p w14:paraId="7B6D04F4" w14:textId="28D434B4" w:rsidR="00390DC7" w:rsidRDefault="00DD174E" w:rsidP="005E5B48">
      <w:pPr>
        <w:ind w:left="11"/>
      </w:pPr>
      <w:r>
        <w:t xml:space="preserve">The details of an </w:t>
      </w:r>
      <w:r>
        <w:rPr>
          <w:rFonts w:cs="Arial"/>
        </w:rPr>
        <w:t xml:space="preserve">AWL </w:t>
      </w:r>
      <w:r>
        <w:t>transmitter must not be included in the RRL</w:t>
      </w:r>
      <w:r w:rsidR="00390DC7">
        <w:t xml:space="preserve"> if:</w:t>
      </w:r>
    </w:p>
    <w:p w14:paraId="538401A8" w14:textId="417A82BE" w:rsidR="00390DC7" w:rsidRPr="00370D6D" w:rsidRDefault="00390DC7" w:rsidP="005E5B48">
      <w:pPr>
        <w:pStyle w:val="ListBullet"/>
        <w:ind w:left="306"/>
      </w:pPr>
      <w:r w:rsidRPr="00370D6D">
        <w:t xml:space="preserve">The transmitter would operate in </w:t>
      </w:r>
      <w:r w:rsidR="009933F1" w:rsidRPr="00370D6D">
        <w:t xml:space="preserve">the 3400 to </w:t>
      </w:r>
      <w:r w:rsidR="00E2792D">
        <w:t>3800</w:t>
      </w:r>
      <w:r w:rsidR="00E2792D" w:rsidRPr="00370D6D">
        <w:t xml:space="preserve"> </w:t>
      </w:r>
      <w:r w:rsidR="009933F1" w:rsidRPr="00370D6D">
        <w:t>MHz frequency</w:t>
      </w:r>
      <w:r w:rsidRPr="00370D6D">
        <w:t xml:space="preserve"> range; and</w:t>
      </w:r>
    </w:p>
    <w:p w14:paraId="45E00D91" w14:textId="6DCAF564" w:rsidR="00DD174E" w:rsidRDefault="00DD174E" w:rsidP="00A13EE5">
      <w:pPr>
        <w:pStyle w:val="ListBulletLast"/>
      </w:pPr>
      <w:r>
        <w:t xml:space="preserve">any part of the device boundary of the transmitter lies </w:t>
      </w:r>
      <w:r w:rsidR="00390DC7">
        <w:t xml:space="preserve">inside a geographic area </w:t>
      </w:r>
      <w:r w:rsidR="00A13EE5">
        <w:t xml:space="preserve">defined by </w:t>
      </w:r>
      <w:r w:rsidR="00A13EE5" w:rsidRPr="00707C73">
        <w:rPr>
          <w:i/>
          <w:iCs/>
        </w:rPr>
        <w:t>Table 19: HCIS area description for the 3575–3700 MHz band of the 3.4 GHz spectrum licence space</w:t>
      </w:r>
      <w:r w:rsidR="00A13EE5">
        <w:t>,</w:t>
      </w:r>
      <w:r w:rsidR="00390DC7">
        <w:t xml:space="preserve"> </w:t>
      </w:r>
      <w:r w:rsidR="00A13EE5">
        <w:t xml:space="preserve">as specified in RALI SM26, </w:t>
      </w:r>
      <w:r w:rsidR="00390DC7">
        <w:t xml:space="preserve">for the frequency range in which the transmitter would operate in. </w:t>
      </w:r>
    </w:p>
    <w:p w14:paraId="77545371" w14:textId="73332680" w:rsidR="007C1CA2" w:rsidRDefault="007C1CA2" w:rsidP="005E5B48">
      <w:pPr>
        <w:ind w:left="11"/>
      </w:pPr>
      <w:r>
        <w:t xml:space="preserve">The above </w:t>
      </w:r>
      <w:r w:rsidR="00361A2A">
        <w:t>requirement does not apply if the</w:t>
      </w:r>
      <w:r w:rsidR="00675AB2">
        <w:t xml:space="preserve"> non-compliant part of the</w:t>
      </w:r>
      <w:r w:rsidR="00361A2A">
        <w:t xml:space="preserve"> device boundary falls entirely within an area authorised by a spectrum licence</w:t>
      </w:r>
      <w:r w:rsidR="00675AB2">
        <w:t xml:space="preserve"> </w:t>
      </w:r>
      <w:r w:rsidR="008D2AA3">
        <w:t>(which authorises operation in the frequency range of the proposed transmitter)</w:t>
      </w:r>
      <w:r w:rsidR="00361A2A">
        <w:t>, and there is an active agreement in place with the spectrum licensee. This exception would no longer apply if any relevant spectrum licence is no longer effective in the future (e.g. they have expired or were cancelled).</w:t>
      </w:r>
    </w:p>
    <w:p w14:paraId="5CE1174D" w14:textId="7047B721" w:rsidR="00351664" w:rsidRDefault="00351664" w:rsidP="005E5B48">
      <w:pPr>
        <w:ind w:left="11"/>
      </w:pPr>
      <w:r>
        <w:t>For the purposes of this section, the device boundary is to be calculated in accordance with Part 1 of Schedule 2 of the s.145 determination, with the following amendments:</w:t>
      </w:r>
    </w:p>
    <w:p w14:paraId="445C61A7" w14:textId="53038D32" w:rsidR="00CF0D65" w:rsidRDefault="00CF0D65" w:rsidP="00351664">
      <w:pPr>
        <w:pStyle w:val="ListBullet"/>
      </w:pPr>
      <w:r>
        <w:t>The maximum value of ‘m’ is 800 (max radial length = 200km)</w:t>
      </w:r>
    </w:p>
    <w:p w14:paraId="292AE537" w14:textId="20E32057" w:rsidR="00351664" w:rsidRDefault="00351664" w:rsidP="00351664">
      <w:pPr>
        <w:pStyle w:val="ListBullet"/>
      </w:pPr>
      <w:r>
        <w:t>Level of protection (LOP) is to be set to -115 dBm/MHz;</w:t>
      </w:r>
    </w:p>
    <w:p w14:paraId="71609406" w14:textId="3EFA48C2" w:rsidR="00351664" w:rsidRDefault="00351664" w:rsidP="00351664">
      <w:pPr>
        <w:pStyle w:val="ListBullet"/>
      </w:pPr>
      <w:r>
        <w:lastRenderedPageBreak/>
        <w:t>Nominal receiver antenna gain (G</w:t>
      </w:r>
      <w:r>
        <w:rPr>
          <w:vertAlign w:val="subscript"/>
        </w:rPr>
        <w:t>r</w:t>
      </w:r>
      <w:r>
        <w:t>) is set to 24 dBi;</w:t>
      </w:r>
    </w:p>
    <w:p w14:paraId="02E2BF89" w14:textId="1FD2D706" w:rsidR="00351664" w:rsidRDefault="00351664" w:rsidP="00351664">
      <w:pPr>
        <w:pStyle w:val="ListBullet"/>
      </w:pPr>
      <w:r>
        <w:t>The height of the nominal receiver is set to 30m above ground level.</w:t>
      </w:r>
    </w:p>
    <w:p w14:paraId="65EAED11" w14:textId="4F3E2AFF" w:rsidR="00D6648A" w:rsidRDefault="00D6648A" w:rsidP="005E5B48">
      <w:pPr>
        <w:pStyle w:val="Heading2"/>
        <w:ind w:left="720" w:hanging="709"/>
      </w:pPr>
      <w:bookmarkStart w:id="73" w:name="_Toc90471332"/>
      <w:bookmarkStart w:id="74" w:name="_Toc90475028"/>
      <w:bookmarkStart w:id="75" w:name="_Toc90908629"/>
      <w:bookmarkStart w:id="76" w:name="_Toc90471333"/>
      <w:bookmarkStart w:id="77" w:name="_Toc90475029"/>
      <w:bookmarkStart w:id="78" w:name="_Toc90908630"/>
      <w:bookmarkStart w:id="79" w:name="_Toc82178454"/>
      <w:bookmarkStart w:id="80" w:name="_Toc82180990"/>
      <w:bookmarkStart w:id="81" w:name="_Toc90471334"/>
      <w:bookmarkStart w:id="82" w:name="_Toc90475030"/>
      <w:bookmarkStart w:id="83" w:name="_Toc90908631"/>
      <w:bookmarkStart w:id="84" w:name="_Toc82527180"/>
      <w:bookmarkStart w:id="85" w:name="_Toc90984591"/>
      <w:bookmarkEnd w:id="73"/>
      <w:bookmarkEnd w:id="74"/>
      <w:bookmarkEnd w:id="75"/>
      <w:bookmarkEnd w:id="76"/>
      <w:bookmarkEnd w:id="77"/>
      <w:bookmarkEnd w:id="78"/>
      <w:bookmarkEnd w:id="79"/>
      <w:bookmarkEnd w:id="80"/>
      <w:bookmarkEnd w:id="81"/>
      <w:bookmarkEnd w:id="82"/>
      <w:bookmarkEnd w:id="83"/>
      <w:bookmarkEnd w:id="84"/>
      <w:r>
        <w:t>Coordination with AWL receivers</w:t>
      </w:r>
      <w:bookmarkEnd w:id="85"/>
    </w:p>
    <w:p w14:paraId="1F046A3B" w14:textId="26CFCD39" w:rsidR="006C14BB" w:rsidRPr="006C14BB" w:rsidRDefault="006C14BB" w:rsidP="00707C73">
      <w:r>
        <w:t xml:space="preserve">This section outlines the </w:t>
      </w:r>
      <w:r w:rsidR="007D1458">
        <w:t xml:space="preserve">coordination </w:t>
      </w:r>
      <w:r>
        <w:t xml:space="preserve">procedures for </w:t>
      </w:r>
      <w:r w:rsidR="007D1458">
        <w:t>the protection of</w:t>
      </w:r>
      <w:r>
        <w:t xml:space="preserve"> AWL receivers</w:t>
      </w:r>
      <w:r w:rsidR="001A437A">
        <w:t>. These procedures are t</w:t>
      </w:r>
      <w:r w:rsidR="00702BAE">
        <w:t>o</w:t>
      </w:r>
      <w:r w:rsidR="001A437A">
        <w:t xml:space="preserve"> be followed for all proposed apparatus licensed transmitters</w:t>
      </w:r>
      <w:r w:rsidR="00702BAE">
        <w:t xml:space="preserve"> (except for AWL transmitters exempt from registration)</w:t>
      </w:r>
      <w:r w:rsidR="001A437A">
        <w:t>.</w:t>
      </w:r>
      <w:r>
        <w:t xml:space="preserve"> </w:t>
      </w:r>
    </w:p>
    <w:p w14:paraId="39F0DFBE" w14:textId="6870B697" w:rsidR="006F61E5" w:rsidRDefault="00147AEB" w:rsidP="00707C73">
      <w:pPr>
        <w:pStyle w:val="Heading3"/>
        <w:ind w:left="709" w:hanging="709"/>
      </w:pPr>
      <w:bookmarkStart w:id="86" w:name="_Ref88050056"/>
      <w:r>
        <w:t xml:space="preserve"> </w:t>
      </w:r>
      <w:bookmarkStart w:id="87" w:name="_Toc90984592"/>
      <w:r w:rsidR="00702BAE">
        <w:t>Co-channel coordination</w:t>
      </w:r>
      <w:bookmarkEnd w:id="86"/>
      <w:bookmarkEnd w:id="87"/>
    </w:p>
    <w:p w14:paraId="22E75507" w14:textId="13F6884B" w:rsidR="002B7B2F" w:rsidRDefault="00702BAE" w:rsidP="002B7B2F">
      <w:r>
        <w:t xml:space="preserve">For proposed AWL transmitters, </w:t>
      </w:r>
      <w:r w:rsidR="001F2F06">
        <w:t>co-channel interference to AWL receivers is managed through coordination with the area authorised by an existing AWL (detailed in</w:t>
      </w:r>
      <w:r w:rsidR="001F2F06" w:rsidRPr="001F2F06">
        <w:t xml:space="preserve"> </w:t>
      </w:r>
      <w:r w:rsidR="001F2F06">
        <w:t xml:space="preserve">section </w:t>
      </w:r>
      <w:r w:rsidR="001F2F06">
        <w:fldChar w:fldCharType="begin"/>
      </w:r>
      <w:r w:rsidR="001F2F06">
        <w:instrText xml:space="preserve"> REF _Ref88050638 \r \h </w:instrText>
      </w:r>
      <w:r w:rsidR="001F2F06">
        <w:fldChar w:fldCharType="separate"/>
      </w:r>
      <w:r w:rsidR="001F2F06">
        <w:t>4.1.1</w:t>
      </w:r>
      <w:r w:rsidR="001F2F06">
        <w:fldChar w:fldCharType="end"/>
      </w:r>
      <w:r w:rsidR="001F2F06">
        <w:t xml:space="preserve">) and the synchronisation requirement </w:t>
      </w:r>
      <w:r w:rsidR="00B167DD">
        <w:t>included in the</w:t>
      </w:r>
      <w:r w:rsidR="001F2F06">
        <w:t xml:space="preserve"> AWL LCD.</w:t>
      </w:r>
      <w:r>
        <w:t xml:space="preserve"> </w:t>
      </w:r>
      <w:r w:rsidR="00010B78">
        <w:t>As t</w:t>
      </w:r>
      <w:r w:rsidR="002B7B2F">
        <w:t>he device boundary criterion detailed in section 4.1.1 assumes</w:t>
      </w:r>
      <w:r w:rsidR="001B1471">
        <w:t xml:space="preserve"> that area-adjacent </w:t>
      </w:r>
      <w:r w:rsidR="00010B78">
        <w:t xml:space="preserve">AWL </w:t>
      </w:r>
      <w:r w:rsidR="002B7B2F">
        <w:t xml:space="preserve">services are adhering to the </w:t>
      </w:r>
      <w:r w:rsidR="002B7B2F" w:rsidRPr="00CC5EB6">
        <w:t>synchronisation requirement</w:t>
      </w:r>
      <w:r w:rsidR="00010B78">
        <w:t>,</w:t>
      </w:r>
      <w:r w:rsidR="002B7B2F">
        <w:t xml:space="preserve"> </w:t>
      </w:r>
      <w:r w:rsidR="00010B78">
        <w:t>i</w:t>
      </w:r>
      <w:r w:rsidR="002B7B2F">
        <w:t>f more protection is desired, the</w:t>
      </w:r>
      <w:r w:rsidR="00112885">
        <w:t xml:space="preserve"> AWL</w:t>
      </w:r>
      <w:r w:rsidR="00612474">
        <w:t>-</w:t>
      </w:r>
      <w:r w:rsidR="00112885">
        <w:t>receiver licensee</w:t>
      </w:r>
      <w:r w:rsidR="002B7B2F">
        <w:t xml:space="preserve"> can consider taking out a licence with a larger geographical area. </w:t>
      </w:r>
    </w:p>
    <w:p w14:paraId="4023FAB8" w14:textId="768D48DF" w:rsidR="00775CEC" w:rsidRDefault="00A006D5" w:rsidP="00702BAE">
      <w:r>
        <w:t>For all other apparatus licence types,</w:t>
      </w:r>
      <w:r w:rsidR="007828ED">
        <w:t xml:space="preserve"> </w:t>
      </w:r>
      <w:r w:rsidR="001F2F06">
        <w:t>co-channel interference to AWL receivers is solely managed through coordination with the area authorised by an existing AWL</w:t>
      </w:r>
      <w:r w:rsidR="007D1458">
        <w:t xml:space="preserve"> (i.e. no assumption of synchronisation)</w:t>
      </w:r>
      <w:r w:rsidR="001F2F06">
        <w:t>. T</w:t>
      </w:r>
      <w:r w:rsidR="007828ED">
        <w:t xml:space="preserve">he proposed transmitter </w:t>
      </w:r>
      <w:r w:rsidR="00775CEC">
        <w:t xml:space="preserve">will be considered to cause interference if the device boundary of the transmitter, calculated using the </w:t>
      </w:r>
      <w:r w:rsidR="00C72697">
        <w:t xml:space="preserve">device boundary </w:t>
      </w:r>
      <w:r w:rsidR="00775CEC">
        <w:t>criter</w:t>
      </w:r>
      <w:r w:rsidR="00C72697">
        <w:t>ion</w:t>
      </w:r>
      <w:r w:rsidR="00147AEB">
        <w:t xml:space="preserve"> in </w:t>
      </w:r>
      <w:r w:rsidR="00147AEB" w:rsidRPr="00954080">
        <w:t>section 4.1.</w:t>
      </w:r>
      <w:r w:rsidR="002B7B2F">
        <w:t>2</w:t>
      </w:r>
      <w:r w:rsidR="00775CEC">
        <w:t>, intrude</w:t>
      </w:r>
      <w:r w:rsidR="00B25CCD">
        <w:t>s</w:t>
      </w:r>
      <w:r w:rsidR="00775CEC">
        <w:t xml:space="preserve"> into the area of a co-channel AWL.</w:t>
      </w:r>
    </w:p>
    <w:p w14:paraId="1C7070CF" w14:textId="4E7F3121" w:rsidR="000C3854" w:rsidRDefault="007D1458" w:rsidP="00707C73">
      <w:pPr>
        <w:pStyle w:val="Heading3"/>
        <w:ind w:left="709" w:hanging="709"/>
      </w:pPr>
      <w:bookmarkStart w:id="88" w:name="_Toc90984593"/>
      <w:r>
        <w:t>Adjacent-channel c</w:t>
      </w:r>
      <w:r w:rsidR="00D50669">
        <w:t>oordination</w:t>
      </w:r>
      <w:bookmarkEnd w:id="88"/>
    </w:p>
    <w:p w14:paraId="43237531" w14:textId="17953D71" w:rsidR="00D6648A" w:rsidRDefault="00D6648A" w:rsidP="006C14BB">
      <w:pPr>
        <w:ind w:left="11"/>
      </w:pPr>
      <w:r>
        <w:t>Licensees planning to deploy radiocommunications transmitters</w:t>
      </w:r>
      <w:r w:rsidR="00126C63">
        <w:t xml:space="preserve"> under an apparatus licence</w:t>
      </w:r>
      <w:r>
        <w:rPr>
          <w:rFonts w:cs="Arial"/>
        </w:rPr>
        <w:t xml:space="preserve"> </w:t>
      </w:r>
      <w:r>
        <w:t>must have regard to</w:t>
      </w:r>
      <w:r w:rsidR="00126C63">
        <w:t xml:space="preserve"> 3400-4000 MHz band</w:t>
      </w:r>
      <w:r>
        <w:t xml:space="preserve"> AWL receivers that are recorded in the RRL</w:t>
      </w:r>
      <w:r w:rsidR="00B167DD">
        <w:t xml:space="preserve"> and </w:t>
      </w:r>
      <w:r w:rsidR="001C2BEC">
        <w:t xml:space="preserve">are </w:t>
      </w:r>
      <w:r w:rsidR="00B167DD">
        <w:t>operating on adjacent frequencies</w:t>
      </w:r>
      <w:r w:rsidR="00A07825">
        <w:t>.</w:t>
      </w:r>
      <w:r>
        <w:t xml:space="preserve"> The coordination performed must: </w:t>
      </w:r>
    </w:p>
    <w:p w14:paraId="4253A920" w14:textId="508C0BC9" w:rsidR="00D6648A" w:rsidRDefault="00D6648A" w:rsidP="005E5B48">
      <w:pPr>
        <w:pStyle w:val="ListBullet"/>
        <w:ind w:left="306"/>
      </w:pPr>
      <w:r>
        <w:t xml:space="preserve">use the </w:t>
      </w:r>
      <w:r w:rsidRPr="00615A1B">
        <w:t>param</w:t>
      </w:r>
      <w:r>
        <w:t>e</w:t>
      </w:r>
      <w:r w:rsidRPr="00615A1B">
        <w:t>ters</w:t>
      </w:r>
      <w:r>
        <w:t xml:space="preserve"> of the radiocommunications receivers as recorded in the Register</w:t>
      </w:r>
      <w:r w:rsidR="00152359">
        <w:t>;</w:t>
      </w:r>
    </w:p>
    <w:p w14:paraId="1E8BFFAD" w14:textId="035A30D4" w:rsidR="00D6648A" w:rsidRPr="005028A5" w:rsidRDefault="00D6648A" w:rsidP="005E5B48">
      <w:pPr>
        <w:pStyle w:val="ListBullet"/>
        <w:ind w:left="306"/>
      </w:pPr>
      <w:r>
        <w:t xml:space="preserve">use the compatibility requirement set out in Schedule 2 of the </w:t>
      </w:r>
      <w:r w:rsidRPr="00976810">
        <w:rPr>
          <w:i/>
          <w:szCs w:val="22"/>
        </w:rPr>
        <w:t xml:space="preserve">Radiocommunications Advisory Guidelines (Managing Interference to Spectrum Licensed Receivers — </w:t>
      </w:r>
      <w:r w:rsidR="00847992" w:rsidRPr="00976810">
        <w:rPr>
          <w:i/>
          <w:szCs w:val="22"/>
        </w:rPr>
        <w:t>3.4</w:t>
      </w:r>
      <w:r w:rsidRPr="00976810">
        <w:rPr>
          <w:i/>
          <w:szCs w:val="22"/>
        </w:rPr>
        <w:t xml:space="preserve"> GHz Band) 20</w:t>
      </w:r>
      <w:r w:rsidR="00847992" w:rsidRPr="00976810">
        <w:rPr>
          <w:i/>
          <w:szCs w:val="22"/>
        </w:rPr>
        <w:t>15</w:t>
      </w:r>
      <w:r w:rsidRPr="005028A5">
        <w:rPr>
          <w:szCs w:val="22"/>
        </w:rPr>
        <w:t xml:space="preserve"> </w:t>
      </w:r>
      <w:r w:rsidR="00772BA3">
        <w:rPr>
          <w:szCs w:val="22"/>
        </w:rPr>
        <w:t xml:space="preserve">(RAG Rx) </w:t>
      </w:r>
      <w:r w:rsidRPr="005028A5">
        <w:rPr>
          <w:szCs w:val="22"/>
        </w:rPr>
        <w:t>as in force from time to time</w:t>
      </w:r>
      <w:r w:rsidR="00AD31E3">
        <w:rPr>
          <w:szCs w:val="22"/>
        </w:rPr>
        <w:t xml:space="preserve"> and interpret that it also applies to AWL receivers as well as spectrum licenced receivers</w:t>
      </w:r>
      <w:r w:rsidRPr="005028A5">
        <w:rPr>
          <w:szCs w:val="22"/>
        </w:rPr>
        <w:t>;</w:t>
      </w:r>
    </w:p>
    <w:p w14:paraId="61F50E80" w14:textId="31E9BDF2" w:rsidR="00152359" w:rsidRPr="00772BA3" w:rsidRDefault="00EE0053" w:rsidP="00152359">
      <w:pPr>
        <w:pStyle w:val="ListBullet"/>
      </w:pPr>
      <w:r w:rsidRPr="00152359">
        <w:t xml:space="preserve">use </w:t>
      </w:r>
      <w:r w:rsidR="00D6648A" w:rsidRPr="00152359">
        <w:t>the notional receiver performance level set out in Schedule 1 of</w:t>
      </w:r>
      <w:r w:rsidR="00772BA3" w:rsidRPr="00152359">
        <w:t xml:space="preserve"> RAG Rx</w:t>
      </w:r>
      <w:r w:rsidR="00D6648A" w:rsidRPr="00152359">
        <w:t>, is to be used for coordination purposes</w:t>
      </w:r>
      <w:r w:rsidR="00AD31E3" w:rsidRPr="00152359">
        <w:t xml:space="preserve"> for AWL receivers</w:t>
      </w:r>
      <w:r w:rsidR="00D6648A" w:rsidRPr="00152359">
        <w:t>.</w:t>
      </w:r>
      <w:r w:rsidRPr="00152359">
        <w:t xml:space="preserve"> It is noted that licensees can choose to deploy equipment that does not meet this minimum level or performance. However, in this case, licensees must then be prepared to accept a higher level of interference as all coordination will be based on the notional receiver performance.  </w:t>
      </w:r>
      <w:r w:rsidR="00152359" w:rsidRPr="00152359">
        <w:t xml:space="preserve">For application of the receiver blocking, the frequency range in subsection 5(a) of schedule 1 of RAG Rx should be replaced with </w:t>
      </w:r>
      <w:r w:rsidR="00F52D7E">
        <w:rPr>
          <w:i/>
          <w:iCs/>
        </w:rPr>
        <w:t>3340-4060</w:t>
      </w:r>
      <w:r w:rsidR="00F52D7E" w:rsidRPr="00955132">
        <w:rPr>
          <w:i/>
          <w:iCs/>
        </w:rPr>
        <w:t xml:space="preserve"> </w:t>
      </w:r>
      <w:r w:rsidR="00152359" w:rsidRPr="00152359">
        <w:t>MHz;</w:t>
      </w:r>
    </w:p>
    <w:p w14:paraId="4FB00F0D" w14:textId="77777777" w:rsidR="00D6648A" w:rsidRDefault="00D6648A" w:rsidP="005E5B48">
      <w:pPr>
        <w:pStyle w:val="ListBullet"/>
        <w:ind w:left="306"/>
      </w:pPr>
      <w:r>
        <w:t>make use of a suitable propagation model to model path loss between the fixed transmitters and radiocommunications receivers;</w:t>
      </w:r>
      <w:r>
        <w:rPr>
          <w:rStyle w:val="FootnoteReference"/>
        </w:rPr>
        <w:footnoteReference w:id="4"/>
      </w:r>
    </w:p>
    <w:p w14:paraId="303E4ACD" w14:textId="77777777" w:rsidR="00D6648A" w:rsidRDefault="00D6648A" w:rsidP="005E5B48">
      <w:pPr>
        <w:pStyle w:val="ListBullet"/>
        <w:ind w:left="306"/>
      </w:pPr>
      <w:r>
        <w:t>take into account terrain and any other relevant factors (using a 3 second digital elevation model or better); and</w:t>
      </w:r>
    </w:p>
    <w:p w14:paraId="60C87595" w14:textId="77777777" w:rsidR="00D6648A" w:rsidRDefault="00D6648A" w:rsidP="005E5B48">
      <w:pPr>
        <w:pStyle w:val="ListBulletLast"/>
        <w:ind w:left="306"/>
      </w:pPr>
      <w:r>
        <w:t>consider any special conditions and/or advisory notes which are included on the relevant licences.</w:t>
      </w:r>
    </w:p>
    <w:p w14:paraId="0553D08A" w14:textId="07DCA8A1" w:rsidR="00D6648A" w:rsidRDefault="00D6648A" w:rsidP="005E5B48">
      <w:pPr>
        <w:spacing w:after="120"/>
        <w:ind w:left="11"/>
      </w:pPr>
      <w:r>
        <w:lastRenderedPageBreak/>
        <w:t>In the event that the above coordination indicates that interference may occur, the licensee</w:t>
      </w:r>
      <w:r w:rsidR="00E13923">
        <w:t xml:space="preserve"> of the proposed transmitter</w:t>
      </w:r>
      <w:r>
        <w:t xml:space="preserve"> should consider: </w:t>
      </w:r>
    </w:p>
    <w:p w14:paraId="7B73F7D3" w14:textId="5ADBE806" w:rsidR="00D6648A" w:rsidRDefault="00D6648A" w:rsidP="005E5B48">
      <w:pPr>
        <w:pStyle w:val="ListBullet"/>
        <w:ind w:left="306"/>
      </w:pPr>
      <w:r>
        <w:rPr>
          <w:lang w:eastAsia="en-US"/>
        </w:rPr>
        <w:t xml:space="preserve">replanning the deployment of the </w:t>
      </w:r>
      <w:r>
        <w:t>transmitter</w:t>
      </w:r>
      <w:r>
        <w:rPr>
          <w:lang w:eastAsia="en-US"/>
        </w:rPr>
        <w:t xml:space="preserve"> to avoid causing harmful interference; or</w:t>
      </w:r>
    </w:p>
    <w:p w14:paraId="2AF7549C" w14:textId="77777777" w:rsidR="00D6648A" w:rsidRDefault="00D6648A" w:rsidP="005E5B48">
      <w:pPr>
        <w:pStyle w:val="ListBulletLast"/>
        <w:ind w:left="306"/>
      </w:pPr>
      <w:r>
        <w:rPr>
          <w:lang w:eastAsia="en-US"/>
        </w:rPr>
        <w:t xml:space="preserve">negotiating with the licensee of the affected receiver to find a resolution. </w:t>
      </w:r>
    </w:p>
    <w:p w14:paraId="408026F3" w14:textId="77777777" w:rsidR="00715C42" w:rsidRDefault="00D6648A" w:rsidP="005E5B48">
      <w:pPr>
        <w:spacing w:after="120"/>
        <w:ind w:left="11"/>
      </w:pPr>
      <w:r w:rsidRPr="00D90692">
        <w:t xml:space="preserve">In the event </w:t>
      </w:r>
      <w:r>
        <w:t>that</w:t>
      </w:r>
      <w:r w:rsidRPr="00D90692">
        <w:t xml:space="preserve"> </w:t>
      </w:r>
      <w:r>
        <w:t xml:space="preserve">replanning the deployment </w:t>
      </w:r>
      <w:r w:rsidRPr="00D90692">
        <w:t>is not possible</w:t>
      </w:r>
      <w:r>
        <w:t xml:space="preserve"> and a negotiated resolution cannot be reached</w:t>
      </w:r>
      <w:r w:rsidR="00715C42">
        <w:t>:</w:t>
      </w:r>
    </w:p>
    <w:p w14:paraId="5987B459" w14:textId="416107DE" w:rsidR="00D6648A" w:rsidRDefault="00715C42" w:rsidP="00715C42">
      <w:pPr>
        <w:pStyle w:val="ListBullet"/>
      </w:pPr>
      <w:r>
        <w:t>for proposed AWL transmitters:</w:t>
      </w:r>
      <w:r w:rsidR="00847992">
        <w:t xml:space="preserve"> </w:t>
      </w:r>
      <w:r w:rsidR="00D6648A" w:rsidRPr="00D90692">
        <w:t xml:space="preserve">interference is managed in accordance with </w:t>
      </w:r>
      <w:r w:rsidR="00D6648A">
        <w:t>the</w:t>
      </w:r>
      <w:r w:rsidR="00D6648A" w:rsidRPr="00D90692">
        <w:t xml:space="preserve"> </w:t>
      </w:r>
      <w:r w:rsidR="00D6648A" w:rsidRPr="00CC5EB6">
        <w:t>synchronisation requirement</w:t>
      </w:r>
      <w:r w:rsidR="00D6648A" w:rsidRPr="00A04EC1">
        <w:rPr>
          <w:i/>
        </w:rPr>
        <w:t xml:space="preserve"> </w:t>
      </w:r>
      <w:r w:rsidR="00D6648A" w:rsidRPr="00C704CA">
        <w:t xml:space="preserve">condition included in the </w:t>
      </w:r>
      <w:r w:rsidR="00D6648A">
        <w:t>AWL LCD</w:t>
      </w:r>
      <w:r w:rsidR="00D6648A" w:rsidRPr="00C704CA">
        <w:t xml:space="preserve">, unless other arrangements are agreed to by </w:t>
      </w:r>
      <w:r w:rsidR="00D6648A">
        <w:t xml:space="preserve">the affected </w:t>
      </w:r>
      <w:r w:rsidR="00D6648A" w:rsidRPr="00C704CA">
        <w:t>licensees</w:t>
      </w:r>
      <w:r w:rsidR="00D6648A" w:rsidRPr="00C058E8">
        <w:t>.</w:t>
      </w:r>
    </w:p>
    <w:p w14:paraId="4082DCE0" w14:textId="74E5B8CE" w:rsidR="00715C42" w:rsidRDefault="00715C42" w:rsidP="00707C73">
      <w:pPr>
        <w:pStyle w:val="ListBulletLast"/>
      </w:pPr>
      <w:r>
        <w:t xml:space="preserve">For all other proposed apparatus-licensed transmitters: the proposed licence must not be issued. </w:t>
      </w:r>
    </w:p>
    <w:p w14:paraId="2A7D76BA" w14:textId="77777777" w:rsidR="00D6648A" w:rsidRDefault="00D6648A" w:rsidP="005E5B48">
      <w:pPr>
        <w:ind w:left="11"/>
        <w:rPr>
          <w:sz w:val="20"/>
          <w:szCs w:val="20"/>
        </w:rPr>
      </w:pPr>
      <w:r w:rsidRPr="000B762D">
        <w:rPr>
          <w:i/>
          <w:sz w:val="20"/>
          <w:szCs w:val="20"/>
        </w:rPr>
        <w:t>Note:</w:t>
      </w:r>
      <w:r w:rsidRPr="000B762D">
        <w:rPr>
          <w:i/>
          <w:sz w:val="20"/>
          <w:szCs w:val="20"/>
        </w:rPr>
        <w:tab/>
      </w:r>
      <w:r w:rsidRPr="000B762D">
        <w:rPr>
          <w:sz w:val="20"/>
          <w:szCs w:val="20"/>
        </w:rPr>
        <w:t>For a device with an active antenna system, the radiated power in the direction of a receiver operated under another licence is defined as the sum of the gain of the antenna in the direction of the receiver (accounting for azimuth and elevation) and the Total Radiated Power (dBm). This allowance is based on the assumption that beam pointing angles and/or power can be controlled dynamically to ensure a defined level of radiated power in a specific direction is not exceeded.</w:t>
      </w:r>
    </w:p>
    <w:p w14:paraId="3DB0865F" w14:textId="2898E0CF" w:rsidR="00B344C6" w:rsidRDefault="00B344C6" w:rsidP="005E5B48">
      <w:pPr>
        <w:ind w:left="11"/>
      </w:pPr>
      <w:r>
        <w:t xml:space="preserve">This same procedure detailed above, should also be used when planning to deploy radiocommunications receivers (other than earth receive stations) in the 3400-4000 MHz band under an </w:t>
      </w:r>
      <w:r>
        <w:rPr>
          <w:rFonts w:cs="Arial"/>
        </w:rPr>
        <w:t>AWL.</w:t>
      </w:r>
    </w:p>
    <w:p w14:paraId="2F389ADD" w14:textId="1E2C6CA2" w:rsidR="009C012D" w:rsidRPr="006F61E5" w:rsidRDefault="00D6648A" w:rsidP="00262030">
      <w:pPr>
        <w:ind w:left="11"/>
      </w:pPr>
      <w:r>
        <w:t>The ACMA will take these coordination procedures into account when resolving an interference dispute.</w:t>
      </w:r>
    </w:p>
    <w:p w14:paraId="0BBB1B9E" w14:textId="20A86BD5" w:rsidR="00C14CC0" w:rsidRDefault="00C14CC0">
      <w:pPr>
        <w:pStyle w:val="Heading2"/>
        <w:ind w:left="720" w:hanging="709"/>
      </w:pPr>
      <w:bookmarkStart w:id="89" w:name="_Toc90984594"/>
      <w:r>
        <w:t>Registration of AWL receivers</w:t>
      </w:r>
      <w:bookmarkEnd w:id="89"/>
    </w:p>
    <w:p w14:paraId="59610296" w14:textId="061DB606" w:rsidR="00C14CC0" w:rsidRDefault="00C14CC0" w:rsidP="00C14CC0">
      <w:r>
        <w:t xml:space="preserve">AWL receivers, </w:t>
      </w:r>
      <w:r w:rsidR="007B2801">
        <w:t xml:space="preserve">noting that </w:t>
      </w:r>
      <w:r>
        <w:t xml:space="preserve">earth receive stations </w:t>
      </w:r>
      <w:r w:rsidR="007B2801">
        <w:t>are prohibited,</w:t>
      </w:r>
      <w:r>
        <w:t xml:space="preserve"> are not required to be registered before operation, however, registration of fixed receivers is encouraged as only registered devices will be afforded protection.</w:t>
      </w:r>
    </w:p>
    <w:p w14:paraId="4BE75055" w14:textId="1FEDFBE2" w:rsidR="00283AE3" w:rsidRPr="00321CA0" w:rsidRDefault="00C14CC0" w:rsidP="00707C73">
      <w:r>
        <w:t xml:space="preserve">There are </w:t>
      </w:r>
      <w:r w:rsidRPr="003912D7">
        <w:t>no</w:t>
      </w:r>
      <w:r>
        <w:t xml:space="preserve"> coordination </w:t>
      </w:r>
      <w:r w:rsidRPr="003912D7">
        <w:t>procedure</w:t>
      </w:r>
      <w:r>
        <w:t>s</w:t>
      </w:r>
      <w:r w:rsidRPr="003912D7">
        <w:t xml:space="preserve"> </w:t>
      </w:r>
      <w:r w:rsidR="005230E4">
        <w:t>(other than the requirements detailed in section 4.2) defined</w:t>
      </w:r>
      <w:r w:rsidRPr="003912D7">
        <w:t xml:space="preserve"> for the protection for AWL receivers</w:t>
      </w:r>
      <w:r>
        <w:t xml:space="preserve"> </w:t>
      </w:r>
      <w:r w:rsidR="005230E4">
        <w:t>from existing apparatus licensed services.</w:t>
      </w:r>
      <w:r w:rsidRPr="003912D7">
        <w:t xml:space="preserve"> Prospective licensees should assess the risk of interference from existing services before deploying services</w:t>
      </w:r>
      <w:r w:rsidR="005230E4">
        <w:t xml:space="preserve"> – also see the advisory note detailed in section 3.2.2</w:t>
      </w:r>
      <w:r w:rsidRPr="003912D7">
        <w:t>.</w:t>
      </w:r>
      <w:r w:rsidR="007B2801" w:rsidRPr="00C14CC0" w:rsidDel="007B2801">
        <w:t xml:space="preserve"> </w:t>
      </w:r>
      <w:bookmarkStart w:id="90" w:name="_Hlk54161169"/>
    </w:p>
    <w:p w14:paraId="02EE0BC4" w14:textId="5CCBF7B2" w:rsidR="00147C6C" w:rsidRPr="00D62118" w:rsidRDefault="009B0F3B" w:rsidP="005E5B48">
      <w:pPr>
        <w:pStyle w:val="Heading2"/>
        <w:ind w:left="720" w:hanging="709"/>
      </w:pPr>
      <w:bookmarkStart w:id="91" w:name="_Toc90984595"/>
      <w:r>
        <w:t>Coordination requirements contained in other RALIs</w:t>
      </w:r>
      <w:bookmarkEnd w:id="91"/>
    </w:p>
    <w:p w14:paraId="46D0BF78" w14:textId="63ADE7A1" w:rsidR="00631000" w:rsidRDefault="00147C6C" w:rsidP="005E5B48">
      <w:pPr>
        <w:ind w:left="11"/>
      </w:pPr>
      <w:r>
        <w:t xml:space="preserve">AWL transmitters that are required to be registered must be coordinated with existing receivers from other </w:t>
      </w:r>
      <w:r w:rsidR="00243559">
        <w:t xml:space="preserve">licensed </w:t>
      </w:r>
      <w:r>
        <w:t xml:space="preserve">services. The details of an AWL transmitter must not be included in the RRL if the protection and coordination requirements of receivers of other services are not met. These requirements are detailed in the individual RALIs for those services which are available from the </w:t>
      </w:r>
      <w:hyperlink r:id="rId35" w:history="1">
        <w:r w:rsidRPr="00D92829">
          <w:rPr>
            <w:rStyle w:val="Hyperlink"/>
            <w:i/>
            <w:iCs/>
          </w:rPr>
          <w:t>RALIs</w:t>
        </w:r>
      </w:hyperlink>
      <w:r>
        <w:t xml:space="preserve"> page of the ACMA website. Note that some RALIs provide protection for geographic areas rather than an individual service.</w:t>
      </w:r>
    </w:p>
    <w:p w14:paraId="7697439A" w14:textId="77777777" w:rsidR="00147C6C" w:rsidRDefault="00147C6C" w:rsidP="005E5B48">
      <w:pPr>
        <w:keepNext/>
        <w:spacing w:after="120"/>
        <w:ind w:left="11"/>
      </w:pPr>
      <w:r>
        <w:t>Applicable RALIs to consider include, but are not limited to:</w:t>
      </w:r>
    </w:p>
    <w:p w14:paraId="24095078" w14:textId="0E8460FA" w:rsidR="00147C6C" w:rsidRDefault="00147C6C" w:rsidP="005E5B48">
      <w:pPr>
        <w:pStyle w:val="ListBullet"/>
        <w:keepNext/>
        <w:ind w:left="306"/>
      </w:pPr>
      <w:r>
        <w:t xml:space="preserve">For fixed links, refer to </w:t>
      </w:r>
      <w:hyperlink r:id="rId36" w:history="1">
        <w:r w:rsidRPr="00D92829">
          <w:rPr>
            <w:rStyle w:val="Hyperlink"/>
            <w:i/>
            <w:iCs/>
          </w:rPr>
          <w:t>RALI FX3</w:t>
        </w:r>
      </w:hyperlink>
      <w:r>
        <w:t>.</w:t>
      </w:r>
      <w:r w:rsidR="00AA742E">
        <w:t xml:space="preserve"> </w:t>
      </w:r>
      <w:r w:rsidR="000D1C60">
        <w:t xml:space="preserve">The applicable protection ratios for the coordination of </w:t>
      </w:r>
      <w:r w:rsidR="00AA742E">
        <w:t>AWL transmitters</w:t>
      </w:r>
      <w:r w:rsidR="000D1C60">
        <w:t xml:space="preserve"> with fixed link receivers are detailed in </w:t>
      </w:r>
      <w:r w:rsidR="00AA742E">
        <w:t>Appendix 1 of RALI FX3.</w:t>
      </w:r>
      <w:r>
        <w:t xml:space="preserve"> In this instance the size of the first adjacent channel is defined as being the larger bandwidth of the two services being coordinated.</w:t>
      </w:r>
      <w:r w:rsidR="000B199F" w:rsidRPr="000B199F">
        <w:t xml:space="preserve"> </w:t>
      </w:r>
    </w:p>
    <w:p w14:paraId="1460D70D" w14:textId="77777777" w:rsidR="00147C6C" w:rsidRDefault="00147C6C" w:rsidP="005E5B48">
      <w:pPr>
        <w:pStyle w:val="ListBullet"/>
        <w:ind w:left="306"/>
      </w:pPr>
      <w:r>
        <w:t xml:space="preserve">For earth station protection zones (ESPZs), refer to </w:t>
      </w:r>
      <w:hyperlink r:id="rId37" w:history="1">
        <w:r w:rsidRPr="00D92829">
          <w:rPr>
            <w:rStyle w:val="Hyperlink"/>
            <w:i/>
            <w:iCs/>
          </w:rPr>
          <w:t>RALI MS44</w:t>
        </w:r>
      </w:hyperlink>
      <w:r>
        <w:t>.</w:t>
      </w:r>
    </w:p>
    <w:p w14:paraId="6226BDD3" w14:textId="4F288E93" w:rsidR="00147C6C" w:rsidRDefault="00147C6C" w:rsidP="005E5B48">
      <w:pPr>
        <w:pStyle w:val="ListBullet"/>
        <w:keepNext/>
        <w:ind w:left="306"/>
      </w:pPr>
      <w:r>
        <w:lastRenderedPageBreak/>
        <w:t xml:space="preserve">For the Australian Radio Quite Zone in Western Australia (ARQZWA), refer to </w:t>
      </w:r>
      <w:hyperlink r:id="rId38" w:history="1">
        <w:r w:rsidRPr="00D92829">
          <w:rPr>
            <w:rStyle w:val="Hyperlink"/>
            <w:i/>
            <w:iCs/>
          </w:rPr>
          <w:t>RALI MS32</w:t>
        </w:r>
      </w:hyperlink>
      <w:r w:rsidRPr="00D92829">
        <w:t>.</w:t>
      </w:r>
    </w:p>
    <w:p w14:paraId="449147D6" w14:textId="77777777" w:rsidR="00147C6C" w:rsidRDefault="00147C6C" w:rsidP="005E5B48">
      <w:pPr>
        <w:ind w:left="11"/>
      </w:pPr>
      <w:r>
        <w:t xml:space="preserve">Details of existing services for performing coordination calculations can be found on the </w:t>
      </w:r>
      <w:hyperlink r:id="rId39" w:history="1">
        <w:r w:rsidRPr="005E6A8F">
          <w:rPr>
            <w:rStyle w:val="Hyperlink"/>
            <w:i/>
            <w:iCs/>
          </w:rPr>
          <w:t>Register of Radiocommunications Licences</w:t>
        </w:r>
      </w:hyperlink>
      <w:r>
        <w:t xml:space="preserve"> (RRL) page of the ACMA website.</w:t>
      </w:r>
    </w:p>
    <w:p w14:paraId="147DC07A" w14:textId="5F51FA86" w:rsidR="00147C6C" w:rsidRDefault="00147C6C" w:rsidP="005E5B48">
      <w:pPr>
        <w:ind w:left="11"/>
      </w:pPr>
      <w:r>
        <w:t xml:space="preserve">Some services that require protection from AWL transmitters do not have RALIs.  The coordination requirements for these services are detailed later in this </w:t>
      </w:r>
      <w:r w:rsidR="007D18B7">
        <w:t>RALI</w:t>
      </w:r>
      <w:r>
        <w:t>.</w:t>
      </w:r>
    </w:p>
    <w:p w14:paraId="0BB08CF0" w14:textId="47EA2991" w:rsidR="00631000" w:rsidRDefault="00631000" w:rsidP="005E5B48">
      <w:pPr>
        <w:ind w:left="11"/>
      </w:pPr>
    </w:p>
    <w:p w14:paraId="374DC9BC" w14:textId="47689F12" w:rsidR="00147C6C" w:rsidRPr="00D62118" w:rsidRDefault="00147C6C" w:rsidP="005E5B48">
      <w:pPr>
        <w:pStyle w:val="Heading3"/>
        <w:ind w:left="720" w:hanging="709"/>
      </w:pPr>
      <w:bookmarkStart w:id="92" w:name="_Toc90984596"/>
      <w:r w:rsidRPr="00D62118">
        <w:t xml:space="preserve">Protection from </w:t>
      </w:r>
      <w:r w:rsidR="00FF007D">
        <w:t>AWL transmitters that are registration exempt</w:t>
      </w:r>
      <w:bookmarkEnd w:id="92"/>
    </w:p>
    <w:p w14:paraId="3E40FABA" w14:textId="73D773D8" w:rsidR="00147C6C" w:rsidRDefault="00147C6C" w:rsidP="005E5B48">
      <w:pPr>
        <w:ind w:left="11"/>
      </w:pPr>
      <w:r w:rsidRPr="00663EAE">
        <w:t xml:space="preserve">If the proposed </w:t>
      </w:r>
      <w:r w:rsidR="00327CDB">
        <w:t>AWL</w:t>
      </w:r>
      <w:r w:rsidRPr="00663EAE">
        <w:t xml:space="preserve"> base station site is within 20</w:t>
      </w:r>
      <w:r>
        <w:t> </w:t>
      </w:r>
      <w:r w:rsidRPr="00663EAE">
        <w:t xml:space="preserve">km of a receiver from another service that requires protection, not including ESPZs, detailed coordination is required. Coordination is deemed to be successful if it can be shown that the coverage area of the </w:t>
      </w:r>
      <w:r w:rsidR="001A6D4A">
        <w:t xml:space="preserve">AWL </w:t>
      </w:r>
      <w:r w:rsidRPr="00663EAE">
        <w:t xml:space="preserve">system does not overlap the interference zone of the receiver (where the receiver is provided protection to the levels defined in the RALI that the receiver is coordinated by).  </w:t>
      </w:r>
      <w:r w:rsidRPr="006130BC">
        <w:t xml:space="preserve">Refer to </w:t>
      </w:r>
      <w:hyperlink w:anchor="AppendixE" w:history="1">
        <w:r w:rsidRPr="005E5B48">
          <w:t xml:space="preserve">Appendix </w:t>
        </w:r>
      </w:hyperlink>
      <w:r w:rsidR="003D5960">
        <w:t>B</w:t>
      </w:r>
      <w:r w:rsidR="008C543A" w:rsidRPr="006130BC">
        <w:t xml:space="preserve"> </w:t>
      </w:r>
      <w:r w:rsidRPr="006130BC">
        <w:t>for</w:t>
      </w:r>
      <w:r w:rsidRPr="00663EAE">
        <w:t xml:space="preserve"> details.</w:t>
      </w:r>
    </w:p>
    <w:p w14:paraId="5DDF8BB5" w14:textId="318CA202" w:rsidR="00147C6C" w:rsidRDefault="00147C6C" w:rsidP="005E5B48">
      <w:pPr>
        <w:ind w:left="11"/>
      </w:pPr>
      <w:r>
        <w:t xml:space="preserve">Note that this does not completely remove the risk of interference from </w:t>
      </w:r>
      <w:r w:rsidR="007D18B7">
        <w:t>registration exempt transmitters</w:t>
      </w:r>
      <w:r>
        <w:t>.  Licensees should use judgement to assess</w:t>
      </w:r>
      <w:r w:rsidR="008048E5">
        <w:t xml:space="preserve"> transmitters that have</w:t>
      </w:r>
      <w:r>
        <w:t xml:space="preserve"> a high potential to cause interference such as those on hills higher than the associated base station.  In the event that interference occurs</w:t>
      </w:r>
      <w:r w:rsidR="00151FB0">
        <w:t xml:space="preserve"> the AWL LCD contains a condition that transmitters exempt from registration must not cause interference to other services.</w:t>
      </w:r>
    </w:p>
    <w:p w14:paraId="23878FAD" w14:textId="77777777" w:rsidR="00147C6C" w:rsidRDefault="00147C6C" w:rsidP="005E5B48">
      <w:pPr>
        <w:ind w:left="11"/>
      </w:pPr>
    </w:p>
    <w:p w14:paraId="12D33D23" w14:textId="078908CD" w:rsidR="00CB3B0A" w:rsidRDefault="00CB3B0A" w:rsidP="005E5B48">
      <w:pPr>
        <w:pStyle w:val="Heading2"/>
        <w:ind w:left="720" w:hanging="709"/>
      </w:pPr>
      <w:bookmarkStart w:id="93" w:name="_Toc90984597"/>
      <w:bookmarkEnd w:id="90"/>
      <w:r>
        <w:t xml:space="preserve">Coexistence with </w:t>
      </w:r>
      <w:r w:rsidR="004E1CC5">
        <w:t xml:space="preserve">incumbent </w:t>
      </w:r>
      <w:r>
        <w:t xml:space="preserve">point to </w:t>
      </w:r>
      <w:r w:rsidR="000A5B31">
        <w:t>multi</w:t>
      </w:r>
      <w:r>
        <w:t>point services</w:t>
      </w:r>
      <w:bookmarkEnd w:id="93"/>
    </w:p>
    <w:p w14:paraId="33C28D51" w14:textId="7B2FE24B" w:rsidR="00296CB3" w:rsidRDefault="00296CB3" w:rsidP="005E5B48">
      <w:pPr>
        <w:ind w:left="11"/>
      </w:pPr>
      <w:r>
        <w:t>This section outlines the requirements for the protection of existing point to multipoint services</w:t>
      </w:r>
      <w:r w:rsidR="00B6721D">
        <w:t xml:space="preserve"> from transmitters operated under an AWL</w:t>
      </w:r>
      <w:r>
        <w:t>.</w:t>
      </w:r>
      <w:r w:rsidR="007F0BE2">
        <w:t xml:space="preserve"> </w:t>
      </w:r>
      <w:r w:rsidR="00B6721D">
        <w:t>This coordination procedure is also to be used when coordinating spectrum licensed transmitters with existing point to multipoint receivers.</w:t>
      </w:r>
    </w:p>
    <w:p w14:paraId="32655F7A" w14:textId="2F2359DE" w:rsidR="00296CB3" w:rsidRPr="003912D7" w:rsidRDefault="009B5F76" w:rsidP="005E5B48">
      <w:pPr>
        <w:ind w:left="11"/>
      </w:pPr>
      <w:r w:rsidRPr="003912D7">
        <w:t xml:space="preserve">As no new </w:t>
      </w:r>
      <w:r w:rsidR="004B3841" w:rsidRPr="005E5B48">
        <w:t>point to multipoint</w:t>
      </w:r>
      <w:r w:rsidRPr="003912D7">
        <w:t xml:space="preserve"> licences are to be issued in the 3400-4000 MHz range</w:t>
      </w:r>
      <w:r w:rsidR="00A361DA">
        <w:t xml:space="preserve"> in areas where AWLs are available</w:t>
      </w:r>
      <w:r w:rsidR="00243559">
        <w:t xml:space="preserve"> (i.e. as detailed at Appendix A)</w:t>
      </w:r>
      <w:r w:rsidRPr="003912D7">
        <w:t xml:space="preserve">, no procedure is defined for the protection for AWL receivers. This means that AWL receivers are not afforded protection from existing </w:t>
      </w:r>
      <w:r w:rsidR="004B3841" w:rsidRPr="005E5B48">
        <w:t xml:space="preserve">point to multipoint </w:t>
      </w:r>
      <w:r w:rsidRPr="003912D7">
        <w:t xml:space="preserve">services. </w:t>
      </w:r>
      <w:r w:rsidR="006B7D80" w:rsidRPr="003912D7">
        <w:t>Prospective licensees should assess the risk of interference from existing point to multipoint services before deploying services.</w:t>
      </w:r>
      <w:r w:rsidR="00CB42FD" w:rsidRPr="003912D7">
        <w:t xml:space="preserve"> Details of existing services for performing coordination calculations can be found on the RRL page of the ACMA website</w:t>
      </w:r>
      <w:r w:rsidR="00D86EB2" w:rsidRPr="003912D7">
        <w:t xml:space="preserve"> and in Appendix </w:t>
      </w:r>
      <w:r w:rsidR="00BA1505">
        <w:t>C</w:t>
      </w:r>
      <w:r w:rsidR="00CB42FD" w:rsidRPr="003912D7">
        <w:t>.</w:t>
      </w:r>
    </w:p>
    <w:p w14:paraId="2E626D4A" w14:textId="22AAEB38" w:rsidR="00E07A74" w:rsidRPr="008869BD" w:rsidRDefault="00E07A74" w:rsidP="005E5B48">
      <w:pPr>
        <w:ind w:left="11"/>
      </w:pPr>
    </w:p>
    <w:p w14:paraId="3933864E" w14:textId="3469FB8C" w:rsidR="00D87BF1" w:rsidRPr="00D62118" w:rsidRDefault="00D87BF1" w:rsidP="005E5B48">
      <w:pPr>
        <w:pStyle w:val="Heading3"/>
        <w:ind w:left="720" w:hanging="709"/>
      </w:pPr>
      <w:bookmarkStart w:id="94" w:name="_Toc90984598"/>
      <w:r w:rsidRPr="00D62118">
        <w:t>Protection of</w:t>
      </w:r>
      <w:r w:rsidR="00CB3B0A">
        <w:t xml:space="preserve"> legacy</w:t>
      </w:r>
      <w:r w:rsidR="007B0165">
        <w:t xml:space="preserve"> </w:t>
      </w:r>
      <w:r w:rsidRPr="00D62118">
        <w:t>point to multipoint base stations</w:t>
      </w:r>
      <w:bookmarkEnd w:id="64"/>
      <w:bookmarkEnd w:id="65"/>
      <w:bookmarkEnd w:id="66"/>
      <w:bookmarkEnd w:id="67"/>
      <w:bookmarkEnd w:id="68"/>
      <w:bookmarkEnd w:id="94"/>
    </w:p>
    <w:p w14:paraId="18A1531A" w14:textId="2215A35E" w:rsidR="00DA7BC1" w:rsidRDefault="00AB7F8A" w:rsidP="005E5B48">
      <w:pPr>
        <w:ind w:left="11"/>
      </w:pPr>
      <w:r>
        <w:t xml:space="preserve">Incumbent </w:t>
      </w:r>
      <w:r w:rsidR="007F0BE2">
        <w:t xml:space="preserve">point to multipoint services continue to operate in the range 3400-3700 MHz using a variety of channel sizes between 5 to 30 MHz in either time or frequency division duplexing modes. </w:t>
      </w:r>
      <w:r w:rsidR="00B40D8E">
        <w:t>Existing</w:t>
      </w:r>
      <w:r w:rsidR="00EF498B">
        <w:t xml:space="preserve"> </w:t>
      </w:r>
      <w:r w:rsidR="00DA7BC1" w:rsidRPr="00DA7BC1">
        <w:t xml:space="preserve">point to multipoint base station receivers shall be protected to the levels listed in </w:t>
      </w:r>
      <w:r w:rsidR="00597A40">
        <w:rPr>
          <w:highlight w:val="green"/>
        </w:rPr>
        <w:fldChar w:fldCharType="begin"/>
      </w:r>
      <w:r w:rsidR="00597A40">
        <w:instrText xml:space="preserve"> REF _Ref25754564 \h </w:instrText>
      </w:r>
      <w:r w:rsidR="00597A40">
        <w:rPr>
          <w:highlight w:val="green"/>
        </w:rPr>
      </w:r>
      <w:r w:rsidR="00597A40">
        <w:rPr>
          <w:highlight w:val="green"/>
        </w:rPr>
        <w:fldChar w:fldCharType="separate"/>
      </w:r>
      <w:r w:rsidR="00597A40">
        <w:t>Table </w:t>
      </w:r>
      <w:r w:rsidR="00597A40">
        <w:rPr>
          <w:noProof/>
        </w:rPr>
        <w:t>2</w:t>
      </w:r>
      <w:r w:rsidR="00597A40">
        <w:rPr>
          <w:highlight w:val="green"/>
        </w:rPr>
        <w:fldChar w:fldCharType="end"/>
      </w:r>
      <w:r w:rsidR="00DA7BC1" w:rsidRPr="00DA7BC1">
        <w:t xml:space="preserve"> for base stations with bandwidths of 20</w:t>
      </w:r>
      <w:r w:rsidR="00DA7BC1">
        <w:t> </w:t>
      </w:r>
      <w:r w:rsidR="00DA7BC1" w:rsidRPr="00DA7BC1">
        <w:t xml:space="preserve">MHz or less or </w:t>
      </w:r>
      <w:r w:rsidR="00E87F66">
        <w:rPr>
          <w:highlight w:val="green"/>
        </w:rPr>
        <w:fldChar w:fldCharType="begin"/>
      </w:r>
      <w:r w:rsidR="00E87F66">
        <w:instrText xml:space="preserve"> REF _Ref25754573 \h </w:instrText>
      </w:r>
      <w:r w:rsidR="00E87F66">
        <w:rPr>
          <w:highlight w:val="green"/>
        </w:rPr>
      </w:r>
      <w:r w:rsidR="00E87F66">
        <w:rPr>
          <w:highlight w:val="green"/>
        </w:rPr>
        <w:fldChar w:fldCharType="separate"/>
      </w:r>
      <w:r w:rsidR="002B58E6">
        <w:t xml:space="preserve">Table </w:t>
      </w:r>
      <w:r w:rsidR="002B58E6">
        <w:rPr>
          <w:noProof/>
        </w:rPr>
        <w:t>3</w:t>
      </w:r>
      <w:r w:rsidR="00E87F66">
        <w:rPr>
          <w:highlight w:val="green"/>
        </w:rPr>
        <w:fldChar w:fldCharType="end"/>
      </w:r>
      <w:r w:rsidR="00DA7BC1" w:rsidRPr="00DA7BC1">
        <w:t xml:space="preserve"> for base stations with bandwidth</w:t>
      </w:r>
      <w:r w:rsidR="00D535F0">
        <w:t>s</w:t>
      </w:r>
      <w:r w:rsidR="00DA7BC1" w:rsidRPr="00DA7BC1">
        <w:t xml:space="preserve"> greater than 20</w:t>
      </w:r>
      <w:r w:rsidR="00DA7BC1">
        <w:t> </w:t>
      </w:r>
      <w:r w:rsidR="00DA7BC1" w:rsidRPr="00DA7BC1">
        <w:t>MHz.</w:t>
      </w:r>
    </w:p>
    <w:p w14:paraId="75FB28CB" w14:textId="481DBF62" w:rsidR="005C3BEA" w:rsidRDefault="005C3BEA" w:rsidP="005E5B48">
      <w:pPr>
        <w:pStyle w:val="Caption-table"/>
        <w:ind w:left="11"/>
      </w:pPr>
      <w:bookmarkStart w:id="95" w:name="_Ref25754564"/>
      <w:r>
        <w:lastRenderedPageBreak/>
        <w:t xml:space="preserve">Table </w:t>
      </w:r>
      <w:fldSimple w:instr=" SEQ Table \* ARABIC ">
        <w:r w:rsidR="002B58E6">
          <w:rPr>
            <w:noProof/>
          </w:rPr>
          <w:t>2</w:t>
        </w:r>
      </w:fldSimple>
      <w:bookmarkEnd w:id="95"/>
      <w:r>
        <w:t xml:space="preserve">: </w:t>
      </w:r>
      <w:bookmarkStart w:id="96" w:name="_Hlk32927685"/>
      <w:r w:rsidRPr="005C3BEA">
        <w:t>Protection criteria for</w:t>
      </w:r>
      <w:r w:rsidR="007F0BE2">
        <w:t xml:space="preserve"> </w:t>
      </w:r>
      <w:r w:rsidR="004E1CC5">
        <w:t xml:space="preserve">incumbent </w:t>
      </w:r>
      <w:r w:rsidRPr="005C3BEA">
        <w:t>point to multipoint base station receivers with bandwidths of 20</w:t>
      </w:r>
      <w:r>
        <w:t> </w:t>
      </w:r>
      <w:r w:rsidRPr="005C3BEA">
        <w:t>MHz or less</w:t>
      </w:r>
      <w:bookmarkEnd w:id="96"/>
      <w:r>
        <w:t>.</w:t>
      </w:r>
    </w:p>
    <w:tbl>
      <w:tblPr>
        <w:tblStyle w:val="TableGrid"/>
        <w:tblW w:w="0" w:type="auto"/>
        <w:tblLayout w:type="fixed"/>
        <w:tblLook w:val="04A0" w:firstRow="1" w:lastRow="0" w:firstColumn="1" w:lastColumn="0" w:noHBand="0" w:noVBand="1"/>
      </w:tblPr>
      <w:tblGrid>
        <w:gridCol w:w="2830"/>
        <w:gridCol w:w="6237"/>
      </w:tblGrid>
      <w:tr w:rsidR="00BB5D43" w14:paraId="02EE95FA" w14:textId="77777777" w:rsidTr="005E5B48">
        <w:tc>
          <w:tcPr>
            <w:tcW w:w="2830" w:type="dxa"/>
            <w:shd w:val="clear" w:color="auto" w:fill="D9D9D9" w:themeFill="background1" w:themeFillShade="D9"/>
          </w:tcPr>
          <w:p w14:paraId="4C578DC4" w14:textId="010366DE" w:rsidR="00BB5D43" w:rsidRDefault="00BB5D43" w:rsidP="005E5B48">
            <w:pPr>
              <w:keepNext/>
              <w:spacing w:before="20" w:after="20"/>
              <w:ind w:left="11"/>
            </w:pPr>
            <w:bookmarkStart w:id="97" w:name="_Hlk32927677"/>
            <w:r>
              <w:rPr>
                <w:b/>
              </w:rPr>
              <w:t>Frequency offset</w:t>
            </w:r>
          </w:p>
        </w:tc>
        <w:tc>
          <w:tcPr>
            <w:tcW w:w="6237" w:type="dxa"/>
            <w:shd w:val="clear" w:color="auto" w:fill="D9D9D9" w:themeFill="background1" w:themeFillShade="D9"/>
          </w:tcPr>
          <w:p w14:paraId="55E66647" w14:textId="3A24DD4B" w:rsidR="00BB5D43" w:rsidRDefault="00BB5D43" w:rsidP="00BB5D43">
            <w:pPr>
              <w:keepNext/>
              <w:spacing w:before="20" w:after="20"/>
            </w:pPr>
            <w:r w:rsidRPr="00AB58A4">
              <w:rPr>
                <w:b/>
              </w:rPr>
              <w:t xml:space="preserve">Base </w:t>
            </w:r>
            <w:r>
              <w:rPr>
                <w:b/>
              </w:rPr>
              <w:t>s</w:t>
            </w:r>
            <w:r w:rsidRPr="00AB58A4">
              <w:rPr>
                <w:b/>
              </w:rPr>
              <w:t>tation</w:t>
            </w:r>
            <w:r>
              <w:rPr>
                <w:b/>
              </w:rPr>
              <w:t xml:space="preserve"> p</w:t>
            </w:r>
            <w:r w:rsidRPr="00AB58A4">
              <w:rPr>
                <w:b/>
              </w:rPr>
              <w:t xml:space="preserve">rotection </w:t>
            </w:r>
            <w:r>
              <w:rPr>
                <w:b/>
              </w:rPr>
              <w:t>c</w:t>
            </w:r>
            <w:r w:rsidRPr="00AB58A4">
              <w:rPr>
                <w:b/>
              </w:rPr>
              <w:t>riteria</w:t>
            </w:r>
            <w:r w:rsidR="00D73260">
              <w:rPr>
                <w:b/>
              </w:rPr>
              <w:t xml:space="preserve"> </w:t>
            </w:r>
            <w:r>
              <w:rPr>
                <w:b/>
              </w:rPr>
              <w:t>(at the input of the receiver)</w:t>
            </w:r>
          </w:p>
        </w:tc>
      </w:tr>
      <w:tr w:rsidR="00BB5D43" w14:paraId="3795D8C0" w14:textId="77777777" w:rsidTr="005E5B48">
        <w:tc>
          <w:tcPr>
            <w:tcW w:w="2830" w:type="dxa"/>
          </w:tcPr>
          <w:p w14:paraId="15FC45AE" w14:textId="63AB6ED8" w:rsidR="00BB5D43" w:rsidRDefault="00BB5D43" w:rsidP="00BB5D43">
            <w:pPr>
              <w:keepNext/>
              <w:spacing w:before="20" w:after="20"/>
            </w:pPr>
            <w:r w:rsidRPr="001E720A">
              <w:t>Co-channel</w:t>
            </w:r>
          </w:p>
        </w:tc>
        <w:tc>
          <w:tcPr>
            <w:tcW w:w="6237" w:type="dxa"/>
          </w:tcPr>
          <w:p w14:paraId="0A09DDFD" w14:textId="42C82E02" w:rsidR="00BB5D43" w:rsidRDefault="00BB5D43" w:rsidP="00BB5D43">
            <w:pPr>
              <w:keepNext/>
              <w:spacing w:before="20" w:after="20"/>
            </w:pPr>
            <w:r w:rsidRPr="001E720A">
              <w:t>–115 dBm/MHz</w:t>
            </w:r>
          </w:p>
        </w:tc>
      </w:tr>
      <w:tr w:rsidR="00BB5D43" w14:paraId="37700EA2" w14:textId="77777777" w:rsidTr="005E5B48">
        <w:tc>
          <w:tcPr>
            <w:tcW w:w="2830" w:type="dxa"/>
          </w:tcPr>
          <w:p w14:paraId="0AA90D2D" w14:textId="5F74B0E8" w:rsidR="00BB5D43" w:rsidRDefault="006754CF" w:rsidP="00BB5D43">
            <w:pPr>
              <w:keepNext/>
              <w:spacing w:before="20" w:after="20"/>
            </w:pPr>
            <w:r>
              <w:t>F</w:t>
            </w:r>
            <w:r>
              <w:rPr>
                <w:vertAlign w:val="subscript"/>
              </w:rPr>
              <w:t xml:space="preserve">offset </w:t>
            </w:r>
            <w:r w:rsidR="00BB5D43" w:rsidRPr="001E720A">
              <w:t>≤ 5 MHz</w:t>
            </w:r>
          </w:p>
        </w:tc>
        <w:tc>
          <w:tcPr>
            <w:tcW w:w="6237" w:type="dxa"/>
          </w:tcPr>
          <w:p w14:paraId="126B3F82" w14:textId="526248E5" w:rsidR="00BB5D43" w:rsidRDefault="00BB5D43" w:rsidP="00BB5D43">
            <w:pPr>
              <w:keepNext/>
              <w:spacing w:before="20" w:after="20"/>
            </w:pPr>
            <w:r w:rsidRPr="001E720A">
              <w:t>–</w:t>
            </w:r>
            <w:r w:rsidR="00A579FB">
              <w:t>57.5</w:t>
            </w:r>
            <w:r w:rsidRPr="001E720A">
              <w:t xml:space="preserve"> dBm/MHz</w:t>
            </w:r>
          </w:p>
        </w:tc>
      </w:tr>
      <w:tr w:rsidR="00BB5D43" w14:paraId="79555BCD" w14:textId="77777777" w:rsidTr="005E5B48">
        <w:tc>
          <w:tcPr>
            <w:tcW w:w="2830" w:type="dxa"/>
          </w:tcPr>
          <w:p w14:paraId="60EE1D5D" w14:textId="65011ED9" w:rsidR="00BB5D43" w:rsidRPr="006754CF" w:rsidRDefault="00BB5D43" w:rsidP="00BB5D43">
            <w:pPr>
              <w:keepNext/>
              <w:spacing w:before="20" w:after="20"/>
            </w:pPr>
            <w:r w:rsidRPr="001E720A">
              <w:t xml:space="preserve"> 5 MHz</w:t>
            </w:r>
            <w:r w:rsidR="006754CF">
              <w:t xml:space="preserve"> &lt; F</w:t>
            </w:r>
            <w:r w:rsidR="006754CF">
              <w:rPr>
                <w:vertAlign w:val="subscript"/>
              </w:rPr>
              <w:t>offset</w:t>
            </w:r>
            <w:r w:rsidR="006754CF">
              <w:t xml:space="preserve"> </w:t>
            </w:r>
            <w:r w:rsidR="006754CF">
              <w:rPr>
                <w:rFonts w:cs="Arial"/>
              </w:rPr>
              <w:t>≤</w:t>
            </w:r>
            <w:r w:rsidR="006754CF">
              <w:t xml:space="preserve"> 15 MHz</w:t>
            </w:r>
          </w:p>
        </w:tc>
        <w:tc>
          <w:tcPr>
            <w:tcW w:w="6237" w:type="dxa"/>
          </w:tcPr>
          <w:p w14:paraId="29E961B0" w14:textId="6F4088B7" w:rsidR="00BB5D43" w:rsidRDefault="00BB5D43" w:rsidP="00BB5D43">
            <w:pPr>
              <w:keepNext/>
              <w:spacing w:before="20" w:after="20"/>
            </w:pPr>
            <w:r w:rsidRPr="001E720A">
              <w:t>–50 dBm/MHz</w:t>
            </w:r>
          </w:p>
        </w:tc>
      </w:tr>
      <w:tr w:rsidR="006754CF" w14:paraId="15BB87DE" w14:textId="77777777" w:rsidTr="005E5B48">
        <w:tc>
          <w:tcPr>
            <w:tcW w:w="2830" w:type="dxa"/>
          </w:tcPr>
          <w:p w14:paraId="21DC34C0" w14:textId="644B0240" w:rsidR="006754CF" w:rsidRPr="001E720A" w:rsidDel="006754CF" w:rsidRDefault="001B4FF0" w:rsidP="00BB5D43">
            <w:pPr>
              <w:keepNext/>
              <w:spacing w:before="20" w:after="20"/>
            </w:pPr>
            <w:r>
              <w:t>F</w:t>
            </w:r>
            <w:r>
              <w:rPr>
                <w:vertAlign w:val="subscript"/>
              </w:rPr>
              <w:t>offset</w:t>
            </w:r>
            <w:r>
              <w:t xml:space="preserve"> </w:t>
            </w:r>
            <w:r>
              <w:rPr>
                <w:rFonts w:cs="Arial"/>
              </w:rPr>
              <w:t>&gt;</w:t>
            </w:r>
            <w:r>
              <w:t xml:space="preserve"> 15 MHz</w:t>
            </w:r>
          </w:p>
        </w:tc>
        <w:tc>
          <w:tcPr>
            <w:tcW w:w="6237" w:type="dxa"/>
          </w:tcPr>
          <w:p w14:paraId="17E05F7A" w14:textId="5CD056D1" w:rsidR="006754CF" w:rsidRPr="001E720A" w:rsidRDefault="00965014" w:rsidP="00BB5D43">
            <w:pPr>
              <w:keepNext/>
              <w:spacing w:before="20" w:after="20"/>
            </w:pPr>
            <w:r>
              <w:t>No coordination required, however before registering an AWL transmitter, the AWL licensee (or their Accredited Person) is required to notify the licensee of any receivers</w:t>
            </w:r>
            <w:r w:rsidR="00B864C6">
              <w:t xml:space="preserve"> identified in the below steps</w:t>
            </w:r>
            <w:r>
              <w:t xml:space="preserve">. This allows time for affected parties to negotiate with prospective licensees and implement any additional mitigation that may be required. See Appendix </w:t>
            </w:r>
            <w:r w:rsidR="00632AB6">
              <w:t>E</w:t>
            </w:r>
            <w:r>
              <w:t xml:space="preserve"> for notification requirements</w:t>
            </w:r>
            <w:r w:rsidR="00905F48">
              <w:t>.</w:t>
            </w:r>
          </w:p>
        </w:tc>
      </w:tr>
    </w:tbl>
    <w:p w14:paraId="5F150746" w14:textId="3DE1CE1A" w:rsidR="00DA7BC1" w:rsidRDefault="00DA7BC1" w:rsidP="005E5B48">
      <w:pPr>
        <w:spacing w:after="0"/>
        <w:ind w:left="11"/>
      </w:pPr>
    </w:p>
    <w:p w14:paraId="0A810ED3" w14:textId="056355E6" w:rsidR="005C3BEA" w:rsidRDefault="005C3BEA" w:rsidP="005E5B48">
      <w:pPr>
        <w:pStyle w:val="Caption-table"/>
        <w:ind w:left="11"/>
      </w:pPr>
      <w:bookmarkStart w:id="98" w:name="_Ref25754573"/>
      <w:r>
        <w:t xml:space="preserve">Table </w:t>
      </w:r>
      <w:fldSimple w:instr=" SEQ Table \* ARABIC ">
        <w:r w:rsidR="002B58E6">
          <w:rPr>
            <w:noProof/>
          </w:rPr>
          <w:t>3</w:t>
        </w:r>
      </w:fldSimple>
      <w:bookmarkEnd w:id="98"/>
      <w:r>
        <w:t xml:space="preserve">: </w:t>
      </w:r>
      <w:r w:rsidRPr="005C3BEA">
        <w:t xml:space="preserve">Protection criteria for </w:t>
      </w:r>
      <w:r w:rsidR="00A433DE">
        <w:t xml:space="preserve">incumbent </w:t>
      </w:r>
      <w:r w:rsidRPr="005C3BEA">
        <w:t>point to multipoint base station receivers with bandwidths greater than 20</w:t>
      </w:r>
      <w:r>
        <w:t> MHz.</w:t>
      </w:r>
    </w:p>
    <w:tbl>
      <w:tblPr>
        <w:tblStyle w:val="TableGrid"/>
        <w:tblW w:w="0" w:type="auto"/>
        <w:tblLook w:val="04A0" w:firstRow="1" w:lastRow="0" w:firstColumn="1" w:lastColumn="0" w:noHBand="0" w:noVBand="1"/>
      </w:tblPr>
      <w:tblGrid>
        <w:gridCol w:w="2830"/>
        <w:gridCol w:w="6237"/>
      </w:tblGrid>
      <w:tr w:rsidR="00BB5D43" w14:paraId="399D4593" w14:textId="77777777" w:rsidTr="005E5B48">
        <w:trPr>
          <w:trHeight w:val="850"/>
        </w:trPr>
        <w:tc>
          <w:tcPr>
            <w:tcW w:w="2830" w:type="dxa"/>
            <w:shd w:val="clear" w:color="auto" w:fill="D9D9D9" w:themeFill="background1" w:themeFillShade="D9"/>
          </w:tcPr>
          <w:p w14:paraId="63D28E31" w14:textId="77777777" w:rsidR="00BB5D43" w:rsidRDefault="00BB5D43" w:rsidP="00E87F66">
            <w:pPr>
              <w:keepNext/>
              <w:spacing w:before="20" w:after="20"/>
            </w:pPr>
            <w:r>
              <w:rPr>
                <w:b/>
              </w:rPr>
              <w:t>Frequency offset</w:t>
            </w:r>
          </w:p>
        </w:tc>
        <w:tc>
          <w:tcPr>
            <w:tcW w:w="6237" w:type="dxa"/>
            <w:shd w:val="clear" w:color="auto" w:fill="D9D9D9" w:themeFill="background1" w:themeFillShade="D9"/>
          </w:tcPr>
          <w:p w14:paraId="1FA5E05E" w14:textId="334A6961" w:rsidR="00BB5D43" w:rsidRDefault="00BB5D43" w:rsidP="00E87F66">
            <w:pPr>
              <w:keepNext/>
              <w:spacing w:before="20" w:after="20"/>
            </w:pPr>
            <w:r w:rsidRPr="00AB58A4">
              <w:rPr>
                <w:b/>
              </w:rPr>
              <w:t xml:space="preserve">Base </w:t>
            </w:r>
            <w:r>
              <w:rPr>
                <w:b/>
              </w:rPr>
              <w:t>s</w:t>
            </w:r>
            <w:r w:rsidRPr="00AB58A4">
              <w:rPr>
                <w:b/>
              </w:rPr>
              <w:t>tation</w:t>
            </w:r>
            <w:r>
              <w:rPr>
                <w:b/>
              </w:rPr>
              <w:t xml:space="preserve"> p</w:t>
            </w:r>
            <w:r w:rsidRPr="00AB58A4">
              <w:rPr>
                <w:b/>
              </w:rPr>
              <w:t xml:space="preserve">rotection </w:t>
            </w:r>
            <w:r>
              <w:rPr>
                <w:b/>
              </w:rPr>
              <w:t>c</w:t>
            </w:r>
            <w:r w:rsidRPr="00AB58A4">
              <w:rPr>
                <w:b/>
              </w:rPr>
              <w:t>riteria</w:t>
            </w:r>
            <w:r w:rsidR="00D73260">
              <w:rPr>
                <w:b/>
              </w:rPr>
              <w:t xml:space="preserve"> </w:t>
            </w:r>
            <w:r>
              <w:rPr>
                <w:b/>
              </w:rPr>
              <w:t>(at the input of the receiver)</w:t>
            </w:r>
          </w:p>
        </w:tc>
      </w:tr>
      <w:tr w:rsidR="00BB5D43" w14:paraId="5BD4E75B" w14:textId="77777777" w:rsidTr="005E5B48">
        <w:tc>
          <w:tcPr>
            <w:tcW w:w="2830" w:type="dxa"/>
          </w:tcPr>
          <w:p w14:paraId="6182E08E" w14:textId="77777777" w:rsidR="00BB5D43" w:rsidRDefault="00BB5D43" w:rsidP="00E87F66">
            <w:pPr>
              <w:keepNext/>
              <w:spacing w:before="20" w:after="20"/>
            </w:pPr>
            <w:r w:rsidRPr="001E720A">
              <w:t>Co-channel</w:t>
            </w:r>
          </w:p>
        </w:tc>
        <w:tc>
          <w:tcPr>
            <w:tcW w:w="6237" w:type="dxa"/>
          </w:tcPr>
          <w:p w14:paraId="74EDA4B7" w14:textId="28BE576F" w:rsidR="00BB5D43" w:rsidRDefault="00BB5D43" w:rsidP="00E87F66">
            <w:pPr>
              <w:keepNext/>
              <w:spacing w:before="20" w:after="20"/>
            </w:pPr>
            <w:r w:rsidRPr="001E720A">
              <w:t>–115 dBm/</w:t>
            </w:r>
            <w:r w:rsidR="005C3BEA">
              <w:t>MHz</w:t>
            </w:r>
          </w:p>
        </w:tc>
      </w:tr>
      <w:tr w:rsidR="00BB5D43" w14:paraId="61A07C5F" w14:textId="77777777" w:rsidTr="005E5B48">
        <w:tc>
          <w:tcPr>
            <w:tcW w:w="2830" w:type="dxa"/>
          </w:tcPr>
          <w:p w14:paraId="11BC7709" w14:textId="1FFE8CB2" w:rsidR="00BB5D43" w:rsidRDefault="001B4FF0" w:rsidP="00E87F66">
            <w:pPr>
              <w:keepNext/>
              <w:spacing w:before="20" w:after="20"/>
            </w:pPr>
            <w:r>
              <w:t>F</w:t>
            </w:r>
            <w:r>
              <w:rPr>
                <w:vertAlign w:val="subscript"/>
              </w:rPr>
              <w:t xml:space="preserve">offset  </w:t>
            </w:r>
            <w:r w:rsidR="00BB5D43" w:rsidRPr="001E720A">
              <w:t xml:space="preserve">≤ </w:t>
            </w:r>
            <w:r w:rsidR="00BB5D43">
              <w:t>20 </w:t>
            </w:r>
            <w:r w:rsidR="00BB5D43" w:rsidRPr="001E720A">
              <w:t>MHz</w:t>
            </w:r>
          </w:p>
        </w:tc>
        <w:tc>
          <w:tcPr>
            <w:tcW w:w="6237" w:type="dxa"/>
          </w:tcPr>
          <w:p w14:paraId="062F5A1B" w14:textId="0C0EDC0D" w:rsidR="00BB5D43" w:rsidRDefault="00BB5D43" w:rsidP="00E87F66">
            <w:pPr>
              <w:keepNext/>
              <w:spacing w:before="20" w:after="20"/>
            </w:pPr>
            <w:r w:rsidRPr="001E720A">
              <w:t>–</w:t>
            </w:r>
            <w:r w:rsidR="008D1214">
              <w:t>63</w:t>
            </w:r>
            <w:r w:rsidR="004325F3">
              <w:t>.5</w:t>
            </w:r>
            <w:r w:rsidR="00A579FB" w:rsidRPr="001E720A">
              <w:t xml:space="preserve"> </w:t>
            </w:r>
            <w:r w:rsidRPr="001E720A">
              <w:t>dBm/</w:t>
            </w:r>
            <w:r w:rsidR="005C3BEA">
              <w:t>MHz</w:t>
            </w:r>
          </w:p>
        </w:tc>
      </w:tr>
      <w:tr w:rsidR="00BB5D43" w14:paraId="4A19D809" w14:textId="77777777" w:rsidTr="005E5B48">
        <w:tc>
          <w:tcPr>
            <w:tcW w:w="2830" w:type="dxa"/>
          </w:tcPr>
          <w:p w14:paraId="64D03C0D" w14:textId="3F308FDF" w:rsidR="00BB5D43" w:rsidRPr="001B4FF0" w:rsidRDefault="00BB5D43" w:rsidP="00E87F66">
            <w:pPr>
              <w:keepNext/>
              <w:spacing w:before="20" w:after="20"/>
            </w:pPr>
            <w:r>
              <w:t>20 </w:t>
            </w:r>
            <w:r w:rsidRPr="001E720A">
              <w:t>MHz</w:t>
            </w:r>
            <w:r w:rsidR="001B4FF0">
              <w:t xml:space="preserve"> &lt; F</w:t>
            </w:r>
            <w:r w:rsidR="001B4FF0">
              <w:rPr>
                <w:vertAlign w:val="subscript"/>
              </w:rPr>
              <w:t>offset</w:t>
            </w:r>
            <w:r w:rsidR="001B4FF0">
              <w:t xml:space="preserve"> </w:t>
            </w:r>
            <w:r w:rsidR="001B4FF0">
              <w:rPr>
                <w:rFonts w:cs="Arial"/>
              </w:rPr>
              <w:t xml:space="preserve">≤ </w:t>
            </w:r>
            <w:r w:rsidR="001B4FF0">
              <w:t>30 MHz</w:t>
            </w:r>
          </w:p>
        </w:tc>
        <w:tc>
          <w:tcPr>
            <w:tcW w:w="6237" w:type="dxa"/>
          </w:tcPr>
          <w:p w14:paraId="239C9C03" w14:textId="3A1EE5E9" w:rsidR="00BB5D43" w:rsidRDefault="00BB5D43" w:rsidP="00E87F66">
            <w:pPr>
              <w:keepNext/>
              <w:spacing w:before="20" w:after="20"/>
            </w:pPr>
            <w:r w:rsidRPr="001E720A">
              <w:t>–5</w:t>
            </w:r>
            <w:r>
              <w:t>6</w:t>
            </w:r>
            <w:r w:rsidRPr="001E720A">
              <w:t xml:space="preserve"> dBm/MHz</w:t>
            </w:r>
          </w:p>
        </w:tc>
      </w:tr>
      <w:tr w:rsidR="001B4FF0" w14:paraId="0F534730" w14:textId="77777777" w:rsidTr="005E5B48">
        <w:tc>
          <w:tcPr>
            <w:tcW w:w="2830" w:type="dxa"/>
          </w:tcPr>
          <w:p w14:paraId="398F8EF9" w14:textId="15A9AC30" w:rsidR="001B4FF0" w:rsidRPr="001E720A" w:rsidDel="001B4FF0" w:rsidRDefault="001B4FF0" w:rsidP="00E87F66">
            <w:pPr>
              <w:keepNext/>
              <w:spacing w:before="20" w:after="20"/>
            </w:pPr>
            <w:r>
              <w:t>F</w:t>
            </w:r>
            <w:r>
              <w:rPr>
                <w:vertAlign w:val="subscript"/>
              </w:rPr>
              <w:t>offset</w:t>
            </w:r>
            <w:r>
              <w:t xml:space="preserve"> </w:t>
            </w:r>
            <w:r>
              <w:rPr>
                <w:rFonts w:cs="Arial"/>
              </w:rPr>
              <w:t>&gt;</w:t>
            </w:r>
            <w:r>
              <w:t xml:space="preserve"> 30 MHz</w:t>
            </w:r>
          </w:p>
        </w:tc>
        <w:tc>
          <w:tcPr>
            <w:tcW w:w="6237" w:type="dxa"/>
          </w:tcPr>
          <w:p w14:paraId="536CC876" w14:textId="74C3052B" w:rsidR="001B4FF0" w:rsidRPr="001E720A" w:rsidRDefault="001B4FF0" w:rsidP="00E87F66">
            <w:pPr>
              <w:keepNext/>
              <w:spacing w:before="20" w:after="20"/>
            </w:pPr>
            <w:r>
              <w:t xml:space="preserve">No coordination required, </w:t>
            </w:r>
            <w:r w:rsidR="00965014">
              <w:t xml:space="preserve">however before registering an AWL transmitter, the AWL licensee (or their Accredited Person) is required to </w:t>
            </w:r>
            <w:r>
              <w:t xml:space="preserve">notify </w:t>
            </w:r>
            <w:r w:rsidR="00965014">
              <w:t xml:space="preserve">the </w:t>
            </w:r>
            <w:r>
              <w:t xml:space="preserve">licensee of </w:t>
            </w:r>
            <w:r w:rsidR="00965014">
              <w:t xml:space="preserve">any </w:t>
            </w:r>
            <w:r>
              <w:t>receivers</w:t>
            </w:r>
            <w:r w:rsidR="00B864C6">
              <w:t xml:space="preserve"> identified in the below steps</w:t>
            </w:r>
            <w:r w:rsidR="00965014">
              <w:t>. This allows time for affected parties to negotiate with prospective licensees and implement any additional mitigation that may be required. S</w:t>
            </w:r>
            <w:r>
              <w:t xml:space="preserve">ee Appendix </w:t>
            </w:r>
            <w:r w:rsidR="00632AB6">
              <w:t>E</w:t>
            </w:r>
            <w:r w:rsidR="00965014">
              <w:t xml:space="preserve"> for notification requirements</w:t>
            </w:r>
          </w:p>
        </w:tc>
      </w:tr>
      <w:bookmarkEnd w:id="97"/>
    </w:tbl>
    <w:p w14:paraId="7B544C1D" w14:textId="77777777" w:rsidR="00BB5D43" w:rsidRDefault="00BB5D43" w:rsidP="005E5B48">
      <w:pPr>
        <w:spacing w:after="0"/>
        <w:ind w:left="11"/>
      </w:pPr>
    </w:p>
    <w:p w14:paraId="404C22D6" w14:textId="69D89B85" w:rsidR="00A17DCE" w:rsidRDefault="00A17DCE" w:rsidP="005E5B48">
      <w:pPr>
        <w:ind w:left="11"/>
      </w:pPr>
      <w:r>
        <w:t xml:space="preserve">Frequency offset </w:t>
      </w:r>
      <w:r w:rsidR="00905F48">
        <w:t>(F</w:t>
      </w:r>
      <w:r w:rsidR="00905F48">
        <w:rPr>
          <w:vertAlign w:val="subscript"/>
        </w:rPr>
        <w:t>offset</w:t>
      </w:r>
      <w:r w:rsidR="00905F48">
        <w:t xml:space="preserve">) </w:t>
      </w:r>
      <w:r>
        <w:t>is the frequency separation between the edge of the transmitter’s occupied bandwidth and the receiver’s licence channel edge</w:t>
      </w:r>
    </w:p>
    <w:p w14:paraId="630DDAF6" w14:textId="38860B2B" w:rsidR="006B10E3" w:rsidRDefault="006B10E3" w:rsidP="005E5B48">
      <w:pPr>
        <w:ind w:left="11"/>
        <w:rPr>
          <w:rFonts w:cs="Calibri"/>
        </w:rPr>
      </w:pPr>
      <w:r>
        <w:rPr>
          <w:rFonts w:cs="Calibri"/>
        </w:rPr>
        <w:t xml:space="preserve">The following </w:t>
      </w:r>
      <w:r w:rsidR="00DE5F33" w:rsidRPr="009779A0">
        <w:rPr>
          <w:rFonts w:cs="Calibri"/>
        </w:rPr>
        <w:t xml:space="preserve">minimum separation distance </w:t>
      </w:r>
      <w:r w:rsidR="00DE5F33">
        <w:rPr>
          <w:rFonts w:cs="Calibri"/>
        </w:rPr>
        <w:t xml:space="preserve">between the </w:t>
      </w:r>
      <w:r w:rsidR="006A6D1C">
        <w:rPr>
          <w:rFonts w:cs="Calibri"/>
        </w:rPr>
        <w:t>proposed</w:t>
      </w:r>
      <w:r w:rsidR="00DE5F33">
        <w:rPr>
          <w:rFonts w:cs="Calibri"/>
        </w:rPr>
        <w:t xml:space="preserve"> AWL transmitter and existing</w:t>
      </w:r>
      <w:r w:rsidR="00DE5F33" w:rsidRPr="009779A0">
        <w:rPr>
          <w:rFonts w:cs="Calibri"/>
        </w:rPr>
        <w:t xml:space="preserve"> point</w:t>
      </w:r>
      <w:r w:rsidR="00DE5F33">
        <w:rPr>
          <w:rFonts w:cs="Calibri"/>
        </w:rPr>
        <w:t xml:space="preserve"> </w:t>
      </w:r>
      <w:r w:rsidR="00DE5F33" w:rsidRPr="009779A0">
        <w:rPr>
          <w:rFonts w:cs="Calibri"/>
        </w:rPr>
        <w:t>to</w:t>
      </w:r>
      <w:r w:rsidR="00DE5F33">
        <w:rPr>
          <w:rFonts w:cs="Calibri"/>
        </w:rPr>
        <w:t xml:space="preserve"> </w:t>
      </w:r>
      <w:r w:rsidR="00DE5F33" w:rsidRPr="009779A0">
        <w:rPr>
          <w:rFonts w:cs="Calibri"/>
        </w:rPr>
        <w:t xml:space="preserve">multipoint base station </w:t>
      </w:r>
      <w:r w:rsidR="00DE5F33">
        <w:rPr>
          <w:rFonts w:cs="Calibri"/>
        </w:rPr>
        <w:t>receivers</w:t>
      </w:r>
      <w:r>
        <w:rPr>
          <w:rFonts w:cs="Calibri"/>
        </w:rPr>
        <w:t xml:space="preserve"> applies:</w:t>
      </w:r>
    </w:p>
    <w:p w14:paraId="088E514D" w14:textId="77777777" w:rsidR="006B10E3" w:rsidRDefault="006B10E3" w:rsidP="005E5B48">
      <w:pPr>
        <w:pStyle w:val="ListBullet"/>
        <w:ind w:left="306"/>
      </w:pPr>
      <w:r>
        <w:t>For co-channel operation, a minimum separation distance of 20 km</w:t>
      </w:r>
    </w:p>
    <w:p w14:paraId="1719734D" w14:textId="5B443B2B" w:rsidR="00937581" w:rsidRPr="00937581" w:rsidRDefault="006B10E3" w:rsidP="005E5B48">
      <w:pPr>
        <w:pStyle w:val="ListBullet"/>
        <w:ind w:left="306"/>
        <w:rPr>
          <w:rFonts w:cs="Calibri"/>
        </w:rPr>
      </w:pPr>
      <w:r>
        <w:t xml:space="preserve">For adjacent channel operation with a </w:t>
      </w:r>
      <w:r w:rsidR="006A6D1C">
        <w:t>F</w:t>
      </w:r>
      <w:r w:rsidR="006A6D1C">
        <w:rPr>
          <w:vertAlign w:val="subscript"/>
        </w:rPr>
        <w:t>offset</w:t>
      </w:r>
      <w:r>
        <w:t xml:space="preserve"> of less than 10 MHz, a minimum separation distance of 5 km</w:t>
      </w:r>
    </w:p>
    <w:p w14:paraId="23556A24" w14:textId="56E41392" w:rsidR="00DE5F33" w:rsidRPr="00707C73" w:rsidRDefault="00937581" w:rsidP="005E5B48">
      <w:pPr>
        <w:pStyle w:val="ListBulletLast"/>
        <w:ind w:left="306"/>
        <w:rPr>
          <w:strike/>
        </w:rPr>
      </w:pPr>
      <w:r>
        <w:t xml:space="preserve">For adjacent channel operation with a </w:t>
      </w:r>
      <w:r w:rsidR="006A6D1C">
        <w:t>F</w:t>
      </w:r>
      <w:r w:rsidR="006A6D1C">
        <w:rPr>
          <w:vertAlign w:val="subscript"/>
        </w:rPr>
        <w:t>offset</w:t>
      </w:r>
      <w:r w:rsidR="006A6D1C">
        <w:t xml:space="preserve"> </w:t>
      </w:r>
      <w:r>
        <w:t>of 10 MHz or greater, there is no minimum separation distance required</w:t>
      </w:r>
      <w:r w:rsidR="0052271E">
        <w:t>.</w:t>
      </w:r>
    </w:p>
    <w:p w14:paraId="628BD89F" w14:textId="13F3785A" w:rsidR="00FA2DA5" w:rsidRDefault="00FA2DA5" w:rsidP="005E5B48">
      <w:pPr>
        <w:spacing w:after="120"/>
        <w:ind w:left="11"/>
      </w:pPr>
      <w:r w:rsidRPr="00FA2DA5">
        <w:t>When coordinating a</w:t>
      </w:r>
      <w:r w:rsidR="005D01EF">
        <w:t xml:space="preserve"> proposed AWL</w:t>
      </w:r>
      <w:r w:rsidRPr="00FA2DA5">
        <w:t xml:space="preserve"> transmitter with a point to multipoint receiver, the following procedure applies:</w:t>
      </w:r>
    </w:p>
    <w:p w14:paraId="29D1BBB3" w14:textId="3EEDE821" w:rsidR="006130D6" w:rsidRDefault="006130D6" w:rsidP="005E5B48">
      <w:pPr>
        <w:pStyle w:val="ListParagraph"/>
        <w:numPr>
          <w:ilvl w:val="0"/>
          <w:numId w:val="9"/>
        </w:numPr>
        <w:ind w:left="351"/>
      </w:pPr>
      <w:r>
        <w:t>Area Cull: Identify any licensed point to multipoint receivers within</w:t>
      </w:r>
      <w:r w:rsidR="00937581">
        <w:t xml:space="preserve"> a 95km radius.</w:t>
      </w:r>
    </w:p>
    <w:p w14:paraId="39362734" w14:textId="5AA4265C" w:rsidR="00BA54E7" w:rsidRDefault="006130D6" w:rsidP="005E5B48">
      <w:pPr>
        <w:pStyle w:val="ListParagraph"/>
        <w:numPr>
          <w:ilvl w:val="0"/>
          <w:numId w:val="9"/>
        </w:numPr>
        <w:ind w:left="351"/>
      </w:pPr>
      <w:r>
        <w:t>Frequency Cull: include all point to multipoint receivers that are co-channel or within</w:t>
      </w:r>
      <w:r w:rsidR="00BA54E7">
        <w:t xml:space="preserve"> a:</w:t>
      </w:r>
    </w:p>
    <w:p w14:paraId="317059A0" w14:textId="03A40C3A" w:rsidR="00BA54E7" w:rsidRDefault="0078300D" w:rsidP="005E5B48">
      <w:pPr>
        <w:pStyle w:val="ListParagraph"/>
        <w:numPr>
          <w:ilvl w:val="1"/>
          <w:numId w:val="9"/>
        </w:numPr>
        <w:ind w:left="805"/>
      </w:pPr>
      <w:r>
        <w:t>4</w:t>
      </w:r>
      <w:r w:rsidR="007F05A0">
        <w:t xml:space="preserve">0 MHz offset for PMP </w:t>
      </w:r>
      <w:r w:rsidR="00BA54E7">
        <w:t xml:space="preserve">receivers with a bandwidth </w:t>
      </w:r>
      <w:r w:rsidR="007F05A0">
        <w:t>of</w:t>
      </w:r>
      <w:r w:rsidR="00BA54E7">
        <w:t xml:space="preserve"> </w:t>
      </w:r>
      <w:r w:rsidR="007F05A0">
        <w:t>20 MHz o</w:t>
      </w:r>
      <w:r w:rsidR="00BA54E7">
        <w:t>r</w:t>
      </w:r>
      <w:r w:rsidR="007F05A0">
        <w:t xml:space="preserve"> less</w:t>
      </w:r>
    </w:p>
    <w:p w14:paraId="23659C09" w14:textId="54F5030E" w:rsidR="00DC1561" w:rsidRPr="00DC1561" w:rsidRDefault="00BA54E7" w:rsidP="005E5B48">
      <w:pPr>
        <w:pStyle w:val="ListParagraph"/>
        <w:numPr>
          <w:ilvl w:val="1"/>
          <w:numId w:val="9"/>
        </w:numPr>
        <w:ind w:left="805"/>
      </w:pPr>
      <w:r>
        <w:t>60 MHz offset for PMP receivers with a bandwidth of greater than 20 MHz</w:t>
      </w:r>
      <w:r w:rsidR="006130D6">
        <w:t>.</w:t>
      </w:r>
      <w:r w:rsidR="007E444E">
        <w:t xml:space="preserve"> </w:t>
      </w:r>
      <w:r w:rsidR="00DC1561">
        <w:t xml:space="preserve"> </w:t>
      </w:r>
      <w:r w:rsidR="00D45879">
        <w:t xml:space="preserve"> </w:t>
      </w:r>
    </w:p>
    <w:p w14:paraId="33CE3069" w14:textId="51098522" w:rsidR="006130D6" w:rsidRDefault="006130D6" w:rsidP="005E5B48">
      <w:pPr>
        <w:pStyle w:val="ListParagraph"/>
        <w:numPr>
          <w:ilvl w:val="0"/>
          <w:numId w:val="9"/>
        </w:numPr>
        <w:ind w:left="351"/>
      </w:pPr>
      <w:r>
        <w:lastRenderedPageBreak/>
        <w:t>In order to manage interference, two scenarios need to be assessed</w:t>
      </w:r>
      <w:r w:rsidR="003A6B60">
        <w:t>:</w:t>
      </w:r>
    </w:p>
    <w:p w14:paraId="082408D6" w14:textId="7C82565E" w:rsidR="006130D6" w:rsidRDefault="00E66422" w:rsidP="005E5B48">
      <w:pPr>
        <w:pStyle w:val="ListParagraph"/>
        <w:numPr>
          <w:ilvl w:val="1"/>
          <w:numId w:val="9"/>
        </w:numPr>
        <w:ind w:left="805"/>
      </w:pPr>
      <w:r>
        <w:rPr>
          <w:u w:val="single"/>
        </w:rPr>
        <w:t xml:space="preserve">Case 1 </w:t>
      </w:r>
      <w:r w:rsidRPr="007E26E0">
        <w:rPr>
          <w:u w:val="single"/>
        </w:rPr>
        <w:t>–</w:t>
      </w:r>
      <w:r w:rsidRPr="00707C73">
        <w:rPr>
          <w:u w:val="single"/>
        </w:rPr>
        <w:t xml:space="preserve"> applies to AWL transmitters which are required to be included in the RRL.</w:t>
      </w:r>
      <w:r w:rsidR="006130D6">
        <w:t xml:space="preserve"> Unwanted emissions into a point to multipoint receiver must not exceed the values in </w:t>
      </w:r>
      <w:r w:rsidR="0087573C">
        <w:rPr>
          <w:highlight w:val="green"/>
        </w:rPr>
        <w:fldChar w:fldCharType="begin"/>
      </w:r>
      <w:r w:rsidR="0087573C">
        <w:instrText xml:space="preserve"> REF _Ref25754564 \h </w:instrText>
      </w:r>
      <w:r w:rsidR="0087573C">
        <w:rPr>
          <w:highlight w:val="green"/>
        </w:rPr>
      </w:r>
      <w:r w:rsidR="0087573C">
        <w:rPr>
          <w:highlight w:val="green"/>
        </w:rPr>
        <w:fldChar w:fldCharType="separate"/>
      </w:r>
      <w:r w:rsidR="002B58E6">
        <w:t xml:space="preserve">Table </w:t>
      </w:r>
      <w:r w:rsidR="002B58E6">
        <w:rPr>
          <w:noProof/>
        </w:rPr>
        <w:t>2</w:t>
      </w:r>
      <w:r w:rsidR="0087573C">
        <w:rPr>
          <w:highlight w:val="green"/>
        </w:rPr>
        <w:fldChar w:fldCharType="end"/>
      </w:r>
      <w:r w:rsidR="006130D6">
        <w:t xml:space="preserve"> or </w:t>
      </w:r>
      <w:r w:rsidR="0087573C">
        <w:rPr>
          <w:highlight w:val="green"/>
        </w:rPr>
        <w:fldChar w:fldCharType="begin"/>
      </w:r>
      <w:r w:rsidR="0087573C">
        <w:instrText xml:space="preserve"> REF _Ref25754573 \h </w:instrText>
      </w:r>
      <w:r w:rsidR="0087573C">
        <w:rPr>
          <w:highlight w:val="green"/>
        </w:rPr>
      </w:r>
      <w:r w:rsidR="0087573C">
        <w:rPr>
          <w:highlight w:val="green"/>
        </w:rPr>
        <w:fldChar w:fldCharType="separate"/>
      </w:r>
      <w:r w:rsidR="002B58E6">
        <w:t xml:space="preserve">Table </w:t>
      </w:r>
      <w:r w:rsidR="002B58E6">
        <w:rPr>
          <w:noProof/>
        </w:rPr>
        <w:t>3</w:t>
      </w:r>
      <w:r w:rsidR="0087573C">
        <w:rPr>
          <w:highlight w:val="green"/>
        </w:rPr>
        <w:fldChar w:fldCharType="end"/>
      </w:r>
      <w:r w:rsidR="006130D6">
        <w:t>.  Logarithmic scaling should be used to find the appropriate protection level for different point to multipoint receiver bandwidths.</w:t>
      </w:r>
      <w:r w:rsidR="00412EC9">
        <w:t xml:space="preserve"> </w:t>
      </w:r>
      <w:r w:rsidR="006E4A4C">
        <w:t xml:space="preserve"> The scaling must be based on the values in </w:t>
      </w:r>
      <w:r w:rsidR="006E4A4C">
        <w:fldChar w:fldCharType="begin"/>
      </w:r>
      <w:r w:rsidR="006E4A4C">
        <w:instrText xml:space="preserve"> REF _Ref25754564 \h </w:instrText>
      </w:r>
      <w:r w:rsidR="006E4A4C">
        <w:fldChar w:fldCharType="separate"/>
      </w:r>
      <w:r w:rsidR="006E4A4C">
        <w:t xml:space="preserve">Table </w:t>
      </w:r>
      <w:r w:rsidR="006E4A4C">
        <w:rPr>
          <w:noProof/>
        </w:rPr>
        <w:t>2</w:t>
      </w:r>
      <w:r w:rsidR="006E4A4C">
        <w:fldChar w:fldCharType="end"/>
      </w:r>
      <w:r w:rsidR="006E4A4C">
        <w:t xml:space="preserve"> for receivers operating in 20 MHz of bandwidth or less, or the values in </w:t>
      </w:r>
      <w:r w:rsidR="006E4A4C">
        <w:fldChar w:fldCharType="begin"/>
      </w:r>
      <w:r w:rsidR="006E4A4C">
        <w:instrText xml:space="preserve"> REF _Ref25754573 \h </w:instrText>
      </w:r>
      <w:r w:rsidR="006E4A4C">
        <w:fldChar w:fldCharType="separate"/>
      </w:r>
      <w:r w:rsidR="006E4A4C">
        <w:t xml:space="preserve">Table </w:t>
      </w:r>
      <w:r w:rsidR="006E4A4C">
        <w:rPr>
          <w:noProof/>
        </w:rPr>
        <w:t>3</w:t>
      </w:r>
      <w:r w:rsidR="006E4A4C">
        <w:fldChar w:fldCharType="end"/>
      </w:r>
      <w:r w:rsidR="006E4A4C">
        <w:t xml:space="preserve"> for all other receivers.</w:t>
      </w:r>
    </w:p>
    <w:p w14:paraId="14000395" w14:textId="5763EE48" w:rsidR="006130D6" w:rsidRPr="00FB042C" w:rsidRDefault="00E66422" w:rsidP="005E5B48">
      <w:pPr>
        <w:pStyle w:val="ListParagraph"/>
        <w:keepNext/>
        <w:numPr>
          <w:ilvl w:val="1"/>
          <w:numId w:val="9"/>
        </w:numPr>
        <w:ind w:left="805"/>
      </w:pPr>
      <w:r>
        <w:rPr>
          <w:u w:val="single"/>
        </w:rPr>
        <w:t xml:space="preserve">Case 2 – </w:t>
      </w:r>
      <w:r w:rsidR="00F85C88">
        <w:rPr>
          <w:u w:val="single"/>
        </w:rPr>
        <w:t>assessment of interference potential from</w:t>
      </w:r>
      <w:r>
        <w:rPr>
          <w:u w:val="single"/>
        </w:rPr>
        <w:t xml:space="preserve"> AWL transmitters which are not required to be in the RRL (e.g. user equipment). </w:t>
      </w:r>
      <w:r>
        <w:t xml:space="preserve">If the geographical location of the transmitter in case 1 is within 20 km of the </w:t>
      </w:r>
      <w:r w:rsidR="005D01EF">
        <w:t>point to multipoint</w:t>
      </w:r>
      <w:r>
        <w:t xml:space="preserve"> receiver, coordination is deemed to fail. However, an AWL transmitter may still be included in the RRL if it can be shown that the coverage area of the case 2 transmitter does not overlap the interference zone of the point to multipoint receiver – also </w:t>
      </w:r>
      <w:r w:rsidRPr="00FB042C">
        <w:t>see section 4.4.1</w:t>
      </w:r>
      <w:r w:rsidRPr="005E5B48">
        <w:t xml:space="preserve"> and Appendix </w:t>
      </w:r>
      <w:r w:rsidR="008F2A51">
        <w:t>B</w:t>
      </w:r>
      <w:r w:rsidRPr="005E5B48">
        <w:t xml:space="preserve">. </w:t>
      </w:r>
    </w:p>
    <w:p w14:paraId="0ED05ED4" w14:textId="1F3BC2A7" w:rsidR="00FA2DA5" w:rsidRPr="00DA7BC1" w:rsidRDefault="00663DBF" w:rsidP="005E5B48">
      <w:pPr>
        <w:ind w:left="11"/>
      </w:pPr>
      <w:r w:rsidRPr="00FB042C">
        <w:t>In the event interference occurs to remote o</w:t>
      </w:r>
      <w:r w:rsidRPr="005E5B48">
        <w:t xml:space="preserve">r supplemental stations from </w:t>
      </w:r>
      <w:r w:rsidR="00A316DC" w:rsidRPr="005E5B48">
        <w:t xml:space="preserve">AWL </w:t>
      </w:r>
      <w:r w:rsidR="00694392" w:rsidRPr="005E5B48">
        <w:t>transmitters</w:t>
      </w:r>
      <w:r w:rsidRPr="005E5B48">
        <w:t>, section</w:t>
      </w:r>
      <w:r w:rsidR="00EE020B" w:rsidRPr="005E5B48">
        <w:t> </w:t>
      </w:r>
      <w:r w:rsidR="00A316DC" w:rsidRPr="005E5B48">
        <w:t>4.5.</w:t>
      </w:r>
      <w:r w:rsidR="000E6568" w:rsidRPr="00FB042C">
        <w:t>2</w:t>
      </w:r>
      <w:r w:rsidRPr="00FB042C">
        <w:t xml:space="preserve"> of this</w:t>
      </w:r>
      <w:r w:rsidRPr="00A316DC">
        <w:t xml:space="preserve"> RALI applies.</w:t>
      </w:r>
    </w:p>
    <w:p w14:paraId="6CE9978F" w14:textId="77777777" w:rsidR="0065762E" w:rsidRDefault="0065762E" w:rsidP="005E5B48">
      <w:pPr>
        <w:spacing w:after="0" w:line="240" w:lineRule="auto"/>
        <w:ind w:left="11"/>
      </w:pPr>
      <w:bookmarkStart w:id="99" w:name="_Toc82178461"/>
      <w:bookmarkStart w:id="100" w:name="_Toc82180997"/>
      <w:bookmarkStart w:id="101" w:name="_Toc82178462"/>
      <w:bookmarkStart w:id="102" w:name="_Toc82180998"/>
      <w:bookmarkEnd w:id="99"/>
      <w:bookmarkEnd w:id="100"/>
      <w:bookmarkEnd w:id="101"/>
      <w:bookmarkEnd w:id="102"/>
    </w:p>
    <w:p w14:paraId="586827E2" w14:textId="77777777" w:rsidR="0065762E" w:rsidRPr="00D62118" w:rsidRDefault="0065762E" w:rsidP="005E5B48">
      <w:pPr>
        <w:pStyle w:val="Heading3"/>
        <w:ind w:left="720" w:hanging="709"/>
      </w:pPr>
      <w:bookmarkStart w:id="103" w:name="_Ref25840442"/>
      <w:bookmarkStart w:id="104" w:name="_Ref25843557"/>
      <w:bookmarkStart w:id="105" w:name="_Ref25843691"/>
      <w:bookmarkStart w:id="106" w:name="_Ref25843754"/>
      <w:bookmarkStart w:id="107" w:name="_Toc90984599"/>
      <w:r w:rsidRPr="00D62118">
        <w:t>Protection of remote and supplemental base stations</w:t>
      </w:r>
      <w:bookmarkEnd w:id="103"/>
      <w:bookmarkEnd w:id="104"/>
      <w:bookmarkEnd w:id="105"/>
      <w:bookmarkEnd w:id="106"/>
      <w:bookmarkEnd w:id="107"/>
    </w:p>
    <w:p w14:paraId="2ECEE856" w14:textId="77777777" w:rsidR="0065762E" w:rsidRDefault="0065762E" w:rsidP="005E5B48">
      <w:pPr>
        <w:ind w:left="11"/>
      </w:pPr>
      <w:r>
        <w:t xml:space="preserve">Remote point to multipoint stations are authorised to operate via the </w:t>
      </w:r>
      <w:hyperlink r:id="rId40" w:history="1">
        <w:r w:rsidRPr="000D26F1">
          <w:rPr>
            <w:rStyle w:val="Hyperlink"/>
            <w:i/>
            <w:iCs/>
          </w:rPr>
          <w:t>Radiocommunications Licence Conditions (Fixed Licence) Determination 2015</w:t>
        </w:r>
      </w:hyperlink>
      <w:r>
        <w:t>, (the Fixed LCD).  The Fixed LCD authorises the use of remote stations only when communicating with a base station or supplemental base station operating under a valid fixed licence (point to multipoint station).</w:t>
      </w:r>
    </w:p>
    <w:p w14:paraId="52B3FFE9" w14:textId="61F971F7" w:rsidR="0065762E" w:rsidRDefault="0065762E" w:rsidP="005E5B48">
      <w:pPr>
        <w:ind w:left="11"/>
      </w:pPr>
      <w:r>
        <w:t xml:space="preserve">Supplemental base stations are </w:t>
      </w:r>
      <w:r w:rsidR="00990149">
        <w:t xml:space="preserve">also </w:t>
      </w:r>
      <w:r>
        <w:t>authorised to operate via the Fixed LCD.  The Fixed LCD restricts the use of supplemental base stations to overcoming deficiencies within the coverage area of a base station.  Supplemental base stations cannot be used to extend the coverage of a base station.</w:t>
      </w:r>
    </w:p>
    <w:p w14:paraId="1E18E43C" w14:textId="414578FB" w:rsidR="002952BB" w:rsidRDefault="0065762E" w:rsidP="005E5B48">
      <w:pPr>
        <w:ind w:left="11"/>
      </w:pPr>
      <w:r>
        <w:t>The Fixed LCD states that remote stations and supplemental base stations must not cause interference to another radiocommunications service.  Since the location of these stations is not recorded, it is also ACMA policy that these stations are not afforded protection from interference from another radiocommunications services.</w:t>
      </w:r>
      <w:r w:rsidR="00990149">
        <w:t xml:space="preserve"> It is noted that these stations are afforded a degree of protection via the coordination requirements in place.</w:t>
      </w:r>
    </w:p>
    <w:p w14:paraId="55C29254" w14:textId="72FA4BB7" w:rsidR="00F60F6B" w:rsidRDefault="00A4667A" w:rsidP="005E5B48">
      <w:pPr>
        <w:pStyle w:val="Heading2"/>
        <w:ind w:left="720" w:hanging="709"/>
      </w:pPr>
      <w:bookmarkStart w:id="108" w:name="_Toc90471345"/>
      <w:bookmarkStart w:id="109" w:name="_Toc90475041"/>
      <w:bookmarkStart w:id="110" w:name="_Toc90908642"/>
      <w:bookmarkStart w:id="111" w:name="_Toc90984600"/>
      <w:bookmarkEnd w:id="108"/>
      <w:bookmarkEnd w:id="109"/>
      <w:bookmarkEnd w:id="110"/>
      <w:r>
        <w:t>Other coordination scenarios</w:t>
      </w:r>
      <w:bookmarkEnd w:id="111"/>
    </w:p>
    <w:p w14:paraId="1D2348C9" w14:textId="124B11A7" w:rsidR="00A4667A" w:rsidRDefault="00A4667A" w:rsidP="005E5B48">
      <w:pPr>
        <w:pStyle w:val="Heading3"/>
        <w:ind w:left="720" w:hanging="709"/>
      </w:pPr>
      <w:bookmarkStart w:id="112" w:name="_Toc90984601"/>
      <w:r>
        <w:t>Earth station receivers</w:t>
      </w:r>
      <w:r w:rsidR="0014034E">
        <w:t xml:space="preserve"> authorised under an earth receive licence</w:t>
      </w:r>
      <w:bookmarkEnd w:id="112"/>
    </w:p>
    <w:p w14:paraId="260C7FC9" w14:textId="7BD13464" w:rsidR="00C34869" w:rsidRDefault="00C34869" w:rsidP="005E5B48">
      <w:pPr>
        <w:pStyle w:val="Heading4"/>
        <w:ind w:left="11"/>
      </w:pPr>
      <w:r>
        <w:t>3400–3600 MHz band</w:t>
      </w:r>
    </w:p>
    <w:p w14:paraId="488F0C33" w14:textId="5D027B83" w:rsidR="00C34869" w:rsidRDefault="00C34869" w:rsidP="005E5B48">
      <w:pPr>
        <w:ind w:left="11"/>
      </w:pPr>
      <w:r>
        <w:t xml:space="preserve">Protection of and coordination with Earth </w:t>
      </w:r>
      <w:r w:rsidR="00F2412E">
        <w:t xml:space="preserve">receive </w:t>
      </w:r>
      <w:r>
        <w:t>stations</w:t>
      </w:r>
      <w:r w:rsidR="004053C8">
        <w:t xml:space="preserve"> authorised under an </w:t>
      </w:r>
      <w:r w:rsidR="0096293B">
        <w:t>earth receive licence and</w:t>
      </w:r>
      <w:r>
        <w:t xml:space="preserve"> operating in the 3400–3600 MHz band is detailed in Part 4.2 of the </w:t>
      </w:r>
      <w:hyperlink r:id="rId41" w:history="1">
        <w:r w:rsidRPr="00C34869">
          <w:rPr>
            <w:rStyle w:val="Hyperlink"/>
            <w:i/>
            <w:iCs/>
          </w:rPr>
          <w:t>Radiocommunications Advisory Guidelines (Managing Interference from Spectrum Licensed Transmitters — 3.4 GHz Band) 2015</w:t>
        </w:r>
      </w:hyperlink>
      <w:r>
        <w:t>.</w:t>
      </w:r>
    </w:p>
    <w:p w14:paraId="036A6577" w14:textId="308BC180" w:rsidR="00C34869" w:rsidRDefault="00C34869" w:rsidP="005E5B48">
      <w:pPr>
        <w:ind w:left="11"/>
      </w:pPr>
      <w:r>
        <w:t xml:space="preserve">It is noted that Earth </w:t>
      </w:r>
      <w:r w:rsidR="00F2412E">
        <w:t xml:space="preserve">receive </w:t>
      </w:r>
      <w:r>
        <w:t>station</w:t>
      </w:r>
      <w:r w:rsidR="00F2412E">
        <w:t>s</w:t>
      </w:r>
      <w:r>
        <w:t xml:space="preserve"> operate on a secondary basis in the 3400–3600 MHz band. Therefore, in the event coordination indicates that interference may occur, </w:t>
      </w:r>
      <w:r w:rsidR="00F2412E">
        <w:t xml:space="preserve">the AWL </w:t>
      </w:r>
      <w:r>
        <w:t>licensee must notify</w:t>
      </w:r>
      <w:r>
        <w:rPr>
          <w:rStyle w:val="FootnoteReference"/>
        </w:rPr>
        <w:footnoteReference w:id="5"/>
      </w:r>
      <w:r>
        <w:t xml:space="preserve"> and make reasonable efforts to work with the affected Earth station licensees operating in the 3400–3600 MHz </w:t>
      </w:r>
      <w:r w:rsidR="00DC1130">
        <w:t xml:space="preserve">band </w:t>
      </w:r>
      <w:r>
        <w:t>to enable coexistence.  If there is no practical solution, services operated under a</w:t>
      </w:r>
      <w:r w:rsidR="001F2CAC">
        <w:t>n</w:t>
      </w:r>
      <w:r w:rsidR="00F2412E">
        <w:t xml:space="preserve"> AWL</w:t>
      </w:r>
      <w:r>
        <w:t xml:space="preserve"> have priority.</w:t>
      </w:r>
    </w:p>
    <w:p w14:paraId="118FBD31" w14:textId="6353AFD0" w:rsidR="00C34869" w:rsidRDefault="00C34869" w:rsidP="005E5B48">
      <w:pPr>
        <w:pStyle w:val="Heading4"/>
        <w:ind w:left="11"/>
      </w:pPr>
      <w:r>
        <w:lastRenderedPageBreak/>
        <w:t>3600–4200 MHz band</w:t>
      </w:r>
    </w:p>
    <w:p w14:paraId="211FF3BD" w14:textId="2E4BAA1D" w:rsidR="00C34869" w:rsidRDefault="00C34869" w:rsidP="005E5B48">
      <w:pPr>
        <w:ind w:left="11"/>
      </w:pPr>
      <w:r>
        <w:t xml:space="preserve">Protection of and coordination with Earth </w:t>
      </w:r>
      <w:r w:rsidR="00F2412E">
        <w:t>receive</w:t>
      </w:r>
      <w:r>
        <w:t xml:space="preserve"> station</w:t>
      </w:r>
      <w:r w:rsidR="00F2412E">
        <w:t>s</w:t>
      </w:r>
      <w:r>
        <w:t xml:space="preserve"> </w:t>
      </w:r>
      <w:r w:rsidR="0096293B">
        <w:t xml:space="preserve">authorised under an earth receive licence and </w:t>
      </w:r>
      <w:r>
        <w:t xml:space="preserve">operating in the </w:t>
      </w:r>
      <w:r w:rsidR="005C004A">
        <w:t xml:space="preserve">relevant the </w:t>
      </w:r>
      <w:r w:rsidR="009111E4">
        <w:t>3600–4200</w:t>
      </w:r>
      <w:r w:rsidR="00F55FE3">
        <w:t> </w:t>
      </w:r>
      <w:r w:rsidR="009111E4">
        <w:t>MHz</w:t>
      </w:r>
      <w:r>
        <w:t xml:space="preserve"> band is detailed in </w:t>
      </w:r>
      <w:r w:rsidR="00F55FE3">
        <w:t>Part </w:t>
      </w:r>
      <w:r>
        <w:t>4.</w:t>
      </w:r>
      <w:r w:rsidR="00F55FE3">
        <w:t xml:space="preserve">3 </w:t>
      </w:r>
      <w:r>
        <w:t xml:space="preserve">of the </w:t>
      </w:r>
      <w:hyperlink r:id="rId42" w:history="1">
        <w:r w:rsidRPr="00C34869">
          <w:rPr>
            <w:rStyle w:val="Hyperlink"/>
            <w:i/>
            <w:iCs/>
          </w:rPr>
          <w:t>Radiocommunications Advisory Guidelines (Managing Interference from Spectrum Licensed Transmitters — 3.4 GHz Band) 2015</w:t>
        </w:r>
      </w:hyperlink>
      <w:r>
        <w:t>.</w:t>
      </w:r>
      <w:r w:rsidR="006130E1">
        <w:t>, with the following used in place of Table 1 of 4.3.(4):</w:t>
      </w:r>
    </w:p>
    <w:tbl>
      <w:tblPr>
        <w:tblStyle w:val="TableGrid"/>
        <w:tblW w:w="0" w:type="auto"/>
        <w:jc w:val="center"/>
        <w:tblLook w:val="04A0" w:firstRow="1" w:lastRow="0" w:firstColumn="1" w:lastColumn="0" w:noHBand="0" w:noVBand="1"/>
        <w:tblCaption w:val="Shows Frequency offset (MHz) from the lower or upper frequency on the earth receive station licence and rejection (dB)"/>
      </w:tblPr>
      <w:tblGrid>
        <w:gridCol w:w="3192"/>
        <w:gridCol w:w="2925"/>
      </w:tblGrid>
      <w:tr w:rsidR="006130E1" w:rsidRPr="006130E1" w14:paraId="74FD47DD" w14:textId="77777777" w:rsidTr="00F94F0A">
        <w:trPr>
          <w:trHeight w:val="498"/>
          <w:tblHeader/>
          <w:jc w:val="center"/>
        </w:trPr>
        <w:tc>
          <w:tcPr>
            <w:tcW w:w="3192" w:type="dxa"/>
            <w:tcBorders>
              <w:top w:val="single" w:sz="4" w:space="0" w:color="auto"/>
              <w:left w:val="single" w:sz="4" w:space="0" w:color="auto"/>
              <w:bottom w:val="single" w:sz="4" w:space="0" w:color="auto"/>
              <w:right w:val="single" w:sz="4" w:space="0" w:color="auto"/>
            </w:tcBorders>
            <w:hideMark/>
          </w:tcPr>
          <w:p w14:paraId="5B6E60FE" w14:textId="415699D8" w:rsidR="006130E1" w:rsidRPr="006130E1" w:rsidRDefault="006130E1" w:rsidP="006130E1">
            <w:pPr>
              <w:ind w:left="11"/>
              <w:rPr>
                <w:b/>
              </w:rPr>
            </w:pPr>
            <w:r w:rsidRPr="006130E1">
              <w:rPr>
                <w:b/>
                <w:bCs/>
              </w:rPr>
              <w:t xml:space="preserve">Frequency offset from </w:t>
            </w:r>
            <w:r>
              <w:rPr>
                <w:b/>
                <w:bCs/>
              </w:rPr>
              <w:t>nearest</w:t>
            </w:r>
            <w:r w:rsidRPr="006130E1">
              <w:rPr>
                <w:b/>
                <w:bCs/>
              </w:rPr>
              <w:t xml:space="preserve"> edge of Earth station receiver </w:t>
            </w:r>
            <w:r w:rsidR="00AB000A">
              <w:rPr>
                <w:b/>
                <w:bCs/>
              </w:rPr>
              <w:t xml:space="preserve">licence </w:t>
            </w:r>
            <w:r w:rsidRPr="006130E1">
              <w:rPr>
                <w:b/>
                <w:bCs/>
              </w:rPr>
              <w:t>(</w:t>
            </w:r>
            <w:r w:rsidR="00AB000A">
              <w:rPr>
                <w:b/>
                <w:bCs/>
              </w:rPr>
              <w:t xml:space="preserve">MHz </w:t>
            </w:r>
            <w:r w:rsidRPr="006130E1">
              <w:rPr>
                <w:b/>
                <w:bCs/>
              </w:rPr>
              <w:t>)</w:t>
            </w:r>
          </w:p>
        </w:tc>
        <w:tc>
          <w:tcPr>
            <w:tcW w:w="2925" w:type="dxa"/>
            <w:tcBorders>
              <w:top w:val="single" w:sz="4" w:space="0" w:color="auto"/>
              <w:left w:val="single" w:sz="4" w:space="0" w:color="auto"/>
              <w:right w:val="single" w:sz="4" w:space="0" w:color="auto"/>
            </w:tcBorders>
          </w:tcPr>
          <w:p w14:paraId="348BDF2B" w14:textId="77777777" w:rsidR="006130E1" w:rsidRPr="006130E1" w:rsidRDefault="006130E1" w:rsidP="006130E1">
            <w:pPr>
              <w:ind w:left="11"/>
              <w:rPr>
                <w:b/>
              </w:rPr>
            </w:pPr>
            <w:r w:rsidRPr="006130E1">
              <w:rPr>
                <w:b/>
              </w:rPr>
              <w:t>Rejection (dB)</w:t>
            </w:r>
          </w:p>
        </w:tc>
      </w:tr>
      <w:tr w:rsidR="006130E1" w:rsidRPr="006130E1" w14:paraId="157821CE" w14:textId="77777777" w:rsidTr="00F94F0A">
        <w:trPr>
          <w:jc w:val="center"/>
        </w:trPr>
        <w:tc>
          <w:tcPr>
            <w:tcW w:w="3192" w:type="dxa"/>
            <w:tcBorders>
              <w:top w:val="single" w:sz="4" w:space="0" w:color="auto"/>
              <w:left w:val="single" w:sz="4" w:space="0" w:color="auto"/>
              <w:bottom w:val="single" w:sz="4" w:space="0" w:color="auto"/>
              <w:right w:val="single" w:sz="4" w:space="0" w:color="auto"/>
            </w:tcBorders>
            <w:hideMark/>
          </w:tcPr>
          <w:p w14:paraId="33BAE1EC" w14:textId="77777777" w:rsidR="006130E1" w:rsidRPr="006130E1" w:rsidRDefault="006130E1" w:rsidP="006130E1">
            <w:pPr>
              <w:ind w:left="11"/>
            </w:pPr>
            <w:r w:rsidRPr="006130E1">
              <w:t>&lt; 50</w:t>
            </w:r>
          </w:p>
        </w:tc>
        <w:tc>
          <w:tcPr>
            <w:tcW w:w="2925" w:type="dxa"/>
            <w:tcBorders>
              <w:top w:val="single" w:sz="4" w:space="0" w:color="auto"/>
              <w:left w:val="single" w:sz="4" w:space="0" w:color="auto"/>
              <w:bottom w:val="single" w:sz="4" w:space="0" w:color="auto"/>
              <w:right w:val="single" w:sz="4" w:space="0" w:color="auto"/>
            </w:tcBorders>
          </w:tcPr>
          <w:p w14:paraId="2379DF4C" w14:textId="77777777" w:rsidR="006130E1" w:rsidRPr="006130E1" w:rsidRDefault="006130E1" w:rsidP="006130E1">
            <w:pPr>
              <w:ind w:left="11"/>
            </w:pPr>
            <w:r w:rsidRPr="006130E1">
              <w:t>0.5 + 0.6*f</w:t>
            </w:r>
            <w:r w:rsidRPr="006130E1">
              <w:rPr>
                <w:vertAlign w:val="subscript"/>
              </w:rPr>
              <w:t xml:space="preserve">offset </w:t>
            </w:r>
            <w:r w:rsidRPr="006130E1">
              <w:t>(MHz)</w:t>
            </w:r>
          </w:p>
        </w:tc>
      </w:tr>
      <w:tr w:rsidR="006130E1" w:rsidRPr="006130E1" w14:paraId="71BD32E9" w14:textId="77777777" w:rsidTr="00F94F0A">
        <w:trPr>
          <w:jc w:val="center"/>
        </w:trPr>
        <w:tc>
          <w:tcPr>
            <w:tcW w:w="3192" w:type="dxa"/>
            <w:tcBorders>
              <w:top w:val="single" w:sz="4" w:space="0" w:color="auto"/>
              <w:left w:val="single" w:sz="4" w:space="0" w:color="auto"/>
              <w:bottom w:val="single" w:sz="4" w:space="0" w:color="auto"/>
              <w:right w:val="single" w:sz="4" w:space="0" w:color="auto"/>
            </w:tcBorders>
          </w:tcPr>
          <w:p w14:paraId="3CB5A258" w14:textId="77777777" w:rsidR="006130E1" w:rsidRPr="006130E1" w:rsidRDefault="006130E1" w:rsidP="006130E1">
            <w:pPr>
              <w:ind w:left="11"/>
            </w:pPr>
            <w:r w:rsidRPr="006130E1">
              <w:t>&lt;110</w:t>
            </w:r>
          </w:p>
        </w:tc>
        <w:tc>
          <w:tcPr>
            <w:tcW w:w="2925" w:type="dxa"/>
            <w:tcBorders>
              <w:top w:val="single" w:sz="4" w:space="0" w:color="auto"/>
              <w:left w:val="single" w:sz="4" w:space="0" w:color="auto"/>
              <w:bottom w:val="single" w:sz="4" w:space="0" w:color="auto"/>
              <w:right w:val="single" w:sz="4" w:space="0" w:color="auto"/>
            </w:tcBorders>
          </w:tcPr>
          <w:p w14:paraId="1F21E0E3" w14:textId="77777777" w:rsidR="006130E1" w:rsidRPr="006130E1" w:rsidRDefault="006130E1" w:rsidP="006130E1">
            <w:pPr>
              <w:ind w:left="11"/>
            </w:pPr>
            <w:r w:rsidRPr="006130E1">
              <w:t>45.5</w:t>
            </w:r>
          </w:p>
        </w:tc>
      </w:tr>
      <w:tr w:rsidR="006130E1" w:rsidRPr="006130E1" w14:paraId="748C840B" w14:textId="77777777" w:rsidTr="00F94F0A">
        <w:trPr>
          <w:jc w:val="center"/>
        </w:trPr>
        <w:tc>
          <w:tcPr>
            <w:tcW w:w="3192" w:type="dxa"/>
            <w:tcBorders>
              <w:top w:val="single" w:sz="4" w:space="0" w:color="auto"/>
              <w:left w:val="single" w:sz="4" w:space="0" w:color="auto"/>
              <w:bottom w:val="single" w:sz="4" w:space="0" w:color="auto"/>
              <w:right w:val="single" w:sz="4" w:space="0" w:color="auto"/>
            </w:tcBorders>
            <w:hideMark/>
          </w:tcPr>
          <w:p w14:paraId="02571BAB" w14:textId="77777777" w:rsidR="006130E1" w:rsidRPr="006130E1" w:rsidRDefault="006130E1" w:rsidP="006130E1">
            <w:pPr>
              <w:ind w:left="11"/>
            </w:pPr>
            <w:r w:rsidRPr="006130E1">
              <w:t>&lt; 150</w:t>
            </w:r>
          </w:p>
        </w:tc>
        <w:tc>
          <w:tcPr>
            <w:tcW w:w="2925" w:type="dxa"/>
            <w:tcBorders>
              <w:top w:val="single" w:sz="4" w:space="0" w:color="auto"/>
              <w:left w:val="single" w:sz="4" w:space="0" w:color="auto"/>
              <w:bottom w:val="single" w:sz="4" w:space="0" w:color="auto"/>
              <w:right w:val="single" w:sz="4" w:space="0" w:color="auto"/>
            </w:tcBorders>
          </w:tcPr>
          <w:p w14:paraId="62CD2EE2" w14:textId="77777777" w:rsidR="006130E1" w:rsidRPr="006130E1" w:rsidRDefault="006130E1" w:rsidP="006130E1">
            <w:pPr>
              <w:ind w:left="11"/>
            </w:pPr>
            <w:r w:rsidRPr="006130E1">
              <w:t>30.5 + 0.25*(f</w:t>
            </w:r>
            <w:r w:rsidRPr="006130E1">
              <w:rPr>
                <w:vertAlign w:val="subscript"/>
              </w:rPr>
              <w:t xml:space="preserve">offset </w:t>
            </w:r>
            <w:r w:rsidRPr="006130E1">
              <w:t>(MHz)-50)</w:t>
            </w:r>
          </w:p>
        </w:tc>
      </w:tr>
      <w:tr w:rsidR="006130E1" w:rsidRPr="006130E1" w14:paraId="47D4118F" w14:textId="77777777" w:rsidTr="00F94F0A">
        <w:trPr>
          <w:jc w:val="center"/>
        </w:trPr>
        <w:tc>
          <w:tcPr>
            <w:tcW w:w="3192" w:type="dxa"/>
            <w:tcBorders>
              <w:top w:val="single" w:sz="4" w:space="0" w:color="auto"/>
              <w:left w:val="single" w:sz="4" w:space="0" w:color="auto"/>
              <w:bottom w:val="single" w:sz="4" w:space="0" w:color="auto"/>
              <w:right w:val="single" w:sz="4" w:space="0" w:color="auto"/>
            </w:tcBorders>
            <w:hideMark/>
          </w:tcPr>
          <w:p w14:paraId="4DB29913" w14:textId="77777777" w:rsidR="006130E1" w:rsidRPr="006130E1" w:rsidRDefault="006130E1" w:rsidP="006130E1">
            <w:pPr>
              <w:ind w:left="11"/>
            </w:pPr>
            <w:r w:rsidRPr="006130E1">
              <w:t>&lt; 200</w:t>
            </w:r>
          </w:p>
        </w:tc>
        <w:tc>
          <w:tcPr>
            <w:tcW w:w="2925" w:type="dxa"/>
            <w:tcBorders>
              <w:top w:val="single" w:sz="4" w:space="0" w:color="auto"/>
              <w:left w:val="single" w:sz="4" w:space="0" w:color="auto"/>
              <w:bottom w:val="single" w:sz="4" w:space="0" w:color="auto"/>
              <w:right w:val="single" w:sz="4" w:space="0" w:color="auto"/>
            </w:tcBorders>
          </w:tcPr>
          <w:p w14:paraId="57A74A23" w14:textId="77777777" w:rsidR="006130E1" w:rsidRPr="006130E1" w:rsidRDefault="006130E1" w:rsidP="006130E1">
            <w:pPr>
              <w:ind w:left="11"/>
            </w:pPr>
            <w:r w:rsidRPr="006130E1">
              <w:t>55.5</w:t>
            </w:r>
          </w:p>
        </w:tc>
      </w:tr>
      <w:tr w:rsidR="006130E1" w:rsidRPr="006130E1" w14:paraId="789E3E9F" w14:textId="77777777" w:rsidTr="00F94F0A">
        <w:trPr>
          <w:jc w:val="center"/>
        </w:trPr>
        <w:tc>
          <w:tcPr>
            <w:tcW w:w="3192" w:type="dxa"/>
            <w:tcBorders>
              <w:top w:val="single" w:sz="4" w:space="0" w:color="auto"/>
              <w:left w:val="single" w:sz="4" w:space="0" w:color="auto"/>
              <w:bottom w:val="single" w:sz="4" w:space="0" w:color="auto"/>
              <w:right w:val="single" w:sz="4" w:space="0" w:color="auto"/>
            </w:tcBorders>
          </w:tcPr>
          <w:p w14:paraId="2DB2638E" w14:textId="77777777" w:rsidR="006130E1" w:rsidRPr="006130E1" w:rsidRDefault="006130E1" w:rsidP="006130E1">
            <w:pPr>
              <w:ind w:left="11"/>
            </w:pPr>
            <w:r w:rsidRPr="006130E1">
              <w:t>≥ 200</w:t>
            </w:r>
          </w:p>
        </w:tc>
        <w:tc>
          <w:tcPr>
            <w:tcW w:w="2925" w:type="dxa"/>
            <w:tcBorders>
              <w:top w:val="single" w:sz="4" w:space="0" w:color="auto"/>
              <w:left w:val="single" w:sz="4" w:space="0" w:color="auto"/>
              <w:bottom w:val="single" w:sz="4" w:space="0" w:color="auto"/>
              <w:right w:val="single" w:sz="4" w:space="0" w:color="auto"/>
            </w:tcBorders>
          </w:tcPr>
          <w:p w14:paraId="2FA218CD" w14:textId="77777777" w:rsidR="006130E1" w:rsidRPr="006130E1" w:rsidRDefault="006130E1" w:rsidP="006130E1">
            <w:pPr>
              <w:ind w:left="11"/>
            </w:pPr>
            <w:r w:rsidRPr="006130E1">
              <w:t>70</w:t>
            </w:r>
          </w:p>
        </w:tc>
      </w:tr>
    </w:tbl>
    <w:p w14:paraId="7D0EAC45" w14:textId="77777777" w:rsidR="006130E1" w:rsidRPr="006130E1" w:rsidRDefault="006130E1" w:rsidP="006130E1">
      <w:pPr>
        <w:ind w:left="11"/>
        <w:rPr>
          <w:b/>
          <w:bCs/>
        </w:rPr>
      </w:pPr>
      <w:r w:rsidRPr="006130E1">
        <w:rPr>
          <w:b/>
          <w:bCs/>
        </w:rPr>
        <w:t xml:space="preserve">Table 1: Minimum frequency response of earth receive station’s RF filter </w:t>
      </w:r>
    </w:p>
    <w:p w14:paraId="36F3C5C8" w14:textId="0ACBCD57" w:rsidR="006130E1" w:rsidRPr="006130E1" w:rsidRDefault="006130E1" w:rsidP="006130E1">
      <w:pPr>
        <w:ind w:left="11"/>
      </w:pPr>
      <w:r w:rsidRPr="006130E1">
        <w:rPr>
          <w:i/>
        </w:rPr>
        <w:t xml:space="preserve">Note </w:t>
      </w:r>
      <w:r w:rsidRPr="006130E1">
        <w:rPr>
          <w:i/>
        </w:rPr>
        <w:tab/>
      </w:r>
      <w:r w:rsidRPr="006130E1">
        <w:t xml:space="preserve">When there are multiple earth receive licences operating on the same antenna, the RF filter characteristics described in Table 1 should only be applied from the </w:t>
      </w:r>
      <w:r>
        <w:t>nearest</w:t>
      </w:r>
      <w:r w:rsidRPr="006130E1">
        <w:t xml:space="preserve"> </w:t>
      </w:r>
      <w:r>
        <w:t xml:space="preserve">(upper or lower, as </w:t>
      </w:r>
      <w:r w:rsidR="00C7473E">
        <w:t>applicable</w:t>
      </w:r>
      <w:r>
        <w:t xml:space="preserve">) </w:t>
      </w:r>
      <w:r w:rsidRPr="006130E1">
        <w:t xml:space="preserve">edge of the </w:t>
      </w:r>
      <w:r>
        <w:t>nearest</w:t>
      </w:r>
      <w:r w:rsidRPr="006130E1">
        <w:t xml:space="preserve"> frequency licence.  </w:t>
      </w:r>
    </w:p>
    <w:p w14:paraId="27C9D462" w14:textId="77777777" w:rsidR="006130E1" w:rsidRPr="00C34869" w:rsidRDefault="006130E1" w:rsidP="005E5B48">
      <w:pPr>
        <w:ind w:left="11"/>
      </w:pPr>
    </w:p>
    <w:p w14:paraId="5ECF93A4" w14:textId="77BC2B0E" w:rsidR="00A4667A" w:rsidRDefault="00A4667A" w:rsidP="005E5B48">
      <w:pPr>
        <w:pStyle w:val="Heading3"/>
        <w:ind w:left="720" w:hanging="709"/>
      </w:pPr>
      <w:bookmarkStart w:id="113" w:name="_Toc90984602"/>
      <w:r>
        <w:t>Radiodetermination services</w:t>
      </w:r>
      <w:bookmarkEnd w:id="113"/>
    </w:p>
    <w:p w14:paraId="0454C0F1" w14:textId="0F94D8A9" w:rsidR="00EC1D2F" w:rsidRDefault="00EC1D2F" w:rsidP="005E5B48">
      <w:pPr>
        <w:ind w:left="11"/>
      </w:pPr>
      <w:r>
        <w:t xml:space="preserve">High power radiolocation services in the 3100–3500 MHz band are operated by the Department of Defence on an itinerant basis.  These radiolocation services have the potential to disrupt the throughput of receivers operating in-band or </w:t>
      </w:r>
      <w:r w:rsidR="001450A3">
        <w:t xml:space="preserve">in the </w:t>
      </w:r>
      <w:r>
        <w:t>adjacent band to radiolocation services, particularly on the uplink channel (base station receiver).</w:t>
      </w:r>
    </w:p>
    <w:p w14:paraId="745C7CBA" w14:textId="77777777" w:rsidR="00EC1D2F" w:rsidRDefault="00EC1D2F" w:rsidP="005E5B48">
      <w:pPr>
        <w:ind w:left="11"/>
      </w:pPr>
      <w:r>
        <w:t>The Department of Defence is expected to take all reasonable measures to minimise the impact of radiolocation services to other in-band and adjacent band services.  However, there will be occasions when interference cannot be fully mitigated.  In such instances the interference may be due to blocking, strong out-of-band radar emissions or other susceptibilities within a fixed or mobile wireless network configuration.</w:t>
      </w:r>
    </w:p>
    <w:p w14:paraId="38F4B762" w14:textId="07874448" w:rsidR="003A6B60" w:rsidRDefault="00EC1D2F" w:rsidP="005E5B48">
      <w:pPr>
        <w:ind w:left="11"/>
      </w:pPr>
      <w:r>
        <w:t>When planning service deployments, 3400–3700 MHz band apparatus licensees are urged to consider additional measures to reduce the likelihood of impact to services operating under their licence.  If such measures are necessary, it is likely that they would only apply in specific areas that are subject to regular radar use.  They may include additional RF filtering, network redundancy, or resilience of network configuration where vulnerabilities to radar signal interference are identified.  The ACMA will work with the Department of Defence to make available, where feasible, any additional information that may assist existing or prospective 3400–3700 MHz band apparatus licensees on this matter.</w:t>
      </w:r>
    </w:p>
    <w:p w14:paraId="6B53287D" w14:textId="53A05106" w:rsidR="006708D0" w:rsidRDefault="006708D0" w:rsidP="005E5B48">
      <w:pPr>
        <w:ind w:left="11"/>
      </w:pPr>
      <w:r w:rsidRPr="006708D0">
        <w:t xml:space="preserve">Radiocommunications transmitters operated under </w:t>
      </w:r>
      <w:r>
        <w:t>an area wide licence</w:t>
      </w:r>
      <w:r w:rsidRPr="006708D0">
        <w:t xml:space="preserve"> in </w:t>
      </w:r>
      <w:r w:rsidR="00361EBE">
        <w:t xml:space="preserve">the 3400 MHz to 4000 MHz band, in </w:t>
      </w:r>
      <w:r w:rsidRPr="006708D0">
        <w:t>accordance with the conditions of the licence</w:t>
      </w:r>
      <w:r w:rsidR="00361EBE">
        <w:t>,</w:t>
      </w:r>
      <w:r w:rsidRPr="006708D0">
        <w:t xml:space="preserve"> are not taken to cause </w:t>
      </w:r>
      <w:r w:rsidRPr="006708D0">
        <w:lastRenderedPageBreak/>
        <w:t>unacceptable interference to radiolocation services operating in the 3100-3400 MHz or 3400-3600 MHz bands.</w:t>
      </w:r>
    </w:p>
    <w:p w14:paraId="076AFC18" w14:textId="4676A5FA" w:rsidR="00A4667A" w:rsidRDefault="00A4667A" w:rsidP="005E5B48">
      <w:pPr>
        <w:pStyle w:val="Heading3"/>
        <w:ind w:left="720" w:hanging="709"/>
      </w:pPr>
      <w:bookmarkStart w:id="114" w:name="_Toc90984603"/>
      <w:r>
        <w:t>Amateur service</w:t>
      </w:r>
      <w:bookmarkEnd w:id="114"/>
    </w:p>
    <w:p w14:paraId="370EA516" w14:textId="49930B07" w:rsidR="00D632EC" w:rsidRDefault="00D632EC" w:rsidP="005E5B48">
      <w:pPr>
        <w:ind w:left="11"/>
      </w:pPr>
      <w:r>
        <w:t xml:space="preserve">The </w:t>
      </w:r>
      <w:hyperlink r:id="rId43" w:history="1">
        <w:r w:rsidRPr="00D632EC">
          <w:rPr>
            <w:rStyle w:val="Hyperlink"/>
            <w:i/>
            <w:iCs/>
          </w:rPr>
          <w:t>Radiocommunications Licence Conditions (Amateur Licence) Determination 2015</w:t>
        </w:r>
      </w:hyperlink>
      <w:r>
        <w:t xml:space="preserve"> allows the Advanced Amateur licensees to operate in various portions of the 3400–3600 MHz band in defined geographical areas.  The </w:t>
      </w:r>
      <w:hyperlink r:id="rId44" w:history="1">
        <w:r w:rsidRPr="00D632EC">
          <w:rPr>
            <w:rStyle w:val="Hyperlink"/>
            <w:i/>
            <w:iCs/>
          </w:rPr>
          <w:t>Australian Radiofrequency Spectrum Plan 2017</w:t>
        </w:r>
      </w:hyperlink>
      <w:r>
        <w:t xml:space="preserve"> sets a secondary status for all Amateur services in the 3400–3600 MHz band.  This status means that incumbent amateur services must not cause interference to a primary service and cannot claim protection from interference from a primary service.</w:t>
      </w:r>
    </w:p>
    <w:p w14:paraId="59F98B5E" w14:textId="3A4F7456" w:rsidR="00EC1D2F" w:rsidRPr="00EC1D2F" w:rsidRDefault="00D632EC" w:rsidP="005E5B48">
      <w:pPr>
        <w:ind w:left="11"/>
      </w:pPr>
      <w:r>
        <w:t xml:space="preserve">Coordination of Amateur Beacon or Repeater licences with </w:t>
      </w:r>
      <w:r w:rsidR="00E94CB0">
        <w:t>registered AWL</w:t>
      </w:r>
      <w:r>
        <w:t xml:space="preserve"> receivers operating in the 3400–3600 MHz band is conducted using the </w:t>
      </w:r>
      <w:r w:rsidR="00E94CB0">
        <w:rPr>
          <w:szCs w:val="22"/>
        </w:rPr>
        <w:t xml:space="preserve">notional receiver performance level set out in Schedule 1 of </w:t>
      </w:r>
      <w:r w:rsidR="00E94CB0" w:rsidRPr="00976810">
        <w:rPr>
          <w:i/>
          <w:szCs w:val="22"/>
        </w:rPr>
        <w:t>Radiocommunications Advisory Guidelines (Managing Interference to Spectrum Licensed Receivers — 3.4 GHz Band) 2015</w:t>
      </w:r>
      <w:r w:rsidR="00E94CB0">
        <w:t>, as in force from time to time</w:t>
      </w:r>
      <w:r w:rsidRPr="00C43F60">
        <w:t>.  In the event coordination indicates that interference may occur to a</w:t>
      </w:r>
      <w:r>
        <w:t xml:space="preserve"> </w:t>
      </w:r>
      <w:r w:rsidR="00E94CB0">
        <w:t xml:space="preserve">registered AWL </w:t>
      </w:r>
      <w:r>
        <w:t xml:space="preserve">receiver, it is recommended that the </w:t>
      </w:r>
      <w:r w:rsidR="00E94CB0">
        <w:t>AWL</w:t>
      </w:r>
      <w:r>
        <w:t xml:space="preserve"> licensee</w:t>
      </w:r>
      <w:r w:rsidR="00E94CB0">
        <w:t xml:space="preserve"> </w:t>
      </w:r>
      <w:r>
        <w:t>notify</w:t>
      </w:r>
      <w:r>
        <w:rPr>
          <w:rStyle w:val="FootnoteReference"/>
        </w:rPr>
        <w:footnoteReference w:id="6"/>
      </w:r>
      <w:r>
        <w:t xml:space="preserve"> and make reasonable efforts to work with the affected amateur licensees operating to enable coexistence and prevent harmful interference from occurring.  However, in the event there is no practical solution, services operated under a</w:t>
      </w:r>
      <w:r w:rsidR="007B34F5">
        <w:t>n AWL</w:t>
      </w:r>
      <w:r>
        <w:t xml:space="preserve"> have priority (i.e. Amateur services cannot claim protection from or cause interference to a</w:t>
      </w:r>
      <w:r w:rsidR="007B34F5">
        <w:t>n AWL</w:t>
      </w:r>
      <w:r>
        <w:t xml:space="preserve"> service).</w:t>
      </w:r>
    </w:p>
    <w:p w14:paraId="625D792C" w14:textId="723A13DD" w:rsidR="00A4667A" w:rsidRDefault="00A4667A" w:rsidP="005E5B48">
      <w:pPr>
        <w:pStyle w:val="Heading2"/>
        <w:ind w:left="720" w:hanging="709"/>
      </w:pPr>
      <w:bookmarkStart w:id="115" w:name="_Toc90984604"/>
      <w:r>
        <w:t>Site engineering aspects</w:t>
      </w:r>
      <w:bookmarkEnd w:id="115"/>
    </w:p>
    <w:p w14:paraId="0F12C50C" w14:textId="62EE3E43" w:rsidR="006C752F" w:rsidRPr="006C752F" w:rsidRDefault="006C752F" w:rsidP="005E5B48">
      <w:pPr>
        <w:ind w:left="11"/>
        <w:rPr>
          <w:szCs w:val="22"/>
        </w:rPr>
      </w:pPr>
      <w:r w:rsidRPr="006C752F">
        <w:rPr>
          <w:szCs w:val="22"/>
        </w:rPr>
        <w:t xml:space="preserve">At shared sites, </w:t>
      </w:r>
      <w:r w:rsidR="0036667C">
        <w:rPr>
          <w:szCs w:val="22"/>
        </w:rPr>
        <w:t>that is</w:t>
      </w:r>
      <w:r w:rsidRPr="006C752F">
        <w:rPr>
          <w:szCs w:val="22"/>
        </w:rPr>
        <w:t xml:space="preserve"> sites within 500</w:t>
      </w:r>
      <w:r>
        <w:rPr>
          <w:szCs w:val="22"/>
        </w:rPr>
        <w:t> </w:t>
      </w:r>
      <w:r w:rsidRPr="006C752F">
        <w:rPr>
          <w:szCs w:val="22"/>
        </w:rPr>
        <w:t xml:space="preserve">m of each other, </w:t>
      </w:r>
      <w:r w:rsidR="00B709D2" w:rsidRPr="006C752F">
        <w:rPr>
          <w:szCs w:val="22"/>
        </w:rPr>
        <w:t>several</w:t>
      </w:r>
      <w:r w:rsidRPr="006C752F">
        <w:rPr>
          <w:szCs w:val="22"/>
        </w:rPr>
        <w:t xml:space="preserve"> potential interference mechanisms other than co-channel or adjacent channel interference may occur.  These include intermodulation, transient and spurious emissions, receiver and desensitisation, and physical blocking.  These mechanisms are caused by non-linear and often complex processes that are, usually, not readily predicted using information contained in the ACMA’s </w:t>
      </w:r>
      <w:hyperlink r:id="rId45" w:history="1">
        <w:r w:rsidRPr="006C752F">
          <w:rPr>
            <w:rStyle w:val="Hyperlink"/>
            <w:i/>
            <w:iCs/>
            <w:szCs w:val="22"/>
          </w:rPr>
          <w:t>RRL</w:t>
        </w:r>
      </w:hyperlink>
      <w:r w:rsidRPr="006C752F">
        <w:rPr>
          <w:szCs w:val="22"/>
        </w:rPr>
        <w:t>.  Nevertheless, several site engineering methods can be applied to address these potential interference scenarios.  These include, but are not limited to, RF filtering, site shielding, frequency separation, site location and power reduction.</w:t>
      </w:r>
    </w:p>
    <w:p w14:paraId="44AEF9F0" w14:textId="01015A28" w:rsidR="006C752F" w:rsidRPr="006C752F" w:rsidRDefault="006C752F" w:rsidP="005E5B48">
      <w:pPr>
        <w:ind w:left="11"/>
        <w:rPr>
          <w:szCs w:val="22"/>
        </w:rPr>
      </w:pPr>
      <w:r w:rsidRPr="006C752F">
        <w:rPr>
          <w:szCs w:val="22"/>
        </w:rPr>
        <w:t>Most of the methods mentioned above require co-operation and co-ordination between licensees.  This is easily achieved where the two systems are owned by the same licensee.</w:t>
      </w:r>
      <w:r>
        <w:rPr>
          <w:szCs w:val="22"/>
        </w:rPr>
        <w:t xml:space="preserve"> </w:t>
      </w:r>
      <w:r w:rsidRPr="006C752F">
        <w:rPr>
          <w:szCs w:val="22"/>
        </w:rPr>
        <w:t xml:space="preserve"> </w:t>
      </w:r>
      <w:r w:rsidR="008E4C48">
        <w:rPr>
          <w:szCs w:val="22"/>
        </w:rPr>
        <w:t>Where n</w:t>
      </w:r>
      <w:r w:rsidRPr="006C752F">
        <w:rPr>
          <w:szCs w:val="22"/>
        </w:rPr>
        <w:t xml:space="preserve">eighbouring systems are </w:t>
      </w:r>
      <w:r w:rsidR="008E4C48">
        <w:rPr>
          <w:szCs w:val="22"/>
        </w:rPr>
        <w:t>not</w:t>
      </w:r>
      <w:r w:rsidRPr="006C752F">
        <w:rPr>
          <w:szCs w:val="22"/>
        </w:rPr>
        <w:t xml:space="preserve"> owned by the same licensee formal discussions may be required.</w:t>
      </w:r>
    </w:p>
    <w:p w14:paraId="1C0677BA" w14:textId="2F3E01D9" w:rsidR="006C752F" w:rsidRPr="006C752F" w:rsidRDefault="006C752F" w:rsidP="005E5B48">
      <w:pPr>
        <w:ind w:left="11"/>
        <w:rPr>
          <w:szCs w:val="22"/>
        </w:rPr>
      </w:pPr>
      <w:r w:rsidRPr="006C752F">
        <w:rPr>
          <w:szCs w:val="22"/>
        </w:rPr>
        <w:t xml:space="preserve">In the case of co-siting with spectrum licensed devices </w:t>
      </w:r>
      <w:r w:rsidR="00333316">
        <w:rPr>
          <w:szCs w:val="22"/>
        </w:rPr>
        <w:t>or other AWL licensees</w:t>
      </w:r>
      <w:r w:rsidRPr="006C752F">
        <w:rPr>
          <w:szCs w:val="22"/>
        </w:rPr>
        <w:t xml:space="preserve"> (i.e. sites within 500</w:t>
      </w:r>
      <w:r>
        <w:rPr>
          <w:szCs w:val="22"/>
        </w:rPr>
        <w:t> </w:t>
      </w:r>
      <w:r w:rsidRPr="006C752F">
        <w:rPr>
          <w:szCs w:val="22"/>
        </w:rPr>
        <w:t>m of each other), if interference occurs and both devices are operating in accordance with the condition of their licence and any other conditions that may apply, then licensees must take reasonable steps to negotiate arrangements likely to reduce the interference to acceptable levels.  To assist in such situations, operators are also referred to the relevant Radiocommunications Advisory Guideline (stated on the spectrum licence) which specifies a minimum spectrum licence notional receiver performance</w:t>
      </w:r>
      <w:r w:rsidR="00333316">
        <w:rPr>
          <w:szCs w:val="22"/>
        </w:rPr>
        <w:t>, with also applies to AWL receivers</w:t>
      </w:r>
      <w:r w:rsidRPr="006C752F">
        <w:rPr>
          <w:szCs w:val="22"/>
        </w:rPr>
        <w:t xml:space="preserve">.  The advisory guidelines are part of the </w:t>
      </w:r>
      <w:hyperlink r:id="rId46" w:history="1">
        <w:r w:rsidRPr="006C752F">
          <w:rPr>
            <w:rStyle w:val="Hyperlink"/>
            <w:i/>
            <w:iCs/>
            <w:szCs w:val="22"/>
          </w:rPr>
          <w:t>3.4 GHz Spectrum Licence Technical Framework</w:t>
        </w:r>
      </w:hyperlink>
      <w:r w:rsidRPr="006C752F">
        <w:rPr>
          <w:szCs w:val="22"/>
        </w:rPr>
        <w:t>.</w:t>
      </w:r>
    </w:p>
    <w:p w14:paraId="76C842AD" w14:textId="400550C1" w:rsidR="002D34CD" w:rsidRDefault="00D82DC0" w:rsidP="005E5B48">
      <w:pPr>
        <w:ind w:left="11"/>
        <w:rPr>
          <w:szCs w:val="22"/>
        </w:rPr>
      </w:pPr>
      <w:r>
        <w:rPr>
          <w:szCs w:val="22"/>
        </w:rPr>
        <w:t xml:space="preserve">It is a condition in the AWL LCD </w:t>
      </w:r>
      <w:r w:rsidR="006C752F" w:rsidRPr="006C752F">
        <w:rPr>
          <w:szCs w:val="22"/>
        </w:rPr>
        <w:t xml:space="preserve">that licensees (or their site managers) work cooperatively </w:t>
      </w:r>
      <w:r>
        <w:rPr>
          <w:szCs w:val="22"/>
        </w:rPr>
        <w:t xml:space="preserve">with other co-sited licensees </w:t>
      </w:r>
      <w:r w:rsidR="006C752F" w:rsidRPr="006C752F">
        <w:rPr>
          <w:szCs w:val="22"/>
        </w:rPr>
        <w:t>and apply good site engineering practice to resolve problems when they occur.</w:t>
      </w:r>
    </w:p>
    <w:p w14:paraId="38889A9E" w14:textId="5C0ECA95" w:rsidR="000D2DC2" w:rsidRDefault="000D2DC2" w:rsidP="005E5B48">
      <w:pPr>
        <w:pStyle w:val="Heading2"/>
        <w:ind w:left="720" w:hanging="709"/>
      </w:pPr>
      <w:bookmarkStart w:id="116" w:name="_Toc90984605"/>
      <w:r>
        <w:lastRenderedPageBreak/>
        <w:t>Additional information on technical records</w:t>
      </w:r>
      <w:bookmarkEnd w:id="116"/>
    </w:p>
    <w:p w14:paraId="6BA07F4E" w14:textId="23C241B8" w:rsidR="000D2DC2" w:rsidRDefault="000D2DC2" w:rsidP="005E5B48">
      <w:pPr>
        <w:ind w:left="11"/>
      </w:pPr>
      <w:r>
        <w:t xml:space="preserve">The following applies when providing details of </w:t>
      </w:r>
      <w:r w:rsidR="00684879">
        <w:t xml:space="preserve">AWL </w:t>
      </w:r>
      <w:r>
        <w:t xml:space="preserve">stations to be recorded on the </w:t>
      </w:r>
      <w:hyperlink r:id="rId47" w:history="1">
        <w:r w:rsidRPr="001D5B1E">
          <w:rPr>
            <w:rStyle w:val="Hyperlink"/>
            <w:i/>
            <w:iCs/>
          </w:rPr>
          <w:t>Register of Radiocommunications Licences</w:t>
        </w:r>
      </w:hyperlink>
      <w:r>
        <w:t>:</w:t>
      </w:r>
    </w:p>
    <w:p w14:paraId="0740C05C" w14:textId="77777777" w:rsidR="000D2DC2" w:rsidRDefault="000D2DC2" w:rsidP="005E5B48">
      <w:pPr>
        <w:pStyle w:val="ListBullet"/>
        <w:ind w:left="306"/>
      </w:pPr>
      <w:r>
        <w:t>Where sectored antennas are used, details of the antenna model, down-tilt, polarisation and azimuth should be recorded for each sector.  However, where:</w:t>
      </w:r>
    </w:p>
    <w:p w14:paraId="5A2047FC" w14:textId="77777777" w:rsidR="000D2DC2" w:rsidRDefault="000D2DC2" w:rsidP="005E5B48">
      <w:pPr>
        <w:pStyle w:val="ListBullet"/>
        <w:tabs>
          <w:tab w:val="clear" w:pos="295"/>
          <w:tab w:val="num" w:pos="863"/>
        </w:tabs>
        <w:ind w:left="874"/>
      </w:pPr>
      <w:r>
        <w:t>there are multiple sectored antennas on a single site (used for example to achieve 360</w:t>
      </w:r>
      <w:r>
        <w:noBreakHyphen/>
        <w:t>degree coverage); and</w:t>
      </w:r>
    </w:p>
    <w:p w14:paraId="23768217" w14:textId="075ECCFB" w:rsidR="000D2DC2" w:rsidRDefault="000D2DC2" w:rsidP="005E5B48">
      <w:pPr>
        <w:pStyle w:val="ListBullet"/>
        <w:tabs>
          <w:tab w:val="clear" w:pos="295"/>
          <w:tab w:val="num" w:pos="863"/>
        </w:tabs>
        <w:ind w:left="874"/>
      </w:pPr>
      <w:r>
        <w:t xml:space="preserve">all sectors are using the same </w:t>
      </w:r>
      <w:r w:rsidR="001B01A2">
        <w:t>frequency.</w:t>
      </w:r>
    </w:p>
    <w:p w14:paraId="14696348" w14:textId="77777777" w:rsidR="000D2DC2" w:rsidRDefault="000D2DC2" w:rsidP="005E5B48">
      <w:pPr>
        <w:ind w:left="306"/>
      </w:pPr>
      <w:r>
        <w:t xml:space="preserve">it is not necessary to specify the azimuth of each sector antenna.  Instead, the site can be recorded as a single registration (i.e. effectively registering the device as non-directional).  When performing coordination, the highest radiated power on any one sector should be assumed in all directions — irrespective of the actual antenna configuration.  The details of the antenna on the sector that results in the highest radiated power should be recorded on the </w:t>
      </w:r>
      <w:hyperlink r:id="rId48" w:history="1">
        <w:r w:rsidRPr="001D5B1E">
          <w:rPr>
            <w:rStyle w:val="Hyperlink"/>
            <w:i/>
            <w:iCs/>
          </w:rPr>
          <w:t>RRL</w:t>
        </w:r>
      </w:hyperlink>
      <w:r>
        <w:t>.</w:t>
      </w:r>
    </w:p>
    <w:p w14:paraId="2A127A1A" w14:textId="77777777" w:rsidR="000D2DC2" w:rsidRDefault="000D2DC2" w:rsidP="005E5B48">
      <w:pPr>
        <w:pStyle w:val="ListBullet"/>
        <w:ind w:left="306"/>
      </w:pPr>
      <w:r>
        <w:t>Where steerable beam (including beam forming) antennas are used, details of the highest gain achievable through antenna phasing should be recorded.</w:t>
      </w:r>
    </w:p>
    <w:p w14:paraId="1B26B41A" w14:textId="77777777" w:rsidR="000D2DC2" w:rsidRPr="00AF06C8" w:rsidRDefault="000D2DC2" w:rsidP="005E5B48">
      <w:pPr>
        <w:ind w:left="11"/>
        <w:rPr>
          <w:szCs w:val="22"/>
        </w:rPr>
      </w:pPr>
    </w:p>
    <w:p w14:paraId="4B7B40AA" w14:textId="421D0317" w:rsidR="004A13A7" w:rsidRPr="000B27C0" w:rsidRDefault="004A13A7" w:rsidP="005E5B48">
      <w:pPr>
        <w:pStyle w:val="Heading1"/>
        <w:ind w:left="442"/>
      </w:pPr>
      <w:bookmarkStart w:id="117" w:name="_Toc513476332"/>
      <w:bookmarkStart w:id="118" w:name="_Toc8983859"/>
      <w:bookmarkStart w:id="119" w:name="_Toc8986383"/>
      <w:bookmarkStart w:id="120" w:name="_Toc90984606"/>
      <w:r w:rsidRPr="000B27C0">
        <w:lastRenderedPageBreak/>
        <w:t>Exceptions</w:t>
      </w:r>
      <w:bookmarkEnd w:id="117"/>
      <w:bookmarkEnd w:id="118"/>
      <w:bookmarkEnd w:id="119"/>
      <w:bookmarkEnd w:id="120"/>
    </w:p>
    <w:p w14:paraId="526CA966" w14:textId="1BD9D230" w:rsidR="004A13A7" w:rsidRPr="00AF06C8" w:rsidRDefault="004A13A7" w:rsidP="005E5B48">
      <w:pPr>
        <w:ind w:left="11"/>
        <w:rPr>
          <w:rFonts w:cstheme="minorBidi"/>
          <w:szCs w:val="22"/>
        </w:rPr>
      </w:pPr>
      <w:r w:rsidRPr="00AF06C8">
        <w:rPr>
          <w:szCs w:val="22"/>
        </w:rPr>
        <w:t>Exceptions to the requirements of this RALI for prospective assignments</w:t>
      </w:r>
      <w:r w:rsidR="00190B70" w:rsidRPr="00190B70">
        <w:rPr>
          <w:szCs w:val="22"/>
        </w:rPr>
        <w:t xml:space="preserve"> </w:t>
      </w:r>
      <w:r w:rsidR="00190B70">
        <w:rPr>
          <w:szCs w:val="22"/>
        </w:rPr>
        <w:t>and device registrations</w:t>
      </w:r>
      <w:r w:rsidRPr="00AF06C8">
        <w:rPr>
          <w:szCs w:val="22"/>
        </w:rPr>
        <w:t xml:space="preserve"> require case-by-case consideration by the Manager, Spectrum </w:t>
      </w:r>
      <w:r w:rsidR="00A1481A">
        <w:rPr>
          <w:szCs w:val="22"/>
        </w:rPr>
        <w:t>Planning Section</w:t>
      </w:r>
      <w:r w:rsidRPr="00AF06C8">
        <w:rPr>
          <w:szCs w:val="22"/>
        </w:rPr>
        <w:t>.</w:t>
      </w:r>
    </w:p>
    <w:p w14:paraId="2DABA09F" w14:textId="77777777" w:rsidR="004A13A7" w:rsidRPr="00AF06C8" w:rsidRDefault="004A13A7" w:rsidP="005E5B48">
      <w:pPr>
        <w:ind w:left="11"/>
        <w:rPr>
          <w:szCs w:val="22"/>
        </w:rPr>
      </w:pPr>
      <w:r w:rsidRPr="00AF06C8">
        <w:rPr>
          <w:szCs w:val="22"/>
        </w:rPr>
        <w:t>A request for exemption from the requirements of this RALI would need to be accompanied by evidence to support the request.</w:t>
      </w:r>
    </w:p>
    <w:p w14:paraId="2C3DC330" w14:textId="18D33FE5" w:rsidR="000B27C0" w:rsidRPr="000B27C0" w:rsidRDefault="004A13A7" w:rsidP="005E5B48">
      <w:pPr>
        <w:ind w:left="11"/>
        <w:rPr>
          <w:rFonts w:cs="Arial"/>
          <w:szCs w:val="22"/>
        </w:rPr>
      </w:pPr>
      <w:r w:rsidRPr="00AF06C8">
        <w:rPr>
          <w:rFonts w:cs="Arial"/>
          <w:szCs w:val="22"/>
        </w:rPr>
        <w:t>All requests for exemptions should be submitted to</w:t>
      </w:r>
      <w:r w:rsidR="006630D1">
        <w:rPr>
          <w:rFonts w:cs="Arial"/>
          <w:szCs w:val="22"/>
        </w:rPr>
        <w:t>:</w:t>
      </w:r>
      <w:r w:rsidRPr="00AF06C8">
        <w:rPr>
          <w:rFonts w:cs="Arial"/>
          <w:szCs w:val="22"/>
        </w:rPr>
        <w:t xml:space="preserve"> </w:t>
      </w:r>
      <w:hyperlink r:id="rId49" w:history="1">
        <w:r w:rsidR="00746A68" w:rsidRPr="00AD1617">
          <w:rPr>
            <w:rStyle w:val="Hyperlink"/>
            <w:rFonts w:cs="Arial"/>
            <w:szCs w:val="22"/>
          </w:rPr>
          <w:t>freqplan@acma.gov.au</w:t>
        </w:r>
      </w:hyperlink>
    </w:p>
    <w:p w14:paraId="5875D098" w14:textId="79840407" w:rsidR="004A13A7" w:rsidRPr="008C3D36" w:rsidRDefault="004A13A7" w:rsidP="005E5B48">
      <w:pPr>
        <w:pStyle w:val="Heading1"/>
        <w:ind w:left="442"/>
      </w:pPr>
      <w:bookmarkStart w:id="121" w:name="_Toc8983860"/>
      <w:bookmarkStart w:id="122" w:name="_Toc8986384"/>
      <w:bookmarkStart w:id="123" w:name="_Toc90984607"/>
      <w:r w:rsidRPr="008C3D36">
        <w:lastRenderedPageBreak/>
        <w:t>RALI Authorisation</w:t>
      </w:r>
      <w:bookmarkEnd w:id="121"/>
      <w:bookmarkEnd w:id="122"/>
      <w:bookmarkEnd w:id="123"/>
    </w:p>
    <w:p w14:paraId="3AD02DFD" w14:textId="29DAE0EE" w:rsidR="004A13A7" w:rsidRPr="00AF06C8" w:rsidRDefault="004A13A7" w:rsidP="005E5B48">
      <w:pPr>
        <w:ind w:left="11"/>
        <w:rPr>
          <w:szCs w:val="22"/>
        </w:rPr>
      </w:pPr>
      <w:r w:rsidRPr="00AF06C8">
        <w:rPr>
          <w:szCs w:val="22"/>
        </w:rPr>
        <w:t>[</w:t>
      </w:r>
      <w:r w:rsidR="0087538F" w:rsidRPr="0087538F">
        <w:rPr>
          <w:szCs w:val="22"/>
          <w:highlight w:val="yellow"/>
        </w:rPr>
        <w:t xml:space="preserve">not </w:t>
      </w:r>
      <w:r w:rsidRPr="0087538F">
        <w:rPr>
          <w:szCs w:val="22"/>
          <w:highlight w:val="yellow"/>
        </w:rPr>
        <w:t>approved</w:t>
      </w:r>
      <w:r w:rsidRPr="00AF06C8">
        <w:rPr>
          <w:szCs w:val="22"/>
        </w:rPr>
        <w:t>]</w:t>
      </w:r>
      <w:r w:rsidR="004332EE">
        <w:rPr>
          <w:szCs w:val="22"/>
        </w:rPr>
        <w:tab/>
      </w:r>
      <w:r w:rsidR="004332EE">
        <w:rPr>
          <w:szCs w:val="22"/>
        </w:rPr>
        <w:tab/>
      </w:r>
      <w:r w:rsidR="004332EE">
        <w:rPr>
          <w:szCs w:val="22"/>
        </w:rPr>
        <w:tab/>
      </w:r>
      <w:r w:rsidR="004332EE">
        <w:rPr>
          <w:szCs w:val="22"/>
        </w:rPr>
        <w:tab/>
      </w:r>
      <w:r w:rsidR="004332EE" w:rsidRPr="004332EE">
        <w:rPr>
          <w:szCs w:val="22"/>
          <w:highlight w:val="yellow"/>
        </w:rPr>
        <w:t>XX</w:t>
      </w:r>
      <w:r w:rsidRPr="004332EE">
        <w:rPr>
          <w:szCs w:val="22"/>
          <w:highlight w:val="yellow"/>
        </w:rPr>
        <w:t>/</w:t>
      </w:r>
      <w:r w:rsidR="004332EE" w:rsidRPr="004332EE">
        <w:rPr>
          <w:szCs w:val="22"/>
          <w:highlight w:val="yellow"/>
        </w:rPr>
        <w:t>YY</w:t>
      </w:r>
      <w:r w:rsidRPr="004332EE">
        <w:rPr>
          <w:szCs w:val="22"/>
          <w:highlight w:val="yellow"/>
        </w:rPr>
        <w:t>/</w:t>
      </w:r>
      <w:r w:rsidR="00A50696" w:rsidRPr="004332EE">
        <w:rPr>
          <w:szCs w:val="22"/>
          <w:highlight w:val="yellow"/>
        </w:rPr>
        <w:t>2</w:t>
      </w:r>
      <w:r w:rsidR="00A50696" w:rsidRPr="00B12B26">
        <w:rPr>
          <w:szCs w:val="22"/>
          <w:highlight w:val="yellow"/>
        </w:rPr>
        <w:t>02</w:t>
      </w:r>
      <w:r w:rsidR="00A50696">
        <w:rPr>
          <w:szCs w:val="22"/>
        </w:rPr>
        <w:t>2</w:t>
      </w:r>
    </w:p>
    <w:p w14:paraId="16E838B6" w14:textId="00CA856B" w:rsidR="004332EE" w:rsidRDefault="00B12B26" w:rsidP="005E5B48">
      <w:pPr>
        <w:ind w:left="11"/>
        <w:rPr>
          <w:szCs w:val="22"/>
        </w:rPr>
      </w:pPr>
      <w:r>
        <w:rPr>
          <w:szCs w:val="22"/>
        </w:rPr>
        <w:t>Chris Worley</w:t>
      </w:r>
    </w:p>
    <w:p w14:paraId="4BCC8BD6" w14:textId="33F321C9" w:rsidR="00E26577" w:rsidRDefault="004A13A7" w:rsidP="005E5B48">
      <w:pPr>
        <w:ind w:left="11"/>
        <w:rPr>
          <w:szCs w:val="22"/>
        </w:rPr>
      </w:pPr>
      <w:r w:rsidRPr="00AF06C8">
        <w:rPr>
          <w:szCs w:val="22"/>
        </w:rPr>
        <w:t>Manager</w:t>
      </w:r>
      <w:r w:rsidRPr="00AF06C8">
        <w:rPr>
          <w:szCs w:val="22"/>
        </w:rPr>
        <w:br/>
      </w:r>
      <w:r w:rsidR="00B12B26">
        <w:rPr>
          <w:szCs w:val="22"/>
        </w:rPr>
        <w:t>Spectrum Planning Section</w:t>
      </w:r>
      <w:r w:rsidRPr="00AF06C8">
        <w:rPr>
          <w:szCs w:val="22"/>
        </w:rPr>
        <w:br/>
        <w:t>Spectrum Planning and Engineering Branch</w:t>
      </w:r>
      <w:r w:rsidR="004332EE">
        <w:rPr>
          <w:szCs w:val="22"/>
        </w:rPr>
        <w:br/>
      </w:r>
      <w:r w:rsidRPr="00AF06C8">
        <w:rPr>
          <w:szCs w:val="22"/>
        </w:rPr>
        <w:t>Communications Infrastructure Division</w:t>
      </w:r>
      <w:r w:rsidRPr="00AF06C8">
        <w:rPr>
          <w:szCs w:val="22"/>
        </w:rPr>
        <w:br/>
        <w:t>Australian Communications and Media Authority</w:t>
      </w:r>
      <w:r w:rsidR="00E26577">
        <w:rPr>
          <w:szCs w:val="22"/>
        </w:rPr>
        <w:br w:type="page"/>
      </w:r>
    </w:p>
    <w:p w14:paraId="3D28A217" w14:textId="30D514B1" w:rsidR="00223EA7" w:rsidRDefault="004E0F2F" w:rsidP="005E5B48">
      <w:pPr>
        <w:pStyle w:val="AppendixH1"/>
        <w:ind w:left="11"/>
      </w:pPr>
      <w:bookmarkStart w:id="124" w:name="AppendixB"/>
      <w:bookmarkStart w:id="125" w:name="AppendixC"/>
      <w:bookmarkStart w:id="126" w:name="_Toc90984608"/>
      <w:bookmarkEnd w:id="124"/>
      <w:bookmarkEnd w:id="125"/>
      <w:r>
        <w:lastRenderedPageBreak/>
        <w:t>A</w:t>
      </w:r>
      <w:r w:rsidR="00223EA7">
        <w:t>rea</w:t>
      </w:r>
      <w:r w:rsidR="00C41F54">
        <w:t>s</w:t>
      </w:r>
      <w:r w:rsidR="00223EA7">
        <w:t xml:space="preserve"> available for </w:t>
      </w:r>
      <w:r w:rsidR="002F750E">
        <w:t xml:space="preserve">AWL </w:t>
      </w:r>
      <w:r w:rsidR="00223EA7">
        <w:t>licensing</w:t>
      </w:r>
      <w:bookmarkEnd w:id="126"/>
    </w:p>
    <w:p w14:paraId="49D5DBA8" w14:textId="6AF15E8D" w:rsidR="002F750E" w:rsidRDefault="002F750E" w:rsidP="005E5B48">
      <w:pPr>
        <w:ind w:left="11"/>
      </w:pPr>
      <w:r>
        <w:t>In this RALI, the areas available for AWL licensing are defined by the</w:t>
      </w:r>
      <w:r w:rsidR="005E5B48">
        <w:t xml:space="preserve"> </w:t>
      </w:r>
      <w:r>
        <w:t>HCIS area description</w:t>
      </w:r>
      <w:r w:rsidR="005E5B48">
        <w:t>s in the following table</w:t>
      </w:r>
      <w:r w:rsidR="005F14AA">
        <w:t>.</w:t>
      </w:r>
    </w:p>
    <w:p w14:paraId="1E2B18DC" w14:textId="6E964F39" w:rsidR="002F750E" w:rsidRDefault="002F750E" w:rsidP="005E5B48">
      <w:pPr>
        <w:ind w:left="11"/>
      </w:pPr>
      <w:r>
        <w:t>The Australian Spectrum Map Grid (</w:t>
      </w:r>
      <w:r w:rsidRPr="00577B3E">
        <w:t>ASMG</w:t>
      </w:r>
      <w:r>
        <w:t xml:space="preserve">) is used to define geographical areas over which spectrum licences are issued. </w:t>
      </w:r>
      <w:r w:rsidRPr="00577B3E">
        <w:t xml:space="preserve">The Hierarchical Cell Identification Scheme (HCIS) is a naming convention developed by the ACMA that applies unique ‘names’ to each of the cells </w:t>
      </w:r>
      <w:r>
        <w:t>that make up</w:t>
      </w:r>
      <w:r w:rsidRPr="00577B3E">
        <w:t xml:space="preserve"> the</w:t>
      </w:r>
      <w:r>
        <w:t xml:space="preserve"> ASMG</w:t>
      </w:r>
      <w:r w:rsidRPr="00577B3E">
        <w:t>.</w:t>
      </w:r>
      <w:r>
        <w:t xml:space="preserve"> The ASMG and HCIS are described in detail in the document </w:t>
      </w:r>
      <w:hyperlink r:id="rId50" w:history="1">
        <w:r w:rsidRPr="00776DBC">
          <w:rPr>
            <w:rStyle w:val="Hyperlink"/>
            <w:rFonts w:cs="Arial"/>
            <w:i/>
          </w:rPr>
          <w:t>The Australia</w:t>
        </w:r>
        <w:r>
          <w:rPr>
            <w:rStyle w:val="Hyperlink"/>
            <w:rFonts w:cs="Arial"/>
            <w:i/>
          </w:rPr>
          <w:t>n</w:t>
        </w:r>
        <w:r w:rsidRPr="00776DBC">
          <w:rPr>
            <w:rStyle w:val="Hyperlink"/>
            <w:rFonts w:cs="Arial"/>
            <w:i/>
          </w:rPr>
          <w:t xml:space="preserve"> spectrum map grid 2012</w:t>
        </w:r>
      </w:hyperlink>
      <w:r>
        <w:t xml:space="preserve">. </w:t>
      </w:r>
      <w:r>
        <w:fldChar w:fldCharType="begin"/>
      </w:r>
      <w:r>
        <w:instrText xml:space="preserve"> REF _Ref29365178 \h </w:instrText>
      </w:r>
      <w:r>
        <w:fldChar w:fldCharType="separate"/>
      </w:r>
      <w:r w:rsidRPr="00A45C92">
        <w:t>HCIS description of areas</w:t>
      </w:r>
      <w:r>
        <w:fldChar w:fldCharType="end"/>
      </w:r>
      <w:r>
        <w:t xml:space="preserve"> </w:t>
      </w:r>
      <w:r w:rsidRPr="006006B1">
        <w:t xml:space="preserve">can be converted into a </w:t>
      </w:r>
      <w:r w:rsidRPr="00C650D6">
        <w:t>Placemark</w:t>
      </w:r>
      <w:r>
        <w:t xml:space="preserve"> file (viewable in Google Earth)</w:t>
      </w:r>
      <w:r w:rsidRPr="00C650D6">
        <w:t xml:space="preserve"> </w:t>
      </w:r>
      <w:r w:rsidRPr="006006B1">
        <w:t xml:space="preserve">through a facility on the </w:t>
      </w:r>
      <w:hyperlink r:id="rId51" w:history="1">
        <w:r w:rsidRPr="00DB6F54">
          <w:rPr>
            <w:rStyle w:val="Hyperlink"/>
          </w:rPr>
          <w:t>ACMA website</w:t>
        </w:r>
      </w:hyperlink>
      <w:r>
        <w:t>.</w:t>
      </w:r>
      <w:r w:rsidRPr="00C650D6">
        <w:t xml:space="preserve"> </w:t>
      </w:r>
    </w:p>
    <w:p w14:paraId="176A2077" w14:textId="73131924" w:rsidR="00555F5E" w:rsidRPr="00707C73" w:rsidRDefault="00555F5E" w:rsidP="005E5B48">
      <w:pPr>
        <w:ind w:left="11"/>
      </w:pPr>
      <w:r w:rsidRPr="00707C73">
        <w:t>AWL licences will not be issued outside of the ASMG</w:t>
      </w:r>
      <w:r w:rsidR="00C153F2">
        <w:t>, where</w:t>
      </w:r>
      <w:r w:rsidRPr="00707C73">
        <w:t xml:space="preserve"> point to multipoint licences can be issued. </w:t>
      </w:r>
    </w:p>
    <w:p w14:paraId="505DE9FB" w14:textId="3EB875EF" w:rsidR="00FE42C6" w:rsidRDefault="00FE42C6" w:rsidP="005E5B48">
      <w:pPr>
        <w:spacing w:after="0" w:line="240" w:lineRule="auto"/>
        <w:ind w:left="11"/>
      </w:pPr>
    </w:p>
    <w:tbl>
      <w:tblPr>
        <w:tblStyle w:val="TableGrid"/>
        <w:tblW w:w="10490" w:type="dxa"/>
        <w:tblInd w:w="-572" w:type="dxa"/>
        <w:tblLayout w:type="fixed"/>
        <w:tblCellMar>
          <w:top w:w="57" w:type="dxa"/>
          <w:bottom w:w="57" w:type="dxa"/>
        </w:tblCellMar>
        <w:tblLook w:val="04A0" w:firstRow="1" w:lastRow="0" w:firstColumn="1" w:lastColumn="0" w:noHBand="0" w:noVBand="1"/>
      </w:tblPr>
      <w:tblGrid>
        <w:gridCol w:w="1985"/>
        <w:gridCol w:w="1276"/>
        <w:gridCol w:w="7229"/>
      </w:tblGrid>
      <w:tr w:rsidR="006C33E6" w14:paraId="328277B8" w14:textId="77777777" w:rsidTr="005E5B48">
        <w:trPr>
          <w:tblHeader/>
        </w:trPr>
        <w:tc>
          <w:tcPr>
            <w:tcW w:w="1985"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4091886" w14:textId="77777777" w:rsidR="00D06565" w:rsidRDefault="00FE42C6" w:rsidP="00EC3A9D">
            <w:pPr>
              <w:pStyle w:val="TableHeading"/>
              <w:keepNext/>
              <w:rPr>
                <w:color w:val="FFFFFF" w:themeColor="background1"/>
              </w:rPr>
            </w:pPr>
            <w:r w:rsidRPr="004346FA">
              <w:rPr>
                <w:color w:val="FFFFFF" w:themeColor="background1"/>
              </w:rPr>
              <w:t>Area</w:t>
            </w:r>
          </w:p>
          <w:p w14:paraId="3DE61C06" w14:textId="2A45A3F2" w:rsidR="00FE42C6" w:rsidRPr="004346FA" w:rsidRDefault="00D06565" w:rsidP="00EC3A9D">
            <w:pPr>
              <w:pStyle w:val="TableHeading"/>
              <w:keepNext/>
              <w:rPr>
                <w:color w:val="FFFFFF" w:themeColor="background1"/>
              </w:rPr>
            </w:pPr>
            <w:r>
              <w:rPr>
                <w:color w:val="FFFFFF" w:themeColor="background1"/>
              </w:rPr>
              <w:t>(</w:t>
            </w:r>
            <w:r w:rsidR="00614647">
              <w:rPr>
                <w:color w:val="FFFFFF" w:themeColor="background1"/>
              </w:rPr>
              <w:t>frequency</w:t>
            </w:r>
            <w:r>
              <w:rPr>
                <w:color w:val="FFFFFF" w:themeColor="background1"/>
              </w:rPr>
              <w:t>)</w:t>
            </w:r>
          </w:p>
        </w:tc>
        <w:tc>
          <w:tcPr>
            <w:tcW w:w="1276"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FCDE3DA" w14:textId="77777777" w:rsidR="00FE42C6" w:rsidRPr="004346FA" w:rsidRDefault="00FE42C6" w:rsidP="00EC3A9D">
            <w:pPr>
              <w:pStyle w:val="TableHeading"/>
              <w:keepNext/>
              <w:rPr>
                <w:color w:val="FFFFFF" w:themeColor="background1"/>
              </w:rPr>
            </w:pPr>
            <w:r w:rsidRPr="004346FA">
              <w:rPr>
                <w:color w:val="FFFFFF" w:themeColor="background1"/>
              </w:rPr>
              <w:t>Sub-area name</w:t>
            </w:r>
          </w:p>
        </w:tc>
        <w:tc>
          <w:tcPr>
            <w:tcW w:w="7229"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58AAFB95" w14:textId="77777777" w:rsidR="00FE42C6" w:rsidRPr="004346FA" w:rsidRDefault="00FE42C6" w:rsidP="00EC3A9D">
            <w:pPr>
              <w:pStyle w:val="TableHeading"/>
              <w:keepNext/>
              <w:rPr>
                <w:color w:val="FFFFFF" w:themeColor="background1"/>
              </w:rPr>
            </w:pPr>
            <w:r w:rsidRPr="004346FA">
              <w:rPr>
                <w:color w:val="FFFFFF" w:themeColor="background1"/>
              </w:rPr>
              <w:t>HCIS</w:t>
            </w:r>
          </w:p>
        </w:tc>
      </w:tr>
      <w:tr w:rsidR="00FE42C6" w14:paraId="695776E2" w14:textId="77777777" w:rsidTr="005E5B48">
        <w:tc>
          <w:tcPr>
            <w:tcW w:w="1985" w:type="dxa"/>
            <w:hideMark/>
          </w:tcPr>
          <w:p w14:paraId="59FCFDF7" w14:textId="17054E79" w:rsidR="00FE42C6" w:rsidRDefault="00680DC6" w:rsidP="00EC3A9D">
            <w:pPr>
              <w:pStyle w:val="TableBody"/>
            </w:pPr>
            <w:r>
              <w:t>Remote</w:t>
            </w:r>
          </w:p>
          <w:p w14:paraId="48CB6422" w14:textId="1783E215" w:rsidR="00D31D89" w:rsidRDefault="00D06565" w:rsidP="00EC3A9D">
            <w:pPr>
              <w:pStyle w:val="TableBody"/>
            </w:pPr>
            <w:r>
              <w:t>(</w:t>
            </w:r>
            <w:r w:rsidR="00D31D89">
              <w:t>3400-4000 MHz</w:t>
            </w:r>
            <w:r>
              <w:t>)</w:t>
            </w:r>
          </w:p>
        </w:tc>
        <w:tc>
          <w:tcPr>
            <w:tcW w:w="1276" w:type="dxa"/>
            <w:hideMark/>
          </w:tcPr>
          <w:p w14:paraId="3DCD5387" w14:textId="77777777" w:rsidR="00FE42C6" w:rsidRDefault="00FE42C6" w:rsidP="00EC3A9D">
            <w:pPr>
              <w:pStyle w:val="TableBody"/>
            </w:pPr>
            <w:r>
              <w:t>–</w:t>
            </w:r>
          </w:p>
        </w:tc>
        <w:tc>
          <w:tcPr>
            <w:tcW w:w="7229" w:type="dxa"/>
          </w:tcPr>
          <w:p w14:paraId="090A4075" w14:textId="4B40D47A" w:rsidR="004E7313" w:rsidRDefault="004E7313" w:rsidP="00EC3A9D">
            <w:pPr>
              <w:pStyle w:val="TableBody"/>
            </w:pPr>
            <w:r w:rsidRPr="004E7313">
              <w:t>BR, BS, BT, CR, CS, CT, CU, DQ, DR, DS, DT, DU, EP, EQ, ER, ES, ET, EU, FP, FQ, FR, FS, FT, FU, GP, GQ, GR, GS, GT, GU, HO, HP, HQ, HR, HS, HT, HU, IO, IP, IQ, IR, IS, IT, IU, JO, JP, JQ, JR, JS, JT, JU, KR, KS, KT, KU, LS, LT, LU, AR8, AR9, AS2, AS3, AS5, AS6, AS8, AS9, AT1, AT2, AT3, AT5, AT6, AT8, AT9, AU2, AU3, BU1, BU2, BU3, BU6, GO3, GO4, GO5, GO6, GO7, GO8, GO9, AU6A, AU6B, AU6C, AU6D, AU6E, AU6F, AU6G, AU6H, BU4A, BU4B, BU4C, BU4D, BU4E, BU4F, BU4G, BU5A, BU5B, BU5C, BU5D, BU9C, BU9D, BU9G, BU9H, BU9K, BU9L, BU9O, BU9P</w:t>
            </w:r>
          </w:p>
        </w:tc>
      </w:tr>
    </w:tbl>
    <w:p w14:paraId="4EAC1BC1" w14:textId="77777777" w:rsidR="00DF143A" w:rsidRDefault="00DF143A" w:rsidP="005E5B48">
      <w:pPr>
        <w:ind w:left="11"/>
      </w:pPr>
      <w:bookmarkStart w:id="127" w:name="AppendixD"/>
      <w:bookmarkEnd w:id="127"/>
    </w:p>
    <w:p w14:paraId="10AC9D0C" w14:textId="5615B49E" w:rsidR="00223EA7" w:rsidRDefault="00223EA7" w:rsidP="005E5B48">
      <w:pPr>
        <w:pStyle w:val="AppendixH1"/>
        <w:ind w:left="11"/>
      </w:pPr>
      <w:bookmarkStart w:id="128" w:name="AppendixE"/>
      <w:bookmarkStart w:id="129" w:name="_Toc90471355"/>
      <w:bookmarkStart w:id="130" w:name="_Toc90475051"/>
      <w:bookmarkStart w:id="131" w:name="_Toc90908652"/>
      <w:bookmarkStart w:id="132" w:name="_Toc90471356"/>
      <w:bookmarkStart w:id="133" w:name="_Toc90475052"/>
      <w:bookmarkStart w:id="134" w:name="_Toc90908653"/>
      <w:bookmarkStart w:id="135" w:name="_Toc90471357"/>
      <w:bookmarkStart w:id="136" w:name="_Toc90475053"/>
      <w:bookmarkStart w:id="137" w:name="_Toc90908654"/>
      <w:bookmarkStart w:id="138" w:name="_Toc90471358"/>
      <w:bookmarkStart w:id="139" w:name="_Toc90475054"/>
      <w:bookmarkStart w:id="140" w:name="_Toc90908655"/>
      <w:bookmarkStart w:id="141" w:name="_Toc90471359"/>
      <w:bookmarkStart w:id="142" w:name="_Toc90475055"/>
      <w:bookmarkStart w:id="143" w:name="_Toc90908656"/>
      <w:bookmarkStart w:id="144" w:name="_Toc90471360"/>
      <w:bookmarkStart w:id="145" w:name="_Toc90475056"/>
      <w:bookmarkStart w:id="146" w:name="_Toc90908657"/>
      <w:bookmarkStart w:id="147" w:name="_Toc90471361"/>
      <w:bookmarkStart w:id="148" w:name="_Toc90475057"/>
      <w:bookmarkStart w:id="149" w:name="_Toc90908658"/>
      <w:bookmarkStart w:id="150" w:name="_Toc90471362"/>
      <w:bookmarkStart w:id="151" w:name="_Toc90475058"/>
      <w:bookmarkStart w:id="152" w:name="_Toc90908659"/>
      <w:bookmarkStart w:id="153" w:name="_Toc90471363"/>
      <w:bookmarkStart w:id="154" w:name="_Toc90475059"/>
      <w:bookmarkStart w:id="155" w:name="_Toc90908660"/>
      <w:bookmarkStart w:id="156" w:name="_Toc90471364"/>
      <w:bookmarkStart w:id="157" w:name="_Toc90475060"/>
      <w:bookmarkStart w:id="158" w:name="_Toc90908661"/>
      <w:bookmarkStart w:id="159" w:name="_Toc90471365"/>
      <w:bookmarkStart w:id="160" w:name="_Toc90475061"/>
      <w:bookmarkStart w:id="161" w:name="_Toc90908662"/>
      <w:bookmarkStart w:id="162" w:name="_Toc90471366"/>
      <w:bookmarkStart w:id="163" w:name="_Toc90475062"/>
      <w:bookmarkStart w:id="164" w:name="_Toc90908663"/>
      <w:bookmarkStart w:id="165" w:name="_Toc90471367"/>
      <w:bookmarkStart w:id="166" w:name="_Toc90475063"/>
      <w:bookmarkStart w:id="167" w:name="_Toc90908664"/>
      <w:bookmarkStart w:id="168" w:name="_Toc90471368"/>
      <w:bookmarkStart w:id="169" w:name="_Toc90475064"/>
      <w:bookmarkStart w:id="170" w:name="_Toc90908665"/>
      <w:bookmarkStart w:id="171" w:name="_Toc90471369"/>
      <w:bookmarkStart w:id="172" w:name="_Toc90475065"/>
      <w:bookmarkStart w:id="173" w:name="_Toc90908666"/>
      <w:bookmarkStart w:id="174" w:name="_Toc90471370"/>
      <w:bookmarkStart w:id="175" w:name="_Toc90475066"/>
      <w:bookmarkStart w:id="176" w:name="_Toc90908667"/>
      <w:bookmarkStart w:id="177" w:name="_Toc90471371"/>
      <w:bookmarkStart w:id="178" w:name="_Toc90475067"/>
      <w:bookmarkStart w:id="179" w:name="_Toc90908668"/>
      <w:bookmarkStart w:id="180" w:name="_Toc90471372"/>
      <w:bookmarkStart w:id="181" w:name="_Toc90475068"/>
      <w:bookmarkStart w:id="182" w:name="_Toc90908669"/>
      <w:bookmarkStart w:id="183" w:name="_Toc90471373"/>
      <w:bookmarkStart w:id="184" w:name="_Toc90475069"/>
      <w:bookmarkStart w:id="185" w:name="_Toc90908670"/>
      <w:bookmarkStart w:id="186" w:name="_Toc90984609"/>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lastRenderedPageBreak/>
        <w:t>Coverage and interference calculations</w:t>
      </w:r>
      <w:bookmarkEnd w:id="186"/>
    </w:p>
    <w:p w14:paraId="1622AFDD" w14:textId="528E5DAB" w:rsidR="00223EA7" w:rsidRDefault="002B57EC" w:rsidP="005E5B48">
      <w:pPr>
        <w:pStyle w:val="AppendixH2"/>
        <w:numPr>
          <w:ilvl w:val="1"/>
          <w:numId w:val="18"/>
        </w:numPr>
        <w:ind w:left="11"/>
      </w:pPr>
      <w:bookmarkStart w:id="187" w:name="_Toc90984610"/>
      <w:r>
        <w:t>Coverage area</w:t>
      </w:r>
      <w:bookmarkEnd w:id="187"/>
    </w:p>
    <w:p w14:paraId="48B8594C" w14:textId="107A4E76" w:rsidR="00C50C5E" w:rsidRDefault="003A2963" w:rsidP="005E5B48">
      <w:pPr>
        <w:ind w:left="11"/>
      </w:pPr>
      <w:r w:rsidRPr="003A2963">
        <w:t xml:space="preserve">Unless specifically provided by the </w:t>
      </w:r>
      <w:r w:rsidR="00D309B5">
        <w:t>AWL</w:t>
      </w:r>
      <w:r w:rsidRPr="003A2963">
        <w:t xml:space="preserve"> licensee, the coverage area of a </w:t>
      </w:r>
      <w:r w:rsidR="00D309B5">
        <w:t>registered AWL transmitter</w:t>
      </w:r>
      <w:r w:rsidR="00083EB3">
        <w:t xml:space="preserve"> </w:t>
      </w:r>
      <w:r w:rsidRPr="003A2963">
        <w:t xml:space="preserve">is the area around </w:t>
      </w:r>
      <w:r w:rsidR="00D309B5">
        <w:t>the registered transmitter</w:t>
      </w:r>
      <w:r w:rsidRPr="003A2963">
        <w:t xml:space="preserve"> that </w:t>
      </w:r>
      <w:r w:rsidR="00894373">
        <w:t>a</w:t>
      </w:r>
      <w:r w:rsidRPr="003A2963">
        <w:t xml:space="preserve"> notional </w:t>
      </w:r>
      <w:r w:rsidR="008A034D">
        <w:t xml:space="preserve">customer premises equipment (CPE) </w:t>
      </w:r>
      <w:r w:rsidR="000E1BA3">
        <w:t>(see below)</w:t>
      </w:r>
      <w:r w:rsidRPr="003A2963">
        <w:t xml:space="preserve"> can receive a signal of –103</w:t>
      </w:r>
      <w:r>
        <w:t> </w:t>
      </w:r>
      <w:r w:rsidRPr="003A2963">
        <w:t>dBm/MHz</w:t>
      </w:r>
      <w:r w:rsidR="00DD06D7">
        <w:rPr>
          <w:rStyle w:val="FootnoteReference"/>
        </w:rPr>
        <w:footnoteReference w:id="7"/>
      </w:r>
      <w:r w:rsidRPr="003A2963">
        <w:t xml:space="preserve"> or greater when measured at the input to the receiver.  </w:t>
      </w:r>
    </w:p>
    <w:p w14:paraId="0162BF13" w14:textId="275C787A" w:rsidR="00083EB3" w:rsidRDefault="000E1BA3" w:rsidP="005E5B48">
      <w:pPr>
        <w:spacing w:after="120"/>
        <w:ind w:left="11"/>
      </w:pPr>
      <w:r w:rsidRPr="005E5B48">
        <w:t xml:space="preserve">For the purpose of </w:t>
      </w:r>
      <w:r w:rsidR="007133D7" w:rsidRPr="005E5B48">
        <w:t>determin</w:t>
      </w:r>
      <w:r w:rsidR="007133D7">
        <w:t>ing</w:t>
      </w:r>
      <w:r w:rsidR="007133D7" w:rsidRPr="005E5B48">
        <w:t xml:space="preserve"> coverage area</w:t>
      </w:r>
      <w:r w:rsidR="00083EB3">
        <w:t>:</w:t>
      </w:r>
      <w:r w:rsidRPr="005E5B48">
        <w:t xml:space="preserve"> </w:t>
      </w:r>
    </w:p>
    <w:p w14:paraId="3F085769" w14:textId="20CE2BD5" w:rsidR="00083EB3" w:rsidRDefault="00083EB3" w:rsidP="005E5B48">
      <w:pPr>
        <w:pStyle w:val="ListParagraph"/>
        <w:numPr>
          <w:ilvl w:val="0"/>
          <w:numId w:val="99"/>
        </w:numPr>
        <w:ind w:left="371"/>
      </w:pPr>
      <w:r w:rsidRPr="003A2963">
        <w:t xml:space="preserve">The propagation model defined in </w:t>
      </w:r>
      <w:hyperlink r:id="rId52" w:history="1">
        <w:r w:rsidRPr="003A2963">
          <w:rPr>
            <w:rStyle w:val="Hyperlink"/>
            <w:i/>
            <w:iCs/>
          </w:rPr>
          <w:t>Recommendation ITU-R P.452</w:t>
        </w:r>
      </w:hyperlink>
      <w:r w:rsidRPr="003A2963">
        <w:t xml:space="preserve">, with the parameter </w:t>
      </w:r>
      <w:r w:rsidRPr="00DD06D7">
        <w:rPr>
          <w:i/>
          <w:iCs/>
        </w:rPr>
        <w:t>p</w:t>
      </w:r>
      <w:r w:rsidRPr="003A2963">
        <w:t xml:space="preserve"> = </w:t>
      </w:r>
      <w:r w:rsidR="00960534">
        <w:t>5</w:t>
      </w:r>
      <w:r w:rsidRPr="003A2963">
        <w:t>0%</w:t>
      </w:r>
      <w:r w:rsidR="0097284F">
        <w:rPr>
          <w:rStyle w:val="FootnoteReference"/>
        </w:rPr>
        <w:footnoteReference w:id="8"/>
      </w:r>
      <w:r w:rsidRPr="003A2963">
        <w:t>, should be used to calculate propagation loss</w:t>
      </w:r>
      <w:r>
        <w:t>.</w:t>
      </w:r>
    </w:p>
    <w:p w14:paraId="2FCE4A08" w14:textId="6D4CAB65" w:rsidR="00DA3989" w:rsidRDefault="00873F12" w:rsidP="005E5B48">
      <w:pPr>
        <w:pStyle w:val="ListParagraph"/>
        <w:numPr>
          <w:ilvl w:val="0"/>
          <w:numId w:val="99"/>
        </w:numPr>
        <w:ind w:left="371"/>
      </w:pPr>
      <w:r>
        <w:t>Transmit power = min(PSD</w:t>
      </w:r>
      <w:r>
        <w:rPr>
          <w:vertAlign w:val="subscript"/>
        </w:rPr>
        <w:t>BS</w:t>
      </w:r>
      <w:r>
        <w:t>, PSD</w:t>
      </w:r>
      <w:r w:rsidR="008A034D" w:rsidRPr="00707C73">
        <w:rPr>
          <w:vertAlign w:val="subscript"/>
        </w:rPr>
        <w:t>CPE</w:t>
      </w:r>
      <w:r>
        <w:t>), where:</w:t>
      </w:r>
    </w:p>
    <w:p w14:paraId="4381FB39" w14:textId="4AD9AB5D" w:rsidR="00873F12" w:rsidRDefault="00873F12" w:rsidP="00873F12">
      <w:pPr>
        <w:pStyle w:val="ListBullet2"/>
      </w:pPr>
      <w:r>
        <w:t>PSD</w:t>
      </w:r>
      <w:r>
        <w:rPr>
          <w:vertAlign w:val="subscript"/>
        </w:rPr>
        <w:t>BS</w:t>
      </w:r>
      <w:r>
        <w:t xml:space="preserve"> is the power spectral density of the proposed base station</w:t>
      </w:r>
    </w:p>
    <w:p w14:paraId="1B8FE1BC" w14:textId="20745BD4" w:rsidR="00873F12" w:rsidRDefault="00873F12" w:rsidP="00707C73">
      <w:pPr>
        <w:pStyle w:val="ListBullet2"/>
      </w:pPr>
      <w:r>
        <w:t>PSD</w:t>
      </w:r>
      <w:r w:rsidR="008A034D" w:rsidRPr="00A3379C">
        <w:rPr>
          <w:vertAlign w:val="subscript"/>
        </w:rPr>
        <w:t>CPE</w:t>
      </w:r>
      <w:r>
        <w:rPr>
          <w:vertAlign w:val="subscript"/>
        </w:rPr>
        <w:t xml:space="preserve"> </w:t>
      </w:r>
      <w:r>
        <w:t>is the power spectral density of the</w:t>
      </w:r>
      <w:r w:rsidR="00283372">
        <w:t xml:space="preserve"> notional</w:t>
      </w:r>
      <w:r>
        <w:t xml:space="preserve"> </w:t>
      </w:r>
      <w:r w:rsidR="00283372">
        <w:t>CPE</w:t>
      </w:r>
      <w:r>
        <w:t xml:space="preserve">, set to </w:t>
      </w:r>
      <w:r w:rsidR="00AD5443">
        <w:t>2</w:t>
      </w:r>
      <w:r w:rsidR="00153F86">
        <w:t>8</w:t>
      </w:r>
      <w:r w:rsidR="00AD5443">
        <w:t xml:space="preserve"> dBm per occupied bandwidth</w:t>
      </w:r>
    </w:p>
    <w:p w14:paraId="39180720" w14:textId="2F83D9FC" w:rsidR="000E1BA3" w:rsidRPr="005E5B48" w:rsidRDefault="000E1BA3" w:rsidP="005E5B48">
      <w:pPr>
        <w:pStyle w:val="ListParagraph"/>
        <w:numPr>
          <w:ilvl w:val="0"/>
          <w:numId w:val="99"/>
        </w:numPr>
        <w:ind w:left="371"/>
      </w:pPr>
      <w:r w:rsidRPr="005E5B48">
        <w:t xml:space="preserve">the </w:t>
      </w:r>
      <w:r w:rsidR="00366DD3">
        <w:t xml:space="preserve">notional </w:t>
      </w:r>
      <w:r w:rsidR="00283372">
        <w:t>CPE</w:t>
      </w:r>
      <w:r>
        <w:t xml:space="preserve"> </w:t>
      </w:r>
      <w:r w:rsidRPr="005E5B48">
        <w:t xml:space="preserve">parameters below should be </w:t>
      </w:r>
      <w:r w:rsidR="007133D7" w:rsidRPr="005E5B48">
        <w:t xml:space="preserve">assumed for </w:t>
      </w:r>
      <w:r w:rsidR="00283372">
        <w:t>CPE</w:t>
      </w:r>
      <w:r w:rsidR="00083EB3">
        <w:t xml:space="preserve"> communicating with the base station:</w:t>
      </w:r>
    </w:p>
    <w:p w14:paraId="55E37B5F" w14:textId="77777777" w:rsidR="000E1BA3" w:rsidRPr="005E5B48" w:rsidRDefault="000E1BA3" w:rsidP="005E5B48">
      <w:pPr>
        <w:pStyle w:val="ListBullet"/>
        <w:tabs>
          <w:tab w:val="clear" w:pos="295"/>
          <w:tab w:val="num" w:pos="601"/>
        </w:tabs>
        <w:ind w:left="590"/>
      </w:pPr>
      <w:r w:rsidRPr="005E5B48">
        <w:t>Maximum antenna gain of 18 dBi.</w:t>
      </w:r>
    </w:p>
    <w:p w14:paraId="1300D025" w14:textId="77777777" w:rsidR="000E1BA3" w:rsidRPr="005E5B48" w:rsidRDefault="000E1BA3" w:rsidP="005E5B48">
      <w:pPr>
        <w:pStyle w:val="ListBullet"/>
        <w:ind w:left="590"/>
      </w:pPr>
      <w:r w:rsidRPr="005E5B48">
        <w:t>Antenna height of 5 metres.</w:t>
      </w:r>
    </w:p>
    <w:p w14:paraId="213DCCBF" w14:textId="6AAC0451" w:rsidR="000E1BA3" w:rsidRDefault="000E1BA3" w:rsidP="00083EB3">
      <w:pPr>
        <w:pStyle w:val="ListBulletLast"/>
        <w:ind w:left="590"/>
        <w:rPr>
          <w:rFonts w:cs="Times New Roman"/>
        </w:rPr>
      </w:pPr>
      <w:r w:rsidRPr="005E5B48">
        <w:rPr>
          <w:rFonts w:cs="Times New Roman"/>
        </w:rPr>
        <w:t>Maximum cell radius of 15 km.</w:t>
      </w:r>
      <w:r w:rsidR="00083EB3">
        <w:rPr>
          <w:rFonts w:cs="Times New Roman"/>
        </w:rPr>
        <w:t xml:space="preserve"> For AWL licen</w:t>
      </w:r>
      <w:r w:rsidR="00C81CA8">
        <w:rPr>
          <w:rFonts w:cs="Times New Roman"/>
        </w:rPr>
        <w:t>ces</w:t>
      </w:r>
      <w:r w:rsidR="00083EB3">
        <w:rPr>
          <w:rFonts w:cs="Times New Roman"/>
        </w:rPr>
        <w:t xml:space="preserve"> the coverage area cannot extend beyond the area</w:t>
      </w:r>
      <w:r w:rsidR="00C81CA8">
        <w:rPr>
          <w:rFonts w:cs="Times New Roman"/>
        </w:rPr>
        <w:t xml:space="preserve"> occupied</w:t>
      </w:r>
      <w:r w:rsidR="00083EB3">
        <w:rPr>
          <w:rFonts w:cs="Times New Roman"/>
        </w:rPr>
        <w:t xml:space="preserve"> by the licence. </w:t>
      </w:r>
    </w:p>
    <w:p w14:paraId="5B68DFDB" w14:textId="6D360EDE" w:rsidR="002B57EC" w:rsidRDefault="002B57EC" w:rsidP="002B57EC">
      <w:pPr>
        <w:pStyle w:val="AppendixH2"/>
        <w:numPr>
          <w:ilvl w:val="1"/>
          <w:numId w:val="18"/>
        </w:numPr>
      </w:pPr>
      <w:bookmarkStart w:id="188" w:name="_Toc82527201"/>
      <w:bookmarkStart w:id="189" w:name="_Toc82527202"/>
      <w:bookmarkStart w:id="190" w:name="_Toc90984611"/>
      <w:bookmarkEnd w:id="188"/>
      <w:bookmarkEnd w:id="189"/>
      <w:r>
        <w:t>Interference area</w:t>
      </w:r>
      <w:bookmarkEnd w:id="190"/>
    </w:p>
    <w:p w14:paraId="75027C81" w14:textId="049F97CA" w:rsidR="00C81CA8" w:rsidRDefault="00DD06D7" w:rsidP="00223EA7">
      <w:r w:rsidRPr="00DD06D7">
        <w:t xml:space="preserve">The interference area of a fixed receiver </w:t>
      </w:r>
      <w:r w:rsidR="00EA3935">
        <w:t xml:space="preserve">(including for point-to-point) </w:t>
      </w:r>
      <w:r w:rsidRPr="00DD06D7">
        <w:t xml:space="preserve">is defined as those locations (or the area) where a </w:t>
      </w:r>
      <w:r w:rsidR="004C1CD5">
        <w:t>registration exempt transmitter</w:t>
      </w:r>
      <w:r w:rsidRPr="00DD06D7">
        <w:t>, when deployed</w:t>
      </w:r>
      <w:r w:rsidR="006E297C">
        <w:t>,</w:t>
      </w:r>
      <w:r w:rsidRPr="00DD06D7">
        <w:t xml:space="preserve"> would exceed the protection criteria defined for the fixed receiver. </w:t>
      </w:r>
      <w:r w:rsidR="00DB5FC7">
        <w:t xml:space="preserve"> </w:t>
      </w:r>
    </w:p>
    <w:p w14:paraId="1E72B82B" w14:textId="0F135DCF" w:rsidR="00083EB3" w:rsidRDefault="00083EB3" w:rsidP="00223EA7">
      <w:r>
        <w:t>For the purpose of determining interference area:</w:t>
      </w:r>
    </w:p>
    <w:p w14:paraId="415C8B29" w14:textId="40A24091" w:rsidR="00DD06D7" w:rsidRDefault="00DD06D7" w:rsidP="00083EB3">
      <w:pPr>
        <w:pStyle w:val="ListParagraph"/>
        <w:numPr>
          <w:ilvl w:val="0"/>
          <w:numId w:val="98"/>
        </w:numPr>
      </w:pPr>
      <w:r w:rsidRPr="00DD06D7">
        <w:t xml:space="preserve">The propagation model defined in </w:t>
      </w:r>
      <w:hyperlink r:id="rId53" w:history="1">
        <w:r w:rsidRPr="00DD06D7">
          <w:rPr>
            <w:rStyle w:val="Hyperlink"/>
            <w:i/>
            <w:iCs/>
          </w:rPr>
          <w:t>Recommendation ITU</w:t>
        </w:r>
        <w:r w:rsidRPr="00DD06D7">
          <w:rPr>
            <w:rStyle w:val="Hyperlink"/>
            <w:i/>
            <w:iCs/>
          </w:rPr>
          <w:noBreakHyphen/>
          <w:t>R P.452</w:t>
        </w:r>
      </w:hyperlink>
      <w:r w:rsidRPr="00DD06D7">
        <w:t xml:space="preserve">, with the parameter </w:t>
      </w:r>
      <w:r w:rsidRPr="00DD06D7">
        <w:rPr>
          <w:i/>
          <w:iCs/>
        </w:rPr>
        <w:t>p</w:t>
      </w:r>
      <w:r w:rsidRPr="00DD06D7">
        <w:t xml:space="preserve"> = 20%, should be used to calculate propagation loss.</w:t>
      </w:r>
    </w:p>
    <w:p w14:paraId="19490DFB" w14:textId="5F2D5611" w:rsidR="00270158" w:rsidRDefault="00083EB3" w:rsidP="005E5B48">
      <w:pPr>
        <w:pStyle w:val="ListParagraph"/>
        <w:numPr>
          <w:ilvl w:val="0"/>
          <w:numId w:val="98"/>
        </w:numPr>
      </w:pPr>
      <w:r>
        <w:t xml:space="preserve">The notional </w:t>
      </w:r>
      <w:r w:rsidR="00283372">
        <w:t>CPE</w:t>
      </w:r>
      <w:r>
        <w:t xml:space="preserve"> parameters detailed in section </w:t>
      </w:r>
      <w:r w:rsidR="00C24510">
        <w:t>C</w:t>
      </w:r>
      <w:r>
        <w:t>.1 should be used</w:t>
      </w:r>
      <w:r w:rsidR="00C81CA8">
        <w:t xml:space="preserve"> to model the interferer</w:t>
      </w:r>
      <w:r w:rsidR="00270158">
        <w:t>, with the following clarifications:</w:t>
      </w:r>
    </w:p>
    <w:p w14:paraId="52CAB5C8" w14:textId="07158DA4" w:rsidR="00083EB3" w:rsidRDefault="00C81CA8" w:rsidP="00270158">
      <w:pPr>
        <w:pStyle w:val="ListBullet2"/>
      </w:pPr>
      <w:r>
        <w:t xml:space="preserve">A maximum transmitter power of </w:t>
      </w:r>
      <w:r w:rsidR="00415F01">
        <w:t xml:space="preserve">28 </w:t>
      </w:r>
      <w:r>
        <w:t>dBm per occupied bandwidth should also be assumed</w:t>
      </w:r>
      <w:r w:rsidR="004F34E0">
        <w:t>, where occupied bandwidth is the minimum of receiver licensed bandwidth</w:t>
      </w:r>
      <w:r w:rsidR="004B2ABF">
        <w:t xml:space="preserve"> or</w:t>
      </w:r>
      <w:r w:rsidR="004F34E0">
        <w:t xml:space="preserve"> 20 MHz. </w:t>
      </w:r>
    </w:p>
    <w:p w14:paraId="5271D23C" w14:textId="1AD542DE" w:rsidR="00270158" w:rsidRDefault="00270158" w:rsidP="00707C73">
      <w:pPr>
        <w:pStyle w:val="ListBullet2"/>
      </w:pPr>
      <w:r>
        <w:t xml:space="preserve">The </w:t>
      </w:r>
      <w:r w:rsidR="00283372">
        <w:t>CPE</w:t>
      </w:r>
      <w:r>
        <w:t xml:space="preserve"> antenna is assumed to be pointed towards the proposed base station and meets the radiation pattern envelope in </w:t>
      </w:r>
      <w:r w:rsidR="00C81F03">
        <w:t>ETSI EN 302 085 V1.2.3 (Pattern TS 2, Range 1).</w:t>
      </w:r>
    </w:p>
    <w:p w14:paraId="6AA55FE4" w14:textId="77777777" w:rsidR="00196D0B" w:rsidRDefault="00196D0B" w:rsidP="005E5B48">
      <w:pPr>
        <w:pStyle w:val="AppendixH1"/>
        <w:ind w:left="11"/>
      </w:pPr>
      <w:bookmarkStart w:id="191" w:name="_Toc90471377"/>
      <w:bookmarkStart w:id="192" w:name="_Toc90475073"/>
      <w:bookmarkStart w:id="193" w:name="_Toc90908674"/>
      <w:bookmarkStart w:id="194" w:name="_Toc48558958"/>
      <w:bookmarkStart w:id="195" w:name="_Toc90984612"/>
      <w:bookmarkEnd w:id="191"/>
      <w:bookmarkEnd w:id="192"/>
      <w:bookmarkEnd w:id="193"/>
      <w:r>
        <w:lastRenderedPageBreak/>
        <w:t>Incumbent Apparatus Licenced Point to Multipoint (PMP) Services</w:t>
      </w:r>
      <w:bookmarkEnd w:id="195"/>
    </w:p>
    <w:p w14:paraId="655C929B" w14:textId="56E99092" w:rsidR="00196D0B" w:rsidRDefault="00196D0B" w:rsidP="005E5B48">
      <w:pPr>
        <w:ind w:left="11"/>
      </w:pPr>
      <w:r>
        <w:t>The incumbent PMP services will continue to operate in the frequency band 3400-3700 MHz, noting that no new PMP licences are to be issued</w:t>
      </w:r>
      <w:r w:rsidR="00022CBE">
        <w:t xml:space="preserve"> in any area where AWLs are available</w:t>
      </w:r>
      <w:r>
        <w:t>. Given that AWL receivers are not afforded protection from existing PMP services, the legacy PMP operating arrangements set out in this appendix are intended to aid AWL licensees in determining the likely interference to their receive</w:t>
      </w:r>
      <w:r w:rsidR="004047AC">
        <w:t>r</w:t>
      </w:r>
      <w:r>
        <w:t xml:space="preserve">s. </w:t>
      </w:r>
    </w:p>
    <w:p w14:paraId="2B7129EA" w14:textId="4F9B429B" w:rsidR="00196D0B" w:rsidRDefault="00196D0B" w:rsidP="005E5B48">
      <w:pPr>
        <w:ind w:left="11"/>
      </w:pPr>
      <w:r>
        <w:t xml:space="preserve">The arrangements for incumbent point to multipoint systems in the 3400–3700 MHz frequency range are intended for both single frequency deployments using time division duplex (TDD) and paired channels using frequency division duplex (FDD). </w:t>
      </w:r>
    </w:p>
    <w:p w14:paraId="2F61B52C" w14:textId="77777777" w:rsidR="00196D0B" w:rsidRPr="0030206A" w:rsidRDefault="00196D0B" w:rsidP="005E5B48">
      <w:pPr>
        <w:ind w:left="11"/>
      </w:pPr>
      <w:r>
        <w:t>Licensed point to multipoint base station receivers shall be protected and the frequency coordination procedures for protection of TDD and legacy FDD PMP services is defined in Section 4.5.1 and 4.5.2 respectively.</w:t>
      </w:r>
    </w:p>
    <w:p w14:paraId="045579AF" w14:textId="3228E3CF" w:rsidR="00196D0B" w:rsidRDefault="00196D0B" w:rsidP="005E5B48">
      <w:pPr>
        <w:pStyle w:val="AppendixH2"/>
        <w:numPr>
          <w:ilvl w:val="1"/>
          <w:numId w:val="18"/>
        </w:numPr>
        <w:ind w:left="11"/>
      </w:pPr>
      <w:bookmarkStart w:id="196" w:name="_Toc82527205"/>
      <w:bookmarkStart w:id="197" w:name="_Toc82527206"/>
      <w:bookmarkStart w:id="198" w:name="_Toc82527207"/>
      <w:bookmarkStart w:id="199" w:name="_Toc82527208"/>
      <w:bookmarkStart w:id="200" w:name="_Toc82527209"/>
      <w:bookmarkStart w:id="201" w:name="_Toc82527210"/>
      <w:bookmarkStart w:id="202" w:name="_Toc82527211"/>
      <w:bookmarkStart w:id="203" w:name="_Toc82527212"/>
      <w:bookmarkStart w:id="204" w:name="_Toc82527213"/>
      <w:bookmarkStart w:id="205" w:name="_Toc82527214"/>
      <w:bookmarkStart w:id="206" w:name="_Toc82527215"/>
      <w:bookmarkStart w:id="207" w:name="_Toc82527216"/>
      <w:bookmarkStart w:id="208" w:name="_Toc82527217"/>
      <w:bookmarkStart w:id="209" w:name="_Toc82527218"/>
      <w:bookmarkStart w:id="210" w:name="_Toc82527219"/>
      <w:bookmarkStart w:id="211" w:name="_Toc82527220"/>
      <w:bookmarkStart w:id="212" w:name="_Toc82527221"/>
      <w:bookmarkStart w:id="213" w:name="_Toc82527222"/>
      <w:bookmarkStart w:id="214" w:name="_Toc82527223"/>
      <w:bookmarkStart w:id="215" w:name="_Toc82527224"/>
      <w:bookmarkStart w:id="216" w:name="_Toc82527225"/>
      <w:bookmarkStart w:id="217" w:name="_Toc82527226"/>
      <w:bookmarkStart w:id="218" w:name="_Toc82527227"/>
      <w:bookmarkStart w:id="219" w:name="_Toc82527228"/>
      <w:bookmarkStart w:id="220" w:name="_Toc82527229"/>
      <w:bookmarkStart w:id="221" w:name="_Toc82527230"/>
      <w:bookmarkStart w:id="222" w:name="_Toc82527231"/>
      <w:bookmarkStart w:id="223" w:name="_Toc82527232"/>
      <w:bookmarkStart w:id="224" w:name="_Toc82527233"/>
      <w:bookmarkStart w:id="225" w:name="_Toc82527234"/>
      <w:bookmarkStart w:id="226" w:name="_Toc82527235"/>
      <w:bookmarkStart w:id="227" w:name="_Toc82527236"/>
      <w:bookmarkStart w:id="228" w:name="_Toc82527237"/>
      <w:bookmarkStart w:id="229" w:name="_Toc82527238"/>
      <w:bookmarkStart w:id="230" w:name="_Toc82527239"/>
      <w:bookmarkStart w:id="231" w:name="_Toc82527240"/>
      <w:bookmarkStart w:id="232" w:name="_Toc82527241"/>
      <w:bookmarkStart w:id="233" w:name="_Toc90984613"/>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t>TDD PMP emission limits</w:t>
      </w:r>
      <w:bookmarkEnd w:id="233"/>
    </w:p>
    <w:p w14:paraId="5E29F47B" w14:textId="77777777" w:rsidR="00196D0B" w:rsidRPr="00D668CA" w:rsidRDefault="00196D0B" w:rsidP="005E5B48">
      <w:pPr>
        <w:pStyle w:val="ListParagraph"/>
        <w:ind w:left="11"/>
      </w:pPr>
      <w:r>
        <w:t xml:space="preserve">Incumbent PMP services operate in </w:t>
      </w:r>
      <w:r w:rsidRPr="000142D3">
        <w:t xml:space="preserve">in the </w:t>
      </w:r>
      <w:r>
        <w:t>3400 -3700 M</w:t>
      </w:r>
      <w:r w:rsidRPr="000142D3">
        <w:t xml:space="preserve">Hz band are </w:t>
      </w:r>
      <w:r>
        <w:t>subject to</w:t>
      </w:r>
      <w:r w:rsidRPr="000142D3">
        <w:t xml:space="preserve"> band specific conditions detailed </w:t>
      </w:r>
      <w:r>
        <w:t>below</w:t>
      </w:r>
      <w:r w:rsidRPr="000142D3">
        <w:t>.  Some of these conditions include EIRP density limits, constraints, and relevant technical standards</w:t>
      </w:r>
      <w:r>
        <w:t xml:space="preserve"> that need</w:t>
      </w:r>
      <w:r w:rsidRPr="000142D3">
        <w:t xml:space="preserve"> to be adhered to.</w:t>
      </w:r>
      <w:r>
        <w:t xml:space="preserve"> These arrangements were previously detailed in RALI FX19.</w:t>
      </w:r>
    </w:p>
    <w:p w14:paraId="10F76330" w14:textId="77777777" w:rsidR="00196D0B" w:rsidRDefault="00196D0B" w:rsidP="005E5B48">
      <w:pPr>
        <w:ind w:left="11"/>
        <w:rPr>
          <w:sz w:val="20"/>
        </w:rPr>
      </w:pPr>
    </w:p>
    <w:p w14:paraId="13330926" w14:textId="65BBA68B" w:rsidR="00196D0B" w:rsidRPr="005E5B48" w:rsidRDefault="00196D0B" w:rsidP="005E5B48">
      <w:pPr>
        <w:ind w:left="11"/>
        <w:rPr>
          <w:b/>
          <w:bCs/>
          <w:sz w:val="20"/>
        </w:rPr>
      </w:pPr>
      <w:r>
        <w:rPr>
          <w:b/>
          <w:sz w:val="20"/>
        </w:rPr>
        <w:t xml:space="preserve">Table </w:t>
      </w:r>
      <w:r w:rsidRPr="005E5B48">
        <w:rPr>
          <w:b/>
          <w:bCs/>
          <w:sz w:val="20"/>
        </w:rPr>
        <w:t>A.</w:t>
      </w:r>
      <w:r>
        <w:rPr>
          <w:b/>
          <w:bCs/>
          <w:sz w:val="20"/>
        </w:rPr>
        <w:t>1</w:t>
      </w:r>
      <w:r w:rsidRPr="005E5B48">
        <w:rPr>
          <w:b/>
          <w:bCs/>
          <w:sz w:val="20"/>
        </w:rPr>
        <w:t xml:space="preserve"> Band Specific Requirements</w:t>
      </w:r>
    </w:p>
    <w:tbl>
      <w:tblPr>
        <w:tblW w:w="9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397"/>
      </w:tblGrid>
      <w:tr w:rsidR="00196D0B" w:rsidRPr="00A37D12" w14:paraId="2F835AA3" w14:textId="77777777" w:rsidTr="005E5B48">
        <w:trPr>
          <w:jc w:val="center"/>
        </w:trPr>
        <w:tc>
          <w:tcPr>
            <w:tcW w:w="2972" w:type="dxa"/>
          </w:tcPr>
          <w:p w14:paraId="27F2A137" w14:textId="6AF108EC" w:rsidR="00196D0B" w:rsidRPr="00A37D12" w:rsidRDefault="00196D0B" w:rsidP="00AD4E02">
            <w:pPr>
              <w:keepNext/>
              <w:rPr>
                <w:sz w:val="20"/>
              </w:rPr>
            </w:pPr>
            <w:r>
              <w:rPr>
                <w:sz w:val="20"/>
              </w:rPr>
              <w:t>Devices with AAS</w:t>
            </w:r>
          </w:p>
        </w:tc>
        <w:tc>
          <w:tcPr>
            <w:tcW w:w="6397" w:type="dxa"/>
          </w:tcPr>
          <w:p w14:paraId="221F8D7B" w14:textId="77777777" w:rsidR="00196D0B" w:rsidRPr="00A37D12" w:rsidRDefault="00196D0B" w:rsidP="00AD4E02">
            <w:pPr>
              <w:keepNext/>
              <w:widowControl w:val="0"/>
              <w:numPr>
                <w:ilvl w:val="0"/>
                <w:numId w:val="90"/>
              </w:numPr>
              <w:spacing w:after="120" w:line="240" w:lineRule="auto"/>
              <w:rPr>
                <w:sz w:val="20"/>
              </w:rPr>
            </w:pPr>
            <w:r w:rsidRPr="00A37D12">
              <w:rPr>
                <w:sz w:val="20"/>
              </w:rPr>
              <w:t>Coordination is to be conducted based on the highest achievable gain of a system</w:t>
            </w:r>
          </w:p>
        </w:tc>
      </w:tr>
      <w:tr w:rsidR="00196D0B" w:rsidRPr="00A37D12" w14:paraId="28E93FFF" w14:textId="77777777" w:rsidTr="005E5B48">
        <w:trPr>
          <w:jc w:val="center"/>
        </w:trPr>
        <w:tc>
          <w:tcPr>
            <w:tcW w:w="2972" w:type="dxa"/>
          </w:tcPr>
          <w:p w14:paraId="34FE817D" w14:textId="77777777" w:rsidR="00196D0B" w:rsidRPr="00A37D12" w:rsidRDefault="00196D0B" w:rsidP="00AD4E02">
            <w:pPr>
              <w:keepNext/>
              <w:rPr>
                <w:sz w:val="20"/>
              </w:rPr>
            </w:pPr>
            <w:r w:rsidRPr="00A37D12">
              <w:rPr>
                <w:sz w:val="20"/>
              </w:rPr>
              <w:t>Emission Masks</w:t>
            </w:r>
          </w:p>
        </w:tc>
        <w:tc>
          <w:tcPr>
            <w:tcW w:w="6397" w:type="dxa"/>
          </w:tcPr>
          <w:p w14:paraId="22BA6810" w14:textId="77777777" w:rsidR="00196D0B" w:rsidRPr="00A37D12" w:rsidRDefault="00196D0B" w:rsidP="00AD4E02">
            <w:pPr>
              <w:numPr>
                <w:ilvl w:val="0"/>
                <w:numId w:val="91"/>
              </w:numPr>
              <w:spacing w:after="0" w:line="240" w:lineRule="auto"/>
              <w:rPr>
                <w:sz w:val="20"/>
              </w:rPr>
            </w:pPr>
            <w:r w:rsidRPr="00A37D12">
              <w:rPr>
                <w:sz w:val="20"/>
              </w:rPr>
              <w:t>All transmitters are to adhere to relevant emission masks stated in ETSI EN 302 326.</w:t>
            </w:r>
          </w:p>
          <w:p w14:paraId="6436E482" w14:textId="63B0EA8B" w:rsidR="00196D0B" w:rsidRPr="00A37D12" w:rsidRDefault="005E03B8" w:rsidP="00AD4E02">
            <w:pPr>
              <w:numPr>
                <w:ilvl w:val="0"/>
                <w:numId w:val="92"/>
              </w:numPr>
              <w:spacing w:after="0" w:line="240" w:lineRule="auto"/>
              <w:rPr>
                <w:sz w:val="20"/>
              </w:rPr>
            </w:pPr>
            <w:r>
              <w:rPr>
                <w:sz w:val="20"/>
              </w:rPr>
              <w:t>The additional limits detailed in A.1.1 and A.1.2 also apply where relevant</w:t>
            </w:r>
            <w:r w:rsidR="00196D0B" w:rsidRPr="00A37D12">
              <w:rPr>
                <w:sz w:val="20"/>
              </w:rPr>
              <w:t>.</w:t>
            </w:r>
          </w:p>
        </w:tc>
      </w:tr>
    </w:tbl>
    <w:p w14:paraId="4E8EE374" w14:textId="77777777" w:rsidR="00196D0B" w:rsidRDefault="00196D0B" w:rsidP="005E5B48">
      <w:pPr>
        <w:ind w:left="11"/>
      </w:pPr>
    </w:p>
    <w:p w14:paraId="2927B61B" w14:textId="3F76A699" w:rsidR="00196D0B" w:rsidRPr="009C0889" w:rsidRDefault="00196D0B" w:rsidP="005E5B48">
      <w:pPr>
        <w:ind w:left="11"/>
        <w:rPr>
          <w:b/>
        </w:rPr>
      </w:pPr>
      <w:r>
        <w:rPr>
          <w:b/>
        </w:rPr>
        <w:t xml:space="preserve">A.1.1 Out-of-band </w:t>
      </w:r>
      <w:r w:rsidRPr="009C0889">
        <w:rPr>
          <w:b/>
        </w:rPr>
        <w:t xml:space="preserve">Emission </w:t>
      </w:r>
      <w:r>
        <w:rPr>
          <w:b/>
        </w:rPr>
        <w:t>Limits</w:t>
      </w:r>
    </w:p>
    <w:p w14:paraId="7381E7C5" w14:textId="0C207023" w:rsidR="00196D0B" w:rsidRDefault="00196D0B" w:rsidP="005E5B48">
      <w:pPr>
        <w:ind w:left="11"/>
      </w:pPr>
      <w:r>
        <w:t>PMP transmitters (both base and remote stations) in the 3575-3700 MHz band shall comply with the applicable out-of-band spectrum density masks as detailed in ETSI EN 302 326-2.  PMP licensees are required to take reasonable steps to ensure that any device operating on their networks comply with this standard.</w:t>
      </w:r>
    </w:p>
    <w:p w14:paraId="59A57916" w14:textId="218D9068" w:rsidR="00196D0B" w:rsidRDefault="00196D0B" w:rsidP="00196D0B">
      <w:pPr>
        <w:ind w:left="11"/>
      </w:pPr>
      <w:r>
        <w:t xml:space="preserve">In addition, band edge masks are specified at both the 3575 MHz and 3700 MHz frequency boundaries. It is a requirement that </w:t>
      </w:r>
      <w:r>
        <w:rPr>
          <w:u w:val="single"/>
        </w:rPr>
        <w:t>all</w:t>
      </w:r>
      <w:r>
        <w:t xml:space="preserve"> PMP base stations adhere to the band edge masks specified here and ensure that emissions leaving the band adhere to the required levels.</w:t>
      </w:r>
    </w:p>
    <w:p w14:paraId="3C231909" w14:textId="1522D521" w:rsidR="00196D0B" w:rsidRDefault="00196D0B" w:rsidP="005E5B48">
      <w:pPr>
        <w:autoSpaceDE w:val="0"/>
        <w:autoSpaceDN w:val="0"/>
        <w:adjustRightInd w:val="0"/>
        <w:spacing w:after="120"/>
        <w:rPr>
          <w:lang w:val="en-GB"/>
        </w:rPr>
      </w:pPr>
      <w:r>
        <w:t xml:space="preserve">The equivalent isotropic radiated power (EIRP) of PMP base stations shall not exceed the following levels below the 3575 MHz band edge:  </w:t>
      </w:r>
    </w:p>
    <w:p w14:paraId="29843228" w14:textId="77777777" w:rsidR="00196D0B" w:rsidRDefault="00196D0B" w:rsidP="00196D0B">
      <w:pPr>
        <w:pStyle w:val="Jeanpara"/>
        <w:ind w:left="1060"/>
      </w:pPr>
      <w:r>
        <w:t xml:space="preserve">(a) +20 dBm </w:t>
      </w:r>
      <w:r>
        <w:rPr>
          <w:i/>
        </w:rPr>
        <w:t>eirp</w:t>
      </w:r>
      <w:r>
        <w:t xml:space="preserve"> per 30 kHz within the range 3574.75 MHz to 3575 MHz;</w:t>
      </w:r>
    </w:p>
    <w:p w14:paraId="4F84F1BC" w14:textId="77777777" w:rsidR="00196D0B" w:rsidRDefault="00196D0B" w:rsidP="00196D0B">
      <w:pPr>
        <w:pStyle w:val="Jeanpara"/>
        <w:ind w:left="1060"/>
      </w:pPr>
      <w:r>
        <w:t xml:space="preserve">(b) -5 dBm </w:t>
      </w:r>
      <w:r>
        <w:rPr>
          <w:i/>
        </w:rPr>
        <w:t>eirp</w:t>
      </w:r>
      <w:r>
        <w:t xml:space="preserve"> per 30 kHz within the range 3574 MHz to 3574.75 MHz; </w:t>
      </w:r>
    </w:p>
    <w:p w14:paraId="3A3AA4E5" w14:textId="77777777" w:rsidR="00196D0B" w:rsidRDefault="00196D0B" w:rsidP="00196D0B">
      <w:pPr>
        <w:pStyle w:val="Jeanpara"/>
        <w:ind w:left="1060"/>
      </w:pPr>
      <w:r>
        <w:t xml:space="preserve">(c) -30 dBm </w:t>
      </w:r>
      <w:r>
        <w:rPr>
          <w:i/>
        </w:rPr>
        <w:t>eirp</w:t>
      </w:r>
      <w:r>
        <w:t xml:space="preserve"> per 30 kHz within the range 3573 MHz to 3574 MHz; and</w:t>
      </w:r>
    </w:p>
    <w:p w14:paraId="76D4B8BC" w14:textId="77777777" w:rsidR="00196D0B" w:rsidRDefault="00196D0B" w:rsidP="00196D0B">
      <w:pPr>
        <w:ind w:left="447" w:firstLine="273"/>
      </w:pPr>
      <w:r>
        <w:lastRenderedPageBreak/>
        <w:t xml:space="preserve">(d) -40 dBm </w:t>
      </w:r>
      <w:r>
        <w:rPr>
          <w:i/>
        </w:rPr>
        <w:t>eirp</w:t>
      </w:r>
      <w:r>
        <w:t xml:space="preserve"> per 30 kHz lower than 3573 MHz.</w:t>
      </w:r>
    </w:p>
    <w:p w14:paraId="59BFF271" w14:textId="7457056A" w:rsidR="00196D0B" w:rsidRDefault="00196D0B" w:rsidP="005E5B48">
      <w:r>
        <w:t xml:space="preserve">The equivalent isotropic radiated power (EIRP) of BWA base stations shall not exceed the following levels at and above the 3700 MHz band edge:  </w:t>
      </w:r>
    </w:p>
    <w:p w14:paraId="33C4B37E" w14:textId="77777777" w:rsidR="00196D0B" w:rsidRDefault="00196D0B" w:rsidP="005E5B48">
      <w:pPr>
        <w:pStyle w:val="Jeanpara"/>
        <w:ind w:left="1060"/>
      </w:pPr>
      <w:r>
        <w:t xml:space="preserve">(e) -5 dBm in the 30 kHz bandwidth within the frequency range 3700-3700.03 MHz; </w:t>
      </w:r>
    </w:p>
    <w:p w14:paraId="1C26A578" w14:textId="77777777" w:rsidR="00196D0B" w:rsidRDefault="00196D0B" w:rsidP="005E5B48">
      <w:pPr>
        <w:pStyle w:val="Jeanpara"/>
        <w:ind w:left="1060"/>
      </w:pPr>
      <w:r>
        <w:t>(f) -15 dBm measured in any 30 kHz bandwidth in the frequency range 3700.2-3700.7 MHz; and</w:t>
      </w:r>
    </w:p>
    <w:p w14:paraId="11A6A505" w14:textId="77777777" w:rsidR="00196D0B" w:rsidRDefault="00196D0B" w:rsidP="005E5B48">
      <w:pPr>
        <w:pStyle w:val="Jeanpara"/>
        <w:ind w:left="1060"/>
      </w:pPr>
      <w:r>
        <w:t>(g) -40 dBm measured in any 30 kHz bandwidth at any point above the frequency 3701.6 MHz.</w:t>
      </w:r>
    </w:p>
    <w:p w14:paraId="6B6AD1CA" w14:textId="7E804ECC" w:rsidR="00196D0B" w:rsidRDefault="00196D0B" w:rsidP="005E5B48">
      <w:pPr>
        <w:ind w:left="11"/>
        <w:rPr>
          <w:b/>
          <w:i/>
        </w:rPr>
      </w:pPr>
      <w:r>
        <w:t>For frequencies between the ranges defined by (e) and (f), or (f) and (g) the EIRP shall not exceed the level defined by a straight line joining the levels specified in (e), (f) and (g).</w:t>
      </w:r>
    </w:p>
    <w:p w14:paraId="46CD77A7" w14:textId="1AD4C2C7" w:rsidR="00196D0B" w:rsidRPr="005E5B48" w:rsidRDefault="00196D0B" w:rsidP="005E5B48">
      <w:pPr>
        <w:ind w:left="55"/>
        <w:rPr>
          <w:b/>
          <w:sz w:val="28"/>
          <w:szCs w:val="28"/>
        </w:rPr>
      </w:pPr>
      <w:r w:rsidRPr="005E5B48">
        <w:rPr>
          <w:b/>
          <w:sz w:val="28"/>
          <w:szCs w:val="28"/>
        </w:rPr>
        <w:t>A.</w:t>
      </w:r>
      <w:r>
        <w:rPr>
          <w:b/>
          <w:bCs/>
          <w:sz w:val="28"/>
          <w:szCs w:val="28"/>
        </w:rPr>
        <w:t>2</w:t>
      </w:r>
      <w:r w:rsidRPr="005E5B48">
        <w:rPr>
          <w:b/>
          <w:sz w:val="28"/>
          <w:szCs w:val="28"/>
        </w:rPr>
        <w:tab/>
        <w:t>FDD PMP emission limits</w:t>
      </w:r>
    </w:p>
    <w:p w14:paraId="212D188F" w14:textId="2D34FBAF" w:rsidR="00196D0B" w:rsidRPr="00A0281E" w:rsidRDefault="00196D0B" w:rsidP="005E03B8">
      <w:pPr>
        <w:ind w:left="11"/>
        <w:rPr>
          <w:rFonts w:cs="Arial"/>
          <w:szCs w:val="22"/>
        </w:rPr>
      </w:pPr>
      <w:r w:rsidRPr="00426F0D">
        <w:rPr>
          <w:rFonts w:cs="Arial"/>
        </w:rPr>
        <w:t>Transmitters operated under a FDD point to multipoint licence are subject to the in-band emission limit defined as in Table A.</w:t>
      </w:r>
      <w:r>
        <w:rPr>
          <w:rFonts w:cs="Arial"/>
        </w:rPr>
        <w:t>2</w:t>
      </w:r>
      <w:r w:rsidRPr="00426F0D">
        <w:rPr>
          <w:rFonts w:cs="Arial"/>
        </w:rPr>
        <w:t xml:space="preserve">. </w:t>
      </w:r>
      <w:r w:rsidRPr="005E5B48">
        <w:rPr>
          <w:szCs w:val="22"/>
        </w:rPr>
        <w:t>FDD Transmitter emission limits are symmetrical about the assigned frequency.</w:t>
      </w:r>
    </w:p>
    <w:tbl>
      <w:tblPr>
        <w:tblStyle w:val="TableGrid"/>
        <w:tblpPr w:leftFromText="180" w:rightFromText="180" w:vertAnchor="text" w:horzAnchor="margin" w:tblpY="350"/>
        <w:tblW w:w="0" w:type="auto"/>
        <w:tblLook w:val="04A0" w:firstRow="1" w:lastRow="0" w:firstColumn="1" w:lastColumn="0" w:noHBand="0" w:noVBand="1"/>
      </w:tblPr>
      <w:tblGrid>
        <w:gridCol w:w="2972"/>
        <w:gridCol w:w="3260"/>
        <w:gridCol w:w="2552"/>
      </w:tblGrid>
      <w:tr w:rsidR="00196D0B" w:rsidRPr="003D4155" w14:paraId="4F7678A1" w14:textId="77777777" w:rsidTr="005E5B48">
        <w:tc>
          <w:tcPr>
            <w:tcW w:w="2972" w:type="dxa"/>
            <w:shd w:val="clear" w:color="auto" w:fill="D9D9D9" w:themeFill="background1" w:themeFillShade="D9"/>
          </w:tcPr>
          <w:p w14:paraId="5A13E184" w14:textId="77777777" w:rsidR="00196D0B" w:rsidRPr="003D4155" w:rsidRDefault="00196D0B" w:rsidP="00AD4E02">
            <w:pPr>
              <w:spacing w:before="20" w:after="20"/>
              <w:rPr>
                <w:b/>
                <w:bCs/>
              </w:rPr>
            </w:pPr>
            <w:r w:rsidRPr="003D4155">
              <w:rPr>
                <w:b/>
                <w:bCs/>
              </w:rPr>
              <w:t>Frequency offset</w:t>
            </w:r>
            <w:r>
              <w:rPr>
                <w:b/>
                <w:bCs/>
              </w:rPr>
              <w:t xml:space="preserve"> </w:t>
            </w:r>
            <w:r w:rsidRPr="003D4155">
              <w:rPr>
                <w:b/>
                <w:bCs/>
              </w:rPr>
              <w:t>(f</w:t>
            </w:r>
            <w:r w:rsidRPr="003D4155">
              <w:rPr>
                <w:b/>
                <w:bCs/>
                <w:vertAlign w:val="subscript"/>
              </w:rPr>
              <w:t>offset</w:t>
            </w:r>
            <w:r w:rsidRPr="003D4155">
              <w:rPr>
                <w:b/>
                <w:bCs/>
              </w:rPr>
              <w:t>)</w:t>
            </w:r>
          </w:p>
        </w:tc>
        <w:tc>
          <w:tcPr>
            <w:tcW w:w="3260" w:type="dxa"/>
            <w:shd w:val="clear" w:color="auto" w:fill="D9D9D9" w:themeFill="background1" w:themeFillShade="D9"/>
          </w:tcPr>
          <w:p w14:paraId="47BF6E4D" w14:textId="77777777" w:rsidR="00196D0B" w:rsidRPr="003D4155" w:rsidRDefault="00196D0B" w:rsidP="00AD4E02">
            <w:pPr>
              <w:spacing w:before="20" w:after="20"/>
              <w:rPr>
                <w:b/>
                <w:bCs/>
              </w:rPr>
            </w:pPr>
            <w:r>
              <w:rPr>
                <w:rFonts w:eastAsiaTheme="minorEastAsia"/>
                <w:b/>
              </w:rPr>
              <w:t>EIRP</w:t>
            </w:r>
            <w:r w:rsidRPr="00AB3974">
              <w:rPr>
                <w:rFonts w:eastAsiaTheme="minorEastAsia"/>
                <w:b/>
              </w:rPr>
              <w:t xml:space="preserve"> (dBm)</w:t>
            </w:r>
          </w:p>
        </w:tc>
        <w:tc>
          <w:tcPr>
            <w:tcW w:w="2552" w:type="dxa"/>
            <w:shd w:val="clear" w:color="auto" w:fill="D9D9D9" w:themeFill="background1" w:themeFillShade="D9"/>
          </w:tcPr>
          <w:p w14:paraId="15F768A6" w14:textId="77777777" w:rsidR="00196D0B" w:rsidRPr="003D4155" w:rsidRDefault="00196D0B" w:rsidP="00AD4E02">
            <w:pPr>
              <w:spacing w:before="20" w:after="20"/>
              <w:rPr>
                <w:b/>
                <w:bCs/>
              </w:rPr>
            </w:pPr>
            <w:r>
              <w:rPr>
                <w:rFonts w:eastAsiaTheme="minorEastAsia"/>
                <w:b/>
              </w:rPr>
              <w:t xml:space="preserve">Specified </w:t>
            </w:r>
            <w:r w:rsidRPr="00AB3974">
              <w:rPr>
                <w:rFonts w:eastAsiaTheme="minorEastAsia"/>
                <w:b/>
              </w:rPr>
              <w:t>Bandwidth</w:t>
            </w:r>
          </w:p>
        </w:tc>
      </w:tr>
      <w:tr w:rsidR="00196D0B" w:rsidRPr="001E720A" w14:paraId="33C69A0B" w14:textId="77777777" w:rsidTr="005E5B48">
        <w:tc>
          <w:tcPr>
            <w:tcW w:w="2972" w:type="dxa"/>
          </w:tcPr>
          <w:p w14:paraId="0EFE878A" w14:textId="77777777" w:rsidR="00196D0B" w:rsidRDefault="00196D0B" w:rsidP="00AD4E02">
            <w:pPr>
              <w:spacing w:before="20" w:after="20"/>
            </w:pPr>
            <w:r>
              <w:t>Co-channel</w:t>
            </w:r>
          </w:p>
        </w:tc>
        <w:tc>
          <w:tcPr>
            <w:tcW w:w="3260" w:type="dxa"/>
          </w:tcPr>
          <w:p w14:paraId="55A284CF" w14:textId="77777777" w:rsidR="00196D0B" w:rsidRDefault="00196D0B" w:rsidP="00AD4E02">
            <w:pPr>
              <w:spacing w:before="20" w:after="20"/>
              <w:jc w:val="center"/>
            </w:pPr>
            <w:r>
              <w:t>+35</w:t>
            </w:r>
          </w:p>
        </w:tc>
        <w:tc>
          <w:tcPr>
            <w:tcW w:w="2552" w:type="dxa"/>
          </w:tcPr>
          <w:p w14:paraId="56CDE492" w14:textId="77777777" w:rsidR="00196D0B" w:rsidRDefault="00196D0B" w:rsidP="00AD4E02">
            <w:pPr>
              <w:spacing w:before="20" w:after="20"/>
            </w:pPr>
            <w:r>
              <w:t>30 kHz</w:t>
            </w:r>
          </w:p>
        </w:tc>
      </w:tr>
      <w:tr w:rsidR="00196D0B" w:rsidRPr="001E720A" w14:paraId="0928D560" w14:textId="77777777" w:rsidTr="005E5B48">
        <w:tc>
          <w:tcPr>
            <w:tcW w:w="2972" w:type="dxa"/>
          </w:tcPr>
          <w:p w14:paraId="65106C23" w14:textId="77777777" w:rsidR="00196D0B" w:rsidRDefault="00196D0B" w:rsidP="00AD4E02">
            <w:pPr>
              <w:spacing w:before="20" w:after="20"/>
            </w:pPr>
            <w:r>
              <w:t xml:space="preserve">0 kHz </w:t>
            </w:r>
            <w:r>
              <w:rPr>
                <w:rFonts w:cs="Arial"/>
              </w:rPr>
              <w:t>≤</w:t>
            </w:r>
            <w:r>
              <w:t xml:space="preserve"> f</w:t>
            </w:r>
            <w:r w:rsidRPr="00A27C8F">
              <w:rPr>
                <w:vertAlign w:val="subscript"/>
              </w:rPr>
              <w:t>offset</w:t>
            </w:r>
            <w:r>
              <w:rPr>
                <w:rFonts w:cs="Arial"/>
              </w:rPr>
              <w:t xml:space="preserve"> &lt;</w:t>
            </w:r>
            <w:r>
              <w:t xml:space="preserve"> 100 kHz</w:t>
            </w:r>
          </w:p>
        </w:tc>
        <w:tc>
          <w:tcPr>
            <w:tcW w:w="3260" w:type="dxa"/>
          </w:tcPr>
          <w:p w14:paraId="42117A3E" w14:textId="77777777" w:rsidR="00196D0B" w:rsidRDefault="00196D0B" w:rsidP="00AD4E02">
            <w:pPr>
              <w:spacing w:before="20" w:after="20"/>
              <w:jc w:val="center"/>
            </w:pPr>
            <w:r>
              <w:t xml:space="preserve">+35 – (1/4) </w:t>
            </w:r>
            <w:r>
              <w:rPr>
                <w:rFonts w:cs="Arial"/>
              </w:rPr>
              <w:t>×</w:t>
            </w:r>
            <w:r>
              <w:t xml:space="preserve"> f</w:t>
            </w:r>
            <w:r w:rsidRPr="00643E17">
              <w:rPr>
                <w:vertAlign w:val="subscript"/>
              </w:rPr>
              <w:t>offset</w:t>
            </w:r>
            <w:r>
              <w:t xml:space="preserve"> (kHz)</w:t>
            </w:r>
          </w:p>
        </w:tc>
        <w:tc>
          <w:tcPr>
            <w:tcW w:w="2552" w:type="dxa"/>
          </w:tcPr>
          <w:p w14:paraId="338B7C35" w14:textId="77777777" w:rsidR="00196D0B" w:rsidRPr="001E720A" w:rsidRDefault="00196D0B" w:rsidP="00AD4E02">
            <w:pPr>
              <w:spacing w:before="20" w:after="20"/>
            </w:pPr>
            <w:r>
              <w:t>30 kHz</w:t>
            </w:r>
          </w:p>
        </w:tc>
      </w:tr>
      <w:tr w:rsidR="00196D0B" w:rsidRPr="001E720A" w14:paraId="1FC8F78C" w14:textId="77777777" w:rsidTr="005E5B48">
        <w:tc>
          <w:tcPr>
            <w:tcW w:w="2972" w:type="dxa"/>
          </w:tcPr>
          <w:p w14:paraId="7E8E685D" w14:textId="77777777" w:rsidR="00196D0B" w:rsidRDefault="00196D0B" w:rsidP="00AD4E02">
            <w:pPr>
              <w:spacing w:before="20" w:after="20"/>
            </w:pPr>
            <w:r>
              <w:t xml:space="preserve">100 kHz </w:t>
            </w:r>
            <w:r>
              <w:rPr>
                <w:rFonts w:cs="Arial"/>
              </w:rPr>
              <w:t>≤</w:t>
            </w:r>
            <w:r>
              <w:t xml:space="preserve"> f</w:t>
            </w:r>
            <w:r w:rsidRPr="00A27C8F">
              <w:rPr>
                <w:vertAlign w:val="subscript"/>
              </w:rPr>
              <w:t>offset</w:t>
            </w:r>
            <w:r>
              <w:rPr>
                <w:rFonts w:cs="Arial"/>
              </w:rPr>
              <w:t xml:space="preserve"> &lt;</w:t>
            </w:r>
            <w:r>
              <w:t xml:space="preserve"> 350 kHz</w:t>
            </w:r>
          </w:p>
        </w:tc>
        <w:tc>
          <w:tcPr>
            <w:tcW w:w="3260" w:type="dxa"/>
          </w:tcPr>
          <w:p w14:paraId="3846A33C" w14:textId="77777777" w:rsidR="00196D0B" w:rsidRDefault="00196D0B" w:rsidP="00AD4E02">
            <w:pPr>
              <w:spacing w:before="20" w:after="20"/>
              <w:jc w:val="center"/>
            </w:pPr>
            <w:r>
              <w:t>+10</w:t>
            </w:r>
          </w:p>
        </w:tc>
        <w:tc>
          <w:tcPr>
            <w:tcW w:w="2552" w:type="dxa"/>
          </w:tcPr>
          <w:p w14:paraId="08F0FA8F" w14:textId="77777777" w:rsidR="00196D0B" w:rsidRPr="001E720A" w:rsidRDefault="00196D0B" w:rsidP="00AD4E02">
            <w:pPr>
              <w:spacing w:before="20" w:after="20"/>
            </w:pPr>
            <w:r>
              <w:t>30 kHz</w:t>
            </w:r>
          </w:p>
        </w:tc>
      </w:tr>
      <w:tr w:rsidR="00196D0B" w:rsidRPr="001E720A" w14:paraId="36022AFB" w14:textId="77777777" w:rsidTr="005E5B48">
        <w:tc>
          <w:tcPr>
            <w:tcW w:w="2972" w:type="dxa"/>
          </w:tcPr>
          <w:p w14:paraId="7BCD8727" w14:textId="77777777" w:rsidR="00196D0B" w:rsidRPr="001E720A" w:rsidRDefault="00196D0B" w:rsidP="00AD4E02">
            <w:pPr>
              <w:spacing w:before="20" w:after="20"/>
            </w:pPr>
            <w:r>
              <w:t xml:space="preserve">350 kHz </w:t>
            </w:r>
            <w:r>
              <w:rPr>
                <w:rFonts w:cs="Arial"/>
              </w:rPr>
              <w:t>≤</w:t>
            </w:r>
            <w:r>
              <w:t xml:space="preserve"> f</w:t>
            </w:r>
            <w:r w:rsidRPr="00A27C8F">
              <w:rPr>
                <w:vertAlign w:val="subscript"/>
              </w:rPr>
              <w:t>offset</w:t>
            </w:r>
            <w:r>
              <w:t xml:space="preserve"> &lt; 600 kHz</w:t>
            </w:r>
          </w:p>
        </w:tc>
        <w:tc>
          <w:tcPr>
            <w:tcW w:w="3260" w:type="dxa"/>
          </w:tcPr>
          <w:p w14:paraId="16C6E672" w14:textId="77777777" w:rsidR="00196D0B" w:rsidRPr="001E720A" w:rsidRDefault="00196D0B" w:rsidP="00AD4E02">
            <w:pPr>
              <w:spacing w:before="20" w:after="20"/>
              <w:jc w:val="center"/>
            </w:pPr>
            <w:r>
              <w:t xml:space="preserve">+45 – (1/10) </w:t>
            </w:r>
            <w:r>
              <w:rPr>
                <w:rFonts w:cs="Arial"/>
              </w:rPr>
              <w:t>×</w:t>
            </w:r>
            <w:r>
              <w:t xml:space="preserve"> f</w:t>
            </w:r>
            <w:r w:rsidRPr="00643E17">
              <w:rPr>
                <w:vertAlign w:val="subscript"/>
              </w:rPr>
              <w:t>offset</w:t>
            </w:r>
            <w:r>
              <w:t xml:space="preserve"> (kHz)</w:t>
            </w:r>
          </w:p>
        </w:tc>
        <w:tc>
          <w:tcPr>
            <w:tcW w:w="2552" w:type="dxa"/>
          </w:tcPr>
          <w:p w14:paraId="67835FE1" w14:textId="77777777" w:rsidR="00196D0B" w:rsidRPr="001E720A" w:rsidRDefault="00196D0B" w:rsidP="00AD4E02">
            <w:pPr>
              <w:spacing w:before="20" w:after="20"/>
            </w:pPr>
            <w:r w:rsidRPr="002232BE">
              <w:t>30 kHz</w:t>
            </w:r>
          </w:p>
        </w:tc>
      </w:tr>
      <w:tr w:rsidR="00196D0B" w:rsidRPr="001E720A" w14:paraId="08AA32DC" w14:textId="77777777" w:rsidTr="005E5B48">
        <w:tc>
          <w:tcPr>
            <w:tcW w:w="2972" w:type="dxa"/>
          </w:tcPr>
          <w:p w14:paraId="0C37BCC6" w14:textId="77777777" w:rsidR="00196D0B" w:rsidRDefault="00196D0B" w:rsidP="00AD4E02">
            <w:pPr>
              <w:spacing w:before="20" w:after="20"/>
            </w:pPr>
            <w:r>
              <w:t xml:space="preserve">600 kHz </w:t>
            </w:r>
            <w:r>
              <w:rPr>
                <w:rFonts w:cs="Arial"/>
              </w:rPr>
              <w:t>≤</w:t>
            </w:r>
            <w:r>
              <w:t xml:space="preserve"> f</w:t>
            </w:r>
            <w:r w:rsidRPr="00A27C8F">
              <w:rPr>
                <w:vertAlign w:val="subscript"/>
              </w:rPr>
              <w:t>offset</w:t>
            </w:r>
            <w:r>
              <w:t xml:space="preserve"> &lt; 1.1 MHz</w:t>
            </w:r>
          </w:p>
        </w:tc>
        <w:tc>
          <w:tcPr>
            <w:tcW w:w="3260" w:type="dxa"/>
          </w:tcPr>
          <w:p w14:paraId="5151A662" w14:textId="77777777" w:rsidR="00196D0B" w:rsidRDefault="00196D0B" w:rsidP="00AD4E02">
            <w:pPr>
              <w:spacing w:before="20" w:after="20"/>
              <w:jc w:val="center"/>
            </w:pPr>
            <w:r>
              <w:t>–15</w:t>
            </w:r>
          </w:p>
        </w:tc>
        <w:tc>
          <w:tcPr>
            <w:tcW w:w="2552" w:type="dxa"/>
          </w:tcPr>
          <w:p w14:paraId="4468EF1E" w14:textId="77777777" w:rsidR="00196D0B" w:rsidRDefault="00196D0B" w:rsidP="00AD4E02">
            <w:pPr>
              <w:spacing w:before="20" w:after="20"/>
            </w:pPr>
            <w:r w:rsidRPr="002232BE">
              <w:t>30 kHz</w:t>
            </w:r>
          </w:p>
        </w:tc>
      </w:tr>
      <w:tr w:rsidR="00196D0B" w:rsidRPr="001E720A" w14:paraId="2EAAFB0E" w14:textId="77777777" w:rsidTr="005E5B48">
        <w:tc>
          <w:tcPr>
            <w:tcW w:w="2972" w:type="dxa"/>
          </w:tcPr>
          <w:p w14:paraId="046DD70D" w14:textId="77777777" w:rsidR="00196D0B" w:rsidRDefault="00196D0B" w:rsidP="00AD4E02">
            <w:pPr>
              <w:spacing w:before="20" w:after="20"/>
            </w:pPr>
            <w:r>
              <w:t xml:space="preserve">1.1 MHz </w:t>
            </w:r>
            <w:r>
              <w:rPr>
                <w:rFonts w:cs="Arial"/>
              </w:rPr>
              <w:t>≤</w:t>
            </w:r>
            <w:r>
              <w:t xml:space="preserve"> f</w:t>
            </w:r>
            <w:r w:rsidRPr="00A27C8F">
              <w:rPr>
                <w:vertAlign w:val="subscript"/>
              </w:rPr>
              <w:t>offset</w:t>
            </w:r>
            <w:r>
              <w:t xml:space="preserve"> &lt; 2 MHz</w:t>
            </w:r>
          </w:p>
        </w:tc>
        <w:tc>
          <w:tcPr>
            <w:tcW w:w="3260" w:type="dxa"/>
          </w:tcPr>
          <w:p w14:paraId="04DFB8E3" w14:textId="77777777" w:rsidR="00196D0B" w:rsidRDefault="00196D0B" w:rsidP="00AD4E02">
            <w:pPr>
              <w:spacing w:before="20" w:after="20"/>
              <w:jc w:val="center"/>
            </w:pPr>
            <w:r>
              <w:t xml:space="preserve">+16 – (1/36) </w:t>
            </w:r>
            <w:r>
              <w:rPr>
                <w:rFonts w:cs="Arial"/>
              </w:rPr>
              <w:t>×</w:t>
            </w:r>
            <w:r>
              <w:t xml:space="preserve"> f</w:t>
            </w:r>
            <w:r w:rsidRPr="00643E17">
              <w:rPr>
                <w:vertAlign w:val="subscript"/>
              </w:rPr>
              <w:t>offset</w:t>
            </w:r>
            <w:r>
              <w:t xml:space="preserve"> (kHz)</w:t>
            </w:r>
          </w:p>
        </w:tc>
        <w:tc>
          <w:tcPr>
            <w:tcW w:w="2552" w:type="dxa"/>
          </w:tcPr>
          <w:p w14:paraId="15C4818F" w14:textId="77777777" w:rsidR="00196D0B" w:rsidRPr="002232BE" w:rsidRDefault="00196D0B" w:rsidP="00AD4E02">
            <w:pPr>
              <w:spacing w:before="20" w:after="20"/>
            </w:pPr>
            <w:r w:rsidRPr="002232BE">
              <w:t>30 kHz</w:t>
            </w:r>
          </w:p>
        </w:tc>
      </w:tr>
      <w:tr w:rsidR="00196D0B" w:rsidRPr="001E720A" w14:paraId="18260516" w14:textId="77777777" w:rsidTr="005E5B48">
        <w:tc>
          <w:tcPr>
            <w:tcW w:w="2972" w:type="dxa"/>
          </w:tcPr>
          <w:p w14:paraId="706E1316" w14:textId="77777777" w:rsidR="00196D0B" w:rsidRDefault="00196D0B" w:rsidP="00AD4E02">
            <w:pPr>
              <w:spacing w:before="20" w:after="20"/>
            </w:pPr>
            <w:r>
              <w:t>f</w:t>
            </w:r>
            <w:r w:rsidRPr="00A27C8F">
              <w:rPr>
                <w:vertAlign w:val="subscript"/>
              </w:rPr>
              <w:t>offset</w:t>
            </w:r>
            <w:r>
              <w:rPr>
                <w:rFonts w:cs="Arial"/>
              </w:rPr>
              <w:t xml:space="preserve"> ≥</w:t>
            </w:r>
            <w:r>
              <w:t xml:space="preserve"> 2 MHz</w:t>
            </w:r>
          </w:p>
        </w:tc>
        <w:tc>
          <w:tcPr>
            <w:tcW w:w="3260" w:type="dxa"/>
          </w:tcPr>
          <w:p w14:paraId="49DF2C60" w14:textId="77777777" w:rsidR="00196D0B" w:rsidRDefault="00196D0B" w:rsidP="00AD4E02">
            <w:pPr>
              <w:spacing w:before="20" w:after="20"/>
              <w:jc w:val="center"/>
            </w:pPr>
            <w:r>
              <w:t>-40</w:t>
            </w:r>
          </w:p>
        </w:tc>
        <w:tc>
          <w:tcPr>
            <w:tcW w:w="2552" w:type="dxa"/>
          </w:tcPr>
          <w:p w14:paraId="11B6429C" w14:textId="77777777" w:rsidR="00196D0B" w:rsidRPr="002232BE" w:rsidRDefault="00196D0B" w:rsidP="00AD4E02">
            <w:pPr>
              <w:spacing w:before="20" w:after="20"/>
            </w:pPr>
            <w:r>
              <w:t>30 kHz</w:t>
            </w:r>
          </w:p>
        </w:tc>
      </w:tr>
    </w:tbl>
    <w:p w14:paraId="059DC921" w14:textId="54FD72E0" w:rsidR="00196D0B" w:rsidRPr="00A83143" w:rsidRDefault="00196D0B" w:rsidP="005E5B48">
      <w:pPr>
        <w:ind w:left="11"/>
        <w:rPr>
          <w:sz w:val="20"/>
          <w:szCs w:val="20"/>
        </w:rPr>
      </w:pPr>
      <w:r>
        <w:t xml:space="preserve"> </w:t>
      </w:r>
      <w:r w:rsidRPr="00A83143">
        <w:rPr>
          <w:b/>
          <w:sz w:val="20"/>
          <w:szCs w:val="20"/>
        </w:rPr>
        <w:t>Table A.</w:t>
      </w:r>
      <w:r>
        <w:rPr>
          <w:b/>
          <w:sz w:val="20"/>
          <w:szCs w:val="20"/>
        </w:rPr>
        <w:t>2</w:t>
      </w:r>
      <w:r w:rsidRPr="00A83143">
        <w:rPr>
          <w:b/>
          <w:sz w:val="20"/>
          <w:szCs w:val="20"/>
        </w:rPr>
        <w:t xml:space="preserve">: FDD </w:t>
      </w:r>
      <w:r>
        <w:rPr>
          <w:b/>
          <w:bCs/>
          <w:sz w:val="20"/>
          <w:szCs w:val="20"/>
        </w:rPr>
        <w:t xml:space="preserve">PMP </w:t>
      </w:r>
      <w:r w:rsidRPr="00A83143">
        <w:rPr>
          <w:b/>
          <w:sz w:val="20"/>
          <w:szCs w:val="20"/>
        </w:rPr>
        <w:t xml:space="preserve">Transmitter emission limits </w:t>
      </w:r>
    </w:p>
    <w:p w14:paraId="1139A9F1" w14:textId="77777777" w:rsidR="00196D0B" w:rsidRDefault="00196D0B" w:rsidP="005E5B48">
      <w:pPr>
        <w:ind w:left="11"/>
      </w:pPr>
    </w:p>
    <w:p w14:paraId="6C3949CE" w14:textId="77777777" w:rsidR="00196D0B" w:rsidRDefault="00196D0B" w:rsidP="005E5B48">
      <w:pPr>
        <w:ind w:left="11"/>
      </w:pPr>
    </w:p>
    <w:p w14:paraId="6CD15A12" w14:textId="77777777" w:rsidR="00196D0B" w:rsidRDefault="00196D0B" w:rsidP="005E5B48">
      <w:pPr>
        <w:spacing w:after="0" w:line="240" w:lineRule="auto"/>
        <w:ind w:left="11"/>
        <w:rPr>
          <w:rFonts w:cs="Arial"/>
          <w:bCs/>
          <w:color w:val="323232"/>
          <w:kern w:val="32"/>
          <w:sz w:val="44"/>
          <w:szCs w:val="44"/>
        </w:rPr>
      </w:pPr>
    </w:p>
    <w:p w14:paraId="4A3F4E67" w14:textId="77777777" w:rsidR="00196D0B" w:rsidRDefault="00196D0B" w:rsidP="005E5B48">
      <w:pPr>
        <w:pStyle w:val="AppendixH1"/>
        <w:ind w:left="11"/>
      </w:pPr>
      <w:bookmarkStart w:id="234" w:name="_Toc90984614"/>
      <w:r>
        <w:lastRenderedPageBreak/>
        <w:t>Notification requirements</w:t>
      </w:r>
      <w:bookmarkEnd w:id="234"/>
    </w:p>
    <w:p w14:paraId="79AFB0DD" w14:textId="77777777" w:rsidR="00196D0B" w:rsidRDefault="00196D0B" w:rsidP="005E5B48">
      <w:pPr>
        <w:ind w:left="11"/>
      </w:pPr>
      <w:r>
        <w:t>When notifying licensees, the following information (as a minimum) must be provided:</w:t>
      </w:r>
    </w:p>
    <w:p w14:paraId="6420FA41" w14:textId="77777777" w:rsidR="00196D0B" w:rsidRDefault="00196D0B" w:rsidP="005E5B48">
      <w:pPr>
        <w:pStyle w:val="ListBullet"/>
        <w:ind w:left="306"/>
      </w:pPr>
      <w:r>
        <w:t>The reason the licensee is being notified, for example:</w:t>
      </w:r>
    </w:p>
    <w:p w14:paraId="602D8613" w14:textId="64A82890" w:rsidR="00196D0B" w:rsidRDefault="00196D0B" w:rsidP="005E5B48">
      <w:pPr>
        <w:spacing w:after="80"/>
        <w:ind w:left="578" w:right="850"/>
      </w:pPr>
      <w:r>
        <w:t>In accordance with section [section number] of RALI MS</w:t>
      </w:r>
      <w:r w:rsidR="005E03B8">
        <w:t>4</w:t>
      </w:r>
      <w:r>
        <w:t>7, [the licensee] is being notified of a proposed new area-wide licensed service that will be operated within [X] MHz of [one/a number] of your existing licensed point to multipoint services.</w:t>
      </w:r>
    </w:p>
    <w:p w14:paraId="4D7D6769" w14:textId="77777777" w:rsidR="00196D0B" w:rsidRDefault="00196D0B" w:rsidP="005E5B48">
      <w:pPr>
        <w:pStyle w:val="ListBullet"/>
        <w:ind w:left="306"/>
      </w:pPr>
      <w:r>
        <w:t>Information identifying the affected licensed service or services (e.g. licence number, site ID)</w:t>
      </w:r>
    </w:p>
    <w:p w14:paraId="5EF4FF2F" w14:textId="52FC6017" w:rsidR="00196D0B" w:rsidRPr="00BF545D" w:rsidRDefault="00196D0B" w:rsidP="005E5B48">
      <w:pPr>
        <w:pStyle w:val="ListBullet"/>
        <w:ind w:left="306"/>
      </w:pPr>
      <w:r>
        <w:t xml:space="preserve">Details of the proposed area-wide licensed service required for the coordination of services (e.g. location, transmitter characteristics, receiver </w:t>
      </w:r>
      <w:r w:rsidRPr="00BF545D">
        <w:t xml:space="preserve">characteristics etc); and, </w:t>
      </w:r>
    </w:p>
    <w:p w14:paraId="596201A3" w14:textId="1FAA5791" w:rsidR="00196D0B" w:rsidRDefault="00196D0B" w:rsidP="00904053">
      <w:pPr>
        <w:pStyle w:val="ListBullet"/>
        <w:ind w:left="306"/>
      </w:pPr>
      <w:r>
        <w:t>Contact details of an appropriate person for further discussion of the issue.</w:t>
      </w:r>
    </w:p>
    <w:bookmarkEnd w:id="194"/>
    <w:p w14:paraId="52A993C7" w14:textId="77777777" w:rsidR="007560BE" w:rsidRDefault="007560BE" w:rsidP="00223EA7"/>
    <w:sectPr w:rsidR="007560BE" w:rsidSect="00A629B5">
      <w:headerReference w:type="even" r:id="rId54"/>
      <w:headerReference w:type="default" r:id="rId55"/>
      <w:footerReference w:type="even" r:id="rId56"/>
      <w:type w:val="oddPage"/>
      <w:pgSz w:w="11906" w:h="16838" w:code="9"/>
      <w:pgMar w:top="1945" w:right="1134" w:bottom="1134" w:left="1134" w:header="284" w:footer="284" w:gutter="284"/>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E372E" w14:textId="77777777" w:rsidR="007D5FED" w:rsidRDefault="007D5FED">
      <w:r>
        <w:separator/>
      </w:r>
    </w:p>
  </w:endnote>
  <w:endnote w:type="continuationSeparator" w:id="0">
    <w:p w14:paraId="28B51A55" w14:textId="77777777" w:rsidR="007D5FED" w:rsidRDefault="007D5FED">
      <w:r>
        <w:continuationSeparator/>
      </w:r>
    </w:p>
  </w:endnote>
  <w:endnote w:type="continuationNotice" w:id="1">
    <w:p w14:paraId="4F6ED446" w14:textId="77777777" w:rsidR="007D5FED" w:rsidRDefault="007D5F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NeueLT Std Lt">
    <w:altName w:val="Courier New"/>
    <w:panose1 w:val="00000000000000000000"/>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altName w:val="Calibr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31F63" w14:textId="36FF23E1" w:rsidR="007D5FED" w:rsidRPr="008311C9" w:rsidRDefault="007D5FED" w:rsidP="008311C9">
    <w:pPr>
      <w:pStyle w:val="Footer"/>
      <w:pBdr>
        <w:top w:val="single" w:sz="4" w:space="1" w:color="auto"/>
      </w:pBdr>
    </w:pPr>
    <w:r w:rsidRPr="008311C9">
      <w:fldChar w:fldCharType="begin"/>
    </w:r>
    <w:r w:rsidRPr="008311C9">
      <w:instrText xml:space="preserve"> REF rali_ID \h  \* MERGEFORMAT </w:instrText>
    </w:r>
    <w:r w:rsidRPr="008311C9">
      <w:fldChar w:fldCharType="separate"/>
    </w:r>
    <w:r w:rsidRPr="002B58E6">
      <w:t>RALI MS4</w:t>
    </w:r>
    <w:r w:rsidRPr="008311C9">
      <w:fldChar w:fldCharType="end"/>
    </w:r>
    <w:r w:rsidR="007F05A0">
      <w:t>7</w:t>
    </w:r>
    <w:r w:rsidRPr="008311C9">
      <w:tab/>
    </w:r>
    <w:r w:rsidRPr="008311C9">
      <w:rPr>
        <w:b/>
        <w:bCs/>
        <w:spacing w:val="-15"/>
        <w:sz w:val="20"/>
        <w:szCs w:val="32"/>
      </w:rPr>
      <w:t>acma</w:t>
    </w:r>
    <w:r w:rsidRPr="008311C9">
      <w:t xml:space="preserve"> </w:t>
    </w:r>
    <w:r w:rsidRPr="007E6626">
      <w:rPr>
        <w:sz w:val="20"/>
        <w:szCs w:val="32"/>
      </w:rPr>
      <w:t>|</w:t>
    </w:r>
    <w:r w:rsidRPr="008311C9">
      <w:t xml:space="preserve"> </w:t>
    </w:r>
    <w:r w:rsidRPr="008311C9">
      <w:fldChar w:fldCharType="begin"/>
    </w:r>
    <w:r w:rsidRPr="008311C9">
      <w:instrText xml:space="preserve"> PAGE   \* MERGEFORMAT </w:instrText>
    </w:r>
    <w:r w:rsidRPr="008311C9">
      <w:fldChar w:fldCharType="separate"/>
    </w:r>
    <w:r w:rsidRPr="008311C9">
      <w:t>1</w:t>
    </w:r>
    <w:r w:rsidRPr="008311C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62C04" w14:textId="77777777" w:rsidR="007D5FED" w:rsidRPr="00554839" w:rsidRDefault="007D5FED" w:rsidP="005548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94CD8" w14:textId="20F7DF4E" w:rsidR="007D5FED" w:rsidRPr="00554839" w:rsidRDefault="007D5FED" w:rsidP="00554839">
    <w:pPr>
      <w:pStyle w:val="Footer"/>
      <w:pBdr>
        <w:top w:val="single" w:sz="4" w:space="1" w:color="auto"/>
      </w:pBdr>
    </w:pPr>
    <w:r w:rsidRPr="00554839">
      <w:fldChar w:fldCharType="begin"/>
    </w:r>
    <w:r w:rsidRPr="00554839">
      <w:instrText xml:space="preserve"> PAGE   \* MERGEFORMAT </w:instrText>
    </w:r>
    <w:r w:rsidRPr="00554839">
      <w:fldChar w:fldCharType="separate"/>
    </w:r>
    <w:r>
      <w:t>2</w:t>
    </w:r>
    <w:r w:rsidRPr="00554839">
      <w:fldChar w:fldCharType="end"/>
    </w:r>
    <w:r w:rsidRPr="00554839">
      <w:t xml:space="preserve"> </w:t>
    </w:r>
    <w:r w:rsidRPr="007E6626">
      <w:rPr>
        <w:sz w:val="20"/>
        <w:szCs w:val="32"/>
      </w:rPr>
      <w:t>|</w:t>
    </w:r>
    <w:r w:rsidRPr="00554839">
      <w:t xml:space="preserve"> </w:t>
    </w:r>
    <w:r w:rsidRPr="00554839">
      <w:rPr>
        <w:b/>
        <w:spacing w:val="-15"/>
        <w:sz w:val="20"/>
      </w:rPr>
      <w:t>acma</w:t>
    </w:r>
    <w:r w:rsidRPr="00554839">
      <w:tab/>
    </w:r>
    <w:r w:rsidRPr="00554839">
      <w:fldChar w:fldCharType="begin"/>
    </w:r>
    <w:r w:rsidRPr="00554839">
      <w:instrText xml:space="preserve"> REF rali_ID \h  \* MERGEFORMAT </w:instrText>
    </w:r>
    <w:r w:rsidRPr="00554839">
      <w:fldChar w:fldCharType="separate"/>
    </w:r>
    <w:r w:rsidRPr="002B58E6">
      <w:t>RALI MS4</w:t>
    </w:r>
    <w:r w:rsidRPr="00554839">
      <w:fldChar w:fldCharType="end"/>
    </w:r>
    <w:r w:rsidR="007F05A0">
      <w:t>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0DE22" w14:textId="3DB6A220" w:rsidR="007D5FED" w:rsidRPr="00554839" w:rsidRDefault="007D5FED" w:rsidP="00554839">
    <w:pPr>
      <w:pStyle w:val="Footer"/>
      <w:pBdr>
        <w:top w:val="single" w:sz="4" w:space="1" w:color="auto"/>
      </w:pBdr>
    </w:pPr>
    <w:r w:rsidRPr="00554839">
      <w:fldChar w:fldCharType="begin"/>
    </w:r>
    <w:r w:rsidRPr="00554839">
      <w:instrText xml:space="preserve"> PAGE   \* MERGEFORMAT </w:instrText>
    </w:r>
    <w:r w:rsidRPr="00554839">
      <w:fldChar w:fldCharType="separate"/>
    </w:r>
    <w:r w:rsidRPr="00554839">
      <w:t>1</w:t>
    </w:r>
    <w:r w:rsidRPr="00554839">
      <w:fldChar w:fldCharType="end"/>
    </w:r>
    <w:r w:rsidRPr="00554839">
      <w:t xml:space="preserve"> </w:t>
    </w:r>
    <w:r w:rsidRPr="007E6626">
      <w:rPr>
        <w:sz w:val="20"/>
        <w:szCs w:val="32"/>
      </w:rPr>
      <w:t>|</w:t>
    </w:r>
    <w:r w:rsidRPr="00554839">
      <w:t xml:space="preserve"> </w:t>
    </w:r>
    <w:r w:rsidRPr="00554839">
      <w:rPr>
        <w:b/>
        <w:spacing w:val="-15"/>
        <w:sz w:val="20"/>
      </w:rPr>
      <w:t>acma</w:t>
    </w:r>
    <w:r w:rsidRPr="00554839">
      <w:tab/>
    </w:r>
    <w:r w:rsidRPr="00554839">
      <w:fldChar w:fldCharType="begin"/>
    </w:r>
    <w:r w:rsidRPr="00554839">
      <w:instrText xml:space="preserve"> REF rali_ID \h  \* MERGEFORMAT </w:instrText>
    </w:r>
    <w:r w:rsidRPr="00554839">
      <w:fldChar w:fldCharType="separate"/>
    </w:r>
    <w:r w:rsidRPr="002B58E6">
      <w:t>RALI MS4</w:t>
    </w:r>
    <w:r w:rsidRPr="00554839">
      <w:fldChar w:fldCharType="end"/>
    </w:r>
    <w:r w:rsidR="007F05A0">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212F3" w14:textId="77777777" w:rsidR="007D5FED" w:rsidRDefault="007D5FED">
      <w:r>
        <w:separator/>
      </w:r>
    </w:p>
  </w:footnote>
  <w:footnote w:type="continuationSeparator" w:id="0">
    <w:p w14:paraId="21FD9689" w14:textId="77777777" w:rsidR="007D5FED" w:rsidRDefault="007D5FED">
      <w:r>
        <w:continuationSeparator/>
      </w:r>
    </w:p>
  </w:footnote>
  <w:footnote w:type="continuationNotice" w:id="1">
    <w:p w14:paraId="3A9A8B54" w14:textId="77777777" w:rsidR="007D5FED" w:rsidRDefault="007D5FED">
      <w:pPr>
        <w:spacing w:after="0" w:line="240" w:lineRule="auto"/>
      </w:pPr>
    </w:p>
  </w:footnote>
  <w:footnote w:id="2">
    <w:p w14:paraId="24E5F9F1" w14:textId="77777777" w:rsidR="007D5FED" w:rsidRDefault="007D5FED" w:rsidP="0043648B">
      <w:pPr>
        <w:pStyle w:val="FootnoteText"/>
      </w:pPr>
      <w:r>
        <w:rPr>
          <w:rStyle w:val="FootnoteReference"/>
        </w:rPr>
        <w:footnoteRef/>
      </w:r>
      <w:r>
        <w:t xml:space="preserve"> The AWL LCD and all other legislative instruments referred to in this RALI may be accessed, free of charge, on the Federal Register of Legislation at </w:t>
      </w:r>
      <w:hyperlink r:id="rId1" w:history="1">
        <w:r>
          <w:rPr>
            <w:rStyle w:val="Hyperlink"/>
          </w:rPr>
          <w:t>www.legislation.gov.au</w:t>
        </w:r>
      </w:hyperlink>
      <w:r>
        <w:t>.</w:t>
      </w:r>
    </w:p>
  </w:footnote>
  <w:footnote w:id="3">
    <w:p w14:paraId="73D6A49B" w14:textId="2600259A" w:rsidR="007D5FED" w:rsidRDefault="007D5FED" w:rsidP="00BB3E0A">
      <w:pPr>
        <w:pStyle w:val="FootnoteText"/>
      </w:pPr>
      <w:r>
        <w:rPr>
          <w:rStyle w:val="FootnoteReference"/>
        </w:rPr>
        <w:footnoteRef/>
      </w:r>
      <w:r>
        <w:t xml:space="preserve"> Available on the </w:t>
      </w:r>
      <w:hyperlink r:id="rId2" w:history="1">
        <w:r w:rsidRPr="002721F9">
          <w:rPr>
            <w:rStyle w:val="Hyperlink"/>
          </w:rPr>
          <w:t>ACMA website</w:t>
        </w:r>
      </w:hyperlink>
      <w:r>
        <w:t>.</w:t>
      </w:r>
    </w:p>
  </w:footnote>
  <w:footnote w:id="4">
    <w:p w14:paraId="0B36E63C" w14:textId="77777777" w:rsidR="007D5FED" w:rsidRPr="00B665EA" w:rsidRDefault="007D5FED" w:rsidP="00D6648A">
      <w:pPr>
        <w:pStyle w:val="FootnoteText"/>
        <w:rPr>
          <w:i/>
          <w:iCs/>
        </w:rPr>
      </w:pPr>
      <w:r>
        <w:rPr>
          <w:rStyle w:val="FootnoteReference"/>
        </w:rPr>
        <w:footnoteRef/>
      </w:r>
      <w:r>
        <w:t xml:space="preserve"> An example of a suitable propagation model is that set out in section 4.5.2 of ITU-R Recommendation P.526-14 </w:t>
      </w:r>
      <w:r>
        <w:rPr>
          <w:i/>
          <w:iCs/>
        </w:rPr>
        <w:t>Propagation by diffraction.</w:t>
      </w:r>
    </w:p>
  </w:footnote>
  <w:footnote w:id="5">
    <w:p w14:paraId="5B99D568" w14:textId="56A1758F" w:rsidR="007D5FED" w:rsidRDefault="007D5FED">
      <w:pPr>
        <w:pStyle w:val="FootnoteText"/>
      </w:pPr>
      <w:r>
        <w:rPr>
          <w:rStyle w:val="FootnoteReference"/>
        </w:rPr>
        <w:footnoteRef/>
      </w:r>
      <w:r>
        <w:t xml:space="preserve"> </w:t>
      </w:r>
      <w:r w:rsidRPr="00C34869">
        <w:t xml:space="preserve">Refer to </w:t>
      </w:r>
      <w:r w:rsidRPr="006130BC">
        <w:t>Appendix D</w:t>
      </w:r>
      <w:r w:rsidRPr="00C34869">
        <w:t xml:space="preserve"> for details o</w:t>
      </w:r>
      <w:r>
        <w:t>f</w:t>
      </w:r>
      <w:r w:rsidRPr="00C34869">
        <w:t xml:space="preserve"> the notification requirements.</w:t>
      </w:r>
    </w:p>
  </w:footnote>
  <w:footnote w:id="6">
    <w:p w14:paraId="3B9CA35B" w14:textId="2C21A8C7" w:rsidR="007D5FED" w:rsidRDefault="007D5FED">
      <w:pPr>
        <w:pStyle w:val="FootnoteText"/>
      </w:pPr>
      <w:r w:rsidRPr="00EE766D">
        <w:rPr>
          <w:rStyle w:val="FootnoteReference"/>
        </w:rPr>
        <w:footnoteRef/>
      </w:r>
      <w:r w:rsidRPr="00EE766D">
        <w:t xml:space="preserve"> Refer to Appendix </w:t>
      </w:r>
      <w:r w:rsidR="00065CC6" w:rsidRPr="009E179D">
        <w:t>D</w:t>
      </w:r>
      <w:r w:rsidRPr="00EE766D">
        <w:t xml:space="preserve"> for details of the notification requirements.</w:t>
      </w:r>
    </w:p>
  </w:footnote>
  <w:footnote w:id="7">
    <w:p w14:paraId="5FA78B18" w14:textId="2228FACD" w:rsidR="007D5FED" w:rsidRDefault="007D5FED">
      <w:pPr>
        <w:pStyle w:val="FootnoteText"/>
      </w:pPr>
      <w:r>
        <w:rPr>
          <w:rStyle w:val="FootnoteReference"/>
        </w:rPr>
        <w:footnoteRef/>
      </w:r>
      <w:r>
        <w:t xml:space="preserve"> </w:t>
      </w:r>
      <w:r w:rsidRPr="00DD06D7">
        <w:t xml:space="preserve">The level –103 dBm/MHz is the reference sensitivity for which throughput meets or exceeds the minimum requirements for </w:t>
      </w:r>
      <w:r w:rsidR="00283372">
        <w:t>CPE</w:t>
      </w:r>
      <w:r w:rsidRPr="00DD06D7">
        <w:t xml:space="preserve"> operating in the 3400–3600 MHz band as specified in the 3GPP document TS 36.101.</w:t>
      </w:r>
    </w:p>
  </w:footnote>
  <w:footnote w:id="8">
    <w:p w14:paraId="03614EC9" w14:textId="77777777" w:rsidR="0097284F" w:rsidRDefault="0097284F" w:rsidP="0097284F">
      <w:pPr>
        <w:pStyle w:val="FootnoteText"/>
      </w:pPr>
      <w:r>
        <w:rPr>
          <w:rStyle w:val="FootnoteReference"/>
        </w:rPr>
        <w:footnoteRef/>
      </w:r>
      <w:r>
        <w:t xml:space="preserve"> </w:t>
      </w:r>
      <w:r w:rsidRPr="00DD06D7">
        <w:t xml:space="preserve">The parameter </w:t>
      </w:r>
      <w:r w:rsidRPr="00DD06D7">
        <w:rPr>
          <w:i/>
          <w:iCs/>
        </w:rPr>
        <w:t>p</w:t>
      </w:r>
      <w:r w:rsidRPr="00DD06D7">
        <w:t xml:space="preserve"> is the required time percentage for which the calculated basic transmission loss is not exceeded.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FD377" w14:textId="77777777" w:rsidR="007D5FED" w:rsidRDefault="000142D3" w:rsidP="00A07457">
    <w:pPr>
      <w:pStyle w:val="Header"/>
      <w:tabs>
        <w:tab w:val="left" w:pos="1560"/>
      </w:tabs>
    </w:pPr>
    <w:r w:rsidRPr="0049305D">
      <w:rPr>
        <w:noProof/>
      </w:rPr>
      <w:drawing>
        <wp:anchor distT="0" distB="0" distL="114300" distR="114300" simplePos="0" relativeHeight="251658240" behindDoc="1" locked="0" layoutInCell="1" allowOverlap="1" wp14:anchorId="38DE956A" wp14:editId="4E16D0D5">
          <wp:simplePos x="0" y="0"/>
          <wp:positionH relativeFrom="page">
            <wp:align>right</wp:align>
          </wp:positionH>
          <wp:positionV relativeFrom="paragraph">
            <wp:posOffset>-10160</wp:posOffset>
          </wp:positionV>
          <wp:extent cx="7556500" cy="647700"/>
          <wp:effectExtent l="0" t="0" r="0" b="0"/>
          <wp:wrapNone/>
          <wp:docPr id="1" name="Picture 1" descr="Australian Communications and Media Authority&#10;www.acma.gov.au" title="Australian Communications and Media Authority logo, Government crest and web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MA_Logo_RGB_63mmwide.jpg"/>
                  <pic:cNvPicPr/>
                </pic:nvPicPr>
                <pic:blipFill>
                  <a:blip r:embed="rId1">
                    <a:extLst>
                      <a:ext uri="{28A0092B-C50C-407E-A947-70E740481C1C}">
                        <a14:useLocalDpi xmlns:a14="http://schemas.microsoft.com/office/drawing/2010/main" val="0"/>
                      </a:ext>
                    </a:extLst>
                  </a:blip>
                  <a:stretch>
                    <a:fillRect/>
                  </a:stretch>
                </pic:blipFill>
                <pic:spPr>
                  <a:xfrm>
                    <a:off x="0" y="0"/>
                    <a:ext cx="7556500" cy="64770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50E071B8" w14:textId="77777777" w:rsidR="007D5FED" w:rsidRDefault="007D5F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30C12" w14:textId="77777777" w:rsidR="007D5FED" w:rsidRDefault="007D5F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B5BB6" w14:textId="77777777" w:rsidR="007D5FED" w:rsidRDefault="007D5F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C2A562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D0E5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94D3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03632DA"/>
    <w:lvl w:ilvl="0">
      <w:start w:val="1"/>
      <w:numFmt w:val="decimal"/>
      <w:pStyle w:val="ListNumber2"/>
      <w:lvlText w:val="%1."/>
      <w:lvlJc w:val="left"/>
      <w:pPr>
        <w:ind w:left="360" w:hanging="360"/>
      </w:pPr>
      <w:rPr>
        <w:rFonts w:hint="default"/>
      </w:rPr>
    </w:lvl>
  </w:abstractNum>
  <w:abstractNum w:abstractNumId="4" w15:restartNumberingAfterBreak="0">
    <w:nsid w:val="FFFFFF80"/>
    <w:multiLevelType w:val="singleLevel"/>
    <w:tmpl w:val="FD34769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C347A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2613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303AD8"/>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8" w15:restartNumberingAfterBreak="0">
    <w:nsid w:val="FFFFFF88"/>
    <w:multiLevelType w:val="singleLevel"/>
    <w:tmpl w:val="34367B10"/>
    <w:lvl w:ilvl="0">
      <w:start w:val="1"/>
      <w:numFmt w:val="decimal"/>
      <w:pStyle w:val="ListNumber"/>
      <w:lvlText w:val="%1."/>
      <w:lvlJc w:val="left"/>
      <w:pPr>
        <w:ind w:left="360" w:hanging="360"/>
      </w:pPr>
      <w:rPr>
        <w:rFonts w:hint="default"/>
        <w:caps/>
        <w:sz w:val="20"/>
      </w:rPr>
    </w:lvl>
  </w:abstractNum>
  <w:abstractNum w:abstractNumId="9" w15:restartNumberingAfterBreak="0">
    <w:nsid w:val="FFFFFF89"/>
    <w:multiLevelType w:val="singleLevel"/>
    <w:tmpl w:val="4BB6D87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10" w15:restartNumberingAfterBreak="0">
    <w:nsid w:val="01BF3C9C"/>
    <w:multiLevelType w:val="hybridMultilevel"/>
    <w:tmpl w:val="550C3BF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49A2A19"/>
    <w:multiLevelType w:val="hybridMultilevel"/>
    <w:tmpl w:val="5BD0B9D2"/>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05B77BCB"/>
    <w:multiLevelType w:val="hybridMultilevel"/>
    <w:tmpl w:val="CC7E9D3A"/>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06383AC9"/>
    <w:multiLevelType w:val="hybridMultilevel"/>
    <w:tmpl w:val="00BC82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08F3712A"/>
    <w:multiLevelType w:val="multilevel"/>
    <w:tmpl w:val="CB3C41B2"/>
    <w:lvl w:ilvl="0">
      <w:start w:val="1"/>
      <w:numFmt w:val="upperLetter"/>
      <w:pStyle w:val="AppendixH1"/>
      <w:lvlText w:val="Appendix %1:"/>
      <w:lvlJc w:val="left"/>
      <w:pPr>
        <w:ind w:left="0" w:firstLine="0"/>
      </w:pPr>
      <w:rPr>
        <w:rFonts w:hint="default"/>
        <w:b w:val="0"/>
        <w:bCs w:val="0"/>
        <w:i w:val="0"/>
        <w:iCs w:val="0"/>
        <w: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tabs>
          <w:tab w:val="num" w:pos="680"/>
        </w:tabs>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5" w15:restartNumberingAfterBreak="0">
    <w:nsid w:val="0FDA5911"/>
    <w:multiLevelType w:val="hybridMultilevel"/>
    <w:tmpl w:val="2FD08A80"/>
    <w:lvl w:ilvl="0" w:tplc="0C090001">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A01596F"/>
    <w:multiLevelType w:val="hybridMultilevel"/>
    <w:tmpl w:val="64A4826A"/>
    <w:lvl w:ilvl="0" w:tplc="0C090017">
      <w:start w:val="1"/>
      <w:numFmt w:val="lowerLetter"/>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17" w15:restartNumberingAfterBreak="0">
    <w:nsid w:val="1D6D288C"/>
    <w:multiLevelType w:val="hybridMultilevel"/>
    <w:tmpl w:val="54302A6A"/>
    <w:lvl w:ilvl="0" w:tplc="857AFC8A">
      <w:start w:val="1"/>
      <w:numFmt w:val="decimal"/>
      <w:pStyle w:val="AppendixH2"/>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1FB75664"/>
    <w:multiLevelType w:val="hybridMultilevel"/>
    <w:tmpl w:val="DB721FCA"/>
    <w:lvl w:ilvl="0" w:tplc="0C090001">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20710AC"/>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0" w15:restartNumberingAfterBreak="0">
    <w:nsid w:val="223B78EE"/>
    <w:multiLevelType w:val="singleLevel"/>
    <w:tmpl w:val="79A2A320"/>
    <w:lvl w:ilvl="0">
      <w:start w:val="1"/>
      <w:numFmt w:val="lowerLetter"/>
      <w:lvlText w:val="(%1)"/>
      <w:legacy w:legacy="1" w:legacySpace="0" w:legacyIndent="567"/>
      <w:lvlJc w:val="left"/>
      <w:pPr>
        <w:ind w:left="1134" w:hanging="567"/>
      </w:pPr>
    </w:lvl>
  </w:abstractNum>
  <w:abstractNum w:abstractNumId="21" w15:restartNumberingAfterBreak="0">
    <w:nsid w:val="294B67B9"/>
    <w:multiLevelType w:val="hybridMultilevel"/>
    <w:tmpl w:val="F468039C"/>
    <w:lvl w:ilvl="0" w:tplc="0C090005">
      <w:start w:val="1"/>
      <w:numFmt w:val="bullet"/>
      <w:lvlText w:val=""/>
      <w:lvlJc w:val="left"/>
      <w:pPr>
        <w:ind w:left="1004" w:hanging="360"/>
      </w:pPr>
      <w:rPr>
        <w:rFonts w:ascii="Wingdings" w:hAnsi="Wingdings"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2" w15:restartNumberingAfterBreak="0">
    <w:nsid w:val="2A5B142B"/>
    <w:multiLevelType w:val="hybridMultilevel"/>
    <w:tmpl w:val="F2B013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BA214FB"/>
    <w:multiLevelType w:val="hybridMultilevel"/>
    <w:tmpl w:val="33CC6778"/>
    <w:lvl w:ilvl="0" w:tplc="73FC0120">
      <w:start w:val="1"/>
      <w:numFmt w:val="decimal"/>
      <w:lvlText w:val="%1."/>
      <w:lvlJc w:val="left"/>
      <w:pPr>
        <w:ind w:left="340" w:hanging="340"/>
      </w:pPr>
      <w:rPr>
        <w:rFonts w:hint="default"/>
      </w:rPr>
    </w:lvl>
    <w:lvl w:ilvl="1" w:tplc="07B4E350">
      <w:start w:val="1"/>
      <w:numFmt w:val="lowerLetter"/>
      <w:lvlText w:val="%2."/>
      <w:lvlJc w:val="left"/>
      <w:pPr>
        <w:ind w:left="794"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2981D74"/>
    <w:multiLevelType w:val="hybridMultilevel"/>
    <w:tmpl w:val="18AAA6FC"/>
    <w:lvl w:ilvl="0" w:tplc="0C090019">
      <w:start w:val="1"/>
      <w:numFmt w:val="lowerLetter"/>
      <w:lvlText w:val="%1."/>
      <w:lvlJc w:val="left"/>
      <w:pPr>
        <w:ind w:left="360" w:hanging="360"/>
      </w:p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36EA633B"/>
    <w:multiLevelType w:val="hybridMultilevel"/>
    <w:tmpl w:val="327E9A1A"/>
    <w:lvl w:ilvl="0" w:tplc="0C090017">
      <w:start w:val="1"/>
      <w:numFmt w:val="lowerLetter"/>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26" w15:restartNumberingAfterBreak="0">
    <w:nsid w:val="37086907"/>
    <w:multiLevelType w:val="multilevel"/>
    <w:tmpl w:val="5C382F8A"/>
    <w:lvl w:ilvl="0">
      <w:start w:val="1"/>
      <w:numFmt w:val="decimal"/>
      <w:pStyle w:val="Partheading"/>
      <w:suff w:val="space"/>
      <w:lvlText w:val="Part %1:"/>
      <w:lvlJc w:val="left"/>
      <w:pPr>
        <w:ind w:left="0" w:firstLine="0"/>
      </w:pPr>
      <w:rPr>
        <w:rFonts w:hint="default"/>
      </w:rPr>
    </w:lvl>
    <w:lvl w:ilvl="1">
      <w:start w:val="1"/>
      <w:numFmt w:val="decimal"/>
      <w:pStyle w:val="Numberedheading"/>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37932EF3"/>
    <w:multiLevelType w:val="hybridMultilevel"/>
    <w:tmpl w:val="AC667B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BD9414B"/>
    <w:multiLevelType w:val="hybridMultilevel"/>
    <w:tmpl w:val="3BC68FB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00E25FB"/>
    <w:multiLevelType w:val="hybridMultilevel"/>
    <w:tmpl w:val="7FAC6DE4"/>
    <w:lvl w:ilvl="0" w:tplc="55F2986E">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41B915F4"/>
    <w:multiLevelType w:val="multilevel"/>
    <w:tmpl w:val="86584D94"/>
    <w:lvl w:ilvl="0">
      <w:start w:val="1"/>
      <w:numFmt w:val="decimal"/>
      <w:pStyle w:val="Heading1"/>
      <w:lvlText w:val="%1"/>
      <w:lvlJc w:val="left"/>
      <w:pPr>
        <w:ind w:left="431" w:hanging="431"/>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535" w:hanging="431"/>
      </w:pPr>
      <w:rPr>
        <w:rFonts w:hint="default"/>
      </w:rPr>
    </w:lvl>
    <w:lvl w:ilvl="2">
      <w:start w:val="1"/>
      <w:numFmt w:val="decimal"/>
      <w:pStyle w:val="Heading3"/>
      <w:lvlText w:val="%1.%2.%3"/>
      <w:lvlJc w:val="left"/>
      <w:pPr>
        <w:ind w:left="6101" w:hanging="431"/>
      </w:pPr>
      <w:rPr>
        <w:rFonts w:hint="default"/>
      </w:rPr>
    </w:lvl>
    <w:lvl w:ilvl="3">
      <w:start w:val="1"/>
      <w:numFmt w:val="decimal"/>
      <w:lvlText w:val="%1.%2.%3.%4"/>
      <w:lvlJc w:val="left"/>
      <w:pPr>
        <w:ind w:left="431" w:hanging="431"/>
      </w:pPr>
      <w:rPr>
        <w:rFonts w:hint="default"/>
      </w:rPr>
    </w:lvl>
    <w:lvl w:ilvl="4">
      <w:start w:val="1"/>
      <w:numFmt w:val="decimal"/>
      <w:pStyle w:val="Heading5"/>
      <w:lvlText w:val="%1.%2.%3.%4.%5"/>
      <w:lvlJc w:val="left"/>
      <w:pPr>
        <w:ind w:left="431" w:hanging="431"/>
      </w:pPr>
      <w:rPr>
        <w:rFonts w:hint="default"/>
      </w:rPr>
    </w:lvl>
    <w:lvl w:ilvl="5">
      <w:start w:val="1"/>
      <w:numFmt w:val="decimal"/>
      <w:pStyle w:val="Heading6"/>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31" w15:restartNumberingAfterBreak="0">
    <w:nsid w:val="48C4471D"/>
    <w:multiLevelType w:val="hybridMultilevel"/>
    <w:tmpl w:val="AE741252"/>
    <w:lvl w:ilvl="0" w:tplc="0C090001">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4D5F057E"/>
    <w:multiLevelType w:val="hybridMultilevel"/>
    <w:tmpl w:val="E1588772"/>
    <w:lvl w:ilvl="0" w:tplc="0C090001">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54B20AEA"/>
    <w:multiLevelType w:val="hybridMultilevel"/>
    <w:tmpl w:val="C6346E8E"/>
    <w:lvl w:ilvl="0" w:tplc="55F2986E">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55AA21F0"/>
    <w:multiLevelType w:val="hybridMultilevel"/>
    <w:tmpl w:val="4DDA0712"/>
    <w:lvl w:ilvl="0" w:tplc="59A6BED4">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CF5299"/>
    <w:multiLevelType w:val="hybridMultilevel"/>
    <w:tmpl w:val="F46673CA"/>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5FF462E9"/>
    <w:multiLevelType w:val="hybridMultilevel"/>
    <w:tmpl w:val="72B4E1E0"/>
    <w:lvl w:ilvl="0" w:tplc="A7D64DCA">
      <w:start w:val="1"/>
      <w:numFmt w:val="decimal"/>
      <w:lvlText w:val="%1."/>
      <w:lvlJc w:val="left"/>
      <w:pPr>
        <w:ind w:left="340" w:hanging="340"/>
      </w:pPr>
      <w:rPr>
        <w:rFonts w:hint="default"/>
      </w:rPr>
    </w:lvl>
    <w:lvl w:ilvl="1" w:tplc="38A2EA80">
      <w:start w:val="1"/>
      <w:numFmt w:val="lowerLetter"/>
      <w:lvlText w:val="%2."/>
      <w:lvlJc w:val="left"/>
      <w:pPr>
        <w:ind w:left="794" w:hanging="340"/>
      </w:pPr>
      <w:rPr>
        <w:rFonts w:hint="default"/>
      </w:rPr>
    </w:lvl>
    <w:lvl w:ilvl="2" w:tplc="A4B2AD94">
      <w:start w:val="1"/>
      <w:numFmt w:val="lowerRoman"/>
      <w:lvlText w:val="%3."/>
      <w:lvlJc w:val="right"/>
      <w:pPr>
        <w:ind w:left="1247" w:hanging="34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5071478"/>
    <w:multiLevelType w:val="hybridMultilevel"/>
    <w:tmpl w:val="680E522C"/>
    <w:lvl w:ilvl="0" w:tplc="30580B3C">
      <w:start w:val="1"/>
      <w:numFmt w:val="decimal"/>
      <w:pStyle w:val="ACMAFigureHeader"/>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285F2E"/>
    <w:multiLevelType w:val="hybridMultilevel"/>
    <w:tmpl w:val="4044D324"/>
    <w:lvl w:ilvl="0" w:tplc="0C090007">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D757AE6"/>
    <w:multiLevelType w:val="hybridMultilevel"/>
    <w:tmpl w:val="4BAEE1E2"/>
    <w:lvl w:ilvl="0" w:tplc="0DA4929C">
      <w:start w:val="1"/>
      <w:numFmt w:val="decimal"/>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645E16"/>
    <w:multiLevelType w:val="hybridMultilevel"/>
    <w:tmpl w:val="CC7E9D3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4430030"/>
    <w:multiLevelType w:val="hybridMultilevel"/>
    <w:tmpl w:val="1E3E82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6EC18EF"/>
    <w:multiLevelType w:val="hybridMultilevel"/>
    <w:tmpl w:val="88D4C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3" w15:restartNumberingAfterBreak="0">
    <w:nsid w:val="7B7519E8"/>
    <w:multiLevelType w:val="hybridMultilevel"/>
    <w:tmpl w:val="B8EE236C"/>
    <w:lvl w:ilvl="0" w:tplc="542EFA4C">
      <w:start w:val="1"/>
      <w:numFmt w:val="decimal"/>
      <w:lvlText w:val="(%1)"/>
      <w:lvlJc w:val="left"/>
      <w:pPr>
        <w:ind w:left="2463" w:hanging="360"/>
      </w:pPr>
      <w:rPr>
        <w:rFonts w:hint="default"/>
        <w:sz w:val="24"/>
        <w:szCs w:val="24"/>
      </w:rPr>
    </w:lvl>
    <w:lvl w:ilvl="1" w:tplc="4412C9FA">
      <w:start w:val="1"/>
      <w:numFmt w:val="lowerLetter"/>
      <w:lvlText w:val="(%2)"/>
      <w:lvlJc w:val="left"/>
      <w:pPr>
        <w:ind w:left="3183" w:hanging="360"/>
      </w:pPr>
      <w:rPr>
        <w:rFonts w:hint="default"/>
      </w:rPr>
    </w:lvl>
    <w:lvl w:ilvl="2" w:tplc="0C09001B" w:tentative="1">
      <w:start w:val="1"/>
      <w:numFmt w:val="lowerRoman"/>
      <w:lvlText w:val="%3."/>
      <w:lvlJc w:val="right"/>
      <w:pPr>
        <w:ind w:left="3903" w:hanging="180"/>
      </w:pPr>
    </w:lvl>
    <w:lvl w:ilvl="3" w:tplc="0C09000F" w:tentative="1">
      <w:start w:val="1"/>
      <w:numFmt w:val="decimal"/>
      <w:lvlText w:val="%4."/>
      <w:lvlJc w:val="left"/>
      <w:pPr>
        <w:ind w:left="4623" w:hanging="360"/>
      </w:pPr>
    </w:lvl>
    <w:lvl w:ilvl="4" w:tplc="0C090019" w:tentative="1">
      <w:start w:val="1"/>
      <w:numFmt w:val="lowerLetter"/>
      <w:lvlText w:val="%5."/>
      <w:lvlJc w:val="left"/>
      <w:pPr>
        <w:ind w:left="5343" w:hanging="360"/>
      </w:pPr>
    </w:lvl>
    <w:lvl w:ilvl="5" w:tplc="0C09001B" w:tentative="1">
      <w:start w:val="1"/>
      <w:numFmt w:val="lowerRoman"/>
      <w:lvlText w:val="%6."/>
      <w:lvlJc w:val="right"/>
      <w:pPr>
        <w:ind w:left="6063" w:hanging="180"/>
      </w:pPr>
    </w:lvl>
    <w:lvl w:ilvl="6" w:tplc="0C09000F" w:tentative="1">
      <w:start w:val="1"/>
      <w:numFmt w:val="decimal"/>
      <w:lvlText w:val="%7."/>
      <w:lvlJc w:val="left"/>
      <w:pPr>
        <w:ind w:left="6783" w:hanging="360"/>
      </w:pPr>
    </w:lvl>
    <w:lvl w:ilvl="7" w:tplc="0C090019" w:tentative="1">
      <w:start w:val="1"/>
      <w:numFmt w:val="lowerLetter"/>
      <w:lvlText w:val="%8."/>
      <w:lvlJc w:val="left"/>
      <w:pPr>
        <w:ind w:left="7503" w:hanging="360"/>
      </w:pPr>
    </w:lvl>
    <w:lvl w:ilvl="8" w:tplc="0C09001B" w:tentative="1">
      <w:start w:val="1"/>
      <w:numFmt w:val="lowerRoman"/>
      <w:lvlText w:val="%9."/>
      <w:lvlJc w:val="right"/>
      <w:pPr>
        <w:ind w:left="8223" w:hanging="180"/>
      </w:pPr>
    </w:lvl>
  </w:abstractNum>
  <w:abstractNum w:abstractNumId="44" w15:restartNumberingAfterBreak="0">
    <w:nsid w:val="7C226557"/>
    <w:multiLevelType w:val="hybridMultilevel"/>
    <w:tmpl w:val="E8AEF0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C2E3CFF"/>
    <w:multiLevelType w:val="hybridMultilevel"/>
    <w:tmpl w:val="C7161FE2"/>
    <w:lvl w:ilvl="0" w:tplc="1F182A6C">
      <w:start w:val="1"/>
      <w:numFmt w:val="lowerLetter"/>
      <w:lvlText w:val="%1."/>
      <w:lvlJc w:val="left"/>
      <w:pPr>
        <w:ind w:left="794"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7"/>
  </w:num>
  <w:num w:numId="3">
    <w:abstractNumId w:val="8"/>
  </w:num>
  <w:num w:numId="4">
    <w:abstractNumId w:val="3"/>
  </w:num>
  <w:num w:numId="5">
    <w:abstractNumId w:val="37"/>
  </w:num>
  <w:num w:numId="6">
    <w:abstractNumId w:val="34"/>
  </w:num>
  <w:num w:numId="7">
    <w:abstractNumId w:val="26"/>
  </w:num>
  <w:num w:numId="8">
    <w:abstractNumId w:val="30"/>
  </w:num>
  <w:num w:numId="9">
    <w:abstractNumId w:val="36"/>
  </w:num>
  <w:num w:numId="10">
    <w:abstractNumId w:val="23"/>
  </w:num>
  <w:num w:numId="11">
    <w:abstractNumId w:val="45"/>
  </w:num>
  <w:num w:numId="12">
    <w:abstractNumId w:val="0"/>
  </w:num>
  <w:num w:numId="13">
    <w:abstractNumId w:val="6"/>
  </w:num>
  <w:num w:numId="14">
    <w:abstractNumId w:val="5"/>
  </w:num>
  <w:num w:numId="15">
    <w:abstractNumId w:val="4"/>
  </w:num>
  <w:num w:numId="16">
    <w:abstractNumId w:val="2"/>
  </w:num>
  <w:num w:numId="17">
    <w:abstractNumId w:val="1"/>
  </w:num>
  <w:num w:numId="18">
    <w:abstractNumId w:val="14"/>
  </w:num>
  <w:num w:numId="19">
    <w:abstractNumId w:val="17"/>
  </w:num>
  <w:num w:numId="20">
    <w:abstractNumId w:val="19"/>
  </w:num>
  <w:num w:numId="21">
    <w:abstractNumId w:val="39"/>
  </w:num>
  <w:num w:numId="22">
    <w:abstractNumId w:val="9"/>
  </w:num>
  <w:num w:numId="23">
    <w:abstractNumId w:val="21"/>
  </w:num>
  <w:num w:numId="24">
    <w:abstractNumId w:val="41"/>
  </w:num>
  <w:num w:numId="25">
    <w:abstractNumId w:val="13"/>
  </w:num>
  <w:num w:numId="26">
    <w:abstractNumId w:val="44"/>
  </w:num>
  <w:num w:numId="27">
    <w:abstractNumId w:val="30"/>
  </w:num>
  <w:num w:numId="28">
    <w:abstractNumId w:val="30"/>
  </w:num>
  <w:num w:numId="29">
    <w:abstractNumId w:val="30"/>
  </w:num>
  <w:num w:numId="30">
    <w:abstractNumId w:val="30"/>
  </w:num>
  <w:num w:numId="31">
    <w:abstractNumId w:val="30"/>
  </w:num>
  <w:num w:numId="32">
    <w:abstractNumId w:val="30"/>
  </w:num>
  <w:num w:numId="33">
    <w:abstractNumId w:val="30"/>
  </w:num>
  <w:num w:numId="34">
    <w:abstractNumId w:val="30"/>
  </w:num>
  <w:num w:numId="35">
    <w:abstractNumId w:val="30"/>
  </w:num>
  <w:num w:numId="36">
    <w:abstractNumId w:val="30"/>
  </w:num>
  <w:num w:numId="37">
    <w:abstractNumId w:val="30"/>
  </w:num>
  <w:num w:numId="38">
    <w:abstractNumId w:val="30"/>
  </w:num>
  <w:num w:numId="39">
    <w:abstractNumId w:val="30"/>
  </w:num>
  <w:num w:numId="40">
    <w:abstractNumId w:val="30"/>
  </w:num>
  <w:num w:numId="41">
    <w:abstractNumId w:val="30"/>
  </w:num>
  <w:num w:numId="42">
    <w:abstractNumId w:val="30"/>
  </w:num>
  <w:num w:numId="43">
    <w:abstractNumId w:val="30"/>
  </w:num>
  <w:num w:numId="44">
    <w:abstractNumId w:val="30"/>
  </w:num>
  <w:num w:numId="45">
    <w:abstractNumId w:val="30"/>
  </w:num>
  <w:num w:numId="46">
    <w:abstractNumId w:val="30"/>
  </w:num>
  <w:num w:numId="47">
    <w:abstractNumId w:val="30"/>
  </w:num>
  <w:num w:numId="48">
    <w:abstractNumId w:val="30"/>
  </w:num>
  <w:num w:numId="49">
    <w:abstractNumId w:val="30"/>
  </w:num>
  <w:num w:numId="50">
    <w:abstractNumId w:val="30"/>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30"/>
  </w:num>
  <w:num w:numId="60">
    <w:abstractNumId w:val="30"/>
  </w:num>
  <w:num w:numId="61">
    <w:abstractNumId w:val="43"/>
  </w:num>
  <w:num w:numId="62">
    <w:abstractNumId w:val="16"/>
  </w:num>
  <w:num w:numId="63">
    <w:abstractNumId w:val="28"/>
  </w:num>
  <w:num w:numId="64">
    <w:abstractNumId w:val="27"/>
  </w:num>
  <w:num w:numId="65">
    <w:abstractNumId w:val="30"/>
  </w:num>
  <w:num w:numId="66">
    <w:abstractNumId w:val="30"/>
  </w:num>
  <w:num w:numId="67">
    <w:abstractNumId w:val="30"/>
  </w:num>
  <w:num w:numId="68">
    <w:abstractNumId w:val="30"/>
  </w:num>
  <w:num w:numId="69">
    <w:abstractNumId w:val="30"/>
  </w:num>
  <w:num w:numId="70">
    <w:abstractNumId w:val="30"/>
  </w:num>
  <w:num w:numId="71">
    <w:abstractNumId w:val="30"/>
  </w:num>
  <w:num w:numId="72">
    <w:abstractNumId w:val="30"/>
  </w:num>
  <w:num w:numId="73">
    <w:abstractNumId w:val="30"/>
  </w:num>
  <w:num w:numId="74">
    <w:abstractNumId w:val="30"/>
  </w:num>
  <w:num w:numId="75">
    <w:abstractNumId w:val="30"/>
  </w:num>
  <w:num w:numId="76">
    <w:abstractNumId w:val="30"/>
  </w:num>
  <w:num w:numId="77">
    <w:abstractNumId w:val="30"/>
  </w:num>
  <w:num w:numId="78">
    <w:abstractNumId w:val="30"/>
  </w:num>
  <w:num w:numId="79">
    <w:abstractNumId w:val="12"/>
  </w:num>
  <w:num w:numId="80">
    <w:abstractNumId w:val="42"/>
  </w:num>
  <w:num w:numId="81">
    <w:abstractNumId w:val="22"/>
  </w:num>
  <w:num w:numId="82">
    <w:abstractNumId w:val="30"/>
  </w:num>
  <w:num w:numId="83">
    <w:abstractNumId w:val="30"/>
  </w:num>
  <w:num w:numId="84">
    <w:abstractNumId w:val="30"/>
  </w:num>
  <w:num w:numId="85">
    <w:abstractNumId w:val="11"/>
  </w:num>
  <w:num w:numId="86">
    <w:abstractNumId w:val="40"/>
  </w:num>
  <w:num w:numId="87">
    <w:abstractNumId w:val="20"/>
  </w:num>
  <w:num w:numId="88">
    <w:abstractNumId w:val="30"/>
  </w:num>
  <w:num w:numId="89">
    <w:abstractNumId w:val="30"/>
  </w:num>
  <w:num w:numId="90">
    <w:abstractNumId w:val="38"/>
  </w:num>
  <w:num w:numId="91">
    <w:abstractNumId w:val="35"/>
  </w:num>
  <w:num w:numId="92">
    <w:abstractNumId w:val="10"/>
  </w:num>
  <w:num w:numId="93">
    <w:abstractNumId w:val="32"/>
  </w:num>
  <w:num w:numId="94">
    <w:abstractNumId w:val="15"/>
  </w:num>
  <w:num w:numId="95">
    <w:abstractNumId w:val="31"/>
  </w:num>
  <w:num w:numId="96">
    <w:abstractNumId w:val="18"/>
  </w:num>
  <w:num w:numId="97">
    <w:abstractNumId w:val="25"/>
  </w:num>
  <w:num w:numId="98">
    <w:abstractNumId w:val="33"/>
  </w:num>
  <w:num w:numId="99">
    <w:abstractNumId w:val="29"/>
  </w:num>
  <w:num w:numId="100">
    <w:abstractNumId w:val="30"/>
  </w:num>
  <w:num w:numId="101">
    <w:abstractNumId w:val="24"/>
  </w:num>
  <w:num w:numId="102">
    <w:abstractNumId w:val="30"/>
  </w:num>
  <w:num w:numId="10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0"/>
  </w:num>
  <w:num w:numId="105">
    <w:abstractNumId w:val="30"/>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284"/>
  <w:evenAndOddHeaders/>
  <w:drawingGridHorizontalSpacing w:val="100"/>
  <w:displayHorizontalDrawingGridEvery w:val="2"/>
  <w:characterSpacingControl w:val="doNotCompress"/>
  <w:hdrShapeDefaults>
    <o:shapedefaults v:ext="edit" spidmax="124929">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5F5"/>
    <w:rsid w:val="00001258"/>
    <w:rsid w:val="000022D5"/>
    <w:rsid w:val="00002B81"/>
    <w:rsid w:val="0000494C"/>
    <w:rsid w:val="00004B16"/>
    <w:rsid w:val="00004D58"/>
    <w:rsid w:val="00010667"/>
    <w:rsid w:val="00010B78"/>
    <w:rsid w:val="000114BB"/>
    <w:rsid w:val="00011B11"/>
    <w:rsid w:val="0001267A"/>
    <w:rsid w:val="000129D5"/>
    <w:rsid w:val="000142D3"/>
    <w:rsid w:val="00015AE7"/>
    <w:rsid w:val="00016E21"/>
    <w:rsid w:val="00016EAF"/>
    <w:rsid w:val="0001719C"/>
    <w:rsid w:val="00020D3F"/>
    <w:rsid w:val="0002108C"/>
    <w:rsid w:val="00021B9E"/>
    <w:rsid w:val="0002224E"/>
    <w:rsid w:val="00022CBE"/>
    <w:rsid w:val="000245E5"/>
    <w:rsid w:val="00026531"/>
    <w:rsid w:val="00026B4C"/>
    <w:rsid w:val="00026F91"/>
    <w:rsid w:val="000273E9"/>
    <w:rsid w:val="00031136"/>
    <w:rsid w:val="00035551"/>
    <w:rsid w:val="00036E9C"/>
    <w:rsid w:val="00040E80"/>
    <w:rsid w:val="000459F6"/>
    <w:rsid w:val="0004666D"/>
    <w:rsid w:val="00047639"/>
    <w:rsid w:val="0004764C"/>
    <w:rsid w:val="0005011A"/>
    <w:rsid w:val="0005045A"/>
    <w:rsid w:val="00051B3C"/>
    <w:rsid w:val="00051C1E"/>
    <w:rsid w:val="00052081"/>
    <w:rsid w:val="000525DE"/>
    <w:rsid w:val="000539F9"/>
    <w:rsid w:val="00054C27"/>
    <w:rsid w:val="00055EC3"/>
    <w:rsid w:val="000563CE"/>
    <w:rsid w:val="000572FE"/>
    <w:rsid w:val="00060906"/>
    <w:rsid w:val="00062511"/>
    <w:rsid w:val="00063A18"/>
    <w:rsid w:val="000659B6"/>
    <w:rsid w:val="00065CC6"/>
    <w:rsid w:val="00065F51"/>
    <w:rsid w:val="0006686F"/>
    <w:rsid w:val="0006722A"/>
    <w:rsid w:val="00070391"/>
    <w:rsid w:val="0007266D"/>
    <w:rsid w:val="000732CF"/>
    <w:rsid w:val="00074198"/>
    <w:rsid w:val="00075B96"/>
    <w:rsid w:val="000765FD"/>
    <w:rsid w:val="0008196A"/>
    <w:rsid w:val="00083EB3"/>
    <w:rsid w:val="000840D5"/>
    <w:rsid w:val="00084650"/>
    <w:rsid w:val="00084AF2"/>
    <w:rsid w:val="00084DC6"/>
    <w:rsid w:val="00085361"/>
    <w:rsid w:val="000858EF"/>
    <w:rsid w:val="0008711C"/>
    <w:rsid w:val="00087C1D"/>
    <w:rsid w:val="00090140"/>
    <w:rsid w:val="0009065D"/>
    <w:rsid w:val="000915ED"/>
    <w:rsid w:val="0009209D"/>
    <w:rsid w:val="00095DE5"/>
    <w:rsid w:val="000964F0"/>
    <w:rsid w:val="000969BD"/>
    <w:rsid w:val="000969BF"/>
    <w:rsid w:val="00097D72"/>
    <w:rsid w:val="000A00B7"/>
    <w:rsid w:val="000A071E"/>
    <w:rsid w:val="000A0C22"/>
    <w:rsid w:val="000A1400"/>
    <w:rsid w:val="000A268B"/>
    <w:rsid w:val="000A3C43"/>
    <w:rsid w:val="000A4A51"/>
    <w:rsid w:val="000A57BA"/>
    <w:rsid w:val="000A5B31"/>
    <w:rsid w:val="000A5D2B"/>
    <w:rsid w:val="000B069C"/>
    <w:rsid w:val="000B199F"/>
    <w:rsid w:val="000B2746"/>
    <w:rsid w:val="000B27C0"/>
    <w:rsid w:val="000B418E"/>
    <w:rsid w:val="000B48EA"/>
    <w:rsid w:val="000B4E90"/>
    <w:rsid w:val="000B500E"/>
    <w:rsid w:val="000B5DE3"/>
    <w:rsid w:val="000B652B"/>
    <w:rsid w:val="000B6C35"/>
    <w:rsid w:val="000C0A57"/>
    <w:rsid w:val="000C1A48"/>
    <w:rsid w:val="000C1BE9"/>
    <w:rsid w:val="000C230C"/>
    <w:rsid w:val="000C2D5A"/>
    <w:rsid w:val="000C3854"/>
    <w:rsid w:val="000C3BB8"/>
    <w:rsid w:val="000C4EBA"/>
    <w:rsid w:val="000C6AB4"/>
    <w:rsid w:val="000D00BF"/>
    <w:rsid w:val="000D104B"/>
    <w:rsid w:val="000D1C60"/>
    <w:rsid w:val="000D1DEC"/>
    <w:rsid w:val="000D26F1"/>
    <w:rsid w:val="000D2A28"/>
    <w:rsid w:val="000D2DC2"/>
    <w:rsid w:val="000D451B"/>
    <w:rsid w:val="000D6507"/>
    <w:rsid w:val="000D71D9"/>
    <w:rsid w:val="000D76E0"/>
    <w:rsid w:val="000D779A"/>
    <w:rsid w:val="000D792D"/>
    <w:rsid w:val="000D7E8B"/>
    <w:rsid w:val="000E03C6"/>
    <w:rsid w:val="000E1227"/>
    <w:rsid w:val="000E1BA3"/>
    <w:rsid w:val="000E2D33"/>
    <w:rsid w:val="000E4449"/>
    <w:rsid w:val="000E44BA"/>
    <w:rsid w:val="000E5440"/>
    <w:rsid w:val="000E5E1C"/>
    <w:rsid w:val="000E6097"/>
    <w:rsid w:val="000E6568"/>
    <w:rsid w:val="000E6588"/>
    <w:rsid w:val="000E6605"/>
    <w:rsid w:val="000E6FCE"/>
    <w:rsid w:val="000E77E6"/>
    <w:rsid w:val="000F08B9"/>
    <w:rsid w:val="000F1D70"/>
    <w:rsid w:val="000F3D53"/>
    <w:rsid w:val="000F5617"/>
    <w:rsid w:val="000F60AC"/>
    <w:rsid w:val="000F6C10"/>
    <w:rsid w:val="00100E32"/>
    <w:rsid w:val="00103829"/>
    <w:rsid w:val="00104E85"/>
    <w:rsid w:val="00106E80"/>
    <w:rsid w:val="00111FCE"/>
    <w:rsid w:val="00112885"/>
    <w:rsid w:val="001150F7"/>
    <w:rsid w:val="00121469"/>
    <w:rsid w:val="00121E3D"/>
    <w:rsid w:val="001223A8"/>
    <w:rsid w:val="001229A5"/>
    <w:rsid w:val="00122E53"/>
    <w:rsid w:val="001230DA"/>
    <w:rsid w:val="00123ADB"/>
    <w:rsid w:val="0012489B"/>
    <w:rsid w:val="00125B4A"/>
    <w:rsid w:val="00126C63"/>
    <w:rsid w:val="00130017"/>
    <w:rsid w:val="00130F91"/>
    <w:rsid w:val="00133F70"/>
    <w:rsid w:val="001349ED"/>
    <w:rsid w:val="001368DB"/>
    <w:rsid w:val="00137424"/>
    <w:rsid w:val="00140318"/>
    <w:rsid w:val="0014034E"/>
    <w:rsid w:val="001405BF"/>
    <w:rsid w:val="00141AD9"/>
    <w:rsid w:val="00141BDA"/>
    <w:rsid w:val="0014226A"/>
    <w:rsid w:val="001428D4"/>
    <w:rsid w:val="001450A3"/>
    <w:rsid w:val="0014603C"/>
    <w:rsid w:val="0014654E"/>
    <w:rsid w:val="001468EB"/>
    <w:rsid w:val="00146CE6"/>
    <w:rsid w:val="00147AEB"/>
    <w:rsid w:val="00147C6C"/>
    <w:rsid w:val="001519E6"/>
    <w:rsid w:val="00151F2B"/>
    <w:rsid w:val="00151FB0"/>
    <w:rsid w:val="00152359"/>
    <w:rsid w:val="00152903"/>
    <w:rsid w:val="00152F4D"/>
    <w:rsid w:val="00153F86"/>
    <w:rsid w:val="00153FD5"/>
    <w:rsid w:val="00155155"/>
    <w:rsid w:val="0015614F"/>
    <w:rsid w:val="001577C2"/>
    <w:rsid w:val="0016018A"/>
    <w:rsid w:val="00162DBC"/>
    <w:rsid w:val="0016317B"/>
    <w:rsid w:val="001633C4"/>
    <w:rsid w:val="00164D3E"/>
    <w:rsid w:val="0016511F"/>
    <w:rsid w:val="0016552E"/>
    <w:rsid w:val="001703C7"/>
    <w:rsid w:val="001704D5"/>
    <w:rsid w:val="00171591"/>
    <w:rsid w:val="00173981"/>
    <w:rsid w:val="0017719D"/>
    <w:rsid w:val="00177AE5"/>
    <w:rsid w:val="00180316"/>
    <w:rsid w:val="001804B8"/>
    <w:rsid w:val="00183EFB"/>
    <w:rsid w:val="00183FAE"/>
    <w:rsid w:val="00183FD7"/>
    <w:rsid w:val="00184C6A"/>
    <w:rsid w:val="00185A26"/>
    <w:rsid w:val="00185CAB"/>
    <w:rsid w:val="001875B7"/>
    <w:rsid w:val="00187CB3"/>
    <w:rsid w:val="0019050A"/>
    <w:rsid w:val="00190A5C"/>
    <w:rsid w:val="00190B70"/>
    <w:rsid w:val="001910D4"/>
    <w:rsid w:val="00194C19"/>
    <w:rsid w:val="001964F4"/>
    <w:rsid w:val="00196D0B"/>
    <w:rsid w:val="001973C7"/>
    <w:rsid w:val="001976E3"/>
    <w:rsid w:val="001A041F"/>
    <w:rsid w:val="001A05C1"/>
    <w:rsid w:val="001A195C"/>
    <w:rsid w:val="001A437A"/>
    <w:rsid w:val="001A44EC"/>
    <w:rsid w:val="001A592C"/>
    <w:rsid w:val="001A630B"/>
    <w:rsid w:val="001A6D4A"/>
    <w:rsid w:val="001A7254"/>
    <w:rsid w:val="001B01A2"/>
    <w:rsid w:val="001B08AC"/>
    <w:rsid w:val="001B1471"/>
    <w:rsid w:val="001B18DE"/>
    <w:rsid w:val="001B1C75"/>
    <w:rsid w:val="001B4D0E"/>
    <w:rsid w:val="001B4FF0"/>
    <w:rsid w:val="001B58AA"/>
    <w:rsid w:val="001B609F"/>
    <w:rsid w:val="001B7DE2"/>
    <w:rsid w:val="001B7E48"/>
    <w:rsid w:val="001C1040"/>
    <w:rsid w:val="001C143E"/>
    <w:rsid w:val="001C17CE"/>
    <w:rsid w:val="001C2B0F"/>
    <w:rsid w:val="001C2BEC"/>
    <w:rsid w:val="001C3009"/>
    <w:rsid w:val="001C316E"/>
    <w:rsid w:val="001C36CA"/>
    <w:rsid w:val="001C44D1"/>
    <w:rsid w:val="001C5883"/>
    <w:rsid w:val="001C5E7E"/>
    <w:rsid w:val="001C6284"/>
    <w:rsid w:val="001C6775"/>
    <w:rsid w:val="001C6AEE"/>
    <w:rsid w:val="001C7630"/>
    <w:rsid w:val="001C7DA0"/>
    <w:rsid w:val="001D19A1"/>
    <w:rsid w:val="001D1D73"/>
    <w:rsid w:val="001D24E7"/>
    <w:rsid w:val="001D39AD"/>
    <w:rsid w:val="001D4A78"/>
    <w:rsid w:val="001D5B1E"/>
    <w:rsid w:val="001D63F6"/>
    <w:rsid w:val="001D6A50"/>
    <w:rsid w:val="001D6D15"/>
    <w:rsid w:val="001E0B43"/>
    <w:rsid w:val="001E1840"/>
    <w:rsid w:val="001E1FB6"/>
    <w:rsid w:val="001E3C2D"/>
    <w:rsid w:val="001E5F72"/>
    <w:rsid w:val="001E6386"/>
    <w:rsid w:val="001E6CC0"/>
    <w:rsid w:val="001F0AF1"/>
    <w:rsid w:val="001F0E76"/>
    <w:rsid w:val="001F1977"/>
    <w:rsid w:val="001F2CAC"/>
    <w:rsid w:val="001F2F06"/>
    <w:rsid w:val="001F3C95"/>
    <w:rsid w:val="001F7558"/>
    <w:rsid w:val="0020532F"/>
    <w:rsid w:val="00205B57"/>
    <w:rsid w:val="00206507"/>
    <w:rsid w:val="00210061"/>
    <w:rsid w:val="00210A71"/>
    <w:rsid w:val="00210C38"/>
    <w:rsid w:val="0021184E"/>
    <w:rsid w:val="0021287F"/>
    <w:rsid w:val="00212C3E"/>
    <w:rsid w:val="002133F0"/>
    <w:rsid w:val="002157E0"/>
    <w:rsid w:val="0021617D"/>
    <w:rsid w:val="0021691C"/>
    <w:rsid w:val="00216A57"/>
    <w:rsid w:val="002200BB"/>
    <w:rsid w:val="00220DC9"/>
    <w:rsid w:val="0022334F"/>
    <w:rsid w:val="00223EA7"/>
    <w:rsid w:val="002267E5"/>
    <w:rsid w:val="00226819"/>
    <w:rsid w:val="00226F16"/>
    <w:rsid w:val="00227E44"/>
    <w:rsid w:val="00233101"/>
    <w:rsid w:val="00233817"/>
    <w:rsid w:val="00234206"/>
    <w:rsid w:val="002362D3"/>
    <w:rsid w:val="002367FF"/>
    <w:rsid w:val="00240CE9"/>
    <w:rsid w:val="00243207"/>
    <w:rsid w:val="002434BA"/>
    <w:rsid w:val="00243559"/>
    <w:rsid w:val="00245A08"/>
    <w:rsid w:val="00246089"/>
    <w:rsid w:val="00246093"/>
    <w:rsid w:val="00246702"/>
    <w:rsid w:val="00247C59"/>
    <w:rsid w:val="00247F2E"/>
    <w:rsid w:val="00250ADC"/>
    <w:rsid w:val="00250B07"/>
    <w:rsid w:val="0025374C"/>
    <w:rsid w:val="00253D56"/>
    <w:rsid w:val="00254146"/>
    <w:rsid w:val="00257553"/>
    <w:rsid w:val="002605C6"/>
    <w:rsid w:val="00260B2C"/>
    <w:rsid w:val="00260FB2"/>
    <w:rsid w:val="00262030"/>
    <w:rsid w:val="00262128"/>
    <w:rsid w:val="0026285D"/>
    <w:rsid w:val="0026648A"/>
    <w:rsid w:val="00266962"/>
    <w:rsid w:val="00266D0B"/>
    <w:rsid w:val="00270158"/>
    <w:rsid w:val="0027165D"/>
    <w:rsid w:val="00271802"/>
    <w:rsid w:val="002718C0"/>
    <w:rsid w:val="00271C8A"/>
    <w:rsid w:val="00272481"/>
    <w:rsid w:val="0027330C"/>
    <w:rsid w:val="00273CEB"/>
    <w:rsid w:val="002759A8"/>
    <w:rsid w:val="00276002"/>
    <w:rsid w:val="00276F4C"/>
    <w:rsid w:val="002815C1"/>
    <w:rsid w:val="0028180D"/>
    <w:rsid w:val="00281C89"/>
    <w:rsid w:val="0028271B"/>
    <w:rsid w:val="0028282F"/>
    <w:rsid w:val="00283372"/>
    <w:rsid w:val="00283AE3"/>
    <w:rsid w:val="0028441D"/>
    <w:rsid w:val="00284F22"/>
    <w:rsid w:val="00284F35"/>
    <w:rsid w:val="00285070"/>
    <w:rsid w:val="002856C5"/>
    <w:rsid w:val="0029430C"/>
    <w:rsid w:val="002952BB"/>
    <w:rsid w:val="0029593B"/>
    <w:rsid w:val="00296424"/>
    <w:rsid w:val="00296CB3"/>
    <w:rsid w:val="00297FC5"/>
    <w:rsid w:val="002A0417"/>
    <w:rsid w:val="002A0AAA"/>
    <w:rsid w:val="002A10E4"/>
    <w:rsid w:val="002A16D8"/>
    <w:rsid w:val="002A1723"/>
    <w:rsid w:val="002A1BC8"/>
    <w:rsid w:val="002A3200"/>
    <w:rsid w:val="002A384B"/>
    <w:rsid w:val="002A38F6"/>
    <w:rsid w:val="002A3CEC"/>
    <w:rsid w:val="002A3EF2"/>
    <w:rsid w:val="002A5ED8"/>
    <w:rsid w:val="002A60A9"/>
    <w:rsid w:val="002A639D"/>
    <w:rsid w:val="002B0C9D"/>
    <w:rsid w:val="002B0DED"/>
    <w:rsid w:val="002B19A2"/>
    <w:rsid w:val="002B2FD6"/>
    <w:rsid w:val="002B32B1"/>
    <w:rsid w:val="002B381A"/>
    <w:rsid w:val="002B3EA0"/>
    <w:rsid w:val="002B4011"/>
    <w:rsid w:val="002B4FCC"/>
    <w:rsid w:val="002B57EC"/>
    <w:rsid w:val="002B58E6"/>
    <w:rsid w:val="002B7408"/>
    <w:rsid w:val="002B7B2F"/>
    <w:rsid w:val="002B7CFD"/>
    <w:rsid w:val="002C1537"/>
    <w:rsid w:val="002C210F"/>
    <w:rsid w:val="002C243B"/>
    <w:rsid w:val="002C733B"/>
    <w:rsid w:val="002D0F4C"/>
    <w:rsid w:val="002D247D"/>
    <w:rsid w:val="002D29BC"/>
    <w:rsid w:val="002D34CD"/>
    <w:rsid w:val="002D3600"/>
    <w:rsid w:val="002D384F"/>
    <w:rsid w:val="002D3A0C"/>
    <w:rsid w:val="002D3BA3"/>
    <w:rsid w:val="002D3E58"/>
    <w:rsid w:val="002D4DC6"/>
    <w:rsid w:val="002D773F"/>
    <w:rsid w:val="002D7F52"/>
    <w:rsid w:val="002E1243"/>
    <w:rsid w:val="002E16BD"/>
    <w:rsid w:val="002E39CF"/>
    <w:rsid w:val="002E4DDC"/>
    <w:rsid w:val="002E52C7"/>
    <w:rsid w:val="002E5BBB"/>
    <w:rsid w:val="002E6D36"/>
    <w:rsid w:val="002F05D9"/>
    <w:rsid w:val="002F087B"/>
    <w:rsid w:val="002F1ED0"/>
    <w:rsid w:val="002F4584"/>
    <w:rsid w:val="002F62C7"/>
    <w:rsid w:val="002F63FD"/>
    <w:rsid w:val="002F72AF"/>
    <w:rsid w:val="002F750E"/>
    <w:rsid w:val="0030206A"/>
    <w:rsid w:val="00302480"/>
    <w:rsid w:val="00302B32"/>
    <w:rsid w:val="00302D97"/>
    <w:rsid w:val="00303C64"/>
    <w:rsid w:val="0030742C"/>
    <w:rsid w:val="00311A64"/>
    <w:rsid w:val="0031205B"/>
    <w:rsid w:val="003143DA"/>
    <w:rsid w:val="00314E75"/>
    <w:rsid w:val="00315188"/>
    <w:rsid w:val="003165E6"/>
    <w:rsid w:val="00317818"/>
    <w:rsid w:val="0031787B"/>
    <w:rsid w:val="00317CE5"/>
    <w:rsid w:val="003215B5"/>
    <w:rsid w:val="003221CF"/>
    <w:rsid w:val="003233ED"/>
    <w:rsid w:val="00324D9F"/>
    <w:rsid w:val="003259D3"/>
    <w:rsid w:val="00327655"/>
    <w:rsid w:val="00327948"/>
    <w:rsid w:val="00327CDB"/>
    <w:rsid w:val="0033000F"/>
    <w:rsid w:val="00330733"/>
    <w:rsid w:val="003315C7"/>
    <w:rsid w:val="003318A0"/>
    <w:rsid w:val="00332011"/>
    <w:rsid w:val="00332518"/>
    <w:rsid w:val="00332925"/>
    <w:rsid w:val="003332ED"/>
    <w:rsid w:val="00333316"/>
    <w:rsid w:val="0033457A"/>
    <w:rsid w:val="00334F93"/>
    <w:rsid w:val="003353F7"/>
    <w:rsid w:val="0033555C"/>
    <w:rsid w:val="003368DC"/>
    <w:rsid w:val="003371AD"/>
    <w:rsid w:val="00337D5C"/>
    <w:rsid w:val="00343419"/>
    <w:rsid w:val="00343A55"/>
    <w:rsid w:val="00345927"/>
    <w:rsid w:val="00350584"/>
    <w:rsid w:val="00351664"/>
    <w:rsid w:val="00351857"/>
    <w:rsid w:val="003518F0"/>
    <w:rsid w:val="00352CDE"/>
    <w:rsid w:val="00354494"/>
    <w:rsid w:val="003545E8"/>
    <w:rsid w:val="00357587"/>
    <w:rsid w:val="00360131"/>
    <w:rsid w:val="003610E1"/>
    <w:rsid w:val="00361A2A"/>
    <w:rsid w:val="00361EBE"/>
    <w:rsid w:val="00362A42"/>
    <w:rsid w:val="0036413C"/>
    <w:rsid w:val="003655C1"/>
    <w:rsid w:val="00366071"/>
    <w:rsid w:val="00366497"/>
    <w:rsid w:val="0036667C"/>
    <w:rsid w:val="00366DD3"/>
    <w:rsid w:val="003671BE"/>
    <w:rsid w:val="00370D6D"/>
    <w:rsid w:val="00371C83"/>
    <w:rsid w:val="00372485"/>
    <w:rsid w:val="00373200"/>
    <w:rsid w:val="00375039"/>
    <w:rsid w:val="00375EF5"/>
    <w:rsid w:val="003767A5"/>
    <w:rsid w:val="00377262"/>
    <w:rsid w:val="0038044F"/>
    <w:rsid w:val="003816B6"/>
    <w:rsid w:val="00381D15"/>
    <w:rsid w:val="00382FBA"/>
    <w:rsid w:val="00383C66"/>
    <w:rsid w:val="00383D77"/>
    <w:rsid w:val="00385254"/>
    <w:rsid w:val="00386367"/>
    <w:rsid w:val="00390DC7"/>
    <w:rsid w:val="003912D7"/>
    <w:rsid w:val="003919A5"/>
    <w:rsid w:val="00392383"/>
    <w:rsid w:val="0039247E"/>
    <w:rsid w:val="00396762"/>
    <w:rsid w:val="003A04DB"/>
    <w:rsid w:val="003A0ED9"/>
    <w:rsid w:val="003A2963"/>
    <w:rsid w:val="003A2E0D"/>
    <w:rsid w:val="003A3017"/>
    <w:rsid w:val="003A40AA"/>
    <w:rsid w:val="003A5B3A"/>
    <w:rsid w:val="003A5F5B"/>
    <w:rsid w:val="003A6AE8"/>
    <w:rsid w:val="003A6B60"/>
    <w:rsid w:val="003A789A"/>
    <w:rsid w:val="003A7F97"/>
    <w:rsid w:val="003B12EC"/>
    <w:rsid w:val="003B47C4"/>
    <w:rsid w:val="003B50D6"/>
    <w:rsid w:val="003B61D0"/>
    <w:rsid w:val="003C404D"/>
    <w:rsid w:val="003C54D9"/>
    <w:rsid w:val="003C57D3"/>
    <w:rsid w:val="003C57F8"/>
    <w:rsid w:val="003C5892"/>
    <w:rsid w:val="003C670F"/>
    <w:rsid w:val="003C77E0"/>
    <w:rsid w:val="003D17D7"/>
    <w:rsid w:val="003D1E2E"/>
    <w:rsid w:val="003D2678"/>
    <w:rsid w:val="003D399A"/>
    <w:rsid w:val="003D3E89"/>
    <w:rsid w:val="003D4155"/>
    <w:rsid w:val="003D4484"/>
    <w:rsid w:val="003D4595"/>
    <w:rsid w:val="003D5960"/>
    <w:rsid w:val="003D645E"/>
    <w:rsid w:val="003D71A3"/>
    <w:rsid w:val="003E2278"/>
    <w:rsid w:val="003E2B8A"/>
    <w:rsid w:val="003E33E9"/>
    <w:rsid w:val="003E561B"/>
    <w:rsid w:val="003E6CDC"/>
    <w:rsid w:val="003E7EF6"/>
    <w:rsid w:val="003F000D"/>
    <w:rsid w:val="003F014A"/>
    <w:rsid w:val="003F026E"/>
    <w:rsid w:val="003F03AC"/>
    <w:rsid w:val="003F10EE"/>
    <w:rsid w:val="003F16F6"/>
    <w:rsid w:val="003F4369"/>
    <w:rsid w:val="003F4DC7"/>
    <w:rsid w:val="003F5235"/>
    <w:rsid w:val="003F682E"/>
    <w:rsid w:val="003F6A70"/>
    <w:rsid w:val="003F76D6"/>
    <w:rsid w:val="003F7E11"/>
    <w:rsid w:val="00400A67"/>
    <w:rsid w:val="004027E4"/>
    <w:rsid w:val="0040306E"/>
    <w:rsid w:val="00403E5A"/>
    <w:rsid w:val="004047AC"/>
    <w:rsid w:val="004053C8"/>
    <w:rsid w:val="00406ADA"/>
    <w:rsid w:val="0041071D"/>
    <w:rsid w:val="00411C85"/>
    <w:rsid w:val="004121BA"/>
    <w:rsid w:val="00412EC9"/>
    <w:rsid w:val="00414AFC"/>
    <w:rsid w:val="00415127"/>
    <w:rsid w:val="004151A7"/>
    <w:rsid w:val="00415310"/>
    <w:rsid w:val="00415858"/>
    <w:rsid w:val="00415D38"/>
    <w:rsid w:val="00415F01"/>
    <w:rsid w:val="00416476"/>
    <w:rsid w:val="0041773B"/>
    <w:rsid w:val="0042048E"/>
    <w:rsid w:val="00420CAF"/>
    <w:rsid w:val="00421709"/>
    <w:rsid w:val="00421BE8"/>
    <w:rsid w:val="004221BB"/>
    <w:rsid w:val="00423763"/>
    <w:rsid w:val="0042478B"/>
    <w:rsid w:val="00425394"/>
    <w:rsid w:val="00426F0D"/>
    <w:rsid w:val="004274BE"/>
    <w:rsid w:val="0042762F"/>
    <w:rsid w:val="00427DC7"/>
    <w:rsid w:val="00427F8E"/>
    <w:rsid w:val="00431613"/>
    <w:rsid w:val="00431792"/>
    <w:rsid w:val="004325F3"/>
    <w:rsid w:val="0043297A"/>
    <w:rsid w:val="00432EB2"/>
    <w:rsid w:val="004332EE"/>
    <w:rsid w:val="00433D34"/>
    <w:rsid w:val="004355AF"/>
    <w:rsid w:val="0043648B"/>
    <w:rsid w:val="0043714F"/>
    <w:rsid w:val="004372FF"/>
    <w:rsid w:val="00441C7F"/>
    <w:rsid w:val="0044206F"/>
    <w:rsid w:val="004438B5"/>
    <w:rsid w:val="0044570B"/>
    <w:rsid w:val="00446CC1"/>
    <w:rsid w:val="00447037"/>
    <w:rsid w:val="0045124D"/>
    <w:rsid w:val="004522AE"/>
    <w:rsid w:val="00454596"/>
    <w:rsid w:val="0045605D"/>
    <w:rsid w:val="00456E6D"/>
    <w:rsid w:val="004571CF"/>
    <w:rsid w:val="0046135B"/>
    <w:rsid w:val="00461ADE"/>
    <w:rsid w:val="00461D47"/>
    <w:rsid w:val="00461E02"/>
    <w:rsid w:val="00463DE9"/>
    <w:rsid w:val="004660C0"/>
    <w:rsid w:val="00466840"/>
    <w:rsid w:val="004669F7"/>
    <w:rsid w:val="004718CC"/>
    <w:rsid w:val="00472B62"/>
    <w:rsid w:val="00472D83"/>
    <w:rsid w:val="00476F2B"/>
    <w:rsid w:val="00481695"/>
    <w:rsid w:val="00481944"/>
    <w:rsid w:val="00482121"/>
    <w:rsid w:val="00483B6E"/>
    <w:rsid w:val="00484BFF"/>
    <w:rsid w:val="00485616"/>
    <w:rsid w:val="00485742"/>
    <w:rsid w:val="00486D27"/>
    <w:rsid w:val="00486FBC"/>
    <w:rsid w:val="00487970"/>
    <w:rsid w:val="00487E96"/>
    <w:rsid w:val="00494C50"/>
    <w:rsid w:val="00495A96"/>
    <w:rsid w:val="00495BB3"/>
    <w:rsid w:val="004A07FC"/>
    <w:rsid w:val="004A13A7"/>
    <w:rsid w:val="004A18F0"/>
    <w:rsid w:val="004A1DD5"/>
    <w:rsid w:val="004A34A1"/>
    <w:rsid w:val="004A40F9"/>
    <w:rsid w:val="004A463E"/>
    <w:rsid w:val="004A4D52"/>
    <w:rsid w:val="004A50F6"/>
    <w:rsid w:val="004A56BB"/>
    <w:rsid w:val="004A5D95"/>
    <w:rsid w:val="004B0B70"/>
    <w:rsid w:val="004B0C3D"/>
    <w:rsid w:val="004B1751"/>
    <w:rsid w:val="004B2ABF"/>
    <w:rsid w:val="004B3841"/>
    <w:rsid w:val="004B52C8"/>
    <w:rsid w:val="004C0253"/>
    <w:rsid w:val="004C144C"/>
    <w:rsid w:val="004C1CD5"/>
    <w:rsid w:val="004C216A"/>
    <w:rsid w:val="004C26D7"/>
    <w:rsid w:val="004C33B4"/>
    <w:rsid w:val="004C48E7"/>
    <w:rsid w:val="004C4DA3"/>
    <w:rsid w:val="004C6389"/>
    <w:rsid w:val="004D0243"/>
    <w:rsid w:val="004D1FE8"/>
    <w:rsid w:val="004D56FF"/>
    <w:rsid w:val="004D611B"/>
    <w:rsid w:val="004E012E"/>
    <w:rsid w:val="004E02B7"/>
    <w:rsid w:val="004E0770"/>
    <w:rsid w:val="004E0F2F"/>
    <w:rsid w:val="004E171C"/>
    <w:rsid w:val="004E1CC5"/>
    <w:rsid w:val="004E30CF"/>
    <w:rsid w:val="004E3263"/>
    <w:rsid w:val="004E365C"/>
    <w:rsid w:val="004E39D3"/>
    <w:rsid w:val="004E508A"/>
    <w:rsid w:val="004E54F6"/>
    <w:rsid w:val="004E616D"/>
    <w:rsid w:val="004E7313"/>
    <w:rsid w:val="004F1BDE"/>
    <w:rsid w:val="004F2CEE"/>
    <w:rsid w:val="004F34E0"/>
    <w:rsid w:val="004F556E"/>
    <w:rsid w:val="004F591C"/>
    <w:rsid w:val="004F788D"/>
    <w:rsid w:val="004F7F44"/>
    <w:rsid w:val="005003C0"/>
    <w:rsid w:val="005037B4"/>
    <w:rsid w:val="0050626F"/>
    <w:rsid w:val="00506534"/>
    <w:rsid w:val="005079BF"/>
    <w:rsid w:val="00507DEA"/>
    <w:rsid w:val="005110F8"/>
    <w:rsid w:val="00511292"/>
    <w:rsid w:val="005120E7"/>
    <w:rsid w:val="0051242C"/>
    <w:rsid w:val="00512557"/>
    <w:rsid w:val="0051269A"/>
    <w:rsid w:val="00516919"/>
    <w:rsid w:val="005205EF"/>
    <w:rsid w:val="00520905"/>
    <w:rsid w:val="005219E7"/>
    <w:rsid w:val="0052271E"/>
    <w:rsid w:val="005227F6"/>
    <w:rsid w:val="005230E4"/>
    <w:rsid w:val="005263A5"/>
    <w:rsid w:val="00526D64"/>
    <w:rsid w:val="005275D5"/>
    <w:rsid w:val="0053084F"/>
    <w:rsid w:val="005312C6"/>
    <w:rsid w:val="00531B9A"/>
    <w:rsid w:val="00531D15"/>
    <w:rsid w:val="005334E3"/>
    <w:rsid w:val="00533E30"/>
    <w:rsid w:val="00537604"/>
    <w:rsid w:val="00540445"/>
    <w:rsid w:val="00541A29"/>
    <w:rsid w:val="0054235F"/>
    <w:rsid w:val="00542377"/>
    <w:rsid w:val="005469C2"/>
    <w:rsid w:val="005476EB"/>
    <w:rsid w:val="005501B0"/>
    <w:rsid w:val="00551782"/>
    <w:rsid w:val="0055248C"/>
    <w:rsid w:val="0055397A"/>
    <w:rsid w:val="005541F1"/>
    <w:rsid w:val="00554839"/>
    <w:rsid w:val="00554D78"/>
    <w:rsid w:val="0055540B"/>
    <w:rsid w:val="005559D5"/>
    <w:rsid w:val="00555F5E"/>
    <w:rsid w:val="00560E82"/>
    <w:rsid w:val="005620F8"/>
    <w:rsid w:val="00562D12"/>
    <w:rsid w:val="00563A7A"/>
    <w:rsid w:val="00563EF1"/>
    <w:rsid w:val="00564C7B"/>
    <w:rsid w:val="00565BEB"/>
    <w:rsid w:val="00566AB4"/>
    <w:rsid w:val="00571E28"/>
    <w:rsid w:val="00572480"/>
    <w:rsid w:val="00575AC5"/>
    <w:rsid w:val="0057605D"/>
    <w:rsid w:val="00576BF7"/>
    <w:rsid w:val="00577599"/>
    <w:rsid w:val="00581347"/>
    <w:rsid w:val="00581AC9"/>
    <w:rsid w:val="00582C09"/>
    <w:rsid w:val="0058346F"/>
    <w:rsid w:val="005849F8"/>
    <w:rsid w:val="00590E66"/>
    <w:rsid w:val="005915F3"/>
    <w:rsid w:val="00591A64"/>
    <w:rsid w:val="005938DF"/>
    <w:rsid w:val="00594796"/>
    <w:rsid w:val="00594E9C"/>
    <w:rsid w:val="00597A40"/>
    <w:rsid w:val="005A099B"/>
    <w:rsid w:val="005A23CC"/>
    <w:rsid w:val="005A2845"/>
    <w:rsid w:val="005A2B7B"/>
    <w:rsid w:val="005A2D9C"/>
    <w:rsid w:val="005A3A38"/>
    <w:rsid w:val="005A3FB6"/>
    <w:rsid w:val="005A5074"/>
    <w:rsid w:val="005A55FE"/>
    <w:rsid w:val="005A5FBF"/>
    <w:rsid w:val="005A6A11"/>
    <w:rsid w:val="005B395B"/>
    <w:rsid w:val="005B53BD"/>
    <w:rsid w:val="005B63B8"/>
    <w:rsid w:val="005B65AC"/>
    <w:rsid w:val="005C004A"/>
    <w:rsid w:val="005C1911"/>
    <w:rsid w:val="005C1FF9"/>
    <w:rsid w:val="005C3BEA"/>
    <w:rsid w:val="005D01EF"/>
    <w:rsid w:val="005D109B"/>
    <w:rsid w:val="005D13D1"/>
    <w:rsid w:val="005D2502"/>
    <w:rsid w:val="005D40BB"/>
    <w:rsid w:val="005D42A9"/>
    <w:rsid w:val="005D47F3"/>
    <w:rsid w:val="005D49BF"/>
    <w:rsid w:val="005D4AA5"/>
    <w:rsid w:val="005D6B7B"/>
    <w:rsid w:val="005D6CF6"/>
    <w:rsid w:val="005D6F4E"/>
    <w:rsid w:val="005D7C73"/>
    <w:rsid w:val="005D7C8C"/>
    <w:rsid w:val="005E03B8"/>
    <w:rsid w:val="005E0E12"/>
    <w:rsid w:val="005E22D7"/>
    <w:rsid w:val="005E31A5"/>
    <w:rsid w:val="005E3ACD"/>
    <w:rsid w:val="005E5B48"/>
    <w:rsid w:val="005E63EB"/>
    <w:rsid w:val="005E69C2"/>
    <w:rsid w:val="005E6A8F"/>
    <w:rsid w:val="005E7226"/>
    <w:rsid w:val="005E7A57"/>
    <w:rsid w:val="005F14AA"/>
    <w:rsid w:val="005F24B0"/>
    <w:rsid w:val="005F39BF"/>
    <w:rsid w:val="00601385"/>
    <w:rsid w:val="00601693"/>
    <w:rsid w:val="00604315"/>
    <w:rsid w:val="00604D1D"/>
    <w:rsid w:val="00604E26"/>
    <w:rsid w:val="006052CF"/>
    <w:rsid w:val="0060625D"/>
    <w:rsid w:val="00606321"/>
    <w:rsid w:val="00607B8D"/>
    <w:rsid w:val="00607FE6"/>
    <w:rsid w:val="006104D7"/>
    <w:rsid w:val="006114AD"/>
    <w:rsid w:val="00611968"/>
    <w:rsid w:val="00611C4D"/>
    <w:rsid w:val="00611E5F"/>
    <w:rsid w:val="00611F5C"/>
    <w:rsid w:val="00612474"/>
    <w:rsid w:val="006130BC"/>
    <w:rsid w:val="006130D6"/>
    <w:rsid w:val="006130E1"/>
    <w:rsid w:val="00613C1E"/>
    <w:rsid w:val="00614647"/>
    <w:rsid w:val="00616E09"/>
    <w:rsid w:val="00616F0F"/>
    <w:rsid w:val="006174E1"/>
    <w:rsid w:val="00617CBE"/>
    <w:rsid w:val="0062135C"/>
    <w:rsid w:val="0062181B"/>
    <w:rsid w:val="00622A3B"/>
    <w:rsid w:val="00622EEA"/>
    <w:rsid w:val="00623118"/>
    <w:rsid w:val="0062396C"/>
    <w:rsid w:val="00623FF9"/>
    <w:rsid w:val="006262AE"/>
    <w:rsid w:val="0062635A"/>
    <w:rsid w:val="00627D4E"/>
    <w:rsid w:val="00631000"/>
    <w:rsid w:val="00632AB6"/>
    <w:rsid w:val="00632B89"/>
    <w:rsid w:val="00634478"/>
    <w:rsid w:val="006362E9"/>
    <w:rsid w:val="0064130B"/>
    <w:rsid w:val="00643E17"/>
    <w:rsid w:val="00644373"/>
    <w:rsid w:val="00645915"/>
    <w:rsid w:val="006519C3"/>
    <w:rsid w:val="006524DF"/>
    <w:rsid w:val="00652B30"/>
    <w:rsid w:val="00653651"/>
    <w:rsid w:val="00656345"/>
    <w:rsid w:val="0065689F"/>
    <w:rsid w:val="00656DC6"/>
    <w:rsid w:val="00656DEB"/>
    <w:rsid w:val="0065762E"/>
    <w:rsid w:val="00660EC6"/>
    <w:rsid w:val="006613B7"/>
    <w:rsid w:val="00661E4D"/>
    <w:rsid w:val="00662DFA"/>
    <w:rsid w:val="006630D1"/>
    <w:rsid w:val="00663A77"/>
    <w:rsid w:val="00663CD8"/>
    <w:rsid w:val="00663DBF"/>
    <w:rsid w:val="00663EAE"/>
    <w:rsid w:val="00664110"/>
    <w:rsid w:val="00664D17"/>
    <w:rsid w:val="00666520"/>
    <w:rsid w:val="006672AC"/>
    <w:rsid w:val="00667C5B"/>
    <w:rsid w:val="006708D0"/>
    <w:rsid w:val="00674079"/>
    <w:rsid w:val="006751E7"/>
    <w:rsid w:val="006754CF"/>
    <w:rsid w:val="00675AB2"/>
    <w:rsid w:val="00676179"/>
    <w:rsid w:val="0067655E"/>
    <w:rsid w:val="006770D0"/>
    <w:rsid w:val="00680DC6"/>
    <w:rsid w:val="0068149F"/>
    <w:rsid w:val="00682CB9"/>
    <w:rsid w:val="00683035"/>
    <w:rsid w:val="006832A2"/>
    <w:rsid w:val="00683344"/>
    <w:rsid w:val="00684879"/>
    <w:rsid w:val="00685182"/>
    <w:rsid w:val="00685D44"/>
    <w:rsid w:val="006861D1"/>
    <w:rsid w:val="00686645"/>
    <w:rsid w:val="0068676E"/>
    <w:rsid w:val="00686D1B"/>
    <w:rsid w:val="00690AC1"/>
    <w:rsid w:val="00691CDB"/>
    <w:rsid w:val="00691EB8"/>
    <w:rsid w:val="00692575"/>
    <w:rsid w:val="00692CDE"/>
    <w:rsid w:val="00693073"/>
    <w:rsid w:val="006930E7"/>
    <w:rsid w:val="00693FA0"/>
    <w:rsid w:val="00694392"/>
    <w:rsid w:val="0069543B"/>
    <w:rsid w:val="0069580E"/>
    <w:rsid w:val="00697427"/>
    <w:rsid w:val="006977FF"/>
    <w:rsid w:val="006A01FA"/>
    <w:rsid w:val="006A0E9E"/>
    <w:rsid w:val="006A1DAB"/>
    <w:rsid w:val="006A2551"/>
    <w:rsid w:val="006A25C7"/>
    <w:rsid w:val="006A4AAD"/>
    <w:rsid w:val="006A508D"/>
    <w:rsid w:val="006A56DD"/>
    <w:rsid w:val="006A5EE0"/>
    <w:rsid w:val="006A66EE"/>
    <w:rsid w:val="006A6D1C"/>
    <w:rsid w:val="006A6DA2"/>
    <w:rsid w:val="006A7616"/>
    <w:rsid w:val="006A7AB2"/>
    <w:rsid w:val="006A7DB9"/>
    <w:rsid w:val="006B10E3"/>
    <w:rsid w:val="006B348A"/>
    <w:rsid w:val="006B3CCB"/>
    <w:rsid w:val="006B5717"/>
    <w:rsid w:val="006B582F"/>
    <w:rsid w:val="006B5AAA"/>
    <w:rsid w:val="006B5EB2"/>
    <w:rsid w:val="006B7D80"/>
    <w:rsid w:val="006C0CEB"/>
    <w:rsid w:val="006C14BB"/>
    <w:rsid w:val="006C2DDD"/>
    <w:rsid w:val="006C33E6"/>
    <w:rsid w:val="006C3771"/>
    <w:rsid w:val="006C3B1E"/>
    <w:rsid w:val="006C3B2D"/>
    <w:rsid w:val="006C47FD"/>
    <w:rsid w:val="006C4D0B"/>
    <w:rsid w:val="006C53B4"/>
    <w:rsid w:val="006C5C19"/>
    <w:rsid w:val="006C70A0"/>
    <w:rsid w:val="006C752F"/>
    <w:rsid w:val="006D0BB9"/>
    <w:rsid w:val="006D27CB"/>
    <w:rsid w:val="006D2F08"/>
    <w:rsid w:val="006D34A4"/>
    <w:rsid w:val="006D5177"/>
    <w:rsid w:val="006D576C"/>
    <w:rsid w:val="006D5865"/>
    <w:rsid w:val="006D6049"/>
    <w:rsid w:val="006E1E63"/>
    <w:rsid w:val="006E2979"/>
    <w:rsid w:val="006E297C"/>
    <w:rsid w:val="006E2F26"/>
    <w:rsid w:val="006E3164"/>
    <w:rsid w:val="006E4694"/>
    <w:rsid w:val="006E4A4C"/>
    <w:rsid w:val="006E4B1B"/>
    <w:rsid w:val="006E5445"/>
    <w:rsid w:val="006E7D93"/>
    <w:rsid w:val="006F4DE7"/>
    <w:rsid w:val="006F4FC1"/>
    <w:rsid w:val="006F61E5"/>
    <w:rsid w:val="006F7EFC"/>
    <w:rsid w:val="00700984"/>
    <w:rsid w:val="00700EA8"/>
    <w:rsid w:val="007029A3"/>
    <w:rsid w:val="00702BAE"/>
    <w:rsid w:val="00703718"/>
    <w:rsid w:val="00703EDF"/>
    <w:rsid w:val="00706E4E"/>
    <w:rsid w:val="0070791C"/>
    <w:rsid w:val="00707C73"/>
    <w:rsid w:val="00707E56"/>
    <w:rsid w:val="00707F17"/>
    <w:rsid w:val="007109AC"/>
    <w:rsid w:val="00712881"/>
    <w:rsid w:val="00712A3E"/>
    <w:rsid w:val="00712E24"/>
    <w:rsid w:val="007133D7"/>
    <w:rsid w:val="0071383C"/>
    <w:rsid w:val="007138E2"/>
    <w:rsid w:val="007141A7"/>
    <w:rsid w:val="00714B41"/>
    <w:rsid w:val="00715722"/>
    <w:rsid w:val="00715C42"/>
    <w:rsid w:val="007172F0"/>
    <w:rsid w:val="00717F65"/>
    <w:rsid w:val="00721032"/>
    <w:rsid w:val="00721443"/>
    <w:rsid w:val="00721B55"/>
    <w:rsid w:val="0072398F"/>
    <w:rsid w:val="007248A2"/>
    <w:rsid w:val="00725DB9"/>
    <w:rsid w:val="00726CE4"/>
    <w:rsid w:val="00730597"/>
    <w:rsid w:val="00733276"/>
    <w:rsid w:val="00734074"/>
    <w:rsid w:val="00734143"/>
    <w:rsid w:val="00734458"/>
    <w:rsid w:val="007366F9"/>
    <w:rsid w:val="00737E47"/>
    <w:rsid w:val="00740230"/>
    <w:rsid w:val="007402EE"/>
    <w:rsid w:val="00740EAC"/>
    <w:rsid w:val="00744956"/>
    <w:rsid w:val="00745A5C"/>
    <w:rsid w:val="00745EFE"/>
    <w:rsid w:val="0074605F"/>
    <w:rsid w:val="00746A68"/>
    <w:rsid w:val="00747E94"/>
    <w:rsid w:val="00754C83"/>
    <w:rsid w:val="00754EFF"/>
    <w:rsid w:val="007550AF"/>
    <w:rsid w:val="00755847"/>
    <w:rsid w:val="007560BE"/>
    <w:rsid w:val="0076152E"/>
    <w:rsid w:val="00762DBC"/>
    <w:rsid w:val="00763A6F"/>
    <w:rsid w:val="007657A6"/>
    <w:rsid w:val="00765DF8"/>
    <w:rsid w:val="00766749"/>
    <w:rsid w:val="0076754E"/>
    <w:rsid w:val="00767C1B"/>
    <w:rsid w:val="00767E79"/>
    <w:rsid w:val="007705F6"/>
    <w:rsid w:val="007714A9"/>
    <w:rsid w:val="00771C1C"/>
    <w:rsid w:val="00771E64"/>
    <w:rsid w:val="00772BA3"/>
    <w:rsid w:val="007744A7"/>
    <w:rsid w:val="00774D1A"/>
    <w:rsid w:val="00774F88"/>
    <w:rsid w:val="00774FDB"/>
    <w:rsid w:val="00775CEC"/>
    <w:rsid w:val="00777BA2"/>
    <w:rsid w:val="00781370"/>
    <w:rsid w:val="00781408"/>
    <w:rsid w:val="00781D45"/>
    <w:rsid w:val="007828ED"/>
    <w:rsid w:val="0078300D"/>
    <w:rsid w:val="007835AB"/>
    <w:rsid w:val="007840B5"/>
    <w:rsid w:val="0078424C"/>
    <w:rsid w:val="00784F7F"/>
    <w:rsid w:val="00785E0F"/>
    <w:rsid w:val="007878BD"/>
    <w:rsid w:val="00790EB7"/>
    <w:rsid w:val="007911C5"/>
    <w:rsid w:val="00791D2D"/>
    <w:rsid w:val="00793B0B"/>
    <w:rsid w:val="00796EF4"/>
    <w:rsid w:val="00796F25"/>
    <w:rsid w:val="00797C77"/>
    <w:rsid w:val="007A248B"/>
    <w:rsid w:val="007A2E98"/>
    <w:rsid w:val="007A3BA3"/>
    <w:rsid w:val="007A6CC0"/>
    <w:rsid w:val="007A75A3"/>
    <w:rsid w:val="007A7C1C"/>
    <w:rsid w:val="007A7FEC"/>
    <w:rsid w:val="007B0165"/>
    <w:rsid w:val="007B1499"/>
    <w:rsid w:val="007B1BBF"/>
    <w:rsid w:val="007B2801"/>
    <w:rsid w:val="007B2960"/>
    <w:rsid w:val="007B34F5"/>
    <w:rsid w:val="007B355D"/>
    <w:rsid w:val="007B45D7"/>
    <w:rsid w:val="007B6318"/>
    <w:rsid w:val="007B70E3"/>
    <w:rsid w:val="007B76DD"/>
    <w:rsid w:val="007B7980"/>
    <w:rsid w:val="007C0DEF"/>
    <w:rsid w:val="007C1CA2"/>
    <w:rsid w:val="007C4CB5"/>
    <w:rsid w:val="007C5D5A"/>
    <w:rsid w:val="007C5FF2"/>
    <w:rsid w:val="007C607F"/>
    <w:rsid w:val="007C731E"/>
    <w:rsid w:val="007C79DD"/>
    <w:rsid w:val="007D1458"/>
    <w:rsid w:val="007D18B7"/>
    <w:rsid w:val="007D1A97"/>
    <w:rsid w:val="007D1C54"/>
    <w:rsid w:val="007D2CD6"/>
    <w:rsid w:val="007D3063"/>
    <w:rsid w:val="007D3116"/>
    <w:rsid w:val="007D31B9"/>
    <w:rsid w:val="007D3CEB"/>
    <w:rsid w:val="007D49E6"/>
    <w:rsid w:val="007D5FED"/>
    <w:rsid w:val="007D628A"/>
    <w:rsid w:val="007D6B4C"/>
    <w:rsid w:val="007E1147"/>
    <w:rsid w:val="007E1861"/>
    <w:rsid w:val="007E26E0"/>
    <w:rsid w:val="007E444E"/>
    <w:rsid w:val="007E61F4"/>
    <w:rsid w:val="007E6626"/>
    <w:rsid w:val="007E6D52"/>
    <w:rsid w:val="007E7683"/>
    <w:rsid w:val="007E769E"/>
    <w:rsid w:val="007E7B4B"/>
    <w:rsid w:val="007E7BF7"/>
    <w:rsid w:val="007F05A0"/>
    <w:rsid w:val="007F0BE2"/>
    <w:rsid w:val="007F27BF"/>
    <w:rsid w:val="007F2D52"/>
    <w:rsid w:val="007F49FA"/>
    <w:rsid w:val="007F54C4"/>
    <w:rsid w:val="007F5D8B"/>
    <w:rsid w:val="007F5F75"/>
    <w:rsid w:val="007F63F9"/>
    <w:rsid w:val="007F6565"/>
    <w:rsid w:val="007F68CC"/>
    <w:rsid w:val="007F6E9A"/>
    <w:rsid w:val="007F791A"/>
    <w:rsid w:val="00801854"/>
    <w:rsid w:val="008044D4"/>
    <w:rsid w:val="00804631"/>
    <w:rsid w:val="008048E5"/>
    <w:rsid w:val="0080496C"/>
    <w:rsid w:val="008067B8"/>
    <w:rsid w:val="00810AB4"/>
    <w:rsid w:val="00812F57"/>
    <w:rsid w:val="00814DDE"/>
    <w:rsid w:val="00815F31"/>
    <w:rsid w:val="00817B56"/>
    <w:rsid w:val="00817C09"/>
    <w:rsid w:val="008205F5"/>
    <w:rsid w:val="00820DEB"/>
    <w:rsid w:val="00821831"/>
    <w:rsid w:val="00821A88"/>
    <w:rsid w:val="00822B3D"/>
    <w:rsid w:val="00822EF0"/>
    <w:rsid w:val="00823EB4"/>
    <w:rsid w:val="0082495D"/>
    <w:rsid w:val="00825765"/>
    <w:rsid w:val="008279B9"/>
    <w:rsid w:val="008311C9"/>
    <w:rsid w:val="00831AC3"/>
    <w:rsid w:val="008332F7"/>
    <w:rsid w:val="00834DA6"/>
    <w:rsid w:val="008408FF"/>
    <w:rsid w:val="00841513"/>
    <w:rsid w:val="00842CBD"/>
    <w:rsid w:val="00843613"/>
    <w:rsid w:val="008472B3"/>
    <w:rsid w:val="00847992"/>
    <w:rsid w:val="00847DBC"/>
    <w:rsid w:val="00851B91"/>
    <w:rsid w:val="00851F3F"/>
    <w:rsid w:val="00852597"/>
    <w:rsid w:val="008547C1"/>
    <w:rsid w:val="00856092"/>
    <w:rsid w:val="00856EDC"/>
    <w:rsid w:val="00860532"/>
    <w:rsid w:val="00860F7B"/>
    <w:rsid w:val="008623B5"/>
    <w:rsid w:val="00864A4F"/>
    <w:rsid w:val="008658B4"/>
    <w:rsid w:val="0086747B"/>
    <w:rsid w:val="00867908"/>
    <w:rsid w:val="0087035B"/>
    <w:rsid w:val="00870ABA"/>
    <w:rsid w:val="008710E1"/>
    <w:rsid w:val="008716E5"/>
    <w:rsid w:val="008731EA"/>
    <w:rsid w:val="00873F12"/>
    <w:rsid w:val="0087538F"/>
    <w:rsid w:val="0087573C"/>
    <w:rsid w:val="00877596"/>
    <w:rsid w:val="008777D4"/>
    <w:rsid w:val="00881CA9"/>
    <w:rsid w:val="00883535"/>
    <w:rsid w:val="00883628"/>
    <w:rsid w:val="00883C07"/>
    <w:rsid w:val="0088423B"/>
    <w:rsid w:val="00884719"/>
    <w:rsid w:val="00885544"/>
    <w:rsid w:val="0088634E"/>
    <w:rsid w:val="008869BD"/>
    <w:rsid w:val="008874CE"/>
    <w:rsid w:val="008904DC"/>
    <w:rsid w:val="00890EA7"/>
    <w:rsid w:val="00890F82"/>
    <w:rsid w:val="008932BD"/>
    <w:rsid w:val="00893AB8"/>
    <w:rsid w:val="00893E88"/>
    <w:rsid w:val="00894373"/>
    <w:rsid w:val="00895B8D"/>
    <w:rsid w:val="00897518"/>
    <w:rsid w:val="00897FC4"/>
    <w:rsid w:val="008A034D"/>
    <w:rsid w:val="008A04C8"/>
    <w:rsid w:val="008A1703"/>
    <w:rsid w:val="008A18BE"/>
    <w:rsid w:val="008A5D0F"/>
    <w:rsid w:val="008A6913"/>
    <w:rsid w:val="008A7B37"/>
    <w:rsid w:val="008B0B0B"/>
    <w:rsid w:val="008B2A50"/>
    <w:rsid w:val="008B2C57"/>
    <w:rsid w:val="008B3E3C"/>
    <w:rsid w:val="008B5267"/>
    <w:rsid w:val="008B5B11"/>
    <w:rsid w:val="008B70F3"/>
    <w:rsid w:val="008B71C4"/>
    <w:rsid w:val="008B76DF"/>
    <w:rsid w:val="008B7FDD"/>
    <w:rsid w:val="008C0C6F"/>
    <w:rsid w:val="008C10F4"/>
    <w:rsid w:val="008C2978"/>
    <w:rsid w:val="008C3D36"/>
    <w:rsid w:val="008C543A"/>
    <w:rsid w:val="008C61C2"/>
    <w:rsid w:val="008C65F7"/>
    <w:rsid w:val="008D083A"/>
    <w:rsid w:val="008D1214"/>
    <w:rsid w:val="008D16D3"/>
    <w:rsid w:val="008D179D"/>
    <w:rsid w:val="008D2AA3"/>
    <w:rsid w:val="008D34E7"/>
    <w:rsid w:val="008D3E98"/>
    <w:rsid w:val="008D53C9"/>
    <w:rsid w:val="008D6BD1"/>
    <w:rsid w:val="008D6CE3"/>
    <w:rsid w:val="008E43B9"/>
    <w:rsid w:val="008E4767"/>
    <w:rsid w:val="008E479E"/>
    <w:rsid w:val="008E4C48"/>
    <w:rsid w:val="008E5BB0"/>
    <w:rsid w:val="008E7123"/>
    <w:rsid w:val="008E7172"/>
    <w:rsid w:val="008E7A8C"/>
    <w:rsid w:val="008F1A68"/>
    <w:rsid w:val="008F2825"/>
    <w:rsid w:val="008F2A51"/>
    <w:rsid w:val="008F4940"/>
    <w:rsid w:val="008F6D0B"/>
    <w:rsid w:val="008F7B5B"/>
    <w:rsid w:val="008F7CC2"/>
    <w:rsid w:val="008F7E36"/>
    <w:rsid w:val="009017D5"/>
    <w:rsid w:val="00902113"/>
    <w:rsid w:val="00902F6C"/>
    <w:rsid w:val="00903285"/>
    <w:rsid w:val="00903E9C"/>
    <w:rsid w:val="00904675"/>
    <w:rsid w:val="00905F48"/>
    <w:rsid w:val="009060E4"/>
    <w:rsid w:val="00906F40"/>
    <w:rsid w:val="0090731E"/>
    <w:rsid w:val="009076C8"/>
    <w:rsid w:val="00907D30"/>
    <w:rsid w:val="009111E4"/>
    <w:rsid w:val="009114E1"/>
    <w:rsid w:val="009117C0"/>
    <w:rsid w:val="00914644"/>
    <w:rsid w:val="00915B1C"/>
    <w:rsid w:val="009174F3"/>
    <w:rsid w:val="0091760A"/>
    <w:rsid w:val="0091797D"/>
    <w:rsid w:val="00921606"/>
    <w:rsid w:val="00923CBA"/>
    <w:rsid w:val="00923D7A"/>
    <w:rsid w:val="00926703"/>
    <w:rsid w:val="00927691"/>
    <w:rsid w:val="00927A5F"/>
    <w:rsid w:val="0093042F"/>
    <w:rsid w:val="00931E24"/>
    <w:rsid w:val="00932FD4"/>
    <w:rsid w:val="00935113"/>
    <w:rsid w:val="00935B63"/>
    <w:rsid w:val="009372C5"/>
    <w:rsid w:val="00937581"/>
    <w:rsid w:val="00940613"/>
    <w:rsid w:val="0094078F"/>
    <w:rsid w:val="00940FA3"/>
    <w:rsid w:val="00941FB0"/>
    <w:rsid w:val="009426D4"/>
    <w:rsid w:val="00943CF1"/>
    <w:rsid w:val="0094468A"/>
    <w:rsid w:val="00944E57"/>
    <w:rsid w:val="00947F25"/>
    <w:rsid w:val="00950159"/>
    <w:rsid w:val="00950651"/>
    <w:rsid w:val="00952E76"/>
    <w:rsid w:val="00954080"/>
    <w:rsid w:val="00954227"/>
    <w:rsid w:val="0095490B"/>
    <w:rsid w:val="00954F7C"/>
    <w:rsid w:val="00957A68"/>
    <w:rsid w:val="00957AF4"/>
    <w:rsid w:val="00960534"/>
    <w:rsid w:val="00960A33"/>
    <w:rsid w:val="00961942"/>
    <w:rsid w:val="0096293B"/>
    <w:rsid w:val="00965014"/>
    <w:rsid w:val="00965149"/>
    <w:rsid w:val="00971914"/>
    <w:rsid w:val="0097284F"/>
    <w:rsid w:val="00972A73"/>
    <w:rsid w:val="00973E59"/>
    <w:rsid w:val="00974363"/>
    <w:rsid w:val="00976810"/>
    <w:rsid w:val="00977C8E"/>
    <w:rsid w:val="00980FDD"/>
    <w:rsid w:val="00981898"/>
    <w:rsid w:val="00982243"/>
    <w:rsid w:val="0098339B"/>
    <w:rsid w:val="00983BC4"/>
    <w:rsid w:val="00984997"/>
    <w:rsid w:val="00990149"/>
    <w:rsid w:val="00990604"/>
    <w:rsid w:val="00992EA4"/>
    <w:rsid w:val="009933F1"/>
    <w:rsid w:val="00993989"/>
    <w:rsid w:val="00994635"/>
    <w:rsid w:val="00994D12"/>
    <w:rsid w:val="0099577C"/>
    <w:rsid w:val="00996457"/>
    <w:rsid w:val="009A02CC"/>
    <w:rsid w:val="009A2EDA"/>
    <w:rsid w:val="009A497F"/>
    <w:rsid w:val="009B04B5"/>
    <w:rsid w:val="009B0F3B"/>
    <w:rsid w:val="009B0F6F"/>
    <w:rsid w:val="009B1D9A"/>
    <w:rsid w:val="009B2601"/>
    <w:rsid w:val="009B3C06"/>
    <w:rsid w:val="009B4E9E"/>
    <w:rsid w:val="009B5897"/>
    <w:rsid w:val="009B5F76"/>
    <w:rsid w:val="009C012D"/>
    <w:rsid w:val="009C0FB0"/>
    <w:rsid w:val="009C1690"/>
    <w:rsid w:val="009C1D78"/>
    <w:rsid w:val="009C22D4"/>
    <w:rsid w:val="009C2DFE"/>
    <w:rsid w:val="009C3431"/>
    <w:rsid w:val="009C35AE"/>
    <w:rsid w:val="009C37B3"/>
    <w:rsid w:val="009C41ED"/>
    <w:rsid w:val="009C4FFD"/>
    <w:rsid w:val="009C6881"/>
    <w:rsid w:val="009C6EB5"/>
    <w:rsid w:val="009C7759"/>
    <w:rsid w:val="009D043D"/>
    <w:rsid w:val="009D07C8"/>
    <w:rsid w:val="009D10D5"/>
    <w:rsid w:val="009D1C5E"/>
    <w:rsid w:val="009D69A5"/>
    <w:rsid w:val="009D6C71"/>
    <w:rsid w:val="009D7205"/>
    <w:rsid w:val="009E061C"/>
    <w:rsid w:val="009E0631"/>
    <w:rsid w:val="009E10B6"/>
    <w:rsid w:val="009E16D0"/>
    <w:rsid w:val="009E179D"/>
    <w:rsid w:val="009E298D"/>
    <w:rsid w:val="009E38FD"/>
    <w:rsid w:val="009E63B6"/>
    <w:rsid w:val="009E6ED1"/>
    <w:rsid w:val="009E78D9"/>
    <w:rsid w:val="009F0766"/>
    <w:rsid w:val="009F13D6"/>
    <w:rsid w:val="009F183A"/>
    <w:rsid w:val="009F1D47"/>
    <w:rsid w:val="009F3E56"/>
    <w:rsid w:val="009F4C6B"/>
    <w:rsid w:val="009F56BB"/>
    <w:rsid w:val="009F5B80"/>
    <w:rsid w:val="009F6A9E"/>
    <w:rsid w:val="009F6E44"/>
    <w:rsid w:val="009F78A8"/>
    <w:rsid w:val="009F7DCC"/>
    <w:rsid w:val="00A006D5"/>
    <w:rsid w:val="00A0281E"/>
    <w:rsid w:val="00A02870"/>
    <w:rsid w:val="00A02AD6"/>
    <w:rsid w:val="00A06905"/>
    <w:rsid w:val="00A06DA4"/>
    <w:rsid w:val="00A07096"/>
    <w:rsid w:val="00A07318"/>
    <w:rsid w:val="00A07457"/>
    <w:rsid w:val="00A07825"/>
    <w:rsid w:val="00A1085F"/>
    <w:rsid w:val="00A11370"/>
    <w:rsid w:val="00A122A7"/>
    <w:rsid w:val="00A12B2F"/>
    <w:rsid w:val="00A13EE5"/>
    <w:rsid w:val="00A1481A"/>
    <w:rsid w:val="00A14C48"/>
    <w:rsid w:val="00A15015"/>
    <w:rsid w:val="00A15928"/>
    <w:rsid w:val="00A17DCE"/>
    <w:rsid w:val="00A20578"/>
    <w:rsid w:val="00A21E4D"/>
    <w:rsid w:val="00A220C5"/>
    <w:rsid w:val="00A224CE"/>
    <w:rsid w:val="00A22522"/>
    <w:rsid w:val="00A22B19"/>
    <w:rsid w:val="00A23BDC"/>
    <w:rsid w:val="00A24AFD"/>
    <w:rsid w:val="00A24EC5"/>
    <w:rsid w:val="00A24F32"/>
    <w:rsid w:val="00A24F5C"/>
    <w:rsid w:val="00A26097"/>
    <w:rsid w:val="00A260DC"/>
    <w:rsid w:val="00A27C8F"/>
    <w:rsid w:val="00A316DC"/>
    <w:rsid w:val="00A31D1F"/>
    <w:rsid w:val="00A3257A"/>
    <w:rsid w:val="00A32F96"/>
    <w:rsid w:val="00A337E4"/>
    <w:rsid w:val="00A34E59"/>
    <w:rsid w:val="00A357E3"/>
    <w:rsid w:val="00A361DA"/>
    <w:rsid w:val="00A36DB9"/>
    <w:rsid w:val="00A40061"/>
    <w:rsid w:val="00A40871"/>
    <w:rsid w:val="00A412AB"/>
    <w:rsid w:val="00A4193E"/>
    <w:rsid w:val="00A41A96"/>
    <w:rsid w:val="00A426CA"/>
    <w:rsid w:val="00A433DE"/>
    <w:rsid w:val="00A440E0"/>
    <w:rsid w:val="00A442EF"/>
    <w:rsid w:val="00A44E11"/>
    <w:rsid w:val="00A44EF9"/>
    <w:rsid w:val="00A4667A"/>
    <w:rsid w:val="00A47355"/>
    <w:rsid w:val="00A4757D"/>
    <w:rsid w:val="00A47699"/>
    <w:rsid w:val="00A501EA"/>
    <w:rsid w:val="00A5027B"/>
    <w:rsid w:val="00A50696"/>
    <w:rsid w:val="00A510CC"/>
    <w:rsid w:val="00A51D1A"/>
    <w:rsid w:val="00A53367"/>
    <w:rsid w:val="00A5418D"/>
    <w:rsid w:val="00A5474E"/>
    <w:rsid w:val="00A54941"/>
    <w:rsid w:val="00A55E90"/>
    <w:rsid w:val="00A56928"/>
    <w:rsid w:val="00A57337"/>
    <w:rsid w:val="00A573A6"/>
    <w:rsid w:val="00A579FB"/>
    <w:rsid w:val="00A60384"/>
    <w:rsid w:val="00A61633"/>
    <w:rsid w:val="00A619A9"/>
    <w:rsid w:val="00A61BBC"/>
    <w:rsid w:val="00A629B5"/>
    <w:rsid w:val="00A62F61"/>
    <w:rsid w:val="00A64234"/>
    <w:rsid w:val="00A6551E"/>
    <w:rsid w:val="00A70ADF"/>
    <w:rsid w:val="00A71466"/>
    <w:rsid w:val="00A72A3B"/>
    <w:rsid w:val="00A74B5E"/>
    <w:rsid w:val="00A771E3"/>
    <w:rsid w:val="00A774E7"/>
    <w:rsid w:val="00A77756"/>
    <w:rsid w:val="00A80EDE"/>
    <w:rsid w:val="00A80FE2"/>
    <w:rsid w:val="00A81BED"/>
    <w:rsid w:val="00A81EC4"/>
    <w:rsid w:val="00A81F83"/>
    <w:rsid w:val="00A83143"/>
    <w:rsid w:val="00A83BC8"/>
    <w:rsid w:val="00A85778"/>
    <w:rsid w:val="00A857B7"/>
    <w:rsid w:val="00A85DB2"/>
    <w:rsid w:val="00A94A6D"/>
    <w:rsid w:val="00A94FE3"/>
    <w:rsid w:val="00A9654A"/>
    <w:rsid w:val="00A967FD"/>
    <w:rsid w:val="00AA10F0"/>
    <w:rsid w:val="00AA1DFC"/>
    <w:rsid w:val="00AA2DE5"/>
    <w:rsid w:val="00AA4E52"/>
    <w:rsid w:val="00AA690E"/>
    <w:rsid w:val="00AA742E"/>
    <w:rsid w:val="00AA7DF4"/>
    <w:rsid w:val="00AB000A"/>
    <w:rsid w:val="00AB0C98"/>
    <w:rsid w:val="00AB1504"/>
    <w:rsid w:val="00AB156C"/>
    <w:rsid w:val="00AB3839"/>
    <w:rsid w:val="00AB415A"/>
    <w:rsid w:val="00AB6320"/>
    <w:rsid w:val="00AB6428"/>
    <w:rsid w:val="00AB6814"/>
    <w:rsid w:val="00AB7F8A"/>
    <w:rsid w:val="00AC04BA"/>
    <w:rsid w:val="00AC0E39"/>
    <w:rsid w:val="00AC22CD"/>
    <w:rsid w:val="00AC4CDC"/>
    <w:rsid w:val="00AC6210"/>
    <w:rsid w:val="00AC64C4"/>
    <w:rsid w:val="00AC724C"/>
    <w:rsid w:val="00AC7F25"/>
    <w:rsid w:val="00AD2008"/>
    <w:rsid w:val="00AD3082"/>
    <w:rsid w:val="00AD31E3"/>
    <w:rsid w:val="00AD32B4"/>
    <w:rsid w:val="00AD36F1"/>
    <w:rsid w:val="00AD4AD0"/>
    <w:rsid w:val="00AD5436"/>
    <w:rsid w:val="00AD5443"/>
    <w:rsid w:val="00AD60CD"/>
    <w:rsid w:val="00AD6C8C"/>
    <w:rsid w:val="00AD7690"/>
    <w:rsid w:val="00AE091D"/>
    <w:rsid w:val="00AE371E"/>
    <w:rsid w:val="00AE3B60"/>
    <w:rsid w:val="00AE53A1"/>
    <w:rsid w:val="00AE6846"/>
    <w:rsid w:val="00AE6B79"/>
    <w:rsid w:val="00AE73F5"/>
    <w:rsid w:val="00AE79FA"/>
    <w:rsid w:val="00AF05F2"/>
    <w:rsid w:val="00AF06C8"/>
    <w:rsid w:val="00AF1F93"/>
    <w:rsid w:val="00AF23C4"/>
    <w:rsid w:val="00AF2484"/>
    <w:rsid w:val="00AF2DD0"/>
    <w:rsid w:val="00AF63E7"/>
    <w:rsid w:val="00AF6686"/>
    <w:rsid w:val="00AF6E17"/>
    <w:rsid w:val="00B0165D"/>
    <w:rsid w:val="00B01B60"/>
    <w:rsid w:val="00B01EE2"/>
    <w:rsid w:val="00B028A5"/>
    <w:rsid w:val="00B028B2"/>
    <w:rsid w:val="00B031F3"/>
    <w:rsid w:val="00B03E95"/>
    <w:rsid w:val="00B052A4"/>
    <w:rsid w:val="00B11871"/>
    <w:rsid w:val="00B122DA"/>
    <w:rsid w:val="00B125DE"/>
    <w:rsid w:val="00B12B26"/>
    <w:rsid w:val="00B12B28"/>
    <w:rsid w:val="00B13239"/>
    <w:rsid w:val="00B13FDD"/>
    <w:rsid w:val="00B1655E"/>
    <w:rsid w:val="00B167DD"/>
    <w:rsid w:val="00B17EBF"/>
    <w:rsid w:val="00B17F70"/>
    <w:rsid w:val="00B22EB2"/>
    <w:rsid w:val="00B25CCD"/>
    <w:rsid w:val="00B27442"/>
    <w:rsid w:val="00B31167"/>
    <w:rsid w:val="00B31477"/>
    <w:rsid w:val="00B329D8"/>
    <w:rsid w:val="00B32BB9"/>
    <w:rsid w:val="00B32CB6"/>
    <w:rsid w:val="00B338C1"/>
    <w:rsid w:val="00B33AE1"/>
    <w:rsid w:val="00B33C3A"/>
    <w:rsid w:val="00B3419E"/>
    <w:rsid w:val="00B344C6"/>
    <w:rsid w:val="00B34CBC"/>
    <w:rsid w:val="00B354B4"/>
    <w:rsid w:val="00B37C38"/>
    <w:rsid w:val="00B402A8"/>
    <w:rsid w:val="00B40D8E"/>
    <w:rsid w:val="00B411FC"/>
    <w:rsid w:val="00B4288C"/>
    <w:rsid w:val="00B43262"/>
    <w:rsid w:val="00B44100"/>
    <w:rsid w:val="00B45CB5"/>
    <w:rsid w:val="00B46CBA"/>
    <w:rsid w:val="00B46F74"/>
    <w:rsid w:val="00B46F94"/>
    <w:rsid w:val="00B476B9"/>
    <w:rsid w:val="00B500F5"/>
    <w:rsid w:val="00B507A8"/>
    <w:rsid w:val="00B50C4C"/>
    <w:rsid w:val="00B51609"/>
    <w:rsid w:val="00B53BA5"/>
    <w:rsid w:val="00B56974"/>
    <w:rsid w:val="00B576C6"/>
    <w:rsid w:val="00B6003C"/>
    <w:rsid w:val="00B6156F"/>
    <w:rsid w:val="00B61F03"/>
    <w:rsid w:val="00B626E4"/>
    <w:rsid w:val="00B635AD"/>
    <w:rsid w:val="00B650E8"/>
    <w:rsid w:val="00B66D4E"/>
    <w:rsid w:val="00B6721D"/>
    <w:rsid w:val="00B67697"/>
    <w:rsid w:val="00B709D2"/>
    <w:rsid w:val="00B72B50"/>
    <w:rsid w:val="00B72C17"/>
    <w:rsid w:val="00B72F4A"/>
    <w:rsid w:val="00B74678"/>
    <w:rsid w:val="00B77766"/>
    <w:rsid w:val="00B80EA9"/>
    <w:rsid w:val="00B83468"/>
    <w:rsid w:val="00B83C27"/>
    <w:rsid w:val="00B84BC3"/>
    <w:rsid w:val="00B84BDD"/>
    <w:rsid w:val="00B85B64"/>
    <w:rsid w:val="00B864C6"/>
    <w:rsid w:val="00B873BF"/>
    <w:rsid w:val="00B92812"/>
    <w:rsid w:val="00B92D2B"/>
    <w:rsid w:val="00B95259"/>
    <w:rsid w:val="00B95DA7"/>
    <w:rsid w:val="00BA1505"/>
    <w:rsid w:val="00BA36BF"/>
    <w:rsid w:val="00BA3D9E"/>
    <w:rsid w:val="00BA54E7"/>
    <w:rsid w:val="00BA5A9D"/>
    <w:rsid w:val="00BA6352"/>
    <w:rsid w:val="00BA7EE5"/>
    <w:rsid w:val="00BB2E75"/>
    <w:rsid w:val="00BB2F8F"/>
    <w:rsid w:val="00BB3099"/>
    <w:rsid w:val="00BB385D"/>
    <w:rsid w:val="00BB3AD7"/>
    <w:rsid w:val="00BB3E0A"/>
    <w:rsid w:val="00BB45A1"/>
    <w:rsid w:val="00BB4C63"/>
    <w:rsid w:val="00BB5D43"/>
    <w:rsid w:val="00BB7686"/>
    <w:rsid w:val="00BC13B9"/>
    <w:rsid w:val="00BC1700"/>
    <w:rsid w:val="00BC23F9"/>
    <w:rsid w:val="00BC2625"/>
    <w:rsid w:val="00BC3421"/>
    <w:rsid w:val="00BC3644"/>
    <w:rsid w:val="00BC4522"/>
    <w:rsid w:val="00BC732C"/>
    <w:rsid w:val="00BD0976"/>
    <w:rsid w:val="00BD24C2"/>
    <w:rsid w:val="00BD4B1B"/>
    <w:rsid w:val="00BD6BFC"/>
    <w:rsid w:val="00BD6EAA"/>
    <w:rsid w:val="00BE17C9"/>
    <w:rsid w:val="00BE2580"/>
    <w:rsid w:val="00BE266D"/>
    <w:rsid w:val="00BE3677"/>
    <w:rsid w:val="00BE3938"/>
    <w:rsid w:val="00BE4C10"/>
    <w:rsid w:val="00BE4C11"/>
    <w:rsid w:val="00BE71C0"/>
    <w:rsid w:val="00BF23E0"/>
    <w:rsid w:val="00BF2DBB"/>
    <w:rsid w:val="00BF3A80"/>
    <w:rsid w:val="00BF5275"/>
    <w:rsid w:val="00BF531E"/>
    <w:rsid w:val="00BF545D"/>
    <w:rsid w:val="00BF610C"/>
    <w:rsid w:val="00C0060B"/>
    <w:rsid w:val="00C024C3"/>
    <w:rsid w:val="00C02567"/>
    <w:rsid w:val="00C0277D"/>
    <w:rsid w:val="00C04EB1"/>
    <w:rsid w:val="00C053A1"/>
    <w:rsid w:val="00C05A82"/>
    <w:rsid w:val="00C1148A"/>
    <w:rsid w:val="00C11756"/>
    <w:rsid w:val="00C14CC0"/>
    <w:rsid w:val="00C153F2"/>
    <w:rsid w:val="00C15678"/>
    <w:rsid w:val="00C15B3E"/>
    <w:rsid w:val="00C16198"/>
    <w:rsid w:val="00C177B7"/>
    <w:rsid w:val="00C2083D"/>
    <w:rsid w:val="00C21D96"/>
    <w:rsid w:val="00C24255"/>
    <w:rsid w:val="00C24510"/>
    <w:rsid w:val="00C24A53"/>
    <w:rsid w:val="00C26744"/>
    <w:rsid w:val="00C26F58"/>
    <w:rsid w:val="00C2711B"/>
    <w:rsid w:val="00C27266"/>
    <w:rsid w:val="00C34869"/>
    <w:rsid w:val="00C34A05"/>
    <w:rsid w:val="00C36206"/>
    <w:rsid w:val="00C4032F"/>
    <w:rsid w:val="00C41563"/>
    <w:rsid w:val="00C41F54"/>
    <w:rsid w:val="00C42AC4"/>
    <w:rsid w:val="00C42D62"/>
    <w:rsid w:val="00C433A0"/>
    <w:rsid w:val="00C43F60"/>
    <w:rsid w:val="00C44047"/>
    <w:rsid w:val="00C45155"/>
    <w:rsid w:val="00C46724"/>
    <w:rsid w:val="00C46AA1"/>
    <w:rsid w:val="00C50C5E"/>
    <w:rsid w:val="00C51ABB"/>
    <w:rsid w:val="00C54229"/>
    <w:rsid w:val="00C5498F"/>
    <w:rsid w:val="00C55235"/>
    <w:rsid w:val="00C56288"/>
    <w:rsid w:val="00C604BF"/>
    <w:rsid w:val="00C612BA"/>
    <w:rsid w:val="00C64614"/>
    <w:rsid w:val="00C64CD0"/>
    <w:rsid w:val="00C65510"/>
    <w:rsid w:val="00C6684F"/>
    <w:rsid w:val="00C70C84"/>
    <w:rsid w:val="00C70E70"/>
    <w:rsid w:val="00C722A4"/>
    <w:rsid w:val="00C7250B"/>
    <w:rsid w:val="00C72697"/>
    <w:rsid w:val="00C7473E"/>
    <w:rsid w:val="00C75F8D"/>
    <w:rsid w:val="00C77380"/>
    <w:rsid w:val="00C81CA8"/>
    <w:rsid w:val="00C81F03"/>
    <w:rsid w:val="00C82035"/>
    <w:rsid w:val="00C823BC"/>
    <w:rsid w:val="00C84EA1"/>
    <w:rsid w:val="00C856C3"/>
    <w:rsid w:val="00C85714"/>
    <w:rsid w:val="00C859DF"/>
    <w:rsid w:val="00C85DBC"/>
    <w:rsid w:val="00C87159"/>
    <w:rsid w:val="00C926CF"/>
    <w:rsid w:val="00C95106"/>
    <w:rsid w:val="00C9670E"/>
    <w:rsid w:val="00C96A3D"/>
    <w:rsid w:val="00C97736"/>
    <w:rsid w:val="00CA10B2"/>
    <w:rsid w:val="00CA1CD4"/>
    <w:rsid w:val="00CA258B"/>
    <w:rsid w:val="00CA3346"/>
    <w:rsid w:val="00CA345A"/>
    <w:rsid w:val="00CA4A3F"/>
    <w:rsid w:val="00CA5E32"/>
    <w:rsid w:val="00CA5E9C"/>
    <w:rsid w:val="00CB06EF"/>
    <w:rsid w:val="00CB1E82"/>
    <w:rsid w:val="00CB3B0A"/>
    <w:rsid w:val="00CB42FD"/>
    <w:rsid w:val="00CB4766"/>
    <w:rsid w:val="00CB4BA8"/>
    <w:rsid w:val="00CB52D7"/>
    <w:rsid w:val="00CB6C06"/>
    <w:rsid w:val="00CB79F0"/>
    <w:rsid w:val="00CC05DC"/>
    <w:rsid w:val="00CC1807"/>
    <w:rsid w:val="00CC2736"/>
    <w:rsid w:val="00CC2D77"/>
    <w:rsid w:val="00CC6732"/>
    <w:rsid w:val="00CC76DD"/>
    <w:rsid w:val="00CC7BE8"/>
    <w:rsid w:val="00CD0B45"/>
    <w:rsid w:val="00CD17F3"/>
    <w:rsid w:val="00CD355A"/>
    <w:rsid w:val="00CD4ED6"/>
    <w:rsid w:val="00CD5761"/>
    <w:rsid w:val="00CE12B8"/>
    <w:rsid w:val="00CE14FB"/>
    <w:rsid w:val="00CE2F5E"/>
    <w:rsid w:val="00CE3C96"/>
    <w:rsid w:val="00CE3CD9"/>
    <w:rsid w:val="00CE4CD3"/>
    <w:rsid w:val="00CE513D"/>
    <w:rsid w:val="00CE51A8"/>
    <w:rsid w:val="00CE598A"/>
    <w:rsid w:val="00CE77E3"/>
    <w:rsid w:val="00CE7C77"/>
    <w:rsid w:val="00CF0D65"/>
    <w:rsid w:val="00CF2EC2"/>
    <w:rsid w:val="00CF369B"/>
    <w:rsid w:val="00D00E28"/>
    <w:rsid w:val="00D01CAD"/>
    <w:rsid w:val="00D020E0"/>
    <w:rsid w:val="00D0269E"/>
    <w:rsid w:val="00D031A5"/>
    <w:rsid w:val="00D03F04"/>
    <w:rsid w:val="00D03FCB"/>
    <w:rsid w:val="00D04BAE"/>
    <w:rsid w:val="00D05D6C"/>
    <w:rsid w:val="00D06565"/>
    <w:rsid w:val="00D0795A"/>
    <w:rsid w:val="00D11E45"/>
    <w:rsid w:val="00D13A51"/>
    <w:rsid w:val="00D15810"/>
    <w:rsid w:val="00D15C3A"/>
    <w:rsid w:val="00D16D4E"/>
    <w:rsid w:val="00D16FE3"/>
    <w:rsid w:val="00D2150E"/>
    <w:rsid w:val="00D219B2"/>
    <w:rsid w:val="00D222EC"/>
    <w:rsid w:val="00D224AB"/>
    <w:rsid w:val="00D23020"/>
    <w:rsid w:val="00D25321"/>
    <w:rsid w:val="00D254A6"/>
    <w:rsid w:val="00D25EF7"/>
    <w:rsid w:val="00D27F41"/>
    <w:rsid w:val="00D27F98"/>
    <w:rsid w:val="00D309B5"/>
    <w:rsid w:val="00D31308"/>
    <w:rsid w:val="00D31D89"/>
    <w:rsid w:val="00D337EE"/>
    <w:rsid w:val="00D35433"/>
    <w:rsid w:val="00D3628C"/>
    <w:rsid w:val="00D36441"/>
    <w:rsid w:val="00D40609"/>
    <w:rsid w:val="00D4064E"/>
    <w:rsid w:val="00D43E70"/>
    <w:rsid w:val="00D44680"/>
    <w:rsid w:val="00D44E9B"/>
    <w:rsid w:val="00D45879"/>
    <w:rsid w:val="00D46F7F"/>
    <w:rsid w:val="00D47AEB"/>
    <w:rsid w:val="00D47E86"/>
    <w:rsid w:val="00D47E94"/>
    <w:rsid w:val="00D50669"/>
    <w:rsid w:val="00D50DB9"/>
    <w:rsid w:val="00D51302"/>
    <w:rsid w:val="00D517DF"/>
    <w:rsid w:val="00D5194A"/>
    <w:rsid w:val="00D52C43"/>
    <w:rsid w:val="00D535F0"/>
    <w:rsid w:val="00D559BA"/>
    <w:rsid w:val="00D6173F"/>
    <w:rsid w:val="00D61C25"/>
    <w:rsid w:val="00D61F33"/>
    <w:rsid w:val="00D62118"/>
    <w:rsid w:val="00D6281A"/>
    <w:rsid w:val="00D632EC"/>
    <w:rsid w:val="00D6507F"/>
    <w:rsid w:val="00D6648A"/>
    <w:rsid w:val="00D668CA"/>
    <w:rsid w:val="00D71044"/>
    <w:rsid w:val="00D719F3"/>
    <w:rsid w:val="00D721FA"/>
    <w:rsid w:val="00D730BC"/>
    <w:rsid w:val="00D73260"/>
    <w:rsid w:val="00D73912"/>
    <w:rsid w:val="00D746E7"/>
    <w:rsid w:val="00D76E48"/>
    <w:rsid w:val="00D82DC0"/>
    <w:rsid w:val="00D83221"/>
    <w:rsid w:val="00D84E95"/>
    <w:rsid w:val="00D84ED0"/>
    <w:rsid w:val="00D85226"/>
    <w:rsid w:val="00D85F27"/>
    <w:rsid w:val="00D868FA"/>
    <w:rsid w:val="00D86EB2"/>
    <w:rsid w:val="00D87050"/>
    <w:rsid w:val="00D87B94"/>
    <w:rsid w:val="00D87BF1"/>
    <w:rsid w:val="00D91A90"/>
    <w:rsid w:val="00D91BD6"/>
    <w:rsid w:val="00D92829"/>
    <w:rsid w:val="00D92909"/>
    <w:rsid w:val="00D92D49"/>
    <w:rsid w:val="00D92EC1"/>
    <w:rsid w:val="00D94CAF"/>
    <w:rsid w:val="00D950EA"/>
    <w:rsid w:val="00D96DEA"/>
    <w:rsid w:val="00D97811"/>
    <w:rsid w:val="00DA3989"/>
    <w:rsid w:val="00DA3E07"/>
    <w:rsid w:val="00DA3F3A"/>
    <w:rsid w:val="00DA4E41"/>
    <w:rsid w:val="00DA5B3A"/>
    <w:rsid w:val="00DA7BC1"/>
    <w:rsid w:val="00DB031C"/>
    <w:rsid w:val="00DB048C"/>
    <w:rsid w:val="00DB0517"/>
    <w:rsid w:val="00DB05A3"/>
    <w:rsid w:val="00DB117A"/>
    <w:rsid w:val="00DB5173"/>
    <w:rsid w:val="00DB5504"/>
    <w:rsid w:val="00DB5FC7"/>
    <w:rsid w:val="00DB644F"/>
    <w:rsid w:val="00DB7873"/>
    <w:rsid w:val="00DC1130"/>
    <w:rsid w:val="00DC1561"/>
    <w:rsid w:val="00DC187B"/>
    <w:rsid w:val="00DC29A3"/>
    <w:rsid w:val="00DC3888"/>
    <w:rsid w:val="00DC3ABB"/>
    <w:rsid w:val="00DD06D7"/>
    <w:rsid w:val="00DD113A"/>
    <w:rsid w:val="00DD174E"/>
    <w:rsid w:val="00DD1A43"/>
    <w:rsid w:val="00DD2957"/>
    <w:rsid w:val="00DD5A9F"/>
    <w:rsid w:val="00DD6B3E"/>
    <w:rsid w:val="00DD73C2"/>
    <w:rsid w:val="00DE1FDD"/>
    <w:rsid w:val="00DE26D2"/>
    <w:rsid w:val="00DE319B"/>
    <w:rsid w:val="00DE38A5"/>
    <w:rsid w:val="00DE3F05"/>
    <w:rsid w:val="00DE44BA"/>
    <w:rsid w:val="00DE5F33"/>
    <w:rsid w:val="00DE6871"/>
    <w:rsid w:val="00DF08B6"/>
    <w:rsid w:val="00DF143A"/>
    <w:rsid w:val="00DF1A6D"/>
    <w:rsid w:val="00DF21CB"/>
    <w:rsid w:val="00DF34FE"/>
    <w:rsid w:val="00DF42CC"/>
    <w:rsid w:val="00DF5304"/>
    <w:rsid w:val="00DF56AA"/>
    <w:rsid w:val="00DF56AF"/>
    <w:rsid w:val="00DF65BE"/>
    <w:rsid w:val="00DF6E1E"/>
    <w:rsid w:val="00DF78E7"/>
    <w:rsid w:val="00E015A4"/>
    <w:rsid w:val="00E021B1"/>
    <w:rsid w:val="00E0355B"/>
    <w:rsid w:val="00E03AFD"/>
    <w:rsid w:val="00E04CC9"/>
    <w:rsid w:val="00E05457"/>
    <w:rsid w:val="00E05BB9"/>
    <w:rsid w:val="00E064BD"/>
    <w:rsid w:val="00E07A74"/>
    <w:rsid w:val="00E10D32"/>
    <w:rsid w:val="00E110E0"/>
    <w:rsid w:val="00E11137"/>
    <w:rsid w:val="00E1337B"/>
    <w:rsid w:val="00E13923"/>
    <w:rsid w:val="00E151DE"/>
    <w:rsid w:val="00E15371"/>
    <w:rsid w:val="00E165A4"/>
    <w:rsid w:val="00E16FE7"/>
    <w:rsid w:val="00E17DAB"/>
    <w:rsid w:val="00E20E82"/>
    <w:rsid w:val="00E21061"/>
    <w:rsid w:val="00E2181C"/>
    <w:rsid w:val="00E220E0"/>
    <w:rsid w:val="00E24104"/>
    <w:rsid w:val="00E24A5F"/>
    <w:rsid w:val="00E2537A"/>
    <w:rsid w:val="00E26577"/>
    <w:rsid w:val="00E2792D"/>
    <w:rsid w:val="00E302D0"/>
    <w:rsid w:val="00E3089A"/>
    <w:rsid w:val="00E343D3"/>
    <w:rsid w:val="00E35707"/>
    <w:rsid w:val="00E36AA1"/>
    <w:rsid w:val="00E36E80"/>
    <w:rsid w:val="00E379CE"/>
    <w:rsid w:val="00E41B29"/>
    <w:rsid w:val="00E41ECB"/>
    <w:rsid w:val="00E43A73"/>
    <w:rsid w:val="00E51048"/>
    <w:rsid w:val="00E5210F"/>
    <w:rsid w:val="00E545C3"/>
    <w:rsid w:val="00E54FDB"/>
    <w:rsid w:val="00E55851"/>
    <w:rsid w:val="00E5617D"/>
    <w:rsid w:val="00E563D7"/>
    <w:rsid w:val="00E56B9A"/>
    <w:rsid w:val="00E57041"/>
    <w:rsid w:val="00E57880"/>
    <w:rsid w:val="00E62376"/>
    <w:rsid w:val="00E658C8"/>
    <w:rsid w:val="00E65A2D"/>
    <w:rsid w:val="00E663F4"/>
    <w:rsid w:val="00E66422"/>
    <w:rsid w:val="00E666F2"/>
    <w:rsid w:val="00E66DD4"/>
    <w:rsid w:val="00E706A9"/>
    <w:rsid w:val="00E709B2"/>
    <w:rsid w:val="00E738E0"/>
    <w:rsid w:val="00E748CC"/>
    <w:rsid w:val="00E75415"/>
    <w:rsid w:val="00E772C8"/>
    <w:rsid w:val="00E775B1"/>
    <w:rsid w:val="00E8152A"/>
    <w:rsid w:val="00E821E7"/>
    <w:rsid w:val="00E82365"/>
    <w:rsid w:val="00E856B0"/>
    <w:rsid w:val="00E85D3F"/>
    <w:rsid w:val="00E8746F"/>
    <w:rsid w:val="00E87F66"/>
    <w:rsid w:val="00E900AB"/>
    <w:rsid w:val="00E9035E"/>
    <w:rsid w:val="00E93629"/>
    <w:rsid w:val="00E93B5C"/>
    <w:rsid w:val="00E94CB0"/>
    <w:rsid w:val="00E94CEC"/>
    <w:rsid w:val="00E9652B"/>
    <w:rsid w:val="00E97D0C"/>
    <w:rsid w:val="00EA04EF"/>
    <w:rsid w:val="00EA3935"/>
    <w:rsid w:val="00EA537C"/>
    <w:rsid w:val="00EA6316"/>
    <w:rsid w:val="00EA6F19"/>
    <w:rsid w:val="00EA798F"/>
    <w:rsid w:val="00EB0DEE"/>
    <w:rsid w:val="00EB11C6"/>
    <w:rsid w:val="00EB496D"/>
    <w:rsid w:val="00EB5152"/>
    <w:rsid w:val="00EB7090"/>
    <w:rsid w:val="00EC1149"/>
    <w:rsid w:val="00EC15BE"/>
    <w:rsid w:val="00EC1BBE"/>
    <w:rsid w:val="00EC1D2F"/>
    <w:rsid w:val="00EC32AE"/>
    <w:rsid w:val="00EC3A9D"/>
    <w:rsid w:val="00EC3B3C"/>
    <w:rsid w:val="00EC5CD7"/>
    <w:rsid w:val="00EC7B93"/>
    <w:rsid w:val="00ED17ED"/>
    <w:rsid w:val="00ED4933"/>
    <w:rsid w:val="00ED623A"/>
    <w:rsid w:val="00ED688F"/>
    <w:rsid w:val="00EE0053"/>
    <w:rsid w:val="00EE020B"/>
    <w:rsid w:val="00EE1BB6"/>
    <w:rsid w:val="00EE2311"/>
    <w:rsid w:val="00EE5FB3"/>
    <w:rsid w:val="00EE766D"/>
    <w:rsid w:val="00EE7F79"/>
    <w:rsid w:val="00EF156E"/>
    <w:rsid w:val="00EF2DBB"/>
    <w:rsid w:val="00EF498B"/>
    <w:rsid w:val="00EF715A"/>
    <w:rsid w:val="00EF73FF"/>
    <w:rsid w:val="00F004B7"/>
    <w:rsid w:val="00F012AE"/>
    <w:rsid w:val="00F01336"/>
    <w:rsid w:val="00F01345"/>
    <w:rsid w:val="00F019E7"/>
    <w:rsid w:val="00F01A16"/>
    <w:rsid w:val="00F031E8"/>
    <w:rsid w:val="00F04777"/>
    <w:rsid w:val="00F04B19"/>
    <w:rsid w:val="00F057E3"/>
    <w:rsid w:val="00F064B2"/>
    <w:rsid w:val="00F06E14"/>
    <w:rsid w:val="00F07AE7"/>
    <w:rsid w:val="00F07D2B"/>
    <w:rsid w:val="00F1517E"/>
    <w:rsid w:val="00F15E0A"/>
    <w:rsid w:val="00F17138"/>
    <w:rsid w:val="00F179D4"/>
    <w:rsid w:val="00F21718"/>
    <w:rsid w:val="00F21B88"/>
    <w:rsid w:val="00F2412E"/>
    <w:rsid w:val="00F24DC1"/>
    <w:rsid w:val="00F25D61"/>
    <w:rsid w:val="00F2628D"/>
    <w:rsid w:val="00F27D55"/>
    <w:rsid w:val="00F3156E"/>
    <w:rsid w:val="00F3340F"/>
    <w:rsid w:val="00F337F8"/>
    <w:rsid w:val="00F33C56"/>
    <w:rsid w:val="00F347C7"/>
    <w:rsid w:val="00F34848"/>
    <w:rsid w:val="00F3495C"/>
    <w:rsid w:val="00F37A5D"/>
    <w:rsid w:val="00F41B19"/>
    <w:rsid w:val="00F41D08"/>
    <w:rsid w:val="00F42D46"/>
    <w:rsid w:val="00F43FEC"/>
    <w:rsid w:val="00F4496C"/>
    <w:rsid w:val="00F44F3A"/>
    <w:rsid w:val="00F45AB5"/>
    <w:rsid w:val="00F46F02"/>
    <w:rsid w:val="00F478C9"/>
    <w:rsid w:val="00F479AC"/>
    <w:rsid w:val="00F50BD0"/>
    <w:rsid w:val="00F51F10"/>
    <w:rsid w:val="00F529A5"/>
    <w:rsid w:val="00F52D7E"/>
    <w:rsid w:val="00F55CA7"/>
    <w:rsid w:val="00F55FE3"/>
    <w:rsid w:val="00F56B69"/>
    <w:rsid w:val="00F57373"/>
    <w:rsid w:val="00F57A94"/>
    <w:rsid w:val="00F60F00"/>
    <w:rsid w:val="00F60F6B"/>
    <w:rsid w:val="00F614C0"/>
    <w:rsid w:val="00F61CE5"/>
    <w:rsid w:val="00F63978"/>
    <w:rsid w:val="00F63B96"/>
    <w:rsid w:val="00F64790"/>
    <w:rsid w:val="00F67B71"/>
    <w:rsid w:val="00F73595"/>
    <w:rsid w:val="00F757EA"/>
    <w:rsid w:val="00F75C6F"/>
    <w:rsid w:val="00F8025F"/>
    <w:rsid w:val="00F83848"/>
    <w:rsid w:val="00F83F59"/>
    <w:rsid w:val="00F855C4"/>
    <w:rsid w:val="00F857C7"/>
    <w:rsid w:val="00F859BC"/>
    <w:rsid w:val="00F85C88"/>
    <w:rsid w:val="00F86AC8"/>
    <w:rsid w:val="00F876B0"/>
    <w:rsid w:val="00F901A9"/>
    <w:rsid w:val="00F92120"/>
    <w:rsid w:val="00F975E9"/>
    <w:rsid w:val="00FA19ED"/>
    <w:rsid w:val="00FA1B7D"/>
    <w:rsid w:val="00FA297B"/>
    <w:rsid w:val="00FA2DA5"/>
    <w:rsid w:val="00FA4014"/>
    <w:rsid w:val="00FA43C5"/>
    <w:rsid w:val="00FA79A9"/>
    <w:rsid w:val="00FB042C"/>
    <w:rsid w:val="00FB14D8"/>
    <w:rsid w:val="00FB330A"/>
    <w:rsid w:val="00FB35B8"/>
    <w:rsid w:val="00FB3CD9"/>
    <w:rsid w:val="00FC07B9"/>
    <w:rsid w:val="00FC4E21"/>
    <w:rsid w:val="00FC4EF2"/>
    <w:rsid w:val="00FC5F6D"/>
    <w:rsid w:val="00FD0107"/>
    <w:rsid w:val="00FD08BB"/>
    <w:rsid w:val="00FD1033"/>
    <w:rsid w:val="00FD1059"/>
    <w:rsid w:val="00FD2C2F"/>
    <w:rsid w:val="00FD35F4"/>
    <w:rsid w:val="00FD3B31"/>
    <w:rsid w:val="00FD7246"/>
    <w:rsid w:val="00FE1823"/>
    <w:rsid w:val="00FE2208"/>
    <w:rsid w:val="00FE2393"/>
    <w:rsid w:val="00FE3B39"/>
    <w:rsid w:val="00FE3C3A"/>
    <w:rsid w:val="00FE42C6"/>
    <w:rsid w:val="00FE487A"/>
    <w:rsid w:val="00FF007D"/>
    <w:rsid w:val="00FF0569"/>
    <w:rsid w:val="00FF206E"/>
    <w:rsid w:val="00FF22A6"/>
    <w:rsid w:val="00FF30D8"/>
    <w:rsid w:val="00FF3C69"/>
    <w:rsid w:val="00FF6C50"/>
    <w:rsid w:val="00FF6E0A"/>
    <w:rsid w:val="00FF6EC9"/>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4929">
      <o:colormru v:ext="edit" colors="red,#4d4d4f"/>
    </o:shapedefaults>
    <o:shapelayout v:ext="edit">
      <o:idmap v:ext="edit" data="1"/>
    </o:shapelayout>
  </w:shapeDefaults>
  <w:decimalSymbol w:val="."/>
  <w:listSeparator w:val=","/>
  <w14:docId w14:val="79AAF902"/>
  <w15:docId w15:val="{80634562-F35C-4E84-A7D1-15EF69CDB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heading 1" w:qFormat="1"/>
    <w:lsdException w:name="heading 2" w:uiPriority="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2118"/>
    <w:pPr>
      <w:spacing w:after="240" w:line="240" w:lineRule="atLeast"/>
    </w:pPr>
    <w:rPr>
      <w:rFonts w:ascii="Arial" w:hAnsi="Arial"/>
      <w:sz w:val="22"/>
    </w:rPr>
  </w:style>
  <w:style w:type="paragraph" w:styleId="Heading1">
    <w:name w:val="heading 1"/>
    <w:basedOn w:val="Normal"/>
    <w:next w:val="Normal"/>
    <w:link w:val="Heading1Char"/>
    <w:qFormat/>
    <w:rsid w:val="00923D7A"/>
    <w:pPr>
      <w:keepNext/>
      <w:pageBreakBefore/>
      <w:widowControl w:val="0"/>
      <w:numPr>
        <w:numId w:val="8"/>
      </w:numPr>
      <w:spacing w:after="360" w:line="550" w:lineRule="exact"/>
      <w:outlineLvl w:val="0"/>
    </w:pPr>
    <w:rPr>
      <w:rFonts w:cs="Arial"/>
      <w:bCs/>
      <w:color w:val="323232"/>
      <w:kern w:val="32"/>
      <w:sz w:val="44"/>
      <w:szCs w:val="32"/>
    </w:rPr>
  </w:style>
  <w:style w:type="paragraph" w:styleId="Heading2">
    <w:name w:val="heading 2"/>
    <w:basedOn w:val="Normal"/>
    <w:next w:val="Normal"/>
    <w:link w:val="Heading2Char"/>
    <w:uiPriority w:val="9"/>
    <w:qFormat/>
    <w:rsid w:val="00254146"/>
    <w:pPr>
      <w:keepNext/>
      <w:numPr>
        <w:ilvl w:val="1"/>
        <w:numId w:val="8"/>
      </w:numPr>
      <w:spacing w:before="320" w:after="60"/>
      <w:outlineLvl w:val="1"/>
    </w:pPr>
    <w:rPr>
      <w:rFonts w:cs="Arial"/>
      <w:b/>
      <w:bCs/>
      <w:iCs/>
      <w:sz w:val="28"/>
      <w:szCs w:val="28"/>
    </w:rPr>
  </w:style>
  <w:style w:type="paragraph" w:styleId="Heading3">
    <w:name w:val="heading 3"/>
    <w:basedOn w:val="Normal"/>
    <w:next w:val="Normal"/>
    <w:qFormat/>
    <w:rsid w:val="00254146"/>
    <w:pPr>
      <w:keepNext/>
      <w:numPr>
        <w:ilvl w:val="2"/>
        <w:numId w:val="8"/>
      </w:numPr>
      <w:spacing w:before="60" w:after="60"/>
      <w:outlineLvl w:val="2"/>
    </w:pPr>
    <w:rPr>
      <w:rFonts w:cs="Arial"/>
      <w:b/>
      <w:bCs/>
      <w:szCs w:val="26"/>
    </w:rPr>
  </w:style>
  <w:style w:type="paragraph" w:styleId="Heading4">
    <w:name w:val="heading 4"/>
    <w:basedOn w:val="Normal"/>
    <w:next w:val="Normal"/>
    <w:link w:val="Heading4Char"/>
    <w:qFormat/>
    <w:rsid w:val="00847DBC"/>
    <w:pPr>
      <w:keepNext/>
      <w:spacing w:before="60" w:after="60"/>
      <w:outlineLvl w:val="3"/>
    </w:pPr>
    <w:rPr>
      <w:bCs/>
      <w:szCs w:val="28"/>
      <w:u w:val="single"/>
    </w:rPr>
  </w:style>
  <w:style w:type="paragraph" w:styleId="Heading5">
    <w:name w:val="heading 5"/>
    <w:basedOn w:val="Normal"/>
    <w:next w:val="Normal"/>
    <w:semiHidden/>
    <w:qFormat/>
    <w:rsid w:val="00AD5436"/>
    <w:pPr>
      <w:numPr>
        <w:ilvl w:val="4"/>
        <w:numId w:val="8"/>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8"/>
      </w:numPr>
      <w:spacing w:before="240" w:after="60"/>
      <w:outlineLvl w:val="5"/>
    </w:pPr>
    <w:rPr>
      <w:rFonts w:ascii="Times New Roman" w:hAnsi="Times New Roman"/>
      <w:b/>
      <w:bCs/>
      <w:szCs w:val="22"/>
    </w:rPr>
  </w:style>
  <w:style w:type="paragraph" w:styleId="Heading7">
    <w:name w:val="heading 7"/>
    <w:basedOn w:val="Normal"/>
    <w:next w:val="Normal"/>
    <w:semiHidden/>
    <w:qFormat/>
    <w:rsid w:val="00AD5436"/>
    <w:pPr>
      <w:numPr>
        <w:ilvl w:val="6"/>
        <w:numId w:val="8"/>
      </w:numPr>
      <w:spacing w:before="240" w:after="60"/>
      <w:outlineLvl w:val="6"/>
    </w:pPr>
    <w:rPr>
      <w:rFonts w:ascii="Times New Roman" w:hAnsi="Times New Roman"/>
    </w:rPr>
  </w:style>
  <w:style w:type="paragraph" w:styleId="Heading8">
    <w:name w:val="heading 8"/>
    <w:basedOn w:val="Normal"/>
    <w:next w:val="Normal"/>
    <w:semiHidden/>
    <w:qFormat/>
    <w:rsid w:val="00AD5436"/>
    <w:pPr>
      <w:numPr>
        <w:ilvl w:val="7"/>
        <w:numId w:val="8"/>
      </w:numPr>
      <w:spacing w:before="240" w:after="60"/>
      <w:outlineLvl w:val="7"/>
    </w:pPr>
    <w:rPr>
      <w:rFonts w:ascii="Times New Roman" w:hAnsi="Times New Roman"/>
      <w:i/>
      <w:iCs/>
    </w:rPr>
  </w:style>
  <w:style w:type="paragraph" w:styleId="Heading9">
    <w:name w:val="heading 9"/>
    <w:basedOn w:val="Normal"/>
    <w:next w:val="Normal"/>
    <w:semiHidden/>
    <w:qFormat/>
    <w:rsid w:val="00AD5436"/>
    <w:pPr>
      <w:numPr>
        <w:ilvl w:val="8"/>
        <w:numId w:val="8"/>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0791C"/>
    <w:pPr>
      <w:tabs>
        <w:tab w:val="center" w:pos="4153"/>
        <w:tab w:val="right" w:pos="8306"/>
      </w:tabs>
      <w:spacing w:line="240" w:lineRule="auto"/>
    </w:pPr>
    <w:rPr>
      <w:sz w:val="16"/>
    </w:rPr>
  </w:style>
  <w:style w:type="paragraph" w:styleId="Footer">
    <w:name w:val="footer"/>
    <w:basedOn w:val="Normal"/>
    <w:link w:val="FooterChar"/>
    <w:uiPriority w:val="99"/>
    <w:qFormat/>
    <w:rsid w:val="002D3BA3"/>
    <w:pPr>
      <w:tabs>
        <w:tab w:val="right" w:pos="113"/>
        <w:tab w:val="right" w:pos="9356"/>
      </w:tabs>
      <w:spacing w:line="240" w:lineRule="auto"/>
    </w:pPr>
    <w:rPr>
      <w:color w:val="323232"/>
      <w:sz w:val="16"/>
    </w:rPr>
  </w:style>
  <w:style w:type="character" w:customStyle="1" w:styleId="FooterChar">
    <w:name w:val="Footer Char"/>
    <w:basedOn w:val="DefaultParagraphFont"/>
    <w:link w:val="Footer"/>
    <w:uiPriority w:val="99"/>
    <w:rsid w:val="002D3BA3"/>
    <w:rPr>
      <w:rFonts w:ascii="Arial" w:hAnsi="Arial"/>
      <w:color w:val="323232"/>
      <w:sz w:val="16"/>
    </w:rPr>
  </w:style>
  <w:style w:type="paragraph" w:customStyle="1" w:styleId="ACMAReportTitle">
    <w:name w:val="ACMA_ReportTitle"/>
    <w:basedOn w:val="Normal"/>
    <w:qFormat/>
    <w:rsid w:val="00A51D1A"/>
    <w:pPr>
      <w:spacing w:after="0" w:line="560" w:lineRule="exact"/>
    </w:pPr>
    <w:rPr>
      <w:b/>
      <w:spacing w:val="-28"/>
      <w:sz w:val="53"/>
    </w:rPr>
  </w:style>
  <w:style w:type="paragraph" w:customStyle="1" w:styleId="ACMAReportSubTitle">
    <w:name w:val="ACMA_ReportSubTitle"/>
    <w:basedOn w:val="Normal"/>
    <w:qFormat/>
    <w:rsid w:val="00950159"/>
    <w:pPr>
      <w:spacing w:after="200" w:line="560" w:lineRule="exact"/>
    </w:pPr>
    <w:rPr>
      <w:color w:val="323232"/>
      <w:spacing w:val="-28"/>
      <w:sz w:val="53"/>
    </w:rPr>
  </w:style>
  <w:style w:type="table" w:styleId="TableGrid">
    <w:name w:val="Table Grid"/>
    <w:basedOn w:val="TableNormal"/>
    <w:uiPriority w:val="5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MAReportDate">
    <w:name w:val="ACMA_ReportDate"/>
    <w:basedOn w:val="ACMAReportSubTitle"/>
    <w:qFormat/>
    <w:rsid w:val="00063A18"/>
    <w:pPr>
      <w:spacing w:after="120" w:line="240" w:lineRule="auto"/>
    </w:pPr>
    <w:rPr>
      <w:caps/>
      <w:spacing w:val="-10"/>
      <w:sz w:val="20"/>
    </w:rPr>
  </w:style>
  <w:style w:type="paragraph" w:customStyle="1" w:styleId="TableHeading">
    <w:name w:val="Table Heading"/>
    <w:basedOn w:val="Normal"/>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uiPriority w:val="39"/>
    <w:qFormat/>
    <w:rsid w:val="00950159"/>
    <w:pPr>
      <w:spacing w:before="1200" w:line="240" w:lineRule="auto"/>
    </w:pPr>
    <w:rPr>
      <w:b/>
      <w:color w:val="323232"/>
      <w:spacing w:val="-28"/>
      <w:sz w:val="53"/>
    </w:rPr>
  </w:style>
  <w:style w:type="paragraph" w:styleId="Caption">
    <w:name w:val="caption"/>
    <w:aliases w:val="Caption table"/>
    <w:basedOn w:val="Normal"/>
    <w:next w:val="Normal"/>
    <w:link w:val="CaptionChar"/>
    <w:uiPriority w:val="35"/>
    <w:unhideWhenUsed/>
    <w:qFormat/>
    <w:rsid w:val="00E43A73"/>
    <w:rPr>
      <w:b/>
      <w:iCs/>
      <w:sz w:val="20"/>
      <w:szCs w:val="18"/>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aliases w:val="List Bullet 1"/>
    <w:basedOn w:val="Normal"/>
    <w:qFormat/>
    <w:rsid w:val="001C6AEE"/>
    <w:pPr>
      <w:numPr>
        <w:numId w:val="1"/>
      </w:numPr>
      <w:spacing w:after="80"/>
    </w:pPr>
  </w:style>
  <w:style w:type="paragraph" w:styleId="ListBullet2">
    <w:name w:val="List Bullet 2"/>
    <w:basedOn w:val="Normal"/>
    <w:qFormat/>
    <w:rsid w:val="001C6AEE"/>
    <w:pPr>
      <w:numPr>
        <w:numId w:val="2"/>
      </w:numPr>
      <w:spacing w:after="80"/>
    </w:pPr>
  </w:style>
  <w:style w:type="paragraph" w:styleId="ListNumber">
    <w:name w:val="List Number"/>
    <w:basedOn w:val="Normal"/>
    <w:qFormat/>
    <w:rsid w:val="00C24A53"/>
    <w:pPr>
      <w:numPr>
        <w:numId w:val="3"/>
      </w:numPr>
      <w:spacing w:after="80"/>
    </w:pPr>
  </w:style>
  <w:style w:type="paragraph" w:styleId="ListNumber2">
    <w:name w:val="List Number 2"/>
    <w:basedOn w:val="Normal"/>
    <w:qFormat/>
    <w:rsid w:val="00247C59"/>
    <w:pPr>
      <w:numPr>
        <w:numId w:val="4"/>
      </w:numPr>
      <w:spacing w:after="80"/>
      <w:ind w:left="845" w:hanging="544"/>
    </w:pPr>
  </w:style>
  <w:style w:type="paragraph" w:customStyle="1" w:styleId="URLEmail">
    <w:name w:val="URL/Email"/>
    <w:basedOn w:val="Normal"/>
    <w:semiHidden/>
    <w:rsid w:val="00302480"/>
    <w:rPr>
      <w:color w:val="4D4D4F"/>
      <w:spacing w:val="4"/>
    </w:rPr>
  </w:style>
  <w:style w:type="paragraph" w:customStyle="1" w:styleId="ACMAExecSummaryHeading">
    <w:name w:val="ACMA_ExecSummaryHeading"/>
    <w:basedOn w:val="Normal"/>
    <w:qFormat/>
    <w:rsid w:val="00950159"/>
    <w:pPr>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styleId="TOC1">
    <w:name w:val="toc 1"/>
    <w:basedOn w:val="Normal"/>
    <w:next w:val="Normal"/>
    <w:uiPriority w:val="39"/>
    <w:qFormat/>
    <w:rsid w:val="00A629B5"/>
    <w:pPr>
      <w:tabs>
        <w:tab w:val="right" w:leader="dot" w:pos="8789"/>
      </w:tabs>
      <w:spacing w:before="280" w:after="80" w:line="320" w:lineRule="exact"/>
      <w:ind w:right="851"/>
    </w:pPr>
    <w:rPr>
      <w:b/>
      <w:noProof/>
      <w:spacing w:val="-14"/>
      <w:sz w:val="28"/>
    </w:rPr>
  </w:style>
  <w:style w:type="paragraph" w:styleId="TOC2">
    <w:name w:val="toc 2"/>
    <w:basedOn w:val="Normal"/>
    <w:next w:val="Normal"/>
    <w:uiPriority w:val="39"/>
    <w:qFormat/>
    <w:rsid w:val="0008711C"/>
    <w:pPr>
      <w:tabs>
        <w:tab w:val="right" w:pos="8789"/>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08711C"/>
    <w:pPr>
      <w:tabs>
        <w:tab w:val="right" w:pos="8789"/>
      </w:tabs>
      <w:spacing w:after="80" w:line="240" w:lineRule="auto"/>
    </w:pPr>
    <w:rPr>
      <w:noProof/>
      <w:szCs w:val="22"/>
    </w:rPr>
  </w:style>
  <w:style w:type="character" w:styleId="Hyperlink">
    <w:name w:val="Hyperlink"/>
    <w:aliases w:val="CEO_Hyperlink"/>
    <w:basedOn w:val="DefaultParagraphFont"/>
    <w:uiPriority w:val="99"/>
    <w:qFormat/>
    <w:rsid w:val="003A5F5B"/>
    <w:rPr>
      <w:color w:val="0000FF"/>
      <w:u w:val="single"/>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uiPriority w:val="99"/>
    <w:rsid w:val="00566AB4"/>
    <w:rPr>
      <w:rFonts w:ascii="Arial" w:hAnsi="Arial"/>
      <w:vertAlign w:val="superscript"/>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fn"/>
    <w:basedOn w:val="Normal"/>
    <w:link w:val="FootnoteTextChar"/>
    <w:uiPriority w:val="99"/>
    <w:rsid w:val="00B17EBF"/>
    <w:pPr>
      <w:spacing w:after="60"/>
    </w:pPr>
    <w:rPr>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rsid w:val="00EE7F79"/>
    <w:rPr>
      <w:sz w:val="16"/>
      <w:szCs w:val="16"/>
    </w:rPr>
  </w:style>
  <w:style w:type="paragraph" w:styleId="CommentText">
    <w:name w:val="annotation text"/>
    <w:basedOn w:val="Normal"/>
    <w:link w:val="CommentTextChar"/>
    <w:rsid w:val="00EE7F79"/>
    <w:pPr>
      <w:spacing w:line="240" w:lineRule="auto"/>
    </w:pPr>
    <w:rPr>
      <w:szCs w:val="20"/>
    </w:rPr>
  </w:style>
  <w:style w:type="character" w:customStyle="1" w:styleId="CommentTextChar">
    <w:name w:val="Comment Text Char"/>
    <w:basedOn w:val="DefaultParagraphFont"/>
    <w:link w:val="CommentText"/>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qFormat/>
    <w:rsid w:val="00BF610C"/>
    <w:pPr>
      <w:spacing w:after="200"/>
    </w:pPr>
    <w:rPr>
      <w:rFonts w:cs="Arial"/>
      <w:b/>
      <w:vanish/>
    </w:rPr>
  </w:style>
  <w:style w:type="paragraph" w:customStyle="1" w:styleId="CorporateAddresses">
    <w:name w:val="Corporate Addresses"/>
    <w:basedOn w:val="Normal"/>
    <w:semiHidden/>
    <w:rsid w:val="0005011A"/>
    <w:pPr>
      <w:spacing w:line="140" w:lineRule="exact"/>
    </w:pPr>
    <w:rPr>
      <w:color w:val="4D4D4F"/>
      <w:sz w:val="13"/>
    </w:rPr>
  </w:style>
  <w:style w:type="character" w:styleId="Strong">
    <w:name w:val="Strong"/>
    <w:basedOn w:val="DefaultParagraphFont"/>
    <w:semiHidden/>
    <w:qFormat/>
    <w:rsid w:val="0005011A"/>
    <w:rPr>
      <w:b/>
      <w:bCs/>
    </w:rPr>
  </w:style>
  <w:style w:type="paragraph" w:customStyle="1" w:styleId="ACMACorporateAddressHeader">
    <w:name w:val="ACMA_CorporateAddressHeader"/>
    <w:basedOn w:val="Normal"/>
    <w:next w:val="ACMACorporateAddresses"/>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qFormat/>
    <w:rsid w:val="00FC07B9"/>
    <w:pPr>
      <w:spacing w:before="0" w:after="120"/>
    </w:pPr>
    <w:rPr>
      <w:b w:val="0"/>
    </w:rPr>
  </w:style>
  <w:style w:type="paragraph" w:customStyle="1" w:styleId="ACMACopyrightHeader">
    <w:name w:val="ACMA_CopyrightHeader"/>
    <w:basedOn w:val="ACMACorporateAddressHeader"/>
    <w:qFormat/>
    <w:rsid w:val="00950159"/>
    <w:pPr>
      <w:spacing w:before="3000"/>
    </w:pPr>
  </w:style>
  <w:style w:type="paragraph" w:customStyle="1" w:styleId="ACMACClogo">
    <w:name w:val="ACMA_CClogo"/>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rPr>
      <w:rFonts w:cs="Arial"/>
    </w:rPr>
  </w:style>
  <w:style w:type="paragraph" w:customStyle="1" w:styleId="ListNumberLast">
    <w:name w:val="List Number Last"/>
    <w:basedOn w:val="ListNumber"/>
    <w:qFormat/>
    <w:rsid w:val="00C16198"/>
    <w:pPr>
      <w:spacing w:after="240"/>
      <w:ind w:left="357" w:hanging="357"/>
    </w:pPr>
    <w:rPr>
      <w:rFonts w:cs="Arial"/>
    </w:rPr>
  </w:style>
  <w:style w:type="paragraph" w:customStyle="1" w:styleId="ACMATableHeader">
    <w:name w:val="ACMA_TableHeader"/>
    <w:qFormat/>
    <w:rsid w:val="000B27C0"/>
    <w:pPr>
      <w:numPr>
        <w:numId w:val="6"/>
      </w:numPr>
      <w:spacing w:after="160"/>
    </w:pPr>
    <w:rPr>
      <w:rFonts w:ascii="Arial" w:hAnsi="Arial"/>
      <w:b/>
      <w:bCs/>
      <w:color w:val="323232"/>
      <w:sz w:val="22"/>
      <w:szCs w:val="20"/>
    </w:rPr>
  </w:style>
  <w:style w:type="paragraph" w:customStyle="1" w:styleId="ACMANotes">
    <w:name w:val="ACMA_Notes"/>
    <w:qFormat/>
    <w:rsid w:val="00FF206E"/>
    <w:pPr>
      <w:spacing w:before="80"/>
    </w:pPr>
    <w:rPr>
      <w:rFonts w:ascii="Arial" w:hAnsi="Arial" w:cs="Arial"/>
      <w:i/>
      <w:sz w:val="16"/>
    </w:rPr>
  </w:style>
  <w:style w:type="paragraph" w:customStyle="1" w:styleId="ACMANormalTabbed">
    <w:name w:val="ACMA_NormalTabbed"/>
    <w:basedOn w:val="Normal"/>
    <w:qFormat/>
    <w:rsid w:val="005E7226"/>
    <w:pPr>
      <w:tabs>
        <w:tab w:val="left" w:pos="1134"/>
      </w:tabs>
    </w:pPr>
  </w:style>
  <w:style w:type="character" w:styleId="Emphasis">
    <w:name w:val="Emphasis"/>
    <w:basedOn w:val="DefaultParagraphFont"/>
    <w:qFormat/>
    <w:rsid w:val="006D576C"/>
    <w:rPr>
      <w:i/>
      <w:iCs/>
    </w:rPr>
  </w:style>
  <w:style w:type="paragraph" w:customStyle="1" w:styleId="ListNumber2Last">
    <w:name w:val="List Number 2 Last"/>
    <w:basedOn w:val="ListNumber2"/>
    <w:qFormat/>
    <w:rsid w:val="00E35707"/>
    <w:pPr>
      <w:spacing w:after="240"/>
      <w:ind w:left="907"/>
    </w:pPr>
    <w:rPr>
      <w:rFonts w:cs="Arial"/>
    </w:rPr>
  </w:style>
  <w:style w:type="paragraph" w:customStyle="1" w:styleId="ACMASpaceaftertable">
    <w:name w:val="ACMA_Space after table"/>
    <w:basedOn w:val="Normal"/>
    <w:qFormat/>
    <w:rsid w:val="00C2083D"/>
    <w:rPr>
      <w:rFonts w:cs="Arial"/>
    </w:rPr>
  </w:style>
  <w:style w:type="paragraph" w:customStyle="1" w:styleId="FooterLeft">
    <w:name w:val="Footer Left"/>
    <w:basedOn w:val="Footer"/>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0B27C0"/>
    <w:pPr>
      <w:numPr>
        <w:numId w:val="5"/>
      </w:numPr>
      <w:spacing w:after="160"/>
    </w:pPr>
    <w:rPr>
      <w:rFonts w:ascii="Arial" w:hAnsi="Arial"/>
      <w:b/>
      <w:bCs/>
      <w:color w:val="323232"/>
      <w:sz w:val="22"/>
      <w:szCs w:val="20"/>
    </w:rPr>
  </w:style>
  <w:style w:type="character" w:customStyle="1" w:styleId="CaptionChar">
    <w:name w:val="Caption Char"/>
    <w:aliases w:val="Caption table Char"/>
    <w:basedOn w:val="DefaultParagraphFont"/>
    <w:link w:val="Caption"/>
    <w:rsid w:val="00E43A73"/>
    <w:rPr>
      <w:rFonts w:ascii="Arial" w:hAnsi="Arial"/>
      <w:b/>
      <w:iCs/>
      <w:sz w:val="20"/>
      <w:szCs w:val="18"/>
    </w:rPr>
  </w:style>
  <w:style w:type="paragraph" w:customStyle="1" w:styleId="GridTable31">
    <w:name w:val="Grid Table 31"/>
    <w:basedOn w:val="Normal"/>
    <w:qFormat/>
    <w:rsid w:val="00971914"/>
    <w:pPr>
      <w:spacing w:after="0" w:line="240" w:lineRule="auto"/>
    </w:pPr>
    <w:rPr>
      <w:b/>
      <w:color w:val="4D4D4F"/>
      <w:spacing w:val="-28"/>
      <w:sz w:val="53"/>
    </w:rPr>
  </w:style>
  <w:style w:type="character" w:customStyle="1" w:styleId="HeaderChar">
    <w:name w:val="Header Char"/>
    <w:link w:val="Header"/>
    <w:rsid w:val="00971914"/>
    <w:rPr>
      <w:rFonts w:ascii="Arial" w:hAnsi="Arial"/>
      <w:sz w:val="16"/>
    </w:rPr>
  </w:style>
  <w:style w:type="paragraph" w:customStyle="1" w:styleId="Partheading">
    <w:name w:val="Part heading"/>
    <w:basedOn w:val="Heading1"/>
    <w:qFormat/>
    <w:rsid w:val="00FD1033"/>
    <w:pPr>
      <w:numPr>
        <w:numId w:val="7"/>
      </w:numPr>
    </w:pPr>
  </w:style>
  <w:style w:type="paragraph" w:customStyle="1" w:styleId="Numberedheading">
    <w:name w:val="Numbered heading"/>
    <w:basedOn w:val="Heading2"/>
    <w:qFormat/>
    <w:rsid w:val="00FD1033"/>
    <w:pPr>
      <w:numPr>
        <w:numId w:val="7"/>
      </w:numPr>
    </w:pPr>
  </w:style>
  <w:style w:type="paragraph" w:customStyle="1" w:styleId="Heading2noTOC">
    <w:name w:val="Heading 2 no TOC"/>
    <w:qFormat/>
    <w:rsid w:val="00EF73FF"/>
    <w:rPr>
      <w:rFonts w:ascii="Arial" w:hAnsi="Arial" w:cs="Arial"/>
      <w:b/>
      <w:bCs/>
      <w:iCs/>
      <w:sz w:val="28"/>
      <w:szCs w:val="28"/>
    </w:rPr>
  </w:style>
  <w:style w:type="paragraph" w:styleId="ListParagraph">
    <w:name w:val="List Paragraph"/>
    <w:basedOn w:val="Normal"/>
    <w:uiPriority w:val="34"/>
    <w:qFormat/>
    <w:rsid w:val="00663DBF"/>
    <w:pPr>
      <w:spacing w:after="60"/>
      <w:ind w:left="720"/>
    </w:p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B17EBF"/>
    <w:rPr>
      <w:rFonts w:ascii="Arial" w:hAnsi="Arial"/>
      <w:sz w:val="16"/>
      <w:szCs w:val="16"/>
    </w:rPr>
  </w:style>
  <w:style w:type="character" w:styleId="UnresolvedMention">
    <w:name w:val="Unresolved Mention"/>
    <w:basedOn w:val="DefaultParagraphFont"/>
    <w:uiPriority w:val="99"/>
    <w:semiHidden/>
    <w:unhideWhenUsed/>
    <w:rsid w:val="00746A68"/>
    <w:rPr>
      <w:color w:val="605E5C"/>
      <w:shd w:val="clear" w:color="auto" w:fill="E1DFDD"/>
    </w:rPr>
  </w:style>
  <w:style w:type="paragraph" w:customStyle="1" w:styleId="Caption-table">
    <w:name w:val="Caption - table"/>
    <w:basedOn w:val="Caption"/>
    <w:next w:val="Normal"/>
    <w:link w:val="Caption-tableChar"/>
    <w:qFormat/>
    <w:rsid w:val="00095DE5"/>
    <w:pPr>
      <w:keepNext/>
      <w:spacing w:after="120"/>
    </w:pPr>
  </w:style>
  <w:style w:type="character" w:customStyle="1" w:styleId="Caption-tableChar">
    <w:name w:val="Caption - table Char"/>
    <w:basedOn w:val="CaptionChar"/>
    <w:link w:val="Caption-table"/>
    <w:rsid w:val="00095DE5"/>
    <w:rPr>
      <w:rFonts w:ascii="Arial" w:hAnsi="Arial"/>
      <w:b/>
      <w:iCs/>
      <w:sz w:val="20"/>
      <w:szCs w:val="18"/>
    </w:rPr>
  </w:style>
  <w:style w:type="paragraph" w:customStyle="1" w:styleId="BlockQuote">
    <w:name w:val="Block Quote"/>
    <w:basedOn w:val="Normal"/>
    <w:link w:val="BlockQuoteChar"/>
    <w:qFormat/>
    <w:rsid w:val="00594796"/>
    <w:pPr>
      <w:ind w:left="680" w:right="680"/>
    </w:pPr>
    <w:rPr>
      <w:i/>
      <w:iCs/>
    </w:rPr>
  </w:style>
  <w:style w:type="character" w:customStyle="1" w:styleId="BlockQuoteChar">
    <w:name w:val="Block Quote Char"/>
    <w:basedOn w:val="DefaultParagraphFont"/>
    <w:link w:val="BlockQuote"/>
    <w:rsid w:val="00594796"/>
    <w:rPr>
      <w:rFonts w:ascii="Arial" w:hAnsi="Arial"/>
      <w:i/>
      <w:iCs/>
      <w:sz w:val="22"/>
    </w:rPr>
  </w:style>
  <w:style w:type="paragraph" w:customStyle="1" w:styleId="AppendixH1">
    <w:name w:val="Appendix H1"/>
    <w:basedOn w:val="Heading1"/>
    <w:next w:val="Normal"/>
    <w:link w:val="AppendixH1Char"/>
    <w:qFormat/>
    <w:rsid w:val="002B57EC"/>
    <w:pPr>
      <w:numPr>
        <w:numId w:val="18"/>
      </w:numPr>
    </w:pPr>
    <w:rPr>
      <w:szCs w:val="44"/>
    </w:rPr>
  </w:style>
  <w:style w:type="paragraph" w:customStyle="1" w:styleId="AppendixH2">
    <w:name w:val="Appendix H2"/>
    <w:basedOn w:val="Heading2"/>
    <w:next w:val="Normal"/>
    <w:link w:val="AppendixH2Char"/>
    <w:qFormat/>
    <w:rsid w:val="002B57EC"/>
    <w:pPr>
      <w:numPr>
        <w:ilvl w:val="0"/>
        <w:numId w:val="19"/>
      </w:numPr>
    </w:pPr>
  </w:style>
  <w:style w:type="character" w:customStyle="1" w:styleId="Heading1Char">
    <w:name w:val="Heading 1 Char"/>
    <w:basedOn w:val="DefaultParagraphFont"/>
    <w:link w:val="Heading1"/>
    <w:rsid w:val="00DD6B3E"/>
    <w:rPr>
      <w:rFonts w:ascii="Arial" w:hAnsi="Arial" w:cs="Arial"/>
      <w:bCs/>
      <w:color w:val="323232"/>
      <w:kern w:val="32"/>
      <w:sz w:val="44"/>
      <w:szCs w:val="32"/>
    </w:rPr>
  </w:style>
  <w:style w:type="character" w:customStyle="1" w:styleId="AppendixH1Char">
    <w:name w:val="Appendix H1 Char"/>
    <w:basedOn w:val="Heading1Char"/>
    <w:link w:val="AppendixH1"/>
    <w:rsid w:val="002B57EC"/>
    <w:rPr>
      <w:rFonts w:ascii="Arial" w:hAnsi="Arial" w:cs="Arial"/>
      <w:bCs/>
      <w:color w:val="323232"/>
      <w:kern w:val="32"/>
      <w:sz w:val="44"/>
      <w:szCs w:val="44"/>
    </w:rPr>
  </w:style>
  <w:style w:type="paragraph" w:styleId="Revision">
    <w:name w:val="Revision"/>
    <w:hidden/>
    <w:semiHidden/>
    <w:rsid w:val="00DF143A"/>
    <w:rPr>
      <w:rFonts w:ascii="Arial" w:hAnsi="Arial"/>
      <w:sz w:val="22"/>
    </w:rPr>
  </w:style>
  <w:style w:type="character" w:customStyle="1" w:styleId="Heading2Char">
    <w:name w:val="Heading 2 Char"/>
    <w:basedOn w:val="DefaultParagraphFont"/>
    <w:link w:val="Heading2"/>
    <w:uiPriority w:val="9"/>
    <w:rsid w:val="00DD6B3E"/>
    <w:rPr>
      <w:rFonts w:ascii="Arial" w:hAnsi="Arial" w:cs="Arial"/>
      <w:b/>
      <w:bCs/>
      <w:iCs/>
      <w:sz w:val="28"/>
      <w:szCs w:val="28"/>
    </w:rPr>
  </w:style>
  <w:style w:type="character" w:customStyle="1" w:styleId="AppendixH2Char">
    <w:name w:val="Appendix H2 Char"/>
    <w:basedOn w:val="Heading2Char"/>
    <w:link w:val="AppendixH2"/>
    <w:rsid w:val="002B57EC"/>
    <w:rPr>
      <w:rFonts w:ascii="Arial" w:hAnsi="Arial" w:cs="Arial"/>
      <w:b/>
      <w:bCs/>
      <w:iCs/>
      <w:sz w:val="28"/>
      <w:szCs w:val="28"/>
    </w:rPr>
  </w:style>
  <w:style w:type="paragraph" w:customStyle="1" w:styleId="Bulletlevel1last">
    <w:name w:val="Bullet level 1 last"/>
    <w:basedOn w:val="Normal"/>
    <w:uiPriority w:val="6"/>
    <w:qFormat/>
    <w:rsid w:val="00717F65"/>
    <w:pPr>
      <w:ind w:left="360" w:hanging="360"/>
    </w:pPr>
    <w:rPr>
      <w:rFonts w:cs="Arial"/>
      <w:sz w:val="20"/>
    </w:rPr>
  </w:style>
  <w:style w:type="paragraph" w:customStyle="1" w:styleId="paragraph">
    <w:name w:val="paragraph"/>
    <w:aliases w:val="a"/>
    <w:basedOn w:val="Normal"/>
    <w:rsid w:val="00902113"/>
    <w:pPr>
      <w:spacing w:before="100" w:beforeAutospacing="1" w:after="100" w:afterAutospacing="1" w:line="240" w:lineRule="auto"/>
    </w:pPr>
    <w:rPr>
      <w:rFonts w:ascii="Times New Roman" w:hAnsi="Times New Roman"/>
      <w:sz w:val="24"/>
    </w:rPr>
  </w:style>
  <w:style w:type="character" w:customStyle="1" w:styleId="normaltextrun">
    <w:name w:val="normaltextrun"/>
    <w:basedOn w:val="DefaultParagraphFont"/>
    <w:rsid w:val="00902113"/>
  </w:style>
  <w:style w:type="character" w:customStyle="1" w:styleId="eop">
    <w:name w:val="eop"/>
    <w:basedOn w:val="DefaultParagraphFont"/>
    <w:rsid w:val="00902113"/>
  </w:style>
  <w:style w:type="table" w:customStyle="1" w:styleId="TableGrid1">
    <w:name w:val="Table Grid1"/>
    <w:basedOn w:val="TableNormal"/>
    <w:next w:val="TableGrid"/>
    <w:uiPriority w:val="59"/>
    <w:rsid w:val="006770D0"/>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4Char">
    <w:name w:val="Heading 4 Char"/>
    <w:basedOn w:val="DefaultParagraphFont"/>
    <w:link w:val="Heading4"/>
    <w:rsid w:val="00601693"/>
    <w:rPr>
      <w:rFonts w:ascii="Arial" w:hAnsi="Arial"/>
      <w:bCs/>
      <w:sz w:val="22"/>
      <w:szCs w:val="28"/>
      <w:u w:val="single"/>
    </w:rPr>
  </w:style>
  <w:style w:type="paragraph" w:customStyle="1" w:styleId="ListNumberSub">
    <w:name w:val="List Number  Sub"/>
    <w:basedOn w:val="Normal"/>
    <w:rsid w:val="00FB3CD9"/>
    <w:pPr>
      <w:spacing w:after="160" w:line="259" w:lineRule="auto"/>
      <w:ind w:left="1134" w:hanging="567"/>
    </w:pPr>
    <w:rPr>
      <w:rFonts w:asciiTheme="minorHAnsi" w:eastAsiaTheme="minorHAnsi" w:hAnsiTheme="minorHAnsi" w:cstheme="minorBidi"/>
      <w:szCs w:val="22"/>
      <w:lang w:eastAsia="en-US"/>
    </w:rPr>
  </w:style>
  <w:style w:type="paragraph" w:customStyle="1" w:styleId="Jeanpara">
    <w:name w:val="Jean para"/>
    <w:basedOn w:val="Normal"/>
    <w:rsid w:val="00A510CC"/>
    <w:pPr>
      <w:spacing w:after="0" w:line="240" w:lineRule="auto"/>
      <w:ind w:left="1020" w:hanging="340"/>
    </w:pPr>
    <w:rPr>
      <w:rFonts w:ascii="Times New Roman" w:hAnsi="Times New Roman"/>
      <w:sz w:val="24"/>
      <w:szCs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79465">
      <w:bodyDiv w:val="1"/>
      <w:marLeft w:val="0"/>
      <w:marRight w:val="0"/>
      <w:marTop w:val="0"/>
      <w:marBottom w:val="0"/>
      <w:divBdr>
        <w:top w:val="none" w:sz="0" w:space="0" w:color="auto"/>
        <w:left w:val="none" w:sz="0" w:space="0" w:color="auto"/>
        <w:bottom w:val="none" w:sz="0" w:space="0" w:color="auto"/>
        <w:right w:val="none" w:sz="0" w:space="0" w:color="auto"/>
      </w:divBdr>
    </w:div>
    <w:div w:id="51395002">
      <w:bodyDiv w:val="1"/>
      <w:marLeft w:val="0"/>
      <w:marRight w:val="0"/>
      <w:marTop w:val="0"/>
      <w:marBottom w:val="0"/>
      <w:divBdr>
        <w:top w:val="none" w:sz="0" w:space="0" w:color="auto"/>
        <w:left w:val="none" w:sz="0" w:space="0" w:color="auto"/>
        <w:bottom w:val="none" w:sz="0" w:space="0" w:color="auto"/>
        <w:right w:val="none" w:sz="0" w:space="0" w:color="auto"/>
      </w:divBdr>
    </w:div>
    <w:div w:id="101606712">
      <w:bodyDiv w:val="1"/>
      <w:marLeft w:val="0"/>
      <w:marRight w:val="0"/>
      <w:marTop w:val="0"/>
      <w:marBottom w:val="0"/>
      <w:divBdr>
        <w:top w:val="none" w:sz="0" w:space="0" w:color="auto"/>
        <w:left w:val="none" w:sz="0" w:space="0" w:color="auto"/>
        <w:bottom w:val="none" w:sz="0" w:space="0" w:color="auto"/>
        <w:right w:val="none" w:sz="0" w:space="0" w:color="auto"/>
      </w:divBdr>
    </w:div>
    <w:div w:id="374698836">
      <w:bodyDiv w:val="1"/>
      <w:marLeft w:val="0"/>
      <w:marRight w:val="0"/>
      <w:marTop w:val="0"/>
      <w:marBottom w:val="0"/>
      <w:divBdr>
        <w:top w:val="none" w:sz="0" w:space="0" w:color="auto"/>
        <w:left w:val="none" w:sz="0" w:space="0" w:color="auto"/>
        <w:bottom w:val="none" w:sz="0" w:space="0" w:color="auto"/>
        <w:right w:val="none" w:sz="0" w:space="0" w:color="auto"/>
      </w:divBdr>
    </w:div>
    <w:div w:id="405299772">
      <w:bodyDiv w:val="1"/>
      <w:marLeft w:val="0"/>
      <w:marRight w:val="0"/>
      <w:marTop w:val="0"/>
      <w:marBottom w:val="0"/>
      <w:divBdr>
        <w:top w:val="none" w:sz="0" w:space="0" w:color="auto"/>
        <w:left w:val="none" w:sz="0" w:space="0" w:color="auto"/>
        <w:bottom w:val="none" w:sz="0" w:space="0" w:color="auto"/>
        <w:right w:val="none" w:sz="0" w:space="0" w:color="auto"/>
      </w:divBdr>
    </w:div>
    <w:div w:id="456264388">
      <w:bodyDiv w:val="1"/>
      <w:marLeft w:val="0"/>
      <w:marRight w:val="0"/>
      <w:marTop w:val="0"/>
      <w:marBottom w:val="0"/>
      <w:divBdr>
        <w:top w:val="none" w:sz="0" w:space="0" w:color="auto"/>
        <w:left w:val="none" w:sz="0" w:space="0" w:color="auto"/>
        <w:bottom w:val="none" w:sz="0" w:space="0" w:color="auto"/>
        <w:right w:val="none" w:sz="0" w:space="0" w:color="auto"/>
      </w:divBdr>
    </w:div>
    <w:div w:id="707224344">
      <w:bodyDiv w:val="1"/>
      <w:marLeft w:val="0"/>
      <w:marRight w:val="0"/>
      <w:marTop w:val="0"/>
      <w:marBottom w:val="0"/>
      <w:divBdr>
        <w:top w:val="none" w:sz="0" w:space="0" w:color="auto"/>
        <w:left w:val="none" w:sz="0" w:space="0" w:color="auto"/>
        <w:bottom w:val="none" w:sz="0" w:space="0" w:color="auto"/>
        <w:right w:val="none" w:sz="0" w:space="0" w:color="auto"/>
      </w:divBdr>
    </w:div>
    <w:div w:id="881016588">
      <w:bodyDiv w:val="1"/>
      <w:marLeft w:val="0"/>
      <w:marRight w:val="0"/>
      <w:marTop w:val="0"/>
      <w:marBottom w:val="0"/>
      <w:divBdr>
        <w:top w:val="none" w:sz="0" w:space="0" w:color="auto"/>
        <w:left w:val="none" w:sz="0" w:space="0" w:color="auto"/>
        <w:bottom w:val="none" w:sz="0" w:space="0" w:color="auto"/>
        <w:right w:val="none" w:sz="0" w:space="0" w:color="auto"/>
      </w:divBdr>
    </w:div>
    <w:div w:id="882669866">
      <w:bodyDiv w:val="1"/>
      <w:marLeft w:val="0"/>
      <w:marRight w:val="0"/>
      <w:marTop w:val="0"/>
      <w:marBottom w:val="0"/>
      <w:divBdr>
        <w:top w:val="none" w:sz="0" w:space="0" w:color="auto"/>
        <w:left w:val="none" w:sz="0" w:space="0" w:color="auto"/>
        <w:bottom w:val="none" w:sz="0" w:space="0" w:color="auto"/>
        <w:right w:val="none" w:sz="0" w:space="0" w:color="auto"/>
      </w:divBdr>
    </w:div>
    <w:div w:id="936135131">
      <w:bodyDiv w:val="1"/>
      <w:marLeft w:val="0"/>
      <w:marRight w:val="0"/>
      <w:marTop w:val="0"/>
      <w:marBottom w:val="0"/>
      <w:divBdr>
        <w:top w:val="none" w:sz="0" w:space="0" w:color="auto"/>
        <w:left w:val="none" w:sz="0" w:space="0" w:color="auto"/>
        <w:bottom w:val="none" w:sz="0" w:space="0" w:color="auto"/>
        <w:right w:val="none" w:sz="0" w:space="0" w:color="auto"/>
      </w:divBdr>
    </w:div>
    <w:div w:id="972061704">
      <w:bodyDiv w:val="1"/>
      <w:marLeft w:val="0"/>
      <w:marRight w:val="0"/>
      <w:marTop w:val="0"/>
      <w:marBottom w:val="0"/>
      <w:divBdr>
        <w:top w:val="none" w:sz="0" w:space="0" w:color="auto"/>
        <w:left w:val="none" w:sz="0" w:space="0" w:color="auto"/>
        <w:bottom w:val="none" w:sz="0" w:space="0" w:color="auto"/>
        <w:right w:val="none" w:sz="0" w:space="0" w:color="auto"/>
      </w:divBdr>
    </w:div>
    <w:div w:id="1481458624">
      <w:bodyDiv w:val="1"/>
      <w:marLeft w:val="0"/>
      <w:marRight w:val="0"/>
      <w:marTop w:val="0"/>
      <w:marBottom w:val="0"/>
      <w:divBdr>
        <w:top w:val="none" w:sz="0" w:space="0" w:color="auto"/>
        <w:left w:val="none" w:sz="0" w:space="0" w:color="auto"/>
        <w:bottom w:val="none" w:sz="0" w:space="0" w:color="auto"/>
        <w:right w:val="none" w:sz="0" w:space="0" w:color="auto"/>
      </w:divBdr>
    </w:div>
    <w:div w:id="1565604085">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744990562">
      <w:bodyDiv w:val="1"/>
      <w:marLeft w:val="0"/>
      <w:marRight w:val="0"/>
      <w:marTop w:val="0"/>
      <w:marBottom w:val="0"/>
      <w:divBdr>
        <w:top w:val="none" w:sz="0" w:space="0" w:color="auto"/>
        <w:left w:val="none" w:sz="0" w:space="0" w:color="auto"/>
        <w:bottom w:val="none" w:sz="0" w:space="0" w:color="auto"/>
        <w:right w:val="none" w:sz="0" w:space="0" w:color="auto"/>
      </w:divBdr>
    </w:div>
    <w:div w:id="1847940425">
      <w:bodyDiv w:val="1"/>
      <w:marLeft w:val="0"/>
      <w:marRight w:val="0"/>
      <w:marTop w:val="0"/>
      <w:marBottom w:val="0"/>
      <w:divBdr>
        <w:top w:val="none" w:sz="0" w:space="0" w:color="auto"/>
        <w:left w:val="none" w:sz="0" w:space="0" w:color="auto"/>
        <w:bottom w:val="none" w:sz="0" w:space="0" w:color="auto"/>
        <w:right w:val="none" w:sz="0" w:space="0" w:color="auto"/>
      </w:divBdr>
    </w:div>
    <w:div w:id="202127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mailto:freqplan@acma.gov.au" TargetMode="External"/><Relationship Id="rId26" Type="http://schemas.openxmlformats.org/officeDocument/2006/relationships/hyperlink" Target="https://web.acma.gov.au/rrl/register_search.main_page" TargetMode="External"/><Relationship Id="rId39" Type="http://schemas.openxmlformats.org/officeDocument/2006/relationships/hyperlink" Target="https://www.acma.gov.au/radiocomms-licence-data" TargetMode="External"/><Relationship Id="rId21" Type="http://schemas.openxmlformats.org/officeDocument/2006/relationships/hyperlink" Target="https://www.acma.gov.au/spectrum-licence-technical-liaison-groups" TargetMode="External"/><Relationship Id="rId34" Type="http://schemas.openxmlformats.org/officeDocument/2006/relationships/hyperlink" Target="mailto:FACPolicyExemptions@acma.gov.au" TargetMode="External"/><Relationship Id="rId42" Type="http://schemas.openxmlformats.org/officeDocument/2006/relationships/hyperlink" Target="https://www.legislation.gov.au/Details/F2018C00558" TargetMode="External"/><Relationship Id="rId47" Type="http://schemas.openxmlformats.org/officeDocument/2006/relationships/hyperlink" Target="https://www.acma.gov.au/radiocomms-licence-data" TargetMode="External"/><Relationship Id="rId50" Type="http://schemas.openxmlformats.org/officeDocument/2006/relationships/hyperlink" Target="https://www.acma.gov.au/sites/default/files/2019-10/The%20Australian%20spectrum%20map%20grid%202012_0.PDF" TargetMode="External"/><Relationship Id="rId55" Type="http://schemas.openxmlformats.org/officeDocument/2006/relationships/header" Target="header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www.acma.gov.au/find-accredited-person" TargetMode="External"/><Relationship Id="rId25" Type="http://schemas.openxmlformats.org/officeDocument/2006/relationships/hyperlink" Target="https://www.legislation.gov.au/Details/F2021C00635" TargetMode="External"/><Relationship Id="rId33" Type="http://schemas.openxmlformats.org/officeDocument/2006/relationships/hyperlink" Target="https://www.acma.gov.au/australian-radiofrequency-spectrum-plan" TargetMode="External"/><Relationship Id="rId38" Type="http://schemas.openxmlformats.org/officeDocument/2006/relationships/hyperlink" Target="https://www.acma.gov.au/node/844" TargetMode="External"/><Relationship Id="rId46" Type="http://schemas.openxmlformats.org/officeDocument/2006/relationships/hyperlink" Target="https://www.acma.gov.au/34-ghz-technical-framework"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acma.gov.au/consultations/2019-08/optimising-3400-3575-mhz-band-consultation-122019" TargetMode="External"/><Relationship Id="rId29" Type="http://schemas.openxmlformats.org/officeDocument/2006/relationships/hyperlink" Target="https://www.acma.gov.au/find-accredited-person" TargetMode="External"/><Relationship Id="rId41" Type="http://schemas.openxmlformats.org/officeDocument/2006/relationships/hyperlink" Target="https://www.legislation.gov.au/Details/F2018C00558"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acma.gov.au/spectrum-licence-technical-liaison-groups" TargetMode="External"/><Relationship Id="rId32" Type="http://schemas.openxmlformats.org/officeDocument/2006/relationships/hyperlink" Target="https://www.legislation.gov.au/Details/F2015L00210" TargetMode="External"/><Relationship Id="rId37" Type="http://schemas.openxmlformats.org/officeDocument/2006/relationships/hyperlink" Target="https://www.acma.gov.au/node/847" TargetMode="External"/><Relationship Id="rId40" Type="http://schemas.openxmlformats.org/officeDocument/2006/relationships/hyperlink" Target="https://www.legislation.gov.au/Details/F2018C00890" TargetMode="External"/><Relationship Id="rId45" Type="http://schemas.openxmlformats.org/officeDocument/2006/relationships/hyperlink" Target="https://www.acma.gov.au/radiocomms-licence-data" TargetMode="External"/><Relationship Id="rId53" Type="http://schemas.openxmlformats.org/officeDocument/2006/relationships/hyperlink" Target="https://www.itu.int/rec/R-REC-P.452/en" TargetMode="External"/><Relationship Id="rId58"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acma.gov.au/node/850" TargetMode="External"/><Relationship Id="rId28" Type="http://schemas.openxmlformats.org/officeDocument/2006/relationships/hyperlink" Target="https://web.acma.gov.au/rrl/register_search.main_page" TargetMode="External"/><Relationship Id="rId36" Type="http://schemas.openxmlformats.org/officeDocument/2006/relationships/hyperlink" Target="https://www.acma.gov.au/node/849" TargetMode="External"/><Relationship Id="rId49" Type="http://schemas.openxmlformats.org/officeDocument/2006/relationships/hyperlink" Target="mailto:freqplan@acma.gov.au" TargetMode="External"/><Relationship Id="rId57"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acma.gov.au/consultations/2020-07/planning-options-3700-4200-mhz-band-consultation-222020" TargetMode="External"/><Relationship Id="rId31" Type="http://schemas.openxmlformats.org/officeDocument/2006/relationships/hyperlink" Target="https://web.acma.gov.au/rrl/register_search.main_page" TargetMode="External"/><Relationship Id="rId44" Type="http://schemas.openxmlformats.org/officeDocument/2006/relationships/hyperlink" Target="https://www.acma.gov.au/australian-radiofrequency-spectrum-plan" TargetMode="External"/><Relationship Id="rId52" Type="http://schemas.openxmlformats.org/officeDocument/2006/relationships/hyperlink" Target="https://www.itu.int/rec/R-REC-P.452/en"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freqplan@acma.gov.au" TargetMode="External"/><Relationship Id="rId22" Type="http://schemas.openxmlformats.org/officeDocument/2006/relationships/hyperlink" Target="https://www.acma.gov.au/node/829" TargetMode="External"/><Relationship Id="rId27" Type="http://schemas.openxmlformats.org/officeDocument/2006/relationships/hyperlink" Target="https://www.legislation.gov.au/Details/F2019C00870" TargetMode="External"/><Relationship Id="rId30" Type="http://schemas.openxmlformats.org/officeDocument/2006/relationships/hyperlink" Target="https://www.acma.gov.au/find-accredited-person" TargetMode="External"/><Relationship Id="rId35" Type="http://schemas.openxmlformats.org/officeDocument/2006/relationships/hyperlink" Target="https://www.acma.gov.au/ralis-frequency-coordination" TargetMode="External"/><Relationship Id="rId43" Type="http://schemas.openxmlformats.org/officeDocument/2006/relationships/hyperlink" Target="https://www.comlaw.gov.au/Details/F2015L01113" TargetMode="External"/><Relationship Id="rId48" Type="http://schemas.openxmlformats.org/officeDocument/2006/relationships/hyperlink" Target="https://www.acma.gov.au/radiocomms-licence-data" TargetMode="External"/><Relationship Id="rId56" Type="http://schemas.openxmlformats.org/officeDocument/2006/relationships/footer" Target="footer4.xml"/><Relationship Id="rId8" Type="http://schemas.openxmlformats.org/officeDocument/2006/relationships/settings" Target="settings.xml"/><Relationship Id="rId51" Type="http://schemas.openxmlformats.org/officeDocument/2006/relationships/hyperlink" Target="https://www.acma.gov.au/convert-hcis-area-description-placemark" TargetMode="Externa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www.acma.gov.au/spectrum-embargoes" TargetMode="External"/><Relationship Id="rId1" Type="http://schemas.openxmlformats.org/officeDocument/2006/relationships/hyperlink" Target="http://www.legislation.gov.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ACMA-System\Templates\ACMA\RALI%20template%20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3NE2HDV7HD6D-128-6114</_dlc_DocId>
    <_dlc_DocIdUrl xmlns="1d983eb4-33f7-44b0-aea1-cbdcf0c55136">
      <Url>http://collaboration/organisation/cid/speb/sp/_layouts/15/DocIdRedir.aspx?ID=3NE2HDV7HD6D-128-6114</Url>
      <Description>3NE2HDV7HD6D-128-6114</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0AC4B5-C3BB-43F4-A9FE-9DF191F3698A}">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1d983eb4-33f7-44b0-aea1-cbdcf0c55136"/>
    <ds:schemaRef ds:uri="http://www.w3.org/XML/1998/namespace"/>
  </ds:schemaRefs>
</ds:datastoreItem>
</file>

<file path=customXml/itemProps2.xml><?xml version="1.0" encoding="utf-8"?>
<ds:datastoreItem xmlns:ds="http://schemas.openxmlformats.org/officeDocument/2006/customXml" ds:itemID="{5C8879E6-B6F7-4C33-B68E-F8EA5794E2E5}">
  <ds:schemaRefs>
    <ds:schemaRef ds:uri="http://schemas.openxmlformats.org/officeDocument/2006/bibliography"/>
  </ds:schemaRefs>
</ds:datastoreItem>
</file>

<file path=customXml/itemProps3.xml><?xml version="1.0" encoding="utf-8"?>
<ds:datastoreItem xmlns:ds="http://schemas.openxmlformats.org/officeDocument/2006/customXml" ds:itemID="{D5A2C4B9-38A0-4A47-8ECF-A80B397AA777}"/>
</file>

<file path=customXml/itemProps4.xml><?xml version="1.0" encoding="utf-8"?>
<ds:datastoreItem xmlns:ds="http://schemas.openxmlformats.org/officeDocument/2006/customXml" ds:itemID="{69D63B8A-CC06-433A-A249-9B65ED51CB5C}">
  <ds:schemaRefs>
    <ds:schemaRef ds:uri="http://schemas.microsoft.com/sharepoint/events"/>
  </ds:schemaRefs>
</ds:datastoreItem>
</file>

<file path=customXml/itemProps5.xml><?xml version="1.0" encoding="utf-8"?>
<ds:datastoreItem xmlns:ds="http://schemas.openxmlformats.org/officeDocument/2006/customXml" ds:itemID="{94B0BC4E-5B12-4877-9A47-ED3122BEF7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RALI template 2019.dotx</Template>
  <TotalTime>1</TotalTime>
  <Pages>30</Pages>
  <Words>9455</Words>
  <Characters>53900</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63229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Bridget Kerans</dc:creator>
  <cp:keywords/>
  <dc:description/>
  <cp:lastModifiedBy>Douglas Iles</cp:lastModifiedBy>
  <cp:revision>4</cp:revision>
  <cp:lastPrinted>2019-11-29T04:29:00Z</cp:lastPrinted>
  <dcterms:created xsi:type="dcterms:W3CDTF">2021-12-21T02:08:00Z</dcterms:created>
  <dcterms:modified xsi:type="dcterms:W3CDTF">2021-12-21T02:09:00Z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e8f288d8-e73d-482e-9496-88f63d484f24</vt:lpwstr>
  </property>
  <property fmtid="{D5CDD505-2E9C-101B-9397-08002B2CF9AE}" pid="3" name="ContentTypeId">
    <vt:lpwstr>0x010100D922B896673C3B4CAC6395581CF998E6</vt:lpwstr>
  </property>
</Properties>
</file>