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012FDA" w14:textId="4D0064E7" w:rsidR="00FA7F33" w:rsidRPr="00702EA1" w:rsidRDefault="00FA7F33" w:rsidP="00FA7F33">
      <w:pPr>
        <w:pStyle w:val="Reporttitle"/>
      </w:pPr>
      <w:r>
        <w:t>Review of 3700-4200 MHz, 3.4 GHz bands spectrum and apparatus licen</w:t>
      </w:r>
      <w:r w:rsidR="008719C7">
        <w:t>sing</w:t>
      </w:r>
      <w:r>
        <w:t xml:space="preserve"> technical frameworks</w:t>
      </w:r>
    </w:p>
    <w:p w14:paraId="39957BB6" w14:textId="77777777" w:rsidR="00FA7F33" w:rsidRPr="00702EA1" w:rsidRDefault="00FA7F33" w:rsidP="00FA7F33">
      <w:pPr>
        <w:pStyle w:val="Reportsubtitle"/>
      </w:pPr>
      <w:r>
        <w:t xml:space="preserve">3400-4000 MHz Technical Liaison Group paper </w:t>
      </w:r>
    </w:p>
    <w:p w14:paraId="36B7D3D4" w14:textId="719135BA" w:rsidR="00FA7F33" w:rsidRPr="00702EA1" w:rsidRDefault="00757C36" w:rsidP="00FA7F33">
      <w:pPr>
        <w:pStyle w:val="Reportdate"/>
        <w:spacing w:after="720"/>
        <w:rPr>
          <w:rFonts w:cs="Arial"/>
        </w:rPr>
        <w:sectPr w:rsidR="00FA7F33" w:rsidRPr="00702EA1" w:rsidSect="006539E8">
          <w:headerReference w:type="default" r:id="rId12"/>
          <w:footerReference w:type="default" r:id="rId13"/>
          <w:headerReference w:type="first" r:id="rId14"/>
          <w:pgSz w:w="11906" w:h="16838" w:code="9"/>
          <w:pgMar w:top="3924" w:right="992" w:bottom="1440" w:left="1134" w:header="709" w:footer="454" w:gutter="0"/>
          <w:cols w:space="708"/>
          <w:docGrid w:linePitch="360"/>
        </w:sectPr>
      </w:pPr>
      <w:r>
        <w:t>MARCH</w:t>
      </w:r>
      <w:r w:rsidR="00DA7C46">
        <w:t xml:space="preserve"> </w:t>
      </w:r>
      <w:r w:rsidR="00FA7F33" w:rsidRPr="00702EA1">
        <w:t>2021</w:t>
      </w:r>
    </w:p>
    <w:p w14:paraId="45463645" w14:textId="77777777" w:rsidR="00FA7F33" w:rsidRPr="00702EA1" w:rsidRDefault="00FA7F33" w:rsidP="00FA7F33">
      <w:pPr>
        <w:pStyle w:val="ACMACorporateAddressHeader"/>
      </w:pPr>
      <w:r w:rsidRPr="00702EA1">
        <w:lastRenderedPageBreak/>
        <w:t>Canberra</w:t>
      </w:r>
    </w:p>
    <w:p w14:paraId="319CCF22" w14:textId="77777777" w:rsidR="00FA7F33" w:rsidRPr="00702EA1" w:rsidRDefault="00FA7F33" w:rsidP="00FA7F33">
      <w:pPr>
        <w:pStyle w:val="ACMACorporateAddresses"/>
      </w:pPr>
      <w:r w:rsidRPr="00702EA1">
        <w:t xml:space="preserve">Red Building </w:t>
      </w:r>
      <w:r w:rsidRPr="00702EA1">
        <w:br/>
        <w:t>Benjamin Offices</w:t>
      </w:r>
      <w:r w:rsidRPr="00702EA1">
        <w:br/>
        <w:t xml:space="preserve">Chan Street </w:t>
      </w:r>
      <w:r w:rsidRPr="00702EA1">
        <w:br/>
        <w:t>Belconnen ACT</w:t>
      </w:r>
    </w:p>
    <w:p w14:paraId="67C30B90" w14:textId="77777777" w:rsidR="00FA7F33" w:rsidRPr="00702EA1" w:rsidRDefault="00FA7F33" w:rsidP="00FA7F33">
      <w:pPr>
        <w:pStyle w:val="ACMACorporateAddresses"/>
      </w:pPr>
      <w:r w:rsidRPr="00702EA1">
        <w:t>PO Box 78</w:t>
      </w:r>
      <w:r w:rsidRPr="00702EA1">
        <w:br/>
        <w:t>Belconnen ACT 2616</w:t>
      </w:r>
    </w:p>
    <w:p w14:paraId="409F86B4" w14:textId="77777777" w:rsidR="00FA7F33" w:rsidRPr="00702EA1" w:rsidRDefault="00FA7F33" w:rsidP="00FA7F33">
      <w:pPr>
        <w:pStyle w:val="ACMACorporateAddresses"/>
      </w:pPr>
      <w:r w:rsidRPr="00702EA1">
        <w:t>T</w:t>
      </w:r>
      <w:r w:rsidRPr="00702EA1">
        <w:tab/>
        <w:t>+61 2 6219 5555</w:t>
      </w:r>
      <w:r w:rsidRPr="00702EA1">
        <w:br/>
        <w:t>F</w:t>
      </w:r>
      <w:r w:rsidRPr="00702EA1">
        <w:tab/>
        <w:t>+61 2 6219 5353</w:t>
      </w:r>
    </w:p>
    <w:p w14:paraId="42FF76BD" w14:textId="77777777" w:rsidR="00FA7F33" w:rsidRPr="00702EA1" w:rsidRDefault="00FA7F33" w:rsidP="00FA7F33">
      <w:pPr>
        <w:pStyle w:val="ACMACorporateAddressHeader"/>
      </w:pPr>
      <w:r w:rsidRPr="00702EA1">
        <w:t>Melbourne</w:t>
      </w:r>
    </w:p>
    <w:p w14:paraId="5D7B1836" w14:textId="77777777" w:rsidR="00FA7F33" w:rsidRPr="00702EA1" w:rsidRDefault="00FA7F33" w:rsidP="00FA7F33">
      <w:pPr>
        <w:pStyle w:val="ACMACorporateAddresses"/>
      </w:pPr>
      <w:r w:rsidRPr="00702EA1">
        <w:t xml:space="preserve">Level 32 </w:t>
      </w:r>
      <w:r w:rsidRPr="00702EA1">
        <w:br/>
        <w:t>Melbourne Central Tower</w:t>
      </w:r>
      <w:r w:rsidRPr="00702EA1">
        <w:br/>
        <w:t xml:space="preserve">360 Elizabeth Street </w:t>
      </w:r>
      <w:r w:rsidRPr="00702EA1">
        <w:br/>
        <w:t>Melbourne VIC</w:t>
      </w:r>
    </w:p>
    <w:p w14:paraId="565CAA81" w14:textId="77777777" w:rsidR="00FA7F33" w:rsidRPr="00702EA1" w:rsidRDefault="00FA7F33" w:rsidP="00FA7F33">
      <w:pPr>
        <w:pStyle w:val="ACMACorporateAddresses"/>
      </w:pPr>
      <w:r w:rsidRPr="00702EA1">
        <w:t>PO Box 13112</w:t>
      </w:r>
      <w:r w:rsidRPr="00702EA1">
        <w:br/>
        <w:t xml:space="preserve">Law Courts </w:t>
      </w:r>
      <w:r w:rsidRPr="00702EA1">
        <w:br/>
        <w:t>Melbourne VIC 8010</w:t>
      </w:r>
    </w:p>
    <w:p w14:paraId="3C05FD5E" w14:textId="77777777" w:rsidR="00FA7F33" w:rsidRPr="00702EA1" w:rsidRDefault="00FA7F33" w:rsidP="00FA7F33">
      <w:pPr>
        <w:pStyle w:val="ACMACorporateAddresses"/>
      </w:pPr>
      <w:r w:rsidRPr="00702EA1">
        <w:t>T</w:t>
      </w:r>
      <w:r w:rsidRPr="00702EA1">
        <w:tab/>
        <w:t>+61 3 9963 6800</w:t>
      </w:r>
      <w:r w:rsidRPr="00702EA1">
        <w:br/>
        <w:t>F</w:t>
      </w:r>
      <w:r w:rsidRPr="00702EA1">
        <w:tab/>
        <w:t>+61 3 9963 6899</w:t>
      </w:r>
    </w:p>
    <w:p w14:paraId="4CD5C535" w14:textId="77777777" w:rsidR="00FA7F33" w:rsidRPr="00702EA1" w:rsidRDefault="00FA7F33" w:rsidP="00FA7F33">
      <w:pPr>
        <w:pStyle w:val="ACMACorporateAddressHeader"/>
      </w:pPr>
      <w:r w:rsidRPr="00702EA1">
        <w:t>Sydney</w:t>
      </w:r>
    </w:p>
    <w:p w14:paraId="3FFB55B9" w14:textId="77777777" w:rsidR="00FA7F33" w:rsidRPr="00702EA1" w:rsidRDefault="00FA7F33" w:rsidP="00FA7F33">
      <w:pPr>
        <w:pStyle w:val="ACMACorporateAddresses"/>
      </w:pPr>
      <w:r w:rsidRPr="00702EA1">
        <w:t xml:space="preserve">Level 5 </w:t>
      </w:r>
      <w:r w:rsidRPr="00702EA1">
        <w:br/>
        <w:t>The Bay Centre</w:t>
      </w:r>
      <w:r w:rsidRPr="00702EA1">
        <w:br/>
        <w:t xml:space="preserve">65 Pirrama Road </w:t>
      </w:r>
      <w:r w:rsidRPr="00702EA1">
        <w:br/>
        <w:t>Pyrmont NSW</w:t>
      </w:r>
    </w:p>
    <w:p w14:paraId="28148163" w14:textId="77777777" w:rsidR="00FA7F33" w:rsidRPr="00702EA1" w:rsidRDefault="00FA7F33" w:rsidP="00FA7F33">
      <w:pPr>
        <w:pStyle w:val="ACMACorporateAddresses"/>
      </w:pPr>
      <w:r w:rsidRPr="00702EA1">
        <w:t>PO Box Q500</w:t>
      </w:r>
      <w:r w:rsidRPr="00702EA1">
        <w:br/>
        <w:t xml:space="preserve">Queen Victoria Building </w:t>
      </w:r>
      <w:r w:rsidRPr="00702EA1">
        <w:br/>
        <w:t>NSW 1230</w:t>
      </w:r>
    </w:p>
    <w:p w14:paraId="35B46B03" w14:textId="77777777" w:rsidR="00FA7F33" w:rsidRPr="00702EA1" w:rsidRDefault="00FA7F33" w:rsidP="00FA7F33">
      <w:pPr>
        <w:pStyle w:val="ACMACorporateAddresses"/>
      </w:pPr>
      <w:r w:rsidRPr="00702EA1">
        <w:t>T</w:t>
      </w:r>
      <w:r w:rsidRPr="00702EA1">
        <w:tab/>
        <w:t>+61 2 9334 7700</w:t>
      </w:r>
      <w:r w:rsidRPr="00702EA1">
        <w:br/>
        <w:t>F</w:t>
      </w:r>
      <w:r w:rsidRPr="00702EA1">
        <w:tab/>
        <w:t>+61 2 9334 7799</w:t>
      </w:r>
    </w:p>
    <w:p w14:paraId="657A26D5" w14:textId="77777777" w:rsidR="00FA7F33" w:rsidRPr="00702EA1" w:rsidRDefault="00FA7F33" w:rsidP="00FA7F33">
      <w:pPr>
        <w:pStyle w:val="ACMACopyrightHeader"/>
      </w:pPr>
      <w:r w:rsidRPr="00702EA1">
        <w:t>Copyright notice</w:t>
      </w:r>
    </w:p>
    <w:p w14:paraId="1A30A3EE" w14:textId="77777777" w:rsidR="00FA7F33" w:rsidRPr="00702EA1" w:rsidRDefault="00FA7F33" w:rsidP="00FA7F33">
      <w:pPr>
        <w:pStyle w:val="ACMACClogo"/>
      </w:pPr>
      <w:r w:rsidRPr="00702EA1">
        <w:rPr>
          <w:noProof/>
        </w:rPr>
        <w:drawing>
          <wp:inline distT="0" distB="0" distL="0" distR="0" wp14:anchorId="1B74FBFD" wp14:editId="71F3C830">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570DA02D" w14:textId="77777777" w:rsidR="00FA7F33" w:rsidRPr="00702EA1" w:rsidRDefault="00E2128E" w:rsidP="00FA7F33">
      <w:pPr>
        <w:pStyle w:val="ACMACorporateAddresses"/>
        <w:rPr>
          <w:rStyle w:val="Hyperlink"/>
        </w:rPr>
      </w:pPr>
      <w:hyperlink r:id="rId17" w:history="1">
        <w:r w:rsidR="00FA7F33" w:rsidRPr="00702EA1">
          <w:rPr>
            <w:rStyle w:val="Hyperlink"/>
          </w:rPr>
          <w:t>https://creativecommons.org/licenses/by/4.0/</w:t>
        </w:r>
      </w:hyperlink>
    </w:p>
    <w:p w14:paraId="40C6B976" w14:textId="77777777" w:rsidR="00FA7F33" w:rsidRPr="00702EA1" w:rsidRDefault="00FA7F33" w:rsidP="00FA7F33">
      <w:pPr>
        <w:pStyle w:val="ACMACorporateAddresses"/>
      </w:pPr>
      <w:r w:rsidRPr="00702EA1">
        <w:t xml:space="preserve">With the exception of coats of arms, logos, emblems, images, other third-party material or devices protected by a trademark, this content is made available under the terms of the Creative Commons Attribution 4.0 International (CC BY 4.0) licence. </w:t>
      </w:r>
    </w:p>
    <w:p w14:paraId="22C5B8EA" w14:textId="77777777" w:rsidR="00FA7F33" w:rsidRPr="00702EA1" w:rsidRDefault="00FA7F33" w:rsidP="00FA7F33">
      <w:pPr>
        <w:pStyle w:val="ACMACorporateAddresses"/>
      </w:pPr>
      <w:r w:rsidRPr="00702EA1">
        <w:t>We request attribution as © Commonwealth of Australia (Australian Communications and Media Authority) 2021.</w:t>
      </w:r>
    </w:p>
    <w:p w14:paraId="1653A2B5" w14:textId="77777777" w:rsidR="00FA7F33" w:rsidRPr="00702EA1" w:rsidRDefault="00FA7F33" w:rsidP="00FA7F33">
      <w:pPr>
        <w:pStyle w:val="ACMACorporateAddresses"/>
      </w:pPr>
      <w:r w:rsidRPr="00702EA1">
        <w:t>All other rights are reserved.</w:t>
      </w:r>
    </w:p>
    <w:p w14:paraId="2195A7FD" w14:textId="77777777" w:rsidR="00FA7F33" w:rsidRPr="00702EA1" w:rsidRDefault="00FA7F33" w:rsidP="00FA7F33">
      <w:pPr>
        <w:pStyle w:val="ACMACorporateAddresses"/>
      </w:pPr>
      <w:r w:rsidRPr="00702EA1">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055A4B2A" w14:textId="77777777" w:rsidR="00FA7F33" w:rsidRPr="00702EA1" w:rsidRDefault="00FA7F33" w:rsidP="00FA7F33">
      <w:pPr>
        <w:pStyle w:val="ACMACorporateAddresses"/>
      </w:pPr>
      <w:r w:rsidRPr="00702EA1">
        <w:t>Written enquiries may be sent to:</w:t>
      </w:r>
    </w:p>
    <w:p w14:paraId="74022AD9" w14:textId="77777777" w:rsidR="00FA7F33" w:rsidRPr="00702EA1" w:rsidRDefault="00FA7F33" w:rsidP="00FA7F33">
      <w:pPr>
        <w:pStyle w:val="ACMACorporateAddresses"/>
        <w:rPr>
          <w:rStyle w:val="Hyperlink"/>
        </w:rPr>
      </w:pPr>
      <w:r w:rsidRPr="00702EA1">
        <w:t>Manager, Editorial Services</w:t>
      </w:r>
      <w:r w:rsidRPr="00702EA1">
        <w:br/>
        <w:t>PO Box 13112</w:t>
      </w:r>
      <w:r w:rsidRPr="00702EA1">
        <w:br/>
        <w:t>Law Courts</w:t>
      </w:r>
      <w:r w:rsidRPr="00702EA1">
        <w:br/>
        <w:t>Melbourne VIC 8010</w:t>
      </w:r>
      <w:r w:rsidRPr="00702EA1">
        <w:br/>
        <w:t xml:space="preserve">Email: </w:t>
      </w:r>
      <w:hyperlink r:id="rId18" w:history="1">
        <w:r w:rsidRPr="00702EA1">
          <w:rPr>
            <w:rStyle w:val="Hyperlink"/>
          </w:rPr>
          <w:t>info@acma.gov.au</w:t>
        </w:r>
      </w:hyperlink>
    </w:p>
    <w:p w14:paraId="1232C790" w14:textId="77777777" w:rsidR="00FA7F33" w:rsidRPr="00702EA1" w:rsidRDefault="00FA7F33" w:rsidP="00FA7F33">
      <w:pPr>
        <w:pStyle w:val="ACMACorporateAddresses"/>
        <w:sectPr w:rsidR="00FA7F33" w:rsidRPr="00702EA1" w:rsidSect="006539E8">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4E89451E" w14:textId="1624B509" w:rsidR="00302B64" w:rsidRDefault="00FA7F33">
      <w:pPr>
        <w:pStyle w:val="TOC1"/>
        <w:rPr>
          <w:rFonts w:asciiTheme="minorHAnsi" w:eastAsiaTheme="minorEastAsia" w:hAnsiTheme="minorHAnsi" w:cstheme="minorBidi"/>
          <w:b w:val="0"/>
          <w:spacing w:val="0"/>
          <w:sz w:val="22"/>
          <w:szCs w:val="22"/>
        </w:rPr>
      </w:pPr>
      <w:r>
        <w:rPr>
          <w:rFonts w:cs="Arial"/>
        </w:rPr>
        <w:lastRenderedPageBreak/>
        <w:fldChar w:fldCharType="begin"/>
      </w:r>
      <w:r>
        <w:rPr>
          <w:rFonts w:cs="Arial"/>
        </w:rPr>
        <w:instrText xml:space="preserve"> TOC \o "1-3" \h \z \t "Exec summary heading,1" </w:instrText>
      </w:r>
      <w:r>
        <w:rPr>
          <w:rFonts w:cs="Arial"/>
        </w:rPr>
        <w:fldChar w:fldCharType="separate"/>
      </w:r>
      <w:hyperlink w:anchor="_Toc94603240" w:history="1">
        <w:r w:rsidR="00302B64" w:rsidRPr="00153918">
          <w:rPr>
            <w:rStyle w:val="Hyperlink"/>
          </w:rPr>
          <w:t>Version control</w:t>
        </w:r>
        <w:r w:rsidR="00302B64">
          <w:rPr>
            <w:webHidden/>
          </w:rPr>
          <w:tab/>
        </w:r>
        <w:r w:rsidR="00302B64">
          <w:rPr>
            <w:webHidden/>
          </w:rPr>
          <w:fldChar w:fldCharType="begin"/>
        </w:r>
        <w:r w:rsidR="00302B64">
          <w:rPr>
            <w:webHidden/>
          </w:rPr>
          <w:instrText xml:space="preserve"> PAGEREF _Toc94603240 \h </w:instrText>
        </w:r>
        <w:r w:rsidR="00302B64">
          <w:rPr>
            <w:webHidden/>
          </w:rPr>
        </w:r>
        <w:r w:rsidR="00302B64">
          <w:rPr>
            <w:webHidden/>
          </w:rPr>
          <w:fldChar w:fldCharType="separate"/>
        </w:r>
        <w:r w:rsidR="00302B64">
          <w:rPr>
            <w:webHidden/>
          </w:rPr>
          <w:t>iii</w:t>
        </w:r>
        <w:r w:rsidR="00302B64">
          <w:rPr>
            <w:webHidden/>
          </w:rPr>
          <w:fldChar w:fldCharType="end"/>
        </w:r>
      </w:hyperlink>
    </w:p>
    <w:p w14:paraId="032D5C8E" w14:textId="635C930A" w:rsidR="00302B64" w:rsidRDefault="00E2128E">
      <w:pPr>
        <w:pStyle w:val="TOC1"/>
        <w:rPr>
          <w:rFonts w:asciiTheme="minorHAnsi" w:eastAsiaTheme="minorEastAsia" w:hAnsiTheme="minorHAnsi" w:cstheme="minorBidi"/>
          <w:b w:val="0"/>
          <w:spacing w:val="0"/>
          <w:sz w:val="22"/>
          <w:szCs w:val="22"/>
        </w:rPr>
      </w:pPr>
      <w:hyperlink w:anchor="_Toc94603241" w:history="1">
        <w:r w:rsidR="00302B64" w:rsidRPr="00153918">
          <w:rPr>
            <w:rStyle w:val="Hyperlink"/>
          </w:rPr>
          <w:t>Introduction</w:t>
        </w:r>
        <w:r w:rsidR="00302B64">
          <w:rPr>
            <w:webHidden/>
          </w:rPr>
          <w:tab/>
        </w:r>
        <w:r w:rsidR="00302B64">
          <w:rPr>
            <w:webHidden/>
          </w:rPr>
          <w:fldChar w:fldCharType="begin"/>
        </w:r>
        <w:r w:rsidR="00302B64">
          <w:rPr>
            <w:webHidden/>
          </w:rPr>
          <w:instrText xml:space="preserve"> PAGEREF _Toc94603241 \h </w:instrText>
        </w:r>
        <w:r w:rsidR="00302B64">
          <w:rPr>
            <w:webHidden/>
          </w:rPr>
        </w:r>
        <w:r w:rsidR="00302B64">
          <w:rPr>
            <w:webHidden/>
          </w:rPr>
          <w:fldChar w:fldCharType="separate"/>
        </w:r>
        <w:r w:rsidR="00302B64">
          <w:rPr>
            <w:webHidden/>
          </w:rPr>
          <w:t>1</w:t>
        </w:r>
        <w:r w:rsidR="00302B64">
          <w:rPr>
            <w:webHidden/>
          </w:rPr>
          <w:fldChar w:fldCharType="end"/>
        </w:r>
      </w:hyperlink>
    </w:p>
    <w:p w14:paraId="7E446017" w14:textId="2CA69F43" w:rsidR="00302B64" w:rsidRDefault="00E2128E">
      <w:pPr>
        <w:pStyle w:val="TOC2"/>
        <w:rPr>
          <w:rFonts w:asciiTheme="minorHAnsi" w:eastAsiaTheme="minorEastAsia" w:hAnsiTheme="minorHAnsi" w:cstheme="minorBidi"/>
          <w:spacing w:val="0"/>
          <w:sz w:val="22"/>
          <w:szCs w:val="22"/>
        </w:rPr>
      </w:pPr>
      <w:hyperlink w:anchor="_Toc94603242" w:history="1">
        <w:r w:rsidR="00302B64" w:rsidRPr="00153918">
          <w:rPr>
            <w:rStyle w:val="Hyperlink"/>
          </w:rPr>
          <w:t>Planning outcomes and preliminary views across the 3400-4200 MHz frequency range</w:t>
        </w:r>
        <w:r w:rsidR="00302B64">
          <w:rPr>
            <w:webHidden/>
          </w:rPr>
          <w:tab/>
        </w:r>
        <w:r w:rsidR="00302B64">
          <w:rPr>
            <w:webHidden/>
          </w:rPr>
          <w:fldChar w:fldCharType="begin"/>
        </w:r>
        <w:r w:rsidR="00302B64">
          <w:rPr>
            <w:webHidden/>
          </w:rPr>
          <w:instrText xml:space="preserve"> PAGEREF _Toc94603242 \h </w:instrText>
        </w:r>
        <w:r w:rsidR="00302B64">
          <w:rPr>
            <w:webHidden/>
          </w:rPr>
        </w:r>
        <w:r w:rsidR="00302B64">
          <w:rPr>
            <w:webHidden/>
          </w:rPr>
          <w:fldChar w:fldCharType="separate"/>
        </w:r>
        <w:r w:rsidR="00302B64">
          <w:rPr>
            <w:webHidden/>
          </w:rPr>
          <w:t>2</w:t>
        </w:r>
        <w:r w:rsidR="00302B64">
          <w:rPr>
            <w:webHidden/>
          </w:rPr>
          <w:fldChar w:fldCharType="end"/>
        </w:r>
      </w:hyperlink>
    </w:p>
    <w:p w14:paraId="20274E84" w14:textId="0FF2998B" w:rsidR="00302B64" w:rsidRDefault="00E2128E">
      <w:pPr>
        <w:pStyle w:val="TOC2"/>
        <w:rPr>
          <w:rFonts w:asciiTheme="minorHAnsi" w:eastAsiaTheme="minorEastAsia" w:hAnsiTheme="minorHAnsi" w:cstheme="minorBidi"/>
          <w:spacing w:val="0"/>
          <w:sz w:val="22"/>
          <w:szCs w:val="22"/>
        </w:rPr>
      </w:pPr>
      <w:hyperlink w:anchor="_Toc94603243" w:history="1">
        <w:r w:rsidR="00302B64" w:rsidRPr="00153918">
          <w:rPr>
            <w:rStyle w:val="Hyperlink"/>
          </w:rPr>
          <w:t>Further implementation considerations</w:t>
        </w:r>
        <w:r w:rsidR="00302B64">
          <w:rPr>
            <w:webHidden/>
          </w:rPr>
          <w:tab/>
        </w:r>
        <w:r w:rsidR="00302B64">
          <w:rPr>
            <w:webHidden/>
          </w:rPr>
          <w:fldChar w:fldCharType="begin"/>
        </w:r>
        <w:r w:rsidR="00302B64">
          <w:rPr>
            <w:webHidden/>
          </w:rPr>
          <w:instrText xml:space="preserve"> PAGEREF _Toc94603243 \h </w:instrText>
        </w:r>
        <w:r w:rsidR="00302B64">
          <w:rPr>
            <w:webHidden/>
          </w:rPr>
        </w:r>
        <w:r w:rsidR="00302B64">
          <w:rPr>
            <w:webHidden/>
          </w:rPr>
          <w:fldChar w:fldCharType="separate"/>
        </w:r>
        <w:r w:rsidR="00302B64">
          <w:rPr>
            <w:webHidden/>
          </w:rPr>
          <w:t>3</w:t>
        </w:r>
        <w:r w:rsidR="00302B64">
          <w:rPr>
            <w:webHidden/>
          </w:rPr>
          <w:fldChar w:fldCharType="end"/>
        </w:r>
      </w:hyperlink>
    </w:p>
    <w:p w14:paraId="1EFBE79C" w14:textId="24C0926B" w:rsidR="00302B64" w:rsidRDefault="00E2128E">
      <w:pPr>
        <w:pStyle w:val="TOC2"/>
        <w:rPr>
          <w:rFonts w:asciiTheme="minorHAnsi" w:eastAsiaTheme="minorEastAsia" w:hAnsiTheme="minorHAnsi" w:cstheme="minorBidi"/>
          <w:spacing w:val="0"/>
          <w:sz w:val="22"/>
          <w:szCs w:val="22"/>
        </w:rPr>
      </w:pPr>
      <w:hyperlink w:anchor="_Toc94603244" w:history="1">
        <w:r w:rsidR="00302B64" w:rsidRPr="00153918">
          <w:rPr>
            <w:rStyle w:val="Hyperlink"/>
          </w:rPr>
          <w:t>Scope of the TLG</w:t>
        </w:r>
        <w:r w:rsidR="00302B64">
          <w:rPr>
            <w:webHidden/>
          </w:rPr>
          <w:tab/>
        </w:r>
        <w:r w:rsidR="00302B64">
          <w:rPr>
            <w:webHidden/>
          </w:rPr>
          <w:fldChar w:fldCharType="begin"/>
        </w:r>
        <w:r w:rsidR="00302B64">
          <w:rPr>
            <w:webHidden/>
          </w:rPr>
          <w:instrText xml:space="preserve"> PAGEREF _Toc94603244 \h </w:instrText>
        </w:r>
        <w:r w:rsidR="00302B64">
          <w:rPr>
            <w:webHidden/>
          </w:rPr>
        </w:r>
        <w:r w:rsidR="00302B64">
          <w:rPr>
            <w:webHidden/>
          </w:rPr>
          <w:fldChar w:fldCharType="separate"/>
        </w:r>
        <w:r w:rsidR="00302B64">
          <w:rPr>
            <w:webHidden/>
          </w:rPr>
          <w:t>6</w:t>
        </w:r>
        <w:r w:rsidR="00302B64">
          <w:rPr>
            <w:webHidden/>
          </w:rPr>
          <w:fldChar w:fldCharType="end"/>
        </w:r>
      </w:hyperlink>
    </w:p>
    <w:p w14:paraId="40F1145A" w14:textId="2D96D008" w:rsidR="00302B64" w:rsidRDefault="00E2128E">
      <w:pPr>
        <w:pStyle w:val="TOC2"/>
        <w:rPr>
          <w:rFonts w:asciiTheme="minorHAnsi" w:eastAsiaTheme="minorEastAsia" w:hAnsiTheme="minorHAnsi" w:cstheme="minorBidi"/>
          <w:spacing w:val="0"/>
          <w:sz w:val="22"/>
          <w:szCs w:val="22"/>
        </w:rPr>
      </w:pPr>
      <w:hyperlink w:anchor="_Toc94603245" w:history="1">
        <w:r w:rsidR="00302B64" w:rsidRPr="00153918">
          <w:rPr>
            <w:rStyle w:val="Hyperlink"/>
          </w:rPr>
          <w:t>Revised near-term focus of the TLG</w:t>
        </w:r>
        <w:r w:rsidR="00302B64">
          <w:rPr>
            <w:webHidden/>
          </w:rPr>
          <w:tab/>
        </w:r>
        <w:r w:rsidR="00302B64">
          <w:rPr>
            <w:webHidden/>
          </w:rPr>
          <w:fldChar w:fldCharType="begin"/>
        </w:r>
        <w:r w:rsidR="00302B64">
          <w:rPr>
            <w:webHidden/>
          </w:rPr>
          <w:instrText xml:space="preserve"> PAGEREF _Toc94603245 \h </w:instrText>
        </w:r>
        <w:r w:rsidR="00302B64">
          <w:rPr>
            <w:webHidden/>
          </w:rPr>
        </w:r>
        <w:r w:rsidR="00302B64">
          <w:rPr>
            <w:webHidden/>
          </w:rPr>
          <w:fldChar w:fldCharType="separate"/>
        </w:r>
        <w:r w:rsidR="00302B64">
          <w:rPr>
            <w:webHidden/>
          </w:rPr>
          <w:t>7</w:t>
        </w:r>
        <w:r w:rsidR="00302B64">
          <w:rPr>
            <w:webHidden/>
          </w:rPr>
          <w:fldChar w:fldCharType="end"/>
        </w:r>
      </w:hyperlink>
    </w:p>
    <w:p w14:paraId="7BA6A1E0" w14:textId="6E2833F8" w:rsidR="00302B64" w:rsidRDefault="00E2128E">
      <w:pPr>
        <w:pStyle w:val="TOC1"/>
        <w:rPr>
          <w:rFonts w:asciiTheme="minorHAnsi" w:eastAsiaTheme="minorEastAsia" w:hAnsiTheme="minorHAnsi" w:cstheme="minorBidi"/>
          <w:b w:val="0"/>
          <w:spacing w:val="0"/>
          <w:sz w:val="22"/>
          <w:szCs w:val="22"/>
        </w:rPr>
      </w:pPr>
      <w:hyperlink w:anchor="_Toc94603246" w:history="1">
        <w:r w:rsidR="00302B64" w:rsidRPr="00153918">
          <w:rPr>
            <w:rStyle w:val="Hyperlink"/>
          </w:rPr>
          <w:t>Outline of paper</w:t>
        </w:r>
        <w:r w:rsidR="00302B64">
          <w:rPr>
            <w:webHidden/>
          </w:rPr>
          <w:tab/>
        </w:r>
        <w:r w:rsidR="00302B64">
          <w:rPr>
            <w:webHidden/>
          </w:rPr>
          <w:fldChar w:fldCharType="begin"/>
        </w:r>
        <w:r w:rsidR="00302B64">
          <w:rPr>
            <w:webHidden/>
          </w:rPr>
          <w:instrText xml:space="preserve"> PAGEREF _Toc94603246 \h </w:instrText>
        </w:r>
        <w:r w:rsidR="00302B64">
          <w:rPr>
            <w:webHidden/>
          </w:rPr>
        </w:r>
        <w:r w:rsidR="00302B64">
          <w:rPr>
            <w:webHidden/>
          </w:rPr>
          <w:fldChar w:fldCharType="separate"/>
        </w:r>
        <w:r w:rsidR="00302B64">
          <w:rPr>
            <w:webHidden/>
          </w:rPr>
          <w:t>9</w:t>
        </w:r>
        <w:r w:rsidR="00302B64">
          <w:rPr>
            <w:webHidden/>
          </w:rPr>
          <w:fldChar w:fldCharType="end"/>
        </w:r>
      </w:hyperlink>
    </w:p>
    <w:p w14:paraId="429CFEC5" w14:textId="5226A8AA" w:rsidR="00302B64" w:rsidRDefault="00E2128E">
      <w:pPr>
        <w:pStyle w:val="TOC2"/>
        <w:rPr>
          <w:rFonts w:asciiTheme="minorHAnsi" w:eastAsiaTheme="minorEastAsia" w:hAnsiTheme="minorHAnsi" w:cstheme="minorBidi"/>
          <w:spacing w:val="0"/>
          <w:sz w:val="22"/>
          <w:szCs w:val="22"/>
        </w:rPr>
      </w:pPr>
      <w:hyperlink w:anchor="_Toc94603247" w:history="1">
        <w:r w:rsidR="00302B64" w:rsidRPr="00153918">
          <w:rPr>
            <w:rStyle w:val="Hyperlink"/>
            <w:strike/>
          </w:rPr>
          <w:t>Timeline</w:t>
        </w:r>
        <w:r w:rsidR="00302B64">
          <w:rPr>
            <w:webHidden/>
          </w:rPr>
          <w:tab/>
        </w:r>
        <w:r w:rsidR="00302B64">
          <w:rPr>
            <w:webHidden/>
          </w:rPr>
          <w:fldChar w:fldCharType="begin"/>
        </w:r>
        <w:r w:rsidR="00302B64">
          <w:rPr>
            <w:webHidden/>
          </w:rPr>
          <w:instrText xml:space="preserve"> PAGEREF _Toc94603247 \h </w:instrText>
        </w:r>
        <w:r w:rsidR="00302B64">
          <w:rPr>
            <w:webHidden/>
          </w:rPr>
        </w:r>
        <w:r w:rsidR="00302B64">
          <w:rPr>
            <w:webHidden/>
          </w:rPr>
          <w:fldChar w:fldCharType="separate"/>
        </w:r>
        <w:r w:rsidR="00302B64">
          <w:rPr>
            <w:webHidden/>
          </w:rPr>
          <w:t>9</w:t>
        </w:r>
        <w:r w:rsidR="00302B64">
          <w:rPr>
            <w:webHidden/>
          </w:rPr>
          <w:fldChar w:fldCharType="end"/>
        </w:r>
      </w:hyperlink>
    </w:p>
    <w:p w14:paraId="1BE690BA" w14:textId="61582B77" w:rsidR="00302B64" w:rsidRDefault="00E2128E">
      <w:pPr>
        <w:pStyle w:val="TOC1"/>
        <w:rPr>
          <w:rFonts w:asciiTheme="minorHAnsi" w:eastAsiaTheme="minorEastAsia" w:hAnsiTheme="minorHAnsi" w:cstheme="minorBidi"/>
          <w:b w:val="0"/>
          <w:spacing w:val="0"/>
          <w:sz w:val="22"/>
          <w:szCs w:val="22"/>
        </w:rPr>
      </w:pPr>
      <w:hyperlink w:anchor="_Toc94603248" w:history="1">
        <w:r w:rsidR="00302B64" w:rsidRPr="00153918">
          <w:rPr>
            <w:rStyle w:val="Hyperlink"/>
          </w:rPr>
          <w:t>Miscellaneous issues</w:t>
        </w:r>
        <w:r w:rsidR="00302B64">
          <w:rPr>
            <w:webHidden/>
          </w:rPr>
          <w:tab/>
        </w:r>
        <w:r w:rsidR="00302B64">
          <w:rPr>
            <w:webHidden/>
          </w:rPr>
          <w:fldChar w:fldCharType="begin"/>
        </w:r>
        <w:r w:rsidR="00302B64">
          <w:rPr>
            <w:webHidden/>
          </w:rPr>
          <w:instrText xml:space="preserve"> PAGEREF _Toc94603248 \h </w:instrText>
        </w:r>
        <w:r w:rsidR="00302B64">
          <w:rPr>
            <w:webHidden/>
          </w:rPr>
        </w:r>
        <w:r w:rsidR="00302B64">
          <w:rPr>
            <w:webHidden/>
          </w:rPr>
          <w:fldChar w:fldCharType="separate"/>
        </w:r>
        <w:r w:rsidR="00302B64">
          <w:rPr>
            <w:webHidden/>
          </w:rPr>
          <w:t>10</w:t>
        </w:r>
        <w:r w:rsidR="00302B64">
          <w:rPr>
            <w:webHidden/>
          </w:rPr>
          <w:fldChar w:fldCharType="end"/>
        </w:r>
      </w:hyperlink>
    </w:p>
    <w:p w14:paraId="774AFC25" w14:textId="4899F9DC" w:rsidR="00302B64" w:rsidRDefault="00E2128E">
      <w:pPr>
        <w:pStyle w:val="TOC2"/>
        <w:rPr>
          <w:rFonts w:asciiTheme="minorHAnsi" w:eastAsiaTheme="minorEastAsia" w:hAnsiTheme="minorHAnsi" w:cstheme="minorBidi"/>
          <w:spacing w:val="0"/>
          <w:sz w:val="22"/>
          <w:szCs w:val="22"/>
        </w:rPr>
      </w:pPr>
      <w:hyperlink w:anchor="_Toc94603249" w:history="1">
        <w:r w:rsidR="00302B64" w:rsidRPr="00153918">
          <w:rPr>
            <w:rStyle w:val="Hyperlink"/>
          </w:rPr>
          <w:t>Purpose</w:t>
        </w:r>
        <w:r w:rsidR="00302B64">
          <w:rPr>
            <w:webHidden/>
          </w:rPr>
          <w:tab/>
        </w:r>
        <w:r w:rsidR="00302B64">
          <w:rPr>
            <w:webHidden/>
          </w:rPr>
          <w:fldChar w:fldCharType="begin"/>
        </w:r>
        <w:r w:rsidR="00302B64">
          <w:rPr>
            <w:webHidden/>
          </w:rPr>
          <w:instrText xml:space="preserve"> PAGEREF _Toc94603249 \h </w:instrText>
        </w:r>
        <w:r w:rsidR="00302B64">
          <w:rPr>
            <w:webHidden/>
          </w:rPr>
        </w:r>
        <w:r w:rsidR="00302B64">
          <w:rPr>
            <w:webHidden/>
          </w:rPr>
          <w:fldChar w:fldCharType="separate"/>
        </w:r>
        <w:r w:rsidR="00302B64">
          <w:rPr>
            <w:webHidden/>
          </w:rPr>
          <w:t>10</w:t>
        </w:r>
        <w:r w:rsidR="00302B64">
          <w:rPr>
            <w:webHidden/>
          </w:rPr>
          <w:fldChar w:fldCharType="end"/>
        </w:r>
      </w:hyperlink>
    </w:p>
    <w:p w14:paraId="12B809B6" w14:textId="212C2866" w:rsidR="00302B64" w:rsidRDefault="00E2128E">
      <w:pPr>
        <w:pStyle w:val="TOC2"/>
        <w:rPr>
          <w:rFonts w:asciiTheme="minorHAnsi" w:eastAsiaTheme="minorEastAsia" w:hAnsiTheme="minorHAnsi" w:cstheme="minorBidi"/>
          <w:spacing w:val="0"/>
          <w:sz w:val="22"/>
          <w:szCs w:val="22"/>
        </w:rPr>
      </w:pPr>
      <w:hyperlink w:anchor="_Toc94603250" w:history="1">
        <w:r w:rsidR="00302B64" w:rsidRPr="00153918">
          <w:rPr>
            <w:rStyle w:val="Hyperlink"/>
          </w:rPr>
          <w:t>Possible definitions of metro and major regional areas for AWLs (not essential for remote)</w:t>
        </w:r>
        <w:r w:rsidR="00302B64">
          <w:rPr>
            <w:webHidden/>
          </w:rPr>
          <w:tab/>
        </w:r>
        <w:r w:rsidR="00302B64">
          <w:rPr>
            <w:webHidden/>
          </w:rPr>
          <w:fldChar w:fldCharType="begin"/>
        </w:r>
        <w:r w:rsidR="00302B64">
          <w:rPr>
            <w:webHidden/>
          </w:rPr>
          <w:instrText xml:space="preserve"> PAGEREF _Toc94603250 \h </w:instrText>
        </w:r>
        <w:r w:rsidR="00302B64">
          <w:rPr>
            <w:webHidden/>
          </w:rPr>
        </w:r>
        <w:r w:rsidR="00302B64">
          <w:rPr>
            <w:webHidden/>
          </w:rPr>
          <w:fldChar w:fldCharType="separate"/>
        </w:r>
        <w:r w:rsidR="00302B64">
          <w:rPr>
            <w:webHidden/>
          </w:rPr>
          <w:t>10</w:t>
        </w:r>
        <w:r w:rsidR="00302B64">
          <w:rPr>
            <w:webHidden/>
          </w:rPr>
          <w:fldChar w:fldCharType="end"/>
        </w:r>
      </w:hyperlink>
    </w:p>
    <w:p w14:paraId="39593EBE" w14:textId="1CC17F98" w:rsidR="00302B64" w:rsidRDefault="00E2128E">
      <w:pPr>
        <w:pStyle w:val="TOC2"/>
        <w:rPr>
          <w:rFonts w:asciiTheme="minorHAnsi" w:eastAsiaTheme="minorEastAsia" w:hAnsiTheme="minorHAnsi" w:cstheme="minorBidi"/>
          <w:spacing w:val="0"/>
          <w:sz w:val="22"/>
          <w:szCs w:val="22"/>
        </w:rPr>
      </w:pPr>
      <w:hyperlink w:anchor="_Toc94603251" w:history="1">
        <w:r w:rsidR="00302B64" w:rsidRPr="00153918">
          <w:rPr>
            <w:rStyle w:val="Hyperlink"/>
          </w:rPr>
          <w:t>The future of Embargo 78</w:t>
        </w:r>
        <w:r w:rsidR="00302B64">
          <w:rPr>
            <w:webHidden/>
          </w:rPr>
          <w:tab/>
        </w:r>
        <w:r w:rsidR="00302B64">
          <w:rPr>
            <w:webHidden/>
          </w:rPr>
          <w:fldChar w:fldCharType="begin"/>
        </w:r>
        <w:r w:rsidR="00302B64">
          <w:rPr>
            <w:webHidden/>
          </w:rPr>
          <w:instrText xml:space="preserve"> PAGEREF _Toc94603251 \h </w:instrText>
        </w:r>
        <w:r w:rsidR="00302B64">
          <w:rPr>
            <w:webHidden/>
          </w:rPr>
        </w:r>
        <w:r w:rsidR="00302B64">
          <w:rPr>
            <w:webHidden/>
          </w:rPr>
          <w:fldChar w:fldCharType="separate"/>
        </w:r>
        <w:r w:rsidR="00302B64">
          <w:rPr>
            <w:webHidden/>
          </w:rPr>
          <w:t>13</w:t>
        </w:r>
        <w:r w:rsidR="00302B64">
          <w:rPr>
            <w:webHidden/>
          </w:rPr>
          <w:fldChar w:fldCharType="end"/>
        </w:r>
      </w:hyperlink>
    </w:p>
    <w:p w14:paraId="2FC8DEA2" w14:textId="7F175746" w:rsidR="00302B64" w:rsidRDefault="00E2128E">
      <w:pPr>
        <w:pStyle w:val="TOC2"/>
        <w:rPr>
          <w:rFonts w:asciiTheme="minorHAnsi" w:eastAsiaTheme="minorEastAsia" w:hAnsiTheme="minorHAnsi" w:cstheme="minorBidi"/>
          <w:spacing w:val="0"/>
          <w:sz w:val="22"/>
          <w:szCs w:val="22"/>
        </w:rPr>
      </w:pPr>
      <w:hyperlink w:anchor="_Toc94603252" w:history="1">
        <w:r w:rsidR="00302B64" w:rsidRPr="00153918">
          <w:rPr>
            <w:rStyle w:val="Hyperlink"/>
          </w:rPr>
          <w:t>Proposal for a new ESPZ</w:t>
        </w:r>
        <w:r w:rsidR="00302B64">
          <w:rPr>
            <w:webHidden/>
          </w:rPr>
          <w:tab/>
        </w:r>
        <w:r w:rsidR="00302B64">
          <w:rPr>
            <w:webHidden/>
          </w:rPr>
          <w:fldChar w:fldCharType="begin"/>
        </w:r>
        <w:r w:rsidR="00302B64">
          <w:rPr>
            <w:webHidden/>
          </w:rPr>
          <w:instrText xml:space="preserve"> PAGEREF _Toc94603252 \h </w:instrText>
        </w:r>
        <w:r w:rsidR="00302B64">
          <w:rPr>
            <w:webHidden/>
          </w:rPr>
        </w:r>
        <w:r w:rsidR="00302B64">
          <w:rPr>
            <w:webHidden/>
          </w:rPr>
          <w:fldChar w:fldCharType="separate"/>
        </w:r>
        <w:r w:rsidR="00302B64">
          <w:rPr>
            <w:webHidden/>
          </w:rPr>
          <w:t>13</w:t>
        </w:r>
        <w:r w:rsidR="00302B64">
          <w:rPr>
            <w:webHidden/>
          </w:rPr>
          <w:fldChar w:fldCharType="end"/>
        </w:r>
      </w:hyperlink>
    </w:p>
    <w:p w14:paraId="4811BE00" w14:textId="35E5B053" w:rsidR="00302B64" w:rsidRDefault="00E2128E">
      <w:pPr>
        <w:pStyle w:val="TOC2"/>
        <w:rPr>
          <w:rFonts w:asciiTheme="minorHAnsi" w:eastAsiaTheme="minorEastAsia" w:hAnsiTheme="minorHAnsi" w:cstheme="minorBidi"/>
          <w:spacing w:val="0"/>
          <w:sz w:val="22"/>
          <w:szCs w:val="22"/>
        </w:rPr>
      </w:pPr>
      <w:hyperlink w:anchor="_Toc94603253" w:history="1">
        <w:r w:rsidR="00302B64" w:rsidRPr="00153918">
          <w:rPr>
            <w:rStyle w:val="Hyperlink"/>
          </w:rPr>
          <w:t>The pricing of AWLs</w:t>
        </w:r>
        <w:r w:rsidR="00302B64">
          <w:rPr>
            <w:webHidden/>
          </w:rPr>
          <w:tab/>
        </w:r>
        <w:r w:rsidR="00302B64">
          <w:rPr>
            <w:webHidden/>
          </w:rPr>
          <w:fldChar w:fldCharType="begin"/>
        </w:r>
        <w:r w:rsidR="00302B64">
          <w:rPr>
            <w:webHidden/>
          </w:rPr>
          <w:instrText xml:space="preserve"> PAGEREF _Toc94603253 \h </w:instrText>
        </w:r>
        <w:r w:rsidR="00302B64">
          <w:rPr>
            <w:webHidden/>
          </w:rPr>
        </w:r>
        <w:r w:rsidR="00302B64">
          <w:rPr>
            <w:webHidden/>
          </w:rPr>
          <w:fldChar w:fldCharType="separate"/>
        </w:r>
        <w:r w:rsidR="00302B64">
          <w:rPr>
            <w:webHidden/>
          </w:rPr>
          <w:t>13</w:t>
        </w:r>
        <w:r w:rsidR="00302B64">
          <w:rPr>
            <w:webHidden/>
          </w:rPr>
          <w:fldChar w:fldCharType="end"/>
        </w:r>
      </w:hyperlink>
    </w:p>
    <w:p w14:paraId="6BB2D4F9" w14:textId="18704EF9" w:rsidR="00302B64" w:rsidRDefault="00E2128E">
      <w:pPr>
        <w:pStyle w:val="TOC1"/>
        <w:rPr>
          <w:rFonts w:asciiTheme="minorHAnsi" w:eastAsiaTheme="minorEastAsia" w:hAnsiTheme="minorHAnsi" w:cstheme="minorBidi"/>
          <w:b w:val="0"/>
          <w:spacing w:val="0"/>
          <w:sz w:val="22"/>
          <w:szCs w:val="22"/>
        </w:rPr>
      </w:pPr>
      <w:hyperlink w:anchor="_Toc94603254" w:history="1">
        <w:r w:rsidR="00302B64" w:rsidRPr="00153918">
          <w:rPr>
            <w:rStyle w:val="Hyperlink"/>
          </w:rPr>
          <w:t>Point-to-point service arrangements (essential for remote)</w:t>
        </w:r>
        <w:r w:rsidR="00302B64">
          <w:rPr>
            <w:webHidden/>
          </w:rPr>
          <w:tab/>
        </w:r>
        <w:r w:rsidR="00302B64">
          <w:rPr>
            <w:webHidden/>
          </w:rPr>
          <w:fldChar w:fldCharType="begin"/>
        </w:r>
        <w:r w:rsidR="00302B64">
          <w:rPr>
            <w:webHidden/>
          </w:rPr>
          <w:instrText xml:space="preserve"> PAGEREF _Toc94603254 \h </w:instrText>
        </w:r>
        <w:r w:rsidR="00302B64">
          <w:rPr>
            <w:webHidden/>
          </w:rPr>
        </w:r>
        <w:r w:rsidR="00302B64">
          <w:rPr>
            <w:webHidden/>
          </w:rPr>
          <w:fldChar w:fldCharType="separate"/>
        </w:r>
        <w:r w:rsidR="00302B64">
          <w:rPr>
            <w:webHidden/>
          </w:rPr>
          <w:t>14</w:t>
        </w:r>
        <w:r w:rsidR="00302B64">
          <w:rPr>
            <w:webHidden/>
          </w:rPr>
          <w:fldChar w:fldCharType="end"/>
        </w:r>
      </w:hyperlink>
    </w:p>
    <w:p w14:paraId="46A13F88" w14:textId="06D23D4F" w:rsidR="00302B64" w:rsidRDefault="00E2128E">
      <w:pPr>
        <w:pStyle w:val="TOC2"/>
        <w:rPr>
          <w:rFonts w:asciiTheme="minorHAnsi" w:eastAsiaTheme="minorEastAsia" w:hAnsiTheme="minorHAnsi" w:cstheme="minorBidi"/>
          <w:spacing w:val="0"/>
          <w:sz w:val="22"/>
          <w:szCs w:val="22"/>
        </w:rPr>
      </w:pPr>
      <w:hyperlink w:anchor="_Toc94603255" w:history="1">
        <w:r w:rsidR="00302B64" w:rsidRPr="00153918">
          <w:rPr>
            <w:rStyle w:val="Hyperlink"/>
          </w:rPr>
          <w:t>Background</w:t>
        </w:r>
        <w:r w:rsidR="00302B64">
          <w:rPr>
            <w:webHidden/>
          </w:rPr>
          <w:tab/>
        </w:r>
        <w:r w:rsidR="00302B64">
          <w:rPr>
            <w:webHidden/>
          </w:rPr>
          <w:fldChar w:fldCharType="begin"/>
        </w:r>
        <w:r w:rsidR="00302B64">
          <w:rPr>
            <w:webHidden/>
          </w:rPr>
          <w:instrText xml:space="preserve"> PAGEREF _Toc94603255 \h </w:instrText>
        </w:r>
        <w:r w:rsidR="00302B64">
          <w:rPr>
            <w:webHidden/>
          </w:rPr>
        </w:r>
        <w:r w:rsidR="00302B64">
          <w:rPr>
            <w:webHidden/>
          </w:rPr>
          <w:fldChar w:fldCharType="separate"/>
        </w:r>
        <w:r w:rsidR="00302B64">
          <w:rPr>
            <w:webHidden/>
          </w:rPr>
          <w:t>14</w:t>
        </w:r>
        <w:r w:rsidR="00302B64">
          <w:rPr>
            <w:webHidden/>
          </w:rPr>
          <w:fldChar w:fldCharType="end"/>
        </w:r>
      </w:hyperlink>
    </w:p>
    <w:p w14:paraId="330F0D9D" w14:textId="263E8550" w:rsidR="00302B64" w:rsidRDefault="00E2128E">
      <w:pPr>
        <w:pStyle w:val="TOC3"/>
        <w:rPr>
          <w:rFonts w:asciiTheme="minorHAnsi" w:eastAsiaTheme="minorEastAsia" w:hAnsiTheme="minorHAnsi" w:cstheme="minorBidi"/>
        </w:rPr>
      </w:pPr>
      <w:hyperlink w:anchor="_Toc94603256" w:history="1">
        <w:r w:rsidR="00302B64" w:rsidRPr="00153918">
          <w:rPr>
            <w:rStyle w:val="Hyperlink"/>
          </w:rPr>
          <w:t>PTP channel plan options</w:t>
        </w:r>
        <w:r w:rsidR="00302B64">
          <w:rPr>
            <w:webHidden/>
          </w:rPr>
          <w:tab/>
        </w:r>
        <w:r w:rsidR="00302B64">
          <w:rPr>
            <w:webHidden/>
          </w:rPr>
          <w:fldChar w:fldCharType="begin"/>
        </w:r>
        <w:r w:rsidR="00302B64">
          <w:rPr>
            <w:webHidden/>
          </w:rPr>
          <w:instrText xml:space="preserve"> PAGEREF _Toc94603256 \h </w:instrText>
        </w:r>
        <w:r w:rsidR="00302B64">
          <w:rPr>
            <w:webHidden/>
          </w:rPr>
        </w:r>
        <w:r w:rsidR="00302B64">
          <w:rPr>
            <w:webHidden/>
          </w:rPr>
          <w:fldChar w:fldCharType="separate"/>
        </w:r>
        <w:r w:rsidR="00302B64">
          <w:rPr>
            <w:webHidden/>
          </w:rPr>
          <w:t>14</w:t>
        </w:r>
        <w:r w:rsidR="00302B64">
          <w:rPr>
            <w:webHidden/>
          </w:rPr>
          <w:fldChar w:fldCharType="end"/>
        </w:r>
      </w:hyperlink>
    </w:p>
    <w:p w14:paraId="638A0544" w14:textId="19502710" w:rsidR="00302B64" w:rsidRDefault="00E2128E">
      <w:pPr>
        <w:pStyle w:val="TOC3"/>
        <w:rPr>
          <w:rFonts w:asciiTheme="minorHAnsi" w:eastAsiaTheme="minorEastAsia" w:hAnsiTheme="minorHAnsi" w:cstheme="minorBidi"/>
        </w:rPr>
      </w:pPr>
      <w:hyperlink w:anchor="_Toc94603257" w:history="1">
        <w:r w:rsidR="00302B64" w:rsidRPr="00153918">
          <w:rPr>
            <w:rStyle w:val="Hyperlink"/>
          </w:rPr>
          <w:t>ACMA staff preliminary views</w:t>
        </w:r>
        <w:r w:rsidR="00302B64">
          <w:rPr>
            <w:webHidden/>
          </w:rPr>
          <w:tab/>
        </w:r>
        <w:r w:rsidR="00302B64">
          <w:rPr>
            <w:webHidden/>
          </w:rPr>
          <w:fldChar w:fldCharType="begin"/>
        </w:r>
        <w:r w:rsidR="00302B64">
          <w:rPr>
            <w:webHidden/>
          </w:rPr>
          <w:instrText xml:space="preserve"> PAGEREF _Toc94603257 \h </w:instrText>
        </w:r>
        <w:r w:rsidR="00302B64">
          <w:rPr>
            <w:webHidden/>
          </w:rPr>
        </w:r>
        <w:r w:rsidR="00302B64">
          <w:rPr>
            <w:webHidden/>
          </w:rPr>
          <w:fldChar w:fldCharType="separate"/>
        </w:r>
        <w:r w:rsidR="00302B64">
          <w:rPr>
            <w:webHidden/>
          </w:rPr>
          <w:t>15</w:t>
        </w:r>
        <w:r w:rsidR="00302B64">
          <w:rPr>
            <w:webHidden/>
          </w:rPr>
          <w:fldChar w:fldCharType="end"/>
        </w:r>
      </w:hyperlink>
    </w:p>
    <w:p w14:paraId="40F8FB9D" w14:textId="1D5546C8" w:rsidR="00302B64" w:rsidRDefault="00E2128E">
      <w:pPr>
        <w:pStyle w:val="TOC3"/>
        <w:rPr>
          <w:rFonts w:asciiTheme="minorHAnsi" w:eastAsiaTheme="minorEastAsia" w:hAnsiTheme="minorHAnsi" w:cstheme="minorBidi"/>
        </w:rPr>
      </w:pPr>
      <w:hyperlink w:anchor="_Toc94603258" w:history="1">
        <w:r w:rsidR="00302B64" w:rsidRPr="00153918">
          <w:rPr>
            <w:rStyle w:val="Hyperlink"/>
          </w:rPr>
          <w:t>Use of possible PTP Option 1</w:t>
        </w:r>
        <w:r w:rsidR="00302B64">
          <w:rPr>
            <w:webHidden/>
          </w:rPr>
          <w:tab/>
        </w:r>
        <w:r w:rsidR="00302B64">
          <w:rPr>
            <w:webHidden/>
          </w:rPr>
          <w:fldChar w:fldCharType="begin"/>
        </w:r>
        <w:r w:rsidR="00302B64">
          <w:rPr>
            <w:webHidden/>
          </w:rPr>
          <w:instrText xml:space="preserve"> PAGEREF _Toc94603258 \h </w:instrText>
        </w:r>
        <w:r w:rsidR="00302B64">
          <w:rPr>
            <w:webHidden/>
          </w:rPr>
        </w:r>
        <w:r w:rsidR="00302B64">
          <w:rPr>
            <w:webHidden/>
          </w:rPr>
          <w:fldChar w:fldCharType="separate"/>
        </w:r>
        <w:r w:rsidR="00302B64">
          <w:rPr>
            <w:webHidden/>
          </w:rPr>
          <w:t>15</w:t>
        </w:r>
        <w:r w:rsidR="00302B64">
          <w:rPr>
            <w:webHidden/>
          </w:rPr>
          <w:fldChar w:fldCharType="end"/>
        </w:r>
      </w:hyperlink>
    </w:p>
    <w:p w14:paraId="2AD97DD1" w14:textId="0450A964" w:rsidR="00302B64" w:rsidRDefault="00E2128E">
      <w:pPr>
        <w:pStyle w:val="TOC3"/>
        <w:rPr>
          <w:rFonts w:asciiTheme="minorHAnsi" w:eastAsiaTheme="minorEastAsia" w:hAnsiTheme="minorHAnsi" w:cstheme="minorBidi"/>
        </w:rPr>
      </w:pPr>
      <w:hyperlink w:anchor="_Toc94603259" w:history="1">
        <w:r w:rsidR="00302B64" w:rsidRPr="00153918">
          <w:rPr>
            <w:rStyle w:val="Hyperlink"/>
          </w:rPr>
          <w:t>Retention of PTP Option 2</w:t>
        </w:r>
        <w:r w:rsidR="00302B64">
          <w:rPr>
            <w:webHidden/>
          </w:rPr>
          <w:tab/>
        </w:r>
        <w:r w:rsidR="00302B64">
          <w:rPr>
            <w:webHidden/>
          </w:rPr>
          <w:fldChar w:fldCharType="begin"/>
        </w:r>
        <w:r w:rsidR="00302B64">
          <w:rPr>
            <w:webHidden/>
          </w:rPr>
          <w:instrText xml:space="preserve"> PAGEREF _Toc94603259 \h </w:instrText>
        </w:r>
        <w:r w:rsidR="00302B64">
          <w:rPr>
            <w:webHidden/>
          </w:rPr>
        </w:r>
        <w:r w:rsidR="00302B64">
          <w:rPr>
            <w:webHidden/>
          </w:rPr>
          <w:fldChar w:fldCharType="separate"/>
        </w:r>
        <w:r w:rsidR="00302B64">
          <w:rPr>
            <w:webHidden/>
          </w:rPr>
          <w:t>15</w:t>
        </w:r>
        <w:r w:rsidR="00302B64">
          <w:rPr>
            <w:webHidden/>
          </w:rPr>
          <w:fldChar w:fldCharType="end"/>
        </w:r>
      </w:hyperlink>
    </w:p>
    <w:p w14:paraId="74BC9536" w14:textId="48881D2B" w:rsidR="00302B64" w:rsidRDefault="00E2128E">
      <w:pPr>
        <w:pStyle w:val="TOC3"/>
        <w:rPr>
          <w:rFonts w:asciiTheme="minorHAnsi" w:eastAsiaTheme="minorEastAsia" w:hAnsiTheme="minorHAnsi" w:cstheme="minorBidi"/>
        </w:rPr>
      </w:pPr>
      <w:hyperlink w:anchor="_Toc94603260" w:history="1">
        <w:r w:rsidR="00302B64" w:rsidRPr="00153918">
          <w:rPr>
            <w:rStyle w:val="Hyperlink"/>
          </w:rPr>
          <w:t>PTP Co-existence issues</w:t>
        </w:r>
        <w:r w:rsidR="00302B64">
          <w:rPr>
            <w:webHidden/>
          </w:rPr>
          <w:tab/>
        </w:r>
        <w:r w:rsidR="00302B64">
          <w:rPr>
            <w:webHidden/>
          </w:rPr>
          <w:fldChar w:fldCharType="begin"/>
        </w:r>
        <w:r w:rsidR="00302B64">
          <w:rPr>
            <w:webHidden/>
          </w:rPr>
          <w:instrText xml:space="preserve"> PAGEREF _Toc94603260 \h </w:instrText>
        </w:r>
        <w:r w:rsidR="00302B64">
          <w:rPr>
            <w:webHidden/>
          </w:rPr>
        </w:r>
        <w:r w:rsidR="00302B64">
          <w:rPr>
            <w:webHidden/>
          </w:rPr>
          <w:fldChar w:fldCharType="separate"/>
        </w:r>
        <w:r w:rsidR="00302B64">
          <w:rPr>
            <w:webHidden/>
          </w:rPr>
          <w:t>15</w:t>
        </w:r>
        <w:r w:rsidR="00302B64">
          <w:rPr>
            <w:webHidden/>
          </w:rPr>
          <w:fldChar w:fldCharType="end"/>
        </w:r>
      </w:hyperlink>
    </w:p>
    <w:p w14:paraId="01B5341A" w14:textId="54798215" w:rsidR="00302B64" w:rsidRDefault="00E2128E">
      <w:pPr>
        <w:pStyle w:val="TOC1"/>
        <w:rPr>
          <w:rFonts w:asciiTheme="minorHAnsi" w:eastAsiaTheme="minorEastAsia" w:hAnsiTheme="minorHAnsi" w:cstheme="minorBidi"/>
          <w:b w:val="0"/>
          <w:spacing w:val="0"/>
          <w:sz w:val="22"/>
          <w:szCs w:val="22"/>
        </w:rPr>
      </w:pPr>
      <w:hyperlink w:anchor="_Toc94603261" w:history="1">
        <w:r w:rsidR="00302B64" w:rsidRPr="00153918">
          <w:rPr>
            <w:rStyle w:val="Hyperlink"/>
          </w:rPr>
          <w:t>Coexistence between WBB and aeronautical radionavigation services</w:t>
        </w:r>
        <w:r w:rsidR="00302B64">
          <w:rPr>
            <w:webHidden/>
          </w:rPr>
          <w:tab/>
        </w:r>
        <w:r w:rsidR="00302B64">
          <w:rPr>
            <w:webHidden/>
          </w:rPr>
          <w:fldChar w:fldCharType="begin"/>
        </w:r>
        <w:r w:rsidR="00302B64">
          <w:rPr>
            <w:webHidden/>
          </w:rPr>
          <w:instrText xml:space="preserve"> PAGEREF _Toc94603261 \h </w:instrText>
        </w:r>
        <w:r w:rsidR="00302B64">
          <w:rPr>
            <w:webHidden/>
          </w:rPr>
        </w:r>
        <w:r w:rsidR="00302B64">
          <w:rPr>
            <w:webHidden/>
          </w:rPr>
          <w:fldChar w:fldCharType="separate"/>
        </w:r>
        <w:r w:rsidR="00302B64">
          <w:rPr>
            <w:webHidden/>
          </w:rPr>
          <w:t>16</w:t>
        </w:r>
        <w:r w:rsidR="00302B64">
          <w:rPr>
            <w:webHidden/>
          </w:rPr>
          <w:fldChar w:fldCharType="end"/>
        </w:r>
      </w:hyperlink>
    </w:p>
    <w:p w14:paraId="1F9C8A1C" w14:textId="0466BE7E" w:rsidR="00302B64" w:rsidRDefault="00E2128E">
      <w:pPr>
        <w:pStyle w:val="TOC2"/>
        <w:rPr>
          <w:rFonts w:asciiTheme="minorHAnsi" w:eastAsiaTheme="minorEastAsia" w:hAnsiTheme="minorHAnsi" w:cstheme="minorBidi"/>
          <w:spacing w:val="0"/>
          <w:sz w:val="22"/>
          <w:szCs w:val="22"/>
        </w:rPr>
      </w:pPr>
      <w:hyperlink w:anchor="_Toc94603262" w:history="1">
        <w:r w:rsidR="00302B64" w:rsidRPr="00153918">
          <w:rPr>
            <w:rStyle w:val="Hyperlink"/>
          </w:rPr>
          <w:t>Background</w:t>
        </w:r>
        <w:r w:rsidR="00302B64">
          <w:rPr>
            <w:webHidden/>
          </w:rPr>
          <w:tab/>
        </w:r>
        <w:r w:rsidR="00302B64">
          <w:rPr>
            <w:webHidden/>
          </w:rPr>
          <w:fldChar w:fldCharType="begin"/>
        </w:r>
        <w:r w:rsidR="00302B64">
          <w:rPr>
            <w:webHidden/>
          </w:rPr>
          <w:instrText xml:space="preserve"> PAGEREF _Toc94603262 \h </w:instrText>
        </w:r>
        <w:r w:rsidR="00302B64">
          <w:rPr>
            <w:webHidden/>
          </w:rPr>
        </w:r>
        <w:r w:rsidR="00302B64">
          <w:rPr>
            <w:webHidden/>
          </w:rPr>
          <w:fldChar w:fldCharType="separate"/>
        </w:r>
        <w:r w:rsidR="00302B64">
          <w:rPr>
            <w:webHidden/>
          </w:rPr>
          <w:t>16</w:t>
        </w:r>
        <w:r w:rsidR="00302B64">
          <w:rPr>
            <w:webHidden/>
          </w:rPr>
          <w:fldChar w:fldCharType="end"/>
        </w:r>
      </w:hyperlink>
    </w:p>
    <w:p w14:paraId="536B24A5" w14:textId="3DAC4895" w:rsidR="00302B64" w:rsidRDefault="00E2128E">
      <w:pPr>
        <w:pStyle w:val="TOC2"/>
        <w:rPr>
          <w:rFonts w:asciiTheme="minorHAnsi" w:eastAsiaTheme="minorEastAsia" w:hAnsiTheme="minorHAnsi" w:cstheme="minorBidi"/>
          <w:spacing w:val="0"/>
          <w:sz w:val="22"/>
          <w:szCs w:val="22"/>
        </w:rPr>
      </w:pPr>
      <w:hyperlink w:anchor="_Toc94603263" w:history="1">
        <w:r w:rsidR="00302B64" w:rsidRPr="00153918">
          <w:rPr>
            <w:rStyle w:val="Hyperlink"/>
          </w:rPr>
          <w:t>Recent developments</w:t>
        </w:r>
        <w:r w:rsidR="00302B64">
          <w:rPr>
            <w:webHidden/>
          </w:rPr>
          <w:tab/>
        </w:r>
        <w:r w:rsidR="00302B64">
          <w:rPr>
            <w:webHidden/>
          </w:rPr>
          <w:fldChar w:fldCharType="begin"/>
        </w:r>
        <w:r w:rsidR="00302B64">
          <w:rPr>
            <w:webHidden/>
          </w:rPr>
          <w:instrText xml:space="preserve"> PAGEREF _Toc94603263 \h </w:instrText>
        </w:r>
        <w:r w:rsidR="00302B64">
          <w:rPr>
            <w:webHidden/>
          </w:rPr>
        </w:r>
        <w:r w:rsidR="00302B64">
          <w:rPr>
            <w:webHidden/>
          </w:rPr>
          <w:fldChar w:fldCharType="separate"/>
        </w:r>
        <w:r w:rsidR="00302B64">
          <w:rPr>
            <w:webHidden/>
          </w:rPr>
          <w:t>16</w:t>
        </w:r>
        <w:r w:rsidR="00302B64">
          <w:rPr>
            <w:webHidden/>
          </w:rPr>
          <w:fldChar w:fldCharType="end"/>
        </w:r>
      </w:hyperlink>
    </w:p>
    <w:p w14:paraId="5069C1EE" w14:textId="7918B359" w:rsidR="00302B64" w:rsidRDefault="00E2128E">
      <w:pPr>
        <w:pStyle w:val="TOC3"/>
        <w:rPr>
          <w:rFonts w:asciiTheme="minorHAnsi" w:eastAsiaTheme="minorEastAsia" w:hAnsiTheme="minorHAnsi" w:cstheme="minorBidi"/>
        </w:rPr>
      </w:pPr>
      <w:hyperlink w:anchor="_Toc94603264" w:history="1">
        <w:r w:rsidR="00302B64" w:rsidRPr="00153918">
          <w:rPr>
            <w:rStyle w:val="Hyperlink"/>
          </w:rPr>
          <w:t>Domestic</w:t>
        </w:r>
        <w:r w:rsidR="00302B64">
          <w:rPr>
            <w:webHidden/>
          </w:rPr>
          <w:tab/>
        </w:r>
        <w:r w:rsidR="00302B64">
          <w:rPr>
            <w:webHidden/>
          </w:rPr>
          <w:fldChar w:fldCharType="begin"/>
        </w:r>
        <w:r w:rsidR="00302B64">
          <w:rPr>
            <w:webHidden/>
          </w:rPr>
          <w:instrText xml:space="preserve"> PAGEREF _Toc94603264 \h </w:instrText>
        </w:r>
        <w:r w:rsidR="00302B64">
          <w:rPr>
            <w:webHidden/>
          </w:rPr>
        </w:r>
        <w:r w:rsidR="00302B64">
          <w:rPr>
            <w:webHidden/>
          </w:rPr>
          <w:fldChar w:fldCharType="separate"/>
        </w:r>
        <w:r w:rsidR="00302B64">
          <w:rPr>
            <w:webHidden/>
          </w:rPr>
          <w:t>16</w:t>
        </w:r>
        <w:r w:rsidR="00302B64">
          <w:rPr>
            <w:webHidden/>
          </w:rPr>
          <w:fldChar w:fldCharType="end"/>
        </w:r>
      </w:hyperlink>
    </w:p>
    <w:p w14:paraId="0441A833" w14:textId="2BA40ACB" w:rsidR="00302B64" w:rsidRDefault="00E2128E">
      <w:pPr>
        <w:pStyle w:val="TOC3"/>
        <w:rPr>
          <w:rFonts w:asciiTheme="minorHAnsi" w:eastAsiaTheme="minorEastAsia" w:hAnsiTheme="minorHAnsi" w:cstheme="minorBidi"/>
        </w:rPr>
      </w:pPr>
      <w:hyperlink w:anchor="_Toc94603265" w:history="1">
        <w:r w:rsidR="00302B64" w:rsidRPr="00153918">
          <w:rPr>
            <w:rStyle w:val="Hyperlink"/>
          </w:rPr>
          <w:t>ICAO</w:t>
        </w:r>
        <w:r w:rsidR="00302B64">
          <w:rPr>
            <w:webHidden/>
          </w:rPr>
          <w:tab/>
        </w:r>
        <w:r w:rsidR="00302B64">
          <w:rPr>
            <w:webHidden/>
          </w:rPr>
          <w:fldChar w:fldCharType="begin"/>
        </w:r>
        <w:r w:rsidR="00302B64">
          <w:rPr>
            <w:webHidden/>
          </w:rPr>
          <w:instrText xml:space="preserve"> PAGEREF _Toc94603265 \h </w:instrText>
        </w:r>
        <w:r w:rsidR="00302B64">
          <w:rPr>
            <w:webHidden/>
          </w:rPr>
        </w:r>
        <w:r w:rsidR="00302B64">
          <w:rPr>
            <w:webHidden/>
          </w:rPr>
          <w:fldChar w:fldCharType="separate"/>
        </w:r>
        <w:r w:rsidR="00302B64">
          <w:rPr>
            <w:webHidden/>
          </w:rPr>
          <w:t>16</w:t>
        </w:r>
        <w:r w:rsidR="00302B64">
          <w:rPr>
            <w:webHidden/>
          </w:rPr>
          <w:fldChar w:fldCharType="end"/>
        </w:r>
      </w:hyperlink>
    </w:p>
    <w:p w14:paraId="65DE4CBF" w14:textId="4FA6F280" w:rsidR="00302B64" w:rsidRDefault="00E2128E">
      <w:pPr>
        <w:pStyle w:val="TOC3"/>
        <w:rPr>
          <w:rFonts w:asciiTheme="minorHAnsi" w:eastAsiaTheme="minorEastAsia" w:hAnsiTheme="minorHAnsi" w:cstheme="minorBidi"/>
        </w:rPr>
      </w:pPr>
      <w:hyperlink w:anchor="_Toc94603266" w:history="1">
        <w:r w:rsidR="00302B64" w:rsidRPr="00153918">
          <w:rPr>
            <w:rStyle w:val="Hyperlink"/>
          </w:rPr>
          <w:t>The European Union</w:t>
        </w:r>
        <w:r w:rsidR="00302B64">
          <w:rPr>
            <w:webHidden/>
          </w:rPr>
          <w:tab/>
        </w:r>
        <w:r w:rsidR="00302B64">
          <w:rPr>
            <w:webHidden/>
          </w:rPr>
          <w:fldChar w:fldCharType="begin"/>
        </w:r>
        <w:r w:rsidR="00302B64">
          <w:rPr>
            <w:webHidden/>
          </w:rPr>
          <w:instrText xml:space="preserve"> PAGEREF _Toc94603266 \h </w:instrText>
        </w:r>
        <w:r w:rsidR="00302B64">
          <w:rPr>
            <w:webHidden/>
          </w:rPr>
        </w:r>
        <w:r w:rsidR="00302B64">
          <w:rPr>
            <w:webHidden/>
          </w:rPr>
          <w:fldChar w:fldCharType="separate"/>
        </w:r>
        <w:r w:rsidR="00302B64">
          <w:rPr>
            <w:webHidden/>
          </w:rPr>
          <w:t>17</w:t>
        </w:r>
        <w:r w:rsidR="00302B64">
          <w:rPr>
            <w:webHidden/>
          </w:rPr>
          <w:fldChar w:fldCharType="end"/>
        </w:r>
      </w:hyperlink>
    </w:p>
    <w:p w14:paraId="1C331946" w14:textId="2714A65D" w:rsidR="00302B64" w:rsidRDefault="00E2128E">
      <w:pPr>
        <w:pStyle w:val="TOC3"/>
        <w:rPr>
          <w:rFonts w:asciiTheme="minorHAnsi" w:eastAsiaTheme="minorEastAsia" w:hAnsiTheme="minorHAnsi" w:cstheme="minorBidi"/>
        </w:rPr>
      </w:pPr>
      <w:hyperlink w:anchor="_Toc94603267" w:history="1">
        <w:r w:rsidR="00302B64" w:rsidRPr="00153918">
          <w:rPr>
            <w:rStyle w:val="Hyperlink"/>
          </w:rPr>
          <w:t>The United States of America</w:t>
        </w:r>
        <w:r w:rsidR="00302B64">
          <w:rPr>
            <w:webHidden/>
          </w:rPr>
          <w:tab/>
        </w:r>
        <w:r w:rsidR="00302B64">
          <w:rPr>
            <w:webHidden/>
          </w:rPr>
          <w:fldChar w:fldCharType="begin"/>
        </w:r>
        <w:r w:rsidR="00302B64">
          <w:rPr>
            <w:webHidden/>
          </w:rPr>
          <w:instrText xml:space="preserve"> PAGEREF _Toc94603267 \h </w:instrText>
        </w:r>
        <w:r w:rsidR="00302B64">
          <w:rPr>
            <w:webHidden/>
          </w:rPr>
        </w:r>
        <w:r w:rsidR="00302B64">
          <w:rPr>
            <w:webHidden/>
          </w:rPr>
          <w:fldChar w:fldCharType="separate"/>
        </w:r>
        <w:r w:rsidR="00302B64">
          <w:rPr>
            <w:webHidden/>
          </w:rPr>
          <w:t>17</w:t>
        </w:r>
        <w:r w:rsidR="00302B64">
          <w:rPr>
            <w:webHidden/>
          </w:rPr>
          <w:fldChar w:fldCharType="end"/>
        </w:r>
      </w:hyperlink>
    </w:p>
    <w:p w14:paraId="6F5D5CC2" w14:textId="58E76CBF" w:rsidR="00302B64" w:rsidRDefault="00E2128E">
      <w:pPr>
        <w:pStyle w:val="TOC3"/>
        <w:rPr>
          <w:rFonts w:asciiTheme="minorHAnsi" w:eastAsiaTheme="minorEastAsia" w:hAnsiTheme="minorHAnsi" w:cstheme="minorBidi"/>
        </w:rPr>
      </w:pPr>
      <w:hyperlink w:anchor="_Toc94603268" w:history="1">
        <w:r w:rsidR="00302B64" w:rsidRPr="00153918">
          <w:rPr>
            <w:rStyle w:val="Hyperlink"/>
          </w:rPr>
          <w:t>France</w:t>
        </w:r>
        <w:r w:rsidR="00302B64">
          <w:rPr>
            <w:webHidden/>
          </w:rPr>
          <w:tab/>
        </w:r>
        <w:r w:rsidR="00302B64">
          <w:rPr>
            <w:webHidden/>
          </w:rPr>
          <w:fldChar w:fldCharType="begin"/>
        </w:r>
        <w:r w:rsidR="00302B64">
          <w:rPr>
            <w:webHidden/>
          </w:rPr>
          <w:instrText xml:space="preserve"> PAGEREF _Toc94603268 \h </w:instrText>
        </w:r>
        <w:r w:rsidR="00302B64">
          <w:rPr>
            <w:webHidden/>
          </w:rPr>
        </w:r>
        <w:r w:rsidR="00302B64">
          <w:rPr>
            <w:webHidden/>
          </w:rPr>
          <w:fldChar w:fldCharType="separate"/>
        </w:r>
        <w:r w:rsidR="00302B64">
          <w:rPr>
            <w:webHidden/>
          </w:rPr>
          <w:t>19</w:t>
        </w:r>
        <w:r w:rsidR="00302B64">
          <w:rPr>
            <w:webHidden/>
          </w:rPr>
          <w:fldChar w:fldCharType="end"/>
        </w:r>
      </w:hyperlink>
    </w:p>
    <w:p w14:paraId="6BBC5F82" w14:textId="5004B9B4" w:rsidR="00302B64" w:rsidRDefault="00E2128E">
      <w:pPr>
        <w:pStyle w:val="TOC3"/>
        <w:rPr>
          <w:rFonts w:asciiTheme="minorHAnsi" w:eastAsiaTheme="minorEastAsia" w:hAnsiTheme="minorHAnsi" w:cstheme="minorBidi"/>
        </w:rPr>
      </w:pPr>
      <w:hyperlink w:anchor="_Toc94603269" w:history="1">
        <w:r w:rsidR="00302B64" w:rsidRPr="00153918">
          <w:rPr>
            <w:rStyle w:val="Hyperlink"/>
          </w:rPr>
          <w:t>Belgium</w:t>
        </w:r>
        <w:r w:rsidR="00302B64">
          <w:rPr>
            <w:webHidden/>
          </w:rPr>
          <w:tab/>
        </w:r>
        <w:r w:rsidR="00302B64">
          <w:rPr>
            <w:webHidden/>
          </w:rPr>
          <w:fldChar w:fldCharType="begin"/>
        </w:r>
        <w:r w:rsidR="00302B64">
          <w:rPr>
            <w:webHidden/>
          </w:rPr>
          <w:instrText xml:space="preserve"> PAGEREF _Toc94603269 \h </w:instrText>
        </w:r>
        <w:r w:rsidR="00302B64">
          <w:rPr>
            <w:webHidden/>
          </w:rPr>
        </w:r>
        <w:r w:rsidR="00302B64">
          <w:rPr>
            <w:webHidden/>
          </w:rPr>
          <w:fldChar w:fldCharType="separate"/>
        </w:r>
        <w:r w:rsidR="00302B64">
          <w:rPr>
            <w:webHidden/>
          </w:rPr>
          <w:t>19</w:t>
        </w:r>
        <w:r w:rsidR="00302B64">
          <w:rPr>
            <w:webHidden/>
          </w:rPr>
          <w:fldChar w:fldCharType="end"/>
        </w:r>
      </w:hyperlink>
    </w:p>
    <w:p w14:paraId="34A8E0C2" w14:textId="0D8ACF97" w:rsidR="00302B64" w:rsidRDefault="00E2128E">
      <w:pPr>
        <w:pStyle w:val="TOC3"/>
        <w:rPr>
          <w:rFonts w:asciiTheme="minorHAnsi" w:eastAsiaTheme="minorEastAsia" w:hAnsiTheme="minorHAnsi" w:cstheme="minorBidi"/>
        </w:rPr>
      </w:pPr>
      <w:hyperlink w:anchor="_Toc94603270" w:history="1">
        <w:r w:rsidR="00302B64" w:rsidRPr="00153918">
          <w:rPr>
            <w:rStyle w:val="Hyperlink"/>
          </w:rPr>
          <w:t>Canada</w:t>
        </w:r>
        <w:r w:rsidR="00302B64">
          <w:rPr>
            <w:webHidden/>
          </w:rPr>
          <w:tab/>
        </w:r>
        <w:r w:rsidR="00302B64">
          <w:rPr>
            <w:webHidden/>
          </w:rPr>
          <w:fldChar w:fldCharType="begin"/>
        </w:r>
        <w:r w:rsidR="00302B64">
          <w:rPr>
            <w:webHidden/>
          </w:rPr>
          <w:instrText xml:space="preserve"> PAGEREF _Toc94603270 \h </w:instrText>
        </w:r>
        <w:r w:rsidR="00302B64">
          <w:rPr>
            <w:webHidden/>
          </w:rPr>
        </w:r>
        <w:r w:rsidR="00302B64">
          <w:rPr>
            <w:webHidden/>
          </w:rPr>
          <w:fldChar w:fldCharType="separate"/>
        </w:r>
        <w:r w:rsidR="00302B64">
          <w:rPr>
            <w:webHidden/>
          </w:rPr>
          <w:t>20</w:t>
        </w:r>
        <w:r w:rsidR="00302B64">
          <w:rPr>
            <w:webHidden/>
          </w:rPr>
          <w:fldChar w:fldCharType="end"/>
        </w:r>
      </w:hyperlink>
    </w:p>
    <w:p w14:paraId="4DC346EC" w14:textId="0F478870" w:rsidR="00302B64" w:rsidRDefault="00E2128E">
      <w:pPr>
        <w:pStyle w:val="TOC3"/>
        <w:rPr>
          <w:rFonts w:asciiTheme="minorHAnsi" w:eastAsiaTheme="minorEastAsia" w:hAnsiTheme="minorHAnsi" w:cstheme="minorBidi"/>
        </w:rPr>
      </w:pPr>
      <w:hyperlink w:anchor="_Toc94603271" w:history="1">
        <w:r w:rsidR="00302B64" w:rsidRPr="00153918">
          <w:rPr>
            <w:rStyle w:val="Hyperlink"/>
          </w:rPr>
          <w:t>The United Kingdom 3.8-4.2 GHz band</w:t>
        </w:r>
        <w:r w:rsidR="00302B64">
          <w:rPr>
            <w:webHidden/>
          </w:rPr>
          <w:tab/>
        </w:r>
        <w:r w:rsidR="00302B64">
          <w:rPr>
            <w:webHidden/>
          </w:rPr>
          <w:fldChar w:fldCharType="begin"/>
        </w:r>
        <w:r w:rsidR="00302B64">
          <w:rPr>
            <w:webHidden/>
          </w:rPr>
          <w:instrText xml:space="preserve"> PAGEREF _Toc94603271 \h </w:instrText>
        </w:r>
        <w:r w:rsidR="00302B64">
          <w:rPr>
            <w:webHidden/>
          </w:rPr>
        </w:r>
        <w:r w:rsidR="00302B64">
          <w:rPr>
            <w:webHidden/>
          </w:rPr>
          <w:fldChar w:fldCharType="separate"/>
        </w:r>
        <w:r w:rsidR="00302B64">
          <w:rPr>
            <w:webHidden/>
          </w:rPr>
          <w:t>21</w:t>
        </w:r>
        <w:r w:rsidR="00302B64">
          <w:rPr>
            <w:webHidden/>
          </w:rPr>
          <w:fldChar w:fldCharType="end"/>
        </w:r>
      </w:hyperlink>
    </w:p>
    <w:p w14:paraId="57849A68" w14:textId="029E6B87" w:rsidR="00302B64" w:rsidRDefault="00E2128E">
      <w:pPr>
        <w:pStyle w:val="TOC3"/>
        <w:rPr>
          <w:rFonts w:asciiTheme="minorHAnsi" w:eastAsiaTheme="minorEastAsia" w:hAnsiTheme="minorHAnsi" w:cstheme="minorBidi"/>
        </w:rPr>
      </w:pPr>
      <w:hyperlink w:anchor="_Toc94603272" w:history="1">
        <w:r w:rsidR="00302B64" w:rsidRPr="00153918">
          <w:rPr>
            <w:rStyle w:val="Hyperlink"/>
          </w:rPr>
          <w:t>Japan</w:t>
        </w:r>
        <w:r w:rsidR="00302B64">
          <w:rPr>
            <w:webHidden/>
          </w:rPr>
          <w:tab/>
        </w:r>
        <w:r w:rsidR="00302B64">
          <w:rPr>
            <w:webHidden/>
          </w:rPr>
          <w:fldChar w:fldCharType="begin"/>
        </w:r>
        <w:r w:rsidR="00302B64">
          <w:rPr>
            <w:webHidden/>
          </w:rPr>
          <w:instrText xml:space="preserve"> PAGEREF _Toc94603272 \h </w:instrText>
        </w:r>
        <w:r w:rsidR="00302B64">
          <w:rPr>
            <w:webHidden/>
          </w:rPr>
        </w:r>
        <w:r w:rsidR="00302B64">
          <w:rPr>
            <w:webHidden/>
          </w:rPr>
          <w:fldChar w:fldCharType="separate"/>
        </w:r>
        <w:r w:rsidR="00302B64">
          <w:rPr>
            <w:webHidden/>
          </w:rPr>
          <w:t>21</w:t>
        </w:r>
        <w:r w:rsidR="00302B64">
          <w:rPr>
            <w:webHidden/>
          </w:rPr>
          <w:fldChar w:fldCharType="end"/>
        </w:r>
      </w:hyperlink>
    </w:p>
    <w:p w14:paraId="15247D59" w14:textId="30DA01A7" w:rsidR="00302B64" w:rsidRDefault="00E2128E">
      <w:pPr>
        <w:pStyle w:val="TOC2"/>
        <w:rPr>
          <w:rFonts w:asciiTheme="minorHAnsi" w:eastAsiaTheme="minorEastAsia" w:hAnsiTheme="minorHAnsi" w:cstheme="minorBidi"/>
          <w:spacing w:val="0"/>
          <w:sz w:val="22"/>
          <w:szCs w:val="22"/>
        </w:rPr>
      </w:pPr>
      <w:hyperlink w:anchor="_Toc94603273" w:history="1">
        <w:r w:rsidR="00302B64" w:rsidRPr="00153918">
          <w:rPr>
            <w:rStyle w:val="Hyperlink"/>
          </w:rPr>
          <w:t>ACMA studies on coexistence</w:t>
        </w:r>
        <w:r w:rsidR="00302B64">
          <w:rPr>
            <w:webHidden/>
          </w:rPr>
          <w:tab/>
        </w:r>
        <w:r w:rsidR="00302B64">
          <w:rPr>
            <w:webHidden/>
          </w:rPr>
          <w:fldChar w:fldCharType="begin"/>
        </w:r>
        <w:r w:rsidR="00302B64">
          <w:rPr>
            <w:webHidden/>
          </w:rPr>
          <w:instrText xml:space="preserve"> PAGEREF _Toc94603273 \h </w:instrText>
        </w:r>
        <w:r w:rsidR="00302B64">
          <w:rPr>
            <w:webHidden/>
          </w:rPr>
        </w:r>
        <w:r w:rsidR="00302B64">
          <w:rPr>
            <w:webHidden/>
          </w:rPr>
          <w:fldChar w:fldCharType="separate"/>
        </w:r>
        <w:r w:rsidR="00302B64">
          <w:rPr>
            <w:webHidden/>
          </w:rPr>
          <w:t>21</w:t>
        </w:r>
        <w:r w:rsidR="00302B64">
          <w:rPr>
            <w:webHidden/>
          </w:rPr>
          <w:fldChar w:fldCharType="end"/>
        </w:r>
      </w:hyperlink>
    </w:p>
    <w:p w14:paraId="33E97296" w14:textId="734D54B6" w:rsidR="00302B64" w:rsidRDefault="00E2128E">
      <w:pPr>
        <w:pStyle w:val="TOC2"/>
        <w:rPr>
          <w:rFonts w:asciiTheme="minorHAnsi" w:eastAsiaTheme="minorEastAsia" w:hAnsiTheme="minorHAnsi" w:cstheme="minorBidi"/>
          <w:spacing w:val="0"/>
          <w:sz w:val="22"/>
          <w:szCs w:val="22"/>
        </w:rPr>
      </w:pPr>
      <w:hyperlink w:anchor="_Toc94603274" w:history="1">
        <w:r w:rsidR="00302B64" w:rsidRPr="00153918">
          <w:rPr>
            <w:rStyle w:val="Hyperlink"/>
          </w:rPr>
          <w:t>Possible methods to manage coexistence</w:t>
        </w:r>
        <w:r w:rsidR="00302B64">
          <w:rPr>
            <w:webHidden/>
          </w:rPr>
          <w:tab/>
        </w:r>
        <w:r w:rsidR="00302B64">
          <w:rPr>
            <w:webHidden/>
          </w:rPr>
          <w:fldChar w:fldCharType="begin"/>
        </w:r>
        <w:r w:rsidR="00302B64">
          <w:rPr>
            <w:webHidden/>
          </w:rPr>
          <w:instrText xml:space="preserve"> PAGEREF _Toc94603274 \h </w:instrText>
        </w:r>
        <w:r w:rsidR="00302B64">
          <w:rPr>
            <w:webHidden/>
          </w:rPr>
        </w:r>
        <w:r w:rsidR="00302B64">
          <w:rPr>
            <w:webHidden/>
          </w:rPr>
          <w:fldChar w:fldCharType="separate"/>
        </w:r>
        <w:r w:rsidR="00302B64">
          <w:rPr>
            <w:webHidden/>
          </w:rPr>
          <w:t>22</w:t>
        </w:r>
        <w:r w:rsidR="00302B64">
          <w:rPr>
            <w:webHidden/>
          </w:rPr>
          <w:fldChar w:fldCharType="end"/>
        </w:r>
      </w:hyperlink>
    </w:p>
    <w:p w14:paraId="1DDDA143" w14:textId="5D5F3FF3" w:rsidR="00302B64" w:rsidRDefault="00E2128E">
      <w:pPr>
        <w:pStyle w:val="TOC2"/>
        <w:rPr>
          <w:rFonts w:asciiTheme="minorHAnsi" w:eastAsiaTheme="minorEastAsia" w:hAnsiTheme="minorHAnsi" w:cstheme="minorBidi"/>
          <w:spacing w:val="0"/>
          <w:sz w:val="22"/>
          <w:szCs w:val="22"/>
        </w:rPr>
      </w:pPr>
      <w:hyperlink w:anchor="_Toc94603275" w:history="1">
        <w:r w:rsidR="00302B64" w:rsidRPr="00153918">
          <w:rPr>
            <w:rStyle w:val="Hyperlink"/>
          </w:rPr>
          <w:t>Potential draft approaches to manage coexistence</w:t>
        </w:r>
        <w:r w:rsidR="00302B64">
          <w:rPr>
            <w:webHidden/>
          </w:rPr>
          <w:tab/>
        </w:r>
        <w:r w:rsidR="00302B64">
          <w:rPr>
            <w:webHidden/>
          </w:rPr>
          <w:fldChar w:fldCharType="begin"/>
        </w:r>
        <w:r w:rsidR="00302B64">
          <w:rPr>
            <w:webHidden/>
          </w:rPr>
          <w:instrText xml:space="preserve"> PAGEREF _Toc94603275 \h </w:instrText>
        </w:r>
        <w:r w:rsidR="00302B64">
          <w:rPr>
            <w:webHidden/>
          </w:rPr>
        </w:r>
        <w:r w:rsidR="00302B64">
          <w:rPr>
            <w:webHidden/>
          </w:rPr>
          <w:fldChar w:fldCharType="separate"/>
        </w:r>
        <w:r w:rsidR="00302B64">
          <w:rPr>
            <w:webHidden/>
          </w:rPr>
          <w:t>24</w:t>
        </w:r>
        <w:r w:rsidR="00302B64">
          <w:rPr>
            <w:webHidden/>
          </w:rPr>
          <w:fldChar w:fldCharType="end"/>
        </w:r>
      </w:hyperlink>
    </w:p>
    <w:p w14:paraId="5A8046BA" w14:textId="2B962C4A" w:rsidR="00302B64" w:rsidRDefault="00E2128E">
      <w:pPr>
        <w:pStyle w:val="TOC3"/>
        <w:rPr>
          <w:rFonts w:asciiTheme="minorHAnsi" w:eastAsiaTheme="minorEastAsia" w:hAnsiTheme="minorHAnsi" w:cstheme="minorBidi"/>
        </w:rPr>
      </w:pPr>
      <w:hyperlink w:anchor="_Toc94603276" w:history="1">
        <w:r w:rsidR="00302B64" w:rsidRPr="00153918">
          <w:rPr>
            <w:rStyle w:val="Hyperlink"/>
          </w:rPr>
          <w:t>Summary of how possible Approach B mitigations manage typical use cases</w:t>
        </w:r>
        <w:r w:rsidR="00302B64">
          <w:rPr>
            <w:webHidden/>
          </w:rPr>
          <w:tab/>
        </w:r>
        <w:r w:rsidR="00302B64">
          <w:rPr>
            <w:webHidden/>
          </w:rPr>
          <w:fldChar w:fldCharType="begin"/>
        </w:r>
        <w:r w:rsidR="00302B64">
          <w:rPr>
            <w:webHidden/>
          </w:rPr>
          <w:instrText xml:space="preserve"> PAGEREF _Toc94603276 \h </w:instrText>
        </w:r>
        <w:r w:rsidR="00302B64">
          <w:rPr>
            <w:webHidden/>
          </w:rPr>
        </w:r>
        <w:r w:rsidR="00302B64">
          <w:rPr>
            <w:webHidden/>
          </w:rPr>
          <w:fldChar w:fldCharType="separate"/>
        </w:r>
        <w:r w:rsidR="00302B64">
          <w:rPr>
            <w:webHidden/>
          </w:rPr>
          <w:t>26</w:t>
        </w:r>
        <w:r w:rsidR="00302B64">
          <w:rPr>
            <w:webHidden/>
          </w:rPr>
          <w:fldChar w:fldCharType="end"/>
        </w:r>
      </w:hyperlink>
    </w:p>
    <w:p w14:paraId="0626410A" w14:textId="7817D39E" w:rsidR="00302B64" w:rsidRDefault="00E2128E">
      <w:pPr>
        <w:pStyle w:val="TOC3"/>
        <w:rPr>
          <w:rFonts w:asciiTheme="minorHAnsi" w:eastAsiaTheme="minorEastAsia" w:hAnsiTheme="minorHAnsi" w:cstheme="minorBidi"/>
        </w:rPr>
      </w:pPr>
      <w:hyperlink w:anchor="_Toc94603277" w:history="1">
        <w:r w:rsidR="00302B64" w:rsidRPr="00153918">
          <w:rPr>
            <w:rStyle w:val="Hyperlink"/>
          </w:rPr>
          <w:t>Reasons for identifying Approach A</w:t>
        </w:r>
        <w:r w:rsidR="00302B64">
          <w:rPr>
            <w:webHidden/>
          </w:rPr>
          <w:tab/>
        </w:r>
        <w:r w:rsidR="00302B64">
          <w:rPr>
            <w:webHidden/>
          </w:rPr>
          <w:fldChar w:fldCharType="begin"/>
        </w:r>
        <w:r w:rsidR="00302B64">
          <w:rPr>
            <w:webHidden/>
          </w:rPr>
          <w:instrText xml:space="preserve"> PAGEREF _Toc94603277 \h </w:instrText>
        </w:r>
        <w:r w:rsidR="00302B64">
          <w:rPr>
            <w:webHidden/>
          </w:rPr>
        </w:r>
        <w:r w:rsidR="00302B64">
          <w:rPr>
            <w:webHidden/>
          </w:rPr>
          <w:fldChar w:fldCharType="separate"/>
        </w:r>
        <w:r w:rsidR="00302B64">
          <w:rPr>
            <w:webHidden/>
          </w:rPr>
          <w:t>27</w:t>
        </w:r>
        <w:r w:rsidR="00302B64">
          <w:rPr>
            <w:webHidden/>
          </w:rPr>
          <w:fldChar w:fldCharType="end"/>
        </w:r>
      </w:hyperlink>
    </w:p>
    <w:p w14:paraId="0499CC97" w14:textId="66C9189D" w:rsidR="00302B64" w:rsidRDefault="00E2128E">
      <w:pPr>
        <w:pStyle w:val="TOC3"/>
        <w:rPr>
          <w:rFonts w:asciiTheme="minorHAnsi" w:eastAsiaTheme="minorEastAsia" w:hAnsiTheme="minorHAnsi" w:cstheme="minorBidi"/>
        </w:rPr>
      </w:pPr>
      <w:hyperlink w:anchor="_Toc94603278" w:history="1">
        <w:r w:rsidR="00302B64" w:rsidRPr="00153918">
          <w:rPr>
            <w:rStyle w:val="Hyperlink"/>
          </w:rPr>
          <w:t>Reasons for identifying Approach B</w:t>
        </w:r>
        <w:r w:rsidR="00302B64">
          <w:rPr>
            <w:webHidden/>
          </w:rPr>
          <w:tab/>
        </w:r>
        <w:r w:rsidR="00302B64">
          <w:rPr>
            <w:webHidden/>
          </w:rPr>
          <w:fldChar w:fldCharType="begin"/>
        </w:r>
        <w:r w:rsidR="00302B64">
          <w:rPr>
            <w:webHidden/>
          </w:rPr>
          <w:instrText xml:space="preserve"> PAGEREF _Toc94603278 \h </w:instrText>
        </w:r>
        <w:r w:rsidR="00302B64">
          <w:rPr>
            <w:webHidden/>
          </w:rPr>
        </w:r>
        <w:r w:rsidR="00302B64">
          <w:rPr>
            <w:webHidden/>
          </w:rPr>
          <w:fldChar w:fldCharType="separate"/>
        </w:r>
        <w:r w:rsidR="00302B64">
          <w:rPr>
            <w:webHidden/>
          </w:rPr>
          <w:t>27</w:t>
        </w:r>
        <w:r w:rsidR="00302B64">
          <w:rPr>
            <w:webHidden/>
          </w:rPr>
          <w:fldChar w:fldCharType="end"/>
        </w:r>
      </w:hyperlink>
    </w:p>
    <w:p w14:paraId="1B4A79ED" w14:textId="17C35602" w:rsidR="00302B64" w:rsidRDefault="00E2128E">
      <w:pPr>
        <w:pStyle w:val="TOC3"/>
        <w:rPr>
          <w:rFonts w:asciiTheme="minorHAnsi" w:eastAsiaTheme="minorEastAsia" w:hAnsiTheme="minorHAnsi" w:cstheme="minorBidi"/>
        </w:rPr>
      </w:pPr>
      <w:hyperlink w:anchor="_Toc94603279" w:history="1">
        <w:r w:rsidR="00302B64" w:rsidRPr="00153918">
          <w:rPr>
            <w:rStyle w:val="Hyperlink"/>
          </w:rPr>
          <w:t>How to incorporate possible Approach B mitigations into the technical framework</w:t>
        </w:r>
        <w:r w:rsidR="00302B64">
          <w:rPr>
            <w:webHidden/>
          </w:rPr>
          <w:tab/>
        </w:r>
        <w:r w:rsidR="00302B64">
          <w:rPr>
            <w:webHidden/>
          </w:rPr>
          <w:fldChar w:fldCharType="begin"/>
        </w:r>
        <w:r w:rsidR="00302B64">
          <w:rPr>
            <w:webHidden/>
          </w:rPr>
          <w:instrText xml:space="preserve"> PAGEREF _Toc94603279 \h </w:instrText>
        </w:r>
        <w:r w:rsidR="00302B64">
          <w:rPr>
            <w:webHidden/>
          </w:rPr>
        </w:r>
        <w:r w:rsidR="00302B64">
          <w:rPr>
            <w:webHidden/>
          </w:rPr>
          <w:fldChar w:fldCharType="separate"/>
        </w:r>
        <w:r w:rsidR="00302B64">
          <w:rPr>
            <w:webHidden/>
          </w:rPr>
          <w:t>28</w:t>
        </w:r>
        <w:r w:rsidR="00302B64">
          <w:rPr>
            <w:webHidden/>
          </w:rPr>
          <w:fldChar w:fldCharType="end"/>
        </w:r>
      </w:hyperlink>
    </w:p>
    <w:p w14:paraId="13342E00" w14:textId="55B75D61" w:rsidR="00302B64" w:rsidRDefault="00E2128E">
      <w:pPr>
        <w:pStyle w:val="TOC3"/>
        <w:rPr>
          <w:rFonts w:asciiTheme="minorHAnsi" w:eastAsiaTheme="minorEastAsia" w:hAnsiTheme="minorHAnsi" w:cstheme="minorBidi"/>
        </w:rPr>
      </w:pPr>
      <w:hyperlink w:anchor="_Toc94603280" w:history="1">
        <w:r w:rsidR="00302B64" w:rsidRPr="00153918">
          <w:rPr>
            <w:rStyle w:val="Hyperlink"/>
          </w:rPr>
          <w:t>Future progress on WBB and Radio Altimeter coexistence</w:t>
        </w:r>
        <w:r w:rsidR="00302B64">
          <w:rPr>
            <w:webHidden/>
          </w:rPr>
          <w:tab/>
        </w:r>
        <w:r w:rsidR="00302B64">
          <w:rPr>
            <w:webHidden/>
          </w:rPr>
          <w:fldChar w:fldCharType="begin"/>
        </w:r>
        <w:r w:rsidR="00302B64">
          <w:rPr>
            <w:webHidden/>
          </w:rPr>
          <w:instrText xml:space="preserve"> PAGEREF _Toc94603280 \h </w:instrText>
        </w:r>
        <w:r w:rsidR="00302B64">
          <w:rPr>
            <w:webHidden/>
          </w:rPr>
        </w:r>
        <w:r w:rsidR="00302B64">
          <w:rPr>
            <w:webHidden/>
          </w:rPr>
          <w:fldChar w:fldCharType="separate"/>
        </w:r>
        <w:r w:rsidR="00302B64">
          <w:rPr>
            <w:webHidden/>
          </w:rPr>
          <w:t>28</w:t>
        </w:r>
        <w:r w:rsidR="00302B64">
          <w:rPr>
            <w:webHidden/>
          </w:rPr>
          <w:fldChar w:fldCharType="end"/>
        </w:r>
      </w:hyperlink>
    </w:p>
    <w:p w14:paraId="53D5729E" w14:textId="32DE52BF" w:rsidR="00302B64" w:rsidRDefault="00E2128E">
      <w:pPr>
        <w:pStyle w:val="TOC1"/>
        <w:rPr>
          <w:rFonts w:asciiTheme="minorHAnsi" w:eastAsiaTheme="minorEastAsia" w:hAnsiTheme="minorHAnsi" w:cstheme="minorBidi"/>
          <w:b w:val="0"/>
          <w:spacing w:val="0"/>
          <w:sz w:val="22"/>
          <w:szCs w:val="22"/>
        </w:rPr>
      </w:pPr>
      <w:hyperlink w:anchor="_Toc94603281" w:history="1">
        <w:r w:rsidR="00302B64" w:rsidRPr="00153918">
          <w:rPr>
            <w:rStyle w:val="Hyperlink"/>
          </w:rPr>
          <w:t>Area Wide Licensing framework</w:t>
        </w:r>
        <w:r w:rsidR="00302B64">
          <w:rPr>
            <w:webHidden/>
          </w:rPr>
          <w:tab/>
        </w:r>
        <w:r w:rsidR="00302B64">
          <w:rPr>
            <w:webHidden/>
          </w:rPr>
          <w:fldChar w:fldCharType="begin"/>
        </w:r>
        <w:r w:rsidR="00302B64">
          <w:rPr>
            <w:webHidden/>
          </w:rPr>
          <w:instrText xml:space="preserve"> PAGEREF _Toc94603281 \h </w:instrText>
        </w:r>
        <w:r w:rsidR="00302B64">
          <w:rPr>
            <w:webHidden/>
          </w:rPr>
        </w:r>
        <w:r w:rsidR="00302B64">
          <w:rPr>
            <w:webHidden/>
          </w:rPr>
          <w:fldChar w:fldCharType="separate"/>
        </w:r>
        <w:r w:rsidR="00302B64">
          <w:rPr>
            <w:webHidden/>
          </w:rPr>
          <w:t>29</w:t>
        </w:r>
        <w:r w:rsidR="00302B64">
          <w:rPr>
            <w:webHidden/>
          </w:rPr>
          <w:fldChar w:fldCharType="end"/>
        </w:r>
      </w:hyperlink>
    </w:p>
    <w:p w14:paraId="3E9AEF37" w14:textId="0744F3BF" w:rsidR="00302B64" w:rsidRDefault="00E2128E">
      <w:pPr>
        <w:pStyle w:val="TOC2"/>
        <w:rPr>
          <w:rFonts w:asciiTheme="minorHAnsi" w:eastAsiaTheme="minorEastAsia" w:hAnsiTheme="minorHAnsi" w:cstheme="minorBidi"/>
          <w:spacing w:val="0"/>
          <w:sz w:val="22"/>
          <w:szCs w:val="22"/>
        </w:rPr>
      </w:pPr>
      <w:hyperlink w:anchor="_Toc94603282" w:history="1">
        <w:r w:rsidR="00302B64" w:rsidRPr="00153918">
          <w:rPr>
            <w:rStyle w:val="Hyperlink"/>
          </w:rPr>
          <w:t>Background</w:t>
        </w:r>
        <w:r w:rsidR="00302B64">
          <w:rPr>
            <w:webHidden/>
          </w:rPr>
          <w:tab/>
        </w:r>
        <w:r w:rsidR="00302B64">
          <w:rPr>
            <w:webHidden/>
          </w:rPr>
          <w:fldChar w:fldCharType="begin"/>
        </w:r>
        <w:r w:rsidR="00302B64">
          <w:rPr>
            <w:webHidden/>
          </w:rPr>
          <w:instrText xml:space="preserve"> PAGEREF _Toc94603282 \h </w:instrText>
        </w:r>
        <w:r w:rsidR="00302B64">
          <w:rPr>
            <w:webHidden/>
          </w:rPr>
        </w:r>
        <w:r w:rsidR="00302B64">
          <w:rPr>
            <w:webHidden/>
          </w:rPr>
          <w:fldChar w:fldCharType="separate"/>
        </w:r>
        <w:r w:rsidR="00302B64">
          <w:rPr>
            <w:webHidden/>
          </w:rPr>
          <w:t>29</w:t>
        </w:r>
        <w:r w:rsidR="00302B64">
          <w:rPr>
            <w:webHidden/>
          </w:rPr>
          <w:fldChar w:fldCharType="end"/>
        </w:r>
      </w:hyperlink>
    </w:p>
    <w:p w14:paraId="58D7E653" w14:textId="22451FEB" w:rsidR="00302B64" w:rsidRDefault="00E2128E">
      <w:pPr>
        <w:pStyle w:val="TOC2"/>
        <w:rPr>
          <w:rFonts w:asciiTheme="minorHAnsi" w:eastAsiaTheme="minorEastAsia" w:hAnsiTheme="minorHAnsi" w:cstheme="minorBidi"/>
          <w:spacing w:val="0"/>
          <w:sz w:val="22"/>
          <w:szCs w:val="22"/>
        </w:rPr>
      </w:pPr>
      <w:hyperlink w:anchor="_Toc94603283" w:history="1">
        <w:r w:rsidR="00302B64" w:rsidRPr="00153918">
          <w:rPr>
            <w:rStyle w:val="Hyperlink"/>
          </w:rPr>
          <w:t>Preliminary view</w:t>
        </w:r>
        <w:r w:rsidR="00302B64">
          <w:rPr>
            <w:webHidden/>
          </w:rPr>
          <w:tab/>
        </w:r>
        <w:r w:rsidR="00302B64">
          <w:rPr>
            <w:webHidden/>
          </w:rPr>
          <w:fldChar w:fldCharType="begin"/>
        </w:r>
        <w:r w:rsidR="00302B64">
          <w:rPr>
            <w:webHidden/>
          </w:rPr>
          <w:instrText xml:space="preserve"> PAGEREF _Toc94603283 \h </w:instrText>
        </w:r>
        <w:r w:rsidR="00302B64">
          <w:rPr>
            <w:webHidden/>
          </w:rPr>
        </w:r>
        <w:r w:rsidR="00302B64">
          <w:rPr>
            <w:webHidden/>
          </w:rPr>
          <w:fldChar w:fldCharType="separate"/>
        </w:r>
        <w:r w:rsidR="00302B64">
          <w:rPr>
            <w:webHidden/>
          </w:rPr>
          <w:t>29</w:t>
        </w:r>
        <w:r w:rsidR="00302B64">
          <w:rPr>
            <w:webHidden/>
          </w:rPr>
          <w:fldChar w:fldCharType="end"/>
        </w:r>
      </w:hyperlink>
    </w:p>
    <w:p w14:paraId="6DABD3B8" w14:textId="7F68CADF" w:rsidR="00302B64" w:rsidRDefault="00E2128E">
      <w:pPr>
        <w:pStyle w:val="TOC2"/>
        <w:rPr>
          <w:rFonts w:asciiTheme="minorHAnsi" w:eastAsiaTheme="minorEastAsia" w:hAnsiTheme="minorHAnsi" w:cstheme="minorBidi"/>
          <w:spacing w:val="0"/>
          <w:sz w:val="22"/>
          <w:szCs w:val="22"/>
        </w:rPr>
      </w:pPr>
      <w:hyperlink w:anchor="_Toc94603284" w:history="1">
        <w:r w:rsidR="00302B64" w:rsidRPr="00153918">
          <w:rPr>
            <w:rStyle w:val="Hyperlink"/>
          </w:rPr>
          <w:t>Coexistence with other services</w:t>
        </w:r>
        <w:r w:rsidR="00302B64">
          <w:rPr>
            <w:webHidden/>
          </w:rPr>
          <w:tab/>
        </w:r>
        <w:r w:rsidR="00302B64">
          <w:rPr>
            <w:webHidden/>
          </w:rPr>
          <w:fldChar w:fldCharType="begin"/>
        </w:r>
        <w:r w:rsidR="00302B64">
          <w:rPr>
            <w:webHidden/>
          </w:rPr>
          <w:instrText xml:space="preserve"> PAGEREF _Toc94603284 \h </w:instrText>
        </w:r>
        <w:r w:rsidR="00302B64">
          <w:rPr>
            <w:webHidden/>
          </w:rPr>
        </w:r>
        <w:r w:rsidR="00302B64">
          <w:rPr>
            <w:webHidden/>
          </w:rPr>
          <w:fldChar w:fldCharType="separate"/>
        </w:r>
        <w:r w:rsidR="00302B64">
          <w:rPr>
            <w:webHidden/>
          </w:rPr>
          <w:t>29</w:t>
        </w:r>
        <w:r w:rsidR="00302B64">
          <w:rPr>
            <w:webHidden/>
          </w:rPr>
          <w:fldChar w:fldCharType="end"/>
        </w:r>
      </w:hyperlink>
    </w:p>
    <w:p w14:paraId="73E62450" w14:textId="320C5326" w:rsidR="00302B64" w:rsidRDefault="00E2128E">
      <w:pPr>
        <w:pStyle w:val="TOC2"/>
        <w:rPr>
          <w:rFonts w:asciiTheme="minorHAnsi" w:eastAsiaTheme="minorEastAsia" w:hAnsiTheme="minorHAnsi" w:cstheme="minorBidi"/>
          <w:spacing w:val="0"/>
          <w:sz w:val="22"/>
          <w:szCs w:val="22"/>
        </w:rPr>
      </w:pPr>
      <w:hyperlink w:anchor="_Toc94603285" w:history="1">
        <w:r w:rsidR="00302B64" w:rsidRPr="00153918">
          <w:rPr>
            <w:rStyle w:val="Hyperlink"/>
          </w:rPr>
          <w:t>Revised view about coordinating between WBB services (not essential for remote)</w:t>
        </w:r>
        <w:r w:rsidR="00302B64">
          <w:rPr>
            <w:webHidden/>
          </w:rPr>
          <w:tab/>
        </w:r>
        <w:r w:rsidR="00302B64">
          <w:rPr>
            <w:webHidden/>
          </w:rPr>
          <w:fldChar w:fldCharType="begin"/>
        </w:r>
        <w:r w:rsidR="00302B64">
          <w:rPr>
            <w:webHidden/>
          </w:rPr>
          <w:instrText xml:space="preserve"> PAGEREF _Toc94603285 \h </w:instrText>
        </w:r>
        <w:r w:rsidR="00302B64">
          <w:rPr>
            <w:webHidden/>
          </w:rPr>
        </w:r>
        <w:r w:rsidR="00302B64">
          <w:rPr>
            <w:webHidden/>
          </w:rPr>
          <w:fldChar w:fldCharType="separate"/>
        </w:r>
        <w:r w:rsidR="00302B64">
          <w:rPr>
            <w:webHidden/>
          </w:rPr>
          <w:t>32</w:t>
        </w:r>
        <w:r w:rsidR="00302B64">
          <w:rPr>
            <w:webHidden/>
          </w:rPr>
          <w:fldChar w:fldCharType="end"/>
        </w:r>
      </w:hyperlink>
    </w:p>
    <w:p w14:paraId="5F0C159C" w14:textId="06F9DA70" w:rsidR="00302B64" w:rsidRDefault="00E2128E">
      <w:pPr>
        <w:pStyle w:val="TOC3"/>
        <w:rPr>
          <w:rFonts w:asciiTheme="minorHAnsi" w:eastAsiaTheme="minorEastAsia" w:hAnsiTheme="minorHAnsi" w:cstheme="minorBidi"/>
        </w:rPr>
      </w:pPr>
      <w:hyperlink w:anchor="_Toc94603286" w:history="1">
        <w:r w:rsidR="00302B64" w:rsidRPr="00153918">
          <w:rPr>
            <w:rStyle w:val="Hyperlink"/>
          </w:rPr>
          <w:t>Consideration for multiple use cases and unsynchronised use</w:t>
        </w:r>
        <w:r w:rsidR="00302B64">
          <w:rPr>
            <w:webHidden/>
          </w:rPr>
          <w:tab/>
        </w:r>
        <w:r w:rsidR="00302B64">
          <w:rPr>
            <w:webHidden/>
          </w:rPr>
          <w:fldChar w:fldCharType="begin"/>
        </w:r>
        <w:r w:rsidR="00302B64">
          <w:rPr>
            <w:webHidden/>
          </w:rPr>
          <w:instrText xml:space="preserve"> PAGEREF _Toc94603286 \h </w:instrText>
        </w:r>
        <w:r w:rsidR="00302B64">
          <w:rPr>
            <w:webHidden/>
          </w:rPr>
        </w:r>
        <w:r w:rsidR="00302B64">
          <w:rPr>
            <w:webHidden/>
          </w:rPr>
          <w:fldChar w:fldCharType="separate"/>
        </w:r>
        <w:r w:rsidR="00302B64">
          <w:rPr>
            <w:webHidden/>
          </w:rPr>
          <w:t>32</w:t>
        </w:r>
        <w:r w:rsidR="00302B64">
          <w:rPr>
            <w:webHidden/>
          </w:rPr>
          <w:fldChar w:fldCharType="end"/>
        </w:r>
      </w:hyperlink>
    </w:p>
    <w:p w14:paraId="6DA5E7F2" w14:textId="7C985489" w:rsidR="00302B64" w:rsidRDefault="00E2128E">
      <w:pPr>
        <w:pStyle w:val="TOC3"/>
        <w:rPr>
          <w:rFonts w:asciiTheme="minorHAnsi" w:eastAsiaTheme="minorEastAsia" w:hAnsiTheme="minorHAnsi" w:cstheme="minorBidi"/>
        </w:rPr>
      </w:pPr>
      <w:hyperlink w:anchor="_Toc94603287" w:history="1">
        <w:r w:rsidR="00302B64" w:rsidRPr="00153918">
          <w:rPr>
            <w:rStyle w:val="Hyperlink"/>
          </w:rPr>
          <w:t>Ideas for consideration</w:t>
        </w:r>
        <w:r w:rsidR="00302B64">
          <w:rPr>
            <w:webHidden/>
          </w:rPr>
          <w:tab/>
        </w:r>
        <w:r w:rsidR="00302B64">
          <w:rPr>
            <w:webHidden/>
          </w:rPr>
          <w:fldChar w:fldCharType="begin"/>
        </w:r>
        <w:r w:rsidR="00302B64">
          <w:rPr>
            <w:webHidden/>
          </w:rPr>
          <w:instrText xml:space="preserve"> PAGEREF _Toc94603287 \h </w:instrText>
        </w:r>
        <w:r w:rsidR="00302B64">
          <w:rPr>
            <w:webHidden/>
          </w:rPr>
        </w:r>
        <w:r w:rsidR="00302B64">
          <w:rPr>
            <w:webHidden/>
          </w:rPr>
          <w:fldChar w:fldCharType="separate"/>
        </w:r>
        <w:r w:rsidR="00302B64">
          <w:rPr>
            <w:webHidden/>
          </w:rPr>
          <w:t>32</w:t>
        </w:r>
        <w:r w:rsidR="00302B64">
          <w:rPr>
            <w:webHidden/>
          </w:rPr>
          <w:fldChar w:fldCharType="end"/>
        </w:r>
      </w:hyperlink>
    </w:p>
    <w:p w14:paraId="10C02CCC" w14:textId="204BC94E" w:rsidR="00302B64" w:rsidRDefault="00E2128E">
      <w:pPr>
        <w:pStyle w:val="TOC3"/>
        <w:rPr>
          <w:rFonts w:asciiTheme="minorHAnsi" w:eastAsiaTheme="minorEastAsia" w:hAnsiTheme="minorHAnsi" w:cstheme="minorBidi"/>
        </w:rPr>
      </w:pPr>
      <w:hyperlink w:anchor="_Toc94603288" w:history="1">
        <w:r w:rsidR="00302B64" w:rsidRPr="00153918">
          <w:rPr>
            <w:rStyle w:val="Hyperlink"/>
          </w:rPr>
          <w:t>DBC for unsynchronised use (restricted cell spectrum spaces)</w:t>
        </w:r>
        <w:r w:rsidR="00302B64">
          <w:rPr>
            <w:webHidden/>
          </w:rPr>
          <w:tab/>
        </w:r>
        <w:r w:rsidR="00302B64">
          <w:rPr>
            <w:webHidden/>
          </w:rPr>
          <w:fldChar w:fldCharType="begin"/>
        </w:r>
        <w:r w:rsidR="00302B64">
          <w:rPr>
            <w:webHidden/>
          </w:rPr>
          <w:instrText xml:space="preserve"> PAGEREF _Toc94603288 \h </w:instrText>
        </w:r>
        <w:r w:rsidR="00302B64">
          <w:rPr>
            <w:webHidden/>
          </w:rPr>
        </w:r>
        <w:r w:rsidR="00302B64">
          <w:rPr>
            <w:webHidden/>
          </w:rPr>
          <w:fldChar w:fldCharType="separate"/>
        </w:r>
        <w:r w:rsidR="00302B64">
          <w:rPr>
            <w:webHidden/>
          </w:rPr>
          <w:t>37</w:t>
        </w:r>
        <w:r w:rsidR="00302B64">
          <w:rPr>
            <w:webHidden/>
          </w:rPr>
          <w:fldChar w:fldCharType="end"/>
        </w:r>
      </w:hyperlink>
    </w:p>
    <w:p w14:paraId="37834795" w14:textId="3633AA6B" w:rsidR="00302B64" w:rsidRDefault="00E2128E">
      <w:pPr>
        <w:pStyle w:val="TOC3"/>
        <w:rPr>
          <w:rFonts w:asciiTheme="minorHAnsi" w:eastAsiaTheme="minorEastAsia" w:hAnsiTheme="minorHAnsi" w:cstheme="minorBidi"/>
        </w:rPr>
      </w:pPr>
      <w:hyperlink w:anchor="_Toc94603289" w:history="1">
        <w:r w:rsidR="00302B64" w:rsidRPr="00153918">
          <w:rPr>
            <w:rStyle w:val="Hyperlink"/>
          </w:rPr>
          <w:t>How to accommodate FSS AWL receive in the example possible arrangements</w:t>
        </w:r>
        <w:r w:rsidR="00302B64">
          <w:rPr>
            <w:webHidden/>
          </w:rPr>
          <w:tab/>
        </w:r>
        <w:r w:rsidR="00302B64">
          <w:rPr>
            <w:webHidden/>
          </w:rPr>
          <w:fldChar w:fldCharType="begin"/>
        </w:r>
        <w:r w:rsidR="00302B64">
          <w:rPr>
            <w:webHidden/>
          </w:rPr>
          <w:instrText xml:space="preserve"> PAGEREF _Toc94603289 \h </w:instrText>
        </w:r>
        <w:r w:rsidR="00302B64">
          <w:rPr>
            <w:webHidden/>
          </w:rPr>
        </w:r>
        <w:r w:rsidR="00302B64">
          <w:rPr>
            <w:webHidden/>
          </w:rPr>
          <w:fldChar w:fldCharType="separate"/>
        </w:r>
        <w:r w:rsidR="00302B64">
          <w:rPr>
            <w:webHidden/>
          </w:rPr>
          <w:t>37</w:t>
        </w:r>
        <w:r w:rsidR="00302B64">
          <w:rPr>
            <w:webHidden/>
          </w:rPr>
          <w:fldChar w:fldCharType="end"/>
        </w:r>
      </w:hyperlink>
    </w:p>
    <w:p w14:paraId="425DDED1" w14:textId="08955B05" w:rsidR="00302B64" w:rsidRDefault="00E2128E">
      <w:pPr>
        <w:pStyle w:val="TOC3"/>
        <w:rPr>
          <w:rFonts w:asciiTheme="minorHAnsi" w:eastAsiaTheme="minorEastAsia" w:hAnsiTheme="minorHAnsi" w:cstheme="minorBidi"/>
        </w:rPr>
      </w:pPr>
      <w:hyperlink w:anchor="_Toc94603290" w:history="1">
        <w:r w:rsidR="00302B64" w:rsidRPr="00153918">
          <w:rPr>
            <w:rStyle w:val="Hyperlink"/>
          </w:rPr>
          <w:t>How to interpret the remaining TLG paper</w:t>
        </w:r>
        <w:r w:rsidR="00302B64">
          <w:rPr>
            <w:webHidden/>
          </w:rPr>
          <w:tab/>
        </w:r>
        <w:r w:rsidR="00302B64">
          <w:rPr>
            <w:webHidden/>
          </w:rPr>
          <w:fldChar w:fldCharType="begin"/>
        </w:r>
        <w:r w:rsidR="00302B64">
          <w:rPr>
            <w:webHidden/>
          </w:rPr>
          <w:instrText xml:space="preserve"> PAGEREF _Toc94603290 \h </w:instrText>
        </w:r>
        <w:r w:rsidR="00302B64">
          <w:rPr>
            <w:webHidden/>
          </w:rPr>
        </w:r>
        <w:r w:rsidR="00302B64">
          <w:rPr>
            <w:webHidden/>
          </w:rPr>
          <w:fldChar w:fldCharType="separate"/>
        </w:r>
        <w:r w:rsidR="00302B64">
          <w:rPr>
            <w:webHidden/>
          </w:rPr>
          <w:t>37</w:t>
        </w:r>
        <w:r w:rsidR="00302B64">
          <w:rPr>
            <w:webHidden/>
          </w:rPr>
          <w:fldChar w:fldCharType="end"/>
        </w:r>
      </w:hyperlink>
    </w:p>
    <w:p w14:paraId="2639E0E7" w14:textId="1F8C8281" w:rsidR="00302B64" w:rsidRDefault="00E2128E">
      <w:pPr>
        <w:pStyle w:val="TOC3"/>
        <w:rPr>
          <w:rFonts w:asciiTheme="minorHAnsi" w:eastAsiaTheme="minorEastAsia" w:hAnsiTheme="minorHAnsi" w:cstheme="minorBidi"/>
        </w:rPr>
      </w:pPr>
      <w:hyperlink w:anchor="_Toc94603291" w:history="1">
        <w:r w:rsidR="00302B64" w:rsidRPr="00153918">
          <w:rPr>
            <w:rStyle w:val="Hyperlink"/>
          </w:rPr>
          <w:t>Comments received</w:t>
        </w:r>
        <w:r w:rsidR="00302B64">
          <w:rPr>
            <w:webHidden/>
          </w:rPr>
          <w:tab/>
        </w:r>
        <w:r w:rsidR="00302B64">
          <w:rPr>
            <w:webHidden/>
          </w:rPr>
          <w:fldChar w:fldCharType="begin"/>
        </w:r>
        <w:r w:rsidR="00302B64">
          <w:rPr>
            <w:webHidden/>
          </w:rPr>
          <w:instrText xml:space="preserve"> PAGEREF _Toc94603291 \h </w:instrText>
        </w:r>
        <w:r w:rsidR="00302B64">
          <w:rPr>
            <w:webHidden/>
          </w:rPr>
        </w:r>
        <w:r w:rsidR="00302B64">
          <w:rPr>
            <w:webHidden/>
          </w:rPr>
          <w:fldChar w:fldCharType="separate"/>
        </w:r>
        <w:r w:rsidR="00302B64">
          <w:rPr>
            <w:webHidden/>
          </w:rPr>
          <w:t>37</w:t>
        </w:r>
        <w:r w:rsidR="00302B64">
          <w:rPr>
            <w:webHidden/>
          </w:rPr>
          <w:fldChar w:fldCharType="end"/>
        </w:r>
      </w:hyperlink>
    </w:p>
    <w:p w14:paraId="1575C3C1" w14:textId="1C8B10F7" w:rsidR="00302B64" w:rsidRDefault="00E2128E">
      <w:pPr>
        <w:pStyle w:val="TOC2"/>
        <w:rPr>
          <w:rFonts w:asciiTheme="minorHAnsi" w:eastAsiaTheme="minorEastAsia" w:hAnsiTheme="minorHAnsi" w:cstheme="minorBidi"/>
          <w:spacing w:val="0"/>
          <w:sz w:val="22"/>
          <w:szCs w:val="22"/>
        </w:rPr>
      </w:pPr>
      <w:hyperlink w:anchor="_Toc94603292" w:history="1">
        <w:r w:rsidR="00302B64" w:rsidRPr="00153918">
          <w:rPr>
            <w:rStyle w:val="Hyperlink"/>
          </w:rPr>
          <w:t>Managing coexistence between AWLs in the 3400-4000 MHz range</w:t>
        </w:r>
        <w:r w:rsidR="00302B64">
          <w:rPr>
            <w:webHidden/>
          </w:rPr>
          <w:tab/>
        </w:r>
        <w:r w:rsidR="00302B64">
          <w:rPr>
            <w:webHidden/>
          </w:rPr>
          <w:fldChar w:fldCharType="begin"/>
        </w:r>
        <w:r w:rsidR="00302B64">
          <w:rPr>
            <w:webHidden/>
          </w:rPr>
          <w:instrText xml:space="preserve"> PAGEREF _Toc94603292 \h </w:instrText>
        </w:r>
        <w:r w:rsidR="00302B64">
          <w:rPr>
            <w:webHidden/>
          </w:rPr>
        </w:r>
        <w:r w:rsidR="00302B64">
          <w:rPr>
            <w:webHidden/>
          </w:rPr>
          <w:fldChar w:fldCharType="separate"/>
        </w:r>
        <w:r w:rsidR="00302B64">
          <w:rPr>
            <w:webHidden/>
          </w:rPr>
          <w:t>39</w:t>
        </w:r>
        <w:r w:rsidR="00302B64">
          <w:rPr>
            <w:webHidden/>
          </w:rPr>
          <w:fldChar w:fldCharType="end"/>
        </w:r>
      </w:hyperlink>
    </w:p>
    <w:p w14:paraId="61E381AD" w14:textId="3141523A" w:rsidR="00302B64" w:rsidRDefault="00E2128E">
      <w:pPr>
        <w:pStyle w:val="TOC3"/>
        <w:rPr>
          <w:rFonts w:asciiTheme="minorHAnsi" w:eastAsiaTheme="minorEastAsia" w:hAnsiTheme="minorHAnsi" w:cstheme="minorBidi"/>
        </w:rPr>
      </w:pPr>
      <w:hyperlink w:anchor="_Toc94603293" w:history="1">
        <w:r w:rsidR="00302B64" w:rsidRPr="00153918">
          <w:rPr>
            <w:rStyle w:val="Hyperlink"/>
          </w:rPr>
          <w:t>AWLs optimised for WBB use (essential for remote)</w:t>
        </w:r>
        <w:r w:rsidR="00302B64">
          <w:rPr>
            <w:webHidden/>
          </w:rPr>
          <w:tab/>
        </w:r>
        <w:r w:rsidR="00302B64">
          <w:rPr>
            <w:webHidden/>
          </w:rPr>
          <w:fldChar w:fldCharType="begin"/>
        </w:r>
        <w:r w:rsidR="00302B64">
          <w:rPr>
            <w:webHidden/>
          </w:rPr>
          <w:instrText xml:space="preserve"> PAGEREF _Toc94603293 \h </w:instrText>
        </w:r>
        <w:r w:rsidR="00302B64">
          <w:rPr>
            <w:webHidden/>
          </w:rPr>
        </w:r>
        <w:r w:rsidR="00302B64">
          <w:rPr>
            <w:webHidden/>
          </w:rPr>
          <w:fldChar w:fldCharType="separate"/>
        </w:r>
        <w:r w:rsidR="00302B64">
          <w:rPr>
            <w:webHidden/>
          </w:rPr>
          <w:t>39</w:t>
        </w:r>
        <w:r w:rsidR="00302B64">
          <w:rPr>
            <w:webHidden/>
          </w:rPr>
          <w:fldChar w:fldCharType="end"/>
        </w:r>
      </w:hyperlink>
    </w:p>
    <w:p w14:paraId="6FF2BD62" w14:textId="7162AD70" w:rsidR="00302B64" w:rsidRDefault="00E2128E">
      <w:pPr>
        <w:pStyle w:val="TOC3"/>
        <w:rPr>
          <w:rFonts w:asciiTheme="minorHAnsi" w:eastAsiaTheme="minorEastAsia" w:hAnsiTheme="minorHAnsi" w:cstheme="minorBidi"/>
        </w:rPr>
      </w:pPr>
      <w:hyperlink w:anchor="_Toc94603294" w:history="1">
        <w:r w:rsidR="00302B64" w:rsidRPr="00153918">
          <w:rPr>
            <w:rStyle w:val="Hyperlink"/>
          </w:rPr>
          <w:t>AWLs optimised for FSS receive earth station use in the frequency range 3800-4000 MHz in metropolitan and major regional areas (not essential for remote)</w:t>
        </w:r>
        <w:r w:rsidR="00302B64">
          <w:rPr>
            <w:webHidden/>
          </w:rPr>
          <w:tab/>
        </w:r>
        <w:r w:rsidR="00302B64">
          <w:rPr>
            <w:webHidden/>
          </w:rPr>
          <w:fldChar w:fldCharType="begin"/>
        </w:r>
        <w:r w:rsidR="00302B64">
          <w:rPr>
            <w:webHidden/>
          </w:rPr>
          <w:instrText xml:space="preserve"> PAGEREF _Toc94603294 \h </w:instrText>
        </w:r>
        <w:r w:rsidR="00302B64">
          <w:rPr>
            <w:webHidden/>
          </w:rPr>
        </w:r>
        <w:r w:rsidR="00302B64">
          <w:rPr>
            <w:webHidden/>
          </w:rPr>
          <w:fldChar w:fldCharType="separate"/>
        </w:r>
        <w:r w:rsidR="00302B64">
          <w:rPr>
            <w:webHidden/>
          </w:rPr>
          <w:t>40</w:t>
        </w:r>
        <w:r w:rsidR="00302B64">
          <w:rPr>
            <w:webHidden/>
          </w:rPr>
          <w:fldChar w:fldCharType="end"/>
        </w:r>
      </w:hyperlink>
    </w:p>
    <w:p w14:paraId="4E585C40" w14:textId="481012C6" w:rsidR="00302B64" w:rsidRDefault="00E2128E">
      <w:pPr>
        <w:pStyle w:val="TOC2"/>
        <w:rPr>
          <w:rFonts w:asciiTheme="minorHAnsi" w:eastAsiaTheme="minorEastAsia" w:hAnsiTheme="minorHAnsi" w:cstheme="minorBidi"/>
          <w:spacing w:val="0"/>
          <w:sz w:val="22"/>
          <w:szCs w:val="22"/>
        </w:rPr>
      </w:pPr>
      <w:hyperlink w:anchor="_Toc94603295" w:history="1">
        <w:r w:rsidR="00302B64" w:rsidRPr="00153918">
          <w:rPr>
            <w:rStyle w:val="Hyperlink"/>
          </w:rPr>
          <w:t>Spectrum licensed devices operating in the 3400-3800 MHz range (geographic boundary management essential for remote)</w:t>
        </w:r>
        <w:r w:rsidR="00302B64">
          <w:rPr>
            <w:webHidden/>
          </w:rPr>
          <w:tab/>
        </w:r>
        <w:r w:rsidR="00302B64">
          <w:rPr>
            <w:webHidden/>
          </w:rPr>
          <w:fldChar w:fldCharType="begin"/>
        </w:r>
        <w:r w:rsidR="00302B64">
          <w:rPr>
            <w:webHidden/>
          </w:rPr>
          <w:instrText xml:space="preserve"> PAGEREF _Toc94603295 \h </w:instrText>
        </w:r>
        <w:r w:rsidR="00302B64">
          <w:rPr>
            <w:webHidden/>
          </w:rPr>
        </w:r>
        <w:r w:rsidR="00302B64">
          <w:rPr>
            <w:webHidden/>
          </w:rPr>
          <w:fldChar w:fldCharType="separate"/>
        </w:r>
        <w:r w:rsidR="00302B64">
          <w:rPr>
            <w:webHidden/>
          </w:rPr>
          <w:t>42</w:t>
        </w:r>
        <w:r w:rsidR="00302B64">
          <w:rPr>
            <w:webHidden/>
          </w:rPr>
          <w:fldChar w:fldCharType="end"/>
        </w:r>
      </w:hyperlink>
    </w:p>
    <w:p w14:paraId="2ED7E2A3" w14:textId="65BD148C" w:rsidR="00302B64" w:rsidRDefault="00E2128E">
      <w:pPr>
        <w:pStyle w:val="TOC2"/>
        <w:rPr>
          <w:rFonts w:asciiTheme="minorHAnsi" w:eastAsiaTheme="minorEastAsia" w:hAnsiTheme="minorHAnsi" w:cstheme="minorBidi"/>
          <w:spacing w:val="0"/>
          <w:sz w:val="22"/>
          <w:szCs w:val="22"/>
        </w:rPr>
      </w:pPr>
      <w:hyperlink w:anchor="_Toc94603296" w:history="1">
        <w:r w:rsidR="00302B64" w:rsidRPr="00153918">
          <w:rPr>
            <w:rStyle w:val="Hyperlink"/>
          </w:rPr>
          <w:t>FSS AL receive devices operating in the 3400-4200 MHz range (essential for remote)</w:t>
        </w:r>
        <w:r w:rsidR="00302B64">
          <w:rPr>
            <w:webHidden/>
          </w:rPr>
          <w:tab/>
        </w:r>
        <w:r w:rsidR="00302B64">
          <w:rPr>
            <w:webHidden/>
          </w:rPr>
          <w:fldChar w:fldCharType="begin"/>
        </w:r>
        <w:r w:rsidR="00302B64">
          <w:rPr>
            <w:webHidden/>
          </w:rPr>
          <w:instrText xml:space="preserve"> PAGEREF _Toc94603296 \h </w:instrText>
        </w:r>
        <w:r w:rsidR="00302B64">
          <w:rPr>
            <w:webHidden/>
          </w:rPr>
        </w:r>
        <w:r w:rsidR="00302B64">
          <w:rPr>
            <w:webHidden/>
          </w:rPr>
          <w:fldChar w:fldCharType="separate"/>
        </w:r>
        <w:r w:rsidR="00302B64">
          <w:rPr>
            <w:webHidden/>
          </w:rPr>
          <w:t>43</w:t>
        </w:r>
        <w:r w:rsidR="00302B64">
          <w:rPr>
            <w:webHidden/>
          </w:rPr>
          <w:fldChar w:fldCharType="end"/>
        </w:r>
      </w:hyperlink>
    </w:p>
    <w:p w14:paraId="2B1E4375" w14:textId="37F271DE" w:rsidR="00302B64" w:rsidRDefault="00E2128E">
      <w:pPr>
        <w:pStyle w:val="TOC2"/>
        <w:rPr>
          <w:rFonts w:asciiTheme="minorHAnsi" w:eastAsiaTheme="minorEastAsia" w:hAnsiTheme="minorHAnsi" w:cstheme="minorBidi"/>
          <w:spacing w:val="0"/>
          <w:sz w:val="22"/>
          <w:szCs w:val="22"/>
        </w:rPr>
      </w:pPr>
      <w:hyperlink w:anchor="_Toc94603297" w:history="1">
        <w:r w:rsidR="00302B64" w:rsidRPr="00153918">
          <w:rPr>
            <w:rStyle w:val="Hyperlink"/>
          </w:rPr>
          <w:t>PTP AL receive devices operating in the 3400-4200 MHz range (essential for remote)</w:t>
        </w:r>
        <w:r w:rsidR="00302B64">
          <w:rPr>
            <w:webHidden/>
          </w:rPr>
          <w:tab/>
        </w:r>
        <w:r w:rsidR="00302B64">
          <w:rPr>
            <w:webHidden/>
          </w:rPr>
          <w:fldChar w:fldCharType="begin"/>
        </w:r>
        <w:r w:rsidR="00302B64">
          <w:rPr>
            <w:webHidden/>
          </w:rPr>
          <w:instrText xml:space="preserve"> PAGEREF _Toc94603297 \h </w:instrText>
        </w:r>
        <w:r w:rsidR="00302B64">
          <w:rPr>
            <w:webHidden/>
          </w:rPr>
        </w:r>
        <w:r w:rsidR="00302B64">
          <w:rPr>
            <w:webHidden/>
          </w:rPr>
          <w:fldChar w:fldCharType="separate"/>
        </w:r>
        <w:r w:rsidR="00302B64">
          <w:rPr>
            <w:webHidden/>
          </w:rPr>
          <w:t>43</w:t>
        </w:r>
        <w:r w:rsidR="00302B64">
          <w:rPr>
            <w:webHidden/>
          </w:rPr>
          <w:fldChar w:fldCharType="end"/>
        </w:r>
      </w:hyperlink>
    </w:p>
    <w:p w14:paraId="430EBAD7" w14:textId="75E506F4" w:rsidR="00302B64" w:rsidRDefault="00E2128E">
      <w:pPr>
        <w:pStyle w:val="TOC2"/>
        <w:rPr>
          <w:rFonts w:asciiTheme="minorHAnsi" w:eastAsiaTheme="minorEastAsia" w:hAnsiTheme="minorHAnsi" w:cstheme="minorBidi"/>
          <w:spacing w:val="0"/>
          <w:sz w:val="22"/>
          <w:szCs w:val="22"/>
        </w:rPr>
      </w:pPr>
      <w:hyperlink w:anchor="_Toc94603298" w:history="1">
        <w:r w:rsidR="00302B64" w:rsidRPr="00153918">
          <w:rPr>
            <w:rStyle w:val="Hyperlink"/>
          </w:rPr>
          <w:t>PMP AL receive devices operating in the 3400-3700 MHz range (essential for remote)</w:t>
        </w:r>
        <w:r w:rsidR="00302B64">
          <w:rPr>
            <w:webHidden/>
          </w:rPr>
          <w:tab/>
        </w:r>
        <w:r w:rsidR="00302B64">
          <w:rPr>
            <w:webHidden/>
          </w:rPr>
          <w:fldChar w:fldCharType="begin"/>
        </w:r>
        <w:r w:rsidR="00302B64">
          <w:rPr>
            <w:webHidden/>
          </w:rPr>
          <w:instrText xml:space="preserve"> PAGEREF _Toc94603298 \h </w:instrText>
        </w:r>
        <w:r w:rsidR="00302B64">
          <w:rPr>
            <w:webHidden/>
          </w:rPr>
        </w:r>
        <w:r w:rsidR="00302B64">
          <w:rPr>
            <w:webHidden/>
          </w:rPr>
          <w:fldChar w:fldCharType="separate"/>
        </w:r>
        <w:r w:rsidR="00302B64">
          <w:rPr>
            <w:webHidden/>
          </w:rPr>
          <w:t>43</w:t>
        </w:r>
        <w:r w:rsidR="00302B64">
          <w:rPr>
            <w:webHidden/>
          </w:rPr>
          <w:fldChar w:fldCharType="end"/>
        </w:r>
      </w:hyperlink>
    </w:p>
    <w:p w14:paraId="2722B40E" w14:textId="36460206" w:rsidR="00302B64" w:rsidRDefault="00E2128E">
      <w:pPr>
        <w:pStyle w:val="TOC2"/>
        <w:rPr>
          <w:rFonts w:asciiTheme="minorHAnsi" w:eastAsiaTheme="minorEastAsia" w:hAnsiTheme="minorHAnsi" w:cstheme="minorBidi"/>
          <w:spacing w:val="0"/>
          <w:sz w:val="22"/>
          <w:szCs w:val="22"/>
        </w:rPr>
      </w:pPr>
      <w:hyperlink w:anchor="_Toc94603299" w:history="1">
        <w:r w:rsidR="00302B64" w:rsidRPr="00153918">
          <w:rPr>
            <w:rStyle w:val="Hyperlink"/>
          </w:rPr>
          <w:t>Radiolocation services operating in the 3100-3600 MHz range (essential for remote)</w:t>
        </w:r>
        <w:r w:rsidR="00302B64">
          <w:rPr>
            <w:webHidden/>
          </w:rPr>
          <w:tab/>
        </w:r>
        <w:r w:rsidR="00302B64">
          <w:rPr>
            <w:webHidden/>
          </w:rPr>
          <w:fldChar w:fldCharType="begin"/>
        </w:r>
        <w:r w:rsidR="00302B64">
          <w:rPr>
            <w:webHidden/>
          </w:rPr>
          <w:instrText xml:space="preserve"> PAGEREF _Toc94603299 \h </w:instrText>
        </w:r>
        <w:r w:rsidR="00302B64">
          <w:rPr>
            <w:webHidden/>
          </w:rPr>
        </w:r>
        <w:r w:rsidR="00302B64">
          <w:rPr>
            <w:webHidden/>
          </w:rPr>
          <w:fldChar w:fldCharType="separate"/>
        </w:r>
        <w:r w:rsidR="00302B64">
          <w:rPr>
            <w:webHidden/>
          </w:rPr>
          <w:t>44</w:t>
        </w:r>
        <w:r w:rsidR="00302B64">
          <w:rPr>
            <w:webHidden/>
          </w:rPr>
          <w:fldChar w:fldCharType="end"/>
        </w:r>
      </w:hyperlink>
    </w:p>
    <w:p w14:paraId="796250C7" w14:textId="30F6410B" w:rsidR="00302B64" w:rsidRDefault="00E2128E">
      <w:pPr>
        <w:pStyle w:val="TOC2"/>
        <w:rPr>
          <w:rFonts w:asciiTheme="minorHAnsi" w:eastAsiaTheme="minorEastAsia" w:hAnsiTheme="minorHAnsi" w:cstheme="minorBidi"/>
          <w:spacing w:val="0"/>
          <w:sz w:val="22"/>
          <w:szCs w:val="22"/>
        </w:rPr>
      </w:pPr>
      <w:hyperlink w:anchor="_Toc94603300" w:history="1">
        <w:r w:rsidR="00302B64" w:rsidRPr="00153918">
          <w:rPr>
            <w:rStyle w:val="Hyperlink"/>
          </w:rPr>
          <w:t>Radiolocation services operating in the 3700-4000 MHz range authorised under 10(7) of the ARSP (essential for remote)</w:t>
        </w:r>
        <w:r w:rsidR="00302B64">
          <w:rPr>
            <w:webHidden/>
          </w:rPr>
          <w:tab/>
        </w:r>
        <w:r w:rsidR="00302B64">
          <w:rPr>
            <w:webHidden/>
          </w:rPr>
          <w:fldChar w:fldCharType="begin"/>
        </w:r>
        <w:r w:rsidR="00302B64">
          <w:rPr>
            <w:webHidden/>
          </w:rPr>
          <w:instrText xml:space="preserve"> PAGEREF _Toc94603300 \h </w:instrText>
        </w:r>
        <w:r w:rsidR="00302B64">
          <w:rPr>
            <w:webHidden/>
          </w:rPr>
        </w:r>
        <w:r w:rsidR="00302B64">
          <w:rPr>
            <w:webHidden/>
          </w:rPr>
          <w:fldChar w:fldCharType="separate"/>
        </w:r>
        <w:r w:rsidR="00302B64">
          <w:rPr>
            <w:webHidden/>
          </w:rPr>
          <w:t>44</w:t>
        </w:r>
        <w:r w:rsidR="00302B64">
          <w:rPr>
            <w:webHidden/>
          </w:rPr>
          <w:fldChar w:fldCharType="end"/>
        </w:r>
      </w:hyperlink>
    </w:p>
    <w:p w14:paraId="4BC1DE60" w14:textId="7BFAB234" w:rsidR="00302B64" w:rsidRDefault="00E2128E">
      <w:pPr>
        <w:pStyle w:val="TOC2"/>
        <w:rPr>
          <w:rFonts w:asciiTheme="minorHAnsi" w:eastAsiaTheme="minorEastAsia" w:hAnsiTheme="minorHAnsi" w:cstheme="minorBidi"/>
          <w:spacing w:val="0"/>
          <w:sz w:val="22"/>
          <w:szCs w:val="22"/>
        </w:rPr>
      </w:pPr>
      <w:hyperlink w:anchor="_Toc94603301" w:history="1">
        <w:r w:rsidR="00302B64" w:rsidRPr="00153918">
          <w:rPr>
            <w:rStyle w:val="Hyperlink"/>
          </w:rPr>
          <w:t>Coexistence with the Woomera Protected Area (essential for remote)</w:t>
        </w:r>
        <w:r w:rsidR="00302B64">
          <w:rPr>
            <w:webHidden/>
          </w:rPr>
          <w:tab/>
        </w:r>
        <w:r w:rsidR="00302B64">
          <w:rPr>
            <w:webHidden/>
          </w:rPr>
          <w:fldChar w:fldCharType="begin"/>
        </w:r>
        <w:r w:rsidR="00302B64">
          <w:rPr>
            <w:webHidden/>
          </w:rPr>
          <w:instrText xml:space="preserve"> PAGEREF _Toc94603301 \h </w:instrText>
        </w:r>
        <w:r w:rsidR="00302B64">
          <w:rPr>
            <w:webHidden/>
          </w:rPr>
        </w:r>
        <w:r w:rsidR="00302B64">
          <w:rPr>
            <w:webHidden/>
          </w:rPr>
          <w:fldChar w:fldCharType="separate"/>
        </w:r>
        <w:r w:rsidR="00302B64">
          <w:rPr>
            <w:webHidden/>
          </w:rPr>
          <w:t>44</w:t>
        </w:r>
        <w:r w:rsidR="00302B64">
          <w:rPr>
            <w:webHidden/>
          </w:rPr>
          <w:fldChar w:fldCharType="end"/>
        </w:r>
      </w:hyperlink>
    </w:p>
    <w:p w14:paraId="677CDAEB" w14:textId="3CBDE26D" w:rsidR="00302B64" w:rsidRDefault="00E2128E">
      <w:pPr>
        <w:pStyle w:val="TOC2"/>
        <w:rPr>
          <w:rFonts w:asciiTheme="minorHAnsi" w:eastAsiaTheme="minorEastAsia" w:hAnsiTheme="minorHAnsi" w:cstheme="minorBidi"/>
          <w:spacing w:val="0"/>
          <w:sz w:val="22"/>
          <w:szCs w:val="22"/>
        </w:rPr>
      </w:pPr>
      <w:hyperlink w:anchor="_Toc94603302" w:history="1">
        <w:r w:rsidR="00302B64" w:rsidRPr="00153918">
          <w:rPr>
            <w:rStyle w:val="Hyperlink"/>
          </w:rPr>
          <w:t>Coexistence with the Darwin and Geraldton coordination zones (essential for remote)</w:t>
        </w:r>
        <w:r w:rsidR="00302B64">
          <w:rPr>
            <w:webHidden/>
          </w:rPr>
          <w:tab/>
        </w:r>
        <w:r w:rsidR="00302B64">
          <w:rPr>
            <w:webHidden/>
          </w:rPr>
          <w:fldChar w:fldCharType="begin"/>
        </w:r>
        <w:r w:rsidR="00302B64">
          <w:rPr>
            <w:webHidden/>
          </w:rPr>
          <w:instrText xml:space="preserve"> PAGEREF _Toc94603302 \h </w:instrText>
        </w:r>
        <w:r w:rsidR="00302B64">
          <w:rPr>
            <w:webHidden/>
          </w:rPr>
        </w:r>
        <w:r w:rsidR="00302B64">
          <w:rPr>
            <w:webHidden/>
          </w:rPr>
          <w:fldChar w:fldCharType="separate"/>
        </w:r>
        <w:r w:rsidR="00302B64">
          <w:rPr>
            <w:webHidden/>
          </w:rPr>
          <w:t>45</w:t>
        </w:r>
        <w:r w:rsidR="00302B64">
          <w:rPr>
            <w:webHidden/>
          </w:rPr>
          <w:fldChar w:fldCharType="end"/>
        </w:r>
      </w:hyperlink>
    </w:p>
    <w:p w14:paraId="3BE7659A" w14:textId="73CDF8E8" w:rsidR="00302B64" w:rsidRDefault="00E2128E">
      <w:pPr>
        <w:pStyle w:val="TOC3"/>
        <w:rPr>
          <w:rFonts w:asciiTheme="minorHAnsi" w:eastAsiaTheme="minorEastAsia" w:hAnsiTheme="minorHAnsi" w:cstheme="minorBidi"/>
        </w:rPr>
      </w:pPr>
      <w:hyperlink w:anchor="_Toc94603303" w:history="1">
        <w:r w:rsidR="00302B64" w:rsidRPr="00153918">
          <w:rPr>
            <w:rStyle w:val="Hyperlink"/>
          </w:rPr>
          <w:t>Feedback on the zones discussed above</w:t>
        </w:r>
        <w:r w:rsidR="00302B64">
          <w:rPr>
            <w:webHidden/>
          </w:rPr>
          <w:tab/>
        </w:r>
        <w:r w:rsidR="00302B64">
          <w:rPr>
            <w:webHidden/>
          </w:rPr>
          <w:fldChar w:fldCharType="begin"/>
        </w:r>
        <w:r w:rsidR="00302B64">
          <w:rPr>
            <w:webHidden/>
          </w:rPr>
          <w:instrText xml:space="preserve"> PAGEREF _Toc94603303 \h </w:instrText>
        </w:r>
        <w:r w:rsidR="00302B64">
          <w:rPr>
            <w:webHidden/>
          </w:rPr>
        </w:r>
        <w:r w:rsidR="00302B64">
          <w:rPr>
            <w:webHidden/>
          </w:rPr>
          <w:fldChar w:fldCharType="separate"/>
        </w:r>
        <w:r w:rsidR="00302B64">
          <w:rPr>
            <w:webHidden/>
          </w:rPr>
          <w:t>45</w:t>
        </w:r>
        <w:r w:rsidR="00302B64">
          <w:rPr>
            <w:webHidden/>
          </w:rPr>
          <w:fldChar w:fldCharType="end"/>
        </w:r>
      </w:hyperlink>
    </w:p>
    <w:p w14:paraId="3731A4EE" w14:textId="7953FBFB" w:rsidR="00302B64" w:rsidRDefault="00E2128E">
      <w:pPr>
        <w:pStyle w:val="TOC2"/>
        <w:rPr>
          <w:rFonts w:asciiTheme="minorHAnsi" w:eastAsiaTheme="minorEastAsia" w:hAnsiTheme="minorHAnsi" w:cstheme="minorBidi"/>
          <w:spacing w:val="0"/>
          <w:sz w:val="22"/>
          <w:szCs w:val="22"/>
        </w:rPr>
      </w:pPr>
      <w:hyperlink w:anchor="_Toc94603304" w:history="1">
        <w:r w:rsidR="00302B64" w:rsidRPr="00153918">
          <w:rPr>
            <w:rStyle w:val="Hyperlink"/>
          </w:rPr>
          <w:t>Coexistence with Earth Station Protection Zones (ESPZs) (essential for remote)</w:t>
        </w:r>
        <w:r w:rsidR="00302B64">
          <w:rPr>
            <w:webHidden/>
          </w:rPr>
          <w:tab/>
        </w:r>
        <w:r w:rsidR="00302B64">
          <w:rPr>
            <w:webHidden/>
          </w:rPr>
          <w:fldChar w:fldCharType="begin"/>
        </w:r>
        <w:r w:rsidR="00302B64">
          <w:rPr>
            <w:webHidden/>
          </w:rPr>
          <w:instrText xml:space="preserve"> PAGEREF _Toc94603304 \h </w:instrText>
        </w:r>
        <w:r w:rsidR="00302B64">
          <w:rPr>
            <w:webHidden/>
          </w:rPr>
        </w:r>
        <w:r w:rsidR="00302B64">
          <w:rPr>
            <w:webHidden/>
          </w:rPr>
          <w:fldChar w:fldCharType="separate"/>
        </w:r>
        <w:r w:rsidR="00302B64">
          <w:rPr>
            <w:webHidden/>
          </w:rPr>
          <w:t>45</w:t>
        </w:r>
        <w:r w:rsidR="00302B64">
          <w:rPr>
            <w:webHidden/>
          </w:rPr>
          <w:fldChar w:fldCharType="end"/>
        </w:r>
      </w:hyperlink>
    </w:p>
    <w:p w14:paraId="06910C17" w14:textId="411EA4BE" w:rsidR="00302B64" w:rsidRDefault="00E2128E">
      <w:pPr>
        <w:pStyle w:val="TOC2"/>
        <w:rPr>
          <w:rFonts w:asciiTheme="minorHAnsi" w:eastAsiaTheme="minorEastAsia" w:hAnsiTheme="minorHAnsi" w:cstheme="minorBidi"/>
          <w:spacing w:val="0"/>
          <w:sz w:val="22"/>
          <w:szCs w:val="22"/>
        </w:rPr>
      </w:pPr>
      <w:hyperlink w:anchor="_Toc94603305" w:history="1">
        <w:r w:rsidR="00302B64" w:rsidRPr="00153918">
          <w:rPr>
            <w:rStyle w:val="Hyperlink"/>
          </w:rPr>
          <w:t>Coexistence with the Mid West Radio Quiet Zone (RQZ) (essential for remote)</w:t>
        </w:r>
        <w:r w:rsidR="00302B64">
          <w:rPr>
            <w:webHidden/>
          </w:rPr>
          <w:tab/>
        </w:r>
        <w:r w:rsidR="00302B64">
          <w:rPr>
            <w:webHidden/>
          </w:rPr>
          <w:fldChar w:fldCharType="begin"/>
        </w:r>
        <w:r w:rsidR="00302B64">
          <w:rPr>
            <w:webHidden/>
          </w:rPr>
          <w:instrText xml:space="preserve"> PAGEREF _Toc94603305 \h </w:instrText>
        </w:r>
        <w:r w:rsidR="00302B64">
          <w:rPr>
            <w:webHidden/>
          </w:rPr>
        </w:r>
        <w:r w:rsidR="00302B64">
          <w:rPr>
            <w:webHidden/>
          </w:rPr>
          <w:fldChar w:fldCharType="separate"/>
        </w:r>
        <w:r w:rsidR="00302B64">
          <w:rPr>
            <w:webHidden/>
          </w:rPr>
          <w:t>46</w:t>
        </w:r>
        <w:r w:rsidR="00302B64">
          <w:rPr>
            <w:webHidden/>
          </w:rPr>
          <w:fldChar w:fldCharType="end"/>
        </w:r>
      </w:hyperlink>
    </w:p>
    <w:p w14:paraId="058988BA" w14:textId="665C6F13" w:rsidR="00302B64" w:rsidRDefault="00E2128E">
      <w:pPr>
        <w:pStyle w:val="TOC2"/>
        <w:rPr>
          <w:rFonts w:asciiTheme="minorHAnsi" w:eastAsiaTheme="minorEastAsia" w:hAnsiTheme="minorHAnsi" w:cstheme="minorBidi"/>
          <w:spacing w:val="0"/>
          <w:sz w:val="22"/>
          <w:szCs w:val="22"/>
        </w:rPr>
      </w:pPr>
      <w:hyperlink w:anchor="_Toc94603306" w:history="1">
        <w:r w:rsidR="00302B64" w:rsidRPr="00153918">
          <w:rPr>
            <w:rStyle w:val="Hyperlink"/>
          </w:rPr>
          <w:t>Class licensed devices operating in the 3400-4200 MHz range (essential for remote)</w:t>
        </w:r>
        <w:r w:rsidR="00302B64">
          <w:rPr>
            <w:webHidden/>
          </w:rPr>
          <w:tab/>
        </w:r>
        <w:r w:rsidR="00302B64">
          <w:rPr>
            <w:webHidden/>
          </w:rPr>
          <w:fldChar w:fldCharType="begin"/>
        </w:r>
        <w:r w:rsidR="00302B64">
          <w:rPr>
            <w:webHidden/>
          </w:rPr>
          <w:instrText xml:space="preserve"> PAGEREF _Toc94603306 \h </w:instrText>
        </w:r>
        <w:r w:rsidR="00302B64">
          <w:rPr>
            <w:webHidden/>
          </w:rPr>
        </w:r>
        <w:r w:rsidR="00302B64">
          <w:rPr>
            <w:webHidden/>
          </w:rPr>
          <w:fldChar w:fldCharType="separate"/>
        </w:r>
        <w:r w:rsidR="00302B64">
          <w:rPr>
            <w:webHidden/>
          </w:rPr>
          <w:t>46</w:t>
        </w:r>
        <w:r w:rsidR="00302B64">
          <w:rPr>
            <w:webHidden/>
          </w:rPr>
          <w:fldChar w:fldCharType="end"/>
        </w:r>
      </w:hyperlink>
    </w:p>
    <w:p w14:paraId="084F0E28" w14:textId="324C22B0" w:rsidR="00302B64" w:rsidRDefault="00E2128E">
      <w:pPr>
        <w:pStyle w:val="TOC2"/>
        <w:rPr>
          <w:rFonts w:asciiTheme="minorHAnsi" w:eastAsiaTheme="minorEastAsia" w:hAnsiTheme="minorHAnsi" w:cstheme="minorBidi"/>
          <w:spacing w:val="0"/>
          <w:sz w:val="22"/>
          <w:szCs w:val="22"/>
        </w:rPr>
      </w:pPr>
      <w:hyperlink w:anchor="_Toc94603307" w:history="1">
        <w:r w:rsidR="00302B64" w:rsidRPr="00153918">
          <w:rPr>
            <w:rStyle w:val="Hyperlink"/>
          </w:rPr>
          <w:t>Amateur service below 3400 MHz and in the 3400-3575 MHz range (essential for remote)</w:t>
        </w:r>
        <w:r w:rsidR="00302B64">
          <w:rPr>
            <w:webHidden/>
          </w:rPr>
          <w:tab/>
        </w:r>
        <w:r w:rsidR="00302B64">
          <w:rPr>
            <w:webHidden/>
          </w:rPr>
          <w:fldChar w:fldCharType="begin"/>
        </w:r>
        <w:r w:rsidR="00302B64">
          <w:rPr>
            <w:webHidden/>
          </w:rPr>
          <w:instrText xml:space="preserve"> PAGEREF _Toc94603307 \h </w:instrText>
        </w:r>
        <w:r w:rsidR="00302B64">
          <w:rPr>
            <w:webHidden/>
          </w:rPr>
        </w:r>
        <w:r w:rsidR="00302B64">
          <w:rPr>
            <w:webHidden/>
          </w:rPr>
          <w:fldChar w:fldCharType="separate"/>
        </w:r>
        <w:r w:rsidR="00302B64">
          <w:rPr>
            <w:webHidden/>
          </w:rPr>
          <w:t>46</w:t>
        </w:r>
        <w:r w:rsidR="00302B64">
          <w:rPr>
            <w:webHidden/>
          </w:rPr>
          <w:fldChar w:fldCharType="end"/>
        </w:r>
      </w:hyperlink>
    </w:p>
    <w:p w14:paraId="5BDECC0D" w14:textId="7FFD2923" w:rsidR="00302B64" w:rsidRDefault="00E2128E">
      <w:pPr>
        <w:pStyle w:val="TOC2"/>
        <w:rPr>
          <w:rFonts w:asciiTheme="minorHAnsi" w:eastAsiaTheme="minorEastAsia" w:hAnsiTheme="minorHAnsi" w:cstheme="minorBidi"/>
          <w:spacing w:val="0"/>
          <w:sz w:val="22"/>
          <w:szCs w:val="22"/>
        </w:rPr>
      </w:pPr>
      <w:hyperlink w:anchor="_Toc94603308" w:history="1">
        <w:r w:rsidR="00302B64" w:rsidRPr="00153918">
          <w:rPr>
            <w:rStyle w:val="Hyperlink"/>
          </w:rPr>
          <w:t>AWL assignment conditions (most elements essential for remote)</w:t>
        </w:r>
        <w:r w:rsidR="00302B64">
          <w:rPr>
            <w:webHidden/>
          </w:rPr>
          <w:tab/>
        </w:r>
        <w:r w:rsidR="00302B64">
          <w:rPr>
            <w:webHidden/>
          </w:rPr>
          <w:fldChar w:fldCharType="begin"/>
        </w:r>
        <w:r w:rsidR="00302B64">
          <w:rPr>
            <w:webHidden/>
          </w:rPr>
          <w:instrText xml:space="preserve"> PAGEREF _Toc94603308 \h </w:instrText>
        </w:r>
        <w:r w:rsidR="00302B64">
          <w:rPr>
            <w:webHidden/>
          </w:rPr>
        </w:r>
        <w:r w:rsidR="00302B64">
          <w:rPr>
            <w:webHidden/>
          </w:rPr>
          <w:fldChar w:fldCharType="separate"/>
        </w:r>
        <w:r w:rsidR="00302B64">
          <w:rPr>
            <w:webHidden/>
          </w:rPr>
          <w:t>47</w:t>
        </w:r>
        <w:r w:rsidR="00302B64">
          <w:rPr>
            <w:webHidden/>
          </w:rPr>
          <w:fldChar w:fldCharType="end"/>
        </w:r>
      </w:hyperlink>
    </w:p>
    <w:p w14:paraId="0D46FF6B" w14:textId="44755275" w:rsidR="00302B64" w:rsidRDefault="00E2128E">
      <w:pPr>
        <w:pStyle w:val="TOC3"/>
        <w:rPr>
          <w:rFonts w:asciiTheme="minorHAnsi" w:eastAsiaTheme="minorEastAsia" w:hAnsiTheme="minorHAnsi" w:cstheme="minorBidi"/>
        </w:rPr>
      </w:pPr>
      <w:hyperlink w:anchor="_Toc94603309" w:history="1">
        <w:r w:rsidR="00302B64" w:rsidRPr="00153918">
          <w:rPr>
            <w:rStyle w:val="Hyperlink"/>
          </w:rPr>
          <w:t>Minimum area and bandwidth limits (this does not apply to FSS in remote areas)</w:t>
        </w:r>
        <w:r w:rsidR="00302B64">
          <w:rPr>
            <w:webHidden/>
          </w:rPr>
          <w:tab/>
        </w:r>
        <w:r w:rsidR="00302B64">
          <w:rPr>
            <w:webHidden/>
          </w:rPr>
          <w:fldChar w:fldCharType="begin"/>
        </w:r>
        <w:r w:rsidR="00302B64">
          <w:rPr>
            <w:webHidden/>
          </w:rPr>
          <w:instrText xml:space="preserve"> PAGEREF _Toc94603309 \h </w:instrText>
        </w:r>
        <w:r w:rsidR="00302B64">
          <w:rPr>
            <w:webHidden/>
          </w:rPr>
        </w:r>
        <w:r w:rsidR="00302B64">
          <w:rPr>
            <w:webHidden/>
          </w:rPr>
          <w:fldChar w:fldCharType="separate"/>
        </w:r>
        <w:r w:rsidR="00302B64">
          <w:rPr>
            <w:webHidden/>
          </w:rPr>
          <w:t>47</w:t>
        </w:r>
        <w:r w:rsidR="00302B64">
          <w:rPr>
            <w:webHidden/>
          </w:rPr>
          <w:fldChar w:fldCharType="end"/>
        </w:r>
      </w:hyperlink>
    </w:p>
    <w:p w14:paraId="77C16689" w14:textId="168D1769" w:rsidR="00302B64" w:rsidRDefault="00E2128E">
      <w:pPr>
        <w:pStyle w:val="TOC3"/>
        <w:rPr>
          <w:rFonts w:asciiTheme="minorHAnsi" w:eastAsiaTheme="minorEastAsia" w:hAnsiTheme="minorHAnsi" w:cstheme="minorBidi"/>
        </w:rPr>
      </w:pPr>
      <w:hyperlink w:anchor="_Toc94603310" w:history="1">
        <w:r w:rsidR="00302B64" w:rsidRPr="00153918">
          <w:rPr>
            <w:rStyle w:val="Hyperlink"/>
          </w:rPr>
          <w:t>Maximum area and bandwidth limits (not essential for remote technical framework)</w:t>
        </w:r>
        <w:r w:rsidR="00302B64">
          <w:rPr>
            <w:webHidden/>
          </w:rPr>
          <w:tab/>
        </w:r>
        <w:r w:rsidR="00302B64">
          <w:rPr>
            <w:webHidden/>
          </w:rPr>
          <w:fldChar w:fldCharType="begin"/>
        </w:r>
        <w:r w:rsidR="00302B64">
          <w:rPr>
            <w:webHidden/>
          </w:rPr>
          <w:instrText xml:space="preserve"> PAGEREF _Toc94603310 \h </w:instrText>
        </w:r>
        <w:r w:rsidR="00302B64">
          <w:rPr>
            <w:webHidden/>
          </w:rPr>
        </w:r>
        <w:r w:rsidR="00302B64">
          <w:rPr>
            <w:webHidden/>
          </w:rPr>
          <w:fldChar w:fldCharType="separate"/>
        </w:r>
        <w:r w:rsidR="00302B64">
          <w:rPr>
            <w:webHidden/>
          </w:rPr>
          <w:t>48</w:t>
        </w:r>
        <w:r w:rsidR="00302B64">
          <w:rPr>
            <w:webHidden/>
          </w:rPr>
          <w:fldChar w:fldCharType="end"/>
        </w:r>
      </w:hyperlink>
    </w:p>
    <w:p w14:paraId="51879E96" w14:textId="31009417" w:rsidR="00302B64" w:rsidRDefault="00E2128E">
      <w:pPr>
        <w:pStyle w:val="TOC3"/>
        <w:rPr>
          <w:rFonts w:asciiTheme="minorHAnsi" w:eastAsiaTheme="minorEastAsia" w:hAnsiTheme="minorHAnsi" w:cstheme="minorBidi"/>
        </w:rPr>
      </w:pPr>
      <w:hyperlink w:anchor="_Toc94603311" w:history="1">
        <w:r w:rsidR="00302B64" w:rsidRPr="00153918">
          <w:rPr>
            <w:rStyle w:val="Hyperlink"/>
          </w:rPr>
          <w:t>Assignment rules (essential for remote)</w:t>
        </w:r>
        <w:r w:rsidR="00302B64">
          <w:rPr>
            <w:webHidden/>
          </w:rPr>
          <w:tab/>
        </w:r>
        <w:r w:rsidR="00302B64">
          <w:rPr>
            <w:webHidden/>
          </w:rPr>
          <w:fldChar w:fldCharType="begin"/>
        </w:r>
        <w:r w:rsidR="00302B64">
          <w:rPr>
            <w:webHidden/>
          </w:rPr>
          <w:instrText xml:space="preserve"> PAGEREF _Toc94603311 \h </w:instrText>
        </w:r>
        <w:r w:rsidR="00302B64">
          <w:rPr>
            <w:webHidden/>
          </w:rPr>
        </w:r>
        <w:r w:rsidR="00302B64">
          <w:rPr>
            <w:webHidden/>
          </w:rPr>
          <w:fldChar w:fldCharType="separate"/>
        </w:r>
        <w:r w:rsidR="00302B64">
          <w:rPr>
            <w:webHidden/>
          </w:rPr>
          <w:t>48</w:t>
        </w:r>
        <w:r w:rsidR="00302B64">
          <w:rPr>
            <w:webHidden/>
          </w:rPr>
          <w:fldChar w:fldCharType="end"/>
        </w:r>
      </w:hyperlink>
    </w:p>
    <w:p w14:paraId="5ADBD468" w14:textId="6B06225D" w:rsidR="00302B64" w:rsidRDefault="00E2128E">
      <w:pPr>
        <w:pStyle w:val="TOC3"/>
        <w:rPr>
          <w:rFonts w:asciiTheme="minorHAnsi" w:eastAsiaTheme="minorEastAsia" w:hAnsiTheme="minorHAnsi" w:cstheme="minorBidi"/>
        </w:rPr>
      </w:pPr>
      <w:hyperlink w:anchor="_Toc94603312" w:history="1">
        <w:r w:rsidR="00302B64" w:rsidRPr="00153918">
          <w:rPr>
            <w:rStyle w:val="Hyperlink"/>
          </w:rPr>
          <w:t>Recording device details in the RRL (essential for remote)</w:t>
        </w:r>
        <w:r w:rsidR="00302B64">
          <w:rPr>
            <w:webHidden/>
          </w:rPr>
          <w:tab/>
        </w:r>
        <w:r w:rsidR="00302B64">
          <w:rPr>
            <w:webHidden/>
          </w:rPr>
          <w:fldChar w:fldCharType="begin"/>
        </w:r>
        <w:r w:rsidR="00302B64">
          <w:rPr>
            <w:webHidden/>
          </w:rPr>
          <w:instrText xml:space="preserve"> PAGEREF _Toc94603312 \h </w:instrText>
        </w:r>
        <w:r w:rsidR="00302B64">
          <w:rPr>
            <w:webHidden/>
          </w:rPr>
        </w:r>
        <w:r w:rsidR="00302B64">
          <w:rPr>
            <w:webHidden/>
          </w:rPr>
          <w:fldChar w:fldCharType="separate"/>
        </w:r>
        <w:r w:rsidR="00302B64">
          <w:rPr>
            <w:webHidden/>
          </w:rPr>
          <w:t>49</w:t>
        </w:r>
        <w:r w:rsidR="00302B64">
          <w:rPr>
            <w:webHidden/>
          </w:rPr>
          <w:fldChar w:fldCharType="end"/>
        </w:r>
      </w:hyperlink>
    </w:p>
    <w:p w14:paraId="3E70738C" w14:textId="4DA1EF7F" w:rsidR="00302B64" w:rsidRDefault="00E2128E">
      <w:pPr>
        <w:pStyle w:val="TOC2"/>
        <w:rPr>
          <w:rFonts w:asciiTheme="minorHAnsi" w:eastAsiaTheme="minorEastAsia" w:hAnsiTheme="minorHAnsi" w:cstheme="minorBidi"/>
          <w:spacing w:val="0"/>
          <w:sz w:val="22"/>
          <w:szCs w:val="22"/>
        </w:rPr>
      </w:pPr>
      <w:hyperlink w:anchor="_Toc94603313" w:history="1">
        <w:r w:rsidR="00302B64" w:rsidRPr="00153918">
          <w:rPr>
            <w:rStyle w:val="Hyperlink"/>
          </w:rPr>
          <w:t>Consequential policy document changes (essential for remote)</w:t>
        </w:r>
        <w:r w:rsidR="00302B64">
          <w:rPr>
            <w:webHidden/>
          </w:rPr>
          <w:tab/>
        </w:r>
        <w:r w:rsidR="00302B64">
          <w:rPr>
            <w:webHidden/>
          </w:rPr>
          <w:fldChar w:fldCharType="begin"/>
        </w:r>
        <w:r w:rsidR="00302B64">
          <w:rPr>
            <w:webHidden/>
          </w:rPr>
          <w:instrText xml:space="preserve"> PAGEREF _Toc94603313 \h </w:instrText>
        </w:r>
        <w:r w:rsidR="00302B64">
          <w:rPr>
            <w:webHidden/>
          </w:rPr>
        </w:r>
        <w:r w:rsidR="00302B64">
          <w:rPr>
            <w:webHidden/>
          </w:rPr>
          <w:fldChar w:fldCharType="separate"/>
        </w:r>
        <w:r w:rsidR="00302B64">
          <w:rPr>
            <w:webHidden/>
          </w:rPr>
          <w:t>50</w:t>
        </w:r>
        <w:r w:rsidR="00302B64">
          <w:rPr>
            <w:webHidden/>
          </w:rPr>
          <w:fldChar w:fldCharType="end"/>
        </w:r>
      </w:hyperlink>
    </w:p>
    <w:p w14:paraId="7B0D8C8F" w14:textId="099EB760" w:rsidR="00302B64" w:rsidRDefault="00E2128E">
      <w:pPr>
        <w:pStyle w:val="TOC3"/>
        <w:rPr>
          <w:rFonts w:asciiTheme="minorHAnsi" w:eastAsiaTheme="minorEastAsia" w:hAnsiTheme="minorHAnsi" w:cstheme="minorBidi"/>
        </w:rPr>
      </w:pPr>
      <w:hyperlink w:anchor="_Toc94603314" w:history="1">
        <w:r w:rsidR="00302B64" w:rsidRPr="00153918">
          <w:rPr>
            <w:rStyle w:val="Hyperlink"/>
          </w:rPr>
          <w:t>Proposed changes to RALI FX03</w:t>
        </w:r>
        <w:r w:rsidR="00302B64">
          <w:rPr>
            <w:webHidden/>
          </w:rPr>
          <w:tab/>
        </w:r>
        <w:r w:rsidR="00302B64">
          <w:rPr>
            <w:webHidden/>
          </w:rPr>
          <w:fldChar w:fldCharType="begin"/>
        </w:r>
        <w:r w:rsidR="00302B64">
          <w:rPr>
            <w:webHidden/>
          </w:rPr>
          <w:instrText xml:space="preserve"> PAGEREF _Toc94603314 \h </w:instrText>
        </w:r>
        <w:r w:rsidR="00302B64">
          <w:rPr>
            <w:webHidden/>
          </w:rPr>
        </w:r>
        <w:r w:rsidR="00302B64">
          <w:rPr>
            <w:webHidden/>
          </w:rPr>
          <w:fldChar w:fldCharType="separate"/>
        </w:r>
        <w:r w:rsidR="00302B64">
          <w:rPr>
            <w:webHidden/>
          </w:rPr>
          <w:t>50</w:t>
        </w:r>
        <w:r w:rsidR="00302B64">
          <w:rPr>
            <w:webHidden/>
          </w:rPr>
          <w:fldChar w:fldCharType="end"/>
        </w:r>
      </w:hyperlink>
    </w:p>
    <w:p w14:paraId="51D64DD2" w14:textId="6453F299" w:rsidR="00302B64" w:rsidRDefault="00E2128E">
      <w:pPr>
        <w:pStyle w:val="TOC3"/>
        <w:rPr>
          <w:rFonts w:asciiTheme="minorHAnsi" w:eastAsiaTheme="minorEastAsia" w:hAnsiTheme="minorHAnsi" w:cstheme="minorBidi"/>
        </w:rPr>
      </w:pPr>
      <w:hyperlink w:anchor="_Toc94603315" w:history="1">
        <w:r w:rsidR="00302B64" w:rsidRPr="00153918">
          <w:rPr>
            <w:rStyle w:val="Hyperlink"/>
          </w:rPr>
          <w:t>Proposed changes to RALI FX19</w:t>
        </w:r>
        <w:r w:rsidR="00302B64">
          <w:rPr>
            <w:webHidden/>
          </w:rPr>
          <w:tab/>
        </w:r>
        <w:r w:rsidR="00302B64">
          <w:rPr>
            <w:webHidden/>
          </w:rPr>
          <w:fldChar w:fldCharType="begin"/>
        </w:r>
        <w:r w:rsidR="00302B64">
          <w:rPr>
            <w:webHidden/>
          </w:rPr>
          <w:instrText xml:space="preserve"> PAGEREF _Toc94603315 \h </w:instrText>
        </w:r>
        <w:r w:rsidR="00302B64">
          <w:rPr>
            <w:webHidden/>
          </w:rPr>
        </w:r>
        <w:r w:rsidR="00302B64">
          <w:rPr>
            <w:webHidden/>
          </w:rPr>
          <w:fldChar w:fldCharType="separate"/>
        </w:r>
        <w:r w:rsidR="00302B64">
          <w:rPr>
            <w:webHidden/>
          </w:rPr>
          <w:t>51</w:t>
        </w:r>
        <w:r w:rsidR="00302B64">
          <w:rPr>
            <w:webHidden/>
          </w:rPr>
          <w:fldChar w:fldCharType="end"/>
        </w:r>
      </w:hyperlink>
    </w:p>
    <w:p w14:paraId="25746581" w14:textId="7DD742A0" w:rsidR="00302B64" w:rsidRDefault="00E2128E">
      <w:pPr>
        <w:pStyle w:val="TOC1"/>
        <w:rPr>
          <w:rFonts w:asciiTheme="minorHAnsi" w:eastAsiaTheme="minorEastAsia" w:hAnsiTheme="minorHAnsi" w:cstheme="minorBidi"/>
          <w:b w:val="0"/>
          <w:spacing w:val="0"/>
          <w:sz w:val="22"/>
          <w:szCs w:val="22"/>
        </w:rPr>
      </w:pPr>
      <w:hyperlink w:anchor="_Toc94603316" w:history="1">
        <w:r w:rsidR="00302B64" w:rsidRPr="00153918">
          <w:rPr>
            <w:rStyle w:val="Hyperlink"/>
          </w:rPr>
          <w:t>Extended 3.4 GHz band spectrum licensing technical framework</w:t>
        </w:r>
        <w:r w:rsidR="00302B64">
          <w:rPr>
            <w:webHidden/>
          </w:rPr>
          <w:tab/>
        </w:r>
        <w:r w:rsidR="00302B64">
          <w:rPr>
            <w:webHidden/>
          </w:rPr>
          <w:fldChar w:fldCharType="begin"/>
        </w:r>
        <w:r w:rsidR="00302B64">
          <w:rPr>
            <w:webHidden/>
          </w:rPr>
          <w:instrText xml:space="preserve"> PAGEREF _Toc94603316 \h </w:instrText>
        </w:r>
        <w:r w:rsidR="00302B64">
          <w:rPr>
            <w:webHidden/>
          </w:rPr>
        </w:r>
        <w:r w:rsidR="00302B64">
          <w:rPr>
            <w:webHidden/>
          </w:rPr>
          <w:fldChar w:fldCharType="separate"/>
        </w:r>
        <w:r w:rsidR="00302B64">
          <w:rPr>
            <w:webHidden/>
          </w:rPr>
          <w:t>54</w:t>
        </w:r>
        <w:r w:rsidR="00302B64">
          <w:rPr>
            <w:webHidden/>
          </w:rPr>
          <w:fldChar w:fldCharType="end"/>
        </w:r>
      </w:hyperlink>
    </w:p>
    <w:p w14:paraId="7D66D522" w14:textId="01BD6994" w:rsidR="00302B64" w:rsidRDefault="00E2128E">
      <w:pPr>
        <w:pStyle w:val="TOC2"/>
        <w:rPr>
          <w:rFonts w:asciiTheme="minorHAnsi" w:eastAsiaTheme="minorEastAsia" w:hAnsiTheme="minorHAnsi" w:cstheme="minorBidi"/>
          <w:spacing w:val="0"/>
          <w:sz w:val="22"/>
          <w:szCs w:val="22"/>
        </w:rPr>
      </w:pPr>
      <w:hyperlink w:anchor="_Toc94603317" w:history="1">
        <w:r w:rsidR="00302B64" w:rsidRPr="00153918">
          <w:rPr>
            <w:rStyle w:val="Hyperlink"/>
          </w:rPr>
          <w:t>Background</w:t>
        </w:r>
        <w:r w:rsidR="00302B64">
          <w:rPr>
            <w:webHidden/>
          </w:rPr>
          <w:tab/>
        </w:r>
        <w:r w:rsidR="00302B64">
          <w:rPr>
            <w:webHidden/>
          </w:rPr>
          <w:fldChar w:fldCharType="begin"/>
        </w:r>
        <w:r w:rsidR="00302B64">
          <w:rPr>
            <w:webHidden/>
          </w:rPr>
          <w:instrText xml:space="preserve"> PAGEREF _Toc94603317 \h </w:instrText>
        </w:r>
        <w:r w:rsidR="00302B64">
          <w:rPr>
            <w:webHidden/>
          </w:rPr>
        </w:r>
        <w:r w:rsidR="00302B64">
          <w:rPr>
            <w:webHidden/>
          </w:rPr>
          <w:fldChar w:fldCharType="separate"/>
        </w:r>
        <w:r w:rsidR="00302B64">
          <w:rPr>
            <w:webHidden/>
          </w:rPr>
          <w:t>54</w:t>
        </w:r>
        <w:r w:rsidR="00302B64">
          <w:rPr>
            <w:webHidden/>
          </w:rPr>
          <w:fldChar w:fldCharType="end"/>
        </w:r>
      </w:hyperlink>
    </w:p>
    <w:p w14:paraId="6D0B804C" w14:textId="3CC49253" w:rsidR="00302B64" w:rsidRDefault="00E2128E">
      <w:pPr>
        <w:pStyle w:val="TOC2"/>
        <w:rPr>
          <w:rFonts w:asciiTheme="minorHAnsi" w:eastAsiaTheme="minorEastAsia" w:hAnsiTheme="minorHAnsi" w:cstheme="minorBidi"/>
          <w:spacing w:val="0"/>
          <w:sz w:val="22"/>
          <w:szCs w:val="22"/>
        </w:rPr>
      </w:pPr>
      <w:hyperlink w:anchor="_Toc94603318" w:history="1">
        <w:r w:rsidR="00302B64" w:rsidRPr="00153918">
          <w:rPr>
            <w:rStyle w:val="Hyperlink"/>
          </w:rPr>
          <w:t>The existing 3.4 GHz band spectrum licensing technical framework</w:t>
        </w:r>
        <w:r w:rsidR="00302B64">
          <w:rPr>
            <w:webHidden/>
          </w:rPr>
          <w:tab/>
        </w:r>
        <w:r w:rsidR="00302B64">
          <w:rPr>
            <w:webHidden/>
          </w:rPr>
          <w:fldChar w:fldCharType="begin"/>
        </w:r>
        <w:r w:rsidR="00302B64">
          <w:rPr>
            <w:webHidden/>
          </w:rPr>
          <w:instrText xml:space="preserve"> PAGEREF _Toc94603318 \h </w:instrText>
        </w:r>
        <w:r w:rsidR="00302B64">
          <w:rPr>
            <w:webHidden/>
          </w:rPr>
        </w:r>
        <w:r w:rsidR="00302B64">
          <w:rPr>
            <w:webHidden/>
          </w:rPr>
          <w:fldChar w:fldCharType="separate"/>
        </w:r>
        <w:r w:rsidR="00302B64">
          <w:rPr>
            <w:webHidden/>
          </w:rPr>
          <w:t>54</w:t>
        </w:r>
        <w:r w:rsidR="00302B64">
          <w:rPr>
            <w:webHidden/>
          </w:rPr>
          <w:fldChar w:fldCharType="end"/>
        </w:r>
      </w:hyperlink>
    </w:p>
    <w:p w14:paraId="6D45C2B1" w14:textId="78CAC2A5" w:rsidR="00302B64" w:rsidRDefault="00E2128E">
      <w:pPr>
        <w:pStyle w:val="TOC2"/>
        <w:rPr>
          <w:rFonts w:asciiTheme="minorHAnsi" w:eastAsiaTheme="minorEastAsia" w:hAnsiTheme="minorHAnsi" w:cstheme="minorBidi"/>
          <w:spacing w:val="0"/>
          <w:sz w:val="22"/>
          <w:szCs w:val="22"/>
        </w:rPr>
      </w:pPr>
      <w:hyperlink w:anchor="_Toc94603319" w:history="1">
        <w:r w:rsidR="00302B64" w:rsidRPr="00153918">
          <w:rPr>
            <w:rStyle w:val="Hyperlink"/>
          </w:rPr>
          <w:t>Conditions on the spectrum licence</w:t>
        </w:r>
        <w:r w:rsidR="00302B64">
          <w:rPr>
            <w:webHidden/>
          </w:rPr>
          <w:tab/>
        </w:r>
        <w:r w:rsidR="00302B64">
          <w:rPr>
            <w:webHidden/>
          </w:rPr>
          <w:fldChar w:fldCharType="begin"/>
        </w:r>
        <w:r w:rsidR="00302B64">
          <w:rPr>
            <w:webHidden/>
          </w:rPr>
          <w:instrText xml:space="preserve"> PAGEREF _Toc94603319 \h </w:instrText>
        </w:r>
        <w:r w:rsidR="00302B64">
          <w:rPr>
            <w:webHidden/>
          </w:rPr>
        </w:r>
        <w:r w:rsidR="00302B64">
          <w:rPr>
            <w:webHidden/>
          </w:rPr>
          <w:fldChar w:fldCharType="separate"/>
        </w:r>
        <w:r w:rsidR="00302B64">
          <w:rPr>
            <w:webHidden/>
          </w:rPr>
          <w:t>55</w:t>
        </w:r>
        <w:r w:rsidR="00302B64">
          <w:rPr>
            <w:webHidden/>
          </w:rPr>
          <w:fldChar w:fldCharType="end"/>
        </w:r>
      </w:hyperlink>
    </w:p>
    <w:p w14:paraId="284AED79" w14:textId="6EAD43A8" w:rsidR="00302B64" w:rsidRDefault="00E2128E">
      <w:pPr>
        <w:pStyle w:val="TOC2"/>
        <w:rPr>
          <w:rFonts w:asciiTheme="minorHAnsi" w:eastAsiaTheme="minorEastAsia" w:hAnsiTheme="minorHAnsi" w:cstheme="minorBidi"/>
          <w:spacing w:val="0"/>
          <w:sz w:val="22"/>
          <w:szCs w:val="22"/>
        </w:rPr>
      </w:pPr>
      <w:hyperlink w:anchor="_Toc94603320" w:history="1">
        <w:r w:rsidR="00302B64" w:rsidRPr="00153918">
          <w:rPr>
            <w:rStyle w:val="Hyperlink"/>
          </w:rPr>
          <w:t>Unacceptable levels of interference</w:t>
        </w:r>
        <w:r w:rsidR="00302B64">
          <w:rPr>
            <w:webHidden/>
          </w:rPr>
          <w:tab/>
        </w:r>
        <w:r w:rsidR="00302B64">
          <w:rPr>
            <w:webHidden/>
          </w:rPr>
          <w:fldChar w:fldCharType="begin"/>
        </w:r>
        <w:r w:rsidR="00302B64">
          <w:rPr>
            <w:webHidden/>
          </w:rPr>
          <w:instrText xml:space="preserve"> PAGEREF _Toc94603320 \h </w:instrText>
        </w:r>
        <w:r w:rsidR="00302B64">
          <w:rPr>
            <w:webHidden/>
          </w:rPr>
        </w:r>
        <w:r w:rsidR="00302B64">
          <w:rPr>
            <w:webHidden/>
          </w:rPr>
          <w:fldChar w:fldCharType="separate"/>
        </w:r>
        <w:r w:rsidR="00302B64">
          <w:rPr>
            <w:webHidden/>
          </w:rPr>
          <w:t>55</w:t>
        </w:r>
        <w:r w:rsidR="00302B64">
          <w:rPr>
            <w:webHidden/>
          </w:rPr>
          <w:fldChar w:fldCharType="end"/>
        </w:r>
      </w:hyperlink>
    </w:p>
    <w:p w14:paraId="5D850775" w14:textId="64FE10B1" w:rsidR="00302B64" w:rsidRDefault="00E2128E">
      <w:pPr>
        <w:pStyle w:val="TOC2"/>
        <w:rPr>
          <w:rFonts w:asciiTheme="minorHAnsi" w:eastAsiaTheme="minorEastAsia" w:hAnsiTheme="minorHAnsi" w:cstheme="minorBidi"/>
          <w:spacing w:val="0"/>
          <w:sz w:val="22"/>
          <w:szCs w:val="22"/>
        </w:rPr>
      </w:pPr>
      <w:hyperlink w:anchor="_Toc94603321" w:history="1">
        <w:r w:rsidR="00302B64" w:rsidRPr="00153918">
          <w:rPr>
            <w:rStyle w:val="Hyperlink"/>
          </w:rPr>
          <w:t>Radiocommunications advisory guidelines</w:t>
        </w:r>
        <w:r w:rsidR="00302B64">
          <w:rPr>
            <w:webHidden/>
          </w:rPr>
          <w:tab/>
        </w:r>
        <w:r w:rsidR="00302B64">
          <w:rPr>
            <w:webHidden/>
          </w:rPr>
          <w:fldChar w:fldCharType="begin"/>
        </w:r>
        <w:r w:rsidR="00302B64">
          <w:rPr>
            <w:webHidden/>
          </w:rPr>
          <w:instrText xml:space="preserve"> PAGEREF _Toc94603321 \h </w:instrText>
        </w:r>
        <w:r w:rsidR="00302B64">
          <w:rPr>
            <w:webHidden/>
          </w:rPr>
        </w:r>
        <w:r w:rsidR="00302B64">
          <w:rPr>
            <w:webHidden/>
          </w:rPr>
          <w:fldChar w:fldCharType="separate"/>
        </w:r>
        <w:r w:rsidR="00302B64">
          <w:rPr>
            <w:webHidden/>
          </w:rPr>
          <w:t>56</w:t>
        </w:r>
        <w:r w:rsidR="00302B64">
          <w:rPr>
            <w:webHidden/>
          </w:rPr>
          <w:fldChar w:fldCharType="end"/>
        </w:r>
      </w:hyperlink>
    </w:p>
    <w:p w14:paraId="537BFECD" w14:textId="5B79A0D5" w:rsidR="00302B64" w:rsidRDefault="00E2128E">
      <w:pPr>
        <w:pStyle w:val="TOC1"/>
        <w:rPr>
          <w:rFonts w:asciiTheme="minorHAnsi" w:eastAsiaTheme="minorEastAsia" w:hAnsiTheme="minorHAnsi" w:cstheme="minorBidi"/>
          <w:b w:val="0"/>
          <w:spacing w:val="0"/>
          <w:sz w:val="22"/>
          <w:szCs w:val="22"/>
        </w:rPr>
      </w:pPr>
      <w:hyperlink w:anchor="_Toc94603322" w:history="1">
        <w:r w:rsidR="00302B64" w:rsidRPr="00153918">
          <w:rPr>
            <w:rStyle w:val="Hyperlink"/>
          </w:rPr>
          <w:t>Possible changes to the 3.4 GHz spectrum licensing technical framework (not required for remote)</w:t>
        </w:r>
        <w:r w:rsidR="00302B64">
          <w:rPr>
            <w:webHidden/>
          </w:rPr>
          <w:tab/>
        </w:r>
        <w:r w:rsidR="00302B64">
          <w:rPr>
            <w:webHidden/>
          </w:rPr>
          <w:fldChar w:fldCharType="begin"/>
        </w:r>
        <w:r w:rsidR="00302B64">
          <w:rPr>
            <w:webHidden/>
          </w:rPr>
          <w:instrText xml:space="preserve"> PAGEREF _Toc94603322 \h </w:instrText>
        </w:r>
        <w:r w:rsidR="00302B64">
          <w:rPr>
            <w:webHidden/>
          </w:rPr>
        </w:r>
        <w:r w:rsidR="00302B64">
          <w:rPr>
            <w:webHidden/>
          </w:rPr>
          <w:fldChar w:fldCharType="separate"/>
        </w:r>
        <w:r w:rsidR="00302B64">
          <w:rPr>
            <w:webHidden/>
          </w:rPr>
          <w:t>57</w:t>
        </w:r>
        <w:r w:rsidR="00302B64">
          <w:rPr>
            <w:webHidden/>
          </w:rPr>
          <w:fldChar w:fldCharType="end"/>
        </w:r>
      </w:hyperlink>
    </w:p>
    <w:p w14:paraId="56EADC82" w14:textId="422E9571" w:rsidR="00302B64" w:rsidRDefault="00E2128E">
      <w:pPr>
        <w:pStyle w:val="TOC2"/>
        <w:rPr>
          <w:rFonts w:asciiTheme="minorHAnsi" w:eastAsiaTheme="minorEastAsia" w:hAnsiTheme="minorHAnsi" w:cstheme="minorBidi"/>
          <w:spacing w:val="0"/>
          <w:sz w:val="22"/>
          <w:szCs w:val="22"/>
        </w:rPr>
      </w:pPr>
      <w:hyperlink w:anchor="_Toc94603323" w:history="1">
        <w:r w:rsidR="00302B64" w:rsidRPr="00153918">
          <w:rPr>
            <w:rStyle w:val="Hyperlink"/>
          </w:rPr>
          <w:t>Consequential changes</w:t>
        </w:r>
        <w:r w:rsidR="00302B64">
          <w:rPr>
            <w:webHidden/>
          </w:rPr>
          <w:tab/>
        </w:r>
        <w:r w:rsidR="00302B64">
          <w:rPr>
            <w:webHidden/>
          </w:rPr>
          <w:fldChar w:fldCharType="begin"/>
        </w:r>
        <w:r w:rsidR="00302B64">
          <w:rPr>
            <w:webHidden/>
          </w:rPr>
          <w:instrText xml:space="preserve"> PAGEREF _Toc94603323 \h </w:instrText>
        </w:r>
        <w:r w:rsidR="00302B64">
          <w:rPr>
            <w:webHidden/>
          </w:rPr>
        </w:r>
        <w:r w:rsidR="00302B64">
          <w:rPr>
            <w:webHidden/>
          </w:rPr>
          <w:fldChar w:fldCharType="separate"/>
        </w:r>
        <w:r w:rsidR="00302B64">
          <w:rPr>
            <w:webHidden/>
          </w:rPr>
          <w:t>57</w:t>
        </w:r>
        <w:r w:rsidR="00302B64">
          <w:rPr>
            <w:webHidden/>
          </w:rPr>
          <w:fldChar w:fldCharType="end"/>
        </w:r>
      </w:hyperlink>
    </w:p>
    <w:p w14:paraId="0B1A3F7F" w14:textId="179C6C43" w:rsidR="00302B64" w:rsidRDefault="00E2128E">
      <w:pPr>
        <w:pStyle w:val="TOC1"/>
        <w:rPr>
          <w:rFonts w:asciiTheme="minorHAnsi" w:eastAsiaTheme="minorEastAsia" w:hAnsiTheme="minorHAnsi" w:cstheme="minorBidi"/>
          <w:b w:val="0"/>
          <w:spacing w:val="0"/>
          <w:sz w:val="22"/>
          <w:szCs w:val="22"/>
        </w:rPr>
      </w:pPr>
      <w:hyperlink w:anchor="_Toc94603324" w:history="1">
        <w:r w:rsidR="00302B64" w:rsidRPr="00153918">
          <w:rPr>
            <w:rStyle w:val="Hyperlink"/>
          </w:rPr>
          <w:t>Appendix A: Defined geographic areas (remote only definition essential to remote)</w:t>
        </w:r>
        <w:r w:rsidR="00302B64">
          <w:rPr>
            <w:webHidden/>
          </w:rPr>
          <w:tab/>
        </w:r>
        <w:r w:rsidR="00302B64">
          <w:rPr>
            <w:webHidden/>
          </w:rPr>
          <w:fldChar w:fldCharType="begin"/>
        </w:r>
        <w:r w:rsidR="00302B64">
          <w:rPr>
            <w:webHidden/>
          </w:rPr>
          <w:instrText xml:space="preserve"> PAGEREF _Toc94603324 \h </w:instrText>
        </w:r>
        <w:r w:rsidR="00302B64">
          <w:rPr>
            <w:webHidden/>
          </w:rPr>
        </w:r>
        <w:r w:rsidR="00302B64">
          <w:rPr>
            <w:webHidden/>
          </w:rPr>
          <w:fldChar w:fldCharType="separate"/>
        </w:r>
        <w:r w:rsidR="00302B64">
          <w:rPr>
            <w:webHidden/>
          </w:rPr>
          <w:t>60</w:t>
        </w:r>
        <w:r w:rsidR="00302B64">
          <w:rPr>
            <w:webHidden/>
          </w:rPr>
          <w:fldChar w:fldCharType="end"/>
        </w:r>
      </w:hyperlink>
    </w:p>
    <w:p w14:paraId="09029D91" w14:textId="36D2AE94" w:rsidR="00302B64" w:rsidRDefault="00E2128E">
      <w:pPr>
        <w:pStyle w:val="TOC1"/>
        <w:rPr>
          <w:rFonts w:asciiTheme="minorHAnsi" w:eastAsiaTheme="minorEastAsia" w:hAnsiTheme="minorHAnsi" w:cstheme="minorBidi"/>
          <w:b w:val="0"/>
          <w:spacing w:val="0"/>
          <w:sz w:val="22"/>
          <w:szCs w:val="22"/>
        </w:rPr>
      </w:pPr>
      <w:hyperlink w:anchor="_Toc94603325" w:history="1">
        <w:r w:rsidR="00302B64" w:rsidRPr="00153918">
          <w:rPr>
            <w:rStyle w:val="Hyperlink"/>
          </w:rPr>
          <w:t>Appendix B: Wireless broadband and radio altimeter study</w:t>
        </w:r>
        <w:r w:rsidR="00302B64">
          <w:rPr>
            <w:webHidden/>
          </w:rPr>
          <w:tab/>
        </w:r>
        <w:r w:rsidR="00302B64">
          <w:rPr>
            <w:webHidden/>
          </w:rPr>
          <w:fldChar w:fldCharType="begin"/>
        </w:r>
        <w:r w:rsidR="00302B64">
          <w:rPr>
            <w:webHidden/>
          </w:rPr>
          <w:instrText xml:space="preserve"> PAGEREF _Toc94603325 \h </w:instrText>
        </w:r>
        <w:r w:rsidR="00302B64">
          <w:rPr>
            <w:webHidden/>
          </w:rPr>
        </w:r>
        <w:r w:rsidR="00302B64">
          <w:rPr>
            <w:webHidden/>
          </w:rPr>
          <w:fldChar w:fldCharType="separate"/>
        </w:r>
        <w:r w:rsidR="00302B64">
          <w:rPr>
            <w:webHidden/>
          </w:rPr>
          <w:t>67</w:t>
        </w:r>
        <w:r w:rsidR="00302B64">
          <w:rPr>
            <w:webHidden/>
          </w:rPr>
          <w:fldChar w:fldCharType="end"/>
        </w:r>
      </w:hyperlink>
    </w:p>
    <w:p w14:paraId="44638085" w14:textId="4F4CA1BE" w:rsidR="00302B64" w:rsidRDefault="00E2128E">
      <w:pPr>
        <w:pStyle w:val="TOC1"/>
        <w:rPr>
          <w:rFonts w:asciiTheme="minorHAnsi" w:eastAsiaTheme="minorEastAsia" w:hAnsiTheme="minorHAnsi" w:cstheme="minorBidi"/>
          <w:b w:val="0"/>
          <w:spacing w:val="0"/>
          <w:sz w:val="22"/>
          <w:szCs w:val="22"/>
        </w:rPr>
      </w:pPr>
      <w:hyperlink w:anchor="_Toc94603326" w:history="1">
        <w:r w:rsidR="00302B64" w:rsidRPr="00153918">
          <w:rPr>
            <w:rStyle w:val="Hyperlink"/>
          </w:rPr>
          <w:t>Appendix C: PTP channel plan options</w:t>
        </w:r>
        <w:r w:rsidR="00302B64">
          <w:rPr>
            <w:webHidden/>
          </w:rPr>
          <w:tab/>
        </w:r>
        <w:r w:rsidR="00302B64">
          <w:rPr>
            <w:webHidden/>
          </w:rPr>
          <w:fldChar w:fldCharType="begin"/>
        </w:r>
        <w:r w:rsidR="00302B64">
          <w:rPr>
            <w:webHidden/>
          </w:rPr>
          <w:instrText xml:space="preserve"> PAGEREF _Toc94603326 \h </w:instrText>
        </w:r>
        <w:r w:rsidR="00302B64">
          <w:rPr>
            <w:webHidden/>
          </w:rPr>
        </w:r>
        <w:r w:rsidR="00302B64">
          <w:rPr>
            <w:webHidden/>
          </w:rPr>
          <w:fldChar w:fldCharType="separate"/>
        </w:r>
        <w:r w:rsidR="00302B64">
          <w:rPr>
            <w:webHidden/>
          </w:rPr>
          <w:t>68</w:t>
        </w:r>
        <w:r w:rsidR="00302B64">
          <w:rPr>
            <w:webHidden/>
          </w:rPr>
          <w:fldChar w:fldCharType="end"/>
        </w:r>
      </w:hyperlink>
    </w:p>
    <w:p w14:paraId="384634AD" w14:textId="036AEA60" w:rsidR="00302B64" w:rsidRDefault="00E2128E">
      <w:pPr>
        <w:pStyle w:val="TOC1"/>
        <w:rPr>
          <w:rFonts w:asciiTheme="minorHAnsi" w:eastAsiaTheme="minorEastAsia" w:hAnsiTheme="minorHAnsi" w:cstheme="minorBidi"/>
          <w:b w:val="0"/>
          <w:spacing w:val="0"/>
          <w:sz w:val="22"/>
          <w:szCs w:val="22"/>
        </w:rPr>
      </w:pPr>
      <w:hyperlink w:anchor="_Toc94603327" w:history="1">
        <w:r w:rsidR="00302B64" w:rsidRPr="00153918">
          <w:rPr>
            <w:rStyle w:val="Hyperlink"/>
          </w:rPr>
          <w:t>Appendix D: Updated Wireless broadband and radio altimeter study</w:t>
        </w:r>
        <w:r w:rsidR="00302B64">
          <w:rPr>
            <w:webHidden/>
          </w:rPr>
          <w:tab/>
        </w:r>
        <w:r w:rsidR="00302B64">
          <w:rPr>
            <w:webHidden/>
          </w:rPr>
          <w:fldChar w:fldCharType="begin"/>
        </w:r>
        <w:r w:rsidR="00302B64">
          <w:rPr>
            <w:webHidden/>
          </w:rPr>
          <w:instrText xml:space="preserve"> PAGEREF _Toc94603327 \h </w:instrText>
        </w:r>
        <w:r w:rsidR="00302B64">
          <w:rPr>
            <w:webHidden/>
          </w:rPr>
        </w:r>
        <w:r w:rsidR="00302B64">
          <w:rPr>
            <w:webHidden/>
          </w:rPr>
          <w:fldChar w:fldCharType="separate"/>
        </w:r>
        <w:r w:rsidR="00302B64">
          <w:rPr>
            <w:webHidden/>
          </w:rPr>
          <w:t>69</w:t>
        </w:r>
        <w:r w:rsidR="00302B64">
          <w:rPr>
            <w:webHidden/>
          </w:rPr>
          <w:fldChar w:fldCharType="end"/>
        </w:r>
      </w:hyperlink>
    </w:p>
    <w:p w14:paraId="785F99D3" w14:textId="002859B8" w:rsidR="00302B64" w:rsidRDefault="00E2128E">
      <w:pPr>
        <w:pStyle w:val="TOC1"/>
        <w:rPr>
          <w:rFonts w:asciiTheme="minorHAnsi" w:eastAsiaTheme="minorEastAsia" w:hAnsiTheme="minorHAnsi" w:cstheme="minorBidi"/>
          <w:b w:val="0"/>
          <w:spacing w:val="0"/>
          <w:sz w:val="22"/>
          <w:szCs w:val="22"/>
        </w:rPr>
      </w:pPr>
      <w:hyperlink w:anchor="_Toc94603328" w:history="1">
        <w:r w:rsidR="00302B64" w:rsidRPr="00153918">
          <w:rPr>
            <w:rStyle w:val="Hyperlink"/>
          </w:rPr>
          <w:t>Appendix E: Draft AWL Licence Condition Determination</w:t>
        </w:r>
        <w:r w:rsidR="00302B64">
          <w:rPr>
            <w:webHidden/>
          </w:rPr>
          <w:tab/>
        </w:r>
        <w:r w:rsidR="00302B64">
          <w:rPr>
            <w:webHidden/>
          </w:rPr>
          <w:fldChar w:fldCharType="begin"/>
        </w:r>
        <w:r w:rsidR="00302B64">
          <w:rPr>
            <w:webHidden/>
          </w:rPr>
          <w:instrText xml:space="preserve"> PAGEREF _Toc94603328 \h </w:instrText>
        </w:r>
        <w:r w:rsidR="00302B64">
          <w:rPr>
            <w:webHidden/>
          </w:rPr>
        </w:r>
        <w:r w:rsidR="00302B64">
          <w:rPr>
            <w:webHidden/>
          </w:rPr>
          <w:fldChar w:fldCharType="separate"/>
        </w:r>
        <w:r w:rsidR="00302B64">
          <w:rPr>
            <w:webHidden/>
          </w:rPr>
          <w:t>70</w:t>
        </w:r>
        <w:r w:rsidR="00302B64">
          <w:rPr>
            <w:webHidden/>
          </w:rPr>
          <w:fldChar w:fldCharType="end"/>
        </w:r>
      </w:hyperlink>
    </w:p>
    <w:p w14:paraId="069D30B6" w14:textId="2084F6D4" w:rsidR="00302B64" w:rsidRDefault="00E2128E">
      <w:pPr>
        <w:pStyle w:val="TOC1"/>
        <w:rPr>
          <w:rFonts w:asciiTheme="minorHAnsi" w:eastAsiaTheme="minorEastAsia" w:hAnsiTheme="minorHAnsi" w:cstheme="minorBidi"/>
          <w:b w:val="0"/>
          <w:spacing w:val="0"/>
          <w:sz w:val="22"/>
          <w:szCs w:val="22"/>
        </w:rPr>
      </w:pPr>
      <w:hyperlink w:anchor="_Toc94603329" w:history="1">
        <w:r w:rsidR="00302B64" w:rsidRPr="00153918">
          <w:rPr>
            <w:rStyle w:val="Hyperlink"/>
          </w:rPr>
          <w:t>Appendix F: Draft RALI MS47: Frequency coordination and licensing procedures for Area-Wide Licence (AWL) in the 3400–4000 MHz band</w:t>
        </w:r>
        <w:r w:rsidR="00302B64">
          <w:rPr>
            <w:webHidden/>
          </w:rPr>
          <w:tab/>
        </w:r>
        <w:r w:rsidR="00302B64">
          <w:rPr>
            <w:webHidden/>
          </w:rPr>
          <w:fldChar w:fldCharType="begin"/>
        </w:r>
        <w:r w:rsidR="00302B64">
          <w:rPr>
            <w:webHidden/>
          </w:rPr>
          <w:instrText xml:space="preserve"> PAGEREF _Toc94603329 \h </w:instrText>
        </w:r>
        <w:r w:rsidR="00302B64">
          <w:rPr>
            <w:webHidden/>
          </w:rPr>
        </w:r>
        <w:r w:rsidR="00302B64">
          <w:rPr>
            <w:webHidden/>
          </w:rPr>
          <w:fldChar w:fldCharType="separate"/>
        </w:r>
        <w:r w:rsidR="00302B64">
          <w:rPr>
            <w:webHidden/>
          </w:rPr>
          <w:t>71</w:t>
        </w:r>
        <w:r w:rsidR="00302B64">
          <w:rPr>
            <w:webHidden/>
          </w:rPr>
          <w:fldChar w:fldCharType="end"/>
        </w:r>
      </w:hyperlink>
    </w:p>
    <w:p w14:paraId="384CCCCC" w14:textId="77777777" w:rsidR="00FA7F33" w:rsidRPr="00702EA1" w:rsidRDefault="00FA7F33" w:rsidP="00FA7F33">
      <w:pPr>
        <w:rPr>
          <w:rFonts w:cs="Arial"/>
        </w:rPr>
        <w:sectPr w:rsidR="00FA7F33" w:rsidRPr="00702EA1" w:rsidSect="006539E8">
          <w:headerReference w:type="even" r:id="rId23"/>
          <w:headerReference w:type="default" r:id="rId24"/>
          <w:footerReference w:type="even" r:id="rId25"/>
          <w:footerReference w:type="default" r:id="rId26"/>
          <w:footerReference w:type="first" r:id="rId27"/>
          <w:pgSz w:w="11906" w:h="16838" w:code="9"/>
          <w:pgMar w:top="3646" w:right="3101" w:bottom="1134" w:left="1134" w:header="709" w:footer="119" w:gutter="0"/>
          <w:cols w:space="708"/>
          <w:titlePg/>
          <w:docGrid w:linePitch="360"/>
        </w:sectPr>
      </w:pPr>
      <w:r>
        <w:rPr>
          <w:rFonts w:cs="Arial"/>
        </w:rPr>
        <w:fldChar w:fldCharType="end"/>
      </w:r>
    </w:p>
    <w:p w14:paraId="75597E0F" w14:textId="77777777" w:rsidR="00FA7F33" w:rsidRPr="007D04B2" w:rsidRDefault="00FA7F33" w:rsidP="00FA7F33">
      <w:pPr>
        <w:pStyle w:val="Heading1"/>
      </w:pPr>
      <w:bookmarkStart w:id="0" w:name="_Toc56006325"/>
      <w:bookmarkStart w:id="1" w:name="_Toc57809582"/>
      <w:bookmarkStart w:id="2" w:name="_Toc94603240"/>
      <w:r w:rsidRPr="007D04B2">
        <w:lastRenderedPageBreak/>
        <w:t xml:space="preserve">Version </w:t>
      </w:r>
      <w:bookmarkEnd w:id="0"/>
      <w:r>
        <w:t>c</w:t>
      </w:r>
      <w:r w:rsidRPr="007D04B2">
        <w:t>ontrol</w:t>
      </w:r>
      <w:bookmarkEnd w:id="1"/>
      <w:bookmarkEnd w:id="2"/>
    </w:p>
    <w:p w14:paraId="0545EF07" w14:textId="77777777" w:rsidR="00FA7F33" w:rsidRPr="007D04B2" w:rsidRDefault="00FA7F33" w:rsidP="00FA7F33">
      <w:pPr>
        <w:spacing w:after="0" w:line="240" w:lineRule="auto"/>
      </w:pPr>
    </w:p>
    <w:p w14:paraId="66EF9078" w14:textId="77777777" w:rsidR="00FA7F33" w:rsidRPr="007D04B2" w:rsidRDefault="00FA7F33" w:rsidP="00FA7F33">
      <w:pPr>
        <w:spacing w:after="0" w:line="240" w:lineRule="auto"/>
      </w:pPr>
    </w:p>
    <w:tbl>
      <w:tblPr>
        <w:tblStyle w:val="TableGrid"/>
        <w:tblW w:w="9209" w:type="dxa"/>
        <w:tblLook w:val="04A0" w:firstRow="1" w:lastRow="0" w:firstColumn="1" w:lastColumn="0" w:noHBand="0" w:noVBand="1"/>
      </w:tblPr>
      <w:tblGrid>
        <w:gridCol w:w="1322"/>
        <w:gridCol w:w="5903"/>
        <w:gridCol w:w="1984"/>
      </w:tblGrid>
      <w:tr w:rsidR="00FA7F33" w:rsidRPr="007D04B2" w14:paraId="07D5BE3D" w14:textId="77777777" w:rsidTr="00B63CAB">
        <w:tc>
          <w:tcPr>
            <w:tcW w:w="1322" w:type="dxa"/>
            <w:shd w:val="clear" w:color="auto" w:fill="7F7F7F" w:themeFill="text1" w:themeFillTint="80"/>
          </w:tcPr>
          <w:p w14:paraId="0F863CE3" w14:textId="77777777" w:rsidR="00FA7F33" w:rsidRPr="007D04B2" w:rsidRDefault="00FA7F33" w:rsidP="00B63CAB">
            <w:pPr>
              <w:spacing w:before="120" w:after="120" w:line="240" w:lineRule="auto"/>
              <w:rPr>
                <w:b/>
                <w:color w:val="FFFFFF" w:themeColor="background1"/>
              </w:rPr>
            </w:pPr>
            <w:r w:rsidRPr="007D04B2">
              <w:rPr>
                <w:b/>
                <w:color w:val="FFFFFF" w:themeColor="background1"/>
              </w:rPr>
              <w:t>Version</w:t>
            </w:r>
          </w:p>
        </w:tc>
        <w:tc>
          <w:tcPr>
            <w:tcW w:w="5903" w:type="dxa"/>
            <w:shd w:val="clear" w:color="auto" w:fill="7F7F7F" w:themeFill="text1" w:themeFillTint="80"/>
          </w:tcPr>
          <w:p w14:paraId="2BDA9C85" w14:textId="77777777" w:rsidR="00FA7F33" w:rsidRPr="007D04B2" w:rsidRDefault="00FA7F33" w:rsidP="00B63CAB">
            <w:pPr>
              <w:spacing w:before="120" w:after="120" w:line="240" w:lineRule="auto"/>
              <w:rPr>
                <w:b/>
                <w:color w:val="FFFFFF" w:themeColor="background1"/>
              </w:rPr>
            </w:pPr>
            <w:r w:rsidRPr="007D04B2">
              <w:rPr>
                <w:b/>
                <w:color w:val="FFFFFF" w:themeColor="background1"/>
              </w:rPr>
              <w:t>Comments</w:t>
            </w:r>
          </w:p>
        </w:tc>
        <w:tc>
          <w:tcPr>
            <w:tcW w:w="1984" w:type="dxa"/>
            <w:shd w:val="clear" w:color="auto" w:fill="7F7F7F" w:themeFill="text1" w:themeFillTint="80"/>
          </w:tcPr>
          <w:p w14:paraId="7CB35BCD" w14:textId="77777777" w:rsidR="00FA7F33" w:rsidRPr="007D04B2" w:rsidRDefault="00FA7F33" w:rsidP="00B63CAB">
            <w:pPr>
              <w:spacing w:before="120" w:after="120" w:line="240" w:lineRule="auto"/>
              <w:rPr>
                <w:b/>
                <w:color w:val="FFFFFF" w:themeColor="background1"/>
              </w:rPr>
            </w:pPr>
            <w:r>
              <w:rPr>
                <w:b/>
                <w:color w:val="FFFFFF" w:themeColor="background1"/>
              </w:rPr>
              <w:t>Date</w:t>
            </w:r>
          </w:p>
        </w:tc>
      </w:tr>
      <w:tr w:rsidR="00FA7F33" w:rsidRPr="007D04B2" w14:paraId="4D753DA5" w14:textId="77777777" w:rsidTr="00B63CAB">
        <w:tc>
          <w:tcPr>
            <w:tcW w:w="1322" w:type="dxa"/>
          </w:tcPr>
          <w:p w14:paraId="2DEFD9E4" w14:textId="7B243896" w:rsidR="00FA7F33" w:rsidRPr="007D04B2" w:rsidRDefault="00FA7F33" w:rsidP="00B63CAB">
            <w:pPr>
              <w:spacing w:before="120" w:after="120" w:line="240" w:lineRule="auto"/>
            </w:pPr>
            <w:r w:rsidRPr="007D04B2">
              <w:t>Version 1</w:t>
            </w:r>
          </w:p>
        </w:tc>
        <w:tc>
          <w:tcPr>
            <w:tcW w:w="5903" w:type="dxa"/>
          </w:tcPr>
          <w:p w14:paraId="6586CE5A" w14:textId="129C84F1" w:rsidR="00FA7F33" w:rsidRPr="007D04B2" w:rsidRDefault="00FA7F33" w:rsidP="00B63CAB">
            <w:pPr>
              <w:spacing w:before="120" w:after="120" w:line="240" w:lineRule="auto"/>
            </w:pPr>
            <w:r w:rsidRPr="007D04B2">
              <w:t>Initial release</w:t>
            </w:r>
            <w:r w:rsidR="008C2EFA">
              <w:t xml:space="preserve"> to members</w:t>
            </w:r>
          </w:p>
        </w:tc>
        <w:tc>
          <w:tcPr>
            <w:tcW w:w="1984" w:type="dxa"/>
          </w:tcPr>
          <w:p w14:paraId="7FA73A51" w14:textId="77777777" w:rsidR="00FA7F33" w:rsidRPr="007D04B2" w:rsidRDefault="00FA7F33" w:rsidP="00B63CAB">
            <w:pPr>
              <w:spacing w:before="120" w:after="120" w:line="240" w:lineRule="auto"/>
            </w:pPr>
            <w:r>
              <w:t>5 July 2021</w:t>
            </w:r>
          </w:p>
        </w:tc>
      </w:tr>
      <w:tr w:rsidR="00FA7F33" w:rsidRPr="007D04B2" w14:paraId="345C177D" w14:textId="77777777" w:rsidTr="00B63CAB">
        <w:tc>
          <w:tcPr>
            <w:tcW w:w="1322" w:type="dxa"/>
          </w:tcPr>
          <w:p w14:paraId="25CAC579" w14:textId="77777777" w:rsidR="00FA7F33" w:rsidRPr="007D04B2" w:rsidRDefault="00FA7F33" w:rsidP="00B63CAB">
            <w:pPr>
              <w:spacing w:before="120" w:after="120" w:line="240" w:lineRule="auto"/>
            </w:pPr>
            <w:r>
              <w:t xml:space="preserve">Version 2 </w:t>
            </w:r>
          </w:p>
        </w:tc>
        <w:tc>
          <w:tcPr>
            <w:tcW w:w="5903" w:type="dxa"/>
          </w:tcPr>
          <w:p w14:paraId="023DA0EA" w14:textId="24962DD0" w:rsidR="00FA7F33" w:rsidRPr="007D04B2" w:rsidRDefault="00FA7F33" w:rsidP="00CC3444">
            <w:pPr>
              <w:spacing w:before="120" w:after="120" w:line="240" w:lineRule="auto"/>
            </w:pPr>
            <w:r>
              <w:t xml:space="preserve">Second release </w:t>
            </w:r>
            <w:r w:rsidR="008C2EFA">
              <w:t xml:space="preserve">to members </w:t>
            </w:r>
            <w:r>
              <w:t>after submissions to version 1 and initial discussions with formed Working Groups.</w:t>
            </w:r>
          </w:p>
        </w:tc>
        <w:tc>
          <w:tcPr>
            <w:tcW w:w="1984" w:type="dxa"/>
          </w:tcPr>
          <w:p w14:paraId="1152E65C" w14:textId="77777777" w:rsidR="00FA7F33" w:rsidRDefault="00FA7F33" w:rsidP="00B63CAB">
            <w:pPr>
              <w:spacing w:before="120" w:after="120" w:line="240" w:lineRule="auto"/>
            </w:pPr>
            <w:r>
              <w:t>15 September 2021</w:t>
            </w:r>
          </w:p>
        </w:tc>
      </w:tr>
      <w:tr w:rsidR="007A5E51" w:rsidRPr="007D04B2" w14:paraId="2C234AE0" w14:textId="77777777" w:rsidTr="00B63CAB">
        <w:tc>
          <w:tcPr>
            <w:tcW w:w="1322" w:type="dxa"/>
          </w:tcPr>
          <w:p w14:paraId="7B7A1EC8" w14:textId="30685D5B" w:rsidR="007A5E51" w:rsidRDefault="007A5E51" w:rsidP="00B63CAB">
            <w:pPr>
              <w:spacing w:before="120" w:after="120" w:line="240" w:lineRule="auto"/>
            </w:pPr>
            <w:r>
              <w:t>Version 3</w:t>
            </w:r>
          </w:p>
        </w:tc>
        <w:tc>
          <w:tcPr>
            <w:tcW w:w="5903" w:type="dxa"/>
          </w:tcPr>
          <w:p w14:paraId="16FBE0BC" w14:textId="3447C74D" w:rsidR="007A5E51" w:rsidRDefault="007A5E51" w:rsidP="008C2EFA">
            <w:pPr>
              <w:spacing w:before="120" w:after="120" w:line="240" w:lineRule="auto"/>
            </w:pPr>
            <w:r>
              <w:t xml:space="preserve">Third </w:t>
            </w:r>
            <w:r w:rsidR="008C2EFA">
              <w:t xml:space="preserve">release to members </w:t>
            </w:r>
            <w:r w:rsidR="003347AB">
              <w:t>ahead of</w:t>
            </w:r>
            <w:r>
              <w:t xml:space="preserve"> public release </w:t>
            </w:r>
            <w:r w:rsidR="00B63570">
              <w:t xml:space="preserve">of a remote area TLG “snapshot” after </w:t>
            </w:r>
            <w:r w:rsidR="00FD2ADB">
              <w:t>version 2</w:t>
            </w:r>
            <w:r w:rsidR="00B63570">
              <w:t xml:space="preserve"> comments</w:t>
            </w:r>
            <w:r w:rsidR="008C2EFA">
              <w:t>.</w:t>
            </w:r>
          </w:p>
        </w:tc>
        <w:tc>
          <w:tcPr>
            <w:tcW w:w="1984" w:type="dxa"/>
          </w:tcPr>
          <w:p w14:paraId="57E94C5C" w14:textId="7B75E083" w:rsidR="007A5E51" w:rsidRDefault="008F55F7" w:rsidP="00B63CAB">
            <w:pPr>
              <w:spacing w:before="120" w:after="120" w:line="240" w:lineRule="auto"/>
            </w:pPr>
            <w:r>
              <w:t xml:space="preserve">21 </w:t>
            </w:r>
            <w:r w:rsidR="007A5E51">
              <w:t>December 2021</w:t>
            </w:r>
          </w:p>
        </w:tc>
      </w:tr>
      <w:tr w:rsidR="001B721D" w:rsidRPr="007D04B2" w14:paraId="75508085" w14:textId="77777777" w:rsidTr="00B63CAB">
        <w:tc>
          <w:tcPr>
            <w:tcW w:w="1322" w:type="dxa"/>
          </w:tcPr>
          <w:p w14:paraId="3A7AFE14" w14:textId="62C6636C" w:rsidR="001B721D" w:rsidRDefault="001B721D" w:rsidP="00B63CAB">
            <w:pPr>
              <w:spacing w:before="120" w:after="120" w:line="240" w:lineRule="auto"/>
            </w:pPr>
            <w:r>
              <w:t>Version 3.0 bis</w:t>
            </w:r>
          </w:p>
        </w:tc>
        <w:tc>
          <w:tcPr>
            <w:tcW w:w="5903" w:type="dxa"/>
          </w:tcPr>
          <w:p w14:paraId="1B721AB0" w14:textId="0ED47159" w:rsidR="001B721D" w:rsidRDefault="001B721D" w:rsidP="00B63CAB">
            <w:pPr>
              <w:spacing w:before="120" w:after="120" w:line="240" w:lineRule="auto"/>
            </w:pPr>
            <w:r>
              <w:t xml:space="preserve">Post </w:t>
            </w:r>
            <w:r w:rsidR="005D2DF7">
              <w:t>member review</w:t>
            </w:r>
            <w:r w:rsidR="008C2EFA">
              <w:t xml:space="preserve"> of version 3.</w:t>
            </w:r>
            <w:r>
              <w:t xml:space="preserve">  Version for public release</w:t>
            </w:r>
            <w:r w:rsidR="008C2EFA">
              <w:t>.</w:t>
            </w:r>
          </w:p>
        </w:tc>
        <w:tc>
          <w:tcPr>
            <w:tcW w:w="1984" w:type="dxa"/>
          </w:tcPr>
          <w:p w14:paraId="0376881D" w14:textId="61ED73C3" w:rsidR="001B721D" w:rsidRDefault="00463ECF" w:rsidP="00B63CAB">
            <w:pPr>
              <w:spacing w:before="120" w:after="120" w:line="240" w:lineRule="auto"/>
            </w:pPr>
            <w:r>
              <w:t>2</w:t>
            </w:r>
            <w:r w:rsidR="005D2DF7">
              <w:t xml:space="preserve"> </w:t>
            </w:r>
            <w:r w:rsidR="006D437C">
              <w:t>March</w:t>
            </w:r>
            <w:r w:rsidR="001B721D">
              <w:t xml:space="preserve"> 2022</w:t>
            </w:r>
          </w:p>
        </w:tc>
      </w:tr>
    </w:tbl>
    <w:p w14:paraId="4BFDEC81" w14:textId="77777777" w:rsidR="00FA7F33" w:rsidRDefault="00FA7F33" w:rsidP="00FA7F33">
      <w:pPr>
        <w:spacing w:after="0" w:line="240" w:lineRule="auto"/>
        <w:sectPr w:rsidR="00FA7F33" w:rsidSect="006539E8">
          <w:headerReference w:type="even" r:id="rId28"/>
          <w:headerReference w:type="default" r:id="rId29"/>
          <w:footerReference w:type="even" r:id="rId30"/>
          <w:footerReference w:type="default" r:id="rId31"/>
          <w:pgSz w:w="11906" w:h="16838" w:code="9"/>
          <w:pgMar w:top="1945" w:right="3101" w:bottom="1134" w:left="1134" w:header="709" w:footer="119" w:gutter="0"/>
          <w:pgNumType w:fmt="lowerRoman" w:start="3"/>
          <w:cols w:space="708"/>
          <w:titlePg/>
          <w:docGrid w:linePitch="360"/>
        </w:sectPr>
      </w:pPr>
    </w:p>
    <w:p w14:paraId="6766DF63" w14:textId="77777777" w:rsidR="00FA7F33" w:rsidRPr="00702EA1" w:rsidRDefault="00FA7F33" w:rsidP="00FA7F33">
      <w:pPr>
        <w:pStyle w:val="Heading1"/>
      </w:pPr>
      <w:bookmarkStart w:id="3" w:name="_Toc94603241"/>
      <w:r>
        <w:lastRenderedPageBreak/>
        <w:t>Introduction</w:t>
      </w:r>
      <w:bookmarkEnd w:id="3"/>
    </w:p>
    <w:p w14:paraId="7094C097" w14:textId="77777777" w:rsidR="00FA7F33" w:rsidRDefault="00FA7F33" w:rsidP="00FA7F33">
      <w:pPr>
        <w:rPr>
          <w:rFonts w:cs="Arial"/>
        </w:rPr>
      </w:pPr>
      <w:r w:rsidRPr="00885439">
        <w:rPr>
          <w:rFonts w:cs="Arial"/>
          <w:bCs/>
          <w:color w:val="000000" w:themeColor="text1"/>
          <w:szCs w:val="20"/>
        </w:rPr>
        <w:t xml:space="preserve">In </w:t>
      </w:r>
      <w:r>
        <w:rPr>
          <w:rFonts w:cs="Arial"/>
          <w:bCs/>
          <w:color w:val="000000" w:themeColor="text1"/>
          <w:szCs w:val="20"/>
        </w:rPr>
        <w:t>January 2021,</w:t>
      </w:r>
      <w:r w:rsidRPr="00885439">
        <w:rPr>
          <w:rFonts w:cs="Arial"/>
          <w:bCs/>
          <w:color w:val="000000" w:themeColor="text1"/>
          <w:szCs w:val="20"/>
        </w:rPr>
        <w:t xml:space="preserve"> the </w:t>
      </w:r>
      <w:r w:rsidRPr="007D04B2">
        <w:rPr>
          <w:rFonts w:cs="Arial"/>
        </w:rPr>
        <w:t xml:space="preserve">Australian Communications and Media Authority (ACMA) </w:t>
      </w:r>
      <w:r w:rsidRPr="00885439">
        <w:rPr>
          <w:rFonts w:cs="Arial"/>
          <w:bCs/>
          <w:color w:val="000000" w:themeColor="text1"/>
          <w:szCs w:val="20"/>
        </w:rPr>
        <w:t xml:space="preserve"> released the </w:t>
      </w:r>
      <w:hyperlink r:id="rId32" w:history="1">
        <w:r>
          <w:rPr>
            <w:rStyle w:val="Hyperlink"/>
            <w:rFonts w:cs="Arial"/>
            <w:i/>
            <w:iCs/>
            <w:szCs w:val="20"/>
          </w:rPr>
          <w:t>Replanning the 3700-4200 MHz band - Outcomes paper</w:t>
        </w:r>
      </w:hyperlink>
      <w:r w:rsidRPr="00885439">
        <w:rPr>
          <w:rFonts w:cs="Arial"/>
          <w:bCs/>
          <w:color w:val="000000" w:themeColor="text1"/>
          <w:szCs w:val="20"/>
        </w:rPr>
        <w:t xml:space="preserve"> (the </w:t>
      </w:r>
      <w:r>
        <w:rPr>
          <w:rFonts w:cs="Arial"/>
          <w:bCs/>
          <w:color w:val="000000" w:themeColor="text1"/>
          <w:szCs w:val="20"/>
        </w:rPr>
        <w:t xml:space="preserve">2021 </w:t>
      </w:r>
      <w:r w:rsidRPr="00885439">
        <w:rPr>
          <w:rFonts w:cs="Arial"/>
          <w:bCs/>
          <w:color w:val="000000" w:themeColor="text1"/>
          <w:szCs w:val="20"/>
        </w:rPr>
        <w:t>Outcomes paper).</w:t>
      </w:r>
      <w:r w:rsidRPr="00885439">
        <w:rPr>
          <w:rFonts w:cs="Arial"/>
          <w:b/>
          <w:color w:val="000000" w:themeColor="text1"/>
          <w:szCs w:val="20"/>
        </w:rPr>
        <w:t xml:space="preserve"> </w:t>
      </w:r>
      <w:r>
        <w:rPr>
          <w:rFonts w:cs="Arial"/>
        </w:rPr>
        <w:t>This paper described the ACMA’s planning outcomes and preliminary views to introduce wireless broadband services in the 3700-4200 MHz band, using a combination of apparatus and spectrum licensing arrangements. Preliminary views on key licence conditions were also included in the Outcomes paper</w:t>
      </w:r>
      <w:bookmarkStart w:id="4" w:name="_Hlk22286282"/>
      <w:r>
        <w:rPr>
          <w:rFonts w:cs="Arial"/>
        </w:rPr>
        <w:t>, however it was noted that these conditions would be decided later as part of future consultation processes, such as this Technical Liaison Group (TLG) and routine consultation on updates to Radiocommunications Licensing and Assignment Instructions (RALIs) and other legislative instruments, as applicable.</w:t>
      </w:r>
      <w:bookmarkEnd w:id="4"/>
    </w:p>
    <w:p w14:paraId="15AD42B7" w14:textId="77777777" w:rsidR="00FA7F33" w:rsidRDefault="00FA7F33" w:rsidP="00FA7F33">
      <w:pPr>
        <w:rPr>
          <w:szCs w:val="20"/>
        </w:rPr>
      </w:pPr>
      <w:r>
        <w:t>T</w:t>
      </w:r>
      <w:r w:rsidRPr="00197A32">
        <w:t xml:space="preserve">he Outcomes paper </w:t>
      </w:r>
      <w:r>
        <w:t>also stated that</w:t>
      </w:r>
      <w:r w:rsidRPr="00197A32">
        <w:t xml:space="preserve"> the ACMA would</w:t>
      </w:r>
      <w:r>
        <w:t>,</w:t>
      </w:r>
      <w:r w:rsidRPr="00197A32">
        <w:t xml:space="preserve"> </w:t>
      </w:r>
      <w:r>
        <w:t>as far as practical, extend or align frameworks and the timing of their development with similar ones in the 3400-3700 MHz (3.4 GHz) band. T</w:t>
      </w:r>
      <w:r w:rsidRPr="00197A32">
        <w:rPr>
          <w:szCs w:val="20"/>
        </w:rPr>
        <w:t xml:space="preserve">he paper </w:t>
      </w:r>
      <w:hyperlink r:id="rId33" w:history="1">
        <w:r w:rsidRPr="00197A32">
          <w:rPr>
            <w:rStyle w:val="Hyperlink"/>
            <w:i/>
            <w:iCs/>
            <w:szCs w:val="20"/>
          </w:rPr>
          <w:t>Optimising arrangements for the 3400-3575 MHz band: Planning decisions and preliminary views</w:t>
        </w:r>
      </w:hyperlink>
      <w:r w:rsidRPr="00197A32">
        <w:rPr>
          <w:i/>
          <w:iCs/>
          <w:szCs w:val="20"/>
        </w:rPr>
        <w:t xml:space="preserve"> </w:t>
      </w:r>
      <w:r>
        <w:rPr>
          <w:szCs w:val="20"/>
        </w:rPr>
        <w:t xml:space="preserve">(the 2019 Outcomes paper) outlines the planning outcomes for the 3.4 GHz band. </w:t>
      </w:r>
    </w:p>
    <w:p w14:paraId="32E522A6" w14:textId="30ADA7AA" w:rsidR="00FA7F33" w:rsidRPr="006B4EC1" w:rsidRDefault="00FA7F33" w:rsidP="00FA7F33">
      <w:r>
        <w:rPr>
          <w:rFonts w:cs="Arial"/>
          <w:bCs/>
          <w:color w:val="000000" w:themeColor="text1"/>
          <w:szCs w:val="20"/>
        </w:rPr>
        <w:t xml:space="preserve">To facilitate development of apparatus and spectrum licence arrangements, the ACMA formed a technical liaison group (TLG) to review/develop spectrum and apparatus licence technical frameworks for the broader 3400-4000 MHz range (where applicable). </w:t>
      </w:r>
      <w:r>
        <w:t>A</w:t>
      </w:r>
      <w:r w:rsidRPr="00736BE8">
        <w:t xml:space="preserve"> TLG is a short-term advisory body convened by the ACMA. Its purpose is to provide advice on the development of, or possible changes to, a spectrum or apparatus licence technical framework. </w:t>
      </w:r>
      <w:r>
        <w:rPr>
          <w:rFonts w:cs="Arial"/>
          <w:bCs/>
          <w:color w:val="000000" w:themeColor="text1"/>
          <w:szCs w:val="20"/>
        </w:rPr>
        <w:t xml:space="preserve">The TLG was formed in July 2021 and </w:t>
      </w:r>
      <w:r w:rsidR="00B04A34">
        <w:rPr>
          <w:rFonts w:cs="Arial"/>
          <w:bCs/>
          <w:color w:val="000000" w:themeColor="text1"/>
          <w:szCs w:val="20"/>
        </w:rPr>
        <w:t xml:space="preserve">remote aspects were finalised in December 2021, excepting the consideration of </w:t>
      </w:r>
      <w:r w:rsidR="00221405">
        <w:rPr>
          <w:rFonts w:cs="Arial"/>
          <w:bCs/>
          <w:color w:val="000000" w:themeColor="text1"/>
          <w:szCs w:val="20"/>
        </w:rPr>
        <w:t>coexistence</w:t>
      </w:r>
      <w:r w:rsidR="00B04A34">
        <w:rPr>
          <w:rFonts w:cs="Arial"/>
          <w:bCs/>
          <w:color w:val="000000" w:themeColor="text1"/>
          <w:szCs w:val="20"/>
        </w:rPr>
        <w:t xml:space="preserve"> with radio altimeters</w:t>
      </w:r>
      <w:r>
        <w:rPr>
          <w:rFonts w:cs="Arial"/>
          <w:bCs/>
          <w:color w:val="000000" w:themeColor="text1"/>
          <w:szCs w:val="20"/>
        </w:rPr>
        <w:t xml:space="preserve">. </w:t>
      </w:r>
      <w:r w:rsidRPr="00F256E0">
        <w:rPr>
          <w:rFonts w:cs="Arial"/>
        </w:rPr>
        <w:t>Membership include</w:t>
      </w:r>
      <w:r>
        <w:rPr>
          <w:rFonts w:cs="Arial"/>
        </w:rPr>
        <w:t>d</w:t>
      </w:r>
      <w:r w:rsidRPr="00F256E0">
        <w:rPr>
          <w:rFonts w:cs="Arial"/>
        </w:rPr>
        <w:t xml:space="preserve"> </w:t>
      </w:r>
      <w:r>
        <w:rPr>
          <w:rFonts w:cs="Arial"/>
        </w:rPr>
        <w:t>representatives from existing incumbent licensees, mobile network operators, satellite service operators, vendors, wireless broadband network operators, the aviation sector, nbn, Defence and DITRDC</w:t>
      </w:r>
      <w:r w:rsidRPr="00F256E0">
        <w:rPr>
          <w:rFonts w:cs="Arial"/>
        </w:rPr>
        <w:t>.</w:t>
      </w:r>
    </w:p>
    <w:p w14:paraId="1B6F0EAD" w14:textId="77777777" w:rsidR="00FA7F33" w:rsidRDefault="00FA7F33" w:rsidP="00FA7F33">
      <w:pPr>
        <w:spacing w:after="80"/>
        <w:rPr>
          <w:rFonts w:cs="Arial"/>
        </w:rPr>
      </w:pPr>
      <w:r w:rsidRPr="007D04B2">
        <w:rPr>
          <w:rFonts w:cs="Arial"/>
        </w:rPr>
        <w:t>The purpose of this paper is to</w:t>
      </w:r>
      <w:r>
        <w:rPr>
          <w:rFonts w:cs="Arial"/>
        </w:rPr>
        <w:t>:</w:t>
      </w:r>
      <w:r w:rsidRPr="007D04B2">
        <w:rPr>
          <w:rFonts w:cs="Arial"/>
        </w:rPr>
        <w:t xml:space="preserve"> </w:t>
      </w:r>
    </w:p>
    <w:p w14:paraId="0E92CA8F" w14:textId="77777777" w:rsidR="00FA7F33" w:rsidRDefault="00FA7F33" w:rsidP="00FA7F33">
      <w:pPr>
        <w:pStyle w:val="Bulletlevel1"/>
      </w:pPr>
      <w:r>
        <w:t>Record draft</w:t>
      </w:r>
      <w:r w:rsidRPr="007D04B2">
        <w:t xml:space="preserve"> </w:t>
      </w:r>
      <w:r>
        <w:t>potential spectrum planning, including technical,</w:t>
      </w:r>
      <w:r w:rsidRPr="007D04B2">
        <w:t xml:space="preserve"> </w:t>
      </w:r>
      <w:r>
        <w:t>arrangements</w:t>
      </w:r>
      <w:r w:rsidRPr="007D04B2">
        <w:t xml:space="preserve"> for </w:t>
      </w:r>
      <w:r>
        <w:t xml:space="preserve">apparatus and </w:t>
      </w:r>
      <w:r w:rsidRPr="007D04B2">
        <w:t>spectrum licen</w:t>
      </w:r>
      <w:r>
        <w:t xml:space="preserve">sing uses of the 3400-4000 MHz frequency range as outlined in the 2019 and 2021 Outcomes papers. </w:t>
      </w:r>
    </w:p>
    <w:p w14:paraId="30717CE8" w14:textId="77777777" w:rsidR="00FA7F33" w:rsidRDefault="00FA7F33" w:rsidP="00FA7F33">
      <w:pPr>
        <w:pStyle w:val="Bulletlevel1"/>
      </w:pPr>
      <w:r>
        <w:t>summarise feedback on these draft arrangements from the TLG.</w:t>
      </w:r>
    </w:p>
    <w:p w14:paraId="0CD1A986" w14:textId="77777777" w:rsidR="00FA7F33" w:rsidRDefault="00FA7F33" w:rsidP="00FA7F33">
      <w:pPr>
        <w:pStyle w:val="Paragraph"/>
        <w:spacing w:before="240"/>
      </w:pPr>
      <w:r>
        <w:t>As it is proposed to consider extending and aligning technical arrangements as much as practicable between the 3.4 GHz and 3700-4200 MHz bands, in this paper the bands are referred to collectively as the “</w:t>
      </w:r>
      <w:r w:rsidRPr="000F234C">
        <w:rPr>
          <w:b/>
          <w:bCs/>
          <w:i/>
          <w:iCs/>
        </w:rPr>
        <w:t>extended 3.4 GHz band</w:t>
      </w:r>
      <w:r>
        <w:t>”. The TLG itself is referred to as the 3400-4000 MHz TLG. Where previous planning work is referenced, the applicable name of the band is used.</w:t>
      </w:r>
    </w:p>
    <w:p w14:paraId="626139F7" w14:textId="77777777" w:rsidR="00FA7F33" w:rsidRPr="002B2FD2" w:rsidRDefault="00FA7F33" w:rsidP="00FA7F33">
      <w:pPr>
        <w:keepNext/>
        <w:spacing w:before="320" w:after="60"/>
        <w:outlineLvl w:val="1"/>
        <w:rPr>
          <w:rFonts w:cs="Arial"/>
          <w:b/>
          <w:bCs/>
          <w:iCs/>
          <w:sz w:val="28"/>
          <w:szCs w:val="28"/>
        </w:rPr>
      </w:pPr>
      <w:r w:rsidRPr="002B2FD2">
        <w:rPr>
          <w:rFonts w:cs="Arial"/>
          <w:b/>
          <w:bCs/>
          <w:iCs/>
          <w:sz w:val="28"/>
          <w:szCs w:val="28"/>
        </w:rPr>
        <w:t xml:space="preserve">Status and distribution </w:t>
      </w:r>
    </w:p>
    <w:p w14:paraId="46F9B317" w14:textId="03F05869" w:rsidR="00FA7F33" w:rsidRDefault="00FA7F33" w:rsidP="00FA7F33">
      <w:pPr>
        <w:rPr>
          <w:rFonts w:cs="Arial"/>
        </w:rPr>
      </w:pPr>
      <w:r w:rsidRPr="002B2FD2">
        <w:rPr>
          <w:rFonts w:cs="Arial"/>
        </w:rPr>
        <w:t xml:space="preserve">The purpose of this paper is to share </w:t>
      </w:r>
      <w:r>
        <w:rPr>
          <w:rFonts w:cs="Arial"/>
        </w:rPr>
        <w:t xml:space="preserve">potential </w:t>
      </w:r>
      <w:r>
        <w:t>spectrum planning, including technical,</w:t>
      </w:r>
      <w:r w:rsidRPr="007D04B2">
        <w:t xml:space="preserve"> </w:t>
      </w:r>
      <w:r>
        <w:t>arrangements</w:t>
      </w:r>
      <w:r w:rsidRPr="007D04B2">
        <w:t xml:space="preserve"> for </w:t>
      </w:r>
      <w:r>
        <w:t xml:space="preserve">apparatus and </w:t>
      </w:r>
      <w:r w:rsidRPr="007D04B2">
        <w:t>spectrum licen</w:t>
      </w:r>
      <w:r>
        <w:t>sed uses of the 3400-4000 MHz band (consistent with established outcomes) and to document feedback from TLG members</w:t>
      </w:r>
      <w:r w:rsidRPr="002B2FD2">
        <w:rPr>
          <w:rFonts w:cs="Arial"/>
        </w:rPr>
        <w:t xml:space="preserve">. The document is informal in nature, makes no </w:t>
      </w:r>
      <w:r w:rsidR="006D0D82">
        <w:rPr>
          <w:rFonts w:cs="Arial"/>
        </w:rPr>
        <w:t xml:space="preserve">definitive </w:t>
      </w:r>
      <w:r w:rsidRPr="002B2FD2">
        <w:rPr>
          <w:rFonts w:cs="Arial"/>
        </w:rPr>
        <w:t xml:space="preserve">proposals and has not been considered by the ACMA Authority. </w:t>
      </w:r>
      <w:r>
        <w:rPr>
          <w:rFonts w:cs="Arial"/>
        </w:rPr>
        <w:t xml:space="preserve">Outcomes from the TLG will be considered by the ACMA when developing formal proposals for public consultation. </w:t>
      </w:r>
    </w:p>
    <w:p w14:paraId="74584495" w14:textId="5307C93E" w:rsidR="00FA7F33" w:rsidRDefault="00FA7F33" w:rsidP="00FA7F33">
      <w:pPr>
        <w:rPr>
          <w:rFonts w:cs="Arial"/>
        </w:rPr>
      </w:pPr>
      <w:r w:rsidRPr="002B2FD2">
        <w:rPr>
          <w:rFonts w:cs="Arial"/>
        </w:rPr>
        <w:t>As an informal document, it</w:t>
      </w:r>
      <w:r w:rsidR="000572F8">
        <w:rPr>
          <w:rFonts w:cs="Arial"/>
        </w:rPr>
        <w:t>s development</w:t>
      </w:r>
      <w:r w:rsidRPr="002B2FD2">
        <w:rPr>
          <w:rFonts w:cs="Arial"/>
        </w:rPr>
        <w:t xml:space="preserve"> has been shared with members of </w:t>
      </w:r>
      <w:r>
        <w:rPr>
          <w:rFonts w:cs="Arial"/>
        </w:rPr>
        <w:t>this</w:t>
      </w:r>
      <w:r w:rsidRPr="002B2FD2">
        <w:rPr>
          <w:rFonts w:cs="Arial"/>
        </w:rPr>
        <w:t xml:space="preserve"> TLG only and not released publicly</w:t>
      </w:r>
      <w:r w:rsidR="008C2EFA">
        <w:rPr>
          <w:rFonts w:cs="Arial"/>
        </w:rPr>
        <w:t xml:space="preserve"> until this version</w:t>
      </w:r>
      <w:r w:rsidRPr="002B2FD2">
        <w:rPr>
          <w:rFonts w:cs="Arial"/>
        </w:rPr>
        <w:t xml:space="preserve">. </w:t>
      </w:r>
      <w:r w:rsidR="00835EEA">
        <w:rPr>
          <w:rFonts w:cs="Arial"/>
        </w:rPr>
        <w:t xml:space="preserve">This version </w:t>
      </w:r>
      <w:r w:rsidR="00E12E50">
        <w:rPr>
          <w:rFonts w:cs="Arial"/>
        </w:rPr>
        <w:t xml:space="preserve">is </w:t>
      </w:r>
      <w:r w:rsidR="009C5EAE">
        <w:rPr>
          <w:rFonts w:cs="Arial"/>
        </w:rPr>
        <w:t xml:space="preserve">the </w:t>
      </w:r>
      <w:r w:rsidR="009C3261">
        <w:rPr>
          <w:rFonts w:cs="Arial"/>
        </w:rPr>
        <w:t>first public exposure</w:t>
      </w:r>
      <w:r w:rsidR="009C5EAE">
        <w:rPr>
          <w:rFonts w:cs="Arial"/>
        </w:rPr>
        <w:t>,</w:t>
      </w:r>
      <w:r w:rsidR="009C3261">
        <w:rPr>
          <w:rFonts w:cs="Arial"/>
        </w:rPr>
        <w:t xml:space="preserve"> </w:t>
      </w:r>
      <w:r w:rsidR="00E12E50">
        <w:rPr>
          <w:rFonts w:cs="Arial"/>
        </w:rPr>
        <w:t>describing</w:t>
      </w:r>
      <w:r w:rsidR="009C3261">
        <w:rPr>
          <w:rFonts w:cs="Arial"/>
        </w:rPr>
        <w:t xml:space="preserve"> the considerations and discussions with the TLG, with a focus on </w:t>
      </w:r>
      <w:r w:rsidR="009C3261">
        <w:rPr>
          <w:rFonts w:cs="Arial"/>
        </w:rPr>
        <w:lastRenderedPageBreak/>
        <w:t xml:space="preserve">remote areas, </w:t>
      </w:r>
      <w:r w:rsidR="00E12E50">
        <w:rPr>
          <w:rFonts w:cs="Arial"/>
        </w:rPr>
        <w:t>concurrently with</w:t>
      </w:r>
      <w:r w:rsidR="009C3261">
        <w:rPr>
          <w:rFonts w:cs="Arial"/>
        </w:rPr>
        <w:t xml:space="preserve"> the </w:t>
      </w:r>
      <w:r w:rsidR="00835EEA">
        <w:rPr>
          <w:rFonts w:cs="Arial"/>
        </w:rPr>
        <w:t>formal</w:t>
      </w:r>
      <w:r w:rsidR="009C3261">
        <w:rPr>
          <w:rFonts w:cs="Arial"/>
        </w:rPr>
        <w:t xml:space="preserve"> public consultation on the technical framework for remote areas.</w:t>
      </w:r>
      <w:r w:rsidR="00E12E50">
        <w:rPr>
          <w:rFonts w:cs="Arial"/>
        </w:rPr>
        <w:t xml:space="preserve"> It represents a snapshot of views and information as of late December 2021. Any draft technical framework documents attached may have been superseded by versions attached to the remote area consultation package.</w:t>
      </w:r>
    </w:p>
    <w:p w14:paraId="53F0340B" w14:textId="54FE48F6" w:rsidR="00E42933" w:rsidRDefault="00E42933" w:rsidP="00FA7F33">
      <w:r>
        <w:rPr>
          <w:rFonts w:cs="Arial"/>
        </w:rPr>
        <w:t xml:space="preserve">The TLG will continue </w:t>
      </w:r>
      <w:r w:rsidR="002C688F">
        <w:rPr>
          <w:rFonts w:cs="Arial"/>
        </w:rPr>
        <w:t>to work on issues related to areas other than remote</w:t>
      </w:r>
      <w:r w:rsidR="00512DFE">
        <w:rPr>
          <w:rFonts w:cs="Arial"/>
        </w:rPr>
        <w:t>, noting that this also may require review of the technical framework for remote areas.</w:t>
      </w:r>
    </w:p>
    <w:p w14:paraId="794BF00D" w14:textId="77777777" w:rsidR="00FA7F33" w:rsidRPr="007D04B2" w:rsidRDefault="00FA7F33" w:rsidP="00FA7F33">
      <w:pPr>
        <w:pStyle w:val="Heading2"/>
      </w:pPr>
      <w:bookmarkStart w:id="5" w:name="_Toc94603242"/>
      <w:r>
        <w:t>Planning outcomes and preliminary views across the 3400-4200 MHz frequency range</w:t>
      </w:r>
      <w:bookmarkEnd w:id="5"/>
    </w:p>
    <w:p w14:paraId="71452086" w14:textId="77777777" w:rsidR="00FA7F33" w:rsidRDefault="00FA7F33" w:rsidP="00FA7F33">
      <w:pPr>
        <w:spacing w:after="80"/>
        <w:rPr>
          <w:rFonts w:cs="Arial"/>
          <w:bCs/>
          <w:color w:val="000000" w:themeColor="text1"/>
          <w:szCs w:val="20"/>
        </w:rPr>
      </w:pPr>
      <w:r>
        <w:rPr>
          <w:rFonts w:cs="Arial"/>
          <w:bCs/>
          <w:color w:val="000000" w:themeColor="text1"/>
          <w:szCs w:val="20"/>
        </w:rPr>
        <w:t>Key announcements in the 2021 Outcomes paper included:</w:t>
      </w:r>
    </w:p>
    <w:p w14:paraId="03FDB3FD" w14:textId="4CAE1136" w:rsidR="00FA7F33" w:rsidRPr="00D64FD0" w:rsidRDefault="00FA7F33" w:rsidP="00FA7F33">
      <w:pPr>
        <w:pStyle w:val="Bulletlevel1"/>
      </w:pPr>
      <w:r w:rsidRPr="00D64FD0">
        <w:t>In metropolitan and regional areas in the 3700–</w:t>
      </w:r>
      <w:r w:rsidRPr="00B42FF8">
        <w:t>3800</w:t>
      </w:r>
      <w:r w:rsidRPr="00D64FD0">
        <w:t xml:space="preserve"> MHz range, clearing </w:t>
      </w:r>
      <w:r>
        <w:t xml:space="preserve">over time </w:t>
      </w:r>
      <w:r w:rsidRPr="00D64FD0">
        <w:t xml:space="preserve">existing </w:t>
      </w:r>
      <w:r w:rsidR="003D7B03">
        <w:t>fixed satellite service (</w:t>
      </w:r>
      <w:r w:rsidRPr="00D64FD0">
        <w:t>FSS</w:t>
      </w:r>
      <w:r w:rsidR="003D7B03">
        <w:t>)</w:t>
      </w:r>
      <w:r w:rsidRPr="00D64FD0">
        <w:t xml:space="preserve"> and </w:t>
      </w:r>
      <w:r w:rsidR="003D7B03">
        <w:t>point-to-point (</w:t>
      </w:r>
      <w:r w:rsidRPr="00D64FD0">
        <w:t>PTP</w:t>
      </w:r>
      <w:r w:rsidR="003D7B03">
        <w:t>)</w:t>
      </w:r>
      <w:r w:rsidRPr="00D64FD0">
        <w:t xml:space="preserve"> services and introducing arrangements to allow for </w:t>
      </w:r>
      <w:r w:rsidR="003D7B03">
        <w:t>wide-area wireless broadband (</w:t>
      </w:r>
      <w:r w:rsidRPr="00D64FD0">
        <w:t>WA WBB</w:t>
      </w:r>
      <w:r w:rsidR="003D7B03">
        <w:t>)</w:t>
      </w:r>
      <w:r w:rsidRPr="00D64FD0">
        <w:t xml:space="preserve"> services.</w:t>
      </w:r>
      <w:r>
        <w:t xml:space="preserve"> The ACMA was of the preliminary view that spectrum licensing would be the preferred licensing mechanism for WA WBB uses and a 5-year re-allocation period for existing licensed FSS and PTP services is appropriate. </w:t>
      </w:r>
    </w:p>
    <w:p w14:paraId="36EE9567" w14:textId="6EA15E58" w:rsidR="00FA7F33" w:rsidRPr="00164E0A" w:rsidRDefault="00FA7F33" w:rsidP="00FA7F33">
      <w:pPr>
        <w:pStyle w:val="Bulletlevel1"/>
      </w:pPr>
      <w:r w:rsidRPr="00D64FD0">
        <w:t>In remote areas in the 3700–</w:t>
      </w:r>
      <w:r w:rsidRPr="00B42FF8">
        <w:t>3800</w:t>
      </w:r>
      <w:r w:rsidRPr="00D64FD0">
        <w:t xml:space="preserve"> MHz range, introducing apparatus licensing arrangements to </w:t>
      </w:r>
      <w:r>
        <w:t>support</w:t>
      </w:r>
      <w:r w:rsidRPr="00D64FD0">
        <w:t xml:space="preserve"> </w:t>
      </w:r>
      <w:r w:rsidR="003D7B03">
        <w:t>local area wireless broadband (</w:t>
      </w:r>
      <w:r w:rsidRPr="00D64FD0">
        <w:t>LA WBB</w:t>
      </w:r>
      <w:r w:rsidR="003D7B03">
        <w:t>)</w:t>
      </w:r>
      <w:r w:rsidRPr="00D64FD0">
        <w:t xml:space="preserve"> services </w:t>
      </w:r>
      <w:r>
        <w:t>on a</w:t>
      </w:r>
      <w:r w:rsidRPr="00D64FD0">
        <w:t xml:space="preserve"> share</w:t>
      </w:r>
      <w:r>
        <w:t xml:space="preserve">d basis </w:t>
      </w:r>
      <w:r w:rsidRPr="00D64FD0">
        <w:t xml:space="preserve">with </w:t>
      </w:r>
      <w:r>
        <w:t xml:space="preserve">existing </w:t>
      </w:r>
      <w:r w:rsidRPr="00D64FD0">
        <w:t>FSS and PTP</w:t>
      </w:r>
      <w:r>
        <w:t xml:space="preserve"> services</w:t>
      </w:r>
      <w:r w:rsidRPr="00D64FD0">
        <w:t>.</w:t>
      </w:r>
      <w:r>
        <w:t xml:space="preserve"> New apparatus licensed FSS will be permitted on a coordinated, shared basis with licences for LA WBB services, but the ACMA’s preliminary view was that new PTP licences should not be issued, to simplify new PTP technical arrangements in the band. Existing licensed PTP services would be allowed to continue (grandfathered</w:t>
      </w:r>
      <w:r>
        <w:rPr>
          <w:rStyle w:val="FootnoteReference"/>
        </w:rPr>
        <w:footnoteReference w:id="2"/>
      </w:r>
      <w:r>
        <w:t xml:space="preserve">). </w:t>
      </w:r>
      <w:r w:rsidRPr="00164E0A">
        <w:t xml:space="preserve">The ACMA </w:t>
      </w:r>
      <w:r>
        <w:t>would</w:t>
      </w:r>
      <w:r w:rsidRPr="00164E0A">
        <w:t xml:space="preserve"> further investigate the most appropriate apparatus licence type to use to authorise LA WBB in this case. </w:t>
      </w:r>
    </w:p>
    <w:p w14:paraId="79E65580" w14:textId="77777777" w:rsidR="00FA7F33" w:rsidRPr="00D64FD0" w:rsidRDefault="00FA7F33" w:rsidP="00FA7F33">
      <w:pPr>
        <w:pStyle w:val="Bulletlevel1"/>
      </w:pPr>
      <w:r w:rsidRPr="00D64FD0">
        <w:t xml:space="preserve">Australia-wide, in the </w:t>
      </w:r>
      <w:r w:rsidRPr="00B42FF8">
        <w:t>3800–4000</w:t>
      </w:r>
      <w:r w:rsidRPr="00D64FD0">
        <w:t xml:space="preserve"> MHz</w:t>
      </w:r>
      <w:r>
        <w:t xml:space="preserve"> frequency</w:t>
      </w:r>
      <w:r w:rsidRPr="00D64FD0">
        <w:t xml:space="preserve"> range, introducing arrangements to </w:t>
      </w:r>
      <w:r>
        <w:t>support</w:t>
      </w:r>
      <w:r w:rsidRPr="00D64FD0">
        <w:t xml:space="preserve"> LA WBB services </w:t>
      </w:r>
      <w:r>
        <w:t xml:space="preserve">on a shared basis </w:t>
      </w:r>
      <w:r w:rsidRPr="00D64FD0">
        <w:t xml:space="preserve">with </w:t>
      </w:r>
      <w:r>
        <w:t xml:space="preserve">existing </w:t>
      </w:r>
      <w:r w:rsidRPr="00D64FD0">
        <w:t>FSS and PTP services.</w:t>
      </w:r>
      <w:r w:rsidRPr="0006250C">
        <w:t xml:space="preserve"> </w:t>
      </w:r>
      <w:r>
        <w:t>New apparatus licences for FSS and PTP services would be issued on a coordinated, shared basis with LA WBB.</w:t>
      </w:r>
      <w:r w:rsidRPr="001D6C77">
        <w:t xml:space="preserve"> </w:t>
      </w:r>
      <w:r>
        <w:t>The ACMA was of the preliminary view that area-wide apparatus licensing would be the preferred licensing mechanism for LA WBB uses in at least the metropolitan and regional areas.</w:t>
      </w:r>
    </w:p>
    <w:p w14:paraId="146AFB7A" w14:textId="77777777" w:rsidR="00FA7F33" w:rsidRPr="00D64FD0" w:rsidRDefault="00FA7F33" w:rsidP="00FA7F33">
      <w:pPr>
        <w:pStyle w:val="Bulletlevel1"/>
      </w:pPr>
      <w:r w:rsidRPr="00D64FD0">
        <w:t xml:space="preserve">Australia-wide, retaining the </w:t>
      </w:r>
      <w:r w:rsidRPr="00B42FF8">
        <w:t>4000–4200</w:t>
      </w:r>
      <w:r w:rsidRPr="00D64FD0">
        <w:t xml:space="preserve"> MHz range for apparatus licensed FSS and PTP services only</w:t>
      </w:r>
      <w:r>
        <w:t>, and varying PTP arrangements if required to be consistent with this decision.</w:t>
      </w:r>
    </w:p>
    <w:p w14:paraId="673E210E" w14:textId="77777777" w:rsidR="00FA7F33" w:rsidRPr="00D64FD0" w:rsidRDefault="00FA7F33" w:rsidP="00FA7F33">
      <w:pPr>
        <w:pStyle w:val="Bulletlevel1"/>
      </w:pPr>
      <w:r w:rsidRPr="00D64FD0">
        <w:t xml:space="preserve">Maintaining existing arrangements for </w:t>
      </w:r>
      <w:r>
        <w:t>apparatus</w:t>
      </w:r>
      <w:r w:rsidRPr="00D64FD0">
        <w:t xml:space="preserve"> licensed radiolocation services and devices operating under class licences.</w:t>
      </w:r>
    </w:p>
    <w:p w14:paraId="5586F698" w14:textId="77777777" w:rsidR="00FA7F33" w:rsidRPr="00D64FD0" w:rsidRDefault="00FA7F33" w:rsidP="00FA7F33">
      <w:pPr>
        <w:pStyle w:val="Bulletlevel1"/>
        <w:spacing w:after="240"/>
      </w:pPr>
      <w:r>
        <w:t>M</w:t>
      </w:r>
      <w:r w:rsidRPr="00D64FD0">
        <w:t xml:space="preserve">aintaining </w:t>
      </w:r>
      <w:r>
        <w:t>Earth Station Protection Zones (</w:t>
      </w:r>
      <w:r w:rsidRPr="00D64FD0">
        <w:t>ESPZs</w:t>
      </w:r>
      <w:r>
        <w:t>)</w:t>
      </w:r>
      <w:r w:rsidRPr="00D64FD0">
        <w:t xml:space="preserve"> and arrangements under RALI MS44 during implementation of new arrangements</w:t>
      </w:r>
      <w:r>
        <w:t>.</w:t>
      </w:r>
      <w:r w:rsidRPr="00D64FD0">
        <w:rPr>
          <w:rStyle w:val="FootnoteReference"/>
        </w:rPr>
        <w:footnoteReference w:id="3"/>
      </w:r>
      <w:r w:rsidRPr="00D64FD0">
        <w:t xml:space="preserve"> The ACMA </w:t>
      </w:r>
      <w:r>
        <w:t>did</w:t>
      </w:r>
      <w:r w:rsidRPr="00D64FD0">
        <w:t xml:space="preserve"> not propose these areas be identified for spectrum licensing or being permitted for apparatus licensing other than </w:t>
      </w:r>
      <w:r>
        <w:t xml:space="preserve">for </w:t>
      </w:r>
      <w:r w:rsidRPr="00D64FD0">
        <w:t>FSS earth station receivers in the band.</w:t>
      </w:r>
    </w:p>
    <w:p w14:paraId="35AEFD43" w14:textId="77777777" w:rsidR="00FA7F33" w:rsidRDefault="00FA7F33" w:rsidP="00FA7F33">
      <w:pPr>
        <w:pStyle w:val="Paragraph"/>
        <w:spacing w:after="80"/>
      </w:pPr>
      <w:r w:rsidRPr="00197A32">
        <w:t xml:space="preserve">Another announcement in the </w:t>
      </w:r>
      <w:r>
        <w:t xml:space="preserve">2021 </w:t>
      </w:r>
      <w:r w:rsidRPr="00197A32">
        <w:t>Outcomes paper was that the ACMA would</w:t>
      </w:r>
      <w:r>
        <w:t>,</w:t>
      </w:r>
      <w:r w:rsidRPr="00197A32">
        <w:t xml:space="preserve"> </w:t>
      </w:r>
      <w:r>
        <w:t>as far as practical, extend or align frameworks and the timing of their development with similar ones in the 3.4 GHz band.</w:t>
      </w:r>
      <w:r w:rsidRPr="00197A32">
        <w:rPr>
          <w:szCs w:val="20"/>
        </w:rPr>
        <w:t xml:space="preserve"> </w:t>
      </w:r>
      <w:r>
        <w:rPr>
          <w:szCs w:val="20"/>
        </w:rPr>
        <w:t xml:space="preserve"> While more details on those outcomes can be found in the</w:t>
      </w:r>
      <w:r w:rsidRPr="00197A32">
        <w:rPr>
          <w:szCs w:val="20"/>
        </w:rPr>
        <w:t xml:space="preserve"> </w:t>
      </w:r>
      <w:r>
        <w:rPr>
          <w:szCs w:val="20"/>
        </w:rPr>
        <w:t>2019 Outcomes paper, these include</w:t>
      </w:r>
      <w:r>
        <w:t>:</w:t>
      </w:r>
    </w:p>
    <w:p w14:paraId="1536B73A" w14:textId="77777777" w:rsidR="00FA7F33" w:rsidRDefault="00FA7F33" w:rsidP="00FA7F33">
      <w:pPr>
        <w:pStyle w:val="Paragraph"/>
        <w:numPr>
          <w:ilvl w:val="0"/>
          <w:numId w:val="12"/>
        </w:numPr>
        <w:spacing w:after="80"/>
      </w:pPr>
      <w:r>
        <w:lastRenderedPageBreak/>
        <w:t>The development of LA WBB</w:t>
      </w:r>
      <w:r>
        <w:rPr>
          <w:rStyle w:val="FootnoteReference"/>
        </w:rPr>
        <w:footnoteReference w:id="4"/>
      </w:r>
      <w:r>
        <w:t xml:space="preserve"> arrangements in remote areas across 3400-3700 MHz</w:t>
      </w:r>
    </w:p>
    <w:p w14:paraId="6F1FF546" w14:textId="77777777" w:rsidR="00FA7F33" w:rsidRDefault="00FA7F33" w:rsidP="00FA7F33">
      <w:pPr>
        <w:pStyle w:val="Paragraph"/>
        <w:numPr>
          <w:ilvl w:val="0"/>
          <w:numId w:val="12"/>
        </w:numPr>
        <w:spacing w:after="80"/>
      </w:pPr>
      <w:r>
        <w:t>The development of LA WBB arrangements in regional areas across 3400-3700 MHz</w:t>
      </w:r>
    </w:p>
    <w:p w14:paraId="38116A07" w14:textId="77777777" w:rsidR="00FA7F33" w:rsidRDefault="00FA7F33" w:rsidP="00FA7F33">
      <w:pPr>
        <w:pStyle w:val="Paragraph"/>
        <w:numPr>
          <w:ilvl w:val="0"/>
          <w:numId w:val="12"/>
        </w:numPr>
        <w:spacing w:after="80"/>
      </w:pPr>
      <w:r>
        <w:t>The development of spectrum licensing arrangements in specific areas and frequency ranges across 3400-3700 MHz.</w:t>
      </w:r>
    </w:p>
    <w:p w14:paraId="0F1D6217" w14:textId="77777777" w:rsidR="00FA7F33" w:rsidRPr="007D04B2" w:rsidRDefault="00FA7F33" w:rsidP="00FA7F33">
      <w:pPr>
        <w:pStyle w:val="sub-heading"/>
      </w:pPr>
      <w:bookmarkStart w:id="6" w:name="_Toc94603243"/>
      <w:r>
        <w:t>Further implementation considerations</w:t>
      </w:r>
      <w:bookmarkEnd w:id="6"/>
    </w:p>
    <w:p w14:paraId="7548D422" w14:textId="77777777" w:rsidR="00FA7F33" w:rsidRDefault="00FA7F33" w:rsidP="00FA7F33">
      <w:pPr>
        <w:pStyle w:val="Paragraph"/>
        <w:spacing w:after="80"/>
      </w:pPr>
      <w:r>
        <w:t>Having further considered the preliminary views for the extended 3.4 GHz band, the ACMA decided to further investigate:</w:t>
      </w:r>
    </w:p>
    <w:p w14:paraId="05FF1D02" w14:textId="1A8B88B6" w:rsidR="00FA7F33" w:rsidRDefault="00FA7F33" w:rsidP="00FA7F33">
      <w:pPr>
        <w:pStyle w:val="Paragraph"/>
        <w:numPr>
          <w:ilvl w:val="0"/>
          <w:numId w:val="13"/>
        </w:numPr>
        <w:spacing w:after="80"/>
      </w:pPr>
      <w:r>
        <w:t>Extending and modify</w:t>
      </w:r>
      <w:r w:rsidR="00475362">
        <w:t>ing</w:t>
      </w:r>
      <w:r>
        <w:t xml:space="preserve"> the 3.4 GHz spectrum licensing technical framework to accommodate the applicable WA WBB spectrum spaces in 3700-3800 MHz.</w:t>
      </w:r>
    </w:p>
    <w:p w14:paraId="2708848F" w14:textId="3DC8846C" w:rsidR="00FA7F33" w:rsidRDefault="00FA7F33" w:rsidP="00FA7F33">
      <w:pPr>
        <w:pStyle w:val="Paragraph"/>
        <w:numPr>
          <w:ilvl w:val="0"/>
          <w:numId w:val="13"/>
        </w:numPr>
        <w:spacing w:after="80"/>
      </w:pPr>
      <w:r>
        <w:t xml:space="preserve">Potentially implementing an </w:t>
      </w:r>
      <w:r w:rsidR="00F87573">
        <w:t>area wide licence (</w:t>
      </w:r>
      <w:r>
        <w:t>AWL</w:t>
      </w:r>
      <w:r w:rsidR="00F87573">
        <w:t>)</w:t>
      </w:r>
      <w:r>
        <w:t xml:space="preserve"> framework for all LA WBB apparatus licensed spectrum spaces across the 3400-4000 MHz range.</w:t>
      </w:r>
    </w:p>
    <w:p w14:paraId="0CD22996" w14:textId="77777777" w:rsidR="00FA7F33" w:rsidRPr="0066758C" w:rsidRDefault="00FA7F33" w:rsidP="00FA7F33">
      <w:pPr>
        <w:pStyle w:val="Paragraph"/>
        <w:numPr>
          <w:ilvl w:val="0"/>
          <w:numId w:val="13"/>
        </w:numPr>
        <w:spacing w:after="80"/>
      </w:pPr>
      <w:r>
        <w:t>Optimising the</w:t>
      </w:r>
      <w:r w:rsidRPr="0066758C">
        <w:t xml:space="preserve"> </w:t>
      </w:r>
      <w:r>
        <w:t>possible</w:t>
      </w:r>
      <w:r w:rsidRPr="0066758C">
        <w:t xml:space="preserve"> AWL framework for LA WBB and FSS</w:t>
      </w:r>
      <w:r>
        <w:t>, at least in metro and yet to be defined major regional areas</w:t>
      </w:r>
      <w:r w:rsidRPr="0066758C">
        <w:t xml:space="preserve">, but not </w:t>
      </w:r>
      <w:r>
        <w:t xml:space="preserve">for </w:t>
      </w:r>
      <w:r w:rsidRPr="0066758C">
        <w:t>PTP services.</w:t>
      </w:r>
      <w:r>
        <w:t xml:space="preserve"> Noting that PTP could be deployed under AWLs if desired.</w:t>
      </w:r>
    </w:p>
    <w:p w14:paraId="7592057A" w14:textId="77777777" w:rsidR="00FA7F33" w:rsidRDefault="00FA7F33" w:rsidP="00FA7F33">
      <w:pPr>
        <w:pStyle w:val="Paragraph"/>
        <w:numPr>
          <w:ilvl w:val="0"/>
          <w:numId w:val="13"/>
        </w:numPr>
        <w:spacing w:after="80"/>
      </w:pPr>
      <w:r>
        <w:t>Conducting further work on whether the AWL framework should be optimised to include FSS in remote and regional areas outside of the to be defined major regional areas.</w:t>
      </w:r>
    </w:p>
    <w:p w14:paraId="7DE91D0A" w14:textId="090F29D2" w:rsidR="00FA7F33" w:rsidRDefault="00FA7F33" w:rsidP="00FA7F33">
      <w:pPr>
        <w:pStyle w:val="Paragraph"/>
        <w:spacing w:after="80"/>
      </w:pPr>
      <w:r>
        <w:t xml:space="preserve">No </w:t>
      </w:r>
      <w:r w:rsidR="007F5301">
        <w:t xml:space="preserve">final </w:t>
      </w:r>
      <w:r>
        <w:t xml:space="preserve">decisions have yet been made on whether incumbent PMP, FSS or PTP services in AWL areas should transition to the AWL framework but the current summary of </w:t>
      </w:r>
      <w:r w:rsidR="00F87573">
        <w:t xml:space="preserve">preliminary </w:t>
      </w:r>
      <w:r w:rsidR="00637D7C">
        <w:t xml:space="preserve">ACMA </w:t>
      </w:r>
      <w:r w:rsidR="003E3EF6">
        <w:t>staff</w:t>
      </w:r>
      <w:r w:rsidR="00637D7C">
        <w:t xml:space="preserve"> </w:t>
      </w:r>
      <w:r>
        <w:t>views is that:</w:t>
      </w:r>
    </w:p>
    <w:p w14:paraId="730C156C" w14:textId="77777777" w:rsidR="00FA7F33" w:rsidRDefault="00FA7F33" w:rsidP="00FA7F33">
      <w:pPr>
        <w:pStyle w:val="Paragraph"/>
        <w:numPr>
          <w:ilvl w:val="0"/>
          <w:numId w:val="29"/>
        </w:numPr>
        <w:spacing w:after="80"/>
      </w:pPr>
      <w:r>
        <w:t>There should be only one technical framework for new licences of a specific service category such as WBB, fixed or FSS, in any given spectrum space.</w:t>
      </w:r>
    </w:p>
    <w:p w14:paraId="319EB5C3" w14:textId="63379119" w:rsidR="00FA7F33" w:rsidRDefault="00FA7F33" w:rsidP="00FA7F33">
      <w:pPr>
        <w:pStyle w:val="Paragraph"/>
        <w:numPr>
          <w:ilvl w:val="0"/>
          <w:numId w:val="29"/>
        </w:numPr>
        <w:spacing w:after="80"/>
      </w:pPr>
      <w:r>
        <w:t>Incumbent services should not be required to transition to an AWL framework in any spectrum space proposed for AWL.</w:t>
      </w:r>
    </w:p>
    <w:p w14:paraId="30AFD87A" w14:textId="0CA7B8F4" w:rsidR="00FA7F33" w:rsidRDefault="00FA7F33" w:rsidP="00FA7F33">
      <w:pPr>
        <w:pStyle w:val="Paragraph"/>
        <w:numPr>
          <w:ilvl w:val="0"/>
          <w:numId w:val="29"/>
        </w:numPr>
        <w:spacing w:after="80"/>
      </w:pPr>
      <w:r>
        <w:t>There should not be any new PTP services in metropolitan or major regional areas in the 3800-4000 MHz range.</w:t>
      </w:r>
    </w:p>
    <w:p w14:paraId="196F123A" w14:textId="67124C60" w:rsidR="000572F8" w:rsidRDefault="000572F8" w:rsidP="00FA7F33">
      <w:pPr>
        <w:pStyle w:val="Paragraph"/>
        <w:numPr>
          <w:ilvl w:val="0"/>
          <w:numId w:val="29"/>
        </w:numPr>
        <w:spacing w:after="80"/>
      </w:pPr>
      <w:r>
        <w:t>FSS services can continue to be licen</w:t>
      </w:r>
      <w:r w:rsidR="00475362">
        <w:t>s</w:t>
      </w:r>
      <w:r>
        <w:t xml:space="preserve">ed </w:t>
      </w:r>
      <w:r w:rsidR="00475362">
        <w:t>using the</w:t>
      </w:r>
      <w:r>
        <w:t xml:space="preserve"> site based FSS receive apparatus licence type in remote areas and in “other regional areas”</w:t>
      </w:r>
      <w:r w:rsidR="00FB586D">
        <w:t>,</w:t>
      </w:r>
      <w:r>
        <w:t xml:space="preserve"> outside of </w:t>
      </w:r>
      <w:r w:rsidR="00FB586D">
        <w:t xml:space="preserve">any </w:t>
      </w:r>
      <w:r>
        <w:t>ranges proposed for spectrum licensing.</w:t>
      </w:r>
    </w:p>
    <w:p w14:paraId="6510839B" w14:textId="234C0C32" w:rsidR="00FA7F33" w:rsidRDefault="00FA7F33" w:rsidP="00FA7F33">
      <w:pPr>
        <w:pStyle w:val="Paragraph"/>
      </w:pPr>
      <w:r>
        <w:t>Table 1 summarises the current high-level views of possible licensing arrangements that could be implemented across 3400</w:t>
      </w:r>
      <w:r>
        <w:noBreakHyphen/>
        <w:t xml:space="preserve">4200 MHz band, based on the above considerations and feedback within </w:t>
      </w:r>
      <w:r w:rsidR="000572F8">
        <w:t>the TLG</w:t>
      </w:r>
      <w:r>
        <w:t xml:space="preserve">. This should be used indicatively only for incumbent and prospective licensees to understand potential impacts to incumbent services and future opportunities. Note that as this now represents broad uses and not specific use cases, it refers generically to WBB rather than WA WBB or LA WBB. </w:t>
      </w:r>
      <w:r w:rsidR="003E17B7">
        <w:br w:type="page"/>
      </w:r>
    </w:p>
    <w:p w14:paraId="276E146B" w14:textId="77777777" w:rsidR="00FA7F33" w:rsidRDefault="00FA7F33" w:rsidP="00FA7F33">
      <w:pPr>
        <w:pStyle w:val="Paragraph"/>
      </w:pPr>
    </w:p>
    <w:p w14:paraId="4595AF7E" w14:textId="77777777" w:rsidR="00FA7F33" w:rsidRDefault="00FA7F33" w:rsidP="00FA7F33">
      <w:pPr>
        <w:pStyle w:val="Tableheading"/>
        <w:keepLines/>
      </w:pPr>
      <w:r>
        <w:t xml:space="preserve">Summary of possible licensing arrangements for the extended 3.4 GHz band by spectrum space </w:t>
      </w:r>
    </w:p>
    <w:tbl>
      <w:tblPr>
        <w:tblStyle w:val="ACMAtablestyle"/>
        <w:tblW w:w="9104" w:type="dxa"/>
        <w:tblLook w:val="04A0" w:firstRow="1" w:lastRow="0" w:firstColumn="1" w:lastColumn="0" w:noHBand="0" w:noVBand="1"/>
      </w:tblPr>
      <w:tblGrid>
        <w:gridCol w:w="1867"/>
        <w:gridCol w:w="1443"/>
        <w:gridCol w:w="1454"/>
        <w:gridCol w:w="1454"/>
        <w:gridCol w:w="1443"/>
        <w:gridCol w:w="1443"/>
      </w:tblGrid>
      <w:tr w:rsidR="00FA7F33" w14:paraId="69951F10" w14:textId="77777777" w:rsidTr="00B63CAB">
        <w:trPr>
          <w:cnfStyle w:val="100000000000" w:firstRow="1" w:lastRow="0" w:firstColumn="0" w:lastColumn="0" w:oddVBand="0" w:evenVBand="0" w:oddHBand="0" w:evenHBand="0" w:firstRowFirstColumn="0" w:firstRowLastColumn="0" w:lastRowFirstColumn="0" w:lastRowLastColumn="0"/>
        </w:trPr>
        <w:tc>
          <w:tcPr>
            <w:tcW w:w="0" w:type="dxa"/>
          </w:tcPr>
          <w:p w14:paraId="1A7A5AFA" w14:textId="77777777" w:rsidR="00FA7F33" w:rsidRPr="009F7F93" w:rsidRDefault="00FA7F33" w:rsidP="00B63CAB">
            <w:pPr>
              <w:pStyle w:val="ACMATableHeader"/>
              <w:numPr>
                <w:ilvl w:val="0"/>
                <w:numId w:val="0"/>
              </w:numPr>
              <w:rPr>
                <w:color w:val="FFFFFF" w:themeColor="background1"/>
              </w:rPr>
            </w:pPr>
            <w:bookmarkStart w:id="7" w:name="_Hlk65759502"/>
            <w:r>
              <w:rPr>
                <w:color w:val="FFFFFF" w:themeColor="background1"/>
              </w:rPr>
              <w:t>REGION</w:t>
            </w:r>
          </w:p>
        </w:tc>
        <w:tc>
          <w:tcPr>
            <w:tcW w:w="0" w:type="dxa"/>
          </w:tcPr>
          <w:p w14:paraId="6300F95E" w14:textId="77777777" w:rsidR="00FA7F33" w:rsidRDefault="00FA7F33" w:rsidP="00B63CAB">
            <w:pPr>
              <w:pStyle w:val="Paragraph"/>
            </w:pPr>
            <w:r>
              <w:t>3400-3575 MHz</w:t>
            </w:r>
          </w:p>
        </w:tc>
        <w:tc>
          <w:tcPr>
            <w:tcW w:w="0" w:type="dxa"/>
          </w:tcPr>
          <w:p w14:paraId="376B6F1B" w14:textId="77777777" w:rsidR="00FA7F33" w:rsidRDefault="00FA7F33" w:rsidP="00B63CAB">
            <w:pPr>
              <w:pStyle w:val="Paragraph"/>
            </w:pPr>
            <w:r>
              <w:t>3575-3700 MHz</w:t>
            </w:r>
          </w:p>
        </w:tc>
        <w:tc>
          <w:tcPr>
            <w:tcW w:w="0" w:type="dxa"/>
          </w:tcPr>
          <w:p w14:paraId="2F921E20" w14:textId="77777777" w:rsidR="00FA7F33" w:rsidRDefault="00FA7F33" w:rsidP="00B63CAB">
            <w:pPr>
              <w:pStyle w:val="Paragraph"/>
            </w:pPr>
            <w:r>
              <w:t>3700-3800 MHz</w:t>
            </w:r>
          </w:p>
        </w:tc>
        <w:tc>
          <w:tcPr>
            <w:tcW w:w="0" w:type="dxa"/>
          </w:tcPr>
          <w:p w14:paraId="139A77C3" w14:textId="77777777" w:rsidR="00FA7F33" w:rsidRDefault="00FA7F33" w:rsidP="00B63CAB">
            <w:pPr>
              <w:pStyle w:val="Paragraph"/>
            </w:pPr>
            <w:r>
              <w:t>3800-4000 MHz</w:t>
            </w:r>
          </w:p>
        </w:tc>
        <w:tc>
          <w:tcPr>
            <w:tcW w:w="0" w:type="dxa"/>
          </w:tcPr>
          <w:p w14:paraId="27F127EB" w14:textId="77777777" w:rsidR="00FA7F33" w:rsidRDefault="00FA7F33" w:rsidP="00B63CAB">
            <w:pPr>
              <w:pStyle w:val="Paragraph"/>
            </w:pPr>
            <w:r>
              <w:t>4000-4200 MHz</w:t>
            </w:r>
          </w:p>
        </w:tc>
      </w:tr>
      <w:tr w:rsidR="00FA7F33" w14:paraId="21966CEC" w14:textId="77777777" w:rsidTr="00B63CAB">
        <w:trPr>
          <w:cnfStyle w:val="000000100000" w:firstRow="0" w:lastRow="0" w:firstColumn="0" w:lastColumn="0" w:oddVBand="0" w:evenVBand="0" w:oddHBand="1" w:evenHBand="0" w:firstRowFirstColumn="0" w:firstRowLastColumn="0" w:lastRowFirstColumn="0" w:lastRowLastColumn="0"/>
        </w:trPr>
        <w:tc>
          <w:tcPr>
            <w:tcW w:w="0" w:type="dxa"/>
          </w:tcPr>
          <w:p w14:paraId="18D58799" w14:textId="77777777" w:rsidR="00FA7F33" w:rsidRDefault="00FA7F33" w:rsidP="00B63CAB">
            <w:pPr>
              <w:pStyle w:val="Paragraph"/>
            </w:pPr>
            <w:r>
              <w:t>Metro</w:t>
            </w:r>
          </w:p>
        </w:tc>
        <w:tc>
          <w:tcPr>
            <w:tcW w:w="0" w:type="dxa"/>
          </w:tcPr>
          <w:p w14:paraId="52BFC9CE" w14:textId="77777777" w:rsidR="00FA7F33" w:rsidRDefault="00FA7F33" w:rsidP="00B63CAB">
            <w:pPr>
              <w:pStyle w:val="Paragraph"/>
            </w:pPr>
            <w:r>
              <w:t>WBB via SL</w:t>
            </w:r>
            <w:r>
              <w:rPr>
                <w:rStyle w:val="FootnoteReference"/>
              </w:rPr>
              <w:footnoteReference w:id="5"/>
            </w:r>
          </w:p>
        </w:tc>
        <w:tc>
          <w:tcPr>
            <w:tcW w:w="0" w:type="dxa"/>
          </w:tcPr>
          <w:p w14:paraId="22ADB9C8" w14:textId="77777777" w:rsidR="00FA7F33" w:rsidRDefault="00FA7F33" w:rsidP="00B63CAB">
            <w:pPr>
              <w:pStyle w:val="Paragraph"/>
            </w:pPr>
            <w:r>
              <w:t>WBB via SL</w:t>
            </w:r>
          </w:p>
        </w:tc>
        <w:tc>
          <w:tcPr>
            <w:tcW w:w="0" w:type="dxa"/>
          </w:tcPr>
          <w:p w14:paraId="7DBCEE3E" w14:textId="77777777" w:rsidR="00FA7F33" w:rsidRDefault="00FA7F33" w:rsidP="00B63CAB">
            <w:pPr>
              <w:pStyle w:val="Paragraph"/>
            </w:pPr>
            <w:r>
              <w:t>WBB via SL</w:t>
            </w:r>
          </w:p>
        </w:tc>
        <w:tc>
          <w:tcPr>
            <w:tcW w:w="0" w:type="dxa"/>
          </w:tcPr>
          <w:p w14:paraId="540CB064" w14:textId="77777777" w:rsidR="00FA7F33" w:rsidRDefault="00FA7F33" w:rsidP="00B63CAB">
            <w:pPr>
              <w:pStyle w:val="Paragraph"/>
            </w:pPr>
            <w:r>
              <w:t>WBB/FSS via AWL</w:t>
            </w:r>
          </w:p>
          <w:p w14:paraId="05D7CD84" w14:textId="77777777" w:rsidR="00FA7F33" w:rsidRDefault="00FA7F33" w:rsidP="00B63CAB">
            <w:pPr>
              <w:pStyle w:val="Paragraph"/>
            </w:pPr>
            <w:r>
              <w:t>Incumbent PTP and FSS via AL</w:t>
            </w:r>
          </w:p>
        </w:tc>
        <w:tc>
          <w:tcPr>
            <w:tcW w:w="0" w:type="dxa"/>
          </w:tcPr>
          <w:p w14:paraId="42F3E49F" w14:textId="77777777" w:rsidR="00FA7F33" w:rsidRDefault="00FA7F33" w:rsidP="00B63CAB">
            <w:pPr>
              <w:pStyle w:val="Paragraph"/>
            </w:pPr>
            <w:r>
              <w:t>FSS, PTP via AL</w:t>
            </w:r>
          </w:p>
        </w:tc>
      </w:tr>
      <w:tr w:rsidR="00FA7F33" w14:paraId="77F970C8" w14:textId="77777777" w:rsidTr="00B63CAB">
        <w:trPr>
          <w:cnfStyle w:val="000000010000" w:firstRow="0" w:lastRow="0" w:firstColumn="0" w:lastColumn="0" w:oddVBand="0" w:evenVBand="0" w:oddHBand="0" w:evenHBand="1" w:firstRowFirstColumn="0" w:firstRowLastColumn="0" w:lastRowFirstColumn="0" w:lastRowLastColumn="0"/>
        </w:trPr>
        <w:tc>
          <w:tcPr>
            <w:tcW w:w="0" w:type="dxa"/>
          </w:tcPr>
          <w:p w14:paraId="22DD6650" w14:textId="77777777" w:rsidR="00FA7F33" w:rsidRDefault="00FA7F33" w:rsidP="00B63CAB">
            <w:pPr>
              <w:pStyle w:val="Paragraph"/>
            </w:pPr>
            <w:r>
              <w:t>Major regional</w:t>
            </w:r>
          </w:p>
        </w:tc>
        <w:tc>
          <w:tcPr>
            <w:tcW w:w="0" w:type="dxa"/>
          </w:tcPr>
          <w:p w14:paraId="22AAD6F8" w14:textId="77777777" w:rsidR="00FA7F33" w:rsidRDefault="00FA7F33" w:rsidP="00B63CAB">
            <w:pPr>
              <w:pStyle w:val="Paragraph"/>
            </w:pPr>
            <w:r>
              <w:t>WBB via SL in parts</w:t>
            </w:r>
          </w:p>
          <w:p w14:paraId="0F059BA6" w14:textId="77777777" w:rsidR="00FA7F33" w:rsidRDefault="00FA7F33" w:rsidP="00B63CAB">
            <w:pPr>
              <w:pStyle w:val="Paragraph"/>
            </w:pPr>
            <w:r>
              <w:t>WBB/FSS via AWL in parts</w:t>
            </w:r>
          </w:p>
          <w:p w14:paraId="6530E194" w14:textId="77777777" w:rsidR="00FA7F33" w:rsidRDefault="00FA7F33" w:rsidP="00B63CAB">
            <w:pPr>
              <w:pStyle w:val="Paragraph"/>
            </w:pPr>
            <w:r>
              <w:t>Incumbent PMP</w:t>
            </w:r>
          </w:p>
          <w:p w14:paraId="1F4AE666" w14:textId="77777777" w:rsidR="00FA7F33" w:rsidRDefault="00FA7F33" w:rsidP="00B63CAB">
            <w:pPr>
              <w:pStyle w:val="Paragraph"/>
            </w:pPr>
            <w:r>
              <w:t>Amateur</w:t>
            </w:r>
            <w:r>
              <w:rPr>
                <w:rStyle w:val="FootnoteReference"/>
              </w:rPr>
              <w:footnoteReference w:id="6"/>
            </w:r>
          </w:p>
        </w:tc>
        <w:tc>
          <w:tcPr>
            <w:tcW w:w="0" w:type="dxa"/>
          </w:tcPr>
          <w:p w14:paraId="1775A5A8" w14:textId="77777777" w:rsidR="00FA7F33" w:rsidRDefault="00FA7F33" w:rsidP="00B63CAB">
            <w:pPr>
              <w:pStyle w:val="Paragraph"/>
            </w:pPr>
            <w:r>
              <w:t>WBB via SL</w:t>
            </w:r>
          </w:p>
        </w:tc>
        <w:tc>
          <w:tcPr>
            <w:tcW w:w="0" w:type="dxa"/>
          </w:tcPr>
          <w:p w14:paraId="1760E644" w14:textId="77777777" w:rsidR="00FA7F33" w:rsidRDefault="00FA7F33" w:rsidP="00B63CAB">
            <w:pPr>
              <w:pStyle w:val="Paragraph"/>
            </w:pPr>
            <w:r>
              <w:t>WBB via SL</w:t>
            </w:r>
          </w:p>
        </w:tc>
        <w:tc>
          <w:tcPr>
            <w:tcW w:w="0" w:type="dxa"/>
          </w:tcPr>
          <w:p w14:paraId="7B6E7612" w14:textId="77777777" w:rsidR="00FA7F33" w:rsidRDefault="00FA7F33" w:rsidP="00B63CAB">
            <w:pPr>
              <w:pStyle w:val="Paragraph"/>
            </w:pPr>
            <w:r>
              <w:t>WBB/FSS via AWL</w:t>
            </w:r>
          </w:p>
          <w:p w14:paraId="57B499A8" w14:textId="77777777" w:rsidR="00FA7F33" w:rsidRDefault="00FA7F33" w:rsidP="00B63CAB">
            <w:pPr>
              <w:pStyle w:val="Paragraph"/>
            </w:pPr>
            <w:r>
              <w:t>Incumbent PTP and FSS via AL</w:t>
            </w:r>
          </w:p>
        </w:tc>
        <w:tc>
          <w:tcPr>
            <w:tcW w:w="0" w:type="dxa"/>
          </w:tcPr>
          <w:p w14:paraId="4677AB75" w14:textId="77777777" w:rsidR="00FA7F33" w:rsidRDefault="00FA7F33" w:rsidP="00B63CAB">
            <w:pPr>
              <w:pStyle w:val="Paragraph"/>
            </w:pPr>
            <w:r>
              <w:t>FSS, PTP via AL</w:t>
            </w:r>
          </w:p>
        </w:tc>
      </w:tr>
      <w:tr w:rsidR="00FA7F33" w14:paraId="385E750A" w14:textId="77777777" w:rsidTr="00B63CAB">
        <w:trPr>
          <w:cnfStyle w:val="000000100000" w:firstRow="0" w:lastRow="0" w:firstColumn="0" w:lastColumn="0" w:oddVBand="0" w:evenVBand="0" w:oddHBand="1" w:evenHBand="0" w:firstRowFirstColumn="0" w:firstRowLastColumn="0" w:lastRowFirstColumn="0" w:lastRowLastColumn="0"/>
        </w:trPr>
        <w:tc>
          <w:tcPr>
            <w:tcW w:w="0" w:type="dxa"/>
          </w:tcPr>
          <w:p w14:paraId="37689B39" w14:textId="77777777" w:rsidR="00FA7F33" w:rsidRDefault="00FA7F33" w:rsidP="00B63CAB">
            <w:pPr>
              <w:pStyle w:val="Paragraph"/>
            </w:pPr>
            <w:r>
              <w:t>Other regional</w:t>
            </w:r>
          </w:p>
        </w:tc>
        <w:tc>
          <w:tcPr>
            <w:tcW w:w="0" w:type="dxa"/>
          </w:tcPr>
          <w:p w14:paraId="4317A935" w14:textId="77777777" w:rsidR="00FA7F33" w:rsidRDefault="00FA7F33" w:rsidP="00B63CAB">
            <w:pPr>
              <w:pStyle w:val="Paragraph"/>
            </w:pPr>
            <w:r>
              <w:t>WBB via SL in parts</w:t>
            </w:r>
          </w:p>
          <w:p w14:paraId="7DC32560" w14:textId="77777777" w:rsidR="00FA7F33" w:rsidRDefault="00FA7F33" w:rsidP="00B63CAB">
            <w:pPr>
              <w:pStyle w:val="Paragraph"/>
            </w:pPr>
            <w:r>
              <w:t>WBB via AWL in parts</w:t>
            </w:r>
          </w:p>
          <w:p w14:paraId="427DCCE2" w14:textId="77777777" w:rsidR="00FA7F33" w:rsidRDefault="00FA7F33" w:rsidP="00B63CAB">
            <w:pPr>
              <w:pStyle w:val="Paragraph"/>
            </w:pPr>
            <w:r>
              <w:t>Incumbent PMP</w:t>
            </w:r>
          </w:p>
          <w:p w14:paraId="6F29E16D" w14:textId="77777777" w:rsidR="00FA7F33" w:rsidRDefault="00FA7F33" w:rsidP="00B63CAB">
            <w:pPr>
              <w:pStyle w:val="Paragraph"/>
            </w:pPr>
            <w:r>
              <w:t>FSS via AL</w:t>
            </w:r>
          </w:p>
          <w:p w14:paraId="34B9FEF2" w14:textId="77777777" w:rsidR="00FA7F33" w:rsidRDefault="00FA7F33" w:rsidP="00B63CAB">
            <w:pPr>
              <w:pStyle w:val="Paragraph"/>
            </w:pPr>
            <w:r>
              <w:t xml:space="preserve">Amateur </w:t>
            </w:r>
          </w:p>
        </w:tc>
        <w:tc>
          <w:tcPr>
            <w:tcW w:w="0" w:type="dxa"/>
          </w:tcPr>
          <w:p w14:paraId="5E765690" w14:textId="77777777" w:rsidR="00FA7F33" w:rsidRDefault="00FA7F33" w:rsidP="00B63CAB">
            <w:pPr>
              <w:pStyle w:val="Paragraph"/>
            </w:pPr>
            <w:r>
              <w:t>WBB via SL</w:t>
            </w:r>
          </w:p>
        </w:tc>
        <w:tc>
          <w:tcPr>
            <w:tcW w:w="0" w:type="dxa"/>
          </w:tcPr>
          <w:p w14:paraId="7CE3CB8B" w14:textId="77777777" w:rsidR="00FA7F33" w:rsidRDefault="00FA7F33" w:rsidP="00B63CAB">
            <w:pPr>
              <w:pStyle w:val="Paragraph"/>
            </w:pPr>
            <w:r>
              <w:t>WBB via SL</w:t>
            </w:r>
          </w:p>
        </w:tc>
        <w:tc>
          <w:tcPr>
            <w:tcW w:w="0" w:type="dxa"/>
          </w:tcPr>
          <w:p w14:paraId="4A048FA7" w14:textId="77777777" w:rsidR="00FA7F33" w:rsidRDefault="00FA7F33" w:rsidP="00B63CAB">
            <w:pPr>
              <w:pStyle w:val="Paragraph"/>
            </w:pPr>
            <w:r>
              <w:t>WBB via AWL</w:t>
            </w:r>
          </w:p>
          <w:p w14:paraId="2C07D2C2" w14:textId="77777777" w:rsidR="00FA7F33" w:rsidRDefault="00FA7F33" w:rsidP="00B63CAB">
            <w:pPr>
              <w:pStyle w:val="Paragraph"/>
            </w:pPr>
            <w:r>
              <w:t>FSS, PTP via AL</w:t>
            </w:r>
          </w:p>
        </w:tc>
        <w:tc>
          <w:tcPr>
            <w:tcW w:w="0" w:type="dxa"/>
          </w:tcPr>
          <w:p w14:paraId="432D3531" w14:textId="77777777" w:rsidR="00FA7F33" w:rsidRDefault="00FA7F33" w:rsidP="00B63CAB">
            <w:pPr>
              <w:pStyle w:val="Paragraph"/>
            </w:pPr>
            <w:r>
              <w:t>FSS, PTP via AL</w:t>
            </w:r>
          </w:p>
        </w:tc>
      </w:tr>
      <w:tr w:rsidR="00FA7F33" w14:paraId="385FAFF4" w14:textId="77777777" w:rsidTr="00B63CAB">
        <w:trPr>
          <w:cnfStyle w:val="000000010000" w:firstRow="0" w:lastRow="0" w:firstColumn="0" w:lastColumn="0" w:oddVBand="0" w:evenVBand="0" w:oddHBand="0" w:evenHBand="1" w:firstRowFirstColumn="0" w:firstRowLastColumn="0" w:lastRowFirstColumn="0" w:lastRowLastColumn="0"/>
          <w:cantSplit/>
        </w:trPr>
        <w:tc>
          <w:tcPr>
            <w:tcW w:w="0" w:type="dxa"/>
          </w:tcPr>
          <w:p w14:paraId="1ABCCB1D" w14:textId="77777777" w:rsidR="00FA7F33" w:rsidRDefault="00FA7F33" w:rsidP="00B63CAB">
            <w:pPr>
              <w:pStyle w:val="Paragraph"/>
            </w:pPr>
            <w:r>
              <w:t>Remote</w:t>
            </w:r>
          </w:p>
        </w:tc>
        <w:tc>
          <w:tcPr>
            <w:tcW w:w="0" w:type="dxa"/>
          </w:tcPr>
          <w:p w14:paraId="57C8E024" w14:textId="77777777" w:rsidR="00FA7F33" w:rsidRDefault="00FA7F33" w:rsidP="00B63CAB">
            <w:pPr>
              <w:pStyle w:val="Paragraph"/>
            </w:pPr>
            <w:r>
              <w:t>WBB via AWL</w:t>
            </w:r>
          </w:p>
          <w:p w14:paraId="504B9F4B" w14:textId="77777777" w:rsidR="00FA7F33" w:rsidRDefault="00FA7F33" w:rsidP="00B63CAB">
            <w:pPr>
              <w:pStyle w:val="Paragraph"/>
            </w:pPr>
            <w:r>
              <w:t>FSS via AL</w:t>
            </w:r>
          </w:p>
          <w:p w14:paraId="002ACE67" w14:textId="77777777" w:rsidR="00FA7F33" w:rsidRDefault="00FA7F33" w:rsidP="00B63CAB">
            <w:pPr>
              <w:pStyle w:val="Paragraph"/>
            </w:pPr>
            <w:r>
              <w:t>Incumbent PMP</w:t>
            </w:r>
          </w:p>
          <w:p w14:paraId="053CE3D8" w14:textId="77777777" w:rsidR="00FA7F33" w:rsidRDefault="00FA7F33" w:rsidP="00B63CAB">
            <w:pPr>
              <w:pStyle w:val="Paragraph"/>
            </w:pPr>
            <w:r>
              <w:t>Amateur</w:t>
            </w:r>
          </w:p>
        </w:tc>
        <w:tc>
          <w:tcPr>
            <w:tcW w:w="0" w:type="dxa"/>
          </w:tcPr>
          <w:p w14:paraId="0BFD7F35" w14:textId="77777777" w:rsidR="00FA7F33" w:rsidRDefault="00FA7F33" w:rsidP="00B63CAB">
            <w:pPr>
              <w:pStyle w:val="Paragraph"/>
            </w:pPr>
            <w:r>
              <w:t>WBB via AWL</w:t>
            </w:r>
          </w:p>
          <w:p w14:paraId="1705DCC6" w14:textId="77777777" w:rsidR="00FA7F33" w:rsidRDefault="00FA7F33" w:rsidP="00B63CAB">
            <w:pPr>
              <w:pStyle w:val="Paragraph"/>
            </w:pPr>
            <w:r>
              <w:t>FSS via AL</w:t>
            </w:r>
          </w:p>
          <w:p w14:paraId="56F35449" w14:textId="77777777" w:rsidR="00FA7F33" w:rsidRDefault="00FA7F33" w:rsidP="00B63CAB">
            <w:pPr>
              <w:pStyle w:val="Paragraph"/>
            </w:pPr>
            <w:r>
              <w:t>Incumbent PMP</w:t>
            </w:r>
          </w:p>
          <w:p w14:paraId="4FF54721" w14:textId="77777777" w:rsidR="00FA7F33" w:rsidRDefault="00FA7F33" w:rsidP="00B63CAB">
            <w:pPr>
              <w:pStyle w:val="Paragraph"/>
            </w:pPr>
            <w:r>
              <w:t>Incumbent PTP via AL</w:t>
            </w:r>
          </w:p>
        </w:tc>
        <w:tc>
          <w:tcPr>
            <w:tcW w:w="0" w:type="dxa"/>
          </w:tcPr>
          <w:p w14:paraId="0FB68D9D" w14:textId="77777777" w:rsidR="00FA7F33" w:rsidRDefault="00FA7F33" w:rsidP="00B63CAB">
            <w:pPr>
              <w:pStyle w:val="Paragraph"/>
            </w:pPr>
            <w:r>
              <w:t>WBB via AWL</w:t>
            </w:r>
          </w:p>
          <w:p w14:paraId="69638498" w14:textId="77777777" w:rsidR="00FA7F33" w:rsidRDefault="00FA7F33" w:rsidP="00B63CAB">
            <w:pPr>
              <w:pStyle w:val="Paragraph"/>
            </w:pPr>
            <w:r>
              <w:t>FSS via AL</w:t>
            </w:r>
          </w:p>
          <w:p w14:paraId="29E29CC7" w14:textId="77777777" w:rsidR="00FA7F33" w:rsidRDefault="00FA7F33" w:rsidP="00B63CAB">
            <w:pPr>
              <w:pStyle w:val="Paragraph"/>
            </w:pPr>
            <w:r>
              <w:t>Incumbent PTP via AL</w:t>
            </w:r>
          </w:p>
        </w:tc>
        <w:tc>
          <w:tcPr>
            <w:tcW w:w="0" w:type="dxa"/>
          </w:tcPr>
          <w:p w14:paraId="75A544CC" w14:textId="77777777" w:rsidR="00FA7F33" w:rsidRDefault="00FA7F33" w:rsidP="00B63CAB">
            <w:pPr>
              <w:pStyle w:val="Paragraph"/>
            </w:pPr>
            <w:r>
              <w:t>WBB via AWL</w:t>
            </w:r>
          </w:p>
          <w:p w14:paraId="604D4363" w14:textId="77777777" w:rsidR="00FA7F33" w:rsidRDefault="00FA7F33" w:rsidP="00B63CAB">
            <w:pPr>
              <w:pStyle w:val="Paragraph"/>
            </w:pPr>
            <w:r>
              <w:t>FSS, PTP via AL</w:t>
            </w:r>
          </w:p>
        </w:tc>
        <w:tc>
          <w:tcPr>
            <w:tcW w:w="0" w:type="dxa"/>
          </w:tcPr>
          <w:p w14:paraId="0F1F21C8" w14:textId="77777777" w:rsidR="00FA7F33" w:rsidRDefault="00FA7F33" w:rsidP="00B63CAB">
            <w:pPr>
              <w:pStyle w:val="Paragraph"/>
            </w:pPr>
            <w:r>
              <w:t>FSS, PTP via AL</w:t>
            </w:r>
          </w:p>
        </w:tc>
      </w:tr>
      <w:tr w:rsidR="00FA7F33" w14:paraId="308D0333" w14:textId="77777777" w:rsidTr="00B63CAB">
        <w:trPr>
          <w:cnfStyle w:val="000000100000" w:firstRow="0" w:lastRow="0" w:firstColumn="0" w:lastColumn="0" w:oddVBand="0" w:evenVBand="0" w:oddHBand="1" w:evenHBand="0" w:firstRowFirstColumn="0" w:firstRowLastColumn="0" w:lastRowFirstColumn="0" w:lastRowLastColumn="0"/>
        </w:trPr>
        <w:tc>
          <w:tcPr>
            <w:tcW w:w="1867" w:type="dxa"/>
          </w:tcPr>
          <w:p w14:paraId="49EDE341" w14:textId="77777777" w:rsidR="00FA7F33" w:rsidRDefault="00FA7F33" w:rsidP="00B63CAB">
            <w:pPr>
              <w:pStyle w:val="Paragraph"/>
            </w:pPr>
            <w:r>
              <w:lastRenderedPageBreak/>
              <w:t>ESPZ</w:t>
            </w:r>
          </w:p>
        </w:tc>
        <w:tc>
          <w:tcPr>
            <w:tcW w:w="1443" w:type="dxa"/>
          </w:tcPr>
          <w:p w14:paraId="4634169F" w14:textId="77777777" w:rsidR="00FA7F33" w:rsidRDefault="00FA7F33" w:rsidP="00B63CAB">
            <w:pPr>
              <w:pStyle w:val="Paragraph"/>
            </w:pPr>
            <w:r>
              <w:t>FSS via AL</w:t>
            </w:r>
          </w:p>
        </w:tc>
        <w:tc>
          <w:tcPr>
            <w:tcW w:w="1454" w:type="dxa"/>
          </w:tcPr>
          <w:p w14:paraId="57549BB7" w14:textId="77777777" w:rsidR="00FA7F33" w:rsidRDefault="00FA7F33" w:rsidP="00B63CAB">
            <w:pPr>
              <w:pStyle w:val="Paragraph"/>
            </w:pPr>
            <w:r>
              <w:t>FSS via AL</w:t>
            </w:r>
          </w:p>
        </w:tc>
        <w:tc>
          <w:tcPr>
            <w:tcW w:w="1454" w:type="dxa"/>
          </w:tcPr>
          <w:p w14:paraId="63E6A008" w14:textId="77777777" w:rsidR="00FA7F33" w:rsidRDefault="00FA7F33" w:rsidP="00B63CAB">
            <w:pPr>
              <w:pStyle w:val="Paragraph"/>
            </w:pPr>
            <w:r>
              <w:t>FSS via AL</w:t>
            </w:r>
          </w:p>
        </w:tc>
        <w:tc>
          <w:tcPr>
            <w:tcW w:w="1443" w:type="dxa"/>
          </w:tcPr>
          <w:p w14:paraId="219649F8" w14:textId="77777777" w:rsidR="00FA7F33" w:rsidRDefault="00FA7F33" w:rsidP="00B63CAB">
            <w:pPr>
              <w:pStyle w:val="Paragraph"/>
            </w:pPr>
            <w:r>
              <w:t>FSS via AL</w:t>
            </w:r>
          </w:p>
        </w:tc>
        <w:tc>
          <w:tcPr>
            <w:tcW w:w="1443" w:type="dxa"/>
          </w:tcPr>
          <w:p w14:paraId="1DA07AA0" w14:textId="77777777" w:rsidR="00FA7F33" w:rsidRDefault="00FA7F33" w:rsidP="00B63CAB">
            <w:pPr>
              <w:pStyle w:val="Paragraph"/>
            </w:pPr>
            <w:r>
              <w:t>FSS via AL</w:t>
            </w:r>
          </w:p>
        </w:tc>
      </w:tr>
      <w:bookmarkEnd w:id="7"/>
    </w:tbl>
    <w:p w14:paraId="2CC08269" w14:textId="77777777" w:rsidR="00FA7F33" w:rsidRDefault="00FA7F33" w:rsidP="00FA7F33">
      <w:pPr>
        <w:pStyle w:val="Paragraph"/>
      </w:pPr>
    </w:p>
    <w:p w14:paraId="7057C989" w14:textId="77777777" w:rsidR="00FA7F33" w:rsidRDefault="00FA7F33" w:rsidP="00FA7F33">
      <w:pPr>
        <w:pStyle w:val="Paragraph"/>
        <w:spacing w:after="0"/>
        <w:rPr>
          <w:sz w:val="16"/>
          <w:szCs w:val="16"/>
        </w:rPr>
      </w:pPr>
      <w:r>
        <w:rPr>
          <w:sz w:val="16"/>
          <w:szCs w:val="16"/>
        </w:rPr>
        <w:t xml:space="preserve">AWL – Area wide licence, LA WBB – local area wireless broadband, PMP – point to multipoint, FSS – fixed satellite service, WA WBB – wide area wireless broadband, </w:t>
      </w:r>
      <w:r w:rsidRPr="004044B8">
        <w:rPr>
          <w:sz w:val="16"/>
          <w:szCs w:val="16"/>
        </w:rPr>
        <w:t>PTP</w:t>
      </w:r>
      <w:r>
        <w:rPr>
          <w:sz w:val="16"/>
          <w:szCs w:val="16"/>
        </w:rPr>
        <w:t xml:space="preserve"> –</w:t>
      </w:r>
      <w:r w:rsidRPr="004044B8">
        <w:rPr>
          <w:sz w:val="16"/>
          <w:szCs w:val="16"/>
        </w:rPr>
        <w:t xml:space="preserve"> point to point</w:t>
      </w:r>
      <w:r>
        <w:rPr>
          <w:sz w:val="16"/>
          <w:szCs w:val="16"/>
        </w:rPr>
        <w:t>, SL – spectrum licence</w:t>
      </w:r>
    </w:p>
    <w:p w14:paraId="72DB9357" w14:textId="77777777" w:rsidR="00FA7F33" w:rsidRPr="00197A32" w:rsidRDefault="00FA7F33" w:rsidP="00FA7F33">
      <w:pPr>
        <w:pStyle w:val="Paragraph"/>
        <w:spacing w:after="0"/>
      </w:pPr>
    </w:p>
    <w:p w14:paraId="509B611C" w14:textId="77777777" w:rsidR="00FA7F33" w:rsidRDefault="00FA7F33" w:rsidP="00FA7F33">
      <w:pPr>
        <w:spacing w:after="0" w:line="240" w:lineRule="auto"/>
        <w:rPr>
          <w:rFonts w:cs="Arial"/>
          <w:sz w:val="28"/>
          <w:szCs w:val="28"/>
        </w:rPr>
      </w:pPr>
      <w:bookmarkStart w:id="8" w:name="_Toc56006328"/>
      <w:bookmarkStart w:id="9" w:name="_Toc57809585"/>
      <w:r>
        <w:rPr>
          <w:b/>
          <w:bCs/>
          <w:iCs/>
        </w:rPr>
        <w:br w:type="page"/>
      </w:r>
    </w:p>
    <w:p w14:paraId="73E944AA" w14:textId="77777777" w:rsidR="00FA7F33" w:rsidRPr="007D04B2" w:rsidRDefault="00FA7F33" w:rsidP="00FA7F33">
      <w:pPr>
        <w:pStyle w:val="sub-heading"/>
      </w:pPr>
      <w:bookmarkStart w:id="10" w:name="_Toc94603244"/>
      <w:r w:rsidRPr="007D04B2">
        <w:lastRenderedPageBreak/>
        <w:t>Scope</w:t>
      </w:r>
      <w:bookmarkEnd w:id="8"/>
      <w:bookmarkEnd w:id="9"/>
      <w:r>
        <w:t xml:space="preserve"> of the TLG</w:t>
      </w:r>
      <w:bookmarkEnd w:id="10"/>
    </w:p>
    <w:p w14:paraId="56FC1143" w14:textId="77777777" w:rsidR="00FA7F33" w:rsidRDefault="00FA7F33" w:rsidP="00FA7F33">
      <w:pPr>
        <w:spacing w:after="80"/>
        <w:rPr>
          <w:rFonts w:cs="Arial"/>
        </w:rPr>
      </w:pPr>
      <w:r>
        <w:rPr>
          <w:rFonts w:cs="Arial"/>
        </w:rPr>
        <w:t>T</w:t>
      </w:r>
      <w:r w:rsidRPr="00F256E0">
        <w:rPr>
          <w:rFonts w:cs="Arial"/>
        </w:rPr>
        <w:t xml:space="preserve">he scope of the TLG </w:t>
      </w:r>
      <w:r>
        <w:rPr>
          <w:rFonts w:cs="Arial"/>
        </w:rPr>
        <w:t xml:space="preserve">is </w:t>
      </w:r>
      <w:r w:rsidRPr="00F256E0">
        <w:rPr>
          <w:rFonts w:cs="Arial"/>
        </w:rPr>
        <w:t>to</w:t>
      </w:r>
      <w:r>
        <w:rPr>
          <w:rFonts w:cs="Arial"/>
        </w:rPr>
        <w:t xml:space="preserve"> determine:</w:t>
      </w:r>
    </w:p>
    <w:p w14:paraId="1F2F1993" w14:textId="77777777" w:rsidR="00FA7F33" w:rsidRPr="00F33B58" w:rsidRDefault="00FA7F33" w:rsidP="00FA7F33">
      <w:pPr>
        <w:pStyle w:val="ListBullet"/>
        <w:rPr>
          <w:rFonts w:ascii="Calibri" w:hAnsi="Calibri"/>
        </w:rPr>
      </w:pPr>
      <w:r>
        <w:t>appropriate changes to PTP arrangements and assignment instructions in the 3700-4200 MHz band, including the 3.8 GHz PTP channel plan, and guidance on planning flexibility in RALI FX03.</w:t>
      </w:r>
    </w:p>
    <w:p w14:paraId="6CF4D4E5" w14:textId="77777777" w:rsidR="00FA7F33" w:rsidRPr="00F33B58" w:rsidRDefault="00FA7F33" w:rsidP="00FA7F33">
      <w:pPr>
        <w:pStyle w:val="ListBullet"/>
        <w:rPr>
          <w:rFonts w:ascii="Calibri" w:hAnsi="Calibri"/>
        </w:rPr>
      </w:pPr>
      <w:r>
        <w:t>Coexistence between services, including interference management criteria (defining parameters, acceptable levels of interference and methods to manage interference), for aeronautical radio-navigation services in the 4200-4400 MHz band (aircraft radio altimeters) as an input into spectrum and apparatus licensing technical frameworks.</w:t>
      </w:r>
    </w:p>
    <w:p w14:paraId="079853C0" w14:textId="7C5920E7" w:rsidR="00FA7F33" w:rsidRDefault="00FA7F33" w:rsidP="00FA7F33">
      <w:pPr>
        <w:pStyle w:val="ListBullet"/>
      </w:pPr>
      <w:r>
        <w:rPr>
          <w:rFonts w:cs="Arial"/>
        </w:rPr>
        <w:t xml:space="preserve">Potential </w:t>
      </w:r>
      <w:r>
        <w:t xml:space="preserve">changes to the 3.4 GHz band spectrum </w:t>
      </w:r>
      <w:r w:rsidR="00E95A9B">
        <w:t>licensing</w:t>
      </w:r>
      <w:r>
        <w:t xml:space="preserve"> technical framework required to extend to, and accommodate, 3700-3800 MHz in specified geographic areas. This includes a review of spectrum licence core conditions, s.145(4) determination of unacceptable levels of interference, the Radiocommunications Advisory Guidelines made under s.262 and the minimum contiguous bandwidths for trading</w:t>
      </w:r>
      <w:r w:rsidR="00F024AB">
        <w:t>.</w:t>
      </w:r>
      <w:r>
        <w:rPr>
          <w:rStyle w:val="FootnoteReference"/>
        </w:rPr>
        <w:footnoteReference w:id="7"/>
      </w:r>
    </w:p>
    <w:p w14:paraId="79D19848" w14:textId="025034D5" w:rsidR="00FA7F33" w:rsidRDefault="00FA7F33" w:rsidP="00FA7F33">
      <w:pPr>
        <w:pStyle w:val="ListBullet"/>
      </w:pPr>
      <w:r>
        <w:t>Potential AWL apparatus licen</w:t>
      </w:r>
      <w:r w:rsidR="00E407FF">
        <w:t>sing</w:t>
      </w:r>
      <w:r>
        <w:t xml:space="preserve"> framework/s, optimised for LA WBB and FSS, in future applicable spectrum spaces across 3400-4000 MHz. This may include, but is not limited to, retiring RALI FX14 and RALI MS39 as well as changes to RALI FX19 and FX03.  It will also include the development of a schedule for the </w:t>
      </w:r>
      <w:hyperlink r:id="rId34" w:history="1">
        <w:r w:rsidRPr="00253819">
          <w:rPr>
            <w:rStyle w:val="Hyperlink"/>
          </w:rPr>
          <w:t>Radiocommunications Licence Conditions (Area-Wide Licence) Determination 2020</w:t>
        </w:r>
      </w:hyperlink>
      <w:r>
        <w:t xml:space="preserve"> </w:t>
      </w:r>
      <w:r w:rsidR="00F024AB">
        <w:t xml:space="preserve">(the AWL LCD) </w:t>
      </w:r>
      <w:r>
        <w:t>to support the AWL framework/s.</w:t>
      </w:r>
    </w:p>
    <w:p w14:paraId="78CBF073" w14:textId="77777777" w:rsidR="00FA7F33" w:rsidRDefault="00FA7F33" w:rsidP="00FA7F33">
      <w:pPr>
        <w:pStyle w:val="ListBullet"/>
      </w:pPr>
      <w:r>
        <w:t>Obtain views on mechanisms to potentially transition incumbent apparatus licensed PMP and FSS services to possible AWL framework/s in future applicable spectrum spaces.</w:t>
      </w:r>
    </w:p>
    <w:p w14:paraId="42D45401" w14:textId="77777777" w:rsidR="00FA7F33" w:rsidRDefault="00FA7F33" w:rsidP="00FA7F33">
      <w:pPr>
        <w:pStyle w:val="ListBullet"/>
      </w:pPr>
      <w:r>
        <w:t>Obtain views on definitions of geographic areas for major regional areas and other regional areas.</w:t>
      </w:r>
    </w:p>
    <w:p w14:paraId="66A77750" w14:textId="77777777" w:rsidR="00FA7F33" w:rsidRDefault="00FA7F33" w:rsidP="00FA7F33">
      <w:pPr>
        <w:pStyle w:val="ListBullet"/>
      </w:pPr>
      <w:r>
        <w:t>Obtain views on the future of PTP services in metro and major regional areas.</w:t>
      </w:r>
    </w:p>
    <w:p w14:paraId="419926CF" w14:textId="77777777" w:rsidR="00FA7F33" w:rsidRDefault="00FA7F33" w:rsidP="00FA7F33">
      <w:pPr>
        <w:pStyle w:val="ListBullet"/>
        <w:numPr>
          <w:ilvl w:val="0"/>
          <w:numId w:val="0"/>
        </w:numPr>
        <w:spacing w:before="240"/>
        <w:rPr>
          <w:rFonts w:cs="Arial"/>
        </w:rPr>
      </w:pPr>
      <w:bookmarkStart w:id="11" w:name="_Toc40191056"/>
      <w:r>
        <w:rPr>
          <w:rFonts w:cs="Arial"/>
        </w:rPr>
        <w:t>The following was not in scope of the TLG:</w:t>
      </w:r>
    </w:p>
    <w:p w14:paraId="2B729882" w14:textId="77777777" w:rsidR="00FA7F33" w:rsidRDefault="00FA7F33" w:rsidP="00FA7F33">
      <w:pPr>
        <w:pStyle w:val="ListBullet"/>
      </w:pPr>
      <w:r>
        <w:t>Allocation pricing, methods and timeframes.</w:t>
      </w:r>
    </w:p>
    <w:p w14:paraId="66518DBD" w14:textId="77777777" w:rsidR="00FA7F33" w:rsidRDefault="00FA7F33" w:rsidP="00FA7F33">
      <w:pPr>
        <w:pStyle w:val="ListBullet"/>
      </w:pPr>
      <w:r>
        <w:t>The future of Spectrum Embargo 78.</w:t>
      </w:r>
    </w:p>
    <w:p w14:paraId="61B775AF" w14:textId="77777777" w:rsidR="00FA7F33" w:rsidRDefault="00FA7F33" w:rsidP="00FA7F33">
      <w:pPr>
        <w:pStyle w:val="ListBullet"/>
      </w:pPr>
      <w:r>
        <w:t>Outcomes of the 3.4 GHz metropolitan “urban excise” activity.</w:t>
      </w:r>
    </w:p>
    <w:p w14:paraId="562A953D" w14:textId="77777777" w:rsidR="00FA7F33" w:rsidRDefault="00FA7F33" w:rsidP="00FA7F33">
      <w:pPr>
        <w:pStyle w:val="ListBullet"/>
      </w:pPr>
      <w:r>
        <w:t>Decisions and preliminary views from the outcomes paper in relation to the amount of spectrum identified for WA WBB or LA WBB.</w:t>
      </w:r>
    </w:p>
    <w:p w14:paraId="3AAC16C2" w14:textId="77777777" w:rsidR="00FA7F33" w:rsidRDefault="00FA7F33" w:rsidP="00FA7F33">
      <w:pPr>
        <w:pStyle w:val="ListBullet"/>
      </w:pPr>
      <w:r>
        <w:t>Licensing arrangements for amateur services.</w:t>
      </w:r>
    </w:p>
    <w:p w14:paraId="76F1E2E5" w14:textId="77777777" w:rsidR="00FA7F33" w:rsidRDefault="00FA7F33" w:rsidP="00FA7F33">
      <w:pPr>
        <w:pStyle w:val="ListBullet"/>
      </w:pPr>
      <w:r>
        <w:t>Licensing arrangements for scientific unassigned services.</w:t>
      </w:r>
    </w:p>
    <w:p w14:paraId="389A63E7" w14:textId="77777777" w:rsidR="00FA7F33" w:rsidRDefault="00FA7F33" w:rsidP="00FA7F33">
      <w:pPr>
        <w:pStyle w:val="ListBullet"/>
        <w:numPr>
          <w:ilvl w:val="0"/>
          <w:numId w:val="0"/>
        </w:numPr>
        <w:spacing w:before="240"/>
        <w:rPr>
          <w:rFonts w:cs="Arial"/>
        </w:rPr>
      </w:pPr>
      <w:r>
        <w:rPr>
          <w:rFonts w:cs="Arial"/>
        </w:rPr>
        <w:t>Note</w:t>
      </w:r>
      <w:r w:rsidRPr="007D04B2">
        <w:rPr>
          <w:rFonts w:cs="Arial"/>
        </w:rPr>
        <w:t xml:space="preserve"> that</w:t>
      </w:r>
      <w:r>
        <w:rPr>
          <w:rFonts w:cs="Arial"/>
        </w:rPr>
        <w:t>:</w:t>
      </w:r>
      <w:r w:rsidRPr="007D04B2">
        <w:rPr>
          <w:rFonts w:cs="Arial"/>
        </w:rPr>
        <w:t xml:space="preserve"> </w:t>
      </w:r>
    </w:p>
    <w:p w14:paraId="15F76060" w14:textId="77777777" w:rsidR="00FA7F33" w:rsidRPr="005438AE" w:rsidRDefault="00FA7F33" w:rsidP="00FA7F33">
      <w:pPr>
        <w:pStyle w:val="ListBullet"/>
      </w:pPr>
      <w:r>
        <w:t>T</w:t>
      </w:r>
      <w:r w:rsidRPr="00473557">
        <w:t xml:space="preserve">he TLG is the first step in the process of </w:t>
      </w:r>
      <w:r>
        <w:t>reviewing</w:t>
      </w:r>
      <w:r w:rsidRPr="00473557">
        <w:t xml:space="preserve"> </w:t>
      </w:r>
      <w:r>
        <w:t xml:space="preserve">or establishing </w:t>
      </w:r>
      <w:r w:rsidRPr="00473557">
        <w:t xml:space="preserve">a technical framework. The ACMA will use the outcomes of the TLG to publicly consult on </w:t>
      </w:r>
      <w:r>
        <w:t xml:space="preserve">proposed changes to, or new, </w:t>
      </w:r>
      <w:r w:rsidRPr="00473557">
        <w:t>relevant instruments that</w:t>
      </w:r>
      <w:r>
        <w:t xml:space="preserve"> will</w:t>
      </w:r>
      <w:r w:rsidRPr="00473557">
        <w:t xml:space="preserve"> form the</w:t>
      </w:r>
      <w:r>
        <w:t xml:space="preserve"> extended 3.4 </w:t>
      </w:r>
      <w:r w:rsidRPr="00473557">
        <w:t>GHz band technical framework</w:t>
      </w:r>
      <w:r>
        <w:t>s</w:t>
      </w:r>
      <w:r w:rsidRPr="00473557">
        <w:t>. TLG members will be able to provide comment</w:t>
      </w:r>
      <w:r w:rsidRPr="005438AE">
        <w:t>s on the technical framework</w:t>
      </w:r>
      <w:r>
        <w:t>s</w:t>
      </w:r>
      <w:r w:rsidRPr="005438AE">
        <w:t xml:space="preserve"> both as part of the informal TLG and </w:t>
      </w:r>
      <w:r>
        <w:t xml:space="preserve">the </w:t>
      </w:r>
      <w:r w:rsidRPr="005438AE">
        <w:t>subsequent formal public consultation processes</w:t>
      </w:r>
      <w:r>
        <w:t>.</w:t>
      </w:r>
    </w:p>
    <w:p w14:paraId="4E38F2FA" w14:textId="77777777" w:rsidR="00FA7F33" w:rsidRPr="00AB3668" w:rsidRDefault="00FA7F33" w:rsidP="00FA7F33">
      <w:pPr>
        <w:pStyle w:val="ListBullet"/>
        <w:rPr>
          <w:rFonts w:cs="Arial"/>
        </w:rPr>
      </w:pPr>
      <w:r>
        <w:t>W</w:t>
      </w:r>
      <w:r w:rsidRPr="00736BE8">
        <w:t xml:space="preserve">hile the ACMA strives to achieve consensus with members, the final decision on the content of, or changes to, a spectrum or apparatus licence technical framework rests with the ACMA. This is particularly relevant in cases where consensus cannot </w:t>
      </w:r>
      <w:r w:rsidRPr="00736BE8">
        <w:lastRenderedPageBreak/>
        <w:t>be achieved on an issue</w:t>
      </w:r>
      <w:r>
        <w:t>,</w:t>
      </w:r>
      <w:r w:rsidRPr="00736BE8">
        <w:t xml:space="preserve"> or advice from the TLG is not provided within a reasonable time</w:t>
      </w:r>
      <w:r>
        <w:t xml:space="preserve"> frame.</w:t>
      </w:r>
    </w:p>
    <w:p w14:paraId="79CE522F" w14:textId="76E4A75F" w:rsidR="00FA7F33" w:rsidRPr="00070DE4" w:rsidRDefault="00FA7F33" w:rsidP="00FA7F33">
      <w:pPr>
        <w:pStyle w:val="ListBullet"/>
        <w:rPr>
          <w:rFonts w:cs="Arial"/>
        </w:rPr>
      </w:pPr>
      <w:r>
        <w:t>Where a statement is made such as “the AWL”, “the proposed AWL”, “the allocation” etc these are not to be considered formal decisions at this point. The decision to implement any technical framework is not made until the legislative instruments have been passed.</w:t>
      </w:r>
    </w:p>
    <w:p w14:paraId="7B33CE74" w14:textId="77777777" w:rsidR="00FA7F33" w:rsidRPr="007D04B2" w:rsidRDefault="00FA7F33" w:rsidP="00FA7F33">
      <w:pPr>
        <w:pStyle w:val="sub-heading"/>
      </w:pPr>
      <w:bookmarkStart w:id="12" w:name="_Toc94603245"/>
      <w:r>
        <w:t>Revised near-term focus of the TLG</w:t>
      </w:r>
      <w:bookmarkEnd w:id="12"/>
    </w:p>
    <w:p w14:paraId="0D84423D" w14:textId="77777777" w:rsidR="00FA7F33" w:rsidRDefault="00FA7F33" w:rsidP="00FA7F33">
      <w:pPr>
        <w:rPr>
          <w:rFonts w:cs="Arial"/>
        </w:rPr>
      </w:pPr>
      <w:r>
        <w:rPr>
          <w:rFonts w:cs="Arial"/>
        </w:rPr>
        <w:t>The scope of the TLG initially aimed to resolve issues relevant to all potential parts of the technical framework and possible allocation processes, in all spectrum spaces. After TLG discussion and feedback to the first version of the paper, it was apparent that it was not practical to resolve all issues sufficiently, in time for the possible allocation of AWL licences in remote areas, as per the timeline outlined in the following section.</w:t>
      </w:r>
    </w:p>
    <w:p w14:paraId="25EDC8A5" w14:textId="41659831" w:rsidR="00FA7F33" w:rsidRDefault="00FA7F33" w:rsidP="00FA7F33">
      <w:pPr>
        <w:spacing w:after="80"/>
        <w:rPr>
          <w:rFonts w:cs="Arial"/>
        </w:rPr>
      </w:pPr>
      <w:r>
        <w:rPr>
          <w:rFonts w:cs="Arial"/>
        </w:rPr>
        <w:t xml:space="preserve">Consequently, the focus of the TLG paper is on those aspects of the technical framework that will allow the remote area allocation to continue as planned. Views on other issues </w:t>
      </w:r>
      <w:r w:rsidR="00D1496C">
        <w:rPr>
          <w:rFonts w:cs="Arial"/>
        </w:rPr>
        <w:t xml:space="preserve">were </w:t>
      </w:r>
      <w:r>
        <w:rPr>
          <w:rFonts w:cs="Arial"/>
        </w:rPr>
        <w:t>still sought</w:t>
      </w:r>
      <w:r w:rsidR="00D1496C">
        <w:rPr>
          <w:rFonts w:cs="Arial"/>
        </w:rPr>
        <w:t xml:space="preserve"> and most documented</w:t>
      </w:r>
      <w:r>
        <w:rPr>
          <w:rFonts w:cs="Arial"/>
        </w:rPr>
        <w:t xml:space="preserve">, to be further </w:t>
      </w:r>
      <w:r w:rsidR="00B04A34">
        <w:rPr>
          <w:rFonts w:cs="Arial"/>
        </w:rPr>
        <w:t xml:space="preserve">considered </w:t>
      </w:r>
      <w:r>
        <w:rPr>
          <w:rFonts w:cs="Arial"/>
        </w:rPr>
        <w:t xml:space="preserve">and resolved, at a later stage of this TLG. The relevant parts of this TLG paper have been </w:t>
      </w:r>
      <w:r w:rsidR="007778D2">
        <w:rPr>
          <w:rFonts w:cs="Arial"/>
        </w:rPr>
        <w:t xml:space="preserve">identified </w:t>
      </w:r>
      <w:r>
        <w:rPr>
          <w:rFonts w:cs="Arial"/>
        </w:rPr>
        <w:t>to reflect what is essential, what has some impact and what is likely to have little impact on proposed remote area allocations.</w:t>
      </w:r>
    </w:p>
    <w:p w14:paraId="2E373B68" w14:textId="77777777" w:rsidR="00FA7F33" w:rsidRDefault="00FA7F33" w:rsidP="00FA7F33">
      <w:pPr>
        <w:spacing w:after="80"/>
        <w:rPr>
          <w:rFonts w:cs="Arial"/>
        </w:rPr>
      </w:pPr>
      <w:r>
        <w:rPr>
          <w:rFonts w:cs="Arial"/>
        </w:rPr>
        <w:t>In summary, the critical elements to define to enable a proposed remote area allocation are:</w:t>
      </w:r>
    </w:p>
    <w:p w14:paraId="17EED9FA" w14:textId="77777777" w:rsidR="00FA7F33" w:rsidRDefault="00FA7F33" w:rsidP="00FA7F33">
      <w:pPr>
        <w:pStyle w:val="ListParagraph"/>
        <w:numPr>
          <w:ilvl w:val="0"/>
          <w:numId w:val="36"/>
        </w:numPr>
        <w:spacing w:after="80"/>
      </w:pPr>
      <w:r>
        <w:t>Future PTP service arrangements</w:t>
      </w:r>
    </w:p>
    <w:p w14:paraId="412D1374" w14:textId="77777777" w:rsidR="00FA7F33" w:rsidRPr="00070DE4" w:rsidRDefault="00FA7F33" w:rsidP="00FA7F33">
      <w:pPr>
        <w:pStyle w:val="ListParagraph"/>
        <w:numPr>
          <w:ilvl w:val="0"/>
          <w:numId w:val="36"/>
        </w:numPr>
        <w:spacing w:after="80"/>
      </w:pPr>
      <w:r>
        <w:t>Most aspects of the AWL technical framework:</w:t>
      </w:r>
    </w:p>
    <w:p w14:paraId="7950157D" w14:textId="6D26BE38" w:rsidR="00FA7F33" w:rsidRPr="004675B3" w:rsidRDefault="00FA7F33" w:rsidP="00FA7F33">
      <w:pPr>
        <w:pStyle w:val="ListBullet"/>
        <w:numPr>
          <w:ilvl w:val="1"/>
          <w:numId w:val="36"/>
        </w:numPr>
      </w:pPr>
      <w:r>
        <w:t xml:space="preserve">Managing interference with WBB services operating under other </w:t>
      </w:r>
      <w:r w:rsidRPr="004675B3">
        <w:t>AWL</w:t>
      </w:r>
      <w:r>
        <w:t>s</w:t>
      </w:r>
      <w:r w:rsidR="007778D2">
        <w:t>.</w:t>
      </w:r>
    </w:p>
    <w:p w14:paraId="10556023" w14:textId="77777777" w:rsidR="00FA7F33" w:rsidRPr="004675B3" w:rsidRDefault="00FA7F33" w:rsidP="00FA7F33">
      <w:pPr>
        <w:pStyle w:val="ListBullet"/>
        <w:numPr>
          <w:ilvl w:val="1"/>
          <w:numId w:val="36"/>
        </w:numPr>
      </w:pPr>
      <w:r>
        <w:t xml:space="preserve">managing co-channel interference with </w:t>
      </w:r>
      <w:r w:rsidRPr="004675B3">
        <w:t xml:space="preserve">devices operating </w:t>
      </w:r>
      <w:r>
        <w:t>under s</w:t>
      </w:r>
      <w:r w:rsidRPr="004675B3">
        <w:t>pectrum licen</w:t>
      </w:r>
      <w:r>
        <w:t>c</w:t>
      </w:r>
      <w:r w:rsidRPr="004675B3">
        <w:t>e</w:t>
      </w:r>
      <w:r>
        <w:t xml:space="preserve">s </w:t>
      </w:r>
      <w:r w:rsidRPr="004675B3">
        <w:t xml:space="preserve">in the frequency range 3400-3800 MHz in capital cities and </w:t>
      </w:r>
      <w:r>
        <w:t>variously defined</w:t>
      </w:r>
      <w:r w:rsidRPr="004675B3">
        <w:t xml:space="preserve"> regional areas</w:t>
      </w:r>
      <w:r>
        <w:t xml:space="preserve"> (geographic boundary management essential for remote)</w:t>
      </w:r>
      <w:r w:rsidRPr="004675B3">
        <w:t xml:space="preserve">. </w:t>
      </w:r>
    </w:p>
    <w:p w14:paraId="3655DEC8" w14:textId="77777777" w:rsidR="00FA7F33" w:rsidRPr="004675B3" w:rsidRDefault="00FA7F33" w:rsidP="00FA7F33">
      <w:pPr>
        <w:pStyle w:val="ListBullet"/>
        <w:numPr>
          <w:ilvl w:val="1"/>
          <w:numId w:val="36"/>
        </w:numPr>
      </w:pPr>
      <w:r>
        <w:t xml:space="preserve">managing interference with </w:t>
      </w:r>
      <w:r w:rsidRPr="004675B3">
        <w:t xml:space="preserve">FSS receive earth stations </w:t>
      </w:r>
      <w:r>
        <w:t xml:space="preserve">(earth receive apparatus licences – not FSS AWLs) </w:t>
      </w:r>
      <w:r w:rsidRPr="004675B3">
        <w:t xml:space="preserve">in </w:t>
      </w:r>
      <w:r>
        <w:t>variously defined</w:t>
      </w:r>
      <w:r w:rsidRPr="004675B3">
        <w:t xml:space="preserve"> spectrum spaces in the frequency range 3400-4200 </w:t>
      </w:r>
      <w:r>
        <w:t>MHz</w:t>
      </w:r>
      <w:r w:rsidRPr="004675B3">
        <w:t>.</w:t>
      </w:r>
    </w:p>
    <w:p w14:paraId="17505DC0" w14:textId="44DCABA0" w:rsidR="00FA7F33" w:rsidRPr="004675B3" w:rsidRDefault="00FA7F33" w:rsidP="00FA7F33">
      <w:pPr>
        <w:pStyle w:val="ListBullet"/>
        <w:numPr>
          <w:ilvl w:val="1"/>
          <w:numId w:val="36"/>
        </w:numPr>
      </w:pPr>
      <w:r>
        <w:t>managing interference with i</w:t>
      </w:r>
      <w:r w:rsidRPr="004675B3">
        <w:t xml:space="preserve">ncumbent </w:t>
      </w:r>
      <w:r w:rsidR="007778D2">
        <w:t>point-to-multipoint (</w:t>
      </w:r>
      <w:r w:rsidRPr="004675B3">
        <w:t>PMP</w:t>
      </w:r>
      <w:r w:rsidR="007778D2">
        <w:t>)</w:t>
      </w:r>
      <w:r w:rsidRPr="004675B3">
        <w:t xml:space="preserve"> services in </w:t>
      </w:r>
      <w:r>
        <w:t>variously defined</w:t>
      </w:r>
      <w:r w:rsidRPr="004675B3">
        <w:t xml:space="preserve"> spectrum spaces in the frequency range 3400-3700 </w:t>
      </w:r>
      <w:r>
        <w:t>MHz</w:t>
      </w:r>
      <w:r w:rsidRPr="004675B3">
        <w:t>.</w:t>
      </w:r>
    </w:p>
    <w:p w14:paraId="01293FFB" w14:textId="718C5C13" w:rsidR="00FA7F33" w:rsidRPr="004675B3" w:rsidRDefault="00FA7F33" w:rsidP="00FA7F33">
      <w:pPr>
        <w:pStyle w:val="ListBullet"/>
        <w:numPr>
          <w:ilvl w:val="1"/>
          <w:numId w:val="36"/>
        </w:numPr>
      </w:pPr>
      <w:r>
        <w:t>managing interference with l</w:t>
      </w:r>
      <w:r w:rsidRPr="004675B3">
        <w:t xml:space="preserve">egacy, incumbent and future </w:t>
      </w:r>
      <w:r w:rsidR="0099166C">
        <w:t>PTP</w:t>
      </w:r>
      <w:r w:rsidRPr="004675B3">
        <w:t xml:space="preserve"> services operating in the frequency range 3580-4200 MHz (3.8 GHz PTP band)</w:t>
      </w:r>
      <w:r>
        <w:t xml:space="preserve"> </w:t>
      </w:r>
    </w:p>
    <w:p w14:paraId="268840A0" w14:textId="7785ADB0" w:rsidR="00FA7F33" w:rsidRPr="007F68A0" w:rsidRDefault="00FA7F33" w:rsidP="00FA7F33">
      <w:pPr>
        <w:pStyle w:val="ListBullet"/>
        <w:numPr>
          <w:ilvl w:val="1"/>
          <w:numId w:val="36"/>
        </w:numPr>
        <w:rPr>
          <w:strike/>
        </w:rPr>
      </w:pPr>
      <w:r>
        <w:t>coexistence with a</w:t>
      </w:r>
      <w:r w:rsidRPr="004675B3">
        <w:t>eronautical radionavigation (radio altimeter) services operated in the adjacent 4200-4400 MHz band</w:t>
      </w:r>
      <w:r w:rsidR="0099166C">
        <w:t>.</w:t>
      </w:r>
    </w:p>
    <w:p w14:paraId="5423F5B1" w14:textId="77777777" w:rsidR="00FA7F33" w:rsidRDefault="00FA7F33" w:rsidP="00FA7F33">
      <w:pPr>
        <w:pStyle w:val="ListBullet"/>
        <w:numPr>
          <w:ilvl w:val="1"/>
          <w:numId w:val="36"/>
        </w:numPr>
      </w:pPr>
      <w:r>
        <w:t>managing interference with r</w:t>
      </w:r>
      <w:r w:rsidRPr="004675B3">
        <w:t xml:space="preserve">adiolocation services </w:t>
      </w:r>
      <w:r>
        <w:t xml:space="preserve">operating </w:t>
      </w:r>
      <w:r w:rsidRPr="004675B3">
        <w:t>between 3100 MHz and 3600 MHz.</w:t>
      </w:r>
    </w:p>
    <w:p w14:paraId="02957C28" w14:textId="3F8339ED" w:rsidR="00FA7F33" w:rsidRPr="004675B3" w:rsidRDefault="00FA7F33" w:rsidP="00FA7F33">
      <w:pPr>
        <w:pStyle w:val="ListBullet"/>
        <w:numPr>
          <w:ilvl w:val="1"/>
          <w:numId w:val="36"/>
        </w:numPr>
      </w:pPr>
      <w:r>
        <w:t xml:space="preserve">managing interference with radiolocation services in the Northern Territory in the 3700-4200 MHz band authorised under clause 10 (7) of the </w:t>
      </w:r>
      <w:r w:rsidR="00CA62AD" w:rsidRPr="00CA62AD">
        <w:t xml:space="preserve">Australian Radiofrequency Spectrum Plan </w:t>
      </w:r>
      <w:r w:rsidR="00CA62AD">
        <w:t>(</w:t>
      </w:r>
      <w:r>
        <w:t>ARSP</w:t>
      </w:r>
      <w:r w:rsidR="00CA62AD">
        <w:t>)</w:t>
      </w:r>
      <w:r>
        <w:t>.</w:t>
      </w:r>
    </w:p>
    <w:p w14:paraId="3BC8B517" w14:textId="77777777" w:rsidR="00FA7F33" w:rsidRDefault="00FA7F33" w:rsidP="00FA7F33">
      <w:pPr>
        <w:pStyle w:val="ListBullet"/>
        <w:numPr>
          <w:ilvl w:val="1"/>
          <w:numId w:val="36"/>
        </w:numPr>
      </w:pPr>
      <w:r>
        <w:t>managing interference with a</w:t>
      </w:r>
      <w:r w:rsidRPr="004675B3">
        <w:t xml:space="preserve">mateur services operating in various spectrum spaces </w:t>
      </w:r>
      <w:r>
        <w:t>in the 3300-</w:t>
      </w:r>
      <w:r w:rsidRPr="004675B3">
        <w:t>3400 MHz and in 3400-3</w:t>
      </w:r>
      <w:r>
        <w:t>600</w:t>
      </w:r>
      <w:r w:rsidRPr="004675B3">
        <w:t xml:space="preserve"> MHz</w:t>
      </w:r>
      <w:r>
        <w:t xml:space="preserve"> frequency ranges.</w:t>
      </w:r>
    </w:p>
    <w:p w14:paraId="1DD813CB" w14:textId="7FA44062" w:rsidR="00FA7F33" w:rsidRPr="004675B3" w:rsidRDefault="00FA7F33" w:rsidP="00FA7F33">
      <w:pPr>
        <w:pStyle w:val="ListBullet"/>
        <w:numPr>
          <w:ilvl w:val="1"/>
          <w:numId w:val="36"/>
        </w:numPr>
      </w:pPr>
      <w:r>
        <w:t>managing interference into earth station protection zones</w:t>
      </w:r>
      <w:r w:rsidR="00EF4BDB">
        <w:t xml:space="preserve"> (ESPZ)</w:t>
      </w:r>
      <w:r>
        <w:t>.</w:t>
      </w:r>
    </w:p>
    <w:p w14:paraId="057C1476" w14:textId="77777777" w:rsidR="00FA7F33" w:rsidRDefault="00FA7F33" w:rsidP="00FA7F33">
      <w:pPr>
        <w:pStyle w:val="ListBullet"/>
        <w:numPr>
          <w:ilvl w:val="1"/>
          <w:numId w:val="36"/>
        </w:numPr>
      </w:pPr>
      <w:r>
        <w:lastRenderedPageBreak/>
        <w:t>managing interference into the mid-west radio quiet zone in WA.</w:t>
      </w:r>
    </w:p>
    <w:p w14:paraId="0429B1D0" w14:textId="77777777" w:rsidR="00FA7F33" w:rsidRDefault="00FA7F33" w:rsidP="00FA7F33">
      <w:pPr>
        <w:pStyle w:val="ListBullet"/>
        <w:numPr>
          <w:ilvl w:val="1"/>
          <w:numId w:val="36"/>
        </w:numPr>
      </w:pPr>
      <w:r>
        <w:t>managing interference into the Woomera Protected Area (WPA) in SA.</w:t>
      </w:r>
    </w:p>
    <w:p w14:paraId="4E971BDA" w14:textId="2C331031" w:rsidR="00FA7F33" w:rsidRPr="004675B3" w:rsidRDefault="00FA7F33" w:rsidP="00FA7F33">
      <w:pPr>
        <w:pStyle w:val="ListBullet"/>
        <w:numPr>
          <w:ilvl w:val="1"/>
          <w:numId w:val="36"/>
        </w:numPr>
      </w:pPr>
      <w:r>
        <w:t xml:space="preserve">Definition of restrictions to deploying services within 150 km of the </w:t>
      </w:r>
      <w:r w:rsidR="00092677">
        <w:t>General post offices (</w:t>
      </w:r>
      <w:r>
        <w:t>GPO</w:t>
      </w:r>
      <w:r w:rsidR="00092677">
        <w:t>)</w:t>
      </w:r>
      <w:r>
        <w:t>s of Darwin and Geraldton.</w:t>
      </w:r>
    </w:p>
    <w:p w14:paraId="1614693E" w14:textId="743A452C" w:rsidR="00FA7F33" w:rsidRDefault="00FA7F33" w:rsidP="00FA7F33">
      <w:pPr>
        <w:pStyle w:val="ListBullet"/>
        <w:numPr>
          <w:ilvl w:val="1"/>
          <w:numId w:val="36"/>
        </w:numPr>
        <w:spacing w:after="240"/>
      </w:pPr>
      <w:r>
        <w:t>managing interference with c</w:t>
      </w:r>
      <w:r w:rsidRPr="009E2B7C">
        <w:t xml:space="preserve">lass licensed devices operating under </w:t>
      </w:r>
      <w:r>
        <w:t xml:space="preserve">the </w:t>
      </w:r>
      <w:r w:rsidR="0099166C">
        <w:t>low interference potential devices (</w:t>
      </w:r>
      <w:r w:rsidRPr="009E2B7C">
        <w:t>LIPD</w:t>
      </w:r>
      <w:r w:rsidR="0099166C">
        <w:t>)</w:t>
      </w:r>
      <w:r w:rsidRPr="009E2B7C">
        <w:t xml:space="preserve"> classes 71A (ground and wall penetrating radar), 80 (building material analysis transmitters) and 78(a) (ultra-wideband transmitters) operating across various ranges but at the least across the 3.1-4.8 GHz range</w:t>
      </w:r>
      <w:r>
        <w:t>.</w:t>
      </w:r>
    </w:p>
    <w:p w14:paraId="28162A58" w14:textId="682D13E2" w:rsidR="00FA7F33" w:rsidRPr="0038626E" w:rsidRDefault="00FA7F33" w:rsidP="00FA7F33">
      <w:r>
        <w:t xml:space="preserve">It is expected that the AWL framework to support deployments in remote areas can be drafted in a way that requires no changes to the </w:t>
      </w:r>
      <w:r w:rsidR="00EF4BDB">
        <w:t>spectrum licensing (</w:t>
      </w:r>
      <w:r>
        <w:t>SL</w:t>
      </w:r>
      <w:r w:rsidR="00EF4BDB">
        <w:t>)</w:t>
      </w:r>
      <w:r>
        <w:t xml:space="preserve"> framework, although some parts of the SL framework will be referenced and intended to apply to AWLs in remote areas. </w:t>
      </w:r>
    </w:p>
    <w:p w14:paraId="75633BFF" w14:textId="4B99A6F9" w:rsidR="00FA7F33" w:rsidRDefault="00FA7F33" w:rsidP="00FA7F33">
      <w:pPr>
        <w:spacing w:after="80"/>
      </w:pPr>
      <w:r>
        <w:t xml:space="preserve">To support AWL deployments in remote areas the following </w:t>
      </w:r>
      <w:r w:rsidR="00834D3A">
        <w:t xml:space="preserve">instruments and </w:t>
      </w:r>
      <w:r>
        <w:t>documents will need to be drafted:</w:t>
      </w:r>
    </w:p>
    <w:p w14:paraId="7B019128" w14:textId="4B65336D" w:rsidR="00FA7F33" w:rsidRDefault="00834D3A" w:rsidP="00FA7F33">
      <w:pPr>
        <w:pStyle w:val="ListParagraph"/>
        <w:numPr>
          <w:ilvl w:val="0"/>
          <w:numId w:val="37"/>
        </w:numPr>
        <w:spacing w:after="80"/>
      </w:pPr>
      <w:r>
        <w:t xml:space="preserve">Amendments to the </w:t>
      </w:r>
      <w:r w:rsidR="00FA7F33">
        <w:t xml:space="preserve">AWL LCD </w:t>
      </w:r>
      <w:r>
        <w:t xml:space="preserve">to </w:t>
      </w:r>
      <w:r w:rsidR="00FA7F33">
        <w:t>include</w:t>
      </w:r>
      <w:r>
        <w:t xml:space="preserve"> conditions for stations operating in</w:t>
      </w:r>
      <w:r w:rsidR="00FA7F33">
        <w:t xml:space="preserve"> the 3400-4000 MHz band.</w:t>
      </w:r>
    </w:p>
    <w:p w14:paraId="062A9E8D" w14:textId="15629C2B" w:rsidR="00FA7F33" w:rsidRDefault="00FA7F33" w:rsidP="00FA7F33">
      <w:pPr>
        <w:pStyle w:val="ListParagraph"/>
        <w:numPr>
          <w:ilvl w:val="0"/>
          <w:numId w:val="37"/>
        </w:numPr>
        <w:spacing w:after="80"/>
      </w:pPr>
      <w:r>
        <w:t>New AWL RALI (MS47) for the 3400-4000 MHz band.</w:t>
      </w:r>
    </w:p>
    <w:p w14:paraId="030DC8DC" w14:textId="29C06E1F" w:rsidR="00D1496C" w:rsidRDefault="00D1496C" w:rsidP="00FA7F33">
      <w:pPr>
        <w:pStyle w:val="ListParagraph"/>
        <w:numPr>
          <w:ilvl w:val="0"/>
          <w:numId w:val="37"/>
        </w:numPr>
        <w:spacing w:after="80"/>
      </w:pPr>
      <w:r>
        <w:t>Consequential changes to RALI FX3, RALI FX19 and the suppression of RALI FX14 and RALI MS39.</w:t>
      </w:r>
    </w:p>
    <w:p w14:paraId="1FF3DB9E" w14:textId="131FA732" w:rsidR="00B24EDC" w:rsidRDefault="00534193" w:rsidP="007F68A0">
      <w:pPr>
        <w:spacing w:after="80"/>
      </w:pPr>
      <w:r>
        <w:t xml:space="preserve">The </w:t>
      </w:r>
      <w:r w:rsidR="00CF1ACB">
        <w:t xml:space="preserve">structure of some documents may need to change to enable the remote allocation process, </w:t>
      </w:r>
      <w:r w:rsidR="00665492">
        <w:t>including temporarily</w:t>
      </w:r>
      <w:r w:rsidR="00CF1ACB">
        <w:t xml:space="preserve"> placing other elements of the 3.4-4 GHz technical framework in RALI MS47</w:t>
      </w:r>
      <w:r w:rsidR="00665492">
        <w:t>,</w:t>
      </w:r>
      <w:r w:rsidR="00CF1ACB">
        <w:t xml:space="preserve"> pending finalisation of the overall technical framework</w:t>
      </w:r>
      <w:r w:rsidR="00B24EDC">
        <w:t>.</w:t>
      </w:r>
      <w:r w:rsidR="009B0541">
        <w:t xml:space="preserve"> </w:t>
      </w:r>
      <w:r w:rsidR="00834D3A">
        <w:t>For example, a</w:t>
      </w:r>
      <w:r w:rsidR="009B0541">
        <w:t>ny relevant clauses in the SL framework that are required to change</w:t>
      </w:r>
      <w:r w:rsidR="00CF1ACB">
        <w:t xml:space="preserve">, and are referenced by draft RALI MS47 or AWL </w:t>
      </w:r>
      <w:r w:rsidR="00111160">
        <w:t>LCD, may</w:t>
      </w:r>
      <w:r w:rsidR="009B0541">
        <w:t xml:space="preserve"> need to be temporarily placed in the AWL RALI MS47. The framework would then be modified in the lead</w:t>
      </w:r>
      <w:r w:rsidR="00834D3A">
        <w:t>-</w:t>
      </w:r>
      <w:r w:rsidR="009B0541">
        <w:t>up to future allocations in other areas</w:t>
      </w:r>
      <w:r w:rsidR="00834D3A">
        <w:t xml:space="preserve"> (following </w:t>
      </w:r>
      <w:r w:rsidR="009B0541">
        <w:t>consultation</w:t>
      </w:r>
      <w:r w:rsidR="00834D3A">
        <w:t>)</w:t>
      </w:r>
      <w:r w:rsidR="009B0541">
        <w:t>.</w:t>
      </w:r>
    </w:p>
    <w:p w14:paraId="2C1133CE" w14:textId="77777777" w:rsidR="00FA7F33" w:rsidRDefault="00FA7F33" w:rsidP="00FA7F33">
      <w:r w:rsidRPr="002902D0">
        <w:t>Pending further legal advice, changes to other instruments may be required to support WBB AWL deployments in remote areas.</w:t>
      </w:r>
    </w:p>
    <w:p w14:paraId="2AFD4299" w14:textId="5AFB3464" w:rsidR="00FA7F33" w:rsidRDefault="00534193" w:rsidP="00FA7F33">
      <w:r>
        <w:t>Note</w:t>
      </w:r>
      <w:r w:rsidR="00FA7F33">
        <w:t xml:space="preserve"> that, in remote areas: </w:t>
      </w:r>
    </w:p>
    <w:p w14:paraId="50F0BC7A" w14:textId="7215B9F1" w:rsidR="00FA7F33" w:rsidRDefault="00FA7F33" w:rsidP="00FA7F33">
      <w:pPr>
        <w:pStyle w:val="ListParagraph"/>
        <w:numPr>
          <w:ilvl w:val="0"/>
          <w:numId w:val="37"/>
        </w:numPr>
        <w:spacing w:after="80"/>
      </w:pPr>
      <w:r>
        <w:t xml:space="preserve">it is proposed that FSS earth stations will continue to be permitted to be licensed </w:t>
      </w:r>
      <w:r w:rsidR="007E3B48">
        <w:t xml:space="preserve">via </w:t>
      </w:r>
      <w:r>
        <w:t xml:space="preserve">earth receive apparatus licences. </w:t>
      </w:r>
    </w:p>
    <w:p w14:paraId="3E7B6671" w14:textId="25FB683E" w:rsidR="00FA7F33" w:rsidRDefault="00FA7F33" w:rsidP="00FA7F33">
      <w:pPr>
        <w:pStyle w:val="ListParagraph"/>
        <w:numPr>
          <w:ilvl w:val="0"/>
          <w:numId w:val="37"/>
        </w:numPr>
        <w:spacing w:after="80"/>
      </w:pPr>
      <w:r>
        <w:t>once AWL arrangements are in place new PMP licences would no longer be supported</w:t>
      </w:r>
      <w:r w:rsidR="008E05A3">
        <w:t xml:space="preserve"> </w:t>
      </w:r>
      <w:r w:rsidR="008E05A3" w:rsidRPr="00EF4BDB">
        <w:t xml:space="preserve">within the </w:t>
      </w:r>
      <w:r w:rsidR="007E3B48" w:rsidRPr="007F68A0">
        <w:t xml:space="preserve">area defined by </w:t>
      </w:r>
      <w:r w:rsidR="008E05A3" w:rsidRPr="00EF4BDB">
        <w:t>Australian Spectrum Map Grid</w:t>
      </w:r>
      <w:r>
        <w:t xml:space="preserve">. </w:t>
      </w:r>
    </w:p>
    <w:p w14:paraId="1F15D9E4" w14:textId="5603E05D" w:rsidR="00FA7F33" w:rsidRDefault="00FA7F33" w:rsidP="00FA7F33">
      <w:pPr>
        <w:pStyle w:val="ListParagraph"/>
        <w:numPr>
          <w:ilvl w:val="0"/>
          <w:numId w:val="37"/>
        </w:numPr>
        <w:spacing w:after="80"/>
      </w:pPr>
      <w:r>
        <w:t>incumbent PMP licences would continue to be protected</w:t>
      </w:r>
      <w:r w:rsidR="00534193">
        <w:t xml:space="preserve">, as described in </w:t>
      </w:r>
      <w:r w:rsidR="00CA62AD">
        <w:t xml:space="preserve">RALI </w:t>
      </w:r>
      <w:r w:rsidR="00534193">
        <w:t>MS47,</w:t>
      </w:r>
      <w:r>
        <w:t xml:space="preserve"> but would be encouraged to move to the AWL licence type.</w:t>
      </w:r>
    </w:p>
    <w:p w14:paraId="2454B554" w14:textId="77777777" w:rsidR="00FA7F33" w:rsidRPr="00E9196E" w:rsidRDefault="00FA7F33" w:rsidP="00FA7F33">
      <w:pPr>
        <w:spacing w:after="80"/>
        <w:rPr>
          <w:b/>
          <w:bCs/>
        </w:rPr>
      </w:pPr>
      <w:bookmarkStart w:id="13" w:name="_Hlk90281873"/>
      <w:r w:rsidRPr="00E9196E">
        <w:rPr>
          <w:b/>
          <w:bCs/>
        </w:rPr>
        <w:t>Request for feedback</w:t>
      </w:r>
    </w:p>
    <w:p w14:paraId="60BD2584" w14:textId="38295DF6" w:rsidR="00FA7F33" w:rsidRDefault="00FA7F33" w:rsidP="00FA7F33">
      <w:pPr>
        <w:spacing w:after="80"/>
      </w:pPr>
      <w:r>
        <w:t xml:space="preserve">TLG members </w:t>
      </w:r>
      <w:r w:rsidR="00765025">
        <w:t xml:space="preserve">were </w:t>
      </w:r>
      <w:r>
        <w:t>encouraged to focus their attention o</w:t>
      </w:r>
      <w:r w:rsidR="007E3B48">
        <w:t>n</w:t>
      </w:r>
      <w:r>
        <w:t xml:space="preserve"> the above issues that are essential for the development of remote area arrangements</w:t>
      </w:r>
      <w:r w:rsidR="00765025">
        <w:t>.</w:t>
      </w:r>
    </w:p>
    <w:p w14:paraId="7B2B1C45" w14:textId="61AE47EC" w:rsidR="00683243" w:rsidRDefault="00683243" w:rsidP="00FA7F33">
      <w:pPr>
        <w:spacing w:after="80"/>
      </w:pPr>
      <w:r>
        <w:t xml:space="preserve">Telstra </w:t>
      </w:r>
      <w:r w:rsidR="009A148E">
        <w:t xml:space="preserve">noted the </w:t>
      </w:r>
      <w:r>
        <w:t xml:space="preserve">risk </w:t>
      </w:r>
      <w:r w:rsidR="00316FA2">
        <w:t xml:space="preserve">of </w:t>
      </w:r>
      <w:r>
        <w:t xml:space="preserve">prioritising the technical framework for remote areas </w:t>
      </w:r>
      <w:r w:rsidR="00316FA2">
        <w:t xml:space="preserve">at the expense of addressing </w:t>
      </w:r>
      <w:r>
        <w:t>issues in other areas</w:t>
      </w:r>
      <w:r w:rsidR="00316FA2">
        <w:t>. Telstra</w:t>
      </w:r>
      <w:r>
        <w:t xml:space="preserve"> </w:t>
      </w:r>
      <w:r w:rsidR="0095749A" w:rsidRPr="0095749A">
        <w:t>questioned</w:t>
      </w:r>
      <w:r>
        <w:t xml:space="preserve"> the priority </w:t>
      </w:r>
      <w:r w:rsidR="0095749A" w:rsidRPr="0095749A">
        <w:t xml:space="preserve">given to development of arrangements </w:t>
      </w:r>
      <w:r>
        <w:t>for remote areas.</w:t>
      </w:r>
      <w:r w:rsidR="001B6826">
        <w:t xml:space="preserve"> Given the strong interest in accessing the band for WBB, the ACMA wants to commence making it available as soon as </w:t>
      </w:r>
      <w:r w:rsidR="00E943C4">
        <w:t>practicable</w:t>
      </w:r>
      <w:r w:rsidR="00EA7438">
        <w:t>, with the remote areas first as they are expected to be the least complicated to allocate.</w:t>
      </w:r>
    </w:p>
    <w:p w14:paraId="5355162A" w14:textId="77777777" w:rsidR="00FA7F33" w:rsidRPr="007D04B2" w:rsidRDefault="00FA7F33" w:rsidP="00FA7F33">
      <w:pPr>
        <w:pStyle w:val="Heading1"/>
      </w:pPr>
      <w:bookmarkStart w:id="14" w:name="_Toc56006327"/>
      <w:bookmarkStart w:id="15" w:name="_Toc57809584"/>
      <w:bookmarkStart w:id="16" w:name="_Toc94603246"/>
      <w:bookmarkEnd w:id="13"/>
      <w:r w:rsidRPr="007D04B2">
        <w:lastRenderedPageBreak/>
        <w:t>Outline</w:t>
      </w:r>
      <w:bookmarkEnd w:id="14"/>
      <w:bookmarkEnd w:id="15"/>
      <w:r>
        <w:t xml:space="preserve"> of paper</w:t>
      </w:r>
      <w:bookmarkEnd w:id="16"/>
    </w:p>
    <w:p w14:paraId="0240219A" w14:textId="35842A76" w:rsidR="00FA7F33" w:rsidRPr="007D04B2" w:rsidRDefault="00FA7F33" w:rsidP="00FA7F33">
      <w:pPr>
        <w:spacing w:after="0" w:line="240" w:lineRule="auto"/>
      </w:pPr>
      <w:r w:rsidRPr="007D04B2">
        <w:t>This paper has been divided into discussion o</w:t>
      </w:r>
      <w:r>
        <w:t>n the following issues</w:t>
      </w:r>
      <w:r w:rsidR="00546EE5">
        <w:t>:</w:t>
      </w:r>
    </w:p>
    <w:p w14:paraId="6428923A" w14:textId="77777777" w:rsidR="00546EE5" w:rsidRPr="007D04B2" w:rsidRDefault="00546EE5" w:rsidP="00FA7F33">
      <w:pPr>
        <w:spacing w:after="0" w:line="240" w:lineRule="auto"/>
      </w:pPr>
    </w:p>
    <w:p w14:paraId="67C87F83" w14:textId="3BD7FF40" w:rsidR="0068630E" w:rsidRDefault="0068630E" w:rsidP="00FA7F33">
      <w:pPr>
        <w:pStyle w:val="ListBullet"/>
        <w:rPr>
          <w:rFonts w:cs="Arial"/>
        </w:rPr>
      </w:pPr>
      <w:r>
        <w:rPr>
          <w:rFonts w:cs="Arial"/>
        </w:rPr>
        <w:t xml:space="preserve">Miscellaneous issues and those out of the formal scope of the TLG. </w:t>
      </w:r>
    </w:p>
    <w:p w14:paraId="7155CA56" w14:textId="1DAF43CB" w:rsidR="00FA7F33" w:rsidRPr="00B1548D" w:rsidRDefault="00FA7F33" w:rsidP="00FA7F33">
      <w:pPr>
        <w:pStyle w:val="ListBullet"/>
        <w:rPr>
          <w:rFonts w:cs="Arial"/>
        </w:rPr>
      </w:pPr>
      <w:r>
        <w:rPr>
          <w:rFonts w:cs="Arial"/>
        </w:rPr>
        <w:t>Point to point service arrangements.</w:t>
      </w:r>
    </w:p>
    <w:p w14:paraId="03404AB2" w14:textId="77777777" w:rsidR="00FA7F33" w:rsidRPr="00B1548D" w:rsidRDefault="00FA7F33" w:rsidP="00FA7F33">
      <w:pPr>
        <w:pStyle w:val="ListBullet"/>
        <w:rPr>
          <w:rFonts w:cs="Arial"/>
        </w:rPr>
      </w:pPr>
      <w:r>
        <w:rPr>
          <w:rFonts w:cs="Arial"/>
        </w:rPr>
        <w:t xml:space="preserve">Coexistence between WBB and </w:t>
      </w:r>
      <w:r>
        <w:t>aeronautical radionavigation services.</w:t>
      </w:r>
    </w:p>
    <w:p w14:paraId="547E4609" w14:textId="77777777" w:rsidR="00FA7F33" w:rsidRDefault="00FA7F33" w:rsidP="00FA7F33">
      <w:pPr>
        <w:pStyle w:val="ListBullet"/>
        <w:rPr>
          <w:rFonts w:cs="Arial"/>
        </w:rPr>
      </w:pPr>
      <w:r>
        <w:rPr>
          <w:rFonts w:cs="Arial"/>
        </w:rPr>
        <w:t>Area wide licensing framework/s.</w:t>
      </w:r>
    </w:p>
    <w:p w14:paraId="0B51AA08" w14:textId="2A5DC11E" w:rsidR="00FA7F33" w:rsidRPr="00B04B10" w:rsidRDefault="00FA7F33" w:rsidP="00FA7F33">
      <w:pPr>
        <w:pStyle w:val="ListBullet"/>
        <w:rPr>
          <w:rFonts w:cs="Arial"/>
        </w:rPr>
      </w:pPr>
      <w:r>
        <w:rPr>
          <w:rFonts w:cs="Arial"/>
        </w:rPr>
        <w:t>Extended 3.4 GHz band spectrum licen</w:t>
      </w:r>
      <w:r w:rsidR="00656A45">
        <w:rPr>
          <w:rFonts w:cs="Arial"/>
        </w:rPr>
        <w:t>sing</w:t>
      </w:r>
      <w:r>
        <w:rPr>
          <w:rFonts w:cs="Arial"/>
        </w:rPr>
        <w:t xml:space="preserve"> technical framework.</w:t>
      </w:r>
    </w:p>
    <w:p w14:paraId="56F4A875" w14:textId="77777777" w:rsidR="00FA7F33" w:rsidRPr="00CC3444" w:rsidRDefault="00FA7F33" w:rsidP="00FA7F33">
      <w:pPr>
        <w:pStyle w:val="sub-heading"/>
        <w:rPr>
          <w:strike/>
        </w:rPr>
      </w:pPr>
      <w:bookmarkStart w:id="17" w:name="_Toc94603247"/>
      <w:r w:rsidRPr="00CC3444">
        <w:rPr>
          <w:strike/>
        </w:rPr>
        <w:t>Timeline</w:t>
      </w:r>
      <w:bookmarkEnd w:id="11"/>
      <w:bookmarkEnd w:id="17"/>
    </w:p>
    <w:p w14:paraId="0C40E1D7" w14:textId="77777777" w:rsidR="00FA7F33" w:rsidRPr="00702EA1" w:rsidRDefault="00FA7F33" w:rsidP="00FA7F33">
      <w:pPr>
        <w:pStyle w:val="Heading1"/>
      </w:pPr>
      <w:bookmarkStart w:id="18" w:name="_Toc94603248"/>
      <w:r>
        <w:lastRenderedPageBreak/>
        <w:t>Miscellaneous issues</w:t>
      </w:r>
      <w:bookmarkEnd w:id="18"/>
    </w:p>
    <w:p w14:paraId="3024B1B9" w14:textId="77777777" w:rsidR="00FA7F33" w:rsidRDefault="00FA7F33" w:rsidP="00FA7F33">
      <w:pPr>
        <w:pStyle w:val="sub-heading"/>
      </w:pPr>
      <w:bookmarkStart w:id="19" w:name="_Toc94603249"/>
      <w:r>
        <w:t>Purpose</w:t>
      </w:r>
      <w:bookmarkEnd w:id="19"/>
    </w:p>
    <w:p w14:paraId="0AC2DE07" w14:textId="752CB394" w:rsidR="00FA7F33" w:rsidRDefault="00FA7F33" w:rsidP="00FA7F33">
      <w:pPr>
        <w:spacing w:after="80"/>
      </w:pPr>
      <w:r>
        <w:rPr>
          <w:rFonts w:cs="Arial"/>
        </w:rPr>
        <w:t xml:space="preserve">This section </w:t>
      </w:r>
      <w:r w:rsidR="008A5170">
        <w:rPr>
          <w:rFonts w:cs="Arial"/>
        </w:rPr>
        <w:t xml:space="preserve">was </w:t>
      </w:r>
      <w:r>
        <w:rPr>
          <w:rFonts w:cs="Arial"/>
        </w:rPr>
        <w:t xml:space="preserve">introduced to discuss issues and views that are </w:t>
      </w:r>
      <w:r w:rsidR="00E768B6">
        <w:rPr>
          <w:rFonts w:cs="Arial"/>
        </w:rPr>
        <w:t xml:space="preserve">either </w:t>
      </w:r>
      <w:r>
        <w:rPr>
          <w:rFonts w:cs="Arial"/>
        </w:rPr>
        <w:t xml:space="preserve">outside of the main TLG scope or that span multiple </w:t>
      </w:r>
      <w:r w:rsidR="00027536">
        <w:rPr>
          <w:rFonts w:cs="Arial"/>
        </w:rPr>
        <w:t xml:space="preserve">elements </w:t>
      </w:r>
      <w:r>
        <w:rPr>
          <w:rFonts w:cs="Arial"/>
        </w:rPr>
        <w:t>of the scope.</w:t>
      </w:r>
      <w:r w:rsidRPr="00BF17A4">
        <w:t xml:space="preserve"> </w:t>
      </w:r>
    </w:p>
    <w:p w14:paraId="70CC6185" w14:textId="77777777" w:rsidR="00FA7F33" w:rsidRDefault="00FA7F33" w:rsidP="00FA7F33">
      <w:pPr>
        <w:pStyle w:val="sub-heading"/>
      </w:pPr>
      <w:bookmarkStart w:id="20" w:name="_Toc94603250"/>
      <w:r>
        <w:t>Possible definitions of metro and major regional areas for AWLs (not essential for remote)</w:t>
      </w:r>
      <w:bookmarkEnd w:id="20"/>
    </w:p>
    <w:p w14:paraId="6BC6273F" w14:textId="77777777" w:rsidR="00FA7F33" w:rsidRDefault="00FA7F33" w:rsidP="00FA7F33">
      <w:r>
        <w:t>The intent of question 3 in the TLG paper version 1 was to get feedback to assist with the following other aspects of the wider project:</w:t>
      </w:r>
    </w:p>
    <w:p w14:paraId="2BDC8683" w14:textId="77777777" w:rsidR="00FA7F33" w:rsidRDefault="00FA7F33" w:rsidP="00FA7F33">
      <w:pPr>
        <w:pStyle w:val="ListParagraph"/>
        <w:numPr>
          <w:ilvl w:val="0"/>
          <w:numId w:val="34"/>
        </w:numPr>
      </w:pPr>
      <w:r>
        <w:t>Potentially identify regional areas where demand and desired density for WBB and other services under an AWL framework are significantly higher than other areas.</w:t>
      </w:r>
    </w:p>
    <w:p w14:paraId="46211559" w14:textId="05B5C057" w:rsidR="00FA7F33" w:rsidRDefault="00FA7F33" w:rsidP="00FA7F33">
      <w:pPr>
        <w:pStyle w:val="ListParagraph"/>
        <w:numPr>
          <w:ilvl w:val="0"/>
          <w:numId w:val="34"/>
        </w:numPr>
      </w:pPr>
      <w:r>
        <w:t xml:space="preserve">Identify major regional and metro areas where new PTP and FSS </w:t>
      </w:r>
      <w:r w:rsidR="00121A12">
        <w:t>receive (</w:t>
      </w:r>
      <w:r>
        <w:t>rx</w:t>
      </w:r>
      <w:r w:rsidR="00121A12">
        <w:t>)</w:t>
      </w:r>
      <w:r>
        <w:t xml:space="preserve"> services would not be allocated.</w:t>
      </w:r>
    </w:p>
    <w:p w14:paraId="7E3CD54A" w14:textId="77777777" w:rsidR="00FA7F33" w:rsidRDefault="00FA7F33" w:rsidP="00FA7F33">
      <w:pPr>
        <w:pStyle w:val="ListParagraph"/>
        <w:numPr>
          <w:ilvl w:val="0"/>
          <w:numId w:val="34"/>
        </w:numPr>
      </w:pPr>
      <w:r>
        <w:t>Areas of higher WBB demand and density may lead to the ACMA considering different allocation methods for AWL in these areas, compared with remote and “other regional” areas.</w:t>
      </w:r>
    </w:p>
    <w:p w14:paraId="7ECF6F8A" w14:textId="3926CB09" w:rsidR="00FA7F33" w:rsidRDefault="00FA7F33" w:rsidP="00FA7F33">
      <w:pPr>
        <w:pStyle w:val="ListParagraph"/>
        <w:numPr>
          <w:ilvl w:val="0"/>
          <w:numId w:val="34"/>
        </w:numPr>
      </w:pPr>
      <w:r>
        <w:t xml:space="preserve">The intent would be that the same relevant geographic definition would be used for allocation of new possible AWL and SL spectrum segments across 3700-4000 </w:t>
      </w:r>
      <w:r w:rsidR="00121A12">
        <w:t>MHz, as much as is practicable</w:t>
      </w:r>
      <w:r>
        <w:t>. Because of legacy arrangements, there are a variety of regional definitions in the 3400-3700 MHz range.</w:t>
      </w:r>
    </w:p>
    <w:p w14:paraId="76F7047B" w14:textId="606018FA" w:rsidR="00FA7F33" w:rsidRDefault="00FA7F33" w:rsidP="00FA7F33">
      <w:r>
        <w:t xml:space="preserve">ACMA </w:t>
      </w:r>
      <w:r w:rsidR="003E3EF6">
        <w:t xml:space="preserve">staff </w:t>
      </w:r>
      <w:r w:rsidR="00F67EEA">
        <w:t>initially put</w:t>
      </w:r>
      <w:r w:rsidR="00855D98">
        <w:t xml:space="preserve"> forward</w:t>
      </w:r>
      <w:r w:rsidR="00F67EEA">
        <w:t xml:space="preserve"> a view</w:t>
      </w:r>
      <w:r>
        <w:t xml:space="preserve"> to </w:t>
      </w:r>
      <w:r w:rsidR="00855D98">
        <w:t xml:space="preserve">consider </w:t>
      </w:r>
      <w:r>
        <w:t>us</w:t>
      </w:r>
      <w:r w:rsidR="00855D98">
        <w:t>ing</w:t>
      </w:r>
      <w:r>
        <w:t xml:space="preserve"> Table 15 of </w:t>
      </w:r>
      <w:hyperlink r:id="rId35" w:history="1">
        <w:r w:rsidRPr="00B264C4">
          <w:rPr>
            <w:rStyle w:val="Hyperlink"/>
          </w:rPr>
          <w:t>RALI SM26</w:t>
        </w:r>
      </w:hyperlink>
      <w:r>
        <w:t xml:space="preserve">, to describe the possible metro and major regional areas for possible new AWL </w:t>
      </w:r>
      <w:r w:rsidR="00F67EEA">
        <w:t xml:space="preserve">(and, incorrectly, SL) </w:t>
      </w:r>
      <w:r>
        <w:t xml:space="preserve">allocations across 3400-4000 MHz </w:t>
      </w:r>
      <w:r w:rsidR="003E3EF6">
        <w:t>.</w:t>
      </w:r>
    </w:p>
    <w:p w14:paraId="40ED1587" w14:textId="0E74C39B" w:rsidR="00CF4CE6" w:rsidRDefault="00CF4CE6" w:rsidP="00FA7F33">
      <w:r>
        <w:t xml:space="preserve">As indicated, this proposal was incorrect and was highlighted by members who were concerned by the potential for more fragmentation across the 3400-4000 MHz range. The proposal has not changed since the outcomes paper in that any spectrum to be proposed for spectrum licensing in the 3700-3800 MHz range should use the 3.6 GHz </w:t>
      </w:r>
      <w:r w:rsidR="00B94B06">
        <w:t xml:space="preserve">band </w:t>
      </w:r>
      <w:r>
        <w:t>process definitions of metro and regional areas.</w:t>
      </w:r>
    </w:p>
    <w:p w14:paraId="7D73CC8E" w14:textId="61AB243B" w:rsidR="00FA7F33" w:rsidRDefault="00FA7F33" w:rsidP="00FA7F33">
      <w:pPr>
        <w:pStyle w:val="Paragraph"/>
        <w:spacing w:after="0"/>
      </w:pPr>
      <w:r>
        <w:t xml:space="preserve">Embedded below are Google Earth files that indicatively show more detail around the possible spectrum spaces under the original ACMA </w:t>
      </w:r>
      <w:r w:rsidR="00855D98">
        <w:t>staff idea</w:t>
      </w:r>
      <w:r>
        <w:t>.</w:t>
      </w:r>
    </w:p>
    <w:p w14:paraId="5E7B56C0" w14:textId="77777777" w:rsidR="00FA7F33" w:rsidRDefault="00FA7F33" w:rsidP="00FA7F33">
      <w:pPr>
        <w:pStyle w:val="Paragraph"/>
        <w:spacing w:after="0"/>
      </w:pPr>
    </w:p>
    <w:p w14:paraId="3CBBE4A2" w14:textId="77777777" w:rsidR="00FA7F33" w:rsidRPr="00197A32" w:rsidRDefault="00FA7F33" w:rsidP="00FA7F33">
      <w:pPr>
        <w:pStyle w:val="Paragraph"/>
        <w:spacing w:after="0"/>
      </w:pPr>
      <w:r>
        <w:object w:dxaOrig="1488" w:dyaOrig="991" w14:anchorId="370346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50.25pt" o:ole="">
            <v:imagedata r:id="rId36" o:title=""/>
          </v:shape>
          <o:OLEObject Type="Embed" ProgID="Package" ShapeID="_x0000_i1025" DrawAspect="Icon" ObjectID="_1707728888" r:id="rId37"/>
        </w:object>
      </w:r>
      <w:r>
        <w:tab/>
      </w:r>
      <w:r>
        <w:tab/>
      </w:r>
      <w:r>
        <w:tab/>
      </w:r>
      <w:r>
        <w:object w:dxaOrig="1488" w:dyaOrig="991" w14:anchorId="13A7BCC3">
          <v:shape id="_x0000_i1026" type="#_x0000_t75" style="width:1in;height:50.25pt" o:ole="">
            <v:imagedata r:id="rId38" o:title=""/>
          </v:shape>
          <o:OLEObject Type="Embed" ProgID="Package" ShapeID="_x0000_i1026" DrawAspect="Icon" ObjectID="_1707728889" r:id="rId39"/>
        </w:object>
      </w:r>
    </w:p>
    <w:p w14:paraId="0F3EEF60" w14:textId="77777777" w:rsidR="00FA7F33" w:rsidRDefault="00FA7F33" w:rsidP="00FA7F33"/>
    <w:p w14:paraId="7C71E527" w14:textId="63DD9993" w:rsidR="00FA7F33" w:rsidRDefault="00E768B6" w:rsidP="00FA7F33">
      <w:r>
        <w:t xml:space="preserve">In its </w:t>
      </w:r>
      <w:r w:rsidR="00C86053">
        <w:t xml:space="preserve">response to </w:t>
      </w:r>
      <w:r w:rsidR="00F67EEA">
        <w:t>the initial ACMA staff view</w:t>
      </w:r>
      <w:r>
        <w:t>, AMTA</w:t>
      </w:r>
      <w:r w:rsidR="00C86053">
        <w:t xml:space="preserve"> </w:t>
      </w:r>
      <w:r w:rsidR="00FA7F33">
        <w:t xml:space="preserve">supported the use of Table 15 from </w:t>
      </w:r>
      <w:hyperlink r:id="rId40" w:history="1">
        <w:r w:rsidR="00FA7F33" w:rsidRPr="00E260D7">
          <w:rPr>
            <w:rStyle w:val="Hyperlink"/>
          </w:rPr>
          <w:t>RALI SM26</w:t>
        </w:r>
      </w:hyperlink>
      <w:r w:rsidR="00FA7F33">
        <w:t xml:space="preserve"> as a starting point but also </w:t>
      </w:r>
      <w:r>
        <w:t xml:space="preserve">supported </w:t>
      </w:r>
      <w:r w:rsidR="00FA7F33">
        <w:t>includ</w:t>
      </w:r>
      <w:r>
        <w:t>ing</w:t>
      </w:r>
      <w:r w:rsidR="00FA7F33">
        <w:t xml:space="preserve"> areas described in Table 23 of </w:t>
      </w:r>
      <w:hyperlink r:id="rId41" w:history="1">
        <w:r w:rsidR="00FA7F33" w:rsidRPr="00233182">
          <w:rPr>
            <w:rStyle w:val="Hyperlink"/>
          </w:rPr>
          <w:t>RALI SM26,</w:t>
        </w:r>
      </w:hyperlink>
      <w:r w:rsidR="00FA7F33">
        <w:t xml:space="preserve"> Optus proposed using Table 23 as a starting point.  Both requested any definition based on Table 23 be expanded to consider the propagation differences between the 3400-4000 MHz band and the 26 GHz band </w:t>
      </w:r>
      <w:r w:rsidR="0021590E">
        <w:t xml:space="preserve">for </w:t>
      </w:r>
      <w:r w:rsidR="00B94B06">
        <w:t xml:space="preserve">which </w:t>
      </w:r>
      <w:r w:rsidR="00FA7F33">
        <w:t>Table 23 was developed</w:t>
      </w:r>
      <w:r w:rsidR="0021590E">
        <w:t xml:space="preserve">. This should </w:t>
      </w:r>
      <w:r w:rsidR="00FA7F33">
        <w:t>includ</w:t>
      </w:r>
      <w:r w:rsidR="0021590E">
        <w:t>e</w:t>
      </w:r>
      <w:r w:rsidR="00FA7F33">
        <w:t xml:space="preserve"> consideration that the areas be large enough so that any proposed </w:t>
      </w:r>
      <w:r w:rsidR="00B94B06">
        <w:t>s</w:t>
      </w:r>
      <w:r w:rsidR="00FA7F33">
        <w:t xml:space="preserve">.145 device boundary criteria can be reasonable. Note that both tables also encompass existing metro areas. AMTA noted that, as a </w:t>
      </w:r>
      <w:r w:rsidR="0021590E">
        <w:t xml:space="preserve">RALI </w:t>
      </w:r>
      <w:r w:rsidR="00FA7F33">
        <w:t xml:space="preserve">SM26 based </w:t>
      </w:r>
      <w:r w:rsidR="00FA7F33">
        <w:lastRenderedPageBreak/>
        <w:t>definition may affect some PTP services, that they could consider the omission of Armidale, Mildura and Shepparton from the “Major Regional” definition.</w:t>
      </w:r>
    </w:p>
    <w:p w14:paraId="3870FA9C" w14:textId="77777777" w:rsidR="00FA7F33" w:rsidRDefault="00FA7F33" w:rsidP="00FA7F33"/>
    <w:p w14:paraId="614B0CCF" w14:textId="77777777" w:rsidR="00FA7F33" w:rsidRDefault="00FA7F33" w:rsidP="00FA7F33">
      <w:pPr>
        <w:pStyle w:val="Caption"/>
        <w:keepNext/>
        <w:numPr>
          <w:ilvl w:val="0"/>
          <w:numId w:val="0"/>
        </w:numPr>
        <w:ind w:left="964" w:hanging="964"/>
      </w:pPr>
      <w:r>
        <w:t xml:space="preserve">Figure </w:t>
      </w:r>
      <w:fldSimple w:instr=" SEQ Figure \* ARABIC ">
        <w:r>
          <w:rPr>
            <w:noProof/>
          </w:rPr>
          <w:t>1</w:t>
        </w:r>
      </w:fldSimple>
      <w:r>
        <w:t>: Table 15 from RALI SM26</w:t>
      </w:r>
    </w:p>
    <w:p w14:paraId="17374EBF" w14:textId="77777777" w:rsidR="00FA7F33" w:rsidRDefault="00FA7F33" w:rsidP="00FA7F33">
      <w:r>
        <w:rPr>
          <w:noProof/>
        </w:rPr>
        <w:drawing>
          <wp:inline distT="0" distB="0" distL="0" distR="0" wp14:anchorId="3053CAE1" wp14:editId="199AF3E1">
            <wp:extent cx="4514468" cy="3914775"/>
            <wp:effectExtent l="0" t="0" r="635" b="0"/>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a:blip r:embed="rId42"/>
                    <a:stretch>
                      <a:fillRect/>
                    </a:stretch>
                  </pic:blipFill>
                  <pic:spPr>
                    <a:xfrm>
                      <a:off x="0" y="0"/>
                      <a:ext cx="4516986" cy="3916959"/>
                    </a:xfrm>
                    <a:prstGeom prst="rect">
                      <a:avLst/>
                    </a:prstGeom>
                  </pic:spPr>
                </pic:pic>
              </a:graphicData>
            </a:graphic>
          </wp:inline>
        </w:drawing>
      </w:r>
    </w:p>
    <w:p w14:paraId="3FD4BE4B" w14:textId="77777777" w:rsidR="00FA7F33" w:rsidRDefault="00FA7F33" w:rsidP="00FA7F33">
      <w:pPr>
        <w:pStyle w:val="Caption"/>
        <w:keepNext/>
        <w:numPr>
          <w:ilvl w:val="0"/>
          <w:numId w:val="0"/>
        </w:numPr>
        <w:ind w:left="964" w:hanging="964"/>
      </w:pPr>
      <w:r>
        <w:lastRenderedPageBreak/>
        <w:t xml:space="preserve">Figure </w:t>
      </w:r>
      <w:fldSimple w:instr=" SEQ Figure \* ARABIC ">
        <w:r>
          <w:rPr>
            <w:noProof/>
          </w:rPr>
          <w:t>2</w:t>
        </w:r>
      </w:fldSimple>
      <w:r>
        <w:t>: Table 23 from RALI SM26</w:t>
      </w:r>
    </w:p>
    <w:p w14:paraId="5F9512F8" w14:textId="77777777" w:rsidR="00FA7F33" w:rsidRDefault="00FA7F33" w:rsidP="00FA7F33">
      <w:r>
        <w:rPr>
          <w:noProof/>
        </w:rPr>
        <w:drawing>
          <wp:inline distT="0" distB="0" distL="0" distR="0" wp14:anchorId="688AC5EB" wp14:editId="2ED7B7A4">
            <wp:extent cx="4524950" cy="3876675"/>
            <wp:effectExtent l="0" t="0" r="9525" b="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a:blip r:embed="rId43"/>
                    <a:stretch>
                      <a:fillRect/>
                    </a:stretch>
                  </pic:blipFill>
                  <pic:spPr>
                    <a:xfrm>
                      <a:off x="0" y="0"/>
                      <a:ext cx="4530102" cy="3881089"/>
                    </a:xfrm>
                    <a:prstGeom prst="rect">
                      <a:avLst/>
                    </a:prstGeom>
                  </pic:spPr>
                </pic:pic>
              </a:graphicData>
            </a:graphic>
          </wp:inline>
        </w:drawing>
      </w:r>
    </w:p>
    <w:p w14:paraId="7505981F" w14:textId="77777777" w:rsidR="00FA7F33" w:rsidRDefault="00FA7F33" w:rsidP="00FA7F33"/>
    <w:p w14:paraId="72A9C9E8" w14:textId="2ED75C92" w:rsidR="00FA7F33" w:rsidRDefault="00FA7F33" w:rsidP="00FA7F33">
      <w:r>
        <w:t xml:space="preserve">AMTA </w:t>
      </w:r>
      <w:r w:rsidR="00156C96">
        <w:t xml:space="preserve">sought </w:t>
      </w:r>
      <w:r>
        <w:t>more information about the exact purpose of having such definitions. The intent of this section is to provide some clarity</w:t>
      </w:r>
      <w:r w:rsidR="00156C96">
        <w:t xml:space="preserve"> regarding the purpose of the definitions</w:t>
      </w:r>
      <w:r>
        <w:t xml:space="preserve">. The ACMA will </w:t>
      </w:r>
      <w:r w:rsidR="00156C96">
        <w:t xml:space="preserve">also </w:t>
      </w:r>
      <w:r>
        <w:t xml:space="preserve">use the feedback </w:t>
      </w:r>
      <w:r w:rsidR="00B34A61">
        <w:t xml:space="preserve">provided </w:t>
      </w:r>
      <w:r>
        <w:t xml:space="preserve">in </w:t>
      </w:r>
      <w:r w:rsidR="00B34A61">
        <w:t xml:space="preserve">consultation processes associated with </w:t>
      </w:r>
      <w:r>
        <w:t>future phases of the allocation project in the band</w:t>
      </w:r>
      <w:r w:rsidR="00A16E1C">
        <w:t xml:space="preserve"> when considering the definitions of geographic areas</w:t>
      </w:r>
      <w:r>
        <w:t>.</w:t>
      </w:r>
    </w:p>
    <w:p w14:paraId="76B3B1CE" w14:textId="77777777" w:rsidR="00FA7F33" w:rsidRDefault="00FA7F33" w:rsidP="00FA7F33">
      <w:r>
        <w:t xml:space="preserve">AMTA also noted that the circulated KMLs, also above, did not include any proposed allocation of the small segment 3540 MHz to 3542.5 MHz (see definition of “Areas 265 MHz available” in the “possible AWL areas in 3400-4000 MHz” KML. This segment could be proposed for allocation by AWL or SL. </w:t>
      </w:r>
    </w:p>
    <w:p w14:paraId="66B914A9" w14:textId="1707150C" w:rsidR="00FA7F33" w:rsidRDefault="00FA7F33" w:rsidP="007F68A0">
      <w:pPr>
        <w:pStyle w:val="question"/>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pPr>
      <w:r>
        <w:t xml:space="preserve">Views </w:t>
      </w:r>
      <w:r w:rsidR="008C5726">
        <w:t xml:space="preserve">were </w:t>
      </w:r>
      <w:r>
        <w:t>sought on use of the 3540-3542.5 MHz segment or other minor adjustments to AWL/SL boundaries (low priority)</w:t>
      </w:r>
      <w:r w:rsidR="002C5561">
        <w:t>.</w:t>
      </w:r>
    </w:p>
    <w:p w14:paraId="31196D01" w14:textId="77777777" w:rsidR="008C5726" w:rsidRDefault="008C5726" w:rsidP="007F68A0">
      <w:pPr>
        <w:pStyle w:val="question"/>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ind w:left="284"/>
      </w:pPr>
    </w:p>
    <w:p w14:paraId="655A75BA" w14:textId="138EBE8F" w:rsidR="00FA7F33" w:rsidRDefault="008C5726" w:rsidP="007F68A0">
      <w:pPr>
        <w:pStyle w:val="question"/>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pPr>
      <w:r>
        <w:t>F</w:t>
      </w:r>
      <w:r w:rsidR="00FA7F33">
        <w:t xml:space="preserve">urther views </w:t>
      </w:r>
      <w:r>
        <w:t xml:space="preserve">were </w:t>
      </w:r>
      <w:r w:rsidR="00FA7F33">
        <w:t>sought on overall geographic area definitions (low priority)</w:t>
      </w:r>
    </w:p>
    <w:p w14:paraId="0CE43043" w14:textId="740A8595" w:rsidR="008C5726" w:rsidRPr="002C39F1" w:rsidRDefault="008C5726" w:rsidP="008C5726">
      <w:r>
        <w:t xml:space="preserve">Satellite </w:t>
      </w:r>
      <w:r w:rsidR="0021590E">
        <w:t xml:space="preserve">industry </w:t>
      </w:r>
      <w:r>
        <w:t>members were concerned about whether the remote area definition would affect sea area use (such as resource exploration platforms) by FSS services. Noting that licensing arrangements do not change for FSS services</w:t>
      </w:r>
      <w:r w:rsidR="00CF4CE6">
        <w:t xml:space="preserve"> in these areas</w:t>
      </w:r>
      <w:r>
        <w:t>, they can continue to be licen</w:t>
      </w:r>
      <w:r w:rsidR="0021590E">
        <w:t>s</w:t>
      </w:r>
      <w:r>
        <w:t xml:space="preserve">ed as FSS rx. However, for AWL (WBB) in remote areas, where the current proposal is to define licences by HCIS area, this </w:t>
      </w:r>
      <w:r w:rsidR="002C5561" w:rsidRPr="00033A2F">
        <w:t>does have</w:t>
      </w:r>
      <w:r>
        <w:t xml:space="preserve"> implications in sea areas.  The Australian Spectrum Map Grid, which defines the HCIS structure, only </w:t>
      </w:r>
      <w:r w:rsidR="00407C46">
        <w:t xml:space="preserve">covers </w:t>
      </w:r>
      <w:r>
        <w:t>a relatively short distance from the Australian coastline.  At this stage</w:t>
      </w:r>
      <w:r w:rsidR="002A2AA5">
        <w:t>,</w:t>
      </w:r>
      <w:r>
        <w:t xml:space="preserve"> the ACMA </w:t>
      </w:r>
      <w:r w:rsidR="002A2AA5">
        <w:t>staff view is that</w:t>
      </w:r>
      <w:r>
        <w:t xml:space="preserve"> WBB </w:t>
      </w:r>
      <w:r w:rsidR="00FC3DB0">
        <w:t xml:space="preserve">services </w:t>
      </w:r>
      <w:r>
        <w:t xml:space="preserve">outside of the ASMG be </w:t>
      </w:r>
      <w:r w:rsidR="00FC3DB0">
        <w:t xml:space="preserve">licensed </w:t>
      </w:r>
      <w:r w:rsidR="0012279B">
        <w:t xml:space="preserve">as </w:t>
      </w:r>
      <w:r w:rsidR="00450187">
        <w:lastRenderedPageBreak/>
        <w:t>site-based</w:t>
      </w:r>
      <w:r w:rsidR="0012279B">
        <w:t xml:space="preserve"> </w:t>
      </w:r>
      <w:r w:rsidR="00033A2F">
        <w:t>point-to-multipoint</w:t>
      </w:r>
      <w:r w:rsidR="008D3D45">
        <w:t xml:space="preserve"> services</w:t>
      </w:r>
      <w:r w:rsidR="009B2577">
        <w:rPr>
          <w:rStyle w:val="FootnoteReference"/>
        </w:rPr>
        <w:footnoteReference w:id="8"/>
      </w:r>
      <w:r w:rsidR="002A2AA5">
        <w:t xml:space="preserve"> </w:t>
      </w:r>
      <w:r w:rsidR="00033A2F">
        <w:t>on an exemptional basis</w:t>
      </w:r>
      <w:r w:rsidR="00B769C7">
        <w:t>.</w:t>
      </w:r>
      <w:r w:rsidR="00FC3DB0" w:rsidDel="00FC3DB0">
        <w:t xml:space="preserve"> </w:t>
      </w:r>
      <w:r w:rsidR="0059003D">
        <w:t xml:space="preserve"> The full definition of remote areas has been added to Appendix A for clarity.</w:t>
      </w:r>
    </w:p>
    <w:p w14:paraId="3EB159E4" w14:textId="5B7EFFFB" w:rsidR="00963DAA" w:rsidRDefault="00963DAA" w:rsidP="00963DAA">
      <w:pPr>
        <w:pStyle w:val="sub-heading"/>
      </w:pPr>
      <w:bookmarkStart w:id="21" w:name="_Toc94603251"/>
      <w:r>
        <w:t>The future of Embargo 78</w:t>
      </w:r>
      <w:bookmarkEnd w:id="21"/>
    </w:p>
    <w:p w14:paraId="34D2582B" w14:textId="79589C89" w:rsidR="00963DAA" w:rsidRDefault="00963DAA" w:rsidP="00963DAA">
      <w:pPr>
        <w:spacing w:after="80"/>
      </w:pPr>
      <w:r>
        <w:rPr>
          <w:rFonts w:cs="Arial"/>
        </w:rPr>
        <w:t xml:space="preserve">Satellite operators expressed </w:t>
      </w:r>
      <w:r w:rsidR="00C81DAA">
        <w:rPr>
          <w:rFonts w:cs="Arial"/>
        </w:rPr>
        <w:t xml:space="preserve">the </w:t>
      </w:r>
      <w:r>
        <w:rPr>
          <w:rFonts w:cs="Arial"/>
        </w:rPr>
        <w:t xml:space="preserve">view that Embargo 78 </w:t>
      </w:r>
      <w:r w:rsidR="00C81DAA">
        <w:rPr>
          <w:rFonts w:cs="Arial"/>
        </w:rPr>
        <w:t xml:space="preserve">is prejudiced against FSS AL services and </w:t>
      </w:r>
      <w:r>
        <w:rPr>
          <w:rFonts w:cs="Arial"/>
        </w:rPr>
        <w:t xml:space="preserve">should </w:t>
      </w:r>
      <w:r w:rsidR="00C81DAA">
        <w:rPr>
          <w:rFonts w:cs="Arial"/>
        </w:rPr>
        <w:t xml:space="preserve">therefore be </w:t>
      </w:r>
      <w:r>
        <w:rPr>
          <w:rFonts w:cs="Arial"/>
        </w:rPr>
        <w:t>lifted before AWLs</w:t>
      </w:r>
      <w:r w:rsidDel="00C81DAA">
        <w:rPr>
          <w:rFonts w:cs="Arial"/>
        </w:rPr>
        <w:t xml:space="preserve"> are </w:t>
      </w:r>
      <w:r w:rsidR="0076064D">
        <w:rPr>
          <w:rFonts w:cs="Arial"/>
        </w:rPr>
        <w:t>allocated</w:t>
      </w:r>
      <w:r>
        <w:rPr>
          <w:rFonts w:cs="Arial"/>
        </w:rPr>
        <w:t xml:space="preserve">. </w:t>
      </w:r>
      <w:r w:rsidR="00C81DAA">
        <w:rPr>
          <w:rFonts w:cs="Arial"/>
        </w:rPr>
        <w:t xml:space="preserve">In response, </w:t>
      </w:r>
      <w:r w:rsidR="0076064D">
        <w:rPr>
          <w:rFonts w:cs="Arial"/>
        </w:rPr>
        <w:t>the ACMA notes</w:t>
      </w:r>
      <w:r w:rsidR="00C81DAA">
        <w:rPr>
          <w:rFonts w:cs="Arial"/>
        </w:rPr>
        <w:t xml:space="preserve"> that t</w:t>
      </w:r>
      <w:r>
        <w:rPr>
          <w:rFonts w:cs="Arial"/>
        </w:rPr>
        <w:t xml:space="preserve">he intent of the embargo is the opposite, in that </w:t>
      </w:r>
      <w:r w:rsidR="00C81DAA">
        <w:rPr>
          <w:rFonts w:cs="Arial"/>
        </w:rPr>
        <w:t xml:space="preserve">the embargo </w:t>
      </w:r>
      <w:r>
        <w:rPr>
          <w:rFonts w:cs="Arial"/>
        </w:rPr>
        <w:t xml:space="preserve">restricts all services equally until new allocation arrangements are in place. For all </w:t>
      </w:r>
      <w:r w:rsidR="00C81DAA">
        <w:rPr>
          <w:rFonts w:cs="Arial"/>
        </w:rPr>
        <w:t xml:space="preserve">proposed licensing </w:t>
      </w:r>
      <w:r w:rsidR="00F94CFF">
        <w:rPr>
          <w:rFonts w:cs="Arial"/>
        </w:rPr>
        <w:t>arrangements</w:t>
      </w:r>
      <w:r w:rsidR="00C81DAA">
        <w:rPr>
          <w:rFonts w:cs="Arial"/>
        </w:rPr>
        <w:t xml:space="preserve"> that would be inconsistent with an embargo</w:t>
      </w:r>
      <w:r w:rsidR="00F94CFF">
        <w:rPr>
          <w:rFonts w:cs="Arial"/>
        </w:rPr>
        <w:t>,</w:t>
      </w:r>
      <w:r>
        <w:rPr>
          <w:rFonts w:cs="Arial"/>
        </w:rPr>
        <w:t xml:space="preserve"> we consider each </w:t>
      </w:r>
      <w:r w:rsidR="00C81DAA">
        <w:rPr>
          <w:rFonts w:cs="Arial"/>
        </w:rPr>
        <w:t xml:space="preserve">exemption </w:t>
      </w:r>
      <w:r>
        <w:rPr>
          <w:rFonts w:cs="Arial"/>
        </w:rPr>
        <w:t>request on its merits at the time</w:t>
      </w:r>
      <w:r w:rsidR="008A5170">
        <w:rPr>
          <w:rFonts w:cs="Arial"/>
        </w:rPr>
        <w:t xml:space="preserve"> of application</w:t>
      </w:r>
      <w:r>
        <w:rPr>
          <w:rFonts w:cs="Arial"/>
        </w:rPr>
        <w:t xml:space="preserve">. </w:t>
      </w:r>
      <w:r w:rsidR="001E1F32">
        <w:rPr>
          <w:rFonts w:cs="Arial"/>
        </w:rPr>
        <w:t>In this context, w</w:t>
      </w:r>
      <w:r>
        <w:rPr>
          <w:rFonts w:cs="Arial"/>
        </w:rPr>
        <w:t>e have</w:t>
      </w:r>
      <w:r w:rsidR="00A45BB1">
        <w:rPr>
          <w:rFonts w:cs="Arial"/>
        </w:rPr>
        <w:t xml:space="preserve"> sometimes</w:t>
      </w:r>
      <w:r>
        <w:rPr>
          <w:rFonts w:cs="Arial"/>
        </w:rPr>
        <w:t xml:space="preserve"> </w:t>
      </w:r>
      <w:r w:rsidR="005E4169">
        <w:rPr>
          <w:rFonts w:cs="Arial"/>
        </w:rPr>
        <w:t xml:space="preserve">allowed exemptions from </w:t>
      </w:r>
      <w:r>
        <w:rPr>
          <w:rFonts w:cs="Arial"/>
        </w:rPr>
        <w:t>Embargo 78</w:t>
      </w:r>
      <w:r w:rsidR="001E1F32">
        <w:rPr>
          <w:rFonts w:cs="Arial"/>
        </w:rPr>
        <w:t>.</w:t>
      </w:r>
      <w:r>
        <w:rPr>
          <w:rFonts w:cs="Arial"/>
        </w:rPr>
        <w:t xml:space="preserve"> </w:t>
      </w:r>
    </w:p>
    <w:p w14:paraId="09D0F95E" w14:textId="30601D0F" w:rsidR="00CF4CE6" w:rsidRDefault="00CF4CE6" w:rsidP="00CF4CE6">
      <w:pPr>
        <w:pStyle w:val="sub-heading"/>
      </w:pPr>
      <w:bookmarkStart w:id="22" w:name="_Toc94603252"/>
      <w:r>
        <w:t>Proposal for a new ESPZ</w:t>
      </w:r>
      <w:bookmarkEnd w:id="22"/>
    </w:p>
    <w:p w14:paraId="5B13070A" w14:textId="5BB55836" w:rsidR="00CF4CE6" w:rsidRPr="00F74D0E" w:rsidRDefault="00CF4CE6" w:rsidP="00CF4CE6">
      <w:pPr>
        <w:spacing w:after="0" w:line="240" w:lineRule="auto"/>
      </w:pPr>
      <w:r>
        <w:t xml:space="preserve">Intelsat, Inmarsat, Speedcast and SES </w:t>
      </w:r>
      <w:r w:rsidR="00694F11">
        <w:t>proposed</w:t>
      </w:r>
      <w:r>
        <w:t xml:space="preserve"> that a “central” ESPZ be established near Cooper Pedy </w:t>
      </w:r>
      <w:r w:rsidR="00F66701">
        <w:t>to cover</w:t>
      </w:r>
      <w:r w:rsidR="007B40C8" w:rsidRPr="007B40C8">
        <w:t xml:space="preserve"> 3,400 – 42,500 MHz but especially 3,400-4,200 MHz</w:t>
      </w:r>
      <w:r>
        <w:t xml:space="preserve">. While out of the scope of the TLG, given that the introduction of WBB into remote areas may affect the utility of </w:t>
      </w:r>
      <w:r w:rsidR="00694F11">
        <w:t xml:space="preserve">future </w:t>
      </w:r>
      <w:r>
        <w:t>FSS services, the ACMA proposes to consider its merits in the finalisation of the technical framework as it applies to remote areas. If no clear decision is reached</w:t>
      </w:r>
      <w:r w:rsidR="009A3483">
        <w:t xml:space="preserve"> then</w:t>
      </w:r>
      <w:r>
        <w:t xml:space="preserve">, we may preserve options by Embargoing new services, other than FSS </w:t>
      </w:r>
      <w:r w:rsidR="0076064D">
        <w:t>r</w:t>
      </w:r>
      <w:r>
        <w:t>x, in the proposed ESPZ</w:t>
      </w:r>
      <w:r w:rsidR="009F5C3A">
        <w:t xml:space="preserve"> </w:t>
      </w:r>
      <w:r w:rsidR="00C9639D">
        <w:t>area</w:t>
      </w:r>
      <w:r w:rsidR="00264C6F">
        <w:t>,</w:t>
      </w:r>
      <w:r w:rsidR="00C9639D">
        <w:t xml:space="preserve"> </w:t>
      </w:r>
      <w:r w:rsidR="009F5C3A">
        <w:t xml:space="preserve">until </w:t>
      </w:r>
      <w:r w:rsidR="009A3483">
        <w:t>one</w:t>
      </w:r>
      <w:r w:rsidR="009F5C3A">
        <w:t xml:space="preserve"> is made.</w:t>
      </w:r>
    </w:p>
    <w:p w14:paraId="31827B15" w14:textId="1F0B04E6" w:rsidR="00F94CFF" w:rsidRDefault="00F94CFF" w:rsidP="00F94CFF">
      <w:pPr>
        <w:pStyle w:val="sub-heading"/>
      </w:pPr>
      <w:bookmarkStart w:id="23" w:name="_Toc94603253"/>
      <w:r>
        <w:t>The pricing of AWLs</w:t>
      </w:r>
      <w:bookmarkEnd w:id="23"/>
    </w:p>
    <w:p w14:paraId="18A7067B" w14:textId="738732A5" w:rsidR="00F94CFF" w:rsidRDefault="00F94CFF" w:rsidP="007F68A0">
      <w:r>
        <w:rPr>
          <w:rFonts w:cs="Arial"/>
        </w:rPr>
        <w:t xml:space="preserve">Satellite operators </w:t>
      </w:r>
      <w:r w:rsidR="00F34CD0">
        <w:rPr>
          <w:rFonts w:cs="Arial"/>
        </w:rPr>
        <w:t xml:space="preserve">supported the development of </w:t>
      </w:r>
      <w:r>
        <w:rPr>
          <w:rFonts w:cs="Arial"/>
        </w:rPr>
        <w:t>indicati</w:t>
      </w:r>
      <w:r w:rsidR="00F34CD0">
        <w:rPr>
          <w:rFonts w:cs="Arial"/>
        </w:rPr>
        <w:t>ve</w:t>
      </w:r>
      <w:r>
        <w:rPr>
          <w:rFonts w:cs="Arial"/>
        </w:rPr>
        <w:t xml:space="preserve"> pricing </w:t>
      </w:r>
      <w:r w:rsidR="00F34CD0">
        <w:rPr>
          <w:rFonts w:cs="Arial"/>
        </w:rPr>
        <w:t xml:space="preserve">for </w:t>
      </w:r>
      <w:r w:rsidR="006A25F4">
        <w:rPr>
          <w:rFonts w:cs="Arial"/>
        </w:rPr>
        <w:t xml:space="preserve">FSS </w:t>
      </w:r>
      <w:r w:rsidR="005E4169">
        <w:rPr>
          <w:rFonts w:cs="Arial"/>
        </w:rPr>
        <w:t>rx</w:t>
      </w:r>
      <w:r w:rsidR="006A25F4">
        <w:rPr>
          <w:rFonts w:cs="Arial"/>
        </w:rPr>
        <w:t xml:space="preserve"> </w:t>
      </w:r>
      <w:r>
        <w:rPr>
          <w:rFonts w:cs="Arial"/>
        </w:rPr>
        <w:t xml:space="preserve">AWLs </w:t>
      </w:r>
      <w:r w:rsidR="006A25F4">
        <w:rPr>
          <w:rFonts w:cs="Arial"/>
        </w:rPr>
        <w:t xml:space="preserve">(not applicable in remote areas). </w:t>
      </w:r>
      <w:r w:rsidR="00980AA2">
        <w:rPr>
          <w:rFonts w:cs="Arial"/>
        </w:rPr>
        <w:t xml:space="preserve">We anticipate providing more information about pricing </w:t>
      </w:r>
      <w:r w:rsidR="00A402EA">
        <w:rPr>
          <w:rFonts w:cs="Arial"/>
        </w:rPr>
        <w:t xml:space="preserve">in general and </w:t>
      </w:r>
      <w:r w:rsidR="00980AA2">
        <w:rPr>
          <w:rFonts w:cs="Arial"/>
        </w:rPr>
        <w:t xml:space="preserve">for possible FSS use cases as the ACMA progresses its work relating to the </w:t>
      </w:r>
      <w:r w:rsidR="00C0285D">
        <w:rPr>
          <w:rFonts w:cs="Arial"/>
        </w:rPr>
        <w:t xml:space="preserve">planning, </w:t>
      </w:r>
      <w:r w:rsidR="00980AA2">
        <w:rPr>
          <w:rFonts w:cs="Arial"/>
        </w:rPr>
        <w:t>licensing</w:t>
      </w:r>
      <w:r w:rsidR="00C0285D">
        <w:rPr>
          <w:rFonts w:cs="Arial"/>
        </w:rPr>
        <w:t xml:space="preserve"> and allocation</w:t>
      </w:r>
      <w:r w:rsidR="00980AA2">
        <w:rPr>
          <w:rFonts w:cs="Arial"/>
        </w:rPr>
        <w:t xml:space="preserve"> arrangements </w:t>
      </w:r>
      <w:r w:rsidR="00C0285D">
        <w:rPr>
          <w:rFonts w:cs="Arial"/>
        </w:rPr>
        <w:t>in metro and regional areas.</w:t>
      </w:r>
    </w:p>
    <w:p w14:paraId="5A6354B5" w14:textId="77777777" w:rsidR="00FA7F33" w:rsidRPr="00702EA1" w:rsidRDefault="00FA7F33" w:rsidP="00FA7F33">
      <w:pPr>
        <w:pStyle w:val="Heading1"/>
      </w:pPr>
      <w:bookmarkStart w:id="24" w:name="_Toc94603254"/>
      <w:r>
        <w:lastRenderedPageBreak/>
        <w:t>Point-to-point service arrangements (essential for remote)</w:t>
      </w:r>
      <w:bookmarkEnd w:id="24"/>
    </w:p>
    <w:p w14:paraId="2FB5926D" w14:textId="77777777" w:rsidR="00FA7F33" w:rsidRDefault="00FA7F33" w:rsidP="00FA7F33">
      <w:pPr>
        <w:pStyle w:val="sub-heading"/>
      </w:pPr>
      <w:bookmarkStart w:id="25" w:name="_Toc94603255"/>
      <w:r>
        <w:t>Background</w:t>
      </w:r>
      <w:bookmarkEnd w:id="25"/>
    </w:p>
    <w:p w14:paraId="63BF1DF0" w14:textId="77777777" w:rsidR="00FA7F33" w:rsidRDefault="00FA7F33" w:rsidP="00FA7F33">
      <w:pPr>
        <w:spacing w:after="80"/>
      </w:pPr>
      <w:r>
        <w:rPr>
          <w:rFonts w:cs="Arial"/>
        </w:rPr>
        <w:t xml:space="preserve">ACMA planning decisions made for the 3400-4000 MHz band will </w:t>
      </w:r>
      <w:r w:rsidRPr="00BF17A4">
        <w:t xml:space="preserve">restrict new point-to-point (PTP) services to the 3800-4200 MHz </w:t>
      </w:r>
      <w:r>
        <w:t xml:space="preserve">frequency </w:t>
      </w:r>
      <w:r w:rsidRPr="00BF17A4">
        <w:t>range</w:t>
      </w:r>
      <w:r>
        <w:t>.</w:t>
      </w:r>
    </w:p>
    <w:p w14:paraId="35EC5ED3" w14:textId="37810CCD" w:rsidR="00FA7F33" w:rsidRDefault="00FA7F33" w:rsidP="00FA7F33">
      <w:pPr>
        <w:pStyle w:val="Paragraph"/>
      </w:pPr>
      <w:r>
        <w:t>It was also the ACMA</w:t>
      </w:r>
      <w:r w:rsidR="00B44364">
        <w:t>’</w:t>
      </w:r>
      <w:r>
        <w:t xml:space="preserve">s preliminary view that </w:t>
      </w:r>
      <w:r w:rsidRPr="00BF17A4">
        <w:t xml:space="preserve">that it was desirable to make channelling arrangements </w:t>
      </w:r>
      <w:r>
        <w:t>(</w:t>
      </w:r>
      <w:r w:rsidRPr="00BF17A4">
        <w:t>and use</w:t>
      </w:r>
      <w:r>
        <w:t>)</w:t>
      </w:r>
      <w:r w:rsidRPr="00BF17A4">
        <w:t xml:space="preserve"> flexible to</w:t>
      </w:r>
      <w:r>
        <w:t xml:space="preserve"> maximize the utility of the remaining available channels. This was on the assumption that the existing channel plan remained the basis for the future.</w:t>
      </w:r>
    </w:p>
    <w:p w14:paraId="47FE87F0" w14:textId="77777777" w:rsidR="00FA7F33" w:rsidRDefault="00FA7F33" w:rsidP="00FA7F33">
      <w:pPr>
        <w:pStyle w:val="ListParagraph"/>
        <w:numPr>
          <w:ilvl w:val="0"/>
          <w:numId w:val="0"/>
        </w:numPr>
        <w:spacing w:before="240"/>
      </w:pPr>
      <w:r>
        <w:t>There were other decisions to make in relation to PTP services that input was sought:</w:t>
      </w:r>
    </w:p>
    <w:p w14:paraId="0AB1E060" w14:textId="77777777" w:rsidR="00FA7F33" w:rsidRDefault="00FA7F33" w:rsidP="00FA7F33">
      <w:pPr>
        <w:pStyle w:val="ListParagraph"/>
        <w:numPr>
          <w:ilvl w:val="0"/>
          <w:numId w:val="26"/>
        </w:numPr>
      </w:pPr>
      <w:r>
        <w:t>Should existing PTP services in any spectrum space proposed for AWL be grandfathered?</w:t>
      </w:r>
    </w:p>
    <w:p w14:paraId="64F982B6" w14:textId="77777777" w:rsidR="00FA7F33" w:rsidRDefault="00FA7F33" w:rsidP="00FA7F33">
      <w:pPr>
        <w:pStyle w:val="ListParagraph"/>
        <w:numPr>
          <w:ilvl w:val="0"/>
          <w:numId w:val="26"/>
        </w:numPr>
      </w:pPr>
      <w:r>
        <w:t>Should new PTP services in any spectrum space proposed for AWL be restricted, noting that the AWL framework could potentially be used for PTP services? For example, should new PTP deployments be restricted in capital cities and major regional areas?</w:t>
      </w:r>
    </w:p>
    <w:p w14:paraId="53187707" w14:textId="77777777" w:rsidR="00FA7F33" w:rsidRPr="007D04B2" w:rsidRDefault="00FA7F33" w:rsidP="00FA7F33">
      <w:pPr>
        <w:pStyle w:val="ListParagraph"/>
        <w:numPr>
          <w:ilvl w:val="0"/>
          <w:numId w:val="26"/>
        </w:numPr>
      </w:pPr>
      <w:r>
        <w:t>Views were sought on proposed changes and other ways to be able to use the remaining channels in the 3.8 GHz PTP band flexibly.</w:t>
      </w:r>
    </w:p>
    <w:p w14:paraId="6C9B2B7F" w14:textId="77777777" w:rsidR="00FA7F33" w:rsidRDefault="00FA7F33" w:rsidP="00FA7F33">
      <w:pPr>
        <w:pStyle w:val="ListParagraph"/>
        <w:numPr>
          <w:ilvl w:val="0"/>
          <w:numId w:val="0"/>
        </w:numPr>
        <w:spacing w:before="240"/>
      </w:pPr>
    </w:p>
    <w:p w14:paraId="17E08CD1" w14:textId="77777777" w:rsidR="00FA7F33" w:rsidRDefault="00FA7F33" w:rsidP="00FA7F33">
      <w:pPr>
        <w:pStyle w:val="ListParagraph"/>
        <w:numPr>
          <w:ilvl w:val="0"/>
          <w:numId w:val="0"/>
        </w:numPr>
        <w:spacing w:before="240"/>
      </w:pPr>
      <w:r>
        <w:t>There were different views in the TLG about PTP services:</w:t>
      </w:r>
    </w:p>
    <w:p w14:paraId="1C86F423" w14:textId="1D3F8378" w:rsidR="00FA7F33" w:rsidRDefault="00FA7F33" w:rsidP="00FA7F33">
      <w:pPr>
        <w:pStyle w:val="ListParagraph"/>
        <w:numPr>
          <w:ilvl w:val="0"/>
          <w:numId w:val="22"/>
        </w:numPr>
        <w:spacing w:before="240"/>
      </w:pPr>
      <w:r>
        <w:t xml:space="preserve">Telstra </w:t>
      </w:r>
      <w:r w:rsidR="00255F02">
        <w:t xml:space="preserve">initially </w:t>
      </w:r>
      <w:r>
        <w:t>proposed an alternate, 29 MHz channel bandwidth, PTP channel plan</w:t>
      </w:r>
      <w:r w:rsidR="00B44364">
        <w:t>. While it was</w:t>
      </w:r>
      <w:r>
        <w:t xml:space="preserve"> agreed </w:t>
      </w:r>
      <w:r w:rsidR="00B44364">
        <w:t xml:space="preserve">that this </w:t>
      </w:r>
      <w:r>
        <w:t>be considered as an option</w:t>
      </w:r>
      <w:r w:rsidR="00B44364">
        <w:t xml:space="preserve">, it was noted that </w:t>
      </w:r>
      <w:r w:rsidR="00255F02">
        <w:t xml:space="preserve">it </w:t>
      </w:r>
      <w:r>
        <w:t>may complicate coexistence with a 10 MHz based WBB raster.</w:t>
      </w:r>
      <w:r w:rsidR="00255F02">
        <w:t xml:space="preserve"> Telstra </w:t>
      </w:r>
      <w:r w:rsidR="00C65830">
        <w:t>subsequently</w:t>
      </w:r>
      <w:r w:rsidR="00255F02">
        <w:t xml:space="preserve"> indicated that equipment for this channel raster was unlikely</w:t>
      </w:r>
      <w:r w:rsidR="00460B8C">
        <w:t xml:space="preserve"> to be available</w:t>
      </w:r>
      <w:r w:rsidR="00255F02">
        <w:t>.</w:t>
      </w:r>
    </w:p>
    <w:p w14:paraId="38667661" w14:textId="58402670" w:rsidR="00EA2B33" w:rsidRDefault="00EA2B33" w:rsidP="00FA7F33">
      <w:pPr>
        <w:pStyle w:val="ListParagraph"/>
        <w:numPr>
          <w:ilvl w:val="0"/>
          <w:numId w:val="22"/>
        </w:numPr>
        <w:spacing w:before="240"/>
      </w:pPr>
      <w:r w:rsidRPr="00EA2B33">
        <w:t xml:space="preserve">Telstra </w:t>
      </w:r>
      <w:r w:rsidR="00335093">
        <w:t>highlighted</w:t>
      </w:r>
      <w:r>
        <w:t xml:space="preserve"> that it </w:t>
      </w:r>
      <w:r w:rsidRPr="00EA2B33">
        <w:t>uses PTP links in the 3.8 GHz band for the provision of USO services to King Island, Flinders Island and in eastern Victoria near Cann River</w:t>
      </w:r>
      <w:r w:rsidR="00335093">
        <w:t>, where</w:t>
      </w:r>
      <w:r w:rsidRPr="00EA2B33">
        <w:t xml:space="preserve"> It is not possible to retune these links as they are used as frequency</w:t>
      </w:r>
      <w:r>
        <w:t xml:space="preserve"> redundancy.</w:t>
      </w:r>
    </w:p>
    <w:p w14:paraId="00509DC3" w14:textId="55553185" w:rsidR="00FA7F33" w:rsidRDefault="00FA7F33" w:rsidP="00FA7F33">
      <w:pPr>
        <w:pStyle w:val="ListParagraph"/>
        <w:numPr>
          <w:ilvl w:val="0"/>
          <w:numId w:val="22"/>
        </w:numPr>
        <w:spacing w:before="240"/>
      </w:pPr>
      <w:r>
        <w:t xml:space="preserve">It was </w:t>
      </w:r>
      <w:r w:rsidR="00335093">
        <w:t>Digital Distribution Australia’s (</w:t>
      </w:r>
      <w:r>
        <w:t>DDA’s</w:t>
      </w:r>
      <w:r w:rsidR="00335093">
        <w:t>)</w:t>
      </w:r>
      <w:r>
        <w:t xml:space="preserve"> view that</w:t>
      </w:r>
      <w:r w:rsidR="00255F02">
        <w:t xml:space="preserve"> any possible</w:t>
      </w:r>
      <w:r>
        <w:t xml:space="preserve"> two-channel plans should be allowed to coexist and that existing services should have “reserved access” to retune to any new channel plan.</w:t>
      </w:r>
    </w:p>
    <w:p w14:paraId="2FC0FA69" w14:textId="28A353B5" w:rsidR="00FA7F33" w:rsidRDefault="00FA7F33" w:rsidP="00FA7F33">
      <w:pPr>
        <w:pStyle w:val="ListParagraph"/>
        <w:numPr>
          <w:ilvl w:val="0"/>
          <w:numId w:val="22"/>
        </w:numPr>
        <w:spacing w:before="240"/>
      </w:pPr>
      <w:r>
        <w:t xml:space="preserve">There was a view from </w:t>
      </w:r>
      <w:r w:rsidR="002A46F6">
        <w:t xml:space="preserve">most </w:t>
      </w:r>
      <w:r>
        <w:t xml:space="preserve">TLG members </w:t>
      </w:r>
      <w:r w:rsidR="002A46F6">
        <w:t>who made comment</w:t>
      </w:r>
      <w:r w:rsidR="00335093">
        <w:t>,</w:t>
      </w:r>
      <w:r w:rsidR="002A46F6">
        <w:t xml:space="preserve"> </w:t>
      </w:r>
      <w:r>
        <w:t>that an AWL framework was not efficient for PTP services.</w:t>
      </w:r>
    </w:p>
    <w:p w14:paraId="19536D4F" w14:textId="2D72AE77" w:rsidR="00FA7F33" w:rsidRDefault="00FA7F33" w:rsidP="00FA7F33">
      <w:pPr>
        <w:pStyle w:val="ListParagraph"/>
        <w:numPr>
          <w:ilvl w:val="0"/>
          <w:numId w:val="22"/>
        </w:numPr>
        <w:spacing w:before="240"/>
      </w:pPr>
      <w:r>
        <w:t>Some members were of the view that PTP services should be transitioned to AWL.</w:t>
      </w:r>
    </w:p>
    <w:p w14:paraId="384359D1" w14:textId="22F537D3" w:rsidR="00526670" w:rsidRDefault="00526670" w:rsidP="007F68A0">
      <w:pPr>
        <w:pStyle w:val="Heading3"/>
      </w:pPr>
      <w:bookmarkStart w:id="26" w:name="_Toc94603256"/>
      <w:r>
        <w:t>PTP channel plan options</w:t>
      </w:r>
      <w:bookmarkEnd w:id="26"/>
    </w:p>
    <w:p w14:paraId="499A7990" w14:textId="0A9B92E1" w:rsidR="00FA7F33" w:rsidRDefault="00FA7F33" w:rsidP="00FA7F33">
      <w:pPr>
        <w:spacing w:before="240"/>
      </w:pPr>
      <w:r>
        <w:t>The restriction of new PTP</w:t>
      </w:r>
      <w:r w:rsidR="00501F8C">
        <w:t>, site-based apparatus licen</w:t>
      </w:r>
      <w:r w:rsidR="005E4169">
        <w:t>s</w:t>
      </w:r>
      <w:r w:rsidR="00501F8C">
        <w:t xml:space="preserve">ed services, </w:t>
      </w:r>
      <w:r>
        <w:t xml:space="preserve">to 3800-4200 MHz </w:t>
      </w:r>
      <w:r w:rsidR="003B6156">
        <w:t xml:space="preserve">was </w:t>
      </w:r>
      <w:r>
        <w:t>considered using two possible channel raster options:</w:t>
      </w:r>
    </w:p>
    <w:p w14:paraId="46365E82" w14:textId="0D5E6EC6" w:rsidR="00FA7F33" w:rsidRDefault="00FA7F33" w:rsidP="00FA7F33">
      <w:pPr>
        <w:pStyle w:val="ListParagraph"/>
        <w:numPr>
          <w:ilvl w:val="0"/>
          <w:numId w:val="40"/>
        </w:numPr>
        <w:spacing w:before="240"/>
      </w:pPr>
      <w:r>
        <w:t xml:space="preserve">maintain the existing raster, detailed in the </w:t>
      </w:r>
      <w:hyperlink r:id="rId44" w:history="1">
        <w:r w:rsidRPr="00BF17A4">
          <w:rPr>
            <w:rStyle w:val="Hyperlink"/>
          </w:rPr>
          <w:t>RALI FX03</w:t>
        </w:r>
      </w:hyperlink>
      <w:r w:rsidRPr="00BF17A4">
        <w:t xml:space="preserve"> 3.8 GHz channel plan</w:t>
      </w:r>
      <w:r>
        <w:t xml:space="preserve">. New services will be restricted to </w:t>
      </w:r>
      <w:r w:rsidRPr="00BF17A4">
        <w:t>channels 7 and 1’ through 7’</w:t>
      </w:r>
      <w:r>
        <w:t xml:space="preserve">; </w:t>
      </w:r>
      <w:r w:rsidR="003906F6">
        <w:t xml:space="preserve">or </w:t>
      </w:r>
    </w:p>
    <w:p w14:paraId="2ED468DC" w14:textId="77777777" w:rsidR="00FA7F33" w:rsidRDefault="00FA7F33" w:rsidP="00FA7F33">
      <w:pPr>
        <w:pStyle w:val="ListParagraph"/>
        <w:numPr>
          <w:ilvl w:val="0"/>
          <w:numId w:val="40"/>
        </w:numPr>
        <w:spacing w:before="240"/>
      </w:pPr>
      <w:r>
        <w:t>define a new 29 MHz channel raster based on one from ITU-R F.382-8</w:t>
      </w:r>
      <w:r w:rsidRPr="00BF17A4">
        <w:t>.</w:t>
      </w:r>
    </w:p>
    <w:p w14:paraId="25C78C47" w14:textId="3BF5A7BD" w:rsidR="00FA7F33" w:rsidRDefault="00FA7F33" w:rsidP="00FA7F33">
      <w:pPr>
        <w:spacing w:before="240"/>
      </w:pPr>
      <w:r w:rsidRPr="00CA736A">
        <w:lastRenderedPageBreak/>
        <w:t xml:space="preserve">Appendix </w:t>
      </w:r>
      <w:r w:rsidRPr="005B22D2">
        <w:t>C</w:t>
      </w:r>
      <w:r w:rsidR="009341C8">
        <w:t xml:space="preserve"> </w:t>
      </w:r>
      <w:r w:rsidR="00B23336" w:rsidRPr="005B22D2">
        <w:t>provide</w:t>
      </w:r>
      <w:r w:rsidR="00B23336">
        <w:t xml:space="preserve">d </w:t>
      </w:r>
      <w:r>
        <w:t xml:space="preserve">a comparison of the two channel plan options </w:t>
      </w:r>
      <w:r w:rsidR="003B6156">
        <w:t xml:space="preserve">considered </w:t>
      </w:r>
      <w:r>
        <w:t xml:space="preserve">as well as possible changes to </w:t>
      </w:r>
      <w:r w:rsidR="005E4169">
        <w:t xml:space="preserve">RALI </w:t>
      </w:r>
      <w:r>
        <w:t>FX03 if a restricted version of the existing raster was retained under option 1.</w:t>
      </w:r>
    </w:p>
    <w:p w14:paraId="7496A03D" w14:textId="77777777" w:rsidR="00526670" w:rsidRDefault="00526670" w:rsidP="00526670">
      <w:pPr>
        <w:pStyle w:val="Heading3"/>
      </w:pPr>
      <w:bookmarkStart w:id="27" w:name="_Toc94603257"/>
      <w:r>
        <w:t>ACMA staff preliminary views</w:t>
      </w:r>
      <w:bookmarkEnd w:id="27"/>
    </w:p>
    <w:p w14:paraId="518E360D" w14:textId="77777777" w:rsidR="00526670" w:rsidRDefault="00526670" w:rsidP="00526670">
      <w:pPr>
        <w:spacing w:before="240"/>
      </w:pPr>
      <w:r>
        <w:t>It is the preliminary ACMA staff view that there should only be one channel raster used for new PTP services.</w:t>
      </w:r>
    </w:p>
    <w:p w14:paraId="57BC6E28" w14:textId="27077B1E" w:rsidR="00526670" w:rsidRDefault="00526670" w:rsidP="00526670">
      <w:pPr>
        <w:spacing w:before="240"/>
      </w:pPr>
      <w:r>
        <w:t>It is the ACMA staff preliminary view that new PTP site-based apparatus licen</w:t>
      </w:r>
      <w:r w:rsidR="005E4169">
        <w:t>s</w:t>
      </w:r>
      <w:r>
        <w:t xml:space="preserve">ed services should not be licensed in major regional or metro areas across 3800-4000 MHz as PTP, also noting the proposal to clear PTP services from metro and regional areas in ranges identified for spectrum licensing after a </w:t>
      </w:r>
      <w:r w:rsidR="00947B2C">
        <w:t>5-year</w:t>
      </w:r>
      <w:r>
        <w:t xml:space="preserve"> reallocation period. This aligns with the proposed approach for FSS services</w:t>
      </w:r>
      <w:r w:rsidR="00947B2C">
        <w:t>,</w:t>
      </w:r>
      <w:r>
        <w:t xml:space="preserve"> and</w:t>
      </w:r>
      <w:r w:rsidR="00947B2C">
        <w:t>,</w:t>
      </w:r>
      <w:r>
        <w:t xml:space="preserve"> while not proposed to be optimised for PTP uses, the proposed AWL framework could be used. The band is intended for long haul routes and there are other, higher frequency, bands that can be used in these higher density areas. Any PTP services deployed under an AWL </w:t>
      </w:r>
      <w:r w:rsidR="00947B2C">
        <w:t>would</w:t>
      </w:r>
      <w:r>
        <w:t xml:space="preserve"> be subject to the same restrictions (including any synchronisation fallback requirement) as other services. Licensees would need to consider this when deciding whether to deploy PTP services under an AWL. </w:t>
      </w:r>
    </w:p>
    <w:p w14:paraId="72DAE1C6" w14:textId="6FB3D7AE" w:rsidR="00526670" w:rsidRDefault="00526670" w:rsidP="00526670">
      <w:pPr>
        <w:spacing w:before="240"/>
      </w:pPr>
      <w:r>
        <w:t>The ACMA staff preliminary view is that incumbent PTP services, outside of proposed new SL spectrum spaces, can be grandfathered. However, new PTP site-based apparatus licen</w:t>
      </w:r>
      <w:r w:rsidR="005E4169">
        <w:t>s</w:t>
      </w:r>
      <w:r>
        <w:t>ed services will be restricted to the 3800-4200 MHz band in remote and regional areas.</w:t>
      </w:r>
    </w:p>
    <w:p w14:paraId="623FC162" w14:textId="310ACD2A" w:rsidR="00AF71A2" w:rsidRDefault="00AF71A2" w:rsidP="007F68A0">
      <w:pPr>
        <w:pStyle w:val="Heading3"/>
      </w:pPr>
      <w:bookmarkStart w:id="28" w:name="_Toc94603258"/>
      <w:r>
        <w:t>Use of possible PTP Option 1</w:t>
      </w:r>
      <w:bookmarkEnd w:id="28"/>
    </w:p>
    <w:p w14:paraId="735D36CA" w14:textId="06B4F3B8" w:rsidR="00FA7F33" w:rsidRDefault="00B23336" w:rsidP="00FA7F33">
      <w:pPr>
        <w:spacing w:before="240"/>
      </w:pPr>
      <w:r>
        <w:t xml:space="preserve">With feedback that </w:t>
      </w:r>
      <w:r w:rsidR="00A0243D">
        <w:t>O</w:t>
      </w:r>
      <w:r>
        <w:t xml:space="preserve">ption 2 </w:t>
      </w:r>
      <w:r w:rsidR="00AF71A2">
        <w:t>may</w:t>
      </w:r>
      <w:r>
        <w:t xml:space="preserve"> not </w:t>
      </w:r>
      <w:r w:rsidR="00AF71A2">
        <w:t>be</w:t>
      </w:r>
      <w:r>
        <w:t xml:space="preserve"> practicable, the focus turned to how to practically transition to </w:t>
      </w:r>
      <w:r w:rsidR="00A0243D">
        <w:t>O</w:t>
      </w:r>
      <w:r>
        <w:t xml:space="preserve">ption 1. </w:t>
      </w:r>
      <w:r w:rsidR="00FA7F33">
        <w:t xml:space="preserve">To avoid the potential for conflicting licence applications, this needs to occur in a limited </w:t>
      </w:r>
      <w:r w:rsidR="000F4BC2">
        <w:t>period before</w:t>
      </w:r>
      <w:r w:rsidR="00FA7F33">
        <w:t xml:space="preserve"> the allocation of AWLs and SLs in regional and metropolitan areas. PTP </w:t>
      </w:r>
      <w:r w:rsidR="00501F8C">
        <w:t>site-based apparatus</w:t>
      </w:r>
      <w:r w:rsidR="00FA7F33">
        <w:t xml:space="preserve"> licensees would also be free to retune/transition after these allocation processes are completed.</w:t>
      </w:r>
    </w:p>
    <w:p w14:paraId="7D4E2C65" w14:textId="66F68573" w:rsidR="0053528F" w:rsidRDefault="0053528F" w:rsidP="0053528F">
      <w:pPr>
        <w:spacing w:before="240"/>
      </w:pPr>
      <w:r>
        <w:t xml:space="preserve">The ACMA </w:t>
      </w:r>
      <w:r w:rsidR="00492F18">
        <w:t>staff</w:t>
      </w:r>
      <w:r>
        <w:t xml:space="preserve"> </w:t>
      </w:r>
      <w:r w:rsidR="00855D98">
        <w:t xml:space="preserve">preliminary </w:t>
      </w:r>
      <w:r>
        <w:t xml:space="preserve">view remains that, under the restricted </w:t>
      </w:r>
      <w:r w:rsidR="00AF71A2">
        <w:t xml:space="preserve">Option 1 </w:t>
      </w:r>
      <w:r>
        <w:t xml:space="preserve">raster, licensees deploy </w:t>
      </w:r>
      <w:r w:rsidR="00CD2E53">
        <w:t xml:space="preserve">site specific </w:t>
      </w:r>
      <w:r>
        <w:t>engineering solutions</w:t>
      </w:r>
      <w:r w:rsidR="00CD2E53">
        <w:t>, such as greater RF filtering or vertical isolation</w:t>
      </w:r>
      <w:r>
        <w:t xml:space="preserve"> as required</w:t>
      </w:r>
      <w:r w:rsidR="00CD2E53">
        <w:t>,</w:t>
      </w:r>
      <w:r>
        <w:t xml:space="preserve"> to coordinate between PTP services but are free from any site sense or duplexing requirements.</w:t>
      </w:r>
    </w:p>
    <w:p w14:paraId="7EB82F40" w14:textId="7BF01218" w:rsidR="00AF71A2" w:rsidRDefault="00AF71A2" w:rsidP="00AF71A2">
      <w:pPr>
        <w:pStyle w:val="Heading3"/>
      </w:pPr>
      <w:bookmarkStart w:id="29" w:name="_Toc94603259"/>
      <w:r>
        <w:t>Retention of PTP Option 2</w:t>
      </w:r>
      <w:bookmarkEnd w:id="29"/>
    </w:p>
    <w:p w14:paraId="7AF9B5B0" w14:textId="263A3F6C" w:rsidR="00AF71A2" w:rsidRDefault="00AF71A2" w:rsidP="00AF71A2">
      <w:pPr>
        <w:spacing w:before="240"/>
      </w:pPr>
      <w:r>
        <w:t xml:space="preserve">While there was feedback that </w:t>
      </w:r>
      <w:r w:rsidR="00A0243D">
        <w:t>O</w:t>
      </w:r>
      <w:r>
        <w:t xml:space="preserve">ption 2 may not be practicable, the ACMA preliminary staff view is that it prefers to retain this as an option at this </w:t>
      </w:r>
      <w:r w:rsidR="00E10CAB">
        <w:t>point</w:t>
      </w:r>
      <w:r w:rsidR="00947B2C">
        <w:t>,</w:t>
      </w:r>
      <w:r w:rsidR="00E10CAB">
        <w:t xml:space="preserve"> and</w:t>
      </w:r>
      <w:r>
        <w:t xml:space="preserve"> will further examine the practicalities of using PTP Option 2 and conduct formal technical framework consultation in 2022 including </w:t>
      </w:r>
      <w:r w:rsidR="00C15F20">
        <w:t>both PTP</w:t>
      </w:r>
      <w:r>
        <w:t xml:space="preserve"> options.</w:t>
      </w:r>
    </w:p>
    <w:p w14:paraId="741EFED9" w14:textId="459D2CEA" w:rsidR="00AF71A2" w:rsidRDefault="00AF71A2" w:rsidP="007F68A0">
      <w:pPr>
        <w:pStyle w:val="Heading3"/>
      </w:pPr>
      <w:bookmarkStart w:id="30" w:name="_Toc94603260"/>
      <w:r>
        <w:t>PTP Co-existence issues</w:t>
      </w:r>
      <w:bookmarkEnd w:id="30"/>
    </w:p>
    <w:p w14:paraId="7FF1BD58" w14:textId="2524AFCA" w:rsidR="00FA7F33" w:rsidRPr="00F82EC8" w:rsidRDefault="00092B3B" w:rsidP="00092B3B">
      <w:pPr>
        <w:spacing w:before="240"/>
      </w:pPr>
      <w:r>
        <w:t>Views were sought on coexistence issues between</w:t>
      </w:r>
      <w:r w:rsidR="00FA7F33">
        <w:t xml:space="preserve"> </w:t>
      </w:r>
      <w:r w:rsidR="00AF71A2">
        <w:t xml:space="preserve">site based </w:t>
      </w:r>
      <w:r w:rsidR="00FA7F33">
        <w:t>PTP and AWLs,</w:t>
      </w:r>
      <w:r>
        <w:t xml:space="preserve"> including whether</w:t>
      </w:r>
      <w:r w:rsidR="00FA7F33">
        <w:t xml:space="preserve"> it may be appropriate to require the use of RF filters on new PTP systems</w:t>
      </w:r>
      <w:r>
        <w:t>.</w:t>
      </w:r>
      <w:r w:rsidR="002A3E04">
        <w:t xml:space="preserve"> Feedback from members was that coordination requirements between PTP and AWLs, including registered receivers, needs to be fully documented. The ACMA has reviewed the requirements and made changes to both the draft RALI MS47 and proposed changes to RALI FX</w:t>
      </w:r>
      <w:r w:rsidR="00A0243D">
        <w:t>0</w:t>
      </w:r>
      <w:r w:rsidR="002A3E04">
        <w:t xml:space="preserve">3, </w:t>
      </w:r>
      <w:r w:rsidR="00383483">
        <w:t>to ensure there is sufficient guidance to co-ordinate between PTP and AWL services</w:t>
      </w:r>
      <w:r w:rsidR="002A3E04">
        <w:t>.</w:t>
      </w:r>
    </w:p>
    <w:p w14:paraId="77F9E143" w14:textId="2E0CF419" w:rsidR="00FA7F33" w:rsidRPr="00702EA1" w:rsidRDefault="00990921" w:rsidP="00FA7F33">
      <w:pPr>
        <w:pStyle w:val="Heading1"/>
      </w:pPr>
      <w:bookmarkStart w:id="31" w:name="_Toc94603261"/>
      <w:r>
        <w:lastRenderedPageBreak/>
        <w:t>Coexistence</w:t>
      </w:r>
      <w:r w:rsidR="001650CF">
        <w:t xml:space="preserve"> </w:t>
      </w:r>
      <w:r w:rsidR="00FA7F33">
        <w:t>between WBB and aeronautical radionavigation services</w:t>
      </w:r>
      <w:bookmarkEnd w:id="31"/>
      <w:r w:rsidR="00FA7F33">
        <w:t xml:space="preserve"> </w:t>
      </w:r>
    </w:p>
    <w:p w14:paraId="4843B0C4" w14:textId="77777777" w:rsidR="00FA7F33" w:rsidRDefault="00FA7F33" w:rsidP="00FA7F33">
      <w:pPr>
        <w:pStyle w:val="sub-heading"/>
      </w:pPr>
      <w:bookmarkStart w:id="32" w:name="_Toc94603262"/>
      <w:r>
        <w:t>Background</w:t>
      </w:r>
      <w:bookmarkEnd w:id="32"/>
    </w:p>
    <w:p w14:paraId="67E1188E" w14:textId="127EBE11" w:rsidR="00FA7F33" w:rsidRDefault="00FA7F33" w:rsidP="00FA7F33">
      <w:pPr>
        <w:rPr>
          <w:rFonts w:cs="Arial"/>
        </w:rPr>
      </w:pPr>
      <w:r>
        <w:rPr>
          <w:rFonts w:cs="Arial"/>
        </w:rPr>
        <w:t xml:space="preserve">The 2021 Outcomes paper </w:t>
      </w:r>
      <w:r w:rsidR="00FC798C">
        <w:rPr>
          <w:rFonts w:cs="Arial"/>
        </w:rPr>
        <w:t xml:space="preserve">noted that while </w:t>
      </w:r>
      <w:r w:rsidR="00FC798C" w:rsidRPr="007F68A0">
        <w:rPr>
          <w:rFonts w:cs="Arial"/>
        </w:rPr>
        <w:t>the ACMA consider</w:t>
      </w:r>
      <w:r w:rsidR="0099525F">
        <w:rPr>
          <w:rFonts w:cs="Arial"/>
        </w:rPr>
        <w:t>ed</w:t>
      </w:r>
      <w:r w:rsidR="00FC798C" w:rsidRPr="007F68A0">
        <w:rPr>
          <w:rFonts w:cs="Arial"/>
        </w:rPr>
        <w:t xml:space="preserve"> a 200 MHz guard band </w:t>
      </w:r>
      <w:r w:rsidR="00FC798C" w:rsidRPr="00262175">
        <w:t xml:space="preserve">between WBB and radio altimeters </w:t>
      </w:r>
      <w:r w:rsidR="00FC798C" w:rsidRPr="007F68A0">
        <w:rPr>
          <w:rFonts w:cs="Arial"/>
        </w:rPr>
        <w:t xml:space="preserve">should be sufficient, coexistence would be further considered in the development of detailed technical frameworks for WBB. This would provide further opportunity to </w:t>
      </w:r>
      <w:r w:rsidR="00FC798C">
        <w:rPr>
          <w:rFonts w:cs="Arial"/>
        </w:rPr>
        <w:t xml:space="preserve">identify </w:t>
      </w:r>
      <w:r w:rsidR="00FC798C" w:rsidRPr="007F68A0">
        <w:rPr>
          <w:rFonts w:cs="Arial"/>
        </w:rPr>
        <w:t>any necessary technical conditions (likely only in the apparatus licensed segment of the band) to protect adjacent band radio altimeters.</w:t>
      </w:r>
    </w:p>
    <w:p w14:paraId="4177F91F" w14:textId="3E8CECD3" w:rsidR="00FA7F33" w:rsidRDefault="00FA7F33" w:rsidP="00FA7F33">
      <w:pPr>
        <w:rPr>
          <w:rFonts w:cs="Arial"/>
        </w:rPr>
      </w:pPr>
      <w:r>
        <w:rPr>
          <w:rFonts w:cs="Arial"/>
        </w:rPr>
        <w:t xml:space="preserve">Throughout the 3700-4200 MHz consultation process it was observed that </w:t>
      </w:r>
      <w:r w:rsidR="005F3820">
        <w:rPr>
          <w:rFonts w:cs="Arial"/>
        </w:rPr>
        <w:t xml:space="preserve">some </w:t>
      </w:r>
      <w:r>
        <w:rPr>
          <w:rFonts w:cs="Arial"/>
        </w:rPr>
        <w:t xml:space="preserve">technical studies </w:t>
      </w:r>
      <w:r w:rsidR="00560FD6">
        <w:rPr>
          <w:rFonts w:cs="Arial"/>
        </w:rPr>
        <w:t xml:space="preserve">concluded that </w:t>
      </w:r>
      <w:r>
        <w:rPr>
          <w:rFonts w:cs="Arial"/>
        </w:rPr>
        <w:t>there was potential for interference from WBB to radio altimeters below 4000 MHz, but this should, according to those studies, already be occurring for existing WBB deployments in the 3.4 GHz (3400-3700 MHz) band</w:t>
      </w:r>
      <w:r w:rsidR="00990921">
        <w:rPr>
          <w:rFonts w:cs="Arial"/>
        </w:rPr>
        <w:t xml:space="preserve"> </w:t>
      </w:r>
      <w:r w:rsidR="0099525F">
        <w:rPr>
          <w:rFonts w:cs="Arial"/>
        </w:rPr>
        <w:t>(</w:t>
      </w:r>
      <w:r w:rsidR="00990921">
        <w:rPr>
          <w:rFonts w:cs="Arial"/>
        </w:rPr>
        <w:t>and potentially other bands below this</w:t>
      </w:r>
      <w:r w:rsidR="0099525F">
        <w:rPr>
          <w:rFonts w:cs="Arial"/>
        </w:rPr>
        <w:t>)</w:t>
      </w:r>
      <w:r>
        <w:rPr>
          <w:rFonts w:cs="Arial"/>
        </w:rPr>
        <w:t>. There has not been any incident of interference reported to either the ACMA or Airservices</w:t>
      </w:r>
      <w:r w:rsidR="005F3820">
        <w:rPr>
          <w:rFonts w:cs="Arial"/>
        </w:rPr>
        <w:t xml:space="preserve"> that can be definitively attributed to WBB services</w:t>
      </w:r>
      <w:r w:rsidR="0099525F">
        <w:rPr>
          <w:rFonts w:cs="Arial"/>
        </w:rPr>
        <w:t xml:space="preserve"> at this point</w:t>
      </w:r>
      <w:r>
        <w:rPr>
          <w:rFonts w:cs="Arial"/>
        </w:rPr>
        <w:t>. This may have resulted from:</w:t>
      </w:r>
    </w:p>
    <w:p w14:paraId="329CE591" w14:textId="77777777" w:rsidR="00FA7F33" w:rsidRDefault="00FA7F33" w:rsidP="00FA7F33">
      <w:pPr>
        <w:pStyle w:val="ListParagraph"/>
        <w:numPr>
          <w:ilvl w:val="0"/>
          <w:numId w:val="14"/>
        </w:numPr>
      </w:pPr>
      <w:r>
        <w:t>Assumed parameters of WBB and/or radio altimeter services in studies not representing actual deployments accurately enough.</w:t>
      </w:r>
    </w:p>
    <w:p w14:paraId="481FB435" w14:textId="0B96B792" w:rsidR="00FA7F33" w:rsidRDefault="00FA7F33" w:rsidP="00FA7F33">
      <w:pPr>
        <w:pStyle w:val="ListParagraph"/>
        <w:numPr>
          <w:ilvl w:val="0"/>
          <w:numId w:val="14"/>
        </w:numPr>
      </w:pPr>
      <w:r>
        <w:t>Inaccuracy of methods used to assess and study co</w:t>
      </w:r>
      <w:r w:rsidR="00221405">
        <w:t>existence</w:t>
      </w:r>
      <w:r>
        <w:t>.</w:t>
      </w:r>
    </w:p>
    <w:p w14:paraId="03512881" w14:textId="381296CB" w:rsidR="00FA7F33" w:rsidRDefault="00560FD6" w:rsidP="00FA7F33">
      <w:pPr>
        <w:pStyle w:val="ListParagraph"/>
        <w:numPr>
          <w:ilvl w:val="0"/>
          <w:numId w:val="14"/>
        </w:numPr>
      </w:pPr>
      <w:r>
        <w:t>Faults</w:t>
      </w:r>
      <w:r w:rsidR="007C7B4E">
        <w:t xml:space="preserve"> with radio altimeters not being routinely reported to regulators</w:t>
      </w:r>
      <w:r w:rsidR="00FA7F33">
        <w:t>.</w:t>
      </w:r>
    </w:p>
    <w:p w14:paraId="130AD858" w14:textId="77777777" w:rsidR="00FA7F33" w:rsidRPr="00226D2F" w:rsidRDefault="00FA7F33" w:rsidP="00FA7F33">
      <w:pPr>
        <w:pStyle w:val="sub-heading"/>
      </w:pPr>
      <w:bookmarkStart w:id="33" w:name="_Toc94603263"/>
      <w:r>
        <w:t>Recent</w:t>
      </w:r>
      <w:r w:rsidRPr="00226D2F">
        <w:t xml:space="preserve"> developments</w:t>
      </w:r>
      <w:bookmarkEnd w:id="33"/>
    </w:p>
    <w:p w14:paraId="40DA2E43" w14:textId="26CFF7EF" w:rsidR="001C4F9D" w:rsidRDefault="006D2CA8" w:rsidP="001C4F9D">
      <w:pPr>
        <w:rPr>
          <w:rFonts w:cs="Arial"/>
        </w:rPr>
      </w:pPr>
      <w:r>
        <w:rPr>
          <w:rFonts w:cs="Arial"/>
        </w:rPr>
        <w:t xml:space="preserve">Work on the </w:t>
      </w:r>
      <w:r w:rsidR="00B84AEC">
        <w:rPr>
          <w:rFonts w:cs="Arial"/>
        </w:rPr>
        <w:t>subject</w:t>
      </w:r>
      <w:r>
        <w:rPr>
          <w:rFonts w:cs="Arial"/>
        </w:rPr>
        <w:t xml:space="preserve"> has been conducted in </w:t>
      </w:r>
      <w:r w:rsidR="003C0A87">
        <w:rPr>
          <w:rFonts w:cs="Arial"/>
        </w:rPr>
        <w:t>several</w:t>
      </w:r>
      <w:r>
        <w:rPr>
          <w:rFonts w:cs="Arial"/>
        </w:rPr>
        <w:t xml:space="preserve"> countries, with some making decisions around mitigations </w:t>
      </w:r>
      <w:r w:rsidR="003C0A87">
        <w:rPr>
          <w:rFonts w:cs="Arial"/>
        </w:rPr>
        <w:t>appropriate</w:t>
      </w:r>
      <w:r>
        <w:rPr>
          <w:rFonts w:cs="Arial"/>
        </w:rPr>
        <w:t xml:space="preserve"> for their own circumstances</w:t>
      </w:r>
      <w:r w:rsidR="006B6E89">
        <w:rPr>
          <w:rFonts w:cs="Arial"/>
        </w:rPr>
        <w:t xml:space="preserve">. </w:t>
      </w:r>
      <w:r w:rsidR="00B84AEC">
        <w:rPr>
          <w:rFonts w:cs="Arial"/>
        </w:rPr>
        <w:t>Understanding the overseas studies and decisions, including</w:t>
      </w:r>
      <w:r w:rsidR="006B6E89">
        <w:rPr>
          <w:rFonts w:cs="Arial"/>
        </w:rPr>
        <w:t xml:space="preserve"> what </w:t>
      </w:r>
      <w:r w:rsidR="003C0A87">
        <w:rPr>
          <w:rFonts w:cs="Arial"/>
        </w:rPr>
        <w:t>may be relevant</w:t>
      </w:r>
      <w:r w:rsidR="006B6E89">
        <w:rPr>
          <w:rFonts w:cs="Arial"/>
        </w:rPr>
        <w:t xml:space="preserve"> to the proposed decisions here in the 3400-4000 MHz range</w:t>
      </w:r>
      <w:r w:rsidR="00B84AEC">
        <w:rPr>
          <w:rFonts w:cs="Arial"/>
        </w:rPr>
        <w:t>,</w:t>
      </w:r>
      <w:r w:rsidR="001C4F9D">
        <w:rPr>
          <w:rFonts w:cs="Arial"/>
        </w:rPr>
        <w:t xml:space="preserve"> will assist in determining whether specific </w:t>
      </w:r>
      <w:r w:rsidR="006B6E89">
        <w:rPr>
          <w:rFonts w:cs="Arial"/>
        </w:rPr>
        <w:t xml:space="preserve">additional </w:t>
      </w:r>
      <w:r w:rsidR="001C4F9D">
        <w:rPr>
          <w:rFonts w:cs="Arial"/>
        </w:rPr>
        <w:t xml:space="preserve">coexistence and interference mitigation methods are required and what they </w:t>
      </w:r>
      <w:r w:rsidR="0099525F">
        <w:rPr>
          <w:rFonts w:cs="Arial"/>
        </w:rPr>
        <w:t>could</w:t>
      </w:r>
      <w:r w:rsidR="001C4F9D">
        <w:rPr>
          <w:rFonts w:cs="Arial"/>
        </w:rPr>
        <w:t xml:space="preserve"> be.</w:t>
      </w:r>
    </w:p>
    <w:p w14:paraId="159C9CA6" w14:textId="2C7201C0" w:rsidR="001C4F9D" w:rsidRDefault="001C4F9D" w:rsidP="007F68A0">
      <w:pPr>
        <w:pStyle w:val="Heading3"/>
      </w:pPr>
      <w:bookmarkStart w:id="34" w:name="_Toc94603264"/>
      <w:r>
        <w:t>Domestic</w:t>
      </w:r>
      <w:bookmarkEnd w:id="34"/>
    </w:p>
    <w:p w14:paraId="1636BC33" w14:textId="2FAF4787" w:rsidR="001C4F9D" w:rsidRDefault="00EC737C" w:rsidP="001C4F9D">
      <w:pPr>
        <w:rPr>
          <w:rFonts w:cs="Arial"/>
        </w:rPr>
      </w:pPr>
      <w:r>
        <w:rPr>
          <w:rFonts w:cs="Arial"/>
        </w:rPr>
        <w:t>The Civil Aviation and Safety Authority (</w:t>
      </w:r>
      <w:r w:rsidR="001C4F9D">
        <w:rPr>
          <w:rFonts w:cs="Arial"/>
        </w:rPr>
        <w:t>CASA</w:t>
      </w:r>
      <w:r>
        <w:rPr>
          <w:rFonts w:cs="Arial"/>
        </w:rPr>
        <w:t>)</w:t>
      </w:r>
      <w:r w:rsidR="001C4F9D">
        <w:rPr>
          <w:rFonts w:cs="Arial"/>
        </w:rPr>
        <w:t xml:space="preserve"> issued an </w:t>
      </w:r>
      <w:r w:rsidR="00014276" w:rsidRPr="007F68A0">
        <w:t>Airworthiness Bulletin (AWB)</w:t>
      </w:r>
      <w:r w:rsidR="001C4F9D">
        <w:rPr>
          <w:rFonts w:cs="Arial"/>
        </w:rPr>
        <w:t xml:space="preserve"> </w:t>
      </w:r>
      <w:r w:rsidR="00014276">
        <w:rPr>
          <w:rFonts w:cs="Arial"/>
        </w:rPr>
        <w:t>in August 2021</w:t>
      </w:r>
      <w:r w:rsidR="001C4F9D">
        <w:rPr>
          <w:rFonts w:cs="Arial"/>
        </w:rPr>
        <w:t xml:space="preserve">, concerning the </w:t>
      </w:r>
      <w:r>
        <w:rPr>
          <w:rFonts w:cs="Arial"/>
        </w:rPr>
        <w:t>potential</w:t>
      </w:r>
      <w:r w:rsidR="001C4F9D">
        <w:rPr>
          <w:rFonts w:cs="Arial"/>
        </w:rPr>
        <w:t xml:space="preserve"> interference of radio altimeter systems</w:t>
      </w:r>
      <w:r>
        <w:rPr>
          <w:rFonts w:cs="Arial"/>
        </w:rPr>
        <w:t xml:space="preserve">, </w:t>
      </w:r>
      <w:r w:rsidR="001C4F9D">
        <w:rPr>
          <w:rFonts w:cs="Arial"/>
        </w:rPr>
        <w:t xml:space="preserve">and </w:t>
      </w:r>
      <w:r w:rsidR="00476002">
        <w:rPr>
          <w:rFonts w:cs="Arial"/>
        </w:rPr>
        <w:t>has</w:t>
      </w:r>
      <w:r w:rsidR="0079090F">
        <w:rPr>
          <w:rFonts w:cs="Arial"/>
        </w:rPr>
        <w:t xml:space="preserve"> </w:t>
      </w:r>
      <w:r w:rsidR="001C4F9D">
        <w:rPr>
          <w:rFonts w:cs="Arial"/>
        </w:rPr>
        <w:t xml:space="preserve">updated it </w:t>
      </w:r>
      <w:r w:rsidR="00476002">
        <w:rPr>
          <w:rFonts w:cs="Arial"/>
        </w:rPr>
        <w:t>several times</w:t>
      </w:r>
      <w:r w:rsidR="001C4F9D">
        <w:rPr>
          <w:rFonts w:cs="Arial"/>
        </w:rPr>
        <w:t xml:space="preserve">. </w:t>
      </w:r>
      <w:r w:rsidR="00476002">
        <w:rPr>
          <w:rFonts w:cs="Arial"/>
        </w:rPr>
        <w:t xml:space="preserve">As of publishing, the latest version is </w:t>
      </w:r>
      <w:hyperlink r:id="rId45" w:history="1">
        <w:r w:rsidR="00476002" w:rsidRPr="00476002">
          <w:rPr>
            <w:rStyle w:val="Hyperlink"/>
            <w:rFonts w:cs="Arial"/>
          </w:rPr>
          <w:t>Issue 4</w:t>
        </w:r>
      </w:hyperlink>
      <w:r w:rsidR="00476002">
        <w:rPr>
          <w:rFonts w:cs="Arial"/>
        </w:rPr>
        <w:t xml:space="preserve">.  </w:t>
      </w:r>
      <w:r w:rsidR="001C4F9D">
        <w:rPr>
          <w:rFonts w:cs="Arial"/>
        </w:rPr>
        <w:t xml:space="preserve">It </w:t>
      </w:r>
      <w:r w:rsidR="007D3B96">
        <w:rPr>
          <w:rFonts w:cs="Arial"/>
        </w:rPr>
        <w:t xml:space="preserve">describes the potential issue, </w:t>
      </w:r>
      <w:r w:rsidR="001C4F9D">
        <w:rPr>
          <w:rFonts w:cs="Arial"/>
        </w:rPr>
        <w:t>includes a summary of recently reported failures on approach, and encourages operators to report failures and fault events.</w:t>
      </w:r>
    </w:p>
    <w:p w14:paraId="4BD3C4EE" w14:textId="43108DE2" w:rsidR="001C4F9D" w:rsidRDefault="001C4F9D" w:rsidP="007F68A0">
      <w:pPr>
        <w:pStyle w:val="Heading3"/>
      </w:pPr>
      <w:bookmarkStart w:id="35" w:name="_Toc94603265"/>
      <w:r>
        <w:t>ICAO</w:t>
      </w:r>
      <w:bookmarkEnd w:id="35"/>
    </w:p>
    <w:p w14:paraId="221A6C3B" w14:textId="015FF4BC" w:rsidR="00FA7F33" w:rsidRDefault="008D2DE9" w:rsidP="00FA7F33">
      <w:pPr>
        <w:rPr>
          <w:rFonts w:cs="Arial"/>
        </w:rPr>
      </w:pPr>
      <w:r>
        <w:rPr>
          <w:rFonts w:cs="Arial"/>
        </w:rPr>
        <w:t xml:space="preserve">The </w:t>
      </w:r>
      <w:r w:rsidR="00EC737C">
        <w:rPr>
          <w:rFonts w:cs="Arial"/>
        </w:rPr>
        <w:t>International Civil Aviation Organisation’s (</w:t>
      </w:r>
      <w:r w:rsidR="00FA7F33">
        <w:rPr>
          <w:rFonts w:cs="Arial"/>
        </w:rPr>
        <w:t>ICAO</w:t>
      </w:r>
      <w:r w:rsidR="00EC737C">
        <w:rPr>
          <w:rFonts w:cs="Arial"/>
        </w:rPr>
        <w:t>) Frequency Spectrum Management Panel (</w:t>
      </w:r>
      <w:r w:rsidR="00FA7F33">
        <w:rPr>
          <w:rFonts w:cs="Arial"/>
        </w:rPr>
        <w:t>FSMP</w:t>
      </w:r>
      <w:r w:rsidR="00E23680">
        <w:rPr>
          <w:rFonts w:cs="Arial"/>
        </w:rPr>
        <w:t>)</w:t>
      </w:r>
      <w:r w:rsidR="00FA7F33">
        <w:rPr>
          <w:rFonts w:cs="Arial"/>
        </w:rPr>
        <w:t xml:space="preserve"> </w:t>
      </w:r>
      <w:hyperlink r:id="rId46" w:history="1">
        <w:r>
          <w:rPr>
            <w:rStyle w:val="Hyperlink"/>
            <w:rFonts w:cs="Arial"/>
          </w:rPr>
          <w:t>WG/11</w:t>
        </w:r>
      </w:hyperlink>
      <w:r w:rsidR="00FA7F33">
        <w:rPr>
          <w:rFonts w:cs="Arial"/>
        </w:rPr>
        <w:t xml:space="preserve"> </w:t>
      </w:r>
      <w:r>
        <w:rPr>
          <w:rFonts w:cs="Arial"/>
        </w:rPr>
        <w:t xml:space="preserve">meeting </w:t>
      </w:r>
      <w:r w:rsidR="00FA7F33">
        <w:rPr>
          <w:rFonts w:cs="Arial"/>
        </w:rPr>
        <w:t>was held in March</w:t>
      </w:r>
      <w:r>
        <w:rPr>
          <w:rFonts w:cs="Arial"/>
        </w:rPr>
        <w:t xml:space="preserve"> 2021</w:t>
      </w:r>
      <w:r w:rsidR="00FA7F33">
        <w:rPr>
          <w:rFonts w:cs="Arial"/>
        </w:rPr>
        <w:t xml:space="preserve">. There were several working and information papers presented to the meeting related to radio altimeter performance and coexistence with WBB like services under Agenda item 3. </w:t>
      </w:r>
    </w:p>
    <w:p w14:paraId="2D8E657D" w14:textId="7A4F7811" w:rsidR="00084708" w:rsidRDefault="00902A13" w:rsidP="00FA7F33">
      <w:pPr>
        <w:rPr>
          <w:rFonts w:cs="Arial"/>
        </w:rPr>
      </w:pPr>
      <w:r>
        <w:rPr>
          <w:rFonts w:cs="Arial"/>
        </w:rPr>
        <w:t xml:space="preserve">ICAO </w:t>
      </w:r>
      <w:r w:rsidR="00084708">
        <w:rPr>
          <w:rFonts w:cs="Arial"/>
        </w:rPr>
        <w:t xml:space="preserve">FSMP </w:t>
      </w:r>
      <w:hyperlink r:id="rId47" w:history="1">
        <w:r w:rsidR="00084708" w:rsidRPr="00084708">
          <w:rPr>
            <w:rStyle w:val="Hyperlink"/>
            <w:rFonts w:cs="Arial"/>
          </w:rPr>
          <w:t>WG/12</w:t>
        </w:r>
      </w:hyperlink>
      <w:r w:rsidR="00084708">
        <w:rPr>
          <w:rFonts w:cs="Arial"/>
        </w:rPr>
        <w:t xml:space="preserve"> was held in October 2021 where, again, radio altimeter issues were covered under </w:t>
      </w:r>
      <w:r w:rsidR="00F14194">
        <w:rPr>
          <w:rFonts w:cs="Arial"/>
        </w:rPr>
        <w:t>A</w:t>
      </w:r>
      <w:r w:rsidR="00084708">
        <w:rPr>
          <w:rFonts w:cs="Arial"/>
        </w:rPr>
        <w:t xml:space="preserve">genda item 3. </w:t>
      </w:r>
      <w:r w:rsidR="00F82A6E">
        <w:rPr>
          <w:rFonts w:cs="Arial"/>
        </w:rPr>
        <w:t xml:space="preserve">The draft report indicated that the Radio altimeter </w:t>
      </w:r>
      <w:r w:rsidR="00A0679F">
        <w:rPr>
          <w:rFonts w:cs="Arial"/>
        </w:rPr>
        <w:t>Standards and Recommended Practices (</w:t>
      </w:r>
      <w:r w:rsidR="00F82A6E">
        <w:rPr>
          <w:rFonts w:cs="Arial"/>
        </w:rPr>
        <w:t>SARPS</w:t>
      </w:r>
      <w:r w:rsidR="00A0679F">
        <w:rPr>
          <w:rFonts w:cs="Arial"/>
        </w:rPr>
        <w:t>)</w:t>
      </w:r>
      <w:r w:rsidR="00F82A6E">
        <w:rPr>
          <w:rFonts w:cs="Arial"/>
        </w:rPr>
        <w:t xml:space="preserve"> job card was reviewed and agreed to review the text of the job card and for participants to see if generic guidance could </w:t>
      </w:r>
      <w:r w:rsidR="00F82A6E">
        <w:rPr>
          <w:rFonts w:cs="Arial"/>
        </w:rPr>
        <w:lastRenderedPageBreak/>
        <w:t>be developed to assist aviation authorities to analyse potential 5G impacts given local implementations.</w:t>
      </w:r>
    </w:p>
    <w:p w14:paraId="294637E7" w14:textId="593C844C" w:rsidR="00F82A6E" w:rsidRDefault="00A3003E" w:rsidP="00FA7F33">
      <w:pPr>
        <w:rPr>
          <w:rFonts w:cs="Arial"/>
        </w:rPr>
      </w:pPr>
      <w:r>
        <w:rPr>
          <w:rFonts w:cs="Arial"/>
        </w:rPr>
        <w:t xml:space="preserve">Relevant input documents to the meeting included a summary of the </w:t>
      </w:r>
      <w:r w:rsidRPr="00A3003E">
        <w:rPr>
          <w:rFonts w:cs="Arial"/>
        </w:rPr>
        <w:t>Status on replanning the 3700–4200 MHz band in Australia</w:t>
      </w:r>
      <w:r>
        <w:rPr>
          <w:rFonts w:cs="Arial"/>
        </w:rPr>
        <w:t xml:space="preserve"> (Airservices Australia) and a presentation on the </w:t>
      </w:r>
      <w:r w:rsidRPr="00A3003E">
        <w:rPr>
          <w:rFonts w:cs="Arial"/>
        </w:rPr>
        <w:t>Interference Susceptibility Evaluations of Pulsed Radio Altimeters Due to 5G Mobile Base Station Signal</w:t>
      </w:r>
      <w:r>
        <w:rPr>
          <w:rFonts w:cs="Arial"/>
        </w:rPr>
        <w:t xml:space="preserve"> (Electronic Navigation Research Institute, Japan). The latter recorded the test results differences between these tests </w:t>
      </w:r>
      <w:r w:rsidR="00232B26">
        <w:rPr>
          <w:rFonts w:cs="Arial"/>
        </w:rPr>
        <w:t xml:space="preserve">with two sample units of the same model as tested by the </w:t>
      </w:r>
      <w:r w:rsidR="00612EF9" w:rsidRPr="00612EF9">
        <w:rPr>
          <w:rFonts w:cs="Arial"/>
        </w:rPr>
        <w:t>Ministry of Internal Affairs and Communications (</w:t>
      </w:r>
      <w:r w:rsidR="00232B26">
        <w:rPr>
          <w:rFonts w:cs="Arial"/>
        </w:rPr>
        <w:t>MIC</w:t>
      </w:r>
      <w:r w:rsidR="00612EF9" w:rsidRPr="00612EF9">
        <w:rPr>
          <w:rFonts w:cs="Arial"/>
        </w:rPr>
        <w:t>)</w:t>
      </w:r>
      <w:r w:rsidR="00232B26">
        <w:rPr>
          <w:rFonts w:cs="Arial"/>
        </w:rPr>
        <w:t>.</w:t>
      </w:r>
    </w:p>
    <w:p w14:paraId="7E905207" w14:textId="46830C0C" w:rsidR="001C4F9D" w:rsidRDefault="001C4F9D" w:rsidP="007F68A0">
      <w:pPr>
        <w:pStyle w:val="Heading3"/>
      </w:pPr>
      <w:bookmarkStart w:id="36" w:name="_Toc94603266"/>
      <w:r>
        <w:t>The European Union</w:t>
      </w:r>
      <w:bookmarkEnd w:id="36"/>
    </w:p>
    <w:p w14:paraId="6AB6D91D" w14:textId="5F935F11" w:rsidR="00FA7F33" w:rsidRDefault="00FA7F33" w:rsidP="00FA7F33">
      <w:pPr>
        <w:rPr>
          <w:rFonts w:cs="Arial"/>
        </w:rPr>
      </w:pPr>
      <w:r>
        <w:rPr>
          <w:rFonts w:cs="Arial"/>
        </w:rPr>
        <w:t xml:space="preserve">During the January 2021 </w:t>
      </w:r>
      <w:r w:rsidR="00EC737C">
        <w:rPr>
          <w:rFonts w:cs="Arial"/>
        </w:rPr>
        <w:t>European Electronic Communications Committee (</w:t>
      </w:r>
      <w:r>
        <w:rPr>
          <w:rFonts w:cs="Arial"/>
        </w:rPr>
        <w:t>ECC</w:t>
      </w:r>
      <w:r w:rsidR="00EC737C">
        <w:rPr>
          <w:rFonts w:cs="Arial"/>
        </w:rPr>
        <w:t>) Project Team 1 (</w:t>
      </w:r>
      <w:r>
        <w:rPr>
          <w:rFonts w:cs="Arial"/>
        </w:rPr>
        <w:t>PT1</w:t>
      </w:r>
      <w:r w:rsidR="00EC737C">
        <w:rPr>
          <w:rFonts w:cs="Arial"/>
        </w:rPr>
        <w:t>)</w:t>
      </w:r>
      <w:r w:rsidR="00E23680">
        <w:rPr>
          <w:rFonts w:cs="Arial"/>
        </w:rPr>
        <w:t xml:space="preserve"> </w:t>
      </w:r>
      <w:r>
        <w:rPr>
          <w:rFonts w:cs="Arial"/>
        </w:rPr>
        <w:t xml:space="preserve">(IMT matters) </w:t>
      </w:r>
      <w:hyperlink r:id="rId48" w:history="1">
        <w:r w:rsidRPr="00393BD4">
          <w:rPr>
            <w:rStyle w:val="Hyperlink"/>
            <w:rFonts w:cs="Arial"/>
          </w:rPr>
          <w:t>meeting</w:t>
        </w:r>
      </w:hyperlink>
      <w:r>
        <w:rPr>
          <w:rFonts w:cs="Arial"/>
        </w:rPr>
        <w:t xml:space="preserve">, a new work </w:t>
      </w:r>
      <w:hyperlink r:id="rId49" w:history="1">
        <w:r w:rsidRPr="00B92A62">
          <w:rPr>
            <w:rStyle w:val="Hyperlink"/>
            <w:rFonts w:cs="Arial"/>
          </w:rPr>
          <w:t>item</w:t>
        </w:r>
      </w:hyperlink>
      <w:r>
        <w:rPr>
          <w:rFonts w:cs="Arial"/>
        </w:rPr>
        <w:t xml:space="preserve"> concerning radio altimeters was developed and submitted to the ECC for approval.</w:t>
      </w:r>
    </w:p>
    <w:p w14:paraId="3D338128" w14:textId="15F48582" w:rsidR="00E11903" w:rsidRDefault="00E11903" w:rsidP="00FA7F33">
      <w:pPr>
        <w:rPr>
          <w:rFonts w:cs="Arial"/>
        </w:rPr>
      </w:pPr>
      <w:r>
        <w:rPr>
          <w:rFonts w:cs="Arial"/>
        </w:rPr>
        <w:t xml:space="preserve">ECC PT1 meetings #68 and #69 </w:t>
      </w:r>
      <w:r w:rsidR="00C2568D">
        <w:rPr>
          <w:rFonts w:cs="Arial"/>
        </w:rPr>
        <w:t>were</w:t>
      </w:r>
      <w:r>
        <w:rPr>
          <w:rFonts w:cs="Arial"/>
        </w:rPr>
        <w:t xml:space="preserve"> held in April and September 2021.</w:t>
      </w:r>
      <w:r w:rsidR="002E1D23">
        <w:rPr>
          <w:rFonts w:cs="Arial"/>
        </w:rPr>
        <w:t xml:space="preserve"> Documents relevant to radio altimeters include </w:t>
      </w:r>
      <w:hyperlink r:id="rId50" w:history="1">
        <w:r w:rsidR="002E1D23" w:rsidRPr="002E1D23">
          <w:rPr>
            <w:rStyle w:val="Hyperlink"/>
            <w:rFonts w:cs="Arial"/>
          </w:rPr>
          <w:t>ECC PT1(21)117</w:t>
        </w:r>
      </w:hyperlink>
      <w:r w:rsidR="002E1D23">
        <w:rPr>
          <w:rFonts w:cs="Arial"/>
        </w:rPr>
        <w:t xml:space="preserve">, </w:t>
      </w:r>
      <w:hyperlink r:id="rId51" w:history="1">
        <w:r w:rsidR="002E1D23" w:rsidRPr="002E1D23">
          <w:rPr>
            <w:rStyle w:val="Hyperlink"/>
            <w:rFonts w:cs="Arial"/>
          </w:rPr>
          <w:t>ECC PT1(21)115</w:t>
        </w:r>
      </w:hyperlink>
      <w:r w:rsidR="002E1D23">
        <w:rPr>
          <w:rFonts w:cs="Arial"/>
        </w:rPr>
        <w:t xml:space="preserve">, </w:t>
      </w:r>
      <w:hyperlink r:id="rId52" w:history="1">
        <w:r w:rsidR="002E1D23" w:rsidRPr="002E1D23">
          <w:rPr>
            <w:rStyle w:val="Hyperlink"/>
            <w:rFonts w:cs="Arial"/>
          </w:rPr>
          <w:t>ECC PT1(21)184</w:t>
        </w:r>
      </w:hyperlink>
      <w:r w:rsidR="002E1D23">
        <w:rPr>
          <w:rFonts w:cs="Arial"/>
        </w:rPr>
        <w:t xml:space="preserve">, </w:t>
      </w:r>
      <w:hyperlink r:id="rId53" w:history="1">
        <w:r w:rsidR="00FF0D57" w:rsidRPr="00FF0D57">
          <w:rPr>
            <w:rStyle w:val="Hyperlink"/>
            <w:rFonts w:cs="Arial"/>
          </w:rPr>
          <w:t>ECC PT1(21)188</w:t>
        </w:r>
      </w:hyperlink>
      <w:r w:rsidR="00FF0D57">
        <w:rPr>
          <w:rFonts w:cs="Arial"/>
        </w:rPr>
        <w:t xml:space="preserve">, </w:t>
      </w:r>
      <w:hyperlink r:id="rId54" w:history="1">
        <w:r w:rsidR="002E1D23" w:rsidRPr="002E1D23">
          <w:rPr>
            <w:rStyle w:val="Hyperlink"/>
            <w:rFonts w:cs="Arial"/>
          </w:rPr>
          <w:t>ECC PT1(21)192</w:t>
        </w:r>
      </w:hyperlink>
      <w:r w:rsidR="002E1D23">
        <w:rPr>
          <w:rFonts w:cs="Arial"/>
        </w:rPr>
        <w:t xml:space="preserve">, </w:t>
      </w:r>
      <w:hyperlink r:id="rId55" w:history="1">
        <w:r w:rsidR="00C80A1F" w:rsidRPr="00C80A1F">
          <w:rPr>
            <w:rStyle w:val="Hyperlink"/>
            <w:rFonts w:cs="Arial"/>
          </w:rPr>
          <w:t>ECC PT1(210234 ANNEX VIII-14</w:t>
        </w:r>
      </w:hyperlink>
      <w:r w:rsidR="00C80A1F">
        <w:rPr>
          <w:rFonts w:cs="Arial"/>
        </w:rPr>
        <w:t>.  The latter is a skeleton working document for an EC report on the</w:t>
      </w:r>
      <w:r w:rsidR="00C80A1F" w:rsidRPr="00C80A1F">
        <w:t xml:space="preserve"> </w:t>
      </w:r>
      <w:r w:rsidR="00C80A1F" w:rsidRPr="00C80A1F">
        <w:rPr>
          <w:rFonts w:cs="Arial"/>
        </w:rPr>
        <w:t xml:space="preserve">Compatibility between </w:t>
      </w:r>
      <w:r w:rsidR="00C2568D">
        <w:rPr>
          <w:rFonts w:cs="Arial"/>
        </w:rPr>
        <w:t>WBB</w:t>
      </w:r>
      <w:r w:rsidR="00C80A1F" w:rsidRPr="00C80A1F">
        <w:rPr>
          <w:rFonts w:cs="Arial"/>
        </w:rPr>
        <w:t xml:space="preserve"> operating in 3400-3800 MHz and Radio Altimeters (RA) operating in 4200-4400 </w:t>
      </w:r>
      <w:r w:rsidR="00C80A1F">
        <w:rPr>
          <w:rFonts w:cs="Arial"/>
        </w:rPr>
        <w:t xml:space="preserve">MHz. </w:t>
      </w:r>
      <w:r w:rsidR="00FF0D57">
        <w:rPr>
          <w:rFonts w:cs="Arial"/>
        </w:rPr>
        <w:t xml:space="preserve"> The draft meeting </w:t>
      </w:r>
      <w:hyperlink r:id="rId56" w:history="1">
        <w:r w:rsidR="00FF0D57" w:rsidRPr="00FF0D57">
          <w:rPr>
            <w:rStyle w:val="Hyperlink"/>
            <w:rFonts w:cs="Arial"/>
          </w:rPr>
          <w:t>minutes</w:t>
        </w:r>
      </w:hyperlink>
      <w:r w:rsidR="00FF0D57">
        <w:rPr>
          <w:rFonts w:cs="Arial"/>
        </w:rPr>
        <w:t xml:space="preserve"> noted the </w:t>
      </w:r>
      <w:r w:rsidR="00F36AB7">
        <w:rPr>
          <w:rFonts w:cs="Arial"/>
        </w:rPr>
        <w:t>lack of progress</w:t>
      </w:r>
      <w:r w:rsidR="00FF0D57">
        <w:rPr>
          <w:rFonts w:cs="Arial"/>
        </w:rPr>
        <w:t xml:space="preserve"> in obtaining accurate radio altimeter parameters and what to do in their absence.</w:t>
      </w:r>
    </w:p>
    <w:p w14:paraId="2C904D34" w14:textId="2DA4D2EF" w:rsidR="001C4F9D" w:rsidRDefault="001C4F9D" w:rsidP="007F68A0">
      <w:pPr>
        <w:pStyle w:val="Heading3"/>
      </w:pPr>
      <w:bookmarkStart w:id="37" w:name="_Toc94603267"/>
      <w:r>
        <w:t>The United States</w:t>
      </w:r>
      <w:r w:rsidR="00CE46C4">
        <w:t xml:space="preserve"> of America</w:t>
      </w:r>
      <w:bookmarkEnd w:id="37"/>
    </w:p>
    <w:p w14:paraId="1380B850" w14:textId="172F4B38" w:rsidR="0079090F" w:rsidRDefault="00FA7F33" w:rsidP="00FA7F33">
      <w:r>
        <w:rPr>
          <w:rFonts w:cs="Arial"/>
        </w:rPr>
        <w:t>In the U</w:t>
      </w:r>
      <w:r w:rsidR="00CE46C4">
        <w:rPr>
          <w:rFonts w:cs="Arial"/>
        </w:rPr>
        <w:t xml:space="preserve">nited </w:t>
      </w:r>
      <w:r>
        <w:rPr>
          <w:rFonts w:cs="Arial"/>
        </w:rPr>
        <w:t>S</w:t>
      </w:r>
      <w:r w:rsidR="00CE46C4">
        <w:rPr>
          <w:rFonts w:cs="Arial"/>
        </w:rPr>
        <w:t>tates (US)</w:t>
      </w:r>
      <w:r>
        <w:rPr>
          <w:rFonts w:cs="Arial"/>
        </w:rPr>
        <w:t xml:space="preserve">, there has been ongoing discussion about the </w:t>
      </w:r>
      <w:hyperlink r:id="rId57" w:history="1">
        <w:r>
          <w:rPr>
            <w:rStyle w:val="Hyperlink"/>
          </w:rPr>
          <w:t>RTCA Report 274-20</w:t>
        </w:r>
      </w:hyperlink>
      <w:r>
        <w:t xml:space="preserve">, which was referenced in the 3700-4200 MHz Outcomes paper. Some of the submissions on the issue were shared with the TLG, principally from the </w:t>
      </w:r>
      <w:r w:rsidR="00612EF9">
        <w:t>Cellular Telecommunications and Internet Association (</w:t>
      </w:r>
      <w:r>
        <w:t xml:space="preserve"> </w:t>
      </w:r>
      <w:hyperlink r:id="rId58" w:history="1">
        <w:r w:rsidRPr="00003A4A">
          <w:rPr>
            <w:rStyle w:val="Hyperlink"/>
          </w:rPr>
          <w:t>CTIA</w:t>
        </w:r>
      </w:hyperlink>
      <w:r w:rsidR="00612EF9">
        <w:rPr>
          <w:rStyle w:val="Hyperlink"/>
        </w:rPr>
        <w:t>)</w:t>
      </w:r>
      <w:r>
        <w:t xml:space="preserve"> and the </w:t>
      </w:r>
      <w:r w:rsidR="00612EF9" w:rsidRPr="00612EF9">
        <w:t>Radio Technical Commission for Aeronautics</w:t>
      </w:r>
      <w:r w:rsidR="00612EF9">
        <w:t xml:space="preserve"> (</w:t>
      </w:r>
      <w:r>
        <w:t xml:space="preserve"> </w:t>
      </w:r>
      <w:hyperlink r:id="rId59" w:history="1">
        <w:r w:rsidRPr="00003A4A">
          <w:rPr>
            <w:rStyle w:val="Hyperlink"/>
          </w:rPr>
          <w:t>RTCA</w:t>
        </w:r>
      </w:hyperlink>
      <w:r w:rsidR="00612EF9">
        <w:rPr>
          <w:rStyle w:val="Hyperlink"/>
        </w:rPr>
        <w:t>)</w:t>
      </w:r>
      <w:r>
        <w:t>. In short, there is no agreement from the CTIA that the RTCA report accurately represents the potential for interference from 5G services into radio altimeters.</w:t>
      </w:r>
    </w:p>
    <w:p w14:paraId="31DE423F" w14:textId="0C656AE7" w:rsidR="00FA7F33" w:rsidRDefault="0079090F" w:rsidP="00FA7F33">
      <w:r>
        <w:t>In November 2021, the Federal Aviation Administration (FAA</w:t>
      </w:r>
      <w:r w:rsidR="00BA4B06">
        <w:rPr>
          <w:rStyle w:val="FootnoteReference"/>
        </w:rPr>
        <w:footnoteReference w:id="9"/>
      </w:r>
      <w:r>
        <w:t xml:space="preserve">) release a special airworthiness </w:t>
      </w:r>
      <w:hyperlink r:id="rId60" w:history="1">
        <w:r w:rsidRPr="0079090F">
          <w:rPr>
            <w:rStyle w:val="Hyperlink"/>
          </w:rPr>
          <w:t>bulletin</w:t>
        </w:r>
      </w:hyperlink>
      <w:r>
        <w:t xml:space="preserve"> (SAIB). In summary, it recommends that aviation manufacturers and operators provide radio altimeter design, deployment and usage information to federal authorities so that altimeters can be </w:t>
      </w:r>
      <w:r w:rsidR="002C59DA">
        <w:t>assessed</w:t>
      </w:r>
      <w:r>
        <w:t xml:space="preserve"> to guide risk assessment of whether further mitigation is warranted above that stated in the SAIB. It requests altimeter and aircraft manufacturers provide information and conduct their own testing to determine appropriate aircraft operational restrictions. Operators are requested to manage passenger electronic devices and potential degradation of radio altimeter capabilities</w:t>
      </w:r>
      <w:r w:rsidR="00D0112C">
        <w:t>, ahead of a staged WBB deployment from 5 December 2021, initia</w:t>
      </w:r>
      <w:r w:rsidR="008537EC">
        <w:t>l</w:t>
      </w:r>
      <w:r w:rsidR="00D0112C">
        <w:t>l</w:t>
      </w:r>
      <w:r w:rsidR="008537EC">
        <w:t>y</w:t>
      </w:r>
      <w:r w:rsidR="00D0112C">
        <w:t xml:space="preserve"> restricted to 46 markets and </w:t>
      </w:r>
      <w:r w:rsidR="008537EC">
        <w:t xml:space="preserve">to the </w:t>
      </w:r>
      <w:r w:rsidR="00D0112C">
        <w:t xml:space="preserve">3700-3800 </w:t>
      </w:r>
      <w:r w:rsidR="008537EC">
        <w:t>MHz range</w:t>
      </w:r>
      <w:r>
        <w:t>.</w:t>
      </w:r>
    </w:p>
    <w:p w14:paraId="2A445AD8" w14:textId="509214CE" w:rsidR="00D670C1" w:rsidRDefault="00D670C1" w:rsidP="00FA7F33">
      <w:r>
        <w:t xml:space="preserve">On 4 November 2021, US carriers Verizon and AT&amp;T </w:t>
      </w:r>
      <w:hyperlink r:id="rId61" w:history="1">
        <w:r w:rsidRPr="00D670C1">
          <w:rPr>
            <w:rStyle w:val="Hyperlink"/>
          </w:rPr>
          <w:t>announced</w:t>
        </w:r>
      </w:hyperlink>
      <w:r>
        <w:t xml:space="preserve"> that they would delay their rollouts until 5 January at the request of the Transportation department. </w:t>
      </w:r>
      <w:r w:rsidR="00BC67CF">
        <w:t>On 25 November 2021, they</w:t>
      </w:r>
      <w:r w:rsidR="00241A29">
        <w:t xml:space="preserve"> </w:t>
      </w:r>
      <w:r w:rsidR="00635690">
        <w:t>subsequently</w:t>
      </w:r>
      <w:r w:rsidR="00BC67CF">
        <w:t xml:space="preserve"> </w:t>
      </w:r>
      <w:hyperlink r:id="rId62" w:history="1">
        <w:r w:rsidR="00BC67CF" w:rsidRPr="00FE55D2">
          <w:rPr>
            <w:rStyle w:val="Hyperlink"/>
          </w:rPr>
          <w:t>advised</w:t>
        </w:r>
      </w:hyperlink>
      <w:r w:rsidR="00BC67CF">
        <w:t xml:space="preserve"> the FCC that they would voluntarily limit 5G base station powers, expiring July 6 2022 unless credible evidence to warrant it’s continuation emerges.</w:t>
      </w:r>
    </w:p>
    <w:p w14:paraId="534A8298" w14:textId="08D4DA02" w:rsidR="00BC67CF" w:rsidRDefault="00BC67CF" w:rsidP="00FA7F33">
      <w:r>
        <w:t xml:space="preserve">The temporary limits </w:t>
      </w:r>
      <w:r w:rsidR="00635690">
        <w:t>were</w:t>
      </w:r>
      <w:r>
        <w:t>:</w:t>
      </w:r>
    </w:p>
    <w:p w14:paraId="1EA5FF38" w14:textId="4AF7EC79" w:rsidR="00BC67CF" w:rsidRDefault="00BC67CF" w:rsidP="00BC67CF">
      <w:pPr>
        <w:pStyle w:val="ListParagraph"/>
        <w:numPr>
          <w:ilvl w:val="0"/>
          <w:numId w:val="48"/>
        </w:numPr>
      </w:pPr>
      <w:bookmarkStart w:id="38" w:name="_Hlk89439315"/>
      <w:r w:rsidRPr="00BC67CF">
        <w:lastRenderedPageBreak/>
        <w:t xml:space="preserve">limiting </w:t>
      </w:r>
      <w:r>
        <w:t>base station</w:t>
      </w:r>
      <w:r w:rsidRPr="00BC67CF">
        <w:t xml:space="preserve"> effective </w:t>
      </w:r>
      <w:r w:rsidR="00795A76">
        <w:rPr>
          <w:rStyle w:val="FootnoteReference"/>
        </w:rPr>
        <w:footnoteReference w:id="10"/>
      </w:r>
      <w:r w:rsidRPr="00BC67CF">
        <w:t>isotropic radiated power (EIRP) to no more than the lesser of: (a) 62 dBm/MHz or (b) 48 + 20 × log10(1/sin(Ɵ)) dBm/MHz, where Ɵ is the elevation angle above the horizontal plane of the base station antenna.</w:t>
      </w:r>
    </w:p>
    <w:bookmarkEnd w:id="38"/>
    <w:p w14:paraId="5C4B2F4B" w14:textId="454393F2" w:rsidR="00BC67CF" w:rsidRDefault="004F4591" w:rsidP="00BC67CF">
      <w:pPr>
        <w:pStyle w:val="ListParagraph"/>
        <w:numPr>
          <w:ilvl w:val="0"/>
          <w:numId w:val="48"/>
        </w:numPr>
      </w:pPr>
      <w:r>
        <w:t>A series of limits near public airports with paved runways</w:t>
      </w:r>
      <w:r w:rsidR="00FE55D2">
        <w:t xml:space="preserve"> and heliports:</w:t>
      </w:r>
    </w:p>
    <w:p w14:paraId="3F19BA9D" w14:textId="40685050" w:rsidR="00FE55D2" w:rsidRDefault="00FE55D2" w:rsidP="007F68A0">
      <w:pPr>
        <w:pStyle w:val="ListParagraph"/>
        <w:numPr>
          <w:ilvl w:val="0"/>
          <w:numId w:val="48"/>
        </w:numPr>
        <w:ind w:left="993" w:hanging="633"/>
      </w:pPr>
      <w:r>
        <w:t>1</w:t>
      </w:r>
      <w:r w:rsidR="00450879">
        <w:t>.</w:t>
      </w:r>
      <w:r>
        <w:t xml:space="preserve"> Limit C-band power flux density (“PFD”) to a maximum of -30 dBW/m</w:t>
      </w:r>
      <w:r w:rsidRPr="007F68A0">
        <w:rPr>
          <w:vertAlign w:val="superscript"/>
        </w:rPr>
        <w:t>2</w:t>
      </w:r>
      <w:r>
        <w:t xml:space="preserve"> /MHz within the horizontal plane surface 300 feet above the established airport elevation described by swinging arcs of 1 nautical mile (6,076 feet) radius from the center of each end of the primary surface of each paved runway and connecting the adjacent arcs by lines tangent to those arcs.</w:t>
      </w:r>
    </w:p>
    <w:p w14:paraId="524C34A3" w14:textId="3830862B" w:rsidR="00FE55D2" w:rsidRDefault="00FE55D2" w:rsidP="007F68A0">
      <w:pPr>
        <w:pStyle w:val="ListParagraph"/>
        <w:numPr>
          <w:ilvl w:val="0"/>
          <w:numId w:val="48"/>
        </w:numPr>
        <w:ind w:left="993" w:hanging="633"/>
      </w:pPr>
      <w:r>
        <w:t>2</w:t>
      </w:r>
      <w:r w:rsidR="00450879">
        <w:t>.</w:t>
      </w:r>
      <w:r>
        <w:t xml:space="preserve"> Limit C-band PFD to a maximum of -31 dBW/m</w:t>
      </w:r>
      <w:r w:rsidRPr="007F68A0">
        <w:rPr>
          <w:vertAlign w:val="superscript"/>
        </w:rPr>
        <w:t>2</w:t>
      </w:r>
      <w:r>
        <w:t xml:space="preserve"> /MHz at the surface of all paved runways, within the boundaries of the runway edges and runway threshold lines. </w:t>
      </w:r>
    </w:p>
    <w:p w14:paraId="26D8F5CD" w14:textId="572A5B0C" w:rsidR="00FE55D2" w:rsidRDefault="00FE55D2" w:rsidP="007F68A0">
      <w:pPr>
        <w:pStyle w:val="ListParagraph"/>
        <w:numPr>
          <w:ilvl w:val="0"/>
          <w:numId w:val="48"/>
        </w:numPr>
        <w:ind w:left="993" w:hanging="633"/>
      </w:pPr>
      <w:r>
        <w:t>3</w:t>
      </w:r>
      <w:r w:rsidR="00450879">
        <w:t>.</w:t>
      </w:r>
      <w:r>
        <w:t xml:space="preserve"> Limit C-band PFD to a maximum of -19 dBW/m</w:t>
      </w:r>
      <w:r w:rsidRPr="007F68A0">
        <w:rPr>
          <w:vertAlign w:val="superscript"/>
        </w:rPr>
        <w:t>2</w:t>
      </w:r>
      <w:r>
        <w:t xml:space="preserve"> /MHz at the surface of all paved aprons and paved taxiways (i.e., movement and non-movement areas).</w:t>
      </w:r>
    </w:p>
    <w:p w14:paraId="66C6119D" w14:textId="4A285B90" w:rsidR="003F2BC4" w:rsidRDefault="00FE55D2" w:rsidP="007F68A0">
      <w:pPr>
        <w:pStyle w:val="ListParagraph"/>
        <w:numPr>
          <w:ilvl w:val="0"/>
          <w:numId w:val="48"/>
        </w:numPr>
        <w:ind w:left="993" w:hanging="633"/>
      </w:pPr>
      <w:r>
        <w:t>4</w:t>
      </w:r>
      <w:r w:rsidR="00450879">
        <w:t>.</w:t>
      </w:r>
      <w:r>
        <w:t xml:space="preserve"> Limit C-band EIRP from 5G base stations to no more than 37 dBm/MHz in a rectangular area centered on the runway centerline with a length extending to 1,000 feet beyond the runway threshold at each end of the paved runway, and laterally from the extended centerline, up to and including 600 feet on either side. </w:t>
      </w:r>
    </w:p>
    <w:p w14:paraId="69B80030" w14:textId="4DB34D6E" w:rsidR="00F17527" w:rsidRDefault="00FE55D2" w:rsidP="007F68A0">
      <w:pPr>
        <w:pStyle w:val="ListParagraph"/>
        <w:numPr>
          <w:ilvl w:val="0"/>
          <w:numId w:val="48"/>
        </w:numPr>
        <w:ind w:left="993" w:hanging="633"/>
      </w:pPr>
      <w:r>
        <w:t>5</w:t>
      </w:r>
      <w:r w:rsidR="00450879">
        <w:t>.</w:t>
      </w:r>
      <w:r>
        <w:t xml:space="preserve"> Limit C-band EIRP from 5G base stations to no more than 55 dBm/MHz EIRP in the area from 600 feet laterally up to and including 1,000 feet laterally on either side of the runway centerline extended to 1,000 feet beyond the runway threshold at each end of the runway. </w:t>
      </w:r>
    </w:p>
    <w:p w14:paraId="30D68FD8" w14:textId="4542E8D2" w:rsidR="00FE55D2" w:rsidRDefault="00FE55D2" w:rsidP="007F68A0">
      <w:pPr>
        <w:pStyle w:val="ListParagraph"/>
        <w:numPr>
          <w:ilvl w:val="0"/>
          <w:numId w:val="48"/>
        </w:numPr>
        <w:ind w:left="993" w:hanging="633"/>
      </w:pPr>
      <w:r>
        <w:t>6</w:t>
      </w:r>
      <w:r w:rsidR="00450879">
        <w:t>.</w:t>
      </w:r>
      <w:r>
        <w:t xml:space="preserve"> Base stations within the Final Approach Box (“FAB”), as defined below, at either end of all paved runways, will: </w:t>
      </w:r>
    </w:p>
    <w:p w14:paraId="3F142EC0" w14:textId="002343B8" w:rsidR="00FE55D2" w:rsidRDefault="00FE55D2" w:rsidP="007F68A0">
      <w:pPr>
        <w:pStyle w:val="ListParagraph"/>
        <w:numPr>
          <w:ilvl w:val="1"/>
          <w:numId w:val="48"/>
        </w:numPr>
      </w:pPr>
      <w:r>
        <w:t xml:space="preserve">6.1 Use C-band antennas that do not exceed a centerline height equivalent to a 50:1 approach surface above the touchdown zone elevation beginning at the primary surface, where the touchdown zone elevation is the highest elevation along the first 3,000 feet of the runway at that end of the runway and the primary surface is a surface longitudinally centered on a runway that extends 200 feet beyond each end of that runway.29 </w:t>
      </w:r>
    </w:p>
    <w:p w14:paraId="73FAC593" w14:textId="23AFB7ED" w:rsidR="00FE55D2" w:rsidRDefault="00FE55D2" w:rsidP="007F68A0">
      <w:pPr>
        <w:pStyle w:val="ListParagraph"/>
        <w:numPr>
          <w:ilvl w:val="1"/>
          <w:numId w:val="48"/>
        </w:numPr>
      </w:pPr>
      <w:r>
        <w:t xml:space="preserve">6.2 Limit C-band EIRP above the horizon to no more than the lesser of: (a) 62 dBm/MHz or (b) 39 + [0.005788 × (Dm - 305m)] + [20 × log10(1/sin(Ɵ))] dBm/MHz, where Dm is the horizontal distance from the base station to the runway threshold and Ɵ is the elevation angle above the horizontal plane of the base station antenna. </w:t>
      </w:r>
    </w:p>
    <w:p w14:paraId="71CD31CE" w14:textId="08FA0510" w:rsidR="002B1D58" w:rsidRDefault="00FE55D2" w:rsidP="00F17527">
      <w:pPr>
        <w:pStyle w:val="ListParagraph"/>
        <w:numPr>
          <w:ilvl w:val="1"/>
          <w:numId w:val="48"/>
        </w:numPr>
      </w:pPr>
      <w:r>
        <w:t xml:space="preserve">6.3 For purposes of 6.1 and 6.2, the FAB is defined as an isoceles trapezoid with its short side (top) orthogonal to the runway centerline (extended beyond the runway threshold), centered on the extended runway centerline, with the top positioned 1,000 feet from the runway threshold away from the runway, with a height of 5,100 feet, and with a long side (bottom) that is 3,772 feet. </w:t>
      </w:r>
    </w:p>
    <w:p w14:paraId="4C8F82A8" w14:textId="4CB9BD84" w:rsidR="00FE55D2" w:rsidRDefault="00FE55D2">
      <w:pPr>
        <w:ind w:left="1080"/>
      </w:pPr>
      <w:r>
        <w:t>In addition, for all public use Heliports, limit C-band PFD to no more than -16 dBW/m</w:t>
      </w:r>
      <w:r w:rsidRPr="007F68A0">
        <w:rPr>
          <w:vertAlign w:val="superscript"/>
        </w:rPr>
        <w:t>2</w:t>
      </w:r>
      <w:r>
        <w:t>/MHz on the primary surfaces of helipads.</w:t>
      </w:r>
    </w:p>
    <w:p w14:paraId="73A63573" w14:textId="729E98CF" w:rsidR="00E82AC6" w:rsidRDefault="008A2B92" w:rsidP="00E82AC6">
      <w:r>
        <w:lastRenderedPageBreak/>
        <w:t xml:space="preserve">Subsequent to the Verizon and AT&amp;T letter, the </w:t>
      </w:r>
      <w:r w:rsidR="00B11B83">
        <w:t>Aerospace</w:t>
      </w:r>
      <w:r>
        <w:t xml:space="preserve"> </w:t>
      </w:r>
      <w:r w:rsidR="00B11B83">
        <w:t>Industries</w:t>
      </w:r>
      <w:r>
        <w:t xml:space="preserve"> </w:t>
      </w:r>
      <w:r w:rsidR="00B11B83">
        <w:t>Association</w:t>
      </w:r>
      <w:r>
        <w:t xml:space="preserve"> (AIA) </w:t>
      </w:r>
      <w:hyperlink r:id="rId63" w:history="1">
        <w:r w:rsidRPr="002772BC">
          <w:rPr>
            <w:rStyle w:val="Hyperlink"/>
          </w:rPr>
          <w:t>wrote</w:t>
        </w:r>
      </w:hyperlink>
      <w:r>
        <w:t xml:space="preserve"> to the FCC</w:t>
      </w:r>
      <w:r w:rsidR="00B11B83">
        <w:t xml:space="preserve"> on 6 December 2021</w:t>
      </w:r>
      <w:r>
        <w:t xml:space="preserve">, </w:t>
      </w:r>
      <w:r w:rsidR="002772BC">
        <w:t>with their own proposal for safety measures, considering that the Verizon and AT&amp;T proposals were “inadequate and far too narrow to ensure the safety and economic vitality of the aviation industry”.</w:t>
      </w:r>
      <w:r w:rsidR="00B11B83">
        <w:t xml:space="preserve"> </w:t>
      </w:r>
      <w:r w:rsidR="00E82AC6">
        <w:t xml:space="preserve"> It retains some elements of the Verizon/AT&amp;T proposal but adds a number of different elements in order to “preclude the need for an AMOC (Alternate Means of Compliance) and provide compatibility with relevant user category 1 (large air transport / cargo)</w:t>
      </w:r>
      <w:r w:rsidR="00E42671">
        <w:t xml:space="preserve"> platforms</w:t>
      </w:r>
      <w:r w:rsidR="00E82AC6">
        <w:t xml:space="preserve">” (and a subset of Category 2 regional commuter jets/turboprops). </w:t>
      </w:r>
    </w:p>
    <w:p w14:paraId="20E8D2C6" w14:textId="6A5151FD" w:rsidR="00126F99" w:rsidRDefault="00126F99" w:rsidP="00E82AC6">
      <w:r>
        <w:t>It defines limits on defined “protected services” and also, to better cater for helicopters, it also modifies the Verizon/AT&amp;T general EIRP limit curve.</w:t>
      </w:r>
    </w:p>
    <w:p w14:paraId="4CC34EA5" w14:textId="632C73A0" w:rsidR="00112ADF" w:rsidRDefault="00112ADF" w:rsidP="00112ADF">
      <w:r>
        <w:t xml:space="preserve">The Aerospace Vehicle Systems Institute (AVSI) also released on 6 December 2021 to the FCC a number of documents related to “Derivation of Radar Altimeter Interference Tolerance Masks” that were summarised in the RTCA report. They can be found through the </w:t>
      </w:r>
      <w:hyperlink r:id="rId64" w:history="1">
        <w:r w:rsidRPr="00112ADF">
          <w:rPr>
            <w:rStyle w:val="Hyperlink"/>
          </w:rPr>
          <w:t>filings</w:t>
        </w:r>
      </w:hyperlink>
      <w:r>
        <w:t xml:space="preserve"> for the US C-band project.</w:t>
      </w:r>
    </w:p>
    <w:p w14:paraId="5D58FD14" w14:textId="6899C2A9" w:rsidR="001C4F9D" w:rsidRDefault="001C4F9D" w:rsidP="007F68A0">
      <w:pPr>
        <w:pStyle w:val="Heading3"/>
      </w:pPr>
      <w:bookmarkStart w:id="39" w:name="_Toc94603268"/>
      <w:r>
        <w:t>France</w:t>
      </w:r>
      <w:bookmarkEnd w:id="39"/>
    </w:p>
    <w:p w14:paraId="6DCDACC7" w14:textId="54A1A24F" w:rsidR="001C4F9D" w:rsidRDefault="0035435C" w:rsidP="00FA7F33">
      <w:r>
        <w:t xml:space="preserve">From information contained in the ICAO FSMP meeting WG11 input </w:t>
      </w:r>
      <w:hyperlink r:id="rId65" w:history="1">
        <w:r w:rsidRPr="0035435C">
          <w:rPr>
            <w:rStyle w:val="Hyperlink"/>
          </w:rPr>
          <w:t>document</w:t>
        </w:r>
      </w:hyperlink>
      <w:r>
        <w:t>, mitigations in France included</w:t>
      </w:r>
      <w:r w:rsidR="005518F1">
        <w:t>, in the range 3400-3800 MHz</w:t>
      </w:r>
      <w:r>
        <w:t>:</w:t>
      </w:r>
    </w:p>
    <w:p w14:paraId="65D99D4A" w14:textId="7857ED79" w:rsidR="0035435C" w:rsidRDefault="0035435C" w:rsidP="0035435C">
      <w:pPr>
        <w:pStyle w:val="Bulletlevel1"/>
      </w:pPr>
      <w:r>
        <w:t>No operation above the horizon (</w:t>
      </w:r>
      <w:r w:rsidR="003C0A87">
        <w:t>removed</w:t>
      </w:r>
      <w:r>
        <w:t xml:space="preserve"> in Mar 2021)</w:t>
      </w:r>
    </w:p>
    <w:p w14:paraId="68740A81" w14:textId="5CCE51DB" w:rsidR="0035435C" w:rsidRDefault="0035435C" w:rsidP="0035435C">
      <w:pPr>
        <w:pStyle w:val="Bulletlevel1"/>
      </w:pPr>
      <w:r>
        <w:t xml:space="preserve">Operators </w:t>
      </w:r>
      <w:r w:rsidR="00450879">
        <w:t>must</w:t>
      </w:r>
      <w:r>
        <w:t xml:space="preserve"> take measures to avoid grating lobes as far as practicable</w:t>
      </w:r>
    </w:p>
    <w:p w14:paraId="46C3E2E9" w14:textId="77777777" w:rsidR="0035435C" w:rsidRDefault="0035435C" w:rsidP="0035435C">
      <w:pPr>
        <w:pStyle w:val="Bulletlevel1"/>
      </w:pPr>
      <w:r w:rsidRPr="007F68A0">
        <w:rPr>
          <w:u w:val="single"/>
        </w:rPr>
        <w:t>Protection Zones</w:t>
      </w:r>
      <w:r>
        <w:t xml:space="preserve"> around IFR aerodromes, these zones do not apply if the operator provides calculations that show that radio altimeters are protected</w:t>
      </w:r>
    </w:p>
    <w:p w14:paraId="63E4DBA2" w14:textId="6E29843D" w:rsidR="0035435C" w:rsidRDefault="0035435C" w:rsidP="0035435C">
      <w:pPr>
        <w:pStyle w:val="Bulletlevel1"/>
      </w:pPr>
      <w:r w:rsidRPr="007F68A0">
        <w:rPr>
          <w:u w:val="single"/>
        </w:rPr>
        <w:t>Safety zone</w:t>
      </w:r>
      <w:r w:rsidR="00CD4E74">
        <w:t>:</w:t>
      </w:r>
    </w:p>
    <w:p w14:paraId="5DCAD1A2" w14:textId="77777777" w:rsidR="0035435C" w:rsidRDefault="0035435C" w:rsidP="0035435C">
      <w:pPr>
        <w:pStyle w:val="Bulletlevel2"/>
      </w:pPr>
      <w:r>
        <w:t>Applied to all IFR aerodromes and some helicopter platforms</w:t>
      </w:r>
    </w:p>
    <w:p w14:paraId="7551DDE8" w14:textId="5CC5B2B1" w:rsidR="0035435C" w:rsidRDefault="0035435C" w:rsidP="0035435C">
      <w:pPr>
        <w:pStyle w:val="Bulletlevel2"/>
      </w:pPr>
      <w:r>
        <w:t>Extends 910 m from the width edge of the runway and 2100 m from the ends</w:t>
      </w:r>
      <w:r w:rsidR="006F739E">
        <w:t xml:space="preserve"> where </w:t>
      </w:r>
      <w:r>
        <w:t>5G base stations not allowed to transmit</w:t>
      </w:r>
    </w:p>
    <w:p w14:paraId="60BB0F5B" w14:textId="77777777" w:rsidR="0035435C" w:rsidRDefault="0035435C" w:rsidP="0035435C">
      <w:pPr>
        <w:pStyle w:val="Bulletlevel2"/>
      </w:pPr>
      <w:r>
        <w:t>To protect where the aircraft is at or below 61 m</w:t>
      </w:r>
    </w:p>
    <w:p w14:paraId="0348FC7D" w14:textId="7468398B" w:rsidR="0035435C" w:rsidRPr="007F68A0" w:rsidRDefault="0035435C" w:rsidP="0035435C">
      <w:pPr>
        <w:pStyle w:val="Bulletlevel1"/>
        <w:rPr>
          <w:u w:val="single"/>
        </w:rPr>
      </w:pPr>
      <w:r w:rsidRPr="007F68A0">
        <w:rPr>
          <w:u w:val="single"/>
        </w:rPr>
        <w:t>Precaution zone</w:t>
      </w:r>
      <w:r w:rsidR="00CD4E74" w:rsidRPr="007F68A0">
        <w:rPr>
          <w:u w:val="single"/>
        </w:rPr>
        <w:t>:</w:t>
      </w:r>
    </w:p>
    <w:p w14:paraId="220B0680" w14:textId="77777777" w:rsidR="0035435C" w:rsidRDefault="0035435C" w:rsidP="0035435C">
      <w:pPr>
        <w:pStyle w:val="Bulletlevel2"/>
      </w:pPr>
      <w:r>
        <w:t>Either side of the safety zones</w:t>
      </w:r>
    </w:p>
    <w:p w14:paraId="1C053419" w14:textId="77777777" w:rsidR="0035435C" w:rsidRDefault="0035435C" w:rsidP="0035435C">
      <w:pPr>
        <w:pStyle w:val="Bulletlevel2"/>
      </w:pPr>
      <w:r>
        <w:t>To protect where the aircraft is below 305 m</w:t>
      </w:r>
    </w:p>
    <w:p w14:paraId="0EAC542A" w14:textId="77777777" w:rsidR="0035435C" w:rsidRDefault="0035435C" w:rsidP="0035435C">
      <w:pPr>
        <w:pStyle w:val="Bulletlevel2"/>
      </w:pPr>
      <w:r>
        <w:t>5G base stations are coordinated (there isn’t further information on what this means)</w:t>
      </w:r>
    </w:p>
    <w:p w14:paraId="042581C3" w14:textId="2BDB2B1D" w:rsidR="0035435C" w:rsidRDefault="0035435C" w:rsidP="0035435C">
      <w:pPr>
        <w:pStyle w:val="Bulletlevel2"/>
      </w:pPr>
      <w:r>
        <w:t>800 m wide and 6100 m from the ends of the exclusion zone</w:t>
      </w:r>
      <w:r w:rsidR="00CD4E74">
        <w:t>.</w:t>
      </w:r>
    </w:p>
    <w:p w14:paraId="2150C2D9" w14:textId="3D88D2E4" w:rsidR="0035435C" w:rsidRDefault="00CD4E74" w:rsidP="00FA7F33">
      <w:r>
        <w:t>Studies were based on the RTCA studies, including the aviation industry 6</w:t>
      </w:r>
      <w:r w:rsidR="00DB3470">
        <w:t xml:space="preserve"> </w:t>
      </w:r>
      <w:r>
        <w:t>dB “safety factor</w:t>
      </w:r>
      <w:r w:rsidR="001F4CD5">
        <w:t>”</w:t>
      </w:r>
      <w:r>
        <w:t>.</w:t>
      </w:r>
      <w:r w:rsidR="005D7B90">
        <w:t xml:space="preserve"> Given </w:t>
      </w:r>
      <w:r w:rsidR="001172A5">
        <w:t>the ACMA</w:t>
      </w:r>
      <w:r w:rsidR="005D7B90">
        <w:t xml:space="preserve"> comments on the RTCA report in the Outcomes paper, these mitigations are likely to be conservative.</w:t>
      </w:r>
      <w:r w:rsidR="00AB28E1">
        <w:t xml:space="preserve"> France considered </w:t>
      </w:r>
      <w:r w:rsidR="00194D2B">
        <w:t>that</w:t>
      </w:r>
      <w:r w:rsidR="00AB28E1">
        <w:t xml:space="preserve"> the unwanted emission environment </w:t>
      </w:r>
      <w:r w:rsidR="00194D2B">
        <w:t xml:space="preserve">in Europe </w:t>
      </w:r>
      <w:r w:rsidR="00060A51">
        <w:t xml:space="preserve">is </w:t>
      </w:r>
      <w:r w:rsidR="00AB28E1">
        <w:t xml:space="preserve">different </w:t>
      </w:r>
      <w:r w:rsidR="00194D2B">
        <w:t>from that in</w:t>
      </w:r>
      <w:r w:rsidR="00AB28E1">
        <w:t xml:space="preserve"> the USA</w:t>
      </w:r>
      <w:r w:rsidR="00194D2B">
        <w:t>,</w:t>
      </w:r>
      <w:r w:rsidR="00AB28E1">
        <w:t xml:space="preserve"> and </w:t>
      </w:r>
      <w:r w:rsidR="00194D2B">
        <w:t>consequently decided</w:t>
      </w:r>
      <w:r w:rsidR="00AB28E1">
        <w:t xml:space="preserve"> not </w:t>
      </w:r>
      <w:r w:rsidR="00194D2B">
        <w:t>to consider</w:t>
      </w:r>
      <w:r w:rsidR="00AB28E1">
        <w:t xml:space="preserve"> the unwanted emission assessment of the RTCA report.</w:t>
      </w:r>
    </w:p>
    <w:p w14:paraId="73B7CDC2" w14:textId="14054651" w:rsidR="00FE61AE" w:rsidRDefault="00FE61AE" w:rsidP="00FE61AE">
      <w:pPr>
        <w:pStyle w:val="Heading3"/>
      </w:pPr>
      <w:bookmarkStart w:id="40" w:name="_Toc94603269"/>
      <w:r>
        <w:t>Belgium</w:t>
      </w:r>
      <w:bookmarkEnd w:id="40"/>
    </w:p>
    <w:p w14:paraId="231EF103" w14:textId="6B0AD528" w:rsidR="00FE61AE" w:rsidRDefault="00FE61AE" w:rsidP="00FE61AE">
      <w:r>
        <w:t>The Belgian regulator</w:t>
      </w:r>
      <w:r w:rsidR="00327060">
        <w:t xml:space="preserve">, the </w:t>
      </w:r>
      <w:r w:rsidR="00327060" w:rsidRPr="00327060">
        <w:t>Institute for Postal Services and Telecommunications</w:t>
      </w:r>
      <w:r>
        <w:t xml:space="preserve"> (IBPT)</w:t>
      </w:r>
      <w:r w:rsidR="00327060">
        <w:t>,</w:t>
      </w:r>
      <w:r>
        <w:t xml:space="preserve"> </w:t>
      </w:r>
      <w:hyperlink r:id="rId66" w:history="1">
        <w:r w:rsidRPr="00FE61AE">
          <w:rPr>
            <w:rStyle w:val="Hyperlink"/>
          </w:rPr>
          <w:t>consulted</w:t>
        </w:r>
      </w:hyperlink>
      <w:r>
        <w:t xml:space="preserve"> </w:t>
      </w:r>
      <w:r>
        <w:rPr>
          <w:rStyle w:val="FootnoteReference"/>
        </w:rPr>
        <w:footnoteReference w:id="11"/>
      </w:r>
      <w:r w:rsidR="00954ECB">
        <w:t xml:space="preserve"> in April 2021 </w:t>
      </w:r>
      <w:r>
        <w:t xml:space="preserve">on a draft decision on revised technical conditions for the 3400-3800 MHz band. It is silent on </w:t>
      </w:r>
      <w:r w:rsidR="00497133">
        <w:t>coexistence</w:t>
      </w:r>
      <w:r>
        <w:t xml:space="preserve"> with radio altimeters.</w:t>
      </w:r>
    </w:p>
    <w:p w14:paraId="5F963F0A" w14:textId="084297E9" w:rsidR="001C4F9D" w:rsidRDefault="001C4F9D" w:rsidP="001C4F9D">
      <w:pPr>
        <w:pStyle w:val="Heading3"/>
      </w:pPr>
      <w:bookmarkStart w:id="41" w:name="_Toc94603270"/>
      <w:r>
        <w:lastRenderedPageBreak/>
        <w:t>Canada</w:t>
      </w:r>
      <w:bookmarkEnd w:id="41"/>
    </w:p>
    <w:p w14:paraId="4DB5258C" w14:textId="586107ED" w:rsidR="000B1448" w:rsidRDefault="00445B86" w:rsidP="001C4F9D">
      <w:r>
        <w:t>The Canadian regulator</w:t>
      </w:r>
      <w:r w:rsidR="00497133">
        <w:t>, the Department of</w:t>
      </w:r>
      <w:r w:rsidR="00327060">
        <w:t xml:space="preserve"> </w:t>
      </w:r>
      <w:r w:rsidR="00327060" w:rsidRPr="00327060">
        <w:t>Innovation, Science and Economic Development</w:t>
      </w:r>
      <w:r>
        <w:t xml:space="preserve"> </w:t>
      </w:r>
      <w:r w:rsidR="001A6DEF">
        <w:t>(</w:t>
      </w:r>
      <w:r>
        <w:t>ISED</w:t>
      </w:r>
      <w:r w:rsidR="001A6DEF">
        <w:t>)</w:t>
      </w:r>
      <w:r w:rsidR="00497133">
        <w:t>,</w:t>
      </w:r>
      <w:r>
        <w:t xml:space="preserve"> made </w:t>
      </w:r>
      <w:hyperlink r:id="rId67" w:history="1">
        <w:r w:rsidRPr="00445B86">
          <w:rPr>
            <w:rStyle w:val="Hyperlink"/>
          </w:rPr>
          <w:t>decisions</w:t>
        </w:r>
      </w:hyperlink>
      <w:r>
        <w:t>, updated after consultation, in June 2021 about introducing WBB into the 3700-</w:t>
      </w:r>
      <w:r w:rsidR="00F63D0B">
        <w:t>398</w:t>
      </w:r>
      <w:r>
        <w:t xml:space="preserve">0 MHz </w:t>
      </w:r>
      <w:r w:rsidR="0044582D">
        <w:t>and in 3450-3650 MHz</w:t>
      </w:r>
      <w:r w:rsidR="00646841" w:rsidRPr="00646841">
        <w:t xml:space="preserve"> </w:t>
      </w:r>
      <w:r w:rsidR="00646841">
        <w:t>frequency ranges</w:t>
      </w:r>
      <w:r w:rsidR="0044582D">
        <w:t xml:space="preserve">. </w:t>
      </w:r>
      <w:r w:rsidR="00F4641D">
        <w:t>They</w:t>
      </w:r>
      <w:r w:rsidR="0044582D">
        <w:t xml:space="preserve"> have been </w:t>
      </w:r>
      <w:hyperlink r:id="rId68" w:history="1">
        <w:r w:rsidR="0044582D" w:rsidRPr="0044582D">
          <w:rPr>
            <w:rStyle w:val="Hyperlink"/>
          </w:rPr>
          <w:t>monitoring</w:t>
        </w:r>
      </w:hyperlink>
      <w:r w:rsidR="0044582D">
        <w:t xml:space="preserve"> the radio altimeter issue in the latter </w:t>
      </w:r>
      <w:r w:rsidR="00646841">
        <w:t>range</w:t>
      </w:r>
      <w:r w:rsidR="0044582D">
        <w:t xml:space="preserve"> and extended a </w:t>
      </w:r>
      <w:hyperlink r:id="rId69" w:history="1">
        <w:r w:rsidR="0044582D" w:rsidRPr="0044582D">
          <w:rPr>
            <w:rStyle w:val="Hyperlink"/>
          </w:rPr>
          <w:t>consultation</w:t>
        </w:r>
      </w:hyperlink>
      <w:r w:rsidR="0044582D">
        <w:t xml:space="preserve"> on </w:t>
      </w:r>
      <w:r w:rsidR="00F4641D" w:rsidRPr="007F68A0">
        <w:t>revised</w:t>
      </w:r>
      <w:r w:rsidR="00F4641D">
        <w:t xml:space="preserve"> proposed</w:t>
      </w:r>
      <w:r w:rsidR="0044582D">
        <w:t xml:space="preserve"> technical operations. </w:t>
      </w:r>
      <w:r w:rsidR="003E307F">
        <w:t xml:space="preserve">ISED conducted their own studies and looked at the international situation. After review, they </w:t>
      </w:r>
      <w:r w:rsidR="00F4641D">
        <w:t>proposed</w:t>
      </w:r>
      <w:r w:rsidR="003E307F">
        <w:t xml:space="preserve"> an approach, similar to France, of </w:t>
      </w:r>
      <w:hyperlink r:id="rId70" w:history="1">
        <w:r w:rsidR="003E307F" w:rsidRPr="003E307F">
          <w:rPr>
            <w:rStyle w:val="Hyperlink"/>
          </w:rPr>
          <w:t>exclusion</w:t>
        </w:r>
      </w:hyperlink>
      <w:r w:rsidR="003E307F">
        <w:t xml:space="preserve"> zones and </w:t>
      </w:r>
      <w:hyperlink r:id="rId71" w:history="1">
        <w:r w:rsidR="003E307F" w:rsidRPr="003E307F">
          <w:rPr>
            <w:rStyle w:val="Hyperlink"/>
          </w:rPr>
          <w:t>protection</w:t>
        </w:r>
      </w:hyperlink>
      <w:r w:rsidR="003E307F">
        <w:t xml:space="preserve"> zones, the latter with a specified PFD limit to apply.</w:t>
      </w:r>
      <w:r w:rsidR="000B1448">
        <w:t xml:space="preserve"> </w:t>
      </w:r>
      <w:r w:rsidR="00953F88">
        <w:t xml:space="preserve">This is initially </w:t>
      </w:r>
      <w:r w:rsidR="00807C39">
        <w:t xml:space="preserve">in the range 3450-3650 </w:t>
      </w:r>
      <w:r w:rsidR="009567DD">
        <w:t>MHz,</w:t>
      </w:r>
      <w:r w:rsidR="00953F88">
        <w:t xml:space="preserve"> and they are still </w:t>
      </w:r>
      <w:hyperlink r:id="rId72" w:history="1">
        <w:r w:rsidR="00953F88" w:rsidRPr="003E0103">
          <w:rPr>
            <w:rStyle w:val="Hyperlink"/>
          </w:rPr>
          <w:t>consulting</w:t>
        </w:r>
      </w:hyperlink>
      <w:r w:rsidR="00953F88">
        <w:t xml:space="preserve"> on 3650-3980 </w:t>
      </w:r>
      <w:r w:rsidR="003E0103">
        <w:t>MHz, but are proposing to extend the mitigations up to 3900 MHz</w:t>
      </w:r>
      <w:r w:rsidR="003E307F">
        <w:t>.</w:t>
      </w:r>
      <w:r w:rsidR="000B1448">
        <w:t xml:space="preserve"> </w:t>
      </w:r>
      <w:r w:rsidR="0035435C">
        <w:t xml:space="preserve">Indoor stations are exempt from the mitigation requirements. </w:t>
      </w:r>
      <w:r w:rsidR="000B1448">
        <w:t>To further manage issues with military and emergency service helicopters, with insufficient information of their altimeter fleets at this time, ISED has proposed a national antenna down-tilt</w:t>
      </w:r>
      <w:r w:rsidR="00F4641D">
        <w:t>/vertical scan</w:t>
      </w:r>
      <w:r w:rsidR="000B1448">
        <w:t xml:space="preserve"> requirement.</w:t>
      </w:r>
      <w:r w:rsidR="00F63D0B">
        <w:t xml:space="preserve"> They are current</w:t>
      </w:r>
      <w:r w:rsidR="00F4641D">
        <w:t>ly</w:t>
      </w:r>
      <w:r w:rsidR="00F63D0B">
        <w:t xml:space="preserve"> scheduled to auction the 3800 MHz band in Q1 2023. </w:t>
      </w:r>
    </w:p>
    <w:p w14:paraId="60CF1475" w14:textId="563B24BF" w:rsidR="00F63D0B" w:rsidRDefault="00CD4E74" w:rsidP="001C4F9D">
      <w:r w:rsidRPr="0059148B">
        <w:t>Studies used the ITU-R M.2059 criteria, including protecting the full receiver noise floor, regardless of the likely received level from the radio altimeter transmitter.</w:t>
      </w:r>
      <w:r w:rsidR="005D7B90" w:rsidRPr="0059148B">
        <w:t xml:space="preserve"> The scenario studied was similar to the static case in the first ACMA study</w:t>
      </w:r>
      <w:r w:rsidR="0009283A" w:rsidRPr="0059148B">
        <w:t xml:space="preserve"> and did not use beamforming for the AAS case</w:t>
      </w:r>
      <w:r w:rsidR="005D7B90" w:rsidRPr="0059148B">
        <w:t>.  Consequently, it is likely to be conservative compared with practical radio altimeter</w:t>
      </w:r>
      <w:r w:rsidR="00C827E9" w:rsidRPr="0059148B">
        <w:t>s</w:t>
      </w:r>
      <w:r w:rsidR="005D7B90" w:rsidRPr="0059148B">
        <w:t xml:space="preserve"> and WBB deployments using AAS.</w:t>
      </w:r>
    </w:p>
    <w:p w14:paraId="35FDA414" w14:textId="7499943D" w:rsidR="002862A1" w:rsidRDefault="002862A1" w:rsidP="001C4F9D">
      <w:r>
        <w:t>Extracts concerning restrictions:</w:t>
      </w:r>
    </w:p>
    <w:p w14:paraId="42D8D661" w14:textId="665191CF" w:rsidR="00686BA9" w:rsidRPr="007F68A0" w:rsidRDefault="00686BA9" w:rsidP="001C4F9D">
      <w:pPr>
        <w:rPr>
          <w:u w:val="single"/>
        </w:rPr>
      </w:pPr>
      <w:r w:rsidRPr="007F68A0">
        <w:rPr>
          <w:u w:val="single"/>
        </w:rPr>
        <w:t>General restrictions</w:t>
      </w:r>
    </w:p>
    <w:p w14:paraId="625398D9" w14:textId="0393541E" w:rsidR="00686BA9" w:rsidRDefault="00155BAE" w:rsidP="001C4F9D">
      <w:r w:rsidRPr="00155BAE">
        <w:t xml:space="preserve">Outdoor non-AAS and AAS fixed point-to-point and point-to-multipoint stations operating with a positive angle with reference to the horizon </w:t>
      </w:r>
      <w:r>
        <w:t xml:space="preserve">(i.e. above) </w:t>
      </w:r>
      <w:r w:rsidRPr="00155BAE">
        <w:t xml:space="preserve">shall not exceed a maximum </w:t>
      </w:r>
      <w:r w:rsidR="001732E1">
        <w:t>EIRP</w:t>
      </w:r>
      <w:r w:rsidRPr="00155BAE">
        <w:t xml:space="preserve"> of 62 dBm per radio frequency (RF) channel.</w:t>
      </w:r>
    </w:p>
    <w:p w14:paraId="4E0E11D0" w14:textId="70F3BAA6" w:rsidR="00155BAE" w:rsidRDefault="00155BAE" w:rsidP="001C4F9D">
      <w:r w:rsidRPr="00155BAE">
        <w:t>Outdoor non-AAS and AAS base stations are required to operate their antenna systems at a negative elevation angle with reference to the horizon. Operators of AAS base stations are prohibited from vertical scanning (i.e</w:t>
      </w:r>
      <w:r w:rsidR="001732E1" w:rsidRPr="00155BAE">
        <w:t>.,</w:t>
      </w:r>
      <w:r w:rsidRPr="00155BAE">
        <w:t xml:space="preserve"> directing energy from antenna elements to form beams) at positive elevation angles with reference to the horizon.</w:t>
      </w:r>
    </w:p>
    <w:p w14:paraId="3686A7A2" w14:textId="2E476DD6" w:rsidR="00155BAE" w:rsidRDefault="00155BAE" w:rsidP="001C4F9D">
      <w:r w:rsidRPr="00155BAE">
        <w:t>No licensee may operate a station within an exclusion zone</w:t>
      </w:r>
      <w:r>
        <w:t>.</w:t>
      </w:r>
    </w:p>
    <w:p w14:paraId="054D6544" w14:textId="4A55224B" w:rsidR="00644751" w:rsidRDefault="00644751" w:rsidP="001C4F9D">
      <w:r w:rsidRPr="00644751">
        <w:t>The provisions do not apply to indoor stations.</w:t>
      </w:r>
    </w:p>
    <w:p w14:paraId="220A4E66" w14:textId="00C08E9A" w:rsidR="002862A1" w:rsidRPr="007F68A0" w:rsidRDefault="002862A1" w:rsidP="001C4F9D">
      <w:pPr>
        <w:rPr>
          <w:u w:val="single"/>
        </w:rPr>
      </w:pPr>
      <w:r w:rsidRPr="007F68A0">
        <w:rPr>
          <w:u w:val="single"/>
        </w:rPr>
        <w:t>Exclusion zone definition</w:t>
      </w:r>
    </w:p>
    <w:p w14:paraId="09E19D4D" w14:textId="7C4E424E" w:rsidR="002862A1" w:rsidRDefault="002862A1" w:rsidP="001C4F9D">
      <w:r w:rsidRPr="002862A1">
        <w:t>The exclusion zones are rectangular areas around airport runways where automated landing is authorized in Canada. The exclusion zones extend 910 metres on either side of the runway edge and 2100 metres from the runway thresholds.</w:t>
      </w:r>
    </w:p>
    <w:p w14:paraId="61529E2C" w14:textId="10923C29" w:rsidR="002862A1" w:rsidRPr="007F68A0" w:rsidRDefault="002862A1" w:rsidP="001C4F9D">
      <w:pPr>
        <w:rPr>
          <w:u w:val="single"/>
        </w:rPr>
      </w:pPr>
      <w:r w:rsidRPr="007F68A0">
        <w:rPr>
          <w:u w:val="single"/>
        </w:rPr>
        <w:t>Protected zone definition</w:t>
      </w:r>
    </w:p>
    <w:p w14:paraId="0351DBB6" w14:textId="6FB62B6A" w:rsidR="002862A1" w:rsidRDefault="002862A1" w:rsidP="002862A1">
      <w:r>
        <w:t>The protection zones are rectangular areas that extend from the edge of the exclusion zones. For each runway there are two protection zones, each extending from either end of an exclusion zone. A protection zone is 1000 metres wide and extends 6100 metres from each end of an exclusion zone.</w:t>
      </w:r>
    </w:p>
    <w:p w14:paraId="76668D20" w14:textId="3F60BF37" w:rsidR="002862A1" w:rsidRDefault="00CB24FB" w:rsidP="002862A1">
      <w:pPr>
        <w:rPr>
          <w:u w:val="single"/>
        </w:rPr>
      </w:pPr>
      <w:r w:rsidRPr="007F68A0">
        <w:rPr>
          <w:u w:val="single"/>
        </w:rPr>
        <w:t>Technical and operational requirements in protection zones</w:t>
      </w:r>
    </w:p>
    <w:p w14:paraId="7D948A1A" w14:textId="460EC19D" w:rsidR="00CB24FB" w:rsidRPr="00CB24FB" w:rsidRDefault="00CB24FB" w:rsidP="002862A1">
      <w:r w:rsidRPr="007F68A0">
        <w:t xml:space="preserve">All outdoor fixed </w:t>
      </w:r>
      <w:r w:rsidR="001732E1">
        <w:t xml:space="preserve">(wireless access) </w:t>
      </w:r>
      <w:r w:rsidRPr="007F68A0">
        <w:t xml:space="preserve">and base stations operating within the protection zones must not exceed a </w:t>
      </w:r>
      <w:r w:rsidR="006F5A05">
        <w:t>PFD</w:t>
      </w:r>
      <w:r w:rsidRPr="007F68A0">
        <w:t xml:space="preserve"> limit of -38.80 dBW/m</w:t>
      </w:r>
      <w:r w:rsidRPr="007F68A0">
        <w:rPr>
          <w:vertAlign w:val="superscript"/>
        </w:rPr>
        <w:t>2</w:t>
      </w:r>
      <w:r w:rsidRPr="007F68A0">
        <w:t xml:space="preserve"> in 1 MHz at a height of 91.44 metres (300 feet) above ground. The </w:t>
      </w:r>
      <w:r w:rsidR="006F5A05">
        <w:t>PFD</w:t>
      </w:r>
      <w:r w:rsidRPr="007F68A0">
        <w:t xml:space="preserve"> limit shall be satisfied 100% of the time and </w:t>
      </w:r>
      <w:r w:rsidRPr="007F68A0">
        <w:lastRenderedPageBreak/>
        <w:t>be evaluated for all combinations of elevation and azimuth angles above the horizon relative to the location of the fixed or base station.</w:t>
      </w:r>
    </w:p>
    <w:p w14:paraId="551AA079" w14:textId="5740E911" w:rsidR="002862A1" w:rsidRDefault="002862A1" w:rsidP="002862A1">
      <w:r>
        <w:t>In cases of overlap between the exclusion zone and the protection zone, the exclusion zone takes precedence.</w:t>
      </w:r>
    </w:p>
    <w:p w14:paraId="0CC572DE" w14:textId="498B7551" w:rsidR="001C4F9D" w:rsidRDefault="001C4F9D" w:rsidP="007F68A0">
      <w:pPr>
        <w:pStyle w:val="Heading3"/>
      </w:pPr>
      <w:bookmarkStart w:id="42" w:name="_Toc94603271"/>
      <w:r>
        <w:t>The United Kingdom</w:t>
      </w:r>
      <w:r w:rsidR="002A4201">
        <w:t xml:space="preserve"> 3.8-4.2 GHz band</w:t>
      </w:r>
      <w:bookmarkEnd w:id="42"/>
    </w:p>
    <w:p w14:paraId="393AE6BC" w14:textId="65A410C1" w:rsidR="00460C64" w:rsidRDefault="00BE0772" w:rsidP="00460C64">
      <w:r>
        <w:t xml:space="preserve">The first ACMA study included comments on the </w:t>
      </w:r>
      <w:r w:rsidR="008B32E5" w:rsidRPr="008B32E5">
        <w:t>Office of Communication</w:t>
      </w:r>
      <w:r w:rsidR="008B32E5">
        <w:t>s (</w:t>
      </w:r>
      <w:r>
        <w:t>OFCOM</w:t>
      </w:r>
      <w:r w:rsidR="008B32E5">
        <w:t>)</w:t>
      </w:r>
      <w:r>
        <w:t xml:space="preserve"> study and the proposed operating </w:t>
      </w:r>
      <w:r w:rsidR="00805640">
        <w:t>parameters</w:t>
      </w:r>
      <w:r>
        <w:t xml:space="preserve"> in the </w:t>
      </w:r>
      <w:r w:rsidR="000C5945">
        <w:t>United Kingdom (</w:t>
      </w:r>
      <w:r>
        <w:t>UK</w:t>
      </w:r>
      <w:r w:rsidR="000C5945">
        <w:t>)</w:t>
      </w:r>
      <w:r>
        <w:t>.</w:t>
      </w:r>
      <w:r w:rsidR="005F434B">
        <w:t xml:space="preserve"> </w:t>
      </w:r>
      <w:r w:rsidR="00723748">
        <w:t>They determined that t</w:t>
      </w:r>
      <w:r w:rsidR="005F434B">
        <w:t xml:space="preserve">he low and medium power deployment model for WBB in the band in the UK </w:t>
      </w:r>
      <w:r w:rsidR="00723748">
        <w:t>did not require mitigations.</w:t>
      </w:r>
    </w:p>
    <w:p w14:paraId="182F318B" w14:textId="401FEEF6" w:rsidR="00AB51F8" w:rsidRDefault="00AB51F8" w:rsidP="00AB51F8">
      <w:pPr>
        <w:pStyle w:val="Heading3"/>
      </w:pPr>
      <w:bookmarkStart w:id="43" w:name="_Toc94603272"/>
      <w:r>
        <w:t>Japan</w:t>
      </w:r>
      <w:bookmarkEnd w:id="43"/>
    </w:p>
    <w:p w14:paraId="424CFB5D" w14:textId="77777777" w:rsidR="00CD4E74" w:rsidRDefault="00CD4E74" w:rsidP="007F68A0">
      <w:pPr>
        <w:pStyle w:val="Bulletlevel1"/>
        <w:numPr>
          <w:ilvl w:val="0"/>
          <w:numId w:val="0"/>
        </w:numPr>
      </w:pPr>
      <w:r>
        <w:t>From various references:</w:t>
      </w:r>
    </w:p>
    <w:p w14:paraId="777A337D" w14:textId="3167E31A" w:rsidR="00CD4E74" w:rsidRDefault="00E2128E" w:rsidP="00CD4E74">
      <w:pPr>
        <w:pStyle w:val="Bulletlevel1"/>
      </w:pPr>
      <w:hyperlink r:id="rId73" w:history="1">
        <w:r w:rsidR="00CD4E74" w:rsidRPr="00C56C68">
          <w:rPr>
            <w:rStyle w:val="Hyperlink"/>
          </w:rPr>
          <w:t>The compatibility study between 5G base stations and radio altimeters in Japan and update of the result of measurement campaign</w:t>
        </w:r>
      </w:hyperlink>
    </w:p>
    <w:p w14:paraId="2616301B" w14:textId="77777777" w:rsidR="00CD4E74" w:rsidRDefault="00E2128E" w:rsidP="00CD4E74">
      <w:pPr>
        <w:pStyle w:val="Bulletlevel1"/>
      </w:pPr>
      <w:hyperlink r:id="rId74" w:history="1">
        <w:r w:rsidR="00CD4E74">
          <w:rPr>
            <w:rStyle w:val="Hyperlink"/>
          </w:rPr>
          <w:t>01.pdf (soumu.go.jp)</w:t>
        </w:r>
      </w:hyperlink>
      <w:r w:rsidR="00CD4E74">
        <w:t xml:space="preserve"> page 12</w:t>
      </w:r>
    </w:p>
    <w:p w14:paraId="3C4052A7" w14:textId="77777777" w:rsidR="00CD4E74" w:rsidRDefault="00E2128E" w:rsidP="00CD4E74">
      <w:pPr>
        <w:pStyle w:val="Bulletlevel1"/>
      </w:pPr>
      <w:hyperlink r:id="rId75" w:history="1">
        <w:r w:rsidR="00CD4E74" w:rsidRPr="00666633">
          <w:rPr>
            <w:rStyle w:val="Hyperlink"/>
          </w:rPr>
          <w:t>https://www.5gamericas.org/wp-content/uploads/2021/07/Mid-Band-Spectrum-and-the-Co-Existence-with-Radio-Altimeters.pdf</w:t>
        </w:r>
      </w:hyperlink>
    </w:p>
    <w:p w14:paraId="658C65AE" w14:textId="0AAF9827" w:rsidR="00AB51F8" w:rsidRDefault="00E2128E" w:rsidP="007F68A0">
      <w:pPr>
        <w:pStyle w:val="ListBullet"/>
      </w:pPr>
      <w:hyperlink r:id="rId76" w:history="1">
        <w:r w:rsidR="00CD4E74" w:rsidRPr="00666633">
          <w:rPr>
            <w:rStyle w:val="Hyperlink"/>
          </w:rPr>
          <w:t>https://www.soumu.go.jp/main_content/000582446.pdf</w:t>
        </w:r>
      </w:hyperlink>
      <w:r w:rsidR="00CD4E74">
        <w:t xml:space="preserve"> (in Japanese)</w:t>
      </w:r>
    </w:p>
    <w:p w14:paraId="1F4AEB3C" w14:textId="72C17EA1" w:rsidR="00AB51F8" w:rsidRDefault="00CD4E74" w:rsidP="00460C64">
      <w:r>
        <w:t>It is concluded that the following mitigations were proposed to be implemented:</w:t>
      </w:r>
    </w:p>
    <w:p w14:paraId="4042EBF3" w14:textId="64F5CA91" w:rsidR="00CD4E74" w:rsidRDefault="00CD4E74" w:rsidP="00CD4E74">
      <w:pPr>
        <w:pStyle w:val="Bulletlevel1"/>
      </w:pPr>
      <w:r>
        <w:t>A 100 MHz guard band from the 4200 MHz lower edge of the radio altimeter band.</w:t>
      </w:r>
    </w:p>
    <w:p w14:paraId="62629B79" w14:textId="2515BD79" w:rsidR="00CD4E74" w:rsidRDefault="00CD4E74" w:rsidP="00CD4E74">
      <w:pPr>
        <w:pStyle w:val="Bulletlevel1"/>
      </w:pPr>
      <w:r>
        <w:t>For stations operating 100 MHz adjacent to the guard band (4000-4100 MHz)</w:t>
      </w:r>
      <w:r w:rsidR="008A4A0D">
        <w:rPr>
          <w:rStyle w:val="FootnoteReference"/>
        </w:rPr>
        <w:footnoteReference w:id="12"/>
      </w:r>
      <w:r>
        <w:t xml:space="preserve"> there is a 200 m separation of high power 5G base stations from an aircraft approach route, which is an area of about 1 km separation from an airport</w:t>
      </w:r>
      <w:r w:rsidR="00897884">
        <w:t>.</w:t>
      </w:r>
    </w:p>
    <w:p w14:paraId="0423EB1E" w14:textId="40DCB879" w:rsidR="00CD4E74" w:rsidRDefault="00CD4E74" w:rsidP="00CD4E74">
      <w:pPr>
        <w:pStyle w:val="ListBullet"/>
      </w:pPr>
      <w:r>
        <w:t>For helicopter aerodromes, 5G base stations should have a separation distance of 50m for macro-cell and 20m for small-cell stations.</w:t>
      </w:r>
    </w:p>
    <w:p w14:paraId="489B3A0C" w14:textId="309B9091" w:rsidR="00767455" w:rsidRPr="0059148B" w:rsidRDefault="003240FB" w:rsidP="00CD4E74">
      <w:pPr>
        <w:pStyle w:val="ListBullet"/>
      </w:pPr>
      <w:r w:rsidRPr="0059148B">
        <w:t>More stringent base station spurious emissions were proposed</w:t>
      </w:r>
      <w:r w:rsidRPr="007F68A0">
        <w:t xml:space="preserve"> than typical in 3GPP specifications</w:t>
      </w:r>
      <w:r w:rsidR="007978F7" w:rsidRPr="007F68A0">
        <w:t xml:space="preserve">. For stations between 4000 and 4100 MHz, </w:t>
      </w:r>
      <w:r w:rsidR="007978F7" w:rsidRPr="0059148B">
        <w:t>base stations in this frequency range are required to reduce unwanted emissions into the radio altimeter band to -39 dBm/MHz, or -46 dBm/MHz for base stations with an EIRP of 25 dBm/MHz or less.</w:t>
      </w:r>
      <w:r w:rsidRPr="0059148B">
        <w:t xml:space="preserve"> </w:t>
      </w:r>
    </w:p>
    <w:p w14:paraId="2F0B51F3" w14:textId="79802F17" w:rsidR="00CD4E74" w:rsidRDefault="00CD4E74" w:rsidP="007F68A0">
      <w:pPr>
        <w:pStyle w:val="Bulletlevel1"/>
        <w:numPr>
          <w:ilvl w:val="0"/>
          <w:numId w:val="0"/>
        </w:numPr>
      </w:pPr>
      <w:r>
        <w:t xml:space="preserve">Studies used radio altimeter parameters from </w:t>
      </w:r>
      <w:r w:rsidR="00DB3470">
        <w:t>ITU-R</w:t>
      </w:r>
      <w:r>
        <w:t xml:space="preserve"> M.2059, considering different base station densities in different areas and used a </w:t>
      </w:r>
      <w:r w:rsidR="001172A5">
        <w:t>statistically derived</w:t>
      </w:r>
      <w:r w:rsidR="003A77A6">
        <w:t xml:space="preserve"> </w:t>
      </w:r>
      <w:r>
        <w:t xml:space="preserve">“beam forming </w:t>
      </w:r>
      <w:r w:rsidR="00897884">
        <w:t xml:space="preserve">antenna </w:t>
      </w:r>
      <w:r>
        <w:t xml:space="preserve">envelope” </w:t>
      </w:r>
      <w:r w:rsidR="003A77A6">
        <w:t>to consider potential interference from base stations.</w:t>
      </w:r>
      <w:r w:rsidR="0069008E">
        <w:t xml:space="preserve"> It is expected that the study is more accurate </w:t>
      </w:r>
      <w:r w:rsidR="007F1354">
        <w:t xml:space="preserve">for the overload mechanism </w:t>
      </w:r>
      <w:r w:rsidR="0069008E">
        <w:t>tha</w:t>
      </w:r>
      <w:r w:rsidR="000C5945">
        <w:t>n</w:t>
      </w:r>
      <w:r w:rsidR="0069008E">
        <w:t xml:space="preserve"> the French or Canadian </w:t>
      </w:r>
      <w:r w:rsidR="00450879">
        <w:t>cases</w:t>
      </w:r>
      <w:r w:rsidR="0069008E">
        <w:t>, but still potentially conservative due to the “envelope” approach</w:t>
      </w:r>
      <w:r w:rsidR="007F1354">
        <w:t xml:space="preserve">. For the spurious case, </w:t>
      </w:r>
      <w:r w:rsidR="003240FB">
        <w:t xml:space="preserve">use of the </w:t>
      </w:r>
      <w:r w:rsidR="000C5945">
        <w:t xml:space="preserve">ITU-R </w:t>
      </w:r>
      <w:r w:rsidR="003240FB">
        <w:t>M.2059 radio altimeter receiver noise floor protection to derive spurious emission requirements</w:t>
      </w:r>
      <w:r w:rsidR="007F1354">
        <w:t xml:space="preserve"> means it is likely conservative for that case</w:t>
      </w:r>
      <w:r w:rsidR="0069008E">
        <w:t>.</w:t>
      </w:r>
    </w:p>
    <w:p w14:paraId="7714B8F9" w14:textId="23566058" w:rsidR="00FA7F33" w:rsidRDefault="00FA7F33" w:rsidP="00FA7F33">
      <w:pPr>
        <w:pStyle w:val="sub-heading"/>
      </w:pPr>
      <w:bookmarkStart w:id="44" w:name="_Toc94603273"/>
      <w:r>
        <w:t xml:space="preserve">ACMA studies on </w:t>
      </w:r>
      <w:r w:rsidR="00F274EE">
        <w:t>coexistence</w:t>
      </w:r>
      <w:bookmarkEnd w:id="44"/>
    </w:p>
    <w:p w14:paraId="71092A88" w14:textId="286DD728" w:rsidR="00FA7F33" w:rsidRDefault="00FA7F33" w:rsidP="00FA7F33">
      <w:pPr>
        <w:rPr>
          <w:rFonts w:cs="Arial"/>
        </w:rPr>
      </w:pPr>
      <w:r>
        <w:rPr>
          <w:rFonts w:cs="Arial"/>
        </w:rPr>
        <w:t>In preparation for the TLG</w:t>
      </w:r>
      <w:r w:rsidR="005539C7">
        <w:rPr>
          <w:rFonts w:cs="Arial"/>
        </w:rPr>
        <w:t>,</w:t>
      </w:r>
      <w:r>
        <w:rPr>
          <w:rFonts w:cs="Arial"/>
        </w:rPr>
        <w:t xml:space="preserve"> ACMA </w:t>
      </w:r>
      <w:r w:rsidR="004E1583">
        <w:rPr>
          <w:rFonts w:cs="Arial"/>
        </w:rPr>
        <w:t>staff</w:t>
      </w:r>
      <w:r>
        <w:rPr>
          <w:rFonts w:cs="Arial"/>
        </w:rPr>
        <w:t xml:space="preserve"> </w:t>
      </w:r>
      <w:r w:rsidR="008B32E5">
        <w:rPr>
          <w:rFonts w:cs="Arial"/>
        </w:rPr>
        <w:t xml:space="preserve">reviewed existing coexistence studies and </w:t>
      </w:r>
      <w:r>
        <w:rPr>
          <w:rFonts w:cs="Arial"/>
        </w:rPr>
        <w:t xml:space="preserve">conducted further studies, examining the current WA WBB deployments in the 3.6 GHz band. These studies still used simplifying assumptions around active antenna systems (AAS) and </w:t>
      </w:r>
      <w:r w:rsidR="00DB3470">
        <w:rPr>
          <w:rFonts w:cs="Arial"/>
        </w:rPr>
        <w:t xml:space="preserve">did not model </w:t>
      </w:r>
      <w:r>
        <w:rPr>
          <w:rFonts w:cs="Arial"/>
        </w:rPr>
        <w:t>the effects of mobile user equipment (UEs). The studies re-confirmed that:</w:t>
      </w:r>
    </w:p>
    <w:p w14:paraId="07B189D6" w14:textId="6D1C27D7" w:rsidR="00FA7F33" w:rsidRDefault="00FA7F33" w:rsidP="00FA7F33">
      <w:pPr>
        <w:pStyle w:val="ListParagraph"/>
        <w:numPr>
          <w:ilvl w:val="0"/>
          <w:numId w:val="15"/>
        </w:numPr>
      </w:pPr>
      <w:r>
        <w:lastRenderedPageBreak/>
        <w:t xml:space="preserve">Use of AAS for WBB deployments may significantly reduce the </w:t>
      </w:r>
      <w:r w:rsidR="00DB3470">
        <w:t xml:space="preserve">modelled </w:t>
      </w:r>
      <w:r>
        <w:t>potential for interference.</w:t>
      </w:r>
    </w:p>
    <w:p w14:paraId="410195E8" w14:textId="5B92B830" w:rsidR="00FA7F33" w:rsidRDefault="00FA7F33" w:rsidP="00FA7F33">
      <w:pPr>
        <w:pStyle w:val="ListParagraph"/>
        <w:numPr>
          <w:ilvl w:val="0"/>
          <w:numId w:val="15"/>
        </w:numPr>
      </w:pPr>
      <w:r>
        <w:t xml:space="preserve">Studies are very sensitive to the assumed radio altimeter front end filter and to the </w:t>
      </w:r>
      <w:r w:rsidR="00F274EE">
        <w:t xml:space="preserve">assumed </w:t>
      </w:r>
      <w:r>
        <w:t>vertical radiation pattern of WBB base stations.</w:t>
      </w:r>
    </w:p>
    <w:p w14:paraId="74E0C3D6" w14:textId="6C08490C" w:rsidR="00FA7F33" w:rsidRDefault="00FA7F33" w:rsidP="00FA7F33">
      <w:pPr>
        <w:pStyle w:val="ListParagraph"/>
        <w:numPr>
          <w:ilvl w:val="0"/>
          <w:numId w:val="15"/>
        </w:numPr>
      </w:pPr>
      <w:r>
        <w:t xml:space="preserve">Existing deployments in the 3.6 GHz band may not </w:t>
      </w:r>
      <w:r w:rsidR="00F274EE">
        <w:t xml:space="preserve">be expected to </w:t>
      </w:r>
      <w:r>
        <w:t>cause significant interference to radio altimeters if they are using AAS and some effective average down tilt.</w:t>
      </w:r>
    </w:p>
    <w:p w14:paraId="6DC5F1C9" w14:textId="18E3DF11" w:rsidR="00FA7F33" w:rsidRDefault="00FA7F33" w:rsidP="00FA7F33">
      <w:r>
        <w:t>The</w:t>
      </w:r>
      <w:r w:rsidR="004E1583">
        <w:t xml:space="preserve">se </w:t>
      </w:r>
      <w:r>
        <w:t xml:space="preserve">studies are included at </w:t>
      </w:r>
      <w:r w:rsidRPr="00BA38E1">
        <w:rPr>
          <w:i/>
          <w:iCs/>
        </w:rPr>
        <w:fldChar w:fldCharType="begin"/>
      </w:r>
      <w:r w:rsidRPr="00BA38E1">
        <w:rPr>
          <w:i/>
          <w:iCs/>
        </w:rPr>
        <w:instrText xml:space="preserve"> REF _Ref76372185 \h  \* MERGEFORMAT </w:instrText>
      </w:r>
      <w:r w:rsidRPr="00BA38E1">
        <w:rPr>
          <w:i/>
          <w:iCs/>
        </w:rPr>
      </w:r>
      <w:r w:rsidRPr="00BA38E1">
        <w:rPr>
          <w:i/>
          <w:iCs/>
        </w:rPr>
        <w:fldChar w:fldCharType="separate"/>
      </w:r>
      <w:r w:rsidRPr="00CA736A">
        <w:rPr>
          <w:i/>
          <w:iCs/>
        </w:rPr>
        <w:t>Appendix B: Wireless broadband and radio altimeter compatibility study</w:t>
      </w:r>
      <w:r w:rsidRPr="00BA38E1">
        <w:rPr>
          <w:i/>
          <w:iCs/>
        </w:rPr>
        <w:fldChar w:fldCharType="end"/>
      </w:r>
      <w:r>
        <w:t>.</w:t>
      </w:r>
    </w:p>
    <w:p w14:paraId="5DD98E66" w14:textId="77777777" w:rsidR="00FA7F33" w:rsidRDefault="00FA7F33" w:rsidP="00FA7F33">
      <w:pPr>
        <w:pStyle w:val="ListParagraph"/>
        <w:numPr>
          <w:ilvl w:val="0"/>
          <w:numId w:val="27"/>
        </w:numPr>
      </w:pPr>
      <w:r>
        <w:t>Feedback on the studies was sought to help assist in developing appropriate mitigations from interference from WBB to radio altimeters.</w:t>
      </w:r>
    </w:p>
    <w:p w14:paraId="7E38CBEC" w14:textId="0C1EF8AA" w:rsidR="00FA7F33" w:rsidRDefault="00FA7F33" w:rsidP="00FA7F33">
      <w:r>
        <w:t xml:space="preserve">The ACMA received feedback on the </w:t>
      </w:r>
      <w:r w:rsidR="008B32E5">
        <w:t xml:space="preserve">Appendix B </w:t>
      </w:r>
      <w:r>
        <w:t>studies:</w:t>
      </w:r>
    </w:p>
    <w:p w14:paraId="63F41A03" w14:textId="77777777" w:rsidR="00FA7F33" w:rsidRDefault="00FA7F33" w:rsidP="00FA7F33">
      <w:pPr>
        <w:pStyle w:val="ListParagraph"/>
        <w:numPr>
          <w:ilvl w:val="0"/>
          <w:numId w:val="23"/>
        </w:numPr>
      </w:pPr>
      <w:r>
        <w:t>Views on modelling WBB base stations more accurately, including recent ITU-R study group work in the area</w:t>
      </w:r>
    </w:p>
    <w:p w14:paraId="2696D9E8" w14:textId="77777777" w:rsidR="00FA7F33" w:rsidRDefault="00FA7F33" w:rsidP="00FA7F33">
      <w:pPr>
        <w:pStyle w:val="ListParagraph"/>
        <w:numPr>
          <w:ilvl w:val="0"/>
          <w:numId w:val="23"/>
        </w:numPr>
      </w:pPr>
      <w:r>
        <w:t>Views on other aircraft operational scenarios that should be modelled</w:t>
      </w:r>
    </w:p>
    <w:p w14:paraId="04325394" w14:textId="77777777" w:rsidR="00FA7F33" w:rsidRDefault="00FA7F33" w:rsidP="00FA7F33">
      <w:pPr>
        <w:pStyle w:val="ListParagraph"/>
        <w:numPr>
          <w:ilvl w:val="0"/>
          <w:numId w:val="23"/>
        </w:numPr>
      </w:pPr>
      <w:r>
        <w:t>Views and input on more accurate modelling of radio altimeters that are applicable in Australia</w:t>
      </w:r>
    </w:p>
    <w:p w14:paraId="19BD1462" w14:textId="77777777" w:rsidR="00FA7F33" w:rsidRDefault="00FA7F33" w:rsidP="00FA7F33">
      <w:pPr>
        <w:pStyle w:val="ListParagraph"/>
        <w:numPr>
          <w:ilvl w:val="0"/>
          <w:numId w:val="23"/>
        </w:numPr>
      </w:pPr>
      <w:r>
        <w:t>Views that, due to discussions around factors affecting radio altimeter assumed loop loss, that the receiver desensitisation mechanism should be considered in studies.</w:t>
      </w:r>
    </w:p>
    <w:p w14:paraId="05C3AF40" w14:textId="2EAB9402" w:rsidR="00FA7F33" w:rsidRDefault="00FA7F33" w:rsidP="00FA7F33">
      <w:pPr>
        <w:rPr>
          <w:i/>
          <w:iCs/>
        </w:rPr>
      </w:pPr>
      <w:r>
        <w:t xml:space="preserve">The ACMA </w:t>
      </w:r>
      <w:r w:rsidR="00450879">
        <w:t>took</w:t>
      </w:r>
      <w:r>
        <w:t xml:space="preserve"> feedback and </w:t>
      </w:r>
      <w:r w:rsidR="00450879">
        <w:t xml:space="preserve">completed </w:t>
      </w:r>
      <w:r>
        <w:t>new studies</w:t>
      </w:r>
      <w:r w:rsidR="00F274EE">
        <w:rPr>
          <w:i/>
          <w:iCs/>
        </w:rPr>
        <w:t>.</w:t>
      </w:r>
    </w:p>
    <w:p w14:paraId="5E29F93C" w14:textId="0E91CD20" w:rsidR="00A45B97" w:rsidRDefault="00A45B97" w:rsidP="00FA7F33">
      <w:pPr>
        <w:rPr>
          <w:rFonts w:cs="Arial"/>
        </w:rPr>
      </w:pPr>
      <w:r>
        <w:t xml:space="preserve">The RA-CG expressed concern that the study did not examine all scenarios that may be applicable in remote areas </w:t>
      </w:r>
      <w:r w:rsidR="008E37F3">
        <w:t>and “</w:t>
      </w:r>
      <w:r w:rsidR="008E37F3" w:rsidRPr="58F4B62A">
        <w:rPr>
          <w:rFonts w:cs="Arial"/>
          <w:i/>
          <w:iCs/>
        </w:rPr>
        <w:t>seeks to expand consideration beyond just airports and landing locations to areas where there is an identified major risk to aviation safety, such as Police and Emergency Services and Defence low level operations</w:t>
      </w:r>
      <w:r w:rsidR="008E37F3">
        <w:rPr>
          <w:rFonts w:cs="Arial"/>
          <w:i/>
          <w:iCs/>
        </w:rPr>
        <w:t>”</w:t>
      </w:r>
      <w:r w:rsidR="008E37F3">
        <w:rPr>
          <w:rFonts w:cs="Arial"/>
        </w:rPr>
        <w:t>. The ACMA has previously sought information of these scenarios to be able to model them but was not provided with sufficient</w:t>
      </w:r>
      <w:r w:rsidR="006810AA">
        <w:rPr>
          <w:rFonts w:cs="Arial"/>
        </w:rPr>
        <w:t>ly</w:t>
      </w:r>
      <w:r w:rsidR="008E37F3">
        <w:rPr>
          <w:rFonts w:cs="Arial"/>
        </w:rPr>
        <w:t xml:space="preserve"> detail</w:t>
      </w:r>
      <w:r w:rsidR="006810AA">
        <w:rPr>
          <w:rFonts w:cs="Arial"/>
        </w:rPr>
        <w:t>ed information to be able to develop study models for them.</w:t>
      </w:r>
    </w:p>
    <w:p w14:paraId="7D5C2EAD" w14:textId="0B5152DA" w:rsidR="00F274EE" w:rsidRDefault="00F274EE" w:rsidP="00F274EE">
      <w:pPr>
        <w:rPr>
          <w:i/>
          <w:iCs/>
        </w:rPr>
      </w:pPr>
      <w:r>
        <w:t>The studies were further developed and are finalised in an updated</w:t>
      </w:r>
      <w:r>
        <w:rPr>
          <w:i/>
          <w:iCs/>
        </w:rPr>
        <w:t xml:space="preserve"> </w:t>
      </w:r>
      <w:r w:rsidRPr="00CA736A">
        <w:rPr>
          <w:i/>
          <w:iCs/>
        </w:rPr>
        <w:fldChar w:fldCharType="begin"/>
      </w:r>
      <w:r w:rsidRPr="0064714A">
        <w:rPr>
          <w:i/>
          <w:iCs/>
        </w:rPr>
        <w:instrText xml:space="preserve"> REF _Ref82433148 \h </w:instrText>
      </w:r>
      <w:r w:rsidRPr="00CA736A">
        <w:rPr>
          <w:i/>
          <w:iCs/>
        </w:rPr>
        <w:instrText xml:space="preserve"> \* MERGEFORMAT </w:instrText>
      </w:r>
      <w:r w:rsidRPr="00CA736A">
        <w:rPr>
          <w:i/>
          <w:iCs/>
        </w:rPr>
      </w:r>
      <w:r w:rsidRPr="00CA736A">
        <w:rPr>
          <w:i/>
          <w:iCs/>
        </w:rPr>
        <w:fldChar w:fldCharType="separate"/>
      </w:r>
      <w:r w:rsidRPr="00CA736A">
        <w:rPr>
          <w:i/>
          <w:iCs/>
        </w:rPr>
        <w:t>Appendix D: Updated Wireless broadband and radio altimeter compatibility study</w:t>
      </w:r>
      <w:r w:rsidRPr="00CA736A">
        <w:rPr>
          <w:i/>
          <w:iCs/>
        </w:rPr>
        <w:fldChar w:fldCharType="end"/>
      </w:r>
      <w:r>
        <w:rPr>
          <w:i/>
          <w:iCs/>
        </w:rPr>
        <w:t>.</w:t>
      </w:r>
    </w:p>
    <w:p w14:paraId="46E6EE1D" w14:textId="77777777" w:rsidR="00F274EE" w:rsidRPr="008E37F3" w:rsidRDefault="00F274EE" w:rsidP="00FA7F33"/>
    <w:p w14:paraId="3F26CDD7" w14:textId="647F6226" w:rsidR="00FA7F33" w:rsidRDefault="00FA7F33" w:rsidP="00FA7F33">
      <w:pPr>
        <w:pStyle w:val="sub-heading"/>
      </w:pPr>
      <w:bookmarkStart w:id="45" w:name="_Toc94603274"/>
      <w:r>
        <w:t xml:space="preserve">Possible methods to manage </w:t>
      </w:r>
      <w:r w:rsidR="00F274EE">
        <w:t>coexistence</w:t>
      </w:r>
      <w:bookmarkEnd w:id="45"/>
    </w:p>
    <w:p w14:paraId="2208800E" w14:textId="7FB58B79" w:rsidR="004E1583" w:rsidRDefault="004E1583" w:rsidP="004E1583">
      <w:pPr>
        <w:rPr>
          <w:rFonts w:cs="Arial"/>
        </w:rPr>
      </w:pPr>
      <w:r>
        <w:rPr>
          <w:rFonts w:cs="Arial"/>
        </w:rPr>
        <w:t xml:space="preserve">Noting that in the 2021 Outcomes paper stated that while </w:t>
      </w:r>
      <w:r w:rsidRPr="004F7DA4">
        <w:rPr>
          <w:rFonts w:cs="Arial"/>
        </w:rPr>
        <w:t xml:space="preserve">the ACMA </w:t>
      </w:r>
      <w:r w:rsidR="00F274EE">
        <w:rPr>
          <w:rFonts w:cs="Arial"/>
        </w:rPr>
        <w:t>considered</w:t>
      </w:r>
      <w:r w:rsidRPr="004F7DA4">
        <w:rPr>
          <w:rFonts w:cs="Arial"/>
        </w:rPr>
        <w:t xml:space="preserve"> a 200</w:t>
      </w:r>
      <w:r w:rsidR="00435121">
        <w:rPr>
          <w:rFonts w:cs="Arial"/>
        </w:rPr>
        <w:t> </w:t>
      </w:r>
      <w:r w:rsidRPr="004F7DA4">
        <w:rPr>
          <w:rFonts w:cs="Arial"/>
        </w:rPr>
        <w:t xml:space="preserve">MHz guard band </w:t>
      </w:r>
      <w:r w:rsidRPr="00262175">
        <w:t xml:space="preserve">between WBB and radio altimeters </w:t>
      </w:r>
      <w:r w:rsidRPr="004F7DA4">
        <w:rPr>
          <w:rFonts w:cs="Arial"/>
        </w:rPr>
        <w:t xml:space="preserve">should be sufficient, coexistence would be further considered in the development of detailed technical frameworks for WBB. This would provide </w:t>
      </w:r>
      <w:r>
        <w:rPr>
          <w:rFonts w:cs="Arial"/>
        </w:rPr>
        <w:t xml:space="preserve">the </w:t>
      </w:r>
      <w:r w:rsidRPr="004F7DA4">
        <w:rPr>
          <w:rFonts w:cs="Arial"/>
        </w:rPr>
        <w:t xml:space="preserve">opportunity to </w:t>
      </w:r>
      <w:r>
        <w:rPr>
          <w:rFonts w:cs="Arial"/>
        </w:rPr>
        <w:t xml:space="preserve">identify </w:t>
      </w:r>
      <w:r w:rsidRPr="004F7DA4">
        <w:rPr>
          <w:rFonts w:cs="Arial"/>
        </w:rPr>
        <w:t>any necessary technical conditions (likely only in the apparatus licensed segment of the band) to protect adjacent band radio altimeters.</w:t>
      </w:r>
    </w:p>
    <w:p w14:paraId="4EB395A9" w14:textId="721CBA1F" w:rsidR="00FA7F33" w:rsidRDefault="00F274EE" w:rsidP="00FA7F33">
      <w:pPr>
        <w:rPr>
          <w:rFonts w:cs="Arial"/>
        </w:rPr>
      </w:pPr>
      <w:r>
        <w:rPr>
          <w:rFonts w:cs="Arial"/>
        </w:rPr>
        <w:t>The ACMA staff view is</w:t>
      </w:r>
      <w:r w:rsidR="00FA7F33">
        <w:rPr>
          <w:rFonts w:cs="Arial"/>
        </w:rPr>
        <w:t xml:space="preserve"> that </w:t>
      </w:r>
      <w:r w:rsidR="00461D7E">
        <w:rPr>
          <w:rFonts w:cs="Arial"/>
        </w:rPr>
        <w:t xml:space="preserve">complete </w:t>
      </w:r>
      <w:r w:rsidR="00FA7F33">
        <w:rPr>
          <w:rFonts w:cs="Arial"/>
        </w:rPr>
        <w:t xml:space="preserve">resolution of this issue may not be required to support defining the allocation proposals of AWLs in remote areas. However, if possible, it would be desirable to </w:t>
      </w:r>
      <w:r w:rsidR="004E1583">
        <w:rPr>
          <w:rFonts w:cs="Arial"/>
        </w:rPr>
        <w:t>identify if</w:t>
      </w:r>
      <w:r w:rsidR="00BD3C3B">
        <w:rPr>
          <w:rFonts w:cs="Arial"/>
        </w:rPr>
        <w:t xml:space="preserve"> any </w:t>
      </w:r>
      <w:r w:rsidR="00FA7F33">
        <w:rPr>
          <w:rFonts w:cs="Arial"/>
        </w:rPr>
        <w:t>additional mitigation management arrangements (beyond the 200 MHz guard band) before any AWLs are issued</w:t>
      </w:r>
      <w:r w:rsidR="00BD3C3B">
        <w:rPr>
          <w:rFonts w:cs="Arial"/>
        </w:rPr>
        <w:t>.</w:t>
      </w:r>
      <w:r w:rsidR="00BF06B6">
        <w:rPr>
          <w:rFonts w:cs="Arial"/>
        </w:rPr>
        <w:t xml:space="preserve"> It was the view of aviation stakeholders that the issue be fully resolved before any allocation of AWLs in the band.</w:t>
      </w:r>
    </w:p>
    <w:p w14:paraId="5A814517" w14:textId="0AFC56B3" w:rsidR="00FA7F33" w:rsidRDefault="003A7E07" w:rsidP="00FA7F33">
      <w:pPr>
        <w:rPr>
          <w:rFonts w:cs="Arial"/>
        </w:rPr>
      </w:pPr>
      <w:r>
        <w:rPr>
          <w:rFonts w:cs="Arial"/>
        </w:rPr>
        <w:lastRenderedPageBreak/>
        <w:t>While</w:t>
      </w:r>
      <w:r w:rsidR="004E1583">
        <w:rPr>
          <w:rFonts w:cs="Arial"/>
        </w:rPr>
        <w:t xml:space="preserve"> the ACMA has not formed a view on whether any additional mitigations beyond the 200 MHz guard band are required, t</w:t>
      </w:r>
      <w:r w:rsidR="00FA7F33">
        <w:rPr>
          <w:rFonts w:cs="Arial"/>
        </w:rPr>
        <w:t xml:space="preserve">he following </w:t>
      </w:r>
      <w:r w:rsidR="004E1583">
        <w:rPr>
          <w:rFonts w:cs="Arial"/>
        </w:rPr>
        <w:t>possible</w:t>
      </w:r>
      <w:r w:rsidR="00FA7F33">
        <w:rPr>
          <w:rFonts w:cs="Arial"/>
        </w:rPr>
        <w:t xml:space="preserve"> methods, in isolation or in combination, were </w:t>
      </w:r>
      <w:r w:rsidR="00DB3470">
        <w:rPr>
          <w:rFonts w:cs="Arial"/>
        </w:rPr>
        <w:t xml:space="preserve">identified </w:t>
      </w:r>
      <w:r w:rsidR="00FA7F33">
        <w:rPr>
          <w:rFonts w:cs="Arial"/>
        </w:rPr>
        <w:t xml:space="preserve">to the TLG to </w:t>
      </w:r>
      <w:r w:rsidR="004021C3">
        <w:rPr>
          <w:rFonts w:cs="Arial"/>
        </w:rPr>
        <w:t xml:space="preserve">be </w:t>
      </w:r>
      <w:r>
        <w:rPr>
          <w:rFonts w:cs="Arial"/>
        </w:rPr>
        <w:t xml:space="preserve">initially </w:t>
      </w:r>
      <w:r w:rsidR="004021C3">
        <w:rPr>
          <w:rFonts w:cs="Arial"/>
        </w:rPr>
        <w:t xml:space="preserve">considered to </w:t>
      </w:r>
      <w:r w:rsidR="00FA7F33">
        <w:rPr>
          <w:rFonts w:cs="Arial"/>
        </w:rPr>
        <w:t xml:space="preserve">manage </w:t>
      </w:r>
      <w:r w:rsidR="00221405">
        <w:rPr>
          <w:rFonts w:cs="Arial"/>
        </w:rPr>
        <w:t xml:space="preserve">coexistence </w:t>
      </w:r>
      <w:r w:rsidR="00FA7F33">
        <w:rPr>
          <w:rFonts w:cs="Arial"/>
        </w:rPr>
        <w:t>between WBB and radio altimeters, if required, in addition to the proposed 200 MHz guard band:</w:t>
      </w:r>
    </w:p>
    <w:p w14:paraId="2C44753F" w14:textId="77777777" w:rsidR="00FA7F33" w:rsidRDefault="00FA7F33" w:rsidP="00FA7F33">
      <w:pPr>
        <w:pStyle w:val="ListParagraph"/>
        <w:numPr>
          <w:ilvl w:val="0"/>
          <w:numId w:val="20"/>
        </w:numPr>
      </w:pPr>
      <w:r>
        <w:t>Implementing suitable local frequency guard bands and/or case-by-case frequency separation with affected services. This could include imposing a larger guard band within a certain distance of airports.</w:t>
      </w:r>
    </w:p>
    <w:p w14:paraId="5952CF52" w14:textId="77777777" w:rsidR="00FA7F33" w:rsidRDefault="00FA7F33" w:rsidP="00FA7F33">
      <w:pPr>
        <w:pStyle w:val="ListParagraph"/>
        <w:numPr>
          <w:ilvl w:val="0"/>
          <w:numId w:val="20"/>
        </w:numPr>
      </w:pPr>
      <w:r>
        <w:t>Geographically restricting WBB services around airports and landing locations where radio altimeters are used.</w:t>
      </w:r>
    </w:p>
    <w:p w14:paraId="58E86A09" w14:textId="77777777" w:rsidR="00FA7F33" w:rsidRDefault="00FA7F33" w:rsidP="00FA7F33">
      <w:pPr>
        <w:pStyle w:val="ListParagraph"/>
        <w:numPr>
          <w:ilvl w:val="0"/>
          <w:numId w:val="20"/>
        </w:numPr>
      </w:pPr>
      <w:r w:rsidRPr="002D4849">
        <w:t>Plac</w:t>
      </w:r>
      <w:r>
        <w:t>ing</w:t>
      </w:r>
      <w:r w:rsidRPr="002D4849">
        <w:t xml:space="preserve"> </w:t>
      </w:r>
      <w:r>
        <w:t xml:space="preserve">other technical deployment restrictions </w:t>
      </w:r>
      <w:r w:rsidRPr="002D4849">
        <w:t xml:space="preserve">on WBB deployments </w:t>
      </w:r>
      <w:r>
        <w:t xml:space="preserve">near airports. This could include height restrictions, </w:t>
      </w:r>
      <w:r w:rsidRPr="002D4849">
        <w:t>PFD or EIRP limits around airports</w:t>
      </w:r>
      <w:r>
        <w:t>,</w:t>
      </w:r>
      <w:r w:rsidRPr="002D4849">
        <w:t xml:space="preserve"> and/or limits on </w:t>
      </w:r>
      <w:r>
        <w:t xml:space="preserve">the directivity of </w:t>
      </w:r>
      <w:r w:rsidRPr="002D4849">
        <w:t>WBB radiation patterns</w:t>
      </w:r>
      <w:r>
        <w:t xml:space="preserve">. </w:t>
      </w:r>
    </w:p>
    <w:p w14:paraId="6738AEAA" w14:textId="77777777" w:rsidR="00FA7F33" w:rsidRDefault="00FA7F33" w:rsidP="00FA7F33">
      <w:pPr>
        <w:pStyle w:val="ListParagraph"/>
        <w:numPr>
          <w:ilvl w:val="0"/>
          <w:numId w:val="20"/>
        </w:numPr>
      </w:pPr>
      <w:r>
        <w:t>Consider adopting stricter unwanted emission limits for WBB in the 4000-4200 MHz band. Given that the predominant interference mechanism may be altimeter receiver overload, rather than receiver desensitisation, this may not be sufficiently effective.</w:t>
      </w:r>
    </w:p>
    <w:p w14:paraId="04918FF8" w14:textId="77777777" w:rsidR="00FA7F33" w:rsidRDefault="00FA7F33" w:rsidP="00FA7F33">
      <w:pPr>
        <w:pStyle w:val="ListParagraph"/>
        <w:numPr>
          <w:ilvl w:val="0"/>
          <w:numId w:val="20"/>
        </w:numPr>
      </w:pPr>
      <w:r>
        <w:t xml:space="preserve">Not specifying any restrictions, other than “no interference” clauses in relevant instruments and licences. This could include some guidance on how to achieve this, such as required coordination distances around airports and the provision of notional radio altimeter parameters. </w:t>
      </w:r>
    </w:p>
    <w:p w14:paraId="5F4CD942" w14:textId="6CA6F2E7" w:rsidR="00FA7F33" w:rsidRDefault="00F274EE" w:rsidP="00FA7F33">
      <w:pPr>
        <w:rPr>
          <w:rFonts w:cs="Arial"/>
        </w:rPr>
      </w:pPr>
      <w:r>
        <w:rPr>
          <w:rFonts w:cs="Arial"/>
        </w:rPr>
        <w:t>F</w:t>
      </w:r>
      <w:r w:rsidR="00FA7F33">
        <w:rPr>
          <w:rFonts w:cs="Arial"/>
        </w:rPr>
        <w:t>eedback received on managing coexistence between WBB and radio altimeters was provided by the TLG:</w:t>
      </w:r>
    </w:p>
    <w:p w14:paraId="2237B3B6" w14:textId="3CEB27A0" w:rsidR="00FA7F33" w:rsidRDefault="00FA7F33" w:rsidP="00FA7F33">
      <w:pPr>
        <w:pStyle w:val="ListParagraph"/>
        <w:numPr>
          <w:ilvl w:val="0"/>
          <w:numId w:val="24"/>
        </w:numPr>
      </w:pPr>
      <w:r>
        <w:t xml:space="preserve">There was </w:t>
      </w:r>
      <w:r w:rsidR="008E37F3">
        <w:t>differing views on which</w:t>
      </w:r>
      <w:r>
        <w:t xml:space="preserve"> method </w:t>
      </w:r>
      <w:r w:rsidR="00E36B3E">
        <w:t>would be</w:t>
      </w:r>
      <w:r>
        <w:t xml:space="preserve"> preferrable, </w:t>
      </w:r>
      <w:r w:rsidR="00E36B3E">
        <w:t xml:space="preserve">but </w:t>
      </w:r>
      <w:r w:rsidR="00BF09D5">
        <w:t xml:space="preserve">there was no support for </w:t>
      </w:r>
      <w:r>
        <w:t xml:space="preserve">method E, and </w:t>
      </w:r>
      <w:r w:rsidR="00E36B3E">
        <w:t xml:space="preserve">the </w:t>
      </w:r>
      <w:r w:rsidR="00F274EE">
        <w:t>radio altimeter coordination group (</w:t>
      </w:r>
      <w:r w:rsidR="00E36B3E">
        <w:t>RA-CG</w:t>
      </w:r>
      <w:r w:rsidR="00F274EE">
        <w:t>)</w:t>
      </w:r>
      <w:r w:rsidR="00E36B3E">
        <w:t xml:space="preserve"> preferred method C</w:t>
      </w:r>
      <w:r>
        <w:t>.</w:t>
      </w:r>
      <w:r w:rsidR="00084DC2">
        <w:t xml:space="preserve"> </w:t>
      </w:r>
    </w:p>
    <w:p w14:paraId="4DF614D3" w14:textId="786DDA1B" w:rsidR="00FA7F33" w:rsidRDefault="006E5E62" w:rsidP="00FA7F33">
      <w:pPr>
        <w:pStyle w:val="ListParagraph"/>
        <w:numPr>
          <w:ilvl w:val="0"/>
          <w:numId w:val="24"/>
        </w:numPr>
      </w:pPr>
      <w:r>
        <w:t>The RA-CG considers that additional mitigations are required, including in remote areas, and wants those mitigations to be consistent with international models</w:t>
      </w:r>
      <w:r w:rsidR="00412A19">
        <w:t>, appropriate and covering a range of potential operational aircraft scenarios</w:t>
      </w:r>
      <w:r w:rsidR="00265597">
        <w:t>, beyond th</w:t>
      </w:r>
      <w:r w:rsidR="009C605F">
        <w:t>ose</w:t>
      </w:r>
      <w:r w:rsidR="00265597">
        <w:t xml:space="preserve"> modelled in the ACMA studies</w:t>
      </w:r>
      <w:r w:rsidR="00FA7F33">
        <w:t>.</w:t>
      </w:r>
      <w:r w:rsidR="004E181B">
        <w:t xml:space="preserve"> </w:t>
      </w:r>
    </w:p>
    <w:p w14:paraId="7489B5F8" w14:textId="49C46BF6" w:rsidR="00FA7F33" w:rsidRDefault="00FA7F33" w:rsidP="00FA7F33">
      <w:pPr>
        <w:pStyle w:val="ListParagraph"/>
        <w:numPr>
          <w:ilvl w:val="0"/>
          <w:numId w:val="24"/>
        </w:numPr>
      </w:pPr>
      <w:r>
        <w:t>There was general agreement that work to better quantify the technical restrictions potentially required was necessary and the ACMA would update studies to present possible technical parameter-based mitigation methods.</w:t>
      </w:r>
    </w:p>
    <w:p w14:paraId="02595917" w14:textId="0F0FC5D7" w:rsidR="003E2953" w:rsidRDefault="003E2953" w:rsidP="003E2953">
      <w:pPr>
        <w:pStyle w:val="ListParagraph"/>
        <w:numPr>
          <w:ilvl w:val="0"/>
          <w:numId w:val="24"/>
        </w:numPr>
      </w:pPr>
      <w:r>
        <w:t>Telco sector members did not agree that there was sufficient evidence that any mitigations above the 200 MHz guard band proposed are required.</w:t>
      </w:r>
    </w:p>
    <w:p w14:paraId="389B8B66" w14:textId="4A604903" w:rsidR="00B24F4B" w:rsidRDefault="003E2953" w:rsidP="00FA7F33">
      <w:pPr>
        <w:pStyle w:val="ListParagraph"/>
        <w:numPr>
          <w:ilvl w:val="0"/>
          <w:numId w:val="24"/>
        </w:numPr>
      </w:pPr>
      <w:r>
        <w:t>Telstra</w:t>
      </w:r>
      <w:r w:rsidR="00B24F4B">
        <w:t xml:space="preserve"> </w:t>
      </w:r>
      <w:r w:rsidR="00D453C9">
        <w:t xml:space="preserve">proposed </w:t>
      </w:r>
      <w:r w:rsidR="00B02D83">
        <w:t>that,</w:t>
      </w:r>
      <w:r w:rsidR="00D453C9">
        <w:t xml:space="preserve"> if possible, a wider temporary guard band (3800-4000 MHz) could be used</w:t>
      </w:r>
      <w:r w:rsidR="00820659">
        <w:t xml:space="preserve"> in remote areas</w:t>
      </w:r>
      <w:r w:rsidR="00D453C9">
        <w:t xml:space="preserve"> until the issue is resolved.</w:t>
      </w:r>
      <w:r>
        <w:t xml:space="preserve"> They also asked that antenna downtilts be considered instead of restricted antenna heights if such a mitigation was proven to be required.</w:t>
      </w:r>
    </w:p>
    <w:p w14:paraId="534C7423" w14:textId="208DE3F1" w:rsidR="003E2953" w:rsidRDefault="003E2953" w:rsidP="00FA7F33">
      <w:pPr>
        <w:pStyle w:val="ListParagraph"/>
        <w:numPr>
          <w:ilvl w:val="0"/>
          <w:numId w:val="24"/>
        </w:numPr>
      </w:pPr>
      <w:r>
        <w:t>AMTA recognised the need to progress with remote areas but proposed that any conservative approaches should only apply to the first release of AWLs and be temporary.</w:t>
      </w:r>
    </w:p>
    <w:p w14:paraId="7E6E5EBA" w14:textId="2FE22CB7" w:rsidR="003E2953" w:rsidRDefault="006D7CF5" w:rsidP="00FA7F33">
      <w:pPr>
        <w:pStyle w:val="ListParagraph"/>
        <w:numPr>
          <w:ilvl w:val="0"/>
          <w:numId w:val="24"/>
        </w:numPr>
      </w:pPr>
      <w:r>
        <w:t xml:space="preserve">Ericsson suggested there were no need for additional mitigations in remote </w:t>
      </w:r>
      <w:r w:rsidR="00854EBB">
        <w:t>areas,</w:t>
      </w:r>
      <w:r>
        <w:t xml:space="preserve"> but other areas needed further study. However, any additional mitigations should be temporary until deployed fleets of radio altimeters have improved.</w:t>
      </w:r>
    </w:p>
    <w:p w14:paraId="6216EAB2" w14:textId="45BA5087" w:rsidR="00FA7F33" w:rsidRDefault="00FA7F33" w:rsidP="00FA7F33">
      <w:pPr>
        <w:pStyle w:val="sub-heading"/>
      </w:pPr>
      <w:bookmarkStart w:id="46" w:name="_Toc94603275"/>
      <w:r>
        <w:lastRenderedPageBreak/>
        <w:t xml:space="preserve">Potential draft </w:t>
      </w:r>
      <w:r w:rsidR="00F3179D">
        <w:t>approaches</w:t>
      </w:r>
      <w:r w:rsidR="00F62AA6">
        <w:t xml:space="preserve"> </w:t>
      </w:r>
      <w:r>
        <w:t xml:space="preserve">to manage </w:t>
      </w:r>
      <w:r w:rsidR="00473960">
        <w:t>coexistence</w:t>
      </w:r>
      <w:bookmarkEnd w:id="46"/>
    </w:p>
    <w:p w14:paraId="0D3948EB" w14:textId="2C7AC5E1" w:rsidR="00BE0BC5" w:rsidRDefault="00FA7F33" w:rsidP="00FA7F33">
      <w:r>
        <w:t>Based on TLG feedback</w:t>
      </w:r>
      <w:r w:rsidR="00084DC2">
        <w:t>,</w:t>
      </w:r>
      <w:r>
        <w:t xml:space="preserve"> subsequent revision of </w:t>
      </w:r>
      <w:r w:rsidR="007816AB">
        <w:t xml:space="preserve">ACMA </w:t>
      </w:r>
      <w:r>
        <w:t>studies</w:t>
      </w:r>
      <w:r w:rsidR="00084DC2">
        <w:t xml:space="preserve"> and </w:t>
      </w:r>
      <w:r w:rsidR="00CA01C9">
        <w:t xml:space="preserve">a </w:t>
      </w:r>
      <w:r w:rsidR="00084DC2">
        <w:t xml:space="preserve">review of international approaches, ACMA </w:t>
      </w:r>
      <w:r w:rsidR="00BF09D5">
        <w:t>staff have</w:t>
      </w:r>
      <w:r w:rsidR="001A27E4">
        <w:t xml:space="preserve"> identified</w:t>
      </w:r>
      <w:r w:rsidR="00084DC2">
        <w:t xml:space="preserve"> two </w:t>
      </w:r>
      <w:r w:rsidR="00BF09D5">
        <w:t xml:space="preserve">broad approaches </w:t>
      </w:r>
      <w:r w:rsidR="00C33787">
        <w:t xml:space="preserve">that it </w:t>
      </w:r>
      <w:r w:rsidR="00BF09D5">
        <w:t>considers appropriate seek</w:t>
      </w:r>
      <w:r w:rsidR="00C33787">
        <w:t xml:space="preserve"> to feedback on,</w:t>
      </w:r>
      <w:r w:rsidR="00084DC2">
        <w:t xml:space="preserve"> to manage </w:t>
      </w:r>
      <w:r w:rsidR="00221405">
        <w:t>coexistence</w:t>
      </w:r>
      <w:r w:rsidR="004E181B">
        <w:t xml:space="preserve"> initially</w:t>
      </w:r>
      <w:r w:rsidR="00084DC2">
        <w:t xml:space="preserve"> in remote areas</w:t>
      </w:r>
      <w:r w:rsidR="003B178B">
        <w:t xml:space="preserve"> on an interim basis. </w:t>
      </w:r>
    </w:p>
    <w:p w14:paraId="1C713322" w14:textId="7D060461" w:rsidR="00BF09D5" w:rsidRDefault="004E1583" w:rsidP="00FA7F33">
      <w:r>
        <w:t xml:space="preserve">The inclusion of </w:t>
      </w:r>
      <w:r w:rsidR="0021393F">
        <w:t>the approach below that includes additional mitigations is not an indication that the ACMA or ACMA staff have formed a view that additional mitigation</w:t>
      </w:r>
      <w:r w:rsidR="00BE0BC5">
        <w:t>s</w:t>
      </w:r>
      <w:r w:rsidR="0021393F">
        <w:t xml:space="preserve"> are necessary. Rather</w:t>
      </w:r>
      <w:r w:rsidR="003716AC">
        <w:t>,</w:t>
      </w:r>
      <w:r w:rsidR="0021393F">
        <w:t xml:space="preserve"> it is included </w:t>
      </w:r>
      <w:r w:rsidR="00BE0BC5">
        <w:t xml:space="preserve">in this version of the TLG paper </w:t>
      </w:r>
      <w:r w:rsidR="0021393F">
        <w:t xml:space="preserve">to </w:t>
      </w:r>
      <w:r w:rsidR="00BE0BC5">
        <w:t xml:space="preserve">expose a potential framework for additional mitigations if these are deemed necessary to </w:t>
      </w:r>
      <w:r w:rsidR="0021393F">
        <w:t xml:space="preserve">allow </w:t>
      </w:r>
      <w:r w:rsidR="00BE0BC5">
        <w:t xml:space="preserve">stakeholders to consider possible approaches. Importantly, if additional mitigations are deemed </w:t>
      </w:r>
      <w:r w:rsidR="003716AC">
        <w:t>necessary,</w:t>
      </w:r>
      <w:r w:rsidR="00BE0BC5">
        <w:t xml:space="preserve"> they do not necessarily have to be of the exact nature of the approach below – mitigations could be a subset of these</w:t>
      </w:r>
      <w:r w:rsidR="003716AC">
        <w:t>,</w:t>
      </w:r>
      <w:r w:rsidR="00BE0BC5">
        <w:t xml:space="preserve"> for example</w:t>
      </w:r>
      <w:r w:rsidR="003716AC">
        <w:t>, or use alternate methods of definition</w:t>
      </w:r>
      <w:r w:rsidR="00BE0BC5">
        <w:t xml:space="preserve">. </w:t>
      </w:r>
    </w:p>
    <w:p w14:paraId="7438DCC5" w14:textId="1EC04538" w:rsidR="00BF09D5" w:rsidRDefault="00BF09D5" w:rsidP="00FA7F33">
      <w:r>
        <w:t>Being interim in nature, an</w:t>
      </w:r>
      <w:r w:rsidR="004E1583">
        <w:t>y</w:t>
      </w:r>
      <w:r>
        <w:t xml:space="preserve"> licence</w:t>
      </w:r>
      <w:r w:rsidR="004E1583">
        <w:t>s</w:t>
      </w:r>
      <w:r>
        <w:t xml:space="preserve"> issued would need to include a clear indication </w:t>
      </w:r>
      <w:r w:rsidR="00C41FB2">
        <w:t>th</w:t>
      </w:r>
      <w:r>
        <w:t>at the technical framework may change if</w:t>
      </w:r>
      <w:r w:rsidR="00B04450">
        <w:t xml:space="preserve"> or </w:t>
      </w:r>
      <w:r>
        <w:t xml:space="preserve">when necessary to take into account </w:t>
      </w:r>
      <w:r w:rsidR="00E81719">
        <w:t>additional</w:t>
      </w:r>
      <w:r>
        <w:t xml:space="preserve"> information relevant to the coexistence scenario. </w:t>
      </w:r>
    </w:p>
    <w:p w14:paraId="0C097BB5" w14:textId="25D65595" w:rsidR="00084DC2" w:rsidRDefault="003B178B" w:rsidP="00FA7F33">
      <w:r>
        <w:t xml:space="preserve">For both </w:t>
      </w:r>
      <w:r w:rsidR="00BF09D5">
        <w:t>approaches</w:t>
      </w:r>
      <w:r>
        <w:t>, the rest of the technical framework as currently proposed, would apply, including in-band and out-of-band power limits.</w:t>
      </w:r>
    </w:p>
    <w:p w14:paraId="73B7DCEA" w14:textId="2A9E0ED2" w:rsidR="00BF09D5" w:rsidRDefault="00BF09D5" w:rsidP="00BF09D5">
      <w:pPr>
        <w:pStyle w:val="ListParagraph"/>
        <w:numPr>
          <w:ilvl w:val="0"/>
          <w:numId w:val="53"/>
        </w:numPr>
      </w:pPr>
      <w:bookmarkStart w:id="47" w:name="_Hlk89942942"/>
      <w:r w:rsidRPr="007F68A0">
        <w:rPr>
          <w:u w:val="single"/>
        </w:rPr>
        <w:t>Approach</w:t>
      </w:r>
      <w:r w:rsidR="00084DC2" w:rsidRPr="007F68A0">
        <w:rPr>
          <w:u w:val="single"/>
        </w:rPr>
        <w:t xml:space="preserve"> A</w:t>
      </w:r>
      <w:r w:rsidR="00084DC2">
        <w:t>: No additional mitigations above the proposed 200 MHz guard band nationwide.</w:t>
      </w:r>
    </w:p>
    <w:p w14:paraId="7DC00C83" w14:textId="77777777" w:rsidR="00BF09D5" w:rsidRDefault="00BF09D5" w:rsidP="007F68A0">
      <w:pPr>
        <w:pStyle w:val="ListParagraph"/>
        <w:numPr>
          <w:ilvl w:val="0"/>
          <w:numId w:val="0"/>
        </w:numPr>
        <w:ind w:left="360"/>
      </w:pPr>
    </w:p>
    <w:p w14:paraId="5C71E438" w14:textId="0CAB5207" w:rsidR="00084DC2" w:rsidRPr="007F68A0" w:rsidRDefault="00BF09D5" w:rsidP="007F68A0">
      <w:pPr>
        <w:pStyle w:val="ListParagraph"/>
        <w:numPr>
          <w:ilvl w:val="0"/>
          <w:numId w:val="53"/>
        </w:numPr>
      </w:pPr>
      <w:bookmarkStart w:id="48" w:name="_Hlk89684903"/>
      <w:r w:rsidRPr="007F68A0">
        <w:rPr>
          <w:u w:val="single"/>
        </w:rPr>
        <w:t>Approach</w:t>
      </w:r>
      <w:r w:rsidR="00084DC2" w:rsidRPr="007F68A0">
        <w:rPr>
          <w:u w:val="single"/>
        </w:rPr>
        <w:t xml:space="preserve"> B</w:t>
      </w:r>
      <w:r w:rsidR="00084DC2" w:rsidRPr="0094513C">
        <w:t xml:space="preserve">: </w:t>
      </w:r>
      <w:r w:rsidR="00042C77" w:rsidRPr="007F68A0">
        <w:t xml:space="preserve">In remote areas above 3700 </w:t>
      </w:r>
      <w:r w:rsidR="00067A76" w:rsidRPr="007F68A0">
        <w:t>MHz:</w:t>
      </w:r>
    </w:p>
    <w:p w14:paraId="560A79F6" w14:textId="237691D0" w:rsidR="00326BFB" w:rsidRDefault="00044E4D" w:rsidP="00F62AA6">
      <w:pPr>
        <w:pStyle w:val="ListParagraph"/>
        <w:numPr>
          <w:ilvl w:val="1"/>
          <w:numId w:val="53"/>
        </w:numPr>
      </w:pPr>
      <w:r>
        <w:t>An</w:t>
      </w:r>
      <w:r w:rsidR="00326BFB">
        <w:t xml:space="preserve"> exclusion zone</w:t>
      </w:r>
      <w:r>
        <w:t xml:space="preserve"> </w:t>
      </w:r>
      <w:r w:rsidR="00BF09D5">
        <w:t>where WBB base stations cannot be deployed</w:t>
      </w:r>
      <w:r>
        <w:t xml:space="preserve">, </w:t>
      </w:r>
      <w:r w:rsidR="00326BFB">
        <w:t xml:space="preserve">equivalent to the </w:t>
      </w:r>
      <w:r w:rsidR="002B0596">
        <w:t xml:space="preserve">French and </w:t>
      </w:r>
      <w:r w:rsidR="00326BFB">
        <w:t>Canadian exclusion zone</w:t>
      </w:r>
      <w:r w:rsidR="001E5D0A">
        <w:t>, i.e. the</w:t>
      </w:r>
      <w:r w:rsidR="001E5D0A" w:rsidRPr="001E5D0A">
        <w:t xml:space="preserve"> exclusion zones extend 910 metres </w:t>
      </w:r>
      <w:r w:rsidR="00305A6E">
        <w:t xml:space="preserve">laterally </w:t>
      </w:r>
      <w:r w:rsidR="001E5D0A" w:rsidRPr="001E5D0A">
        <w:t xml:space="preserve">either side of </w:t>
      </w:r>
      <w:r w:rsidR="00EB4F8F">
        <w:t xml:space="preserve">a </w:t>
      </w:r>
      <w:r w:rsidR="001E5D0A" w:rsidRPr="001E5D0A">
        <w:t xml:space="preserve">runway edge </w:t>
      </w:r>
      <w:r w:rsidR="000F1C9F">
        <w:t xml:space="preserve">of </w:t>
      </w:r>
      <w:r w:rsidR="00703E05">
        <w:t xml:space="preserve">a paved runway </w:t>
      </w:r>
      <w:r w:rsidR="001E5D0A" w:rsidRPr="001E5D0A">
        <w:t xml:space="preserve">and 2100 metres </w:t>
      </w:r>
      <w:r w:rsidR="00305A6E">
        <w:t>beyond</w:t>
      </w:r>
      <w:r w:rsidR="001E5D0A" w:rsidRPr="001E5D0A">
        <w:t xml:space="preserve"> the runway thresholds</w:t>
      </w:r>
      <w:r w:rsidR="001E5D0A">
        <w:t>.</w:t>
      </w:r>
    </w:p>
    <w:p w14:paraId="439ECB02" w14:textId="20C2FD56" w:rsidR="00044E4D" w:rsidRDefault="00044E4D" w:rsidP="00F62AA6">
      <w:pPr>
        <w:pStyle w:val="ListParagraph"/>
        <w:numPr>
          <w:ilvl w:val="1"/>
          <w:numId w:val="53"/>
        </w:numPr>
      </w:pPr>
      <w:r>
        <w:t>A restricted zone applies, the same width as the exclusion zone, but extending another 2100m beyond the ends of the exclusion zone.</w:t>
      </w:r>
    </w:p>
    <w:p w14:paraId="09DB0702" w14:textId="6DDD6975" w:rsidR="00044E4D" w:rsidRDefault="00044E4D" w:rsidP="00F62AA6">
      <w:pPr>
        <w:pStyle w:val="ListParagraph"/>
        <w:numPr>
          <w:ilvl w:val="1"/>
          <w:numId w:val="53"/>
        </w:numPr>
      </w:pPr>
      <w:r>
        <w:t>No AWL transmit</w:t>
      </w:r>
      <w:r w:rsidR="00C41FB2">
        <w:t>ter</w:t>
      </w:r>
      <w:r>
        <w:t xml:space="preserve"> devices can be registered in any exclusion zone.</w:t>
      </w:r>
    </w:p>
    <w:p w14:paraId="42E8D361" w14:textId="16C4A60B" w:rsidR="003D781D" w:rsidRDefault="003A6B47" w:rsidP="00044E4D">
      <w:pPr>
        <w:pStyle w:val="ListParagraph"/>
        <w:numPr>
          <w:ilvl w:val="1"/>
          <w:numId w:val="53"/>
        </w:numPr>
      </w:pPr>
      <w:r>
        <w:t xml:space="preserve">In restricted zones, </w:t>
      </w:r>
      <w:r w:rsidR="00773CB7">
        <w:t>non-AAS transmitters</w:t>
      </w:r>
      <w:r>
        <w:t xml:space="preserve"> cannot be registered unless</w:t>
      </w:r>
      <w:r w:rsidR="00773CB7">
        <w:t xml:space="preserve"> </w:t>
      </w:r>
      <w:r w:rsidR="00BF09D5">
        <w:t xml:space="preserve">the </w:t>
      </w:r>
      <w:r w:rsidR="003D781D">
        <w:t xml:space="preserve">peak </w:t>
      </w:r>
      <w:r w:rsidR="00773CB7">
        <w:t>E</w:t>
      </w:r>
      <w:r w:rsidR="00044E4D">
        <w:t>I</w:t>
      </w:r>
      <w:r w:rsidR="00773CB7">
        <w:t xml:space="preserve">RP is </w:t>
      </w:r>
      <w:r w:rsidR="00044E4D">
        <w:t xml:space="preserve">no more than </w:t>
      </w:r>
      <w:r w:rsidR="003400F9" w:rsidRPr="00BD580F">
        <w:t>41</w:t>
      </w:r>
      <w:r w:rsidR="00053E67" w:rsidRPr="007F68A0">
        <w:t> </w:t>
      </w:r>
      <w:r w:rsidR="003400F9" w:rsidRPr="00BD580F">
        <w:t>dBm</w:t>
      </w:r>
      <w:r w:rsidR="003400F9">
        <w:t>/</w:t>
      </w:r>
      <w:r w:rsidR="00044E4D">
        <w:t xml:space="preserve">MHz and </w:t>
      </w:r>
      <w:r w:rsidR="00991565">
        <w:t>they</w:t>
      </w:r>
      <w:r w:rsidR="00F65D1E" w:rsidRPr="00F65D1E">
        <w:t xml:space="preserve"> are required to operate their antenna systems at a negative elevation angle with reference to the horizon.</w:t>
      </w:r>
    </w:p>
    <w:p w14:paraId="131E7A4E" w14:textId="36139616" w:rsidR="003D781D" w:rsidRDefault="00F65D1E" w:rsidP="003D781D">
      <w:pPr>
        <w:pStyle w:val="ListParagraph"/>
        <w:numPr>
          <w:ilvl w:val="1"/>
          <w:numId w:val="53"/>
        </w:numPr>
      </w:pPr>
      <w:r w:rsidRPr="00F65D1E">
        <w:t xml:space="preserve"> </w:t>
      </w:r>
      <w:r w:rsidR="003D781D">
        <w:t>In restricted zones, non-AAS transmitters cannot be registered unless the peak total E</w:t>
      </w:r>
      <w:r w:rsidR="002E4FC2">
        <w:t>I</w:t>
      </w:r>
      <w:r w:rsidR="003D781D">
        <w:t>RP</w:t>
      </w:r>
      <w:r w:rsidR="00974251">
        <w:t xml:space="preserve"> of unwanted </w:t>
      </w:r>
      <w:r w:rsidR="000B6751">
        <w:t>emissions</w:t>
      </w:r>
      <w:r w:rsidR="003D781D">
        <w:t xml:space="preserve"> is no more than </w:t>
      </w:r>
      <w:r w:rsidR="003D781D" w:rsidRPr="007F68A0">
        <w:t>-3 dBm</w:t>
      </w:r>
      <w:r w:rsidR="003D781D">
        <w:t>/MHz in the 4200-4400 MHz range.</w:t>
      </w:r>
    </w:p>
    <w:p w14:paraId="5DEAB9AC" w14:textId="78716AC8" w:rsidR="00F65D1E" w:rsidRDefault="003A6B47" w:rsidP="00EB4F8F">
      <w:pPr>
        <w:pStyle w:val="ListParagraph"/>
        <w:numPr>
          <w:ilvl w:val="1"/>
          <w:numId w:val="53"/>
        </w:numPr>
      </w:pPr>
      <w:r>
        <w:t xml:space="preserve">In restricted zones, AAS transmitters cannot be registered unless </w:t>
      </w:r>
      <w:r w:rsidR="00BF09D5">
        <w:t xml:space="preserve">the </w:t>
      </w:r>
      <w:r w:rsidR="002E4FC2">
        <w:t xml:space="preserve">peak </w:t>
      </w:r>
      <w:r w:rsidR="00044E4D">
        <w:t xml:space="preserve">EIRP is </w:t>
      </w:r>
      <w:r w:rsidR="00E0668D" w:rsidRPr="0094513C">
        <w:t xml:space="preserve">no more than </w:t>
      </w:r>
      <w:r w:rsidR="00A20784" w:rsidRPr="007F68A0">
        <w:t>58</w:t>
      </w:r>
      <w:r w:rsidR="00053E67">
        <w:t> </w:t>
      </w:r>
      <w:r w:rsidR="00E0668D" w:rsidRPr="0094513C">
        <w:t>dBm</w:t>
      </w:r>
      <w:r w:rsidR="003400F9">
        <w:t>/</w:t>
      </w:r>
      <w:r w:rsidR="00EB4F8F">
        <w:t>MHz</w:t>
      </w:r>
      <w:r w:rsidR="008E5C73">
        <w:t xml:space="preserve"> </w:t>
      </w:r>
      <w:r w:rsidR="00EB4F8F">
        <w:t xml:space="preserve">and </w:t>
      </w:r>
      <w:r w:rsidR="00991565">
        <w:t>they</w:t>
      </w:r>
      <w:r w:rsidR="00F65D1E" w:rsidRPr="00F65D1E">
        <w:t xml:space="preserve"> are prohibited from vertical scanning (</w:t>
      </w:r>
      <w:r w:rsidR="00243B16" w:rsidRPr="00F65D1E">
        <w:t>i.e.</w:t>
      </w:r>
      <w:r w:rsidR="00F65D1E" w:rsidRPr="00F65D1E">
        <w:t xml:space="preserve"> directing </w:t>
      </w:r>
      <w:r w:rsidR="00BD580F" w:rsidRPr="00BD580F">
        <w:t xml:space="preserve">its highest gain above </w:t>
      </w:r>
      <w:r w:rsidR="00BD580F">
        <w:t>the horizontal plane when</w:t>
      </w:r>
      <w:r w:rsidR="00F65D1E" w:rsidRPr="00BD580F">
        <w:t xml:space="preserve"> form</w:t>
      </w:r>
      <w:r w:rsidR="00BD580F">
        <w:t>ing</w:t>
      </w:r>
      <w:r w:rsidR="00F65D1E" w:rsidRPr="00F65D1E">
        <w:t xml:space="preserve"> beams) at positive elevation angles with reference to the horizon.</w:t>
      </w:r>
    </w:p>
    <w:p w14:paraId="39104485" w14:textId="321A7E28" w:rsidR="001A27E4" w:rsidRDefault="001D3618">
      <w:pPr>
        <w:pStyle w:val="ListParagraph"/>
        <w:numPr>
          <w:ilvl w:val="1"/>
          <w:numId w:val="53"/>
        </w:numPr>
      </w:pPr>
      <w:r>
        <w:t>F</w:t>
      </w:r>
      <w:r w:rsidRPr="001D3618">
        <w:t xml:space="preserve">or all </w:t>
      </w:r>
      <w:r w:rsidR="00C41FB2">
        <w:t>h</w:t>
      </w:r>
      <w:r w:rsidRPr="001D3618">
        <w:t>eliports, limit PFD to no more than -16 dBW/m</w:t>
      </w:r>
      <w:r w:rsidRPr="007F68A0">
        <w:rPr>
          <w:vertAlign w:val="superscript"/>
        </w:rPr>
        <w:t>2</w:t>
      </w:r>
      <w:r w:rsidRPr="001D3618">
        <w:t xml:space="preserve">/MHz on the primary surfaces of </w:t>
      </w:r>
      <w:r w:rsidR="00B66D18">
        <w:t xml:space="preserve">their </w:t>
      </w:r>
      <w:r w:rsidR="00097FA2">
        <w:t>helipads</w:t>
      </w:r>
      <w:r w:rsidRPr="001D3618">
        <w:t>.</w:t>
      </w:r>
    </w:p>
    <w:bookmarkEnd w:id="48"/>
    <w:p w14:paraId="0E7846C7" w14:textId="3D6695FB" w:rsidR="009448F4" w:rsidRDefault="009448F4">
      <w:pPr>
        <w:pStyle w:val="ListParagraph"/>
        <w:numPr>
          <w:ilvl w:val="1"/>
          <w:numId w:val="53"/>
        </w:numPr>
      </w:pPr>
      <w:r>
        <w:t>Outside of exclusion and protection zones, non-AAS transmit</w:t>
      </w:r>
      <w:r w:rsidR="00CD42FC">
        <w:t>ters</w:t>
      </w:r>
      <w:r>
        <w:t xml:space="preserve"> cannot be registered if the </w:t>
      </w:r>
      <w:r w:rsidR="002E4FC2">
        <w:t>peak</w:t>
      </w:r>
      <w:r>
        <w:t xml:space="preserve"> EIRP exceeds </w:t>
      </w:r>
      <w:r w:rsidR="00FF501B">
        <w:t>53</w:t>
      </w:r>
      <w:r>
        <w:t xml:space="preserve"> dBm/MHz</w:t>
      </w:r>
      <w:r w:rsidR="00701E8C">
        <w:t>.</w:t>
      </w:r>
    </w:p>
    <w:p w14:paraId="49EFF32D" w14:textId="239482AC" w:rsidR="009448F4" w:rsidRDefault="009448F4">
      <w:pPr>
        <w:pStyle w:val="ListParagraph"/>
        <w:numPr>
          <w:ilvl w:val="1"/>
          <w:numId w:val="53"/>
        </w:numPr>
      </w:pPr>
      <w:r>
        <w:t>Outside of exclusion and protection zones, AAS transmit</w:t>
      </w:r>
      <w:r w:rsidR="00CD42FC">
        <w:t>ters</w:t>
      </w:r>
      <w:r>
        <w:t xml:space="preserve"> cannot be registered if the EIRP exceeds </w:t>
      </w:r>
      <w:r w:rsidR="00D3571A">
        <w:t>62</w:t>
      </w:r>
      <w:r>
        <w:t xml:space="preserve"> dBm/</w:t>
      </w:r>
      <w:r w:rsidR="00D3571A">
        <w:t>MHz.</w:t>
      </w:r>
    </w:p>
    <w:bookmarkEnd w:id="47"/>
    <w:p w14:paraId="2A2DC6F3" w14:textId="209A43E4" w:rsidR="00772B5C" w:rsidRDefault="00772B5C">
      <w:pPr>
        <w:pStyle w:val="ListParagraph"/>
        <w:numPr>
          <w:ilvl w:val="1"/>
          <w:numId w:val="53"/>
        </w:numPr>
      </w:pPr>
      <w:r>
        <w:t>Further consideration of whether restrictions on out-of-band emissions need to be made in restricted zones or more broadly.</w:t>
      </w:r>
    </w:p>
    <w:p w14:paraId="735B2AC6" w14:textId="37D41671" w:rsidR="00694D59" w:rsidRDefault="005549AF" w:rsidP="007F68A0">
      <w:pPr>
        <w:ind w:left="720"/>
      </w:pPr>
      <w:r>
        <w:lastRenderedPageBreak/>
        <w:t xml:space="preserve">Further work is likely to be required to define </w:t>
      </w:r>
      <w:r w:rsidR="00C41FB2">
        <w:t>the</w:t>
      </w:r>
      <w:r>
        <w:t xml:space="preserve"> airports and heliports that are required to support radio altimeter use.</w:t>
      </w:r>
      <w:r w:rsidR="008A47F5">
        <w:t xml:space="preserve"> </w:t>
      </w:r>
    </w:p>
    <w:p w14:paraId="1596ECE6" w14:textId="77777777" w:rsidR="008614D5" w:rsidRDefault="008614D5">
      <w:pPr>
        <w:spacing w:after="160" w:line="259" w:lineRule="auto"/>
      </w:pPr>
      <w:r>
        <w:br w:type="page"/>
      </w:r>
    </w:p>
    <w:p w14:paraId="5A9787D1" w14:textId="3EE94207" w:rsidR="001A27E4" w:rsidRDefault="003400F9" w:rsidP="007F68A0">
      <w:pPr>
        <w:tabs>
          <w:tab w:val="right" w:pos="7671"/>
        </w:tabs>
      </w:pPr>
      <w:r w:rsidRPr="007F68A0">
        <w:lastRenderedPageBreak/>
        <w:t xml:space="preserve">Example of zones as they </w:t>
      </w:r>
      <w:r w:rsidR="00F33D1A">
        <w:t>could</w:t>
      </w:r>
      <w:r w:rsidRPr="007F68A0">
        <w:t xml:space="preserve"> apply to the Sydney parallel runway:</w:t>
      </w:r>
      <w:r w:rsidR="00CF708C">
        <w:tab/>
      </w:r>
    </w:p>
    <w:p w14:paraId="69F2B464" w14:textId="7DE4F407" w:rsidR="00457ACD" w:rsidRPr="00457ACD" w:rsidRDefault="006B48A3">
      <w:r w:rsidRPr="006B48A3" w:rsidDel="006B48A3">
        <w:t xml:space="preserve"> </w:t>
      </w:r>
      <w:r w:rsidR="00FD55D3" w:rsidRPr="00FD55D3">
        <w:rPr>
          <w:rFonts w:cs="Arial"/>
          <w:bCs/>
          <w:noProof/>
          <w:szCs w:val="26"/>
        </w:rPr>
        <w:drawing>
          <wp:inline distT="0" distB="0" distL="0" distR="0" wp14:anchorId="3CC82317" wp14:editId="5A3808A8">
            <wp:extent cx="4871085" cy="4308475"/>
            <wp:effectExtent l="0" t="0" r="5715" b="0"/>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77"/>
                    <a:stretch>
                      <a:fillRect/>
                    </a:stretch>
                  </pic:blipFill>
                  <pic:spPr>
                    <a:xfrm>
                      <a:off x="0" y="0"/>
                      <a:ext cx="4871085" cy="4308475"/>
                    </a:xfrm>
                    <a:prstGeom prst="rect">
                      <a:avLst/>
                    </a:prstGeom>
                  </pic:spPr>
                </pic:pic>
              </a:graphicData>
            </a:graphic>
          </wp:inline>
        </w:drawing>
      </w:r>
      <w:r w:rsidRPr="006B48A3" w:rsidDel="006B48A3">
        <w:t xml:space="preserve"> </w:t>
      </w:r>
    </w:p>
    <w:p w14:paraId="0365443E" w14:textId="32072590" w:rsidR="00645BB1" w:rsidRDefault="00645BB1" w:rsidP="00645BB1">
      <w:pPr>
        <w:pStyle w:val="Heading3"/>
      </w:pPr>
      <w:bookmarkStart w:id="49" w:name="_Toc94603276"/>
      <w:r>
        <w:t>Summary of how possible Approach B mitigations manage typical use cases</w:t>
      </w:r>
      <w:bookmarkEnd w:id="49"/>
    </w:p>
    <w:p w14:paraId="69506695" w14:textId="6C08A071" w:rsidR="00645BB1" w:rsidRDefault="00450675">
      <w:r>
        <w:t xml:space="preserve">Table </w:t>
      </w:r>
      <w:r w:rsidR="000F26A2">
        <w:t>1</w:t>
      </w:r>
      <w:r>
        <w:t xml:space="preserve"> below summarises how each possible approach B mitigation </w:t>
      </w:r>
      <w:r w:rsidR="008614D5">
        <w:t>manages</w:t>
      </w:r>
      <w:r>
        <w:t xml:space="preserve"> typical uses cases.</w:t>
      </w:r>
    </w:p>
    <w:p w14:paraId="1596592B" w14:textId="009F8B46" w:rsidR="000F26A2" w:rsidRDefault="000F26A2" w:rsidP="007F68A0">
      <w:pPr>
        <w:pStyle w:val="Caption"/>
        <w:keepNext/>
        <w:numPr>
          <w:ilvl w:val="0"/>
          <w:numId w:val="0"/>
        </w:numPr>
        <w:ind w:left="964" w:hanging="964"/>
      </w:pPr>
      <w:r>
        <w:t xml:space="preserve">Table </w:t>
      </w:r>
      <w:r w:rsidR="00E2128E">
        <w:fldChar w:fldCharType="begin"/>
      </w:r>
      <w:r w:rsidR="00E2128E">
        <w:instrText xml:space="preserve"> SEQ Table \* ARABIC </w:instrText>
      </w:r>
      <w:r w:rsidR="00E2128E">
        <w:fldChar w:fldCharType="separate"/>
      </w:r>
      <w:r>
        <w:rPr>
          <w:noProof/>
        </w:rPr>
        <w:t>1</w:t>
      </w:r>
      <w:r w:rsidR="00E2128E">
        <w:rPr>
          <w:noProof/>
        </w:rPr>
        <w:fldChar w:fldCharType="end"/>
      </w:r>
      <w:r>
        <w:t>: summary of possible Approach B mitigations vs use case</w:t>
      </w:r>
    </w:p>
    <w:tbl>
      <w:tblPr>
        <w:tblStyle w:val="TableGrid"/>
        <w:tblW w:w="0" w:type="auto"/>
        <w:tblLook w:val="04A0" w:firstRow="1" w:lastRow="0" w:firstColumn="1" w:lastColumn="0" w:noHBand="0" w:noVBand="1"/>
      </w:tblPr>
      <w:tblGrid>
        <w:gridCol w:w="1915"/>
        <w:gridCol w:w="1915"/>
        <w:gridCol w:w="1915"/>
        <w:gridCol w:w="1916"/>
      </w:tblGrid>
      <w:tr w:rsidR="00450675" w:rsidRPr="00A01BF1" w14:paraId="65F82A85" w14:textId="77777777" w:rsidTr="00450675">
        <w:tc>
          <w:tcPr>
            <w:tcW w:w="1915" w:type="dxa"/>
          </w:tcPr>
          <w:p w14:paraId="1705EC06" w14:textId="442A1126" w:rsidR="00450675" w:rsidRPr="007F68A0" w:rsidRDefault="00450675">
            <w:pPr>
              <w:rPr>
                <w:b/>
                <w:bCs/>
              </w:rPr>
            </w:pPr>
            <w:r w:rsidRPr="007F68A0">
              <w:rPr>
                <w:b/>
                <w:bCs/>
              </w:rPr>
              <w:t>Approach B clause</w:t>
            </w:r>
          </w:p>
        </w:tc>
        <w:tc>
          <w:tcPr>
            <w:tcW w:w="1915" w:type="dxa"/>
          </w:tcPr>
          <w:p w14:paraId="593C6850" w14:textId="3B2B99DF" w:rsidR="00450675" w:rsidRPr="007F68A0" w:rsidRDefault="00450675" w:rsidP="007F68A0">
            <w:pPr>
              <w:jc w:val="center"/>
              <w:rPr>
                <w:b/>
                <w:bCs/>
              </w:rPr>
            </w:pPr>
            <w:r w:rsidRPr="007F68A0">
              <w:rPr>
                <w:b/>
                <w:bCs/>
              </w:rPr>
              <w:t>Around airports</w:t>
            </w:r>
          </w:p>
        </w:tc>
        <w:tc>
          <w:tcPr>
            <w:tcW w:w="1915" w:type="dxa"/>
          </w:tcPr>
          <w:p w14:paraId="7D7A9F7F" w14:textId="4B9E346F" w:rsidR="00450675" w:rsidRPr="007F68A0" w:rsidRDefault="00450675" w:rsidP="007F68A0">
            <w:pPr>
              <w:jc w:val="center"/>
              <w:rPr>
                <w:b/>
                <w:bCs/>
              </w:rPr>
            </w:pPr>
            <w:r w:rsidRPr="007F68A0">
              <w:rPr>
                <w:b/>
                <w:bCs/>
              </w:rPr>
              <w:t>Around heliports</w:t>
            </w:r>
          </w:p>
        </w:tc>
        <w:tc>
          <w:tcPr>
            <w:tcW w:w="1916" w:type="dxa"/>
          </w:tcPr>
          <w:p w14:paraId="6445D48E" w14:textId="4E6CE3F2" w:rsidR="00450675" w:rsidRPr="007F68A0" w:rsidRDefault="00450675" w:rsidP="007F68A0">
            <w:pPr>
              <w:jc w:val="center"/>
              <w:rPr>
                <w:b/>
                <w:bCs/>
              </w:rPr>
            </w:pPr>
            <w:r w:rsidRPr="007F68A0">
              <w:rPr>
                <w:b/>
                <w:bCs/>
              </w:rPr>
              <w:t>Other areas</w:t>
            </w:r>
          </w:p>
        </w:tc>
      </w:tr>
      <w:tr w:rsidR="00450675" w14:paraId="48F4E6A5" w14:textId="77777777" w:rsidTr="00450675">
        <w:tc>
          <w:tcPr>
            <w:tcW w:w="1915" w:type="dxa"/>
          </w:tcPr>
          <w:p w14:paraId="77D7E0ED" w14:textId="75A29DE3" w:rsidR="00450675" w:rsidRDefault="00A01BF1">
            <w:r>
              <w:t>B.1</w:t>
            </w:r>
          </w:p>
        </w:tc>
        <w:tc>
          <w:tcPr>
            <w:tcW w:w="1915" w:type="dxa"/>
          </w:tcPr>
          <w:p w14:paraId="2FDCE5A6" w14:textId="10AEED9F" w:rsidR="00450675" w:rsidRDefault="00A01BF1" w:rsidP="007F68A0">
            <w:pPr>
              <w:jc w:val="center"/>
            </w:pPr>
            <w:r>
              <w:sym w:font="Wingdings" w:char="F0FC"/>
            </w:r>
          </w:p>
        </w:tc>
        <w:tc>
          <w:tcPr>
            <w:tcW w:w="1915" w:type="dxa"/>
          </w:tcPr>
          <w:p w14:paraId="4862ED64" w14:textId="77777777" w:rsidR="00450675" w:rsidRDefault="00450675" w:rsidP="007F68A0">
            <w:pPr>
              <w:jc w:val="center"/>
            </w:pPr>
          </w:p>
        </w:tc>
        <w:tc>
          <w:tcPr>
            <w:tcW w:w="1916" w:type="dxa"/>
          </w:tcPr>
          <w:p w14:paraId="1639F83D" w14:textId="77777777" w:rsidR="00450675" w:rsidRDefault="00450675" w:rsidP="007F68A0">
            <w:pPr>
              <w:jc w:val="center"/>
            </w:pPr>
          </w:p>
        </w:tc>
      </w:tr>
      <w:tr w:rsidR="00A01BF1" w14:paraId="46482AE5" w14:textId="77777777" w:rsidTr="00450675">
        <w:tc>
          <w:tcPr>
            <w:tcW w:w="1915" w:type="dxa"/>
          </w:tcPr>
          <w:p w14:paraId="0F2BBE9A" w14:textId="52087C4B" w:rsidR="00A01BF1" w:rsidRDefault="00A01BF1" w:rsidP="00A01BF1">
            <w:r>
              <w:t>B.2</w:t>
            </w:r>
          </w:p>
        </w:tc>
        <w:tc>
          <w:tcPr>
            <w:tcW w:w="1915" w:type="dxa"/>
          </w:tcPr>
          <w:p w14:paraId="1C3BD7D7" w14:textId="631054A9" w:rsidR="00A01BF1" w:rsidRDefault="00A01BF1" w:rsidP="007F68A0">
            <w:pPr>
              <w:jc w:val="center"/>
            </w:pPr>
            <w:r>
              <w:sym w:font="Wingdings" w:char="F0FC"/>
            </w:r>
          </w:p>
        </w:tc>
        <w:tc>
          <w:tcPr>
            <w:tcW w:w="1915" w:type="dxa"/>
          </w:tcPr>
          <w:p w14:paraId="3ED407EE" w14:textId="77777777" w:rsidR="00A01BF1" w:rsidRDefault="00A01BF1" w:rsidP="007F68A0">
            <w:pPr>
              <w:jc w:val="center"/>
            </w:pPr>
          </w:p>
        </w:tc>
        <w:tc>
          <w:tcPr>
            <w:tcW w:w="1916" w:type="dxa"/>
          </w:tcPr>
          <w:p w14:paraId="67411179" w14:textId="77777777" w:rsidR="00A01BF1" w:rsidRDefault="00A01BF1" w:rsidP="007F68A0">
            <w:pPr>
              <w:jc w:val="center"/>
            </w:pPr>
          </w:p>
        </w:tc>
      </w:tr>
      <w:tr w:rsidR="00A01BF1" w14:paraId="25C99AB7" w14:textId="77777777" w:rsidTr="00450675">
        <w:tc>
          <w:tcPr>
            <w:tcW w:w="1915" w:type="dxa"/>
          </w:tcPr>
          <w:p w14:paraId="294CFFC9" w14:textId="199C56A3" w:rsidR="00A01BF1" w:rsidRDefault="00A01BF1" w:rsidP="00A01BF1">
            <w:r>
              <w:t>B.3</w:t>
            </w:r>
          </w:p>
        </w:tc>
        <w:tc>
          <w:tcPr>
            <w:tcW w:w="1915" w:type="dxa"/>
          </w:tcPr>
          <w:p w14:paraId="09FD9172" w14:textId="701F2074" w:rsidR="00A01BF1" w:rsidRDefault="00A01BF1" w:rsidP="007F68A0">
            <w:pPr>
              <w:jc w:val="center"/>
            </w:pPr>
            <w:r>
              <w:sym w:font="Wingdings" w:char="F0FC"/>
            </w:r>
          </w:p>
        </w:tc>
        <w:tc>
          <w:tcPr>
            <w:tcW w:w="1915" w:type="dxa"/>
          </w:tcPr>
          <w:p w14:paraId="5FC18A92" w14:textId="77777777" w:rsidR="00A01BF1" w:rsidRDefault="00A01BF1" w:rsidP="007F68A0">
            <w:pPr>
              <w:jc w:val="center"/>
            </w:pPr>
          </w:p>
        </w:tc>
        <w:tc>
          <w:tcPr>
            <w:tcW w:w="1916" w:type="dxa"/>
          </w:tcPr>
          <w:p w14:paraId="1EEDD9CF" w14:textId="77777777" w:rsidR="00A01BF1" w:rsidRDefault="00A01BF1" w:rsidP="007F68A0">
            <w:pPr>
              <w:jc w:val="center"/>
            </w:pPr>
          </w:p>
        </w:tc>
      </w:tr>
      <w:tr w:rsidR="00A01BF1" w14:paraId="164A3818" w14:textId="77777777" w:rsidTr="00450675">
        <w:tc>
          <w:tcPr>
            <w:tcW w:w="1915" w:type="dxa"/>
          </w:tcPr>
          <w:p w14:paraId="39FEEE7E" w14:textId="25F3301A" w:rsidR="00A01BF1" w:rsidRDefault="00A01BF1" w:rsidP="00A01BF1">
            <w:r>
              <w:t>B.4</w:t>
            </w:r>
          </w:p>
        </w:tc>
        <w:tc>
          <w:tcPr>
            <w:tcW w:w="1915" w:type="dxa"/>
          </w:tcPr>
          <w:p w14:paraId="04103045" w14:textId="29A8B951" w:rsidR="00A01BF1" w:rsidRDefault="00A01BF1" w:rsidP="007F68A0">
            <w:pPr>
              <w:jc w:val="center"/>
            </w:pPr>
            <w:r>
              <w:sym w:font="Wingdings" w:char="F0FC"/>
            </w:r>
          </w:p>
        </w:tc>
        <w:tc>
          <w:tcPr>
            <w:tcW w:w="1915" w:type="dxa"/>
          </w:tcPr>
          <w:p w14:paraId="7C186808" w14:textId="77777777" w:rsidR="00A01BF1" w:rsidRDefault="00A01BF1" w:rsidP="007F68A0">
            <w:pPr>
              <w:jc w:val="center"/>
            </w:pPr>
          </w:p>
        </w:tc>
        <w:tc>
          <w:tcPr>
            <w:tcW w:w="1916" w:type="dxa"/>
          </w:tcPr>
          <w:p w14:paraId="4F5BF81C" w14:textId="77777777" w:rsidR="00A01BF1" w:rsidRDefault="00A01BF1" w:rsidP="007F68A0">
            <w:pPr>
              <w:jc w:val="center"/>
            </w:pPr>
          </w:p>
        </w:tc>
      </w:tr>
      <w:tr w:rsidR="00A01BF1" w14:paraId="5F21EDBF" w14:textId="77777777" w:rsidTr="00450675">
        <w:tc>
          <w:tcPr>
            <w:tcW w:w="1915" w:type="dxa"/>
          </w:tcPr>
          <w:p w14:paraId="75D628DF" w14:textId="3EA5133D" w:rsidR="00A01BF1" w:rsidRDefault="00A01BF1" w:rsidP="00A01BF1">
            <w:r>
              <w:t>B.5</w:t>
            </w:r>
          </w:p>
        </w:tc>
        <w:tc>
          <w:tcPr>
            <w:tcW w:w="1915" w:type="dxa"/>
          </w:tcPr>
          <w:p w14:paraId="33EAED5F" w14:textId="34B86B36" w:rsidR="00A01BF1" w:rsidRDefault="00A01BF1" w:rsidP="007F68A0">
            <w:pPr>
              <w:jc w:val="center"/>
            </w:pPr>
            <w:r>
              <w:sym w:font="Wingdings" w:char="F0FC"/>
            </w:r>
          </w:p>
        </w:tc>
        <w:tc>
          <w:tcPr>
            <w:tcW w:w="1915" w:type="dxa"/>
          </w:tcPr>
          <w:p w14:paraId="56A120D0" w14:textId="77777777" w:rsidR="00A01BF1" w:rsidRDefault="00A01BF1" w:rsidP="007F68A0">
            <w:pPr>
              <w:jc w:val="center"/>
            </w:pPr>
          </w:p>
        </w:tc>
        <w:tc>
          <w:tcPr>
            <w:tcW w:w="1916" w:type="dxa"/>
          </w:tcPr>
          <w:p w14:paraId="7E74BA74" w14:textId="77777777" w:rsidR="00A01BF1" w:rsidRDefault="00A01BF1" w:rsidP="007F68A0">
            <w:pPr>
              <w:jc w:val="center"/>
            </w:pPr>
          </w:p>
        </w:tc>
      </w:tr>
      <w:tr w:rsidR="00A01BF1" w14:paraId="049B2682" w14:textId="77777777" w:rsidTr="00450675">
        <w:tc>
          <w:tcPr>
            <w:tcW w:w="1915" w:type="dxa"/>
          </w:tcPr>
          <w:p w14:paraId="67D1EAC7" w14:textId="3AC5F754" w:rsidR="00A01BF1" w:rsidRDefault="00A01BF1" w:rsidP="00A01BF1">
            <w:r>
              <w:t>B.6</w:t>
            </w:r>
          </w:p>
        </w:tc>
        <w:tc>
          <w:tcPr>
            <w:tcW w:w="1915" w:type="dxa"/>
          </w:tcPr>
          <w:p w14:paraId="7B28D338" w14:textId="509549BD" w:rsidR="00A01BF1" w:rsidRDefault="00A01BF1" w:rsidP="007F68A0">
            <w:pPr>
              <w:jc w:val="center"/>
            </w:pPr>
            <w:r>
              <w:sym w:font="Wingdings" w:char="F0FC"/>
            </w:r>
          </w:p>
        </w:tc>
        <w:tc>
          <w:tcPr>
            <w:tcW w:w="1915" w:type="dxa"/>
          </w:tcPr>
          <w:p w14:paraId="683C0001" w14:textId="77777777" w:rsidR="00A01BF1" w:rsidRDefault="00A01BF1" w:rsidP="007F68A0">
            <w:pPr>
              <w:jc w:val="center"/>
            </w:pPr>
          </w:p>
        </w:tc>
        <w:tc>
          <w:tcPr>
            <w:tcW w:w="1916" w:type="dxa"/>
          </w:tcPr>
          <w:p w14:paraId="60D91F85" w14:textId="77777777" w:rsidR="00A01BF1" w:rsidRDefault="00A01BF1" w:rsidP="007F68A0">
            <w:pPr>
              <w:jc w:val="center"/>
            </w:pPr>
          </w:p>
        </w:tc>
      </w:tr>
      <w:tr w:rsidR="00A01BF1" w14:paraId="355D84CA" w14:textId="77777777" w:rsidTr="00450675">
        <w:tc>
          <w:tcPr>
            <w:tcW w:w="1915" w:type="dxa"/>
          </w:tcPr>
          <w:p w14:paraId="7348AC92" w14:textId="5468961D" w:rsidR="00A01BF1" w:rsidRDefault="00A01BF1" w:rsidP="00A01BF1">
            <w:r>
              <w:t>B.7</w:t>
            </w:r>
          </w:p>
        </w:tc>
        <w:tc>
          <w:tcPr>
            <w:tcW w:w="1915" w:type="dxa"/>
          </w:tcPr>
          <w:p w14:paraId="46114484" w14:textId="77777777" w:rsidR="00A01BF1" w:rsidRDefault="00A01BF1" w:rsidP="007F68A0">
            <w:pPr>
              <w:jc w:val="center"/>
            </w:pPr>
          </w:p>
        </w:tc>
        <w:tc>
          <w:tcPr>
            <w:tcW w:w="1915" w:type="dxa"/>
          </w:tcPr>
          <w:p w14:paraId="1F7E4FF3" w14:textId="172CF71D" w:rsidR="00A01BF1" w:rsidRDefault="00A01BF1" w:rsidP="007F68A0">
            <w:pPr>
              <w:jc w:val="center"/>
            </w:pPr>
            <w:r>
              <w:sym w:font="Wingdings" w:char="F0FC"/>
            </w:r>
          </w:p>
        </w:tc>
        <w:tc>
          <w:tcPr>
            <w:tcW w:w="1916" w:type="dxa"/>
          </w:tcPr>
          <w:p w14:paraId="4BCDE881" w14:textId="77777777" w:rsidR="00A01BF1" w:rsidRDefault="00A01BF1" w:rsidP="007F68A0">
            <w:pPr>
              <w:jc w:val="center"/>
            </w:pPr>
          </w:p>
        </w:tc>
      </w:tr>
      <w:tr w:rsidR="00A01BF1" w14:paraId="0CCEFE9B" w14:textId="77777777" w:rsidTr="00450675">
        <w:tc>
          <w:tcPr>
            <w:tcW w:w="1915" w:type="dxa"/>
          </w:tcPr>
          <w:p w14:paraId="58BA8251" w14:textId="71B6BE4F" w:rsidR="00A01BF1" w:rsidRDefault="00A01BF1" w:rsidP="00A01BF1">
            <w:r>
              <w:t>B.8</w:t>
            </w:r>
          </w:p>
        </w:tc>
        <w:tc>
          <w:tcPr>
            <w:tcW w:w="1915" w:type="dxa"/>
          </w:tcPr>
          <w:p w14:paraId="06265457" w14:textId="77777777" w:rsidR="00A01BF1" w:rsidRDefault="00A01BF1" w:rsidP="007F68A0">
            <w:pPr>
              <w:jc w:val="center"/>
            </w:pPr>
          </w:p>
        </w:tc>
        <w:tc>
          <w:tcPr>
            <w:tcW w:w="1915" w:type="dxa"/>
          </w:tcPr>
          <w:p w14:paraId="077E4B33" w14:textId="144DEED1" w:rsidR="00A01BF1" w:rsidRDefault="00A01BF1" w:rsidP="007F68A0">
            <w:pPr>
              <w:jc w:val="center"/>
            </w:pPr>
            <w:r>
              <w:sym w:font="Wingdings" w:char="F0FC"/>
            </w:r>
          </w:p>
        </w:tc>
        <w:tc>
          <w:tcPr>
            <w:tcW w:w="1916" w:type="dxa"/>
          </w:tcPr>
          <w:p w14:paraId="1317A2D8" w14:textId="78FE623B" w:rsidR="00A01BF1" w:rsidRDefault="00A01BF1" w:rsidP="007F68A0">
            <w:pPr>
              <w:jc w:val="center"/>
            </w:pPr>
            <w:r>
              <w:sym w:font="Wingdings" w:char="F0FC"/>
            </w:r>
          </w:p>
        </w:tc>
      </w:tr>
      <w:tr w:rsidR="00A01BF1" w14:paraId="273E59EB" w14:textId="77777777" w:rsidTr="00450675">
        <w:tc>
          <w:tcPr>
            <w:tcW w:w="1915" w:type="dxa"/>
          </w:tcPr>
          <w:p w14:paraId="3DCCC88B" w14:textId="542DE6E3" w:rsidR="00A01BF1" w:rsidRDefault="00A01BF1" w:rsidP="00A01BF1">
            <w:r>
              <w:lastRenderedPageBreak/>
              <w:t>B.9</w:t>
            </w:r>
          </w:p>
        </w:tc>
        <w:tc>
          <w:tcPr>
            <w:tcW w:w="1915" w:type="dxa"/>
          </w:tcPr>
          <w:p w14:paraId="74364FF7" w14:textId="77777777" w:rsidR="00A01BF1" w:rsidRDefault="00A01BF1" w:rsidP="007F68A0">
            <w:pPr>
              <w:jc w:val="center"/>
            </w:pPr>
          </w:p>
        </w:tc>
        <w:tc>
          <w:tcPr>
            <w:tcW w:w="1915" w:type="dxa"/>
          </w:tcPr>
          <w:p w14:paraId="62A69DE8" w14:textId="3249ADB2" w:rsidR="00A01BF1" w:rsidRDefault="00A01BF1" w:rsidP="007F68A0">
            <w:pPr>
              <w:jc w:val="center"/>
            </w:pPr>
            <w:r>
              <w:sym w:font="Wingdings" w:char="F0FC"/>
            </w:r>
          </w:p>
        </w:tc>
        <w:tc>
          <w:tcPr>
            <w:tcW w:w="1916" w:type="dxa"/>
          </w:tcPr>
          <w:p w14:paraId="2D04ABC4" w14:textId="5870841C" w:rsidR="00A01BF1" w:rsidRDefault="00A01BF1" w:rsidP="007F68A0">
            <w:pPr>
              <w:jc w:val="center"/>
            </w:pPr>
            <w:r>
              <w:sym w:font="Wingdings" w:char="F0FC"/>
            </w:r>
          </w:p>
        </w:tc>
      </w:tr>
      <w:tr w:rsidR="00A01BF1" w14:paraId="6FAAB020" w14:textId="77777777" w:rsidTr="00450675">
        <w:tc>
          <w:tcPr>
            <w:tcW w:w="1915" w:type="dxa"/>
          </w:tcPr>
          <w:p w14:paraId="15089233" w14:textId="51594204" w:rsidR="00A01BF1" w:rsidRDefault="00A01BF1" w:rsidP="00A01BF1">
            <w:r>
              <w:t>B.10</w:t>
            </w:r>
          </w:p>
        </w:tc>
        <w:tc>
          <w:tcPr>
            <w:tcW w:w="1915" w:type="dxa"/>
          </w:tcPr>
          <w:p w14:paraId="04DD7A95" w14:textId="0B6C7B35" w:rsidR="00A01BF1" w:rsidRDefault="00A01BF1" w:rsidP="007F68A0">
            <w:pPr>
              <w:jc w:val="center"/>
            </w:pPr>
            <w:r>
              <w:sym w:font="Wingdings" w:char="F0FC"/>
            </w:r>
          </w:p>
        </w:tc>
        <w:tc>
          <w:tcPr>
            <w:tcW w:w="1915" w:type="dxa"/>
          </w:tcPr>
          <w:p w14:paraId="3FB4679E" w14:textId="3E21C841" w:rsidR="00A01BF1" w:rsidRDefault="00A01BF1" w:rsidP="007F68A0">
            <w:pPr>
              <w:jc w:val="center"/>
            </w:pPr>
            <w:r>
              <w:sym w:font="Wingdings" w:char="F0FC"/>
            </w:r>
          </w:p>
        </w:tc>
        <w:tc>
          <w:tcPr>
            <w:tcW w:w="1916" w:type="dxa"/>
          </w:tcPr>
          <w:p w14:paraId="06F7E8CD" w14:textId="3B39C09E" w:rsidR="00A01BF1" w:rsidRDefault="00A01BF1" w:rsidP="007F68A0">
            <w:pPr>
              <w:jc w:val="center"/>
            </w:pPr>
            <w:r>
              <w:sym w:font="Wingdings" w:char="F0FC"/>
            </w:r>
          </w:p>
        </w:tc>
      </w:tr>
    </w:tbl>
    <w:p w14:paraId="3609399D" w14:textId="77777777" w:rsidR="00450675" w:rsidRPr="00457ACD" w:rsidRDefault="00450675" w:rsidP="007F68A0"/>
    <w:p w14:paraId="56F91531" w14:textId="5372A0A3" w:rsidR="00E54EB4" w:rsidRDefault="00144FCB" w:rsidP="007F68A0">
      <w:pPr>
        <w:pStyle w:val="Heading3"/>
      </w:pPr>
      <w:bookmarkStart w:id="50" w:name="_Toc94603277"/>
      <w:r>
        <w:t xml:space="preserve">Reasons for </w:t>
      </w:r>
      <w:r w:rsidR="001A27E4">
        <w:t>identifying</w:t>
      </w:r>
      <w:r w:rsidR="002332F5">
        <w:t xml:space="preserve"> </w:t>
      </w:r>
      <w:r w:rsidR="00BF09D5">
        <w:t>Approach</w:t>
      </w:r>
      <w:r>
        <w:t xml:space="preserve"> A</w:t>
      </w:r>
      <w:bookmarkEnd w:id="50"/>
    </w:p>
    <w:p w14:paraId="18E2C08E" w14:textId="60B4C22E" w:rsidR="00144FCB" w:rsidRDefault="00144FCB" w:rsidP="00144FCB">
      <w:pPr>
        <w:pStyle w:val="ListParagraph"/>
        <w:numPr>
          <w:ilvl w:val="0"/>
          <w:numId w:val="50"/>
        </w:numPr>
      </w:pPr>
      <w:r>
        <w:t xml:space="preserve">ACMA </w:t>
      </w:r>
      <w:r w:rsidR="0049665E">
        <w:t xml:space="preserve">staff </w:t>
      </w:r>
      <w:r>
        <w:t>view the Japan</w:t>
      </w:r>
      <w:r w:rsidR="0049665E">
        <w:t>ese</w:t>
      </w:r>
      <w:r>
        <w:t xml:space="preserve"> study as the most accurate overseas for the overload mechanism. Japan is not proposing any exclusion zones for frequencies below 4000 MHz.</w:t>
      </w:r>
      <w:r w:rsidR="001976FE">
        <w:t xml:space="preserve"> The lab</w:t>
      </w:r>
      <w:r w:rsidR="00EB4F8F">
        <w:t>oratory</w:t>
      </w:r>
      <w:r w:rsidR="001976FE">
        <w:t xml:space="preserve"> tests on some radio altimeter models</w:t>
      </w:r>
      <w:r w:rsidR="00EB4F8F">
        <w:t>,</w:t>
      </w:r>
      <w:r w:rsidR="001976FE">
        <w:t xml:space="preserve"> in </w:t>
      </w:r>
      <w:r w:rsidR="00C41FB2">
        <w:t xml:space="preserve">ICAO </w:t>
      </w:r>
      <w:r w:rsidR="001976FE" w:rsidRPr="001976FE">
        <w:t>FSMP-WG/11 WP/30</w:t>
      </w:r>
      <w:r w:rsidR="00EB4F8F">
        <w:t>,</w:t>
      </w:r>
      <w:r w:rsidR="001976FE">
        <w:t xml:space="preserve"> support this</w:t>
      </w:r>
      <w:r w:rsidR="005B37DF">
        <w:t xml:space="preserve">, with very </w:t>
      </w:r>
      <w:r w:rsidR="0049665E">
        <w:t>high-power</w:t>
      </w:r>
      <w:r w:rsidR="005B37DF">
        <w:t xml:space="preserve"> levels being required with a 200 MHz guard band before altitude errors occur</w:t>
      </w:r>
      <w:r w:rsidR="001976FE">
        <w:t>.</w:t>
      </w:r>
    </w:p>
    <w:p w14:paraId="4C483A83" w14:textId="798AD8B7" w:rsidR="00144FCB" w:rsidRDefault="00144FCB">
      <w:pPr>
        <w:pStyle w:val="ListParagraph"/>
        <w:numPr>
          <w:ilvl w:val="0"/>
          <w:numId w:val="50"/>
        </w:numPr>
      </w:pPr>
      <w:r>
        <w:t xml:space="preserve">The ACMA </w:t>
      </w:r>
      <w:r w:rsidR="0049665E">
        <w:t xml:space="preserve">staff </w:t>
      </w:r>
      <w:r>
        <w:t xml:space="preserve">view </w:t>
      </w:r>
      <w:r w:rsidR="00855D98">
        <w:t>is</w:t>
      </w:r>
      <w:r>
        <w:t xml:space="preserve"> that the Japan study is still conservative with respect to the spurious mechanism, as it protects the receiver noise floor, which is not necessary</w:t>
      </w:r>
      <w:r w:rsidR="00EC7A1E">
        <w:t xml:space="preserve"> for most use cases</w:t>
      </w:r>
      <w:r>
        <w:t xml:space="preserve">. </w:t>
      </w:r>
      <w:r w:rsidR="0049665E">
        <w:t>This is</w:t>
      </w:r>
      <w:r>
        <w:t xml:space="preserve"> supported by the revised </w:t>
      </w:r>
      <w:r w:rsidR="0049665E">
        <w:t xml:space="preserve">ACMA </w:t>
      </w:r>
      <w:r>
        <w:t xml:space="preserve">study that </w:t>
      </w:r>
      <w:r w:rsidR="0049665E">
        <w:t xml:space="preserve">indicate that </w:t>
      </w:r>
      <w:r>
        <w:t xml:space="preserve">mitigations for </w:t>
      </w:r>
      <w:r w:rsidR="0049665E">
        <w:t xml:space="preserve">the </w:t>
      </w:r>
      <w:r>
        <w:t xml:space="preserve">spurious </w:t>
      </w:r>
      <w:r w:rsidR="0049665E">
        <w:t xml:space="preserve">mechanism </w:t>
      </w:r>
      <w:r>
        <w:t xml:space="preserve">are </w:t>
      </w:r>
      <w:r w:rsidR="00694D59">
        <w:t xml:space="preserve">likely </w:t>
      </w:r>
      <w:r>
        <w:t>not necessary</w:t>
      </w:r>
      <w:r w:rsidR="00466C54">
        <w:t xml:space="preserve"> in most cases</w:t>
      </w:r>
      <w:r>
        <w:t>.</w:t>
      </w:r>
      <w:r w:rsidR="001976FE">
        <w:t xml:space="preserve"> The lab</w:t>
      </w:r>
      <w:r w:rsidR="00694D59">
        <w:t>oratory</w:t>
      </w:r>
      <w:r w:rsidR="001976FE">
        <w:t xml:space="preserve"> tests on some radio altimeter models in </w:t>
      </w:r>
      <w:r w:rsidR="00C41FB2">
        <w:t xml:space="preserve">ICAO </w:t>
      </w:r>
      <w:r w:rsidR="001976FE" w:rsidRPr="001976FE">
        <w:t>FSMP-WG/11 WP/30</w:t>
      </w:r>
      <w:r w:rsidR="001976FE">
        <w:t xml:space="preserve"> support </w:t>
      </w:r>
      <w:r w:rsidR="00694D59">
        <w:t xml:space="preserve">that there is likely less potential than </w:t>
      </w:r>
      <w:r w:rsidR="00C41FB2">
        <w:t xml:space="preserve">ITU-R </w:t>
      </w:r>
      <w:r w:rsidR="00694D59">
        <w:t>M.2059 would suggest</w:t>
      </w:r>
      <w:r w:rsidR="00754340">
        <w:t>, noting “</w:t>
      </w:r>
      <w:r w:rsidR="00754340" w:rsidRPr="00754340">
        <w:t>In comparison to the worst case of Recommendation ITU-R M.2059[4], the measured threshold values are higher than -117</w:t>
      </w:r>
      <w:r w:rsidR="00C41FB2">
        <w:t> </w:t>
      </w:r>
      <w:r w:rsidR="00754340" w:rsidRPr="00754340">
        <w:t>dBm/MHz.</w:t>
      </w:r>
      <w:r w:rsidR="00754340">
        <w:t>”</w:t>
      </w:r>
      <w:r w:rsidR="001976FE">
        <w:t>.</w:t>
      </w:r>
    </w:p>
    <w:p w14:paraId="0785AC52" w14:textId="0D6BA127" w:rsidR="003A7E07" w:rsidRDefault="003A7E07">
      <w:pPr>
        <w:pStyle w:val="ListParagraph"/>
        <w:numPr>
          <w:ilvl w:val="0"/>
          <w:numId w:val="50"/>
        </w:numPr>
      </w:pPr>
      <w:r>
        <w:t xml:space="preserve">There have been no confirmed reports of interference to radio altimeters that can </w:t>
      </w:r>
      <w:r w:rsidR="00FA38FF">
        <w:t>directly</w:t>
      </w:r>
      <w:r>
        <w:t xml:space="preserve"> attributed to WBB services in the wider 3400-4000 MHz band, either in existing Australian deployments or overseas</w:t>
      </w:r>
      <w:r w:rsidR="00694D59">
        <w:t xml:space="preserve">, </w:t>
      </w:r>
      <w:r w:rsidR="00C41FB2">
        <w:t>of which</w:t>
      </w:r>
      <w:r w:rsidR="00694D59">
        <w:t xml:space="preserve"> ACMA </w:t>
      </w:r>
      <w:r w:rsidR="00531808">
        <w:t>staff are</w:t>
      </w:r>
      <w:r w:rsidR="00694D59">
        <w:t xml:space="preserve"> aware</w:t>
      </w:r>
      <w:r>
        <w:t>.</w:t>
      </w:r>
    </w:p>
    <w:p w14:paraId="53410FA7" w14:textId="297BA446" w:rsidR="003A7E07" w:rsidRDefault="003A7E07" w:rsidP="007F68A0">
      <w:pPr>
        <w:pStyle w:val="ListParagraph"/>
        <w:numPr>
          <w:ilvl w:val="0"/>
          <w:numId w:val="50"/>
        </w:numPr>
      </w:pPr>
      <w:r>
        <w:t>Field trials, reported in the ECC inputs in the European Union section, while constrained, did not observe any interference.</w:t>
      </w:r>
    </w:p>
    <w:p w14:paraId="5A486567" w14:textId="7512178D" w:rsidR="00C94C5C" w:rsidRDefault="00144FCB" w:rsidP="007F68A0">
      <w:pPr>
        <w:pStyle w:val="Heading3"/>
      </w:pPr>
      <w:bookmarkStart w:id="51" w:name="_Toc94603278"/>
      <w:r>
        <w:t xml:space="preserve">Reasons for </w:t>
      </w:r>
      <w:r w:rsidR="001A27E4">
        <w:t>identifying</w:t>
      </w:r>
      <w:r w:rsidR="002332F5">
        <w:t xml:space="preserve"> </w:t>
      </w:r>
      <w:r w:rsidR="00BF09D5">
        <w:t>Approach</w:t>
      </w:r>
      <w:r w:rsidR="00C94C5C">
        <w:t xml:space="preserve"> B</w:t>
      </w:r>
      <w:bookmarkEnd w:id="51"/>
    </w:p>
    <w:p w14:paraId="4D8B2583" w14:textId="40D94B7A" w:rsidR="00C94C5C" w:rsidRDefault="009E02B0">
      <w:pPr>
        <w:pStyle w:val="ListParagraph"/>
        <w:numPr>
          <w:ilvl w:val="0"/>
          <w:numId w:val="49"/>
        </w:numPr>
      </w:pPr>
      <w:r>
        <w:t>Some</w:t>
      </w:r>
      <w:r w:rsidR="005E685D">
        <w:t xml:space="preserve"> administrations overseas that are proposing macro deployments are proposing forms of </w:t>
      </w:r>
      <w:r w:rsidR="007F0750">
        <w:t xml:space="preserve">mitigations such as </w:t>
      </w:r>
      <w:r w:rsidR="005E685D">
        <w:t xml:space="preserve">exclusion or restricted zones and/or </w:t>
      </w:r>
      <w:r w:rsidR="00AE5C33">
        <w:t>(equivalent isotropic radiated power (</w:t>
      </w:r>
      <w:r w:rsidR="005E685D">
        <w:t>EIRP</w:t>
      </w:r>
      <w:r w:rsidR="00AE5C33">
        <w:t>)</w:t>
      </w:r>
      <w:r w:rsidR="005E685D">
        <w:t>/</w:t>
      </w:r>
      <w:r w:rsidR="00AE5C33">
        <w:t>Power flux density (</w:t>
      </w:r>
      <w:r w:rsidR="005E685D">
        <w:t>P</w:t>
      </w:r>
      <w:r w:rsidR="00EB4F8F">
        <w:t>FD</w:t>
      </w:r>
      <w:r w:rsidR="00AE5C33">
        <w:t>)</w:t>
      </w:r>
      <w:r w:rsidR="005E685D">
        <w:t xml:space="preserve"> limits.</w:t>
      </w:r>
      <w:r w:rsidR="00C62345">
        <w:t xml:space="preserve"> Given there is still </w:t>
      </w:r>
      <w:r w:rsidR="004242B5">
        <w:t>uncertainty</w:t>
      </w:r>
      <w:r w:rsidR="00C62345">
        <w:t xml:space="preserve"> about potential </w:t>
      </w:r>
      <w:r w:rsidR="00AD17AB">
        <w:t>coexistence</w:t>
      </w:r>
      <w:r w:rsidR="00C62345">
        <w:t xml:space="preserve">, aligning with overseas approaches </w:t>
      </w:r>
      <w:r w:rsidR="00AD7485">
        <w:t>may</w:t>
      </w:r>
      <w:r w:rsidR="00C62345">
        <w:t xml:space="preserve"> be prudent, especially in the international flight context.</w:t>
      </w:r>
    </w:p>
    <w:p w14:paraId="64BE2D7C" w14:textId="4A638EBF" w:rsidR="005E685D" w:rsidRDefault="005E685D">
      <w:pPr>
        <w:pStyle w:val="ListParagraph"/>
        <w:numPr>
          <w:ilvl w:val="0"/>
          <w:numId w:val="49"/>
        </w:numPr>
      </w:pPr>
      <w:r>
        <w:t xml:space="preserve">The </w:t>
      </w:r>
      <w:r w:rsidR="001F6F71">
        <w:t xml:space="preserve">revised </w:t>
      </w:r>
      <w:r>
        <w:t>ACMA study</w:t>
      </w:r>
      <w:r w:rsidR="001F6F71">
        <w:t xml:space="preserve">, Attachment D, </w:t>
      </w:r>
      <w:r>
        <w:t xml:space="preserve">indicates potential for overload interference </w:t>
      </w:r>
      <w:r w:rsidR="00425370">
        <w:t xml:space="preserve">from </w:t>
      </w:r>
      <w:r w:rsidR="00AD17AB">
        <w:t>unwanted</w:t>
      </w:r>
      <w:r w:rsidR="00965DED">
        <w:t xml:space="preserve"> emissions </w:t>
      </w:r>
      <w:r>
        <w:t>for non-AAS with some radio altimeter models</w:t>
      </w:r>
      <w:r w:rsidR="00AD17AB">
        <w:t>,</w:t>
      </w:r>
      <w:r w:rsidR="0013642F">
        <w:t xml:space="preserve"> and marginal for AAS</w:t>
      </w:r>
      <w:r>
        <w:t>. The sensitivity analysis in the study indicates that a mitigation involving restricting power in the vicinity of airports</w:t>
      </w:r>
      <w:r w:rsidR="002332F5">
        <w:t xml:space="preserve">, for the use case examined, </w:t>
      </w:r>
      <w:r>
        <w:t xml:space="preserve">is likely </w:t>
      </w:r>
      <w:r w:rsidR="00F868CD">
        <w:t xml:space="preserve">the </w:t>
      </w:r>
      <w:r>
        <w:t>most appropriate mitigatio</w:t>
      </w:r>
      <w:r w:rsidR="001A3A9C">
        <w:t xml:space="preserve">n as antenna height and downtilt restrictions do not seem </w:t>
      </w:r>
      <w:r w:rsidR="00AC5499">
        <w:t xml:space="preserve">as </w:t>
      </w:r>
      <w:r w:rsidR="001A3A9C">
        <w:t>effective.</w:t>
      </w:r>
    </w:p>
    <w:p w14:paraId="52948489" w14:textId="631DFC11" w:rsidR="00EB4F8F" w:rsidRDefault="00EB4F8F">
      <w:pPr>
        <w:pStyle w:val="ListParagraph"/>
        <w:numPr>
          <w:ilvl w:val="0"/>
          <w:numId w:val="49"/>
        </w:numPr>
      </w:pPr>
      <w:r>
        <w:t xml:space="preserve">As the revised study is based on existing deployment locations, it cannot be extrapolated to all </w:t>
      </w:r>
      <w:r w:rsidR="008D1AC2">
        <w:t xml:space="preserve">cases. Consequently, the ACMA </w:t>
      </w:r>
      <w:r w:rsidR="00855D98">
        <w:t xml:space="preserve">staff </w:t>
      </w:r>
      <w:r w:rsidR="008D1AC2">
        <w:t xml:space="preserve">view is that it </w:t>
      </w:r>
      <w:r w:rsidR="007F0750">
        <w:t>may be</w:t>
      </w:r>
      <w:r w:rsidR="008D1AC2">
        <w:t xml:space="preserve"> prudent to propose an exclusion zone as part of </w:t>
      </w:r>
      <w:r w:rsidR="00F868CD">
        <w:t>A</w:t>
      </w:r>
      <w:r w:rsidR="0049665E">
        <w:t xml:space="preserve">pproach </w:t>
      </w:r>
      <w:r w:rsidR="008D1AC2">
        <w:t>B</w:t>
      </w:r>
      <w:r w:rsidR="008C5EDE">
        <w:t>,</w:t>
      </w:r>
      <w:r w:rsidR="008D1AC2">
        <w:t xml:space="preserve"> </w:t>
      </w:r>
      <w:r w:rsidR="0049665E">
        <w:t xml:space="preserve">at least </w:t>
      </w:r>
      <w:r w:rsidR="00F868CD">
        <w:t xml:space="preserve">as </w:t>
      </w:r>
      <w:r w:rsidR="0049665E">
        <w:t xml:space="preserve">a </w:t>
      </w:r>
      <w:r w:rsidR="007F0750">
        <w:t>temporary measure,</w:t>
      </w:r>
      <w:r w:rsidR="009B13F7">
        <w:t xml:space="preserve"> while </w:t>
      </w:r>
      <w:r w:rsidR="007F0750">
        <w:t>noting</w:t>
      </w:r>
      <w:r w:rsidR="009B13F7">
        <w:t xml:space="preserve"> our previous statement </w:t>
      </w:r>
      <w:r w:rsidR="00F868CD">
        <w:t>on</w:t>
      </w:r>
      <w:r w:rsidR="009B13F7">
        <w:t xml:space="preserve"> the Canadian studies that their </w:t>
      </w:r>
      <w:r w:rsidR="001D78E5">
        <w:t>exclusion</w:t>
      </w:r>
      <w:r w:rsidR="009B13F7">
        <w:t xml:space="preserve"> zone</w:t>
      </w:r>
      <w:r w:rsidR="001D78E5">
        <w:t xml:space="preserve"> definition</w:t>
      </w:r>
      <w:r w:rsidR="009B13F7">
        <w:t xml:space="preserve"> were based on a</w:t>
      </w:r>
      <w:r w:rsidR="00F868CD">
        <w:t>re</w:t>
      </w:r>
      <w:r w:rsidR="009B13F7">
        <w:t xml:space="preserve"> likely too conservative</w:t>
      </w:r>
      <w:r w:rsidR="008D1AC2">
        <w:t>.</w:t>
      </w:r>
    </w:p>
    <w:p w14:paraId="66F11949" w14:textId="105BF670" w:rsidR="002F6724" w:rsidRDefault="002F6724" w:rsidP="007F68A0">
      <w:pPr>
        <w:pStyle w:val="ListParagraph"/>
        <w:numPr>
          <w:ilvl w:val="0"/>
          <w:numId w:val="49"/>
        </w:numPr>
      </w:pPr>
      <w:r>
        <w:t xml:space="preserve">The reason to restrict mitigations to above 3700 MHz is </w:t>
      </w:r>
      <w:r w:rsidR="006832E3">
        <w:t>based on</w:t>
      </w:r>
      <w:r>
        <w:t xml:space="preserve"> the lack of confirmed evidence for any radio altimeter co</w:t>
      </w:r>
      <w:r w:rsidR="00F42C8A">
        <w:t>existence</w:t>
      </w:r>
      <w:r>
        <w:t xml:space="preserve"> issues with the existing </w:t>
      </w:r>
      <w:r w:rsidR="003615FE">
        <w:t>Australian</w:t>
      </w:r>
      <w:r w:rsidR="007F0750">
        <w:t xml:space="preserve"> </w:t>
      </w:r>
      <w:r>
        <w:t>WBB deployments below 3700 MHz.</w:t>
      </w:r>
    </w:p>
    <w:p w14:paraId="64B2B9CF" w14:textId="235622BC" w:rsidR="006D0AA2" w:rsidRDefault="00084DC2">
      <w:r>
        <w:lastRenderedPageBreak/>
        <w:t xml:space="preserve">The ACMA will include these two </w:t>
      </w:r>
      <w:r w:rsidR="00BF09D5">
        <w:t>approaches</w:t>
      </w:r>
      <w:r>
        <w:t xml:space="preserve"> in the technical framework to be publicly consulted on in Q1 2022. Submissions to that consultation, as well as any continuing work with</w:t>
      </w:r>
      <w:r w:rsidR="00A55824">
        <w:t>in</w:t>
      </w:r>
      <w:r>
        <w:t xml:space="preserve"> the TLG, will inform the ACMA’s decision </w:t>
      </w:r>
      <w:r w:rsidR="00EA7A1E">
        <w:t xml:space="preserve">on measures </w:t>
      </w:r>
      <w:r>
        <w:t>for remote areas</w:t>
      </w:r>
      <w:r w:rsidR="00317172">
        <w:t>, on an interim basis,</w:t>
      </w:r>
      <w:r>
        <w:t xml:space="preserve"> at that time.</w:t>
      </w:r>
    </w:p>
    <w:p w14:paraId="1B599507" w14:textId="4DF34D1C" w:rsidR="00FA7F33" w:rsidRPr="00883C08" w:rsidRDefault="006D0AA2" w:rsidP="007F68A0">
      <w:r w:rsidRPr="006D0AA2">
        <w:t xml:space="preserve">The ACMA will also consider </w:t>
      </w:r>
      <w:r w:rsidR="00EA7A1E" w:rsidRPr="006D0AA2">
        <w:t xml:space="preserve">further </w:t>
      </w:r>
      <w:r w:rsidRPr="006D0AA2">
        <w:t xml:space="preserve">the issue of </w:t>
      </w:r>
      <w:r w:rsidR="00EA7A1E" w:rsidRPr="006D0AA2">
        <w:t>potential interference</w:t>
      </w:r>
      <w:r w:rsidR="00EA7A1E">
        <w:t xml:space="preserve"> from </w:t>
      </w:r>
      <w:r w:rsidR="002E4FC2">
        <w:t>unwanted emissions</w:t>
      </w:r>
      <w:r w:rsidRPr="006D0AA2">
        <w:t xml:space="preserve"> .  The </w:t>
      </w:r>
      <w:r w:rsidR="00EA7A1E">
        <w:t>preliminary</w:t>
      </w:r>
      <w:r w:rsidR="00EA7A1E" w:rsidRPr="006D0AA2">
        <w:t xml:space="preserve"> </w:t>
      </w:r>
      <w:r w:rsidRPr="006D0AA2">
        <w:t>ACMA</w:t>
      </w:r>
      <w:r>
        <w:t xml:space="preserve"> </w:t>
      </w:r>
      <w:r w:rsidRPr="006D0AA2">
        <w:t xml:space="preserve">staff view is that the ACMA studies are conservative in this aspect and the actual potential </w:t>
      </w:r>
      <w:r w:rsidR="00EA7A1E">
        <w:t xml:space="preserve">for interference </w:t>
      </w:r>
      <w:r w:rsidRPr="006D0AA2">
        <w:t>is low.</w:t>
      </w:r>
    </w:p>
    <w:p w14:paraId="5ADB1C78" w14:textId="09E20DDB" w:rsidR="007816AB" w:rsidRDefault="007816AB" w:rsidP="007F68A0">
      <w:pPr>
        <w:pStyle w:val="Heading3"/>
        <w:rPr>
          <w:rFonts w:eastAsia="Calibri"/>
        </w:rPr>
      </w:pPr>
      <w:bookmarkStart w:id="52" w:name="_Toc94603279"/>
      <w:r>
        <w:t xml:space="preserve">How to incorporate </w:t>
      </w:r>
      <w:r w:rsidR="001B1BD9">
        <w:t>possible</w:t>
      </w:r>
      <w:r>
        <w:t xml:space="preserve"> </w:t>
      </w:r>
      <w:r w:rsidR="00BF09D5">
        <w:t>Approach</w:t>
      </w:r>
      <w:r>
        <w:t xml:space="preserve"> B mitigations into the technical framework</w:t>
      </w:r>
      <w:bookmarkEnd w:id="52"/>
    </w:p>
    <w:p w14:paraId="56B6DCD2" w14:textId="1F25E913" w:rsidR="00FA7F33" w:rsidRDefault="008F55F7" w:rsidP="00FA7F33">
      <w:pPr>
        <w:rPr>
          <w:rFonts w:eastAsia="Calibri"/>
        </w:rPr>
      </w:pPr>
      <w:r>
        <w:rPr>
          <w:rFonts w:eastAsia="Calibri"/>
        </w:rPr>
        <w:t>The ACMA staff preliminary view was</w:t>
      </w:r>
      <w:r w:rsidR="009E6F4E">
        <w:rPr>
          <w:rFonts w:eastAsia="Calibri"/>
        </w:rPr>
        <w:t xml:space="preserve"> that any additional mitigations </w:t>
      </w:r>
      <w:r w:rsidR="00817E82">
        <w:rPr>
          <w:rFonts w:eastAsia="Calibri"/>
        </w:rPr>
        <w:t xml:space="preserve">identified </w:t>
      </w:r>
      <w:r w:rsidR="009E6F4E">
        <w:rPr>
          <w:rFonts w:eastAsia="Calibri"/>
        </w:rPr>
        <w:t>that may be required could be specified i</w:t>
      </w:r>
      <w:r w:rsidR="00FA7F33">
        <w:rPr>
          <w:rFonts w:eastAsia="Calibri"/>
        </w:rPr>
        <w:t xml:space="preserve">n an updated </w:t>
      </w:r>
      <w:r w:rsidR="00B9255D">
        <w:rPr>
          <w:rFonts w:eastAsia="Calibri"/>
        </w:rPr>
        <w:t>s</w:t>
      </w:r>
      <w:r w:rsidR="00FA7F33">
        <w:rPr>
          <w:rFonts w:eastAsia="Calibri"/>
        </w:rPr>
        <w:t xml:space="preserve">.145 instrument for spectrum licensed services and in the AWL LCD for AWL services. </w:t>
      </w:r>
      <w:r w:rsidR="009E6F4E">
        <w:rPr>
          <w:rFonts w:eastAsia="Calibri"/>
        </w:rPr>
        <w:t xml:space="preserve">The RA-CG provided feedback that they should be attached </w:t>
      </w:r>
      <w:r w:rsidR="00EA7A1E">
        <w:rPr>
          <w:rFonts w:eastAsia="Calibri"/>
        </w:rPr>
        <w:t xml:space="preserve">as </w:t>
      </w:r>
      <w:r w:rsidR="009E6F4E">
        <w:rPr>
          <w:rFonts w:eastAsia="Calibri"/>
        </w:rPr>
        <w:t xml:space="preserve">licence conditions for AWL </w:t>
      </w:r>
      <w:r w:rsidR="009847CF">
        <w:rPr>
          <w:rFonts w:eastAsia="Calibri"/>
        </w:rPr>
        <w:t>to</w:t>
      </w:r>
      <w:r w:rsidR="009E6F4E">
        <w:rPr>
          <w:rFonts w:eastAsia="Calibri"/>
        </w:rPr>
        <w:t xml:space="preserve"> be flexible.</w:t>
      </w:r>
      <w:r w:rsidR="00BD3C3B">
        <w:rPr>
          <w:rFonts w:eastAsia="Calibri"/>
        </w:rPr>
        <w:t xml:space="preserve"> </w:t>
      </w:r>
      <w:r w:rsidR="00BD580F">
        <w:rPr>
          <w:rFonts w:eastAsia="Calibri"/>
        </w:rPr>
        <w:t xml:space="preserve">This is likely not </w:t>
      </w:r>
      <w:r w:rsidR="00C0460B">
        <w:rPr>
          <w:rFonts w:eastAsia="Calibri"/>
        </w:rPr>
        <w:t xml:space="preserve">to </w:t>
      </w:r>
      <w:r w:rsidR="00BD580F">
        <w:rPr>
          <w:rFonts w:eastAsia="Calibri"/>
        </w:rPr>
        <w:t xml:space="preserve">be </w:t>
      </w:r>
      <w:r w:rsidR="006763ED">
        <w:rPr>
          <w:rFonts w:eastAsia="Calibri"/>
        </w:rPr>
        <w:t xml:space="preserve">very </w:t>
      </w:r>
      <w:r w:rsidR="00BD580F">
        <w:rPr>
          <w:rFonts w:eastAsia="Calibri"/>
        </w:rPr>
        <w:t xml:space="preserve">flexible, as the conditions would be attached for the </w:t>
      </w:r>
      <w:r w:rsidR="001E42C1">
        <w:rPr>
          <w:rFonts w:eastAsia="Calibri"/>
        </w:rPr>
        <w:t xml:space="preserve">whole licence period.  To enable </w:t>
      </w:r>
      <w:r w:rsidR="007754CF">
        <w:rPr>
          <w:rFonts w:eastAsia="Calibri"/>
        </w:rPr>
        <w:t>flexibility</w:t>
      </w:r>
      <w:r w:rsidR="001E42C1">
        <w:rPr>
          <w:rFonts w:eastAsia="Calibri"/>
        </w:rPr>
        <w:t>, at this time</w:t>
      </w:r>
      <w:r w:rsidR="00BD3C3B">
        <w:rPr>
          <w:rFonts w:eastAsia="Calibri"/>
        </w:rPr>
        <w:t xml:space="preserve">, </w:t>
      </w:r>
      <w:r w:rsidR="001E42C1">
        <w:rPr>
          <w:rFonts w:eastAsia="Calibri"/>
        </w:rPr>
        <w:t>the ACMA staff preliminary view is to</w:t>
      </w:r>
      <w:r w:rsidR="00707E55">
        <w:rPr>
          <w:rFonts w:eastAsia="Calibri"/>
        </w:rPr>
        <w:t>:</w:t>
      </w:r>
    </w:p>
    <w:p w14:paraId="2B48CABE" w14:textId="68680F13" w:rsidR="00707E55" w:rsidRDefault="00707E55" w:rsidP="00707E55">
      <w:pPr>
        <w:pStyle w:val="ListParagraph"/>
        <w:numPr>
          <w:ilvl w:val="0"/>
          <w:numId w:val="51"/>
        </w:numPr>
      </w:pPr>
      <w:r>
        <w:t>Describ</w:t>
      </w:r>
      <w:r w:rsidR="00C0460B">
        <w:t>e</w:t>
      </w:r>
      <w:r>
        <w:t xml:space="preserve"> any required mitigations in RALI MS47</w:t>
      </w:r>
    </w:p>
    <w:p w14:paraId="0E49DB0F" w14:textId="4D2BFCC8" w:rsidR="00707E55" w:rsidRDefault="00707E55" w:rsidP="00707E55">
      <w:pPr>
        <w:pStyle w:val="ListParagraph"/>
        <w:numPr>
          <w:ilvl w:val="0"/>
          <w:numId w:val="51"/>
        </w:numPr>
      </w:pPr>
      <w:r>
        <w:t>Referenc</w:t>
      </w:r>
      <w:r w:rsidR="001E42C1">
        <w:t>e</w:t>
      </w:r>
      <w:r>
        <w:t xml:space="preserve"> RALI MS47 within the AWL LCD.</w:t>
      </w:r>
    </w:p>
    <w:p w14:paraId="3ABDD4AC" w14:textId="5F2AF0C5" w:rsidR="00707E55" w:rsidRPr="00707E55" w:rsidRDefault="00707E55" w:rsidP="00707E55">
      <w:pPr>
        <w:rPr>
          <w:rFonts w:eastAsia="Calibri"/>
        </w:rPr>
      </w:pPr>
      <w:r>
        <w:rPr>
          <w:rFonts w:eastAsia="Calibri"/>
        </w:rPr>
        <w:t>This will enable the ACMA to change the mitigations relatively quickly, yet they will be enforced by the AWL LCD.</w:t>
      </w:r>
      <w:r w:rsidR="008F55F7">
        <w:rPr>
          <w:rFonts w:eastAsia="Calibri"/>
        </w:rPr>
        <w:t xml:space="preserve"> For the versions attached along with this TLG paper, the possible Approach B mitigations have not been included.</w:t>
      </w:r>
    </w:p>
    <w:p w14:paraId="55600068" w14:textId="77777777" w:rsidR="00B9255D" w:rsidRDefault="00FA7F33" w:rsidP="00FA7F33">
      <w:pPr>
        <w:rPr>
          <w:rFonts w:eastAsia="Calibri"/>
        </w:rPr>
      </w:pPr>
      <w:r>
        <w:rPr>
          <w:rFonts w:eastAsia="Calibri"/>
        </w:rPr>
        <w:t xml:space="preserve">Note that, at this stage, WBB unwanted emission limits and their frequency boundaries have been drafted using the existing 3.4 GHz spectrum licensing technical framework as a basis, modified to reflect the WBB use of part of 3GPP NR band N77 (upper limit of 4200 MHz).  </w:t>
      </w:r>
      <w:r w:rsidRPr="007F68A0">
        <w:rPr>
          <w:rFonts w:eastAsia="Calibri"/>
        </w:rPr>
        <w:t>Consequently, the out-of-band/spurious domain boundary has been proposed to be at 4240 MHz</w:t>
      </w:r>
      <w:r>
        <w:rPr>
          <w:rFonts w:eastAsia="Calibri"/>
        </w:rPr>
        <w:t>, in-line with 3GPP specifications. This is proposed to be able to support the use of standard 3GPP N77 transmitting equipment. This can be reviewed, as required, to sufficiently protect radio altimeter receiver sensitivity as further work is done and the mechanism better understood.</w:t>
      </w:r>
      <w:r w:rsidR="00562595">
        <w:rPr>
          <w:rFonts w:eastAsia="Calibri"/>
        </w:rPr>
        <w:t xml:space="preserve"> </w:t>
      </w:r>
    </w:p>
    <w:p w14:paraId="404255BB" w14:textId="342E4527" w:rsidR="00FA7F33" w:rsidRDefault="00562595" w:rsidP="00FA7F33">
      <w:pPr>
        <w:rPr>
          <w:rFonts w:eastAsia="Calibri"/>
        </w:rPr>
      </w:pPr>
      <w:r>
        <w:rPr>
          <w:rFonts w:eastAsia="Calibri"/>
        </w:rPr>
        <w:t xml:space="preserve">Feedback </w:t>
      </w:r>
      <w:r w:rsidR="008C5EDE">
        <w:rPr>
          <w:rFonts w:eastAsia="Calibri"/>
        </w:rPr>
        <w:t>during the TLG</w:t>
      </w:r>
      <w:r>
        <w:rPr>
          <w:rFonts w:eastAsia="Calibri"/>
        </w:rPr>
        <w:t xml:space="preserve"> was that the specification of these limits needed to change for non-AAS systems</w:t>
      </w:r>
      <w:r w:rsidR="00AD17AB">
        <w:rPr>
          <w:rFonts w:eastAsia="Calibri"/>
        </w:rPr>
        <w:t>,</w:t>
      </w:r>
      <w:r>
        <w:rPr>
          <w:rFonts w:eastAsia="Calibri"/>
        </w:rPr>
        <w:t xml:space="preserve"> from a TRP based </w:t>
      </w:r>
      <w:r w:rsidR="00FF16CA">
        <w:rPr>
          <w:rFonts w:eastAsia="Calibri"/>
        </w:rPr>
        <w:t xml:space="preserve">limit </w:t>
      </w:r>
      <w:r>
        <w:rPr>
          <w:rFonts w:eastAsia="Calibri"/>
        </w:rPr>
        <w:t>to a per-antenna port limit</w:t>
      </w:r>
      <w:r w:rsidR="00AD17AB">
        <w:rPr>
          <w:rFonts w:eastAsia="Calibri"/>
        </w:rPr>
        <w:t>,</w:t>
      </w:r>
      <w:r>
        <w:rPr>
          <w:rFonts w:eastAsia="Calibri"/>
        </w:rPr>
        <w:t xml:space="preserve"> to align with 3GPP. The ACMA has updated the proposed limits in the AWL LCD and will propose to update the spectrum licensing technical framework at the appropriate time for non-remote areas.</w:t>
      </w:r>
    </w:p>
    <w:p w14:paraId="7CEC40E5" w14:textId="747513B5" w:rsidR="00457ACD" w:rsidRDefault="008C5EDE" w:rsidP="00457ACD">
      <w:pPr>
        <w:pStyle w:val="Heading3"/>
        <w:rPr>
          <w:rFonts w:eastAsia="Calibri"/>
        </w:rPr>
      </w:pPr>
      <w:bookmarkStart w:id="53" w:name="_Toc94603280"/>
      <w:r>
        <w:t>Future</w:t>
      </w:r>
      <w:r w:rsidR="00457ACD">
        <w:t xml:space="preserve"> progress on WBB and Radio Altimeter </w:t>
      </w:r>
      <w:r w:rsidR="00C35828">
        <w:t>coexistence</w:t>
      </w:r>
      <w:bookmarkEnd w:id="53"/>
    </w:p>
    <w:p w14:paraId="0E827A65" w14:textId="61B6166E" w:rsidR="00457ACD" w:rsidRDefault="00457ACD" w:rsidP="00457ACD">
      <w:pPr>
        <w:rPr>
          <w:rFonts w:eastAsia="Calibri"/>
        </w:rPr>
      </w:pPr>
      <w:r>
        <w:rPr>
          <w:rFonts w:eastAsia="Calibri"/>
        </w:rPr>
        <w:t xml:space="preserve">The ACMA recognises that there is still no </w:t>
      </w:r>
      <w:r w:rsidR="008C5EDE">
        <w:rPr>
          <w:rFonts w:eastAsia="Calibri"/>
        </w:rPr>
        <w:t>general</w:t>
      </w:r>
      <w:r>
        <w:rPr>
          <w:rFonts w:eastAsia="Calibri"/>
        </w:rPr>
        <w:t xml:space="preserve"> agreement on the issue. Consequently, we intend to hold a meeting of the </w:t>
      </w:r>
      <w:r w:rsidR="008C5EDE">
        <w:rPr>
          <w:rFonts w:eastAsia="Calibri"/>
        </w:rPr>
        <w:t>TLG radio altimeter working group (</w:t>
      </w:r>
      <w:r>
        <w:rPr>
          <w:rFonts w:eastAsia="Calibri"/>
        </w:rPr>
        <w:t>RA-WG</w:t>
      </w:r>
      <w:r w:rsidR="008C5EDE">
        <w:rPr>
          <w:rFonts w:eastAsia="Calibri"/>
        </w:rPr>
        <w:t>)</w:t>
      </w:r>
      <w:r>
        <w:rPr>
          <w:rFonts w:eastAsia="Calibri"/>
        </w:rPr>
        <w:t xml:space="preserve"> only</w:t>
      </w:r>
      <w:r w:rsidR="00C35828">
        <w:rPr>
          <w:rFonts w:eastAsia="Calibri"/>
        </w:rPr>
        <w:t>,</w:t>
      </w:r>
      <w:r>
        <w:rPr>
          <w:rFonts w:eastAsia="Calibri"/>
        </w:rPr>
        <w:t xml:space="preserve"> in January 2022 to </w:t>
      </w:r>
      <w:r w:rsidR="00B9255D">
        <w:rPr>
          <w:rFonts w:eastAsia="Calibri"/>
        </w:rPr>
        <w:t>provide an opportunity for</w:t>
      </w:r>
      <w:r>
        <w:rPr>
          <w:rFonts w:eastAsia="Calibri"/>
        </w:rPr>
        <w:t xml:space="preserve"> further feedback. We do not intend to seek formal written feedback due to </w:t>
      </w:r>
      <w:r w:rsidR="008C5EDE">
        <w:rPr>
          <w:rFonts w:eastAsia="Calibri"/>
        </w:rPr>
        <w:t>restricted</w:t>
      </w:r>
      <w:r>
        <w:rPr>
          <w:rFonts w:eastAsia="Calibri"/>
        </w:rPr>
        <w:t xml:space="preserve"> timeframes. Feedback at the TLG RA-WG meeting </w:t>
      </w:r>
      <w:r w:rsidR="00B9255D">
        <w:rPr>
          <w:rFonts w:eastAsia="Calibri"/>
        </w:rPr>
        <w:t>will be considered by the ACMA in finalising its formal consultation package</w:t>
      </w:r>
      <w:r w:rsidR="008F55F7">
        <w:rPr>
          <w:rFonts w:eastAsia="Calibri"/>
        </w:rPr>
        <w:t xml:space="preserve"> where appropriate options are expected to be included in the draft technical framework for consultation</w:t>
      </w:r>
      <w:r w:rsidR="00B9255D">
        <w:rPr>
          <w:rFonts w:eastAsia="Calibri"/>
        </w:rPr>
        <w:t xml:space="preserve">. </w:t>
      </w:r>
    </w:p>
    <w:p w14:paraId="2260CBBF" w14:textId="6EEA9D08" w:rsidR="00457ACD" w:rsidRDefault="00B9255D" w:rsidP="00457ACD">
      <w:pPr>
        <w:rPr>
          <w:rFonts w:eastAsia="Calibri"/>
        </w:rPr>
      </w:pPr>
      <w:r>
        <w:rPr>
          <w:rFonts w:eastAsia="Calibri"/>
        </w:rPr>
        <w:t>If additional</w:t>
      </w:r>
      <w:r w:rsidR="00457ACD">
        <w:rPr>
          <w:rFonts w:eastAsia="Calibri"/>
        </w:rPr>
        <w:t xml:space="preserve"> mitigations are included in the technical framework </w:t>
      </w:r>
      <w:r>
        <w:rPr>
          <w:rFonts w:eastAsia="Calibri"/>
        </w:rPr>
        <w:t>these</w:t>
      </w:r>
      <w:r w:rsidR="00457ACD">
        <w:rPr>
          <w:rFonts w:eastAsia="Calibri"/>
        </w:rPr>
        <w:t xml:space="preserve"> will be reviewed as </w:t>
      </w:r>
      <w:r>
        <w:rPr>
          <w:rFonts w:eastAsia="Calibri"/>
        </w:rPr>
        <w:t xml:space="preserve">necessary </w:t>
      </w:r>
      <w:r w:rsidR="00457ACD">
        <w:rPr>
          <w:rFonts w:eastAsia="Calibri"/>
        </w:rPr>
        <w:t xml:space="preserve">as knowledge on the issue </w:t>
      </w:r>
      <w:r>
        <w:rPr>
          <w:rFonts w:eastAsia="Calibri"/>
        </w:rPr>
        <w:t>improves</w:t>
      </w:r>
      <w:r w:rsidR="00457ACD">
        <w:rPr>
          <w:rFonts w:eastAsia="Calibri"/>
        </w:rPr>
        <w:t>.</w:t>
      </w:r>
      <w:r w:rsidR="00CB65F3">
        <w:rPr>
          <w:rFonts w:eastAsia="Calibri"/>
        </w:rPr>
        <w:t xml:space="preserve"> The technical framework </w:t>
      </w:r>
      <w:r w:rsidR="00EF7C6F">
        <w:rPr>
          <w:rFonts w:eastAsia="Calibri"/>
        </w:rPr>
        <w:t>would</w:t>
      </w:r>
      <w:r w:rsidR="00CB65F3">
        <w:rPr>
          <w:rFonts w:eastAsia="Calibri"/>
        </w:rPr>
        <w:t xml:space="preserve"> then be modified for future allocations, where formal consultation will again occur. </w:t>
      </w:r>
    </w:p>
    <w:p w14:paraId="61F8FD57" w14:textId="77777777" w:rsidR="00FA7F33" w:rsidRPr="00F74D0E" w:rsidRDefault="00FA7F33" w:rsidP="00FA7F33">
      <w:pPr>
        <w:rPr>
          <w:rFonts w:eastAsia="Calibri"/>
        </w:rPr>
      </w:pPr>
    </w:p>
    <w:p w14:paraId="281BEA1E" w14:textId="77777777" w:rsidR="00FA7F33" w:rsidRPr="00702EA1" w:rsidRDefault="00FA7F33" w:rsidP="00FA7F33">
      <w:pPr>
        <w:pStyle w:val="Heading1"/>
      </w:pPr>
      <w:bookmarkStart w:id="54" w:name="_Toc94603281"/>
      <w:r>
        <w:lastRenderedPageBreak/>
        <w:t>Area Wide Licensing framework</w:t>
      </w:r>
      <w:bookmarkEnd w:id="54"/>
      <w:r>
        <w:t xml:space="preserve"> </w:t>
      </w:r>
    </w:p>
    <w:p w14:paraId="51F14FDF" w14:textId="77777777" w:rsidR="00FA7F33" w:rsidRDefault="00FA7F33" w:rsidP="00FA7F33">
      <w:pPr>
        <w:pStyle w:val="sub-heading"/>
      </w:pPr>
      <w:bookmarkStart w:id="55" w:name="_Toc94603282"/>
      <w:r>
        <w:t>Background</w:t>
      </w:r>
      <w:bookmarkEnd w:id="55"/>
    </w:p>
    <w:p w14:paraId="31920916" w14:textId="39815472" w:rsidR="00FA7F33" w:rsidRDefault="00FA7F33" w:rsidP="00FA7F33">
      <w:r>
        <w:rPr>
          <w:rFonts w:cs="Arial"/>
        </w:rPr>
        <w:t>In January 2020, the ACMA made a new apparatus licence type – an ‘area-wide apparatus licence’ (AWL).</w:t>
      </w:r>
      <w:r>
        <w:rPr>
          <w:rStyle w:val="FootnoteReference"/>
          <w:rFonts w:cs="Arial"/>
        </w:rPr>
        <w:footnoteReference w:id="13"/>
      </w:r>
      <w:r>
        <w:rPr>
          <w:rFonts w:cs="Arial"/>
        </w:rPr>
        <w:t xml:space="preserve"> An AWL authorises the operation of devices within a defined area and frequency, like the operation of spectrum licence. As per the </w:t>
      </w:r>
      <w:r>
        <w:rPr>
          <w:rFonts w:cs="Arial"/>
          <w:i/>
          <w:iCs/>
        </w:rPr>
        <w:t>further implementation consideration</w:t>
      </w:r>
      <w:r>
        <w:t xml:space="preserve"> section it was stated that an AWL framework will be </w:t>
      </w:r>
      <w:r w:rsidR="00EA52E0">
        <w:t xml:space="preserve">considered </w:t>
      </w:r>
      <w:r>
        <w:t xml:space="preserve">in those parts of the 3400-4000 MHz band that are not subject to spectrum licensing. It is proposed to: </w:t>
      </w:r>
    </w:p>
    <w:p w14:paraId="4A735A1F" w14:textId="77777777" w:rsidR="00FA7F33" w:rsidRPr="0066758C" w:rsidRDefault="00FA7F33" w:rsidP="00FA7F33">
      <w:pPr>
        <w:pStyle w:val="ListParagraph"/>
        <w:numPr>
          <w:ilvl w:val="0"/>
          <w:numId w:val="13"/>
        </w:numPr>
        <w:rPr>
          <w:rFonts w:eastAsia="Times New Roman"/>
          <w:szCs w:val="24"/>
          <w:lang w:eastAsia="en-AU"/>
        </w:rPr>
      </w:pPr>
      <w:r>
        <w:rPr>
          <w:rFonts w:eastAsia="Times New Roman"/>
          <w:szCs w:val="24"/>
          <w:lang w:eastAsia="en-AU"/>
        </w:rPr>
        <w:t>optimise the</w:t>
      </w:r>
      <w:r w:rsidRPr="0066758C">
        <w:rPr>
          <w:rFonts w:eastAsia="Times New Roman"/>
          <w:szCs w:val="24"/>
          <w:lang w:eastAsia="en-AU"/>
        </w:rPr>
        <w:t xml:space="preserve"> proposed AWL framework for LA WBB and FSS</w:t>
      </w:r>
      <w:r>
        <w:rPr>
          <w:rFonts w:eastAsia="Times New Roman"/>
          <w:szCs w:val="24"/>
          <w:lang w:eastAsia="en-AU"/>
        </w:rPr>
        <w:t>, at least in metro and yet to be defined major regional areas</w:t>
      </w:r>
      <w:r w:rsidRPr="0066758C">
        <w:rPr>
          <w:rFonts w:eastAsia="Times New Roman"/>
          <w:szCs w:val="24"/>
          <w:lang w:eastAsia="en-AU"/>
        </w:rPr>
        <w:t>, but not PTP services.</w:t>
      </w:r>
      <w:r>
        <w:rPr>
          <w:rFonts w:eastAsia="Times New Roman"/>
          <w:szCs w:val="24"/>
          <w:lang w:eastAsia="en-AU"/>
        </w:rPr>
        <w:t xml:space="preserve"> The framework could be used by PTP if desired.</w:t>
      </w:r>
    </w:p>
    <w:p w14:paraId="46553BE4" w14:textId="77777777" w:rsidR="00FA7F33" w:rsidRDefault="00FA7F33" w:rsidP="00FA7F33">
      <w:pPr>
        <w:pStyle w:val="Paragraph"/>
        <w:numPr>
          <w:ilvl w:val="0"/>
          <w:numId w:val="13"/>
        </w:numPr>
      </w:pPr>
      <w:r>
        <w:t>conduct further work on whether the AWL framework should be optimised to include FSS in remote and regional areas outside of the to be defined major regional areas.</w:t>
      </w:r>
    </w:p>
    <w:p w14:paraId="4EE7717E" w14:textId="77777777" w:rsidR="00FA7F33" w:rsidRDefault="00FA7F33" w:rsidP="00FA7F33">
      <w:pPr>
        <w:rPr>
          <w:rFonts w:cs="Arial"/>
        </w:rPr>
      </w:pPr>
      <w:r>
        <w:t>While an AWL may be optimised for a particular type of use, a</w:t>
      </w:r>
      <w:r>
        <w:rPr>
          <w:rFonts w:cs="Arial"/>
        </w:rPr>
        <w:t xml:space="preserve">ny technology or service type can be deployed within the licensed area provided if it fits within the envelope of the technical framework. </w:t>
      </w:r>
    </w:p>
    <w:p w14:paraId="1FF9DC8C" w14:textId="77777777" w:rsidR="00FA7F33" w:rsidRDefault="00FA7F33" w:rsidP="00FA7F33">
      <w:pPr>
        <w:pStyle w:val="sub-heading"/>
      </w:pPr>
      <w:bookmarkStart w:id="56" w:name="_Toc94603283"/>
      <w:r>
        <w:t>Preliminary view</w:t>
      </w:r>
      <w:bookmarkEnd w:id="56"/>
    </w:p>
    <w:p w14:paraId="4F8E9E4E" w14:textId="77777777" w:rsidR="00FA7F33" w:rsidRDefault="00FA7F33" w:rsidP="00FA7F33">
      <w:r>
        <w:rPr>
          <w:rFonts w:cs="Arial"/>
        </w:rPr>
        <w:t xml:space="preserve">As stated in the outcomes paper, the ACMA’s preliminary view is that any AWL technical framework should align, as much as is practicable, with the 3.4 GHz spectrum licensing technical framework. However, the ACMA view is also that the aim of any AWL technical framework, and its relationship with the spectrum licensing technical framework, is that together they should support as wide a range of WBB applications and use cases as practicable. </w:t>
      </w:r>
    </w:p>
    <w:p w14:paraId="2D5C0010" w14:textId="77777777" w:rsidR="00FA7F33" w:rsidRDefault="00FA7F33" w:rsidP="00FA7F33">
      <w:pPr>
        <w:pStyle w:val="sub-heading"/>
      </w:pPr>
      <w:bookmarkStart w:id="57" w:name="_Toc94603284"/>
      <w:r>
        <w:t>Coexistence with other services</w:t>
      </w:r>
      <w:bookmarkEnd w:id="57"/>
    </w:p>
    <w:p w14:paraId="3D7B249A" w14:textId="3191694A" w:rsidR="00FA7F33" w:rsidRDefault="00FA7F33" w:rsidP="00FA7F33">
      <w:pPr>
        <w:rPr>
          <w:rFonts w:cs="Arial"/>
        </w:rPr>
      </w:pPr>
      <w:r>
        <w:rPr>
          <w:rFonts w:cs="Arial"/>
        </w:rPr>
        <w:t xml:space="preserve">Devices operated under a potential extended 3.4 GHz band AWL </w:t>
      </w:r>
      <w:r w:rsidR="00EA52E0">
        <w:rPr>
          <w:rFonts w:cs="Arial"/>
        </w:rPr>
        <w:t xml:space="preserve">would </w:t>
      </w:r>
      <w:r>
        <w:rPr>
          <w:rFonts w:cs="Arial"/>
        </w:rPr>
        <w:t>need to coexist not only with other AWL services, but also with services operating under another apparatus licence type or a spectrum licence, in and adjacent to, the extended 3.4 GHz band. The extended 3.4 GHz band AWL technical framework would need to include provisions to manage coexistence with the following:</w:t>
      </w:r>
    </w:p>
    <w:p w14:paraId="38380A07" w14:textId="77777777" w:rsidR="00FA7F33" w:rsidRDefault="00FA7F33" w:rsidP="00FA7F33">
      <w:pPr>
        <w:pStyle w:val="ListBullet"/>
      </w:pPr>
      <w:r>
        <w:t xml:space="preserve">services operating under other </w:t>
      </w:r>
      <w:r w:rsidRPr="004675B3">
        <w:t>AWL</w:t>
      </w:r>
      <w:r>
        <w:t xml:space="preserve">s: </w:t>
      </w:r>
    </w:p>
    <w:p w14:paraId="58E57F77" w14:textId="3281077D" w:rsidR="00FA7F33" w:rsidRPr="004675B3" w:rsidRDefault="00FA7F33" w:rsidP="00FA7F33">
      <w:pPr>
        <w:pStyle w:val="ListBullet"/>
        <w:tabs>
          <w:tab w:val="clear" w:pos="295"/>
          <w:tab w:val="num" w:pos="579"/>
        </w:tabs>
        <w:ind w:left="579"/>
      </w:pPr>
      <w:r>
        <w:t>WBB in the frequency range 3400-4000 MHz (essential for remote AWLs)</w:t>
      </w:r>
      <w:r w:rsidRPr="004675B3">
        <w:t>.</w:t>
      </w:r>
    </w:p>
    <w:p w14:paraId="7757D8A9" w14:textId="77777777" w:rsidR="00FA7F33" w:rsidRPr="004675B3" w:rsidRDefault="00FA7F33" w:rsidP="00FA7F33">
      <w:pPr>
        <w:pStyle w:val="ListBullet"/>
        <w:tabs>
          <w:tab w:val="clear" w:pos="295"/>
          <w:tab w:val="num" w:pos="579"/>
        </w:tabs>
        <w:ind w:left="579"/>
      </w:pPr>
      <w:r>
        <w:t xml:space="preserve">Primary FSS </w:t>
      </w:r>
      <w:r w:rsidRPr="004675B3">
        <w:t>receive earth stations</w:t>
      </w:r>
      <w:r>
        <w:t xml:space="preserve"> in the frequency range 3700-4000 MHz (FSS AWLs are only being considered in metropolitan and major regional areas, so this is not essential for finalising the remote AWL case).</w:t>
      </w:r>
    </w:p>
    <w:p w14:paraId="001FC2D6" w14:textId="77777777" w:rsidR="00FA7F33" w:rsidRPr="004675B3" w:rsidRDefault="00FA7F33" w:rsidP="00FA7F33">
      <w:pPr>
        <w:pStyle w:val="ListBullet"/>
      </w:pPr>
      <w:r w:rsidRPr="004675B3">
        <w:t xml:space="preserve">devices operating </w:t>
      </w:r>
      <w:r>
        <w:t>under s</w:t>
      </w:r>
      <w:r w:rsidRPr="004675B3">
        <w:t>pectrum licen</w:t>
      </w:r>
      <w:r>
        <w:t>c</w:t>
      </w:r>
      <w:r w:rsidRPr="004675B3">
        <w:t>e</w:t>
      </w:r>
      <w:r>
        <w:t xml:space="preserve">s </w:t>
      </w:r>
      <w:r w:rsidRPr="004675B3">
        <w:t xml:space="preserve">in the frequency range 3400-3800 MHz in capital cities and </w:t>
      </w:r>
      <w:r>
        <w:t>variously defined</w:t>
      </w:r>
      <w:r w:rsidRPr="004675B3">
        <w:t xml:space="preserve"> regional areas</w:t>
      </w:r>
      <w:r>
        <w:t xml:space="preserve"> (geographic boundary management essential for the remote AWL case)</w:t>
      </w:r>
      <w:r w:rsidRPr="004675B3">
        <w:t xml:space="preserve">. </w:t>
      </w:r>
    </w:p>
    <w:p w14:paraId="5D822D89" w14:textId="77777777" w:rsidR="00FA7F33" w:rsidRPr="004675B3" w:rsidRDefault="00FA7F33" w:rsidP="00FA7F33">
      <w:pPr>
        <w:pStyle w:val="ListBullet"/>
      </w:pPr>
      <w:r>
        <w:t>i</w:t>
      </w:r>
      <w:r w:rsidRPr="004675B3">
        <w:t xml:space="preserve">ncumbent </w:t>
      </w:r>
      <w:r>
        <w:t>and new</w:t>
      </w:r>
      <w:r w:rsidRPr="004675B3">
        <w:t xml:space="preserve"> FSS receive earth stations in </w:t>
      </w:r>
      <w:r>
        <w:t>variously defined</w:t>
      </w:r>
      <w:r w:rsidRPr="004675B3">
        <w:t xml:space="preserve"> spectrum spaces in the frequency range 3400-4200 </w:t>
      </w:r>
      <w:r>
        <w:t>MHz (essential for the remote AWL case)</w:t>
      </w:r>
      <w:r w:rsidRPr="004675B3">
        <w:t>.</w:t>
      </w:r>
    </w:p>
    <w:p w14:paraId="6619B789" w14:textId="77777777" w:rsidR="00FA7F33" w:rsidRPr="004675B3" w:rsidRDefault="00FA7F33" w:rsidP="00FA7F33">
      <w:pPr>
        <w:pStyle w:val="ListBullet"/>
      </w:pPr>
      <w:r>
        <w:lastRenderedPageBreak/>
        <w:t>i</w:t>
      </w:r>
      <w:r w:rsidRPr="004675B3">
        <w:t xml:space="preserve">ncumbent PMP services in </w:t>
      </w:r>
      <w:r>
        <w:t>variously defined</w:t>
      </w:r>
      <w:r w:rsidRPr="004675B3">
        <w:t xml:space="preserve"> spectrum spaces in the frequency range 3400-3700 </w:t>
      </w:r>
      <w:r>
        <w:t>MHz (essential for the remote AWL case)</w:t>
      </w:r>
      <w:r w:rsidRPr="004675B3">
        <w:t>.</w:t>
      </w:r>
    </w:p>
    <w:p w14:paraId="03A2F809" w14:textId="77777777" w:rsidR="00FA7F33" w:rsidRPr="004675B3" w:rsidRDefault="00FA7F33" w:rsidP="00FA7F33">
      <w:pPr>
        <w:pStyle w:val="ListBullet"/>
      </w:pPr>
      <w:r>
        <w:t>l</w:t>
      </w:r>
      <w:r w:rsidRPr="004675B3">
        <w:t>egacy, incumbent and future fixed point-to-point services operating in the frequency range 3580-4200 MHz (3.8 GHz PTP band)</w:t>
      </w:r>
      <w:r>
        <w:t xml:space="preserve"> (essential for the remote AWL case)</w:t>
      </w:r>
      <w:r w:rsidRPr="004675B3">
        <w:t>.</w:t>
      </w:r>
    </w:p>
    <w:p w14:paraId="1E122F03" w14:textId="77777777" w:rsidR="00FA7F33" w:rsidRPr="004675B3" w:rsidRDefault="00FA7F33" w:rsidP="00FA7F33">
      <w:pPr>
        <w:pStyle w:val="ListBullet"/>
      </w:pPr>
      <w:r>
        <w:t>a</w:t>
      </w:r>
      <w:r w:rsidRPr="004675B3">
        <w:t>eronautical radionavigation (radio altimeter) services operated in the adjacent 4200-4400 MHz band.</w:t>
      </w:r>
      <w:r>
        <w:t xml:space="preserve"> (desirable but potentially not essential for the remote AWL case)</w:t>
      </w:r>
    </w:p>
    <w:p w14:paraId="3AA25357" w14:textId="77777777" w:rsidR="00FA7F33" w:rsidRDefault="00FA7F33" w:rsidP="00FA7F33">
      <w:pPr>
        <w:pStyle w:val="ListBullet"/>
      </w:pPr>
      <w:r>
        <w:t>r</w:t>
      </w:r>
      <w:r w:rsidRPr="004675B3">
        <w:t xml:space="preserve">adiolocation services between 3100 MHz and 3600 </w:t>
      </w:r>
      <w:r>
        <w:t>MHz (essential for the remote AWL case)</w:t>
      </w:r>
      <w:r w:rsidRPr="004675B3">
        <w:t>.</w:t>
      </w:r>
    </w:p>
    <w:p w14:paraId="006414DD" w14:textId="77777777" w:rsidR="00FA7F33" w:rsidRPr="004675B3" w:rsidRDefault="00FA7F33" w:rsidP="00FA7F33">
      <w:pPr>
        <w:pStyle w:val="ListBullet"/>
      </w:pPr>
      <w:r>
        <w:t>radiolocation services in the Northern Territory in the 3700-4200 MHz band authorised under clause 10 (7) of the ARSP (essential for the remote AWL case).</w:t>
      </w:r>
    </w:p>
    <w:p w14:paraId="1A81171D" w14:textId="77777777" w:rsidR="00FA7F33" w:rsidRPr="004675B3" w:rsidRDefault="00FA7F33" w:rsidP="00FA7F33">
      <w:pPr>
        <w:pStyle w:val="ListBullet"/>
      </w:pPr>
      <w:r>
        <w:t>a</w:t>
      </w:r>
      <w:r w:rsidRPr="004675B3">
        <w:t xml:space="preserve">mateur services operating in various spectrum spaces </w:t>
      </w:r>
      <w:r>
        <w:t>in the 3300-</w:t>
      </w:r>
      <w:r w:rsidRPr="004675B3">
        <w:t>3400 MHz and in 3400-3</w:t>
      </w:r>
      <w:r>
        <w:t>600</w:t>
      </w:r>
      <w:r w:rsidRPr="004675B3">
        <w:t xml:space="preserve"> MHz</w:t>
      </w:r>
      <w:r>
        <w:t xml:space="preserve"> frequency ranges. (essential for the remote AWL case)</w:t>
      </w:r>
    </w:p>
    <w:p w14:paraId="6560692F" w14:textId="77777777" w:rsidR="00FA7F33" w:rsidRPr="004675B3" w:rsidRDefault="00FA7F33" w:rsidP="00FA7F33">
      <w:pPr>
        <w:pStyle w:val="ListBullet"/>
      </w:pPr>
      <w:r>
        <w:t>earth station protection zones (essential for the remote AWL case).</w:t>
      </w:r>
    </w:p>
    <w:p w14:paraId="3EB01A61" w14:textId="77777777" w:rsidR="00FA7F33" w:rsidRDefault="00FA7F33" w:rsidP="00FA7F33">
      <w:pPr>
        <w:pStyle w:val="ListBullet"/>
      </w:pPr>
      <w:r>
        <w:t>the mid-west radio quiet zone in WA (essential for the remote AWL case).</w:t>
      </w:r>
    </w:p>
    <w:p w14:paraId="04F0D348" w14:textId="77777777" w:rsidR="00FA7F33" w:rsidRDefault="00FA7F33" w:rsidP="00FA7F33">
      <w:pPr>
        <w:pStyle w:val="ListBullet"/>
      </w:pPr>
      <w:r>
        <w:t>The Woomera Protected Area (WPA) in SA (essential for the remote AWL case).</w:t>
      </w:r>
    </w:p>
    <w:p w14:paraId="25E6350B" w14:textId="77777777" w:rsidR="00FA7F33" w:rsidRPr="004675B3" w:rsidRDefault="00FA7F33" w:rsidP="00FA7F33">
      <w:pPr>
        <w:pStyle w:val="ListBullet"/>
      </w:pPr>
      <w:r>
        <w:t>Within 150 km of the GPOs of Darwin and Geraldton (essential for the remote AWL case).</w:t>
      </w:r>
    </w:p>
    <w:p w14:paraId="0B8DB034" w14:textId="77777777" w:rsidR="00FA7F33" w:rsidRPr="009E2B7C" w:rsidRDefault="00FA7F33" w:rsidP="00FA7F33">
      <w:pPr>
        <w:pStyle w:val="ListBullet"/>
        <w:spacing w:after="240"/>
      </w:pPr>
      <w:r>
        <w:t>c</w:t>
      </w:r>
      <w:r w:rsidRPr="009E2B7C">
        <w:t xml:space="preserve">lass licensed devices operating under </w:t>
      </w:r>
      <w:r>
        <w:t xml:space="preserve">the </w:t>
      </w:r>
      <w:r w:rsidRPr="009E2B7C">
        <w:t>LIPD classes 71A (ground and wall penetrating radar), 80 (building material analysis transmitters) and 78(a) (ultra-wideband transmitters) operating across various ranges but at the least across the 3.1-4.8 GHz range</w:t>
      </w:r>
      <w:r>
        <w:t xml:space="preserve"> (essential for the remote AWL case)</w:t>
      </w:r>
      <w:r w:rsidRPr="009E2B7C">
        <w:t>.</w:t>
      </w:r>
    </w:p>
    <w:p w14:paraId="55AD8020" w14:textId="77777777" w:rsidR="00FA7F33" w:rsidRDefault="00FA7F33" w:rsidP="00FA7F33">
      <w:r>
        <w:t xml:space="preserve">This chapter outlines proposed coexistence arrangements with the services listed above and other relevant coexistence issues. As much as is practicable, it is proposed to use the same methods and parameters in the existing 3.4 GHz spectrum licensing technical framework. </w:t>
      </w:r>
    </w:p>
    <w:p w14:paraId="7C191F2B" w14:textId="77777777" w:rsidR="00FA7F33" w:rsidRPr="007A241A" w:rsidRDefault="00FA7F33" w:rsidP="00FA7F33">
      <w:r>
        <w:t xml:space="preserve">Possible approaches to being able to accommodate a wide range of WBB applications, with different desirable TDD frame structures, are discussed in the </w:t>
      </w:r>
      <w:r w:rsidRPr="007A241A">
        <w:t xml:space="preserve">following </w:t>
      </w:r>
      <w:r w:rsidRPr="00CA736A">
        <w:rPr>
          <w:i/>
          <w:iCs/>
        </w:rPr>
        <w:fldChar w:fldCharType="begin"/>
      </w:r>
      <w:r w:rsidRPr="00CA736A">
        <w:rPr>
          <w:i/>
          <w:iCs/>
        </w:rPr>
        <w:instrText xml:space="preserve"> REF _Ref82160010 \h </w:instrText>
      </w:r>
      <w:r w:rsidRPr="007A241A">
        <w:rPr>
          <w:i/>
          <w:iCs/>
        </w:rPr>
        <w:instrText xml:space="preserve"> \* MERGEFORMAT </w:instrText>
      </w:r>
      <w:r w:rsidRPr="00CA736A">
        <w:rPr>
          <w:i/>
          <w:iCs/>
        </w:rPr>
      </w:r>
      <w:r w:rsidRPr="00CA736A">
        <w:rPr>
          <w:i/>
          <w:iCs/>
        </w:rPr>
        <w:fldChar w:fldCharType="separate"/>
      </w:r>
      <w:r w:rsidRPr="00CA736A">
        <w:rPr>
          <w:i/>
          <w:iCs/>
        </w:rPr>
        <w:t>Revised view about coordinating between WBB services (not essential for remote)</w:t>
      </w:r>
      <w:r w:rsidRPr="00CA736A">
        <w:rPr>
          <w:i/>
          <w:iCs/>
        </w:rPr>
        <w:fldChar w:fldCharType="end"/>
      </w:r>
      <w:r w:rsidRPr="007A241A">
        <w:t xml:space="preserve"> section. </w:t>
      </w:r>
    </w:p>
    <w:p w14:paraId="6ACDA2C3" w14:textId="1B090474" w:rsidR="00FA7F33" w:rsidRPr="007A241A" w:rsidRDefault="00FA7F33" w:rsidP="00FA7F33">
      <w:r w:rsidRPr="007A241A">
        <w:t xml:space="preserve">The following draft documents to describe a potential technical framework are included as Appendices, but should </w:t>
      </w:r>
      <w:r w:rsidR="00C14258">
        <w:t xml:space="preserve">not </w:t>
      </w:r>
      <w:r w:rsidRPr="007A241A">
        <w:t xml:space="preserve">be considered </w:t>
      </w:r>
      <w:r w:rsidR="00C14258">
        <w:t>final</w:t>
      </w:r>
      <w:r w:rsidR="00C14258" w:rsidRPr="007A241A">
        <w:t xml:space="preserve"> </w:t>
      </w:r>
      <w:r w:rsidRPr="007A241A">
        <w:t>at this stage:</w:t>
      </w:r>
    </w:p>
    <w:p w14:paraId="6DEA13A4" w14:textId="77777777" w:rsidR="00FA7F33" w:rsidRDefault="00FA7F33" w:rsidP="00FA7F33">
      <w:pPr>
        <w:pStyle w:val="ListParagraph"/>
        <w:numPr>
          <w:ilvl w:val="0"/>
          <w:numId w:val="39"/>
        </w:numPr>
      </w:pPr>
      <w:r w:rsidRPr="00CA736A">
        <w:rPr>
          <w:i/>
          <w:iCs/>
        </w:rPr>
        <w:fldChar w:fldCharType="begin"/>
      </w:r>
      <w:r w:rsidRPr="00CA736A">
        <w:rPr>
          <w:i/>
          <w:iCs/>
        </w:rPr>
        <w:instrText xml:space="preserve"> REF _Ref82174042 \h  \* MERGEFORMAT </w:instrText>
      </w:r>
      <w:r w:rsidRPr="00CA736A">
        <w:rPr>
          <w:i/>
          <w:iCs/>
        </w:rPr>
      </w:r>
      <w:r w:rsidRPr="00CA736A">
        <w:rPr>
          <w:i/>
          <w:iCs/>
        </w:rPr>
        <w:fldChar w:fldCharType="separate"/>
      </w:r>
      <w:r w:rsidRPr="007A241A">
        <w:t>Appendix E: Draft updated AWL Licence Condition Determination</w:t>
      </w:r>
      <w:r w:rsidRPr="00CA736A">
        <w:rPr>
          <w:i/>
          <w:iCs/>
        </w:rPr>
        <w:fldChar w:fldCharType="end"/>
      </w:r>
    </w:p>
    <w:p w14:paraId="48005DB5" w14:textId="77777777" w:rsidR="00FA7F33" w:rsidRDefault="00FA7F33" w:rsidP="00FA7F33">
      <w:pPr>
        <w:pStyle w:val="ListParagraph"/>
        <w:numPr>
          <w:ilvl w:val="0"/>
          <w:numId w:val="39"/>
        </w:numPr>
      </w:pPr>
      <w:r>
        <w:fldChar w:fldCharType="begin"/>
      </w:r>
      <w:r>
        <w:instrText xml:space="preserve"> REF _Ref82174053 \h </w:instrText>
      </w:r>
      <w:r>
        <w:fldChar w:fldCharType="separate"/>
      </w:r>
      <w:r>
        <w:t>Appendix F: Draft RALI MS47:</w:t>
      </w:r>
      <w:r w:rsidRPr="00FF7B3F">
        <w:t xml:space="preserve"> Frequency coordination and licensing procedures for Area-Wide Licence (AWL) in the 3400–4000 MHz band</w:t>
      </w:r>
      <w:r>
        <w:fldChar w:fldCharType="end"/>
      </w:r>
    </w:p>
    <w:p w14:paraId="5117CE95" w14:textId="63E70973" w:rsidR="00FA7F33" w:rsidRDefault="00C14258" w:rsidP="00C14258">
      <w:r>
        <w:t>TLG members expressed a range of views on the draft AWL LCD and Draft RALI MS47:</w:t>
      </w:r>
    </w:p>
    <w:p w14:paraId="316279CA" w14:textId="6CA2652E" w:rsidR="00C14258" w:rsidRDefault="00C14258" w:rsidP="00C14258">
      <w:pPr>
        <w:pStyle w:val="ListParagraph"/>
        <w:numPr>
          <w:ilvl w:val="0"/>
          <w:numId w:val="45"/>
        </w:numPr>
      </w:pPr>
      <w:r>
        <w:t xml:space="preserve">Telco sector members indicated that the limit for out-of-band </w:t>
      </w:r>
      <w:r w:rsidR="00C559EE">
        <w:t xml:space="preserve">and spurious </w:t>
      </w:r>
      <w:r>
        <w:t xml:space="preserve">emissions for non-AAS systems was at odds with the 3GPP </w:t>
      </w:r>
      <w:r w:rsidR="00106CF6">
        <w:t>method and</w:t>
      </w:r>
      <w:r>
        <w:t xml:space="preserve"> requested that the limits apply “per antenna port” rather than to Total Radiated Power” (TRP). We have considered this view and </w:t>
      </w:r>
      <w:r w:rsidR="005D2E37">
        <w:t xml:space="preserve">revised the </w:t>
      </w:r>
      <w:r w:rsidR="00EA52E0">
        <w:t xml:space="preserve">draft </w:t>
      </w:r>
      <w:r w:rsidR="005D2E37">
        <w:t>LCD to reflect a per port limit. Note that this has the potential to increase out-of-band emissions into the radio-altimeter band, but in practice real values are not expected to increase, given the 200 MHz frequency separation from possible WBB services.</w:t>
      </w:r>
      <w:r w:rsidR="00106CF6">
        <w:t xml:space="preserve"> (i.e. while the out-of-band domain will extend to 4240 MHz, the </w:t>
      </w:r>
      <w:r w:rsidR="00106CF6">
        <w:lastRenderedPageBreak/>
        <w:t>normal behaviour of intermodulation shoulders from transmitters mean that levels at frequencies above 4200 MHz are expected to be low).</w:t>
      </w:r>
    </w:p>
    <w:p w14:paraId="50DDC586" w14:textId="3A8FC461" w:rsidR="00106CF6" w:rsidRPr="007F68A0" w:rsidRDefault="00106CF6" w:rsidP="007F68A0">
      <w:pPr>
        <w:pStyle w:val="ListParagraph"/>
        <w:numPr>
          <w:ilvl w:val="0"/>
          <w:numId w:val="45"/>
        </w:numPr>
      </w:pPr>
      <w:r>
        <w:t xml:space="preserve">Telco sector members expressed a similar view that in-band limits for non-AAS systems should also align with 3GPP and change to a per transmitter limit. Given the more static antenna pattern behaviour of non-AAS systems, and no limit on their size or complexity, the ACMA </w:t>
      </w:r>
      <w:r w:rsidR="005A0D8B">
        <w:t xml:space="preserve">staff preliminary view is that </w:t>
      </w:r>
      <w:r>
        <w:t xml:space="preserve"> this unreasonably increases the risk of interference</w:t>
      </w:r>
      <w:r w:rsidR="000E282C">
        <w:t xml:space="preserve"> as it may lead to high static EIRPs.  </w:t>
      </w:r>
      <w:r w:rsidR="00C559EE">
        <w:t>Consequently, we</w:t>
      </w:r>
      <w:r w:rsidR="000E282C">
        <w:t xml:space="preserve"> propose</w:t>
      </w:r>
      <w:r>
        <w:t xml:space="preserve"> to maintain the TRP based in-band limit</w:t>
      </w:r>
      <w:r w:rsidR="008D035D">
        <w:t xml:space="preserve"> for all systems</w:t>
      </w:r>
      <w:r>
        <w:t>.</w:t>
      </w:r>
    </w:p>
    <w:p w14:paraId="195CFE33" w14:textId="77777777" w:rsidR="00FA7F33" w:rsidRDefault="00FA7F33" w:rsidP="00FA7F33">
      <w:pPr>
        <w:spacing w:after="0" w:line="240" w:lineRule="auto"/>
        <w:rPr>
          <w:rFonts w:cs="Arial"/>
          <w:b/>
          <w:bCs/>
          <w:iCs/>
          <w:sz w:val="28"/>
          <w:szCs w:val="28"/>
          <w:highlight w:val="yellow"/>
        </w:rPr>
      </w:pPr>
      <w:bookmarkStart w:id="58" w:name="_Ref81827002"/>
      <w:bookmarkStart w:id="59" w:name="_Ref81829813"/>
      <w:r>
        <w:rPr>
          <w:highlight w:val="yellow"/>
        </w:rPr>
        <w:br w:type="page"/>
      </w:r>
    </w:p>
    <w:p w14:paraId="1F90BCBA" w14:textId="77777777" w:rsidR="00FA7F33" w:rsidRPr="007A241A" w:rsidRDefault="00FA7F33" w:rsidP="00FA7F33">
      <w:pPr>
        <w:pStyle w:val="Heading2"/>
      </w:pPr>
      <w:bookmarkStart w:id="60" w:name="_Ref82160010"/>
      <w:bookmarkStart w:id="61" w:name="_Toc94603285"/>
      <w:r w:rsidRPr="00CA736A">
        <w:lastRenderedPageBreak/>
        <w:t>Revised view about coordinating between WBB services</w:t>
      </w:r>
      <w:bookmarkEnd w:id="58"/>
      <w:bookmarkEnd w:id="59"/>
      <w:r w:rsidRPr="007A241A">
        <w:t xml:space="preserve"> (not essential for remote)</w:t>
      </w:r>
      <w:bookmarkEnd w:id="60"/>
      <w:bookmarkEnd w:id="61"/>
    </w:p>
    <w:p w14:paraId="0EA4E904" w14:textId="77777777" w:rsidR="00FA7F33" w:rsidRDefault="00FA7F33" w:rsidP="00FA7F33">
      <w:pPr>
        <w:pStyle w:val="Heading3"/>
      </w:pPr>
      <w:bookmarkStart w:id="62" w:name="_Toc94603286"/>
      <w:r w:rsidRPr="007A241A">
        <w:t>Consideration for multiple use cases and unsynchronised</w:t>
      </w:r>
      <w:r>
        <w:t xml:space="preserve"> use</w:t>
      </w:r>
      <w:bookmarkEnd w:id="62"/>
    </w:p>
    <w:p w14:paraId="678BEFD4" w14:textId="4D37EF4B" w:rsidR="00FA7F33" w:rsidRPr="000406D3" w:rsidRDefault="00FA7F33" w:rsidP="00FA7F33">
      <w:r>
        <w:rPr>
          <w:rFonts w:cs="Arial"/>
        </w:rPr>
        <w:t xml:space="preserve">It is a developing view in the TLG and </w:t>
      </w:r>
      <w:r w:rsidR="005A0D8B">
        <w:rPr>
          <w:rFonts w:cs="Arial"/>
        </w:rPr>
        <w:t xml:space="preserve">by </w:t>
      </w:r>
      <w:r>
        <w:rPr>
          <w:rFonts w:cs="Arial"/>
        </w:rPr>
        <w:t>ACMA staff that:</w:t>
      </w:r>
    </w:p>
    <w:p w14:paraId="7E7C8CC0" w14:textId="77777777" w:rsidR="00FA7F33" w:rsidRDefault="00FA7F33" w:rsidP="00FA7F33">
      <w:pPr>
        <w:pStyle w:val="ListParagraph"/>
        <w:numPr>
          <w:ilvl w:val="0"/>
          <w:numId w:val="30"/>
        </w:numPr>
      </w:pPr>
      <w:r>
        <w:t>A variety of wider area WBB and more localised WBB use cases need to be supported in the AWL and wider technical framework.</w:t>
      </w:r>
    </w:p>
    <w:p w14:paraId="0B30A1CE" w14:textId="77777777" w:rsidR="00FA7F33" w:rsidRDefault="00FA7F33" w:rsidP="00FA7F33">
      <w:pPr>
        <w:pStyle w:val="ListParagraph"/>
        <w:numPr>
          <w:ilvl w:val="0"/>
          <w:numId w:val="30"/>
        </w:numPr>
      </w:pPr>
      <w:r>
        <w:t>It may not be practicable for a fallback synchronisation scheme for AWL to be the same as that for any adjacent SL framework.</w:t>
      </w:r>
    </w:p>
    <w:p w14:paraId="63BC1FA5" w14:textId="77777777" w:rsidR="00FA7F33" w:rsidRDefault="00FA7F33" w:rsidP="00FA7F33">
      <w:pPr>
        <w:pStyle w:val="ListParagraph"/>
        <w:numPr>
          <w:ilvl w:val="0"/>
          <w:numId w:val="30"/>
        </w:numPr>
      </w:pPr>
      <w:r w:rsidRPr="00C6078B">
        <w:t>Different local area use cases are likely to require different TDD frame structures and the ability to use different TDD frame structures should be supported.</w:t>
      </w:r>
    </w:p>
    <w:p w14:paraId="4316E58B" w14:textId="77777777" w:rsidR="00FA7F33" w:rsidRDefault="00FA7F33" w:rsidP="00FA7F33">
      <w:r>
        <w:t>This has the following likely implications for the technical framework:</w:t>
      </w:r>
    </w:p>
    <w:p w14:paraId="6070CED9" w14:textId="77777777" w:rsidR="00FA7F33" w:rsidRDefault="00FA7F33" w:rsidP="00FA7F33">
      <w:pPr>
        <w:pStyle w:val="ListParagraph"/>
        <w:numPr>
          <w:ilvl w:val="0"/>
          <w:numId w:val="31"/>
        </w:numPr>
      </w:pPr>
      <w:r>
        <w:t>An acceptable means to manage interference between SL and AWL spectrum spaces needs to be developed that does not rely on a common fallback synchronisation scheme.</w:t>
      </w:r>
    </w:p>
    <w:p w14:paraId="62BC545D" w14:textId="77777777" w:rsidR="00FA7F33" w:rsidRDefault="00FA7F33" w:rsidP="00FA7F33">
      <w:pPr>
        <w:pStyle w:val="ListParagraph"/>
        <w:numPr>
          <w:ilvl w:val="0"/>
          <w:numId w:val="31"/>
        </w:numPr>
      </w:pPr>
      <w:r>
        <w:t>A means to manage interference between AWL users in close geographic or frequency proximity using different TDD frame structures could be considered for some areas.</w:t>
      </w:r>
    </w:p>
    <w:p w14:paraId="6DFD6573" w14:textId="75E3EB81" w:rsidR="00FA7F33" w:rsidRPr="00CA736A" w:rsidRDefault="00FA7F33" w:rsidP="00FA7F33">
      <w:pPr>
        <w:rPr>
          <w:i/>
          <w:iCs/>
        </w:rPr>
      </w:pPr>
      <w:r>
        <w:t xml:space="preserve">It is the ACMA </w:t>
      </w:r>
      <w:r w:rsidR="005A0D8B">
        <w:t>staff</w:t>
      </w:r>
      <w:r>
        <w:t xml:space="preserve"> current </w:t>
      </w:r>
      <w:r w:rsidR="005A0D8B">
        <w:t>preliminary</w:t>
      </w:r>
      <w:r>
        <w:t xml:space="preserve"> view that this revised view generally only needs to be considered in metropolitan and major regional areas.  The expected higher availability of spectrum and lower demand in remote and other regional areas means that the fallback synchronisation method currently proposed, plus a potential “preferred priority assignment scheme” can sufficiently meet the expected variety of use cases in these areas. For geographic boundaries between AWL and SL spectrum spaces there may be some applicability, </w:t>
      </w:r>
      <w:r w:rsidRPr="00CA736A">
        <w:rPr>
          <w:i/>
          <w:iCs/>
        </w:rPr>
        <w:t>see the Spectrum licensed devices operating in the 3400-3800 MHz range</w:t>
      </w:r>
      <w:r>
        <w:t xml:space="preserve"> section.</w:t>
      </w:r>
    </w:p>
    <w:p w14:paraId="2D29DBAC" w14:textId="77777777" w:rsidR="00FA7F33" w:rsidRDefault="00FA7F33" w:rsidP="00FA7F33">
      <w:pPr>
        <w:pStyle w:val="Heading3"/>
      </w:pPr>
      <w:bookmarkStart w:id="63" w:name="_Toc94603287"/>
      <w:r>
        <w:t>Ideas for consideration</w:t>
      </w:r>
      <w:bookmarkEnd w:id="63"/>
    </w:p>
    <w:p w14:paraId="39DD28BB" w14:textId="77777777" w:rsidR="00FA7F33" w:rsidRDefault="00FA7F33" w:rsidP="00FA7F33">
      <w:r>
        <w:t>There are two approaches to support unsynchronised use between apparatus licensed WBB services:</w:t>
      </w:r>
    </w:p>
    <w:p w14:paraId="74706034" w14:textId="77777777" w:rsidR="00FA7F33" w:rsidRDefault="00FA7F33" w:rsidP="00FA7F33">
      <w:pPr>
        <w:pStyle w:val="ListParagraph"/>
        <w:numPr>
          <w:ilvl w:val="0"/>
          <w:numId w:val="32"/>
        </w:numPr>
      </w:pPr>
      <w:r>
        <w:t xml:space="preserve">Under the current approach detailed for AWLs, a fallback synchronisation requirement is proposed. This means that in the event of interference, if licensees are unable to negotiate a resolution, they would be required to adopt a defined frame structure and synchronise the timing of uplink and downlink transmission. To support unsynchronised use, AWL licensees could also choose to take out licenses with a larger geographical area and licensed bandwidth to isolate them from other users. It is noted that both macro cell and small cell use cases could be supported under this approach as desired by licensees. </w:t>
      </w:r>
    </w:p>
    <w:p w14:paraId="162795AB" w14:textId="1FEF984C" w:rsidR="00FA7F33" w:rsidRDefault="00FA7F33" w:rsidP="00FA7F33">
      <w:pPr>
        <w:pStyle w:val="ListParagraph"/>
        <w:numPr>
          <w:ilvl w:val="0"/>
          <w:numId w:val="32"/>
        </w:numPr>
      </w:pPr>
      <w:r>
        <w:t>Parts of the 3400-4000 MHz band could be identified for ‘restricted cell’</w:t>
      </w:r>
      <w:r>
        <w:rPr>
          <w:rStyle w:val="FootnoteReference"/>
        </w:rPr>
        <w:footnoteReference w:id="14"/>
      </w:r>
      <w:r>
        <w:t xml:space="preserve"> </w:t>
      </w:r>
      <w:r w:rsidR="007161BB">
        <w:t xml:space="preserve">(RC) </w:t>
      </w:r>
      <w:r>
        <w:t xml:space="preserve">use. This use case would be similar to what has been identified in the </w:t>
      </w:r>
      <w:hyperlink r:id="rId78" w:history="1">
        <w:r w:rsidRPr="00D227C5">
          <w:rPr>
            <w:rStyle w:val="Hyperlink"/>
          </w:rPr>
          <w:t>Planning for wireless broadband use of urban areas in the 3400–3475 MHz band - consultation 31/2021</w:t>
        </w:r>
      </w:hyperlink>
      <w:r>
        <w:t xml:space="preserve">. To reduce the potential for interference, the restricted cell case would place limits on certain parameters, such as EIRP </w:t>
      </w:r>
      <w:r>
        <w:lastRenderedPageBreak/>
        <w:t xml:space="preserve">and possibly antenna heights. An appropriate </w:t>
      </w:r>
      <w:r w:rsidR="009F0A68">
        <w:t>Device Boundary Criteria (</w:t>
      </w:r>
      <w:r>
        <w:t>DBC</w:t>
      </w:r>
      <w:r w:rsidR="009F0A68">
        <w:t>)</w:t>
      </w:r>
      <w:r>
        <w:t xml:space="preserve"> would also be needed to further reduce the potential for interference. This could support operators planning to deploy highly localised services covering a small geographical area, for example university campuses, factories, a specific building, ports etc. A restricted cell approach could be considered via AWLs, site-based apparatus licensing (e.g. point-to-multipoint) or class licence.</w:t>
      </w:r>
    </w:p>
    <w:p w14:paraId="07A56E75" w14:textId="6D3D7224" w:rsidR="00FA7F33" w:rsidRDefault="00FA7F33" w:rsidP="00FA7F33">
      <w:r>
        <w:t xml:space="preserve">Considering the above points, ACMA staff have identified three possible options </w:t>
      </w:r>
      <w:r w:rsidR="005E05B2">
        <w:t xml:space="preserve">for </w:t>
      </w:r>
      <w:r>
        <w:t>further discussion regarding WBB apparatus licensed use of the broader 3400-4000 MHz band:</w:t>
      </w:r>
    </w:p>
    <w:p w14:paraId="708B2DDB" w14:textId="77777777" w:rsidR="00FA7F33" w:rsidRDefault="00FA7F33" w:rsidP="00FA7F33">
      <w:pPr>
        <w:pStyle w:val="ListParagraph"/>
        <w:numPr>
          <w:ilvl w:val="0"/>
          <w:numId w:val="38"/>
        </w:numPr>
      </w:pPr>
      <w:r>
        <w:t>Option 1: Dedicate a portion of the 3800-4000 MHz band for ‘restricted cell’ use in metropolitan and major regional centres. A ‘macro cell’</w:t>
      </w:r>
      <w:r>
        <w:rPr>
          <w:rStyle w:val="FootnoteReference"/>
        </w:rPr>
        <w:footnoteReference w:id="15"/>
      </w:r>
      <w:r>
        <w:t xml:space="preserve"> model would be adopted in all other areas and frequencies (it is noted that this would also allow licensees to take out smaller licensed areas to deploy small cells as desired). Designated spectrum for a restricted cell approach is not proposed in remote and low demand regional areas. This is due to the quanta of spectrum available in those areas, the typically lower density of deployments and ability for licensees to deploy macro or small cells under the proposed AWL framework. This option is illustrated in Figure 3. </w:t>
      </w:r>
    </w:p>
    <w:p w14:paraId="266B22F8" w14:textId="77777777" w:rsidR="00FA7F33" w:rsidRPr="005903D8" w:rsidRDefault="00FA7F33" w:rsidP="00FA7F33">
      <w:pPr>
        <w:pStyle w:val="ListParagraph"/>
        <w:numPr>
          <w:ilvl w:val="0"/>
          <w:numId w:val="38"/>
        </w:numPr>
      </w:pPr>
      <w:r>
        <w:t xml:space="preserve">Option 2: Dedicate urban excise areas for restricted cell use. A ‘macro cell’ model would be adopted in all other areas and frequencies (it is noted that this would also allow licensees to take out smaller licensed areas to deploy small cells as desired). This option is illustrated in </w:t>
      </w:r>
      <w:r w:rsidRPr="005903D8">
        <w:t>Figure 4.</w:t>
      </w:r>
    </w:p>
    <w:p w14:paraId="77295A09" w14:textId="77777777" w:rsidR="00FA7F33" w:rsidRDefault="00FA7F33" w:rsidP="00FA7F33">
      <w:pPr>
        <w:pStyle w:val="ListParagraph"/>
        <w:numPr>
          <w:ilvl w:val="0"/>
          <w:numId w:val="38"/>
        </w:numPr>
      </w:pPr>
      <w:r>
        <w:t xml:space="preserve">Option 3: Implement a macro cell model in all frequencies and areas in the 3400-4000 MHz band (it is noted that this would also allow licensees to take out smaller licensed areas to deploy small cells as desired). A benefit of this approach is that it would simplify arrangements across the band (as the same arrangements would apply everywhere). This option is illustrated in </w:t>
      </w:r>
      <w:r w:rsidRPr="00B97AB5">
        <w:t xml:space="preserve">Figure </w:t>
      </w:r>
      <w:r>
        <w:t>4.</w:t>
      </w:r>
    </w:p>
    <w:p w14:paraId="086FF23A" w14:textId="0DED2A3A" w:rsidR="00FA7F33" w:rsidRDefault="00FA7F33" w:rsidP="00FA7F33">
      <w:r>
        <w:t xml:space="preserve">Options for urban excise areas is currently under consultation in the </w:t>
      </w:r>
      <w:hyperlink r:id="rId79" w:history="1">
        <w:r w:rsidRPr="00D227C5">
          <w:rPr>
            <w:rStyle w:val="Hyperlink"/>
          </w:rPr>
          <w:t>Planning for wireless broadband use of urban areas in the 3400–3475 MHz band - consultation 31/2021</w:t>
        </w:r>
      </w:hyperlink>
      <w:r>
        <w:rPr>
          <w:rStyle w:val="Hyperlink"/>
        </w:rPr>
        <w:t xml:space="preserve">. </w:t>
      </w:r>
      <w:r>
        <w:t>Note that these options for consideration above are not consistent with the ACMA preliminary preferred option in the urban areas options paper.</w:t>
      </w:r>
      <w:r w:rsidR="009B13CA">
        <w:t xml:space="preserve"> These alternative options are provide</w:t>
      </w:r>
      <w:r w:rsidR="002D6917">
        <w:t>d</w:t>
      </w:r>
      <w:r w:rsidR="009B13CA">
        <w:t xml:space="preserve"> in</w:t>
      </w:r>
      <w:r w:rsidR="002D6917">
        <w:t xml:space="preserve"> the context of taking a </w:t>
      </w:r>
      <w:r w:rsidR="002C7951">
        <w:t xml:space="preserve">possible </w:t>
      </w:r>
      <w:r w:rsidR="002D6917">
        <w:t xml:space="preserve">holistic approach for the 3400-4000 MHz band. </w:t>
      </w:r>
    </w:p>
    <w:p w14:paraId="49AC3E5C" w14:textId="77777777" w:rsidR="00FA7F33" w:rsidRDefault="00FA7F33" w:rsidP="00FA7F33">
      <w:r>
        <w:t>It is noted that the same outcome is proposed for remote areas under all options identified.</w:t>
      </w:r>
    </w:p>
    <w:p w14:paraId="6FE13E77" w14:textId="775D41CA" w:rsidR="00FA7F33" w:rsidRDefault="00FA7F33" w:rsidP="00FA7F33">
      <w:r>
        <w:t>Under all options identified above, it is proposed to introduce a “restricted use band”</w:t>
      </w:r>
      <w:r>
        <w:rPr>
          <w:rStyle w:val="FootnoteReference"/>
        </w:rPr>
        <w:footnoteReference w:id="16"/>
      </w:r>
      <w:r>
        <w:t xml:space="preserve"> (RB), similar to that proposed in some of the options in the </w:t>
      </w:r>
      <w:hyperlink r:id="rId80" w:history="1">
        <w:r w:rsidRPr="00D227C5">
          <w:rPr>
            <w:rStyle w:val="Hyperlink"/>
          </w:rPr>
          <w:t>Planning for wireless broadband use of urban areas in the 3400–3475 MHz band - consultation 31/2021</w:t>
        </w:r>
      </w:hyperlink>
      <w:r>
        <w:t xml:space="preserve">. This would help manage interference between unsynchronised SL&lt;&gt;AWL or macro AWL&lt;&gt;RC AWL services. Other apparatus licensed service types, such as FSS, </w:t>
      </w:r>
      <w:r>
        <w:lastRenderedPageBreak/>
        <w:t>amateurs and PTP where applicable, would be permitted to operate within RBs on a first in time coordinated basis (or secondary basis where such allocations apply).</w:t>
      </w:r>
    </w:p>
    <w:p w14:paraId="2F263C6A" w14:textId="6950D1C0" w:rsidR="00FA7F33" w:rsidRDefault="00FA7F33" w:rsidP="00FA7F33">
      <w:r>
        <w:rPr>
          <w:rFonts w:cs="Arial"/>
        </w:rPr>
        <w:t xml:space="preserve">The size of an RB is a balance between potential interference from adjacent frequency services and spectrum utility. Based on similar discussions around the size of a RB in the </w:t>
      </w:r>
      <w:hyperlink r:id="rId81" w:history="1">
        <w:r w:rsidRPr="00B62C74">
          <w:rPr>
            <w:rStyle w:val="Hyperlink"/>
          </w:rPr>
          <w:t>Planning for wireless broadband use of urban areas in the 3400–3475 MHz band - consultation 31/2021</w:t>
        </w:r>
      </w:hyperlink>
      <w:r>
        <w:t xml:space="preserve">, 15 MHz may be appropriate between SL and “macro” WBB spectrum spaces and either 5 or 10 MHz between macro and </w:t>
      </w:r>
      <w:r w:rsidR="007161BB">
        <w:t>RC</w:t>
      </w:r>
      <w:r>
        <w:t xml:space="preserve"> WBB spectrum spaces. The sizes of the RBs to buffer the existing spectrum licensed spectrum spaces and apparatus licensed spaces below 3600 MHz are not yet proposed, noting that RBs of any significant size (&gt;5 MHz) are likely to affect the utility of some of the smaller apparatus licensed WBB spectrum spaces significantly.</w:t>
      </w:r>
    </w:p>
    <w:p w14:paraId="68E8789C" w14:textId="77777777" w:rsidR="00FA7F33" w:rsidRDefault="00FA7F33" w:rsidP="00FA7F33"/>
    <w:p w14:paraId="3967EB2A" w14:textId="77777777" w:rsidR="00FA7F33" w:rsidRDefault="00FA7F33" w:rsidP="00FA7F33">
      <w:pPr>
        <w:sectPr w:rsidR="00FA7F33" w:rsidSect="006539E8">
          <w:headerReference w:type="even" r:id="rId82"/>
          <w:headerReference w:type="default" r:id="rId83"/>
          <w:footerReference w:type="even" r:id="rId84"/>
          <w:footerReference w:type="default" r:id="rId85"/>
          <w:pgSz w:w="11906" w:h="16838" w:code="9"/>
          <w:pgMar w:top="1945" w:right="3101" w:bottom="1134" w:left="1134" w:header="709" w:footer="119" w:gutter="0"/>
          <w:pgNumType w:start="1"/>
          <w:cols w:space="708"/>
          <w:docGrid w:linePitch="360"/>
        </w:sectPr>
      </w:pPr>
    </w:p>
    <w:p w14:paraId="62B572B6" w14:textId="77777777" w:rsidR="00FA7F33" w:rsidRDefault="00FA7F33" w:rsidP="00FA7F33"/>
    <w:p w14:paraId="65FEA2C1" w14:textId="77777777" w:rsidR="00FA7F33" w:rsidRDefault="00FA7F33" w:rsidP="00FA7F33">
      <w:pPr>
        <w:pStyle w:val="Caption"/>
        <w:keepNext/>
        <w:numPr>
          <w:ilvl w:val="0"/>
          <w:numId w:val="0"/>
        </w:numPr>
        <w:ind w:left="964" w:hanging="964"/>
      </w:pPr>
      <w:r>
        <w:t xml:space="preserve">Figure </w:t>
      </w:r>
      <w:fldSimple w:instr=" SEQ Figure \* ARABIC ">
        <w:r>
          <w:rPr>
            <w:noProof/>
          </w:rPr>
          <w:t>3</w:t>
        </w:r>
      </w:fldSimple>
      <w:r>
        <w:t>: Illustration of Option 1</w:t>
      </w:r>
    </w:p>
    <w:p w14:paraId="74B6C2DE" w14:textId="77777777" w:rsidR="00FA7F33" w:rsidRPr="00935448" w:rsidRDefault="00FA7F33" w:rsidP="00FA7F33">
      <w:r>
        <w:t>ex = existing</w:t>
      </w:r>
      <w:r>
        <w:tab/>
        <w:t>, RB = restricted band, R. Cell = restricted cell, AM = amateur, SL = spectrum licences, FSS = fixed satellite service, AWL = area wide licence, PTP = point to point</w:t>
      </w:r>
    </w:p>
    <w:p w14:paraId="225EA90C" w14:textId="77777777" w:rsidR="00FA7F33" w:rsidRDefault="00FA7F33" w:rsidP="00FA7F33">
      <w:r w:rsidRPr="00794D27">
        <w:rPr>
          <w:noProof/>
        </w:rPr>
        <w:drawing>
          <wp:inline distT="0" distB="0" distL="0" distR="0" wp14:anchorId="24ACDE4E" wp14:editId="16D91401">
            <wp:extent cx="12942031" cy="4819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2962946" cy="4827439"/>
                    </a:xfrm>
                    <a:prstGeom prst="rect">
                      <a:avLst/>
                    </a:prstGeom>
                    <a:noFill/>
                    <a:ln>
                      <a:noFill/>
                    </a:ln>
                  </pic:spPr>
                </pic:pic>
              </a:graphicData>
            </a:graphic>
          </wp:inline>
        </w:drawing>
      </w:r>
    </w:p>
    <w:p w14:paraId="24880881" w14:textId="77777777" w:rsidR="00FA7F33" w:rsidRDefault="00FA7F33" w:rsidP="00FA7F33">
      <w:r>
        <w:t>Note: This is a simplified representation of arrangements in the 3400-4000 MHz band intended to facilitate discussion. For example, frequency ranges shown are not to scale, there are some major regional centres in low demand area 2 (i.e. Ballarat, Bendigo and Toowoomba), there may be other major regional areas that would be identified in the low demand regional area 2 segment and existing PTP arrangements extend down to 3590 MHz rather than 3600 MHz.</w:t>
      </w:r>
    </w:p>
    <w:p w14:paraId="11BAF9DC" w14:textId="77777777" w:rsidR="00FA7F33" w:rsidRDefault="00FA7F33" w:rsidP="00FA7F33">
      <w:pPr>
        <w:spacing w:after="0" w:line="240" w:lineRule="auto"/>
      </w:pPr>
      <w:r>
        <w:br w:type="page"/>
      </w:r>
    </w:p>
    <w:p w14:paraId="4D101ADA" w14:textId="2BDFDEB3" w:rsidR="00FA7F33" w:rsidRDefault="00FA7F33" w:rsidP="00FA7F33">
      <w:pPr>
        <w:pStyle w:val="Caption"/>
        <w:keepNext/>
        <w:numPr>
          <w:ilvl w:val="0"/>
          <w:numId w:val="0"/>
        </w:numPr>
        <w:ind w:left="964" w:hanging="964"/>
      </w:pPr>
      <w:r>
        <w:lastRenderedPageBreak/>
        <w:t xml:space="preserve">Figure </w:t>
      </w:r>
      <w:fldSimple w:instr=" SEQ Figure \* ARABIC ">
        <w:r>
          <w:rPr>
            <w:noProof/>
          </w:rPr>
          <w:t>4</w:t>
        </w:r>
      </w:fldSimple>
      <w:r>
        <w:t xml:space="preserve">: Illustration of Option 2 &amp; 3 (the </w:t>
      </w:r>
      <w:r w:rsidR="002D1546">
        <w:t xml:space="preserve">difference </w:t>
      </w:r>
      <w:r>
        <w:t xml:space="preserve">between these options </w:t>
      </w:r>
      <w:r w:rsidR="002D1546">
        <w:t xml:space="preserve">is </w:t>
      </w:r>
      <w:r>
        <w:t>in the use of urban excise areas)</w:t>
      </w:r>
    </w:p>
    <w:p w14:paraId="7DE3044B" w14:textId="77777777" w:rsidR="00FA7F33" w:rsidRPr="00935448" w:rsidRDefault="00FA7F33" w:rsidP="00FA7F33">
      <w:r>
        <w:t>ex = existing</w:t>
      </w:r>
      <w:r>
        <w:tab/>
        <w:t>, RB = restricted band, R. Cell = restricted cell, AM = amateur, SL = spectrum licences, FSS = fixed satellite service, AWL = area wide licence, PTP = point to point</w:t>
      </w:r>
    </w:p>
    <w:p w14:paraId="0928AF0E" w14:textId="77777777" w:rsidR="00FA7F33" w:rsidRDefault="00FA7F33" w:rsidP="00FA7F33">
      <w:r w:rsidRPr="00794D27">
        <w:rPr>
          <w:noProof/>
        </w:rPr>
        <w:drawing>
          <wp:inline distT="0" distB="0" distL="0" distR="0" wp14:anchorId="20E130A6" wp14:editId="7A141250">
            <wp:extent cx="12947013" cy="481965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2968175" cy="4827528"/>
                    </a:xfrm>
                    <a:prstGeom prst="rect">
                      <a:avLst/>
                    </a:prstGeom>
                    <a:noFill/>
                    <a:ln>
                      <a:noFill/>
                    </a:ln>
                  </pic:spPr>
                </pic:pic>
              </a:graphicData>
            </a:graphic>
          </wp:inline>
        </w:drawing>
      </w:r>
    </w:p>
    <w:p w14:paraId="78D05EA9" w14:textId="77777777" w:rsidR="00FA7F33" w:rsidRDefault="00FA7F33" w:rsidP="00FA7F33">
      <w:r>
        <w:t>Note: This is a simplified representation of arrangements in the 3400-4000 MHz band intended to facilitate discussion. For example, frequency ranges shown are not to scale, there are some major regional centres in low demand area 2 (i.e. Ballarat, Bendigo and Toowoomba), there may be other major regional areas that would be identified in the low demand regional area 2 segment and existing PTP arrangements extend down to 3590 MHz rather than 3600 MHz.</w:t>
      </w:r>
    </w:p>
    <w:p w14:paraId="6CCC6A89" w14:textId="77777777" w:rsidR="00FA7F33" w:rsidRDefault="00FA7F33" w:rsidP="00FA7F33">
      <w:pPr>
        <w:spacing w:after="0" w:line="240" w:lineRule="auto"/>
      </w:pPr>
    </w:p>
    <w:p w14:paraId="791FEE65" w14:textId="77777777" w:rsidR="00FA7F33" w:rsidRDefault="00FA7F33" w:rsidP="00FA7F33"/>
    <w:p w14:paraId="590996CB" w14:textId="77777777" w:rsidR="00FA7F33" w:rsidRDefault="00FA7F33" w:rsidP="00FA7F33">
      <w:pPr>
        <w:sectPr w:rsidR="00FA7F33" w:rsidSect="00BD0685">
          <w:pgSz w:w="23811" w:h="16838" w:orient="landscape" w:code="8"/>
          <w:pgMar w:top="1134" w:right="1945" w:bottom="3101" w:left="1134" w:header="709" w:footer="119" w:gutter="0"/>
          <w:cols w:space="708"/>
          <w:docGrid w:linePitch="360"/>
        </w:sectPr>
      </w:pPr>
    </w:p>
    <w:p w14:paraId="5FEADE8F" w14:textId="77777777" w:rsidR="00FA7F33" w:rsidRPr="004464B2" w:rsidRDefault="00FA7F33" w:rsidP="00FA7F33">
      <w:pPr>
        <w:pStyle w:val="Heading3"/>
      </w:pPr>
      <w:bookmarkStart w:id="64" w:name="_Toc94603288"/>
      <w:r w:rsidRPr="004464B2">
        <w:lastRenderedPageBreak/>
        <w:t xml:space="preserve">DBC </w:t>
      </w:r>
      <w:r>
        <w:t>for unsynchronised use</w:t>
      </w:r>
      <w:r w:rsidRPr="004464B2">
        <w:t xml:space="preserve"> (</w:t>
      </w:r>
      <w:r>
        <w:t>restricted cell spectrum</w:t>
      </w:r>
      <w:r w:rsidRPr="004464B2">
        <w:t xml:space="preserve"> spaces)</w:t>
      </w:r>
      <w:bookmarkEnd w:id="64"/>
    </w:p>
    <w:p w14:paraId="5068F49B" w14:textId="5DD4DB92" w:rsidR="00FA7F33" w:rsidRDefault="00FA7F33" w:rsidP="00FA7F33">
      <w:pPr>
        <w:pStyle w:val="ListBullet2"/>
        <w:numPr>
          <w:ilvl w:val="0"/>
          <w:numId w:val="0"/>
        </w:numPr>
      </w:pPr>
      <w:r w:rsidRPr="00F74D0E">
        <w:t xml:space="preserve">For </w:t>
      </w:r>
      <w:r>
        <w:t>any possible</w:t>
      </w:r>
      <w:r w:rsidRPr="00F74D0E">
        <w:t xml:space="preserve"> </w:t>
      </w:r>
      <w:r>
        <w:t xml:space="preserve">restricted cell </w:t>
      </w:r>
      <w:r w:rsidRPr="00F74D0E">
        <w:t>spectrum spaces, where non-aligned TDD frame structures need to be accommodated</w:t>
      </w:r>
      <w:r>
        <w:t>,</w:t>
      </w:r>
      <w:r w:rsidRPr="00F74D0E">
        <w:t xml:space="preserve"> a revised</w:t>
      </w:r>
      <w:r>
        <w:t xml:space="preserve"> </w:t>
      </w:r>
      <w:r w:rsidRPr="00F74D0E">
        <w:t xml:space="preserve">DBC needs to be considered. </w:t>
      </w:r>
      <w:r>
        <w:t xml:space="preserve">This revised DBC for restricted cell </w:t>
      </w:r>
      <w:r w:rsidR="002C7951">
        <w:t xml:space="preserve">spectrum </w:t>
      </w:r>
      <w:r>
        <w:t>spaces could be:</w:t>
      </w:r>
    </w:p>
    <w:p w14:paraId="657CC449" w14:textId="77777777" w:rsidR="00FA7F33" w:rsidRDefault="00FA7F33" w:rsidP="00FA7F33">
      <w:pPr>
        <w:pStyle w:val="ListBullet2"/>
        <w:numPr>
          <w:ilvl w:val="0"/>
          <w:numId w:val="33"/>
        </w:numPr>
      </w:pPr>
      <w:r w:rsidRPr="00F74D0E">
        <w:t>Similar to LA WBB plans in France</w:t>
      </w:r>
      <w:r>
        <w:t xml:space="preserve"> and </w:t>
      </w:r>
      <w:r w:rsidRPr="00F74D0E">
        <w:t>Germany, a potential boundary limit could be 30-3</w:t>
      </w:r>
      <w:r>
        <w:t xml:space="preserve">2 </w:t>
      </w:r>
      <w:r w:rsidRPr="00F74D0E">
        <w:t xml:space="preserve">dBuV/m/5 MHz </w:t>
      </w:r>
      <w:r w:rsidRPr="00F74D0E">
        <w:rPr>
          <w:b/>
          <w:bCs/>
        </w:rPr>
        <w:t>(-92.8 to -90.8</w:t>
      </w:r>
      <w:r>
        <w:rPr>
          <w:b/>
          <w:bCs/>
        </w:rPr>
        <w:t xml:space="preserve"> </w:t>
      </w:r>
      <w:r w:rsidRPr="00F74D0E">
        <w:rPr>
          <w:b/>
          <w:bCs/>
        </w:rPr>
        <w:t>dBm/MHz/m</w:t>
      </w:r>
      <w:r w:rsidRPr="00F74D0E">
        <w:rPr>
          <w:b/>
          <w:bCs/>
          <w:vertAlign w:val="superscript"/>
        </w:rPr>
        <w:t>2</w:t>
      </w:r>
      <w:r w:rsidRPr="00F74D0E">
        <w:rPr>
          <w:b/>
          <w:bCs/>
        </w:rPr>
        <w:t xml:space="preserve"> PFD</w:t>
      </w:r>
      <w:r>
        <w:t>)</w:t>
      </w:r>
      <w:r w:rsidRPr="00F74D0E">
        <w:t xml:space="preserve">. </w:t>
      </w:r>
    </w:p>
    <w:p w14:paraId="7E830686" w14:textId="77777777" w:rsidR="00FA7F33" w:rsidRDefault="00FA7F33" w:rsidP="00FA7F33">
      <w:pPr>
        <w:pStyle w:val="ListBullet2"/>
        <w:numPr>
          <w:ilvl w:val="0"/>
          <w:numId w:val="33"/>
        </w:numPr>
      </w:pPr>
      <w:r w:rsidRPr="00F74D0E">
        <w:t xml:space="preserve">Alternatively, the same PFD limit could be used as proposed for Option </w:t>
      </w:r>
      <w:r>
        <w:t>2</w:t>
      </w:r>
      <w:r w:rsidRPr="00F74D0E">
        <w:t xml:space="preserve"> </w:t>
      </w:r>
      <w:r>
        <w:t xml:space="preserve">or 3 </w:t>
      </w:r>
      <w:r w:rsidRPr="00F74D0E">
        <w:t xml:space="preserve">of the </w:t>
      </w:r>
      <w:hyperlink r:id="rId88" w:history="1">
        <w:r w:rsidRPr="004464B2">
          <w:rPr>
            <w:rStyle w:val="Hyperlink"/>
          </w:rPr>
          <w:t>Planning for wireless broadband use of urban areas in the 3400–3475 MHz band - consultation 31/2021</w:t>
        </w:r>
      </w:hyperlink>
      <w:r>
        <w:t xml:space="preserve">, which is </w:t>
      </w:r>
      <w:r w:rsidRPr="00F74D0E">
        <w:rPr>
          <w:b/>
          <w:bCs/>
        </w:rPr>
        <w:t>-99.9</w:t>
      </w:r>
      <w:r>
        <w:rPr>
          <w:b/>
          <w:bCs/>
        </w:rPr>
        <w:t xml:space="preserve"> </w:t>
      </w:r>
      <w:r w:rsidRPr="00F74D0E">
        <w:rPr>
          <w:b/>
          <w:bCs/>
        </w:rPr>
        <w:t>dBm/MHz/m</w:t>
      </w:r>
      <w:r w:rsidRPr="00F74D0E">
        <w:rPr>
          <w:b/>
          <w:bCs/>
          <w:vertAlign w:val="superscript"/>
        </w:rPr>
        <w:t>2</w:t>
      </w:r>
      <w:r>
        <w:rPr>
          <w:vertAlign w:val="superscript"/>
        </w:rPr>
        <w:t xml:space="preserve"> </w:t>
      </w:r>
      <w:r>
        <w:t>(at heights of between 5 and 100 m above ground level).</w:t>
      </w:r>
    </w:p>
    <w:p w14:paraId="039E3300" w14:textId="77777777" w:rsidR="00FA7F33" w:rsidRDefault="00FA7F33" w:rsidP="00FA7F33">
      <w:pPr>
        <w:pStyle w:val="ListBullet2"/>
        <w:numPr>
          <w:ilvl w:val="0"/>
          <w:numId w:val="0"/>
        </w:numPr>
        <w:ind w:left="720"/>
      </w:pPr>
    </w:p>
    <w:p w14:paraId="67174543" w14:textId="49DA00FA" w:rsidR="00FA7F33" w:rsidRDefault="00FA7F33" w:rsidP="00FA7F33">
      <w:pPr>
        <w:pStyle w:val="ListBullet2"/>
        <w:numPr>
          <w:ilvl w:val="0"/>
          <w:numId w:val="0"/>
        </w:numPr>
      </w:pPr>
      <w:r>
        <w:t>To further help manage interference for the restricted cell case, restrictions on transmit</w:t>
      </w:r>
      <w:r w:rsidR="00F42C8A">
        <w:t xml:space="preserve"> antenna</w:t>
      </w:r>
      <w:r>
        <w:t xml:space="preserve"> heights, transmitter power or EIRP could also be specified, similar to those in the </w:t>
      </w:r>
      <w:hyperlink r:id="rId89" w:history="1">
        <w:r w:rsidRPr="004464B2">
          <w:rPr>
            <w:rStyle w:val="Hyperlink"/>
          </w:rPr>
          <w:t>Planning for wireless broadband use of urban areas in the 3400–3475 MHz band - consultation 31/2021</w:t>
        </w:r>
      </w:hyperlink>
      <w:r>
        <w:t xml:space="preserve"> options 2 and 3:</w:t>
      </w:r>
    </w:p>
    <w:p w14:paraId="02C91960" w14:textId="77777777" w:rsidR="00FA7F33" w:rsidRDefault="00FA7F33" w:rsidP="00FA7F33">
      <w:pPr>
        <w:pStyle w:val="ListBullet2"/>
        <w:numPr>
          <w:ilvl w:val="1"/>
          <w:numId w:val="33"/>
        </w:numPr>
        <w:ind w:left="1080"/>
      </w:pPr>
      <w:r>
        <w:t>The maximum transmitter EIRP must not exceed 40 dBm.</w:t>
      </w:r>
    </w:p>
    <w:p w14:paraId="77DF18EA" w14:textId="77777777" w:rsidR="00FA7F33" w:rsidRDefault="00FA7F33" w:rsidP="00FA7F33">
      <w:pPr>
        <w:pStyle w:val="ListBullet2"/>
        <w:numPr>
          <w:ilvl w:val="1"/>
          <w:numId w:val="33"/>
        </w:numPr>
        <w:ind w:left="1080"/>
      </w:pPr>
      <w:r>
        <w:t>The power spectral density of a transmitter must not exceed 23 dBm EIRP per MHz.</w:t>
      </w:r>
    </w:p>
    <w:p w14:paraId="44CBCD2F" w14:textId="77777777" w:rsidR="00FA7F33" w:rsidRDefault="00FA7F33" w:rsidP="00FA7F33">
      <w:pPr>
        <w:pStyle w:val="ListBullet2"/>
        <w:numPr>
          <w:ilvl w:val="1"/>
          <w:numId w:val="33"/>
        </w:numPr>
        <w:ind w:left="1080"/>
      </w:pPr>
      <w:r>
        <w:t>The maximum outdoor antenna height must not exceed 5 m.</w:t>
      </w:r>
    </w:p>
    <w:p w14:paraId="598B5E83" w14:textId="637FA92B" w:rsidR="00FA7F33" w:rsidRDefault="00FA7F33" w:rsidP="00FA7F33">
      <w:pPr>
        <w:pStyle w:val="ListBullet2"/>
        <w:numPr>
          <w:ilvl w:val="1"/>
          <w:numId w:val="33"/>
        </w:numPr>
        <w:ind w:left="1080"/>
      </w:pPr>
      <w:r>
        <w:t xml:space="preserve">(or if the same PFD limit is adopted as proposed in the </w:t>
      </w:r>
      <w:r w:rsidR="00D63C79">
        <w:t>Urban excise o</w:t>
      </w:r>
      <w:r>
        <w:t xml:space="preserve">ptions paper, the same proposed additional restrictions as in the </w:t>
      </w:r>
      <w:r w:rsidR="00D63C79">
        <w:t>Urban excise o</w:t>
      </w:r>
      <w:r>
        <w:t>ptions paper)</w:t>
      </w:r>
    </w:p>
    <w:p w14:paraId="52B5AAA5" w14:textId="77777777" w:rsidR="00FA7F33" w:rsidRPr="00F74D0E" w:rsidRDefault="00FA7F33" w:rsidP="00FA7F33">
      <w:pPr>
        <w:pStyle w:val="ListBullet2"/>
        <w:numPr>
          <w:ilvl w:val="0"/>
          <w:numId w:val="0"/>
        </w:numPr>
        <w:spacing w:before="240"/>
      </w:pPr>
      <w:r>
        <w:t>The choice of DBC is a balance between the geographic density of different licensees versus the utility of an individual licensee. It is not proposed to consider different DBC levels between non-AAS and AAS systems, at this stage, but we are happy to hear views on this.</w:t>
      </w:r>
      <w:r w:rsidRPr="004464B2">
        <w:t xml:space="preserve"> </w:t>
      </w:r>
    </w:p>
    <w:p w14:paraId="1E605ABA" w14:textId="77777777" w:rsidR="00FA7F33" w:rsidRPr="00F74D0E" w:rsidRDefault="00FA7F33" w:rsidP="00FA7F33">
      <w:pPr>
        <w:pStyle w:val="ListBullet2"/>
        <w:numPr>
          <w:ilvl w:val="0"/>
          <w:numId w:val="0"/>
        </w:numPr>
      </w:pPr>
    </w:p>
    <w:p w14:paraId="718562CA" w14:textId="77777777" w:rsidR="00FA7F33" w:rsidRPr="00F74D0E" w:rsidRDefault="00FA7F33" w:rsidP="00FA7F33">
      <w:pPr>
        <w:pStyle w:val="Heading3"/>
      </w:pPr>
      <w:bookmarkStart w:id="65" w:name="_Toc94603289"/>
      <w:r w:rsidRPr="006339B0">
        <w:t xml:space="preserve">How to accommodate FSS AWL receive in the </w:t>
      </w:r>
      <w:r>
        <w:t xml:space="preserve">example </w:t>
      </w:r>
      <w:r w:rsidRPr="006339B0">
        <w:t>possible arrangements</w:t>
      </w:r>
      <w:bookmarkEnd w:id="65"/>
    </w:p>
    <w:p w14:paraId="252BDBB1" w14:textId="77777777" w:rsidR="00FA7F33" w:rsidRDefault="00FA7F33" w:rsidP="00FA7F33">
      <w:r w:rsidRPr="00F74D0E">
        <w:t xml:space="preserve">For cases where a FSS </w:t>
      </w:r>
      <w:r>
        <w:t xml:space="preserve">AWL </w:t>
      </w:r>
      <w:r w:rsidRPr="00F74D0E">
        <w:t xml:space="preserve">licence is desired that straddles the </w:t>
      </w:r>
      <w:r>
        <w:t>frequency boundary between the possible macro cell and restricted cell proposals in the 3800-4000 MHz band</w:t>
      </w:r>
      <w:r w:rsidRPr="00F74D0E">
        <w:t xml:space="preserve">, </w:t>
      </w:r>
      <w:r>
        <w:t xml:space="preserve">this could be supported under the FSS AWL licence type. It is also proposed that FSS AWLs could also be licensed within RBs. </w:t>
      </w:r>
    </w:p>
    <w:p w14:paraId="1E97D5F7" w14:textId="77777777" w:rsidR="00FA7F33" w:rsidRPr="00B62C74" w:rsidRDefault="00FA7F33" w:rsidP="00FA7F33">
      <w:pPr>
        <w:pStyle w:val="Heading3"/>
      </w:pPr>
      <w:bookmarkStart w:id="66" w:name="_Toc94603290"/>
      <w:r w:rsidRPr="00B62C74">
        <w:t xml:space="preserve">How to </w:t>
      </w:r>
      <w:r>
        <w:t>interpret the remaining TLG paper</w:t>
      </w:r>
      <w:bookmarkEnd w:id="66"/>
    </w:p>
    <w:p w14:paraId="41F83534" w14:textId="1514C8DB" w:rsidR="00FA7F33" w:rsidRDefault="00FA7F33" w:rsidP="00FA7F33">
      <w:pPr>
        <w:rPr>
          <w:rFonts w:cs="Arial"/>
        </w:rPr>
      </w:pPr>
      <w:r>
        <w:rPr>
          <w:rFonts w:cs="Arial"/>
        </w:rPr>
        <w:t xml:space="preserve">Except as noted, the remaining parts of the TLG paper and the draft </w:t>
      </w:r>
      <w:r w:rsidR="0095118B">
        <w:rPr>
          <w:rFonts w:cs="Arial"/>
        </w:rPr>
        <w:t>technical framework</w:t>
      </w:r>
      <w:r>
        <w:rPr>
          <w:rFonts w:cs="Arial"/>
        </w:rPr>
        <w:t xml:space="preserve"> have been </w:t>
      </w:r>
      <w:r w:rsidR="0095118B">
        <w:rPr>
          <w:rFonts w:cs="Arial"/>
        </w:rPr>
        <w:t xml:space="preserve">updated to take into account feedback </w:t>
      </w:r>
      <w:r w:rsidR="008C1ABF">
        <w:rPr>
          <w:rFonts w:cs="Arial"/>
        </w:rPr>
        <w:t xml:space="preserve">largely </w:t>
      </w:r>
      <w:r w:rsidR="0095118B">
        <w:rPr>
          <w:rFonts w:cs="Arial"/>
        </w:rPr>
        <w:t>for remote areas only, or common to all areas</w:t>
      </w:r>
      <w:r>
        <w:rPr>
          <w:rFonts w:cs="Arial"/>
        </w:rPr>
        <w:t>.</w:t>
      </w:r>
      <w:r w:rsidR="0095118B">
        <w:rPr>
          <w:rFonts w:cs="Arial"/>
        </w:rPr>
        <w:t xml:space="preserve"> It is expected that the </w:t>
      </w:r>
      <w:r w:rsidR="009F7946">
        <w:rPr>
          <w:rFonts w:cs="Arial"/>
        </w:rPr>
        <w:t>technical framework will be modified, as required, pending future outcomes in non-remote areas.</w:t>
      </w:r>
    </w:p>
    <w:p w14:paraId="7EE9083E" w14:textId="0D2CA174" w:rsidR="007C0401" w:rsidRDefault="007C0401" w:rsidP="00FA7F33">
      <w:pPr>
        <w:rPr>
          <w:rFonts w:cs="Arial"/>
        </w:rPr>
      </w:pPr>
      <w:r>
        <w:rPr>
          <w:rFonts w:cs="Arial"/>
        </w:rPr>
        <w:t>The ACMA received a range of member views on the revised proposal. We will consider these views further in the TLG and when finalising the technical frameworks for non-remote areas.</w:t>
      </w:r>
    </w:p>
    <w:p w14:paraId="2DA4D410" w14:textId="089E9F1C" w:rsidR="00F34A66" w:rsidRPr="00B62C74" w:rsidRDefault="00F34A66" w:rsidP="00F34A66">
      <w:pPr>
        <w:pStyle w:val="Heading3"/>
      </w:pPr>
      <w:bookmarkStart w:id="67" w:name="_Toc94603291"/>
      <w:r w:rsidRPr="008C1D6E">
        <w:t>Comments received</w:t>
      </w:r>
      <w:bookmarkEnd w:id="67"/>
    </w:p>
    <w:p w14:paraId="7CED3799" w14:textId="3AFA3FC2" w:rsidR="00F34A66" w:rsidRDefault="00F34A66" w:rsidP="00F34A66">
      <w:r>
        <w:t xml:space="preserve">The ACMA </w:t>
      </w:r>
      <w:r w:rsidR="00922CBF">
        <w:t>currently</w:t>
      </w:r>
      <w:r>
        <w:t xml:space="preserve"> notes</w:t>
      </w:r>
      <w:r w:rsidR="00727684">
        <w:t xml:space="preserve"> </w:t>
      </w:r>
      <w:r w:rsidR="00727684" w:rsidRPr="007F68A0">
        <w:rPr>
          <w:i/>
          <w:iCs/>
        </w:rPr>
        <w:t>some</w:t>
      </w:r>
      <w:r w:rsidR="00727684">
        <w:t xml:space="preserve"> of the </w:t>
      </w:r>
      <w:r>
        <w:t xml:space="preserve">various member views on these ideas as they may apply to arrangements outside of remote areas. The ACMA </w:t>
      </w:r>
      <w:r w:rsidR="00145E15">
        <w:t>acknowledges</w:t>
      </w:r>
      <w:r w:rsidR="00727684">
        <w:t xml:space="preserve"> all of the views received and </w:t>
      </w:r>
      <w:r>
        <w:t>will continue to develop the ideas across the 3400-4000 MHz band</w:t>
      </w:r>
      <w:r w:rsidR="00145E15">
        <w:t xml:space="preserve"> implementation projects</w:t>
      </w:r>
      <w:r>
        <w:t>:</w:t>
      </w:r>
    </w:p>
    <w:p w14:paraId="337AEC88" w14:textId="157CD59D" w:rsidR="00F34A66" w:rsidRDefault="00F34A66" w:rsidP="00F34A66">
      <w:pPr>
        <w:pStyle w:val="ListParagraph"/>
        <w:numPr>
          <w:ilvl w:val="0"/>
          <w:numId w:val="47"/>
        </w:numPr>
      </w:pPr>
      <w:r>
        <w:t xml:space="preserve">Telco </w:t>
      </w:r>
      <w:r w:rsidR="007E619C">
        <w:t xml:space="preserve">sector </w:t>
      </w:r>
      <w:r>
        <w:t xml:space="preserve">members generally supported the RB concept, </w:t>
      </w:r>
      <w:r w:rsidR="007733F7">
        <w:t>if</w:t>
      </w:r>
      <w:r>
        <w:t xml:space="preserve"> they were wholly within AWL spectrum space</w:t>
      </w:r>
      <w:r w:rsidR="00F57277">
        <w:t>s</w:t>
      </w:r>
      <w:r>
        <w:t>.</w:t>
      </w:r>
    </w:p>
    <w:p w14:paraId="0DD0F24E" w14:textId="77777777" w:rsidR="00F34A66" w:rsidRDefault="00F34A66" w:rsidP="00F34A66">
      <w:pPr>
        <w:pStyle w:val="ListParagraph"/>
        <w:numPr>
          <w:ilvl w:val="0"/>
          <w:numId w:val="47"/>
        </w:numPr>
      </w:pPr>
      <w:r>
        <w:lastRenderedPageBreak/>
        <w:t>Telco members proposed that 3540.0 MHz to 3542.5 MHz be allocated as SLs.</w:t>
      </w:r>
    </w:p>
    <w:p w14:paraId="23EC4619" w14:textId="77777777" w:rsidR="00F34A66" w:rsidRDefault="00F34A66" w:rsidP="00F34A66">
      <w:pPr>
        <w:pStyle w:val="ListParagraph"/>
        <w:numPr>
          <w:ilvl w:val="0"/>
          <w:numId w:val="47"/>
        </w:numPr>
      </w:pPr>
      <w:r>
        <w:t>Telco members generally supported segregation of AWL use cases and a strongly prescriptive assignment priority scheme.</w:t>
      </w:r>
    </w:p>
    <w:p w14:paraId="3A49E38E" w14:textId="3FF3F2FE" w:rsidR="00F34A66" w:rsidRDefault="00F34A66" w:rsidP="00F34A66">
      <w:pPr>
        <w:pStyle w:val="ListParagraph"/>
        <w:numPr>
          <w:ilvl w:val="0"/>
          <w:numId w:val="47"/>
        </w:numPr>
      </w:pPr>
      <w:r>
        <w:t>Telco members generally supported “city-wide” AWL allocations in metro areas, except Pivotel</w:t>
      </w:r>
      <w:r w:rsidR="007733F7">
        <w:t>,</w:t>
      </w:r>
      <w:r>
        <w:t xml:space="preserve"> who supported HCIS level 1 based AWLs and that they be allocated to non-incumbent SL holders first.</w:t>
      </w:r>
    </w:p>
    <w:p w14:paraId="3FAB9A73" w14:textId="77777777" w:rsidR="00F34A66" w:rsidRDefault="00F34A66" w:rsidP="00F34A66">
      <w:pPr>
        <w:pStyle w:val="ListParagraph"/>
        <w:numPr>
          <w:ilvl w:val="0"/>
          <w:numId w:val="47"/>
        </w:numPr>
      </w:pPr>
      <w:r>
        <w:t>FSG proposed a stepped coordination approach with sync initially then different size RBs.</w:t>
      </w:r>
    </w:p>
    <w:p w14:paraId="3550FBC7" w14:textId="77777777" w:rsidR="00F34A66" w:rsidRDefault="00F34A66" w:rsidP="00F34A66">
      <w:pPr>
        <w:pStyle w:val="ListParagraph"/>
        <w:numPr>
          <w:ilvl w:val="0"/>
          <w:numId w:val="47"/>
        </w:numPr>
      </w:pPr>
      <w:r>
        <w:t>Swoop had concerns about the use of RBs above 3800 MHz in non-remote areas, the administrative overhead of a priority assignment scheme and proposed the use of low impact guidelines in place of height limits for unsynchronised or RB services.</w:t>
      </w:r>
    </w:p>
    <w:p w14:paraId="7ED7DE80" w14:textId="77777777" w:rsidR="00F34A66" w:rsidRDefault="00F34A66" w:rsidP="00F34A66">
      <w:pPr>
        <w:pStyle w:val="ListParagraph"/>
        <w:numPr>
          <w:ilvl w:val="0"/>
          <w:numId w:val="47"/>
        </w:numPr>
      </w:pPr>
      <w:r>
        <w:t>AMTA remains concerned about the use of AWLs for LA WBB in high demand areas.</w:t>
      </w:r>
    </w:p>
    <w:p w14:paraId="3A7FD334" w14:textId="77777777" w:rsidR="00F34A66" w:rsidRDefault="00F34A66" w:rsidP="007F68A0">
      <w:pPr>
        <w:ind w:left="360"/>
      </w:pPr>
    </w:p>
    <w:p w14:paraId="043AA0EF" w14:textId="77777777" w:rsidR="00F34A66" w:rsidRDefault="00F34A66" w:rsidP="00FA7F33">
      <w:pPr>
        <w:rPr>
          <w:rFonts w:cs="Arial"/>
        </w:rPr>
      </w:pPr>
    </w:p>
    <w:p w14:paraId="5EFB5B1B" w14:textId="77777777" w:rsidR="00FA7F33" w:rsidRDefault="00FA7F33" w:rsidP="00FA7F33">
      <w:pPr>
        <w:spacing w:after="0" w:line="240" w:lineRule="auto"/>
        <w:rPr>
          <w:rFonts w:cs="Arial"/>
          <w:b/>
          <w:bCs/>
          <w:iCs/>
          <w:sz w:val="28"/>
          <w:szCs w:val="28"/>
        </w:rPr>
      </w:pPr>
      <w:r>
        <w:br w:type="page"/>
      </w:r>
    </w:p>
    <w:p w14:paraId="6BE2F8C4" w14:textId="6AB7636B" w:rsidR="00FA7F33" w:rsidRPr="00137121" w:rsidRDefault="00FA7F33" w:rsidP="00FA7F33">
      <w:pPr>
        <w:pStyle w:val="Heading2"/>
      </w:pPr>
      <w:bookmarkStart w:id="68" w:name="_Toc94603292"/>
      <w:r>
        <w:lastRenderedPageBreak/>
        <w:t xml:space="preserve">Managing </w:t>
      </w:r>
      <w:r w:rsidR="003B5898">
        <w:t xml:space="preserve">coexistence </w:t>
      </w:r>
      <w:r w:rsidR="003B5898">
        <w:rPr>
          <w:rStyle w:val="FootnoteReference"/>
        </w:rPr>
        <w:footnoteReference w:id="17"/>
      </w:r>
      <w:r>
        <w:t xml:space="preserve">between AWLs </w:t>
      </w:r>
      <w:r w:rsidRPr="00137121">
        <w:t xml:space="preserve">in the </w:t>
      </w:r>
      <w:r>
        <w:t>3400-4000 MHz range</w:t>
      </w:r>
      <w:bookmarkEnd w:id="68"/>
    </w:p>
    <w:p w14:paraId="7D6E6EDC" w14:textId="77777777" w:rsidR="00FA7F33" w:rsidRDefault="00FA7F33" w:rsidP="00FA7F33">
      <w:pPr>
        <w:pStyle w:val="Heading3"/>
      </w:pPr>
      <w:bookmarkStart w:id="69" w:name="_Toc94603293"/>
      <w:r>
        <w:t>AWLs optimised for WBB use (essential for remote)</w:t>
      </w:r>
      <w:bookmarkEnd w:id="69"/>
    </w:p>
    <w:p w14:paraId="109FF146" w14:textId="3E42742A" w:rsidR="00FA7F33" w:rsidRDefault="00FA7F33" w:rsidP="00FA7F33">
      <w:pPr>
        <w:rPr>
          <w:rFonts w:cs="Arial"/>
        </w:rPr>
      </w:pPr>
      <w:r>
        <w:rPr>
          <w:rFonts w:cs="Arial"/>
        </w:rPr>
        <w:t xml:space="preserve">As previously discussed, the ACMA is </w:t>
      </w:r>
      <w:r w:rsidR="001F6EF9">
        <w:rPr>
          <w:rFonts w:cs="Arial"/>
        </w:rPr>
        <w:t>considering</w:t>
      </w:r>
      <w:r>
        <w:rPr>
          <w:rFonts w:cs="Arial"/>
        </w:rPr>
        <w:t xml:space="preserve"> </w:t>
      </w:r>
      <w:r w:rsidR="003B5898">
        <w:rPr>
          <w:rFonts w:cs="Arial"/>
        </w:rPr>
        <w:t>making</w:t>
      </w:r>
      <w:r>
        <w:rPr>
          <w:rFonts w:cs="Arial"/>
        </w:rPr>
        <w:t xml:space="preserve"> any possible AWL framework as similar as practicable to the 3.4 GHz spectrum licensing technical framework. Consequently, coexistence between AWLs optimised for LA WBB use </w:t>
      </w:r>
      <w:r w:rsidR="00F92D73">
        <w:rPr>
          <w:rFonts w:cs="Arial"/>
        </w:rPr>
        <w:t xml:space="preserve">could </w:t>
      </w:r>
      <w:r>
        <w:rPr>
          <w:rFonts w:cs="Arial"/>
        </w:rPr>
        <w:t xml:space="preserve">be managed as detailed below. The approach </w:t>
      </w:r>
      <w:r w:rsidR="005E723D">
        <w:rPr>
          <w:rFonts w:cs="Arial"/>
        </w:rPr>
        <w:t xml:space="preserve">originally </w:t>
      </w:r>
      <w:r>
        <w:rPr>
          <w:rFonts w:cs="Arial"/>
        </w:rPr>
        <w:t xml:space="preserve">proposed between AWLs in </w:t>
      </w:r>
      <w:r>
        <w:t xml:space="preserve">remote, </w:t>
      </w:r>
      <w:r w:rsidR="00552522">
        <w:t>regional,</w:t>
      </w:r>
      <w:r>
        <w:t xml:space="preserve"> and metropolitan areas</w:t>
      </w:r>
      <w:r w:rsidR="005E723D">
        <w:t xml:space="preserve"> was</w:t>
      </w:r>
      <w:r>
        <w:rPr>
          <w:rFonts w:cs="Arial"/>
        </w:rPr>
        <w:t>:</w:t>
      </w:r>
    </w:p>
    <w:p w14:paraId="62F7CDF0" w14:textId="77777777" w:rsidR="00FA7F33" w:rsidRDefault="00FA7F33" w:rsidP="00FA7F33">
      <w:pPr>
        <w:pStyle w:val="Heading4"/>
      </w:pPr>
    </w:p>
    <w:p w14:paraId="57A46347" w14:textId="77777777" w:rsidR="00FA7F33" w:rsidRDefault="00FA7F33" w:rsidP="00FA7F33">
      <w:pPr>
        <w:pStyle w:val="ListBullet"/>
      </w:pPr>
      <w:r>
        <w:t>At the frequency boundary:</w:t>
      </w:r>
    </w:p>
    <w:p w14:paraId="588174A1" w14:textId="77777777" w:rsidR="00FA7F33" w:rsidRDefault="00FA7F33" w:rsidP="00FA7F33">
      <w:pPr>
        <w:pStyle w:val="ListBullet2"/>
      </w:pPr>
      <w:r>
        <w:t xml:space="preserve">Unwanted emission limits specified on the apparatus licence that reflect those on 3.4 GHz spectrum licences (with adjusted frequency boundary to reflect the LA WBB allocation/s). (see Licence Schedule 2 of an example </w:t>
      </w:r>
      <w:hyperlink r:id="rId90" w:history="1">
        <w:r w:rsidRPr="005D718D">
          <w:rPr>
            <w:rStyle w:val="Hyperlink"/>
          </w:rPr>
          <w:t>licence</w:t>
        </w:r>
      </w:hyperlink>
      <w:r>
        <w:t>)</w:t>
      </w:r>
    </w:p>
    <w:p w14:paraId="79643C85" w14:textId="77777777" w:rsidR="00FA7F33" w:rsidRDefault="00FA7F33" w:rsidP="00FA7F33">
      <w:pPr>
        <w:pStyle w:val="ListBullet2"/>
      </w:pPr>
      <w:r>
        <w:t xml:space="preserve">The same (time division duplex) synchronisation fallback requirement as specified on 3.4 GHz spectrum licences. (see Licence Schedule 4 (11) of the example </w:t>
      </w:r>
      <w:hyperlink r:id="rId91" w:history="1">
        <w:r w:rsidRPr="00DD3EA2">
          <w:rPr>
            <w:rStyle w:val="Hyperlink"/>
          </w:rPr>
          <w:t>licence</w:t>
        </w:r>
      </w:hyperlink>
      <w:r>
        <w:t xml:space="preserve">). This defines a 4G frame structure (or equivalent) be used. </w:t>
      </w:r>
    </w:p>
    <w:p w14:paraId="1572BA12" w14:textId="77777777" w:rsidR="00FA7F33" w:rsidRDefault="00FA7F33" w:rsidP="00FA7F33">
      <w:pPr>
        <w:pStyle w:val="ListBullet2"/>
      </w:pPr>
      <w:r>
        <w:t xml:space="preserve">The same co-sited device requirement as applied to 3.4 GHz spectrum licences. (see Licence Schedule 4 (3) of an example </w:t>
      </w:r>
      <w:hyperlink r:id="rId92" w:history="1">
        <w:r w:rsidRPr="005D718D">
          <w:rPr>
            <w:rStyle w:val="Hyperlink"/>
          </w:rPr>
          <w:t>licence</w:t>
        </w:r>
      </w:hyperlink>
      <w:r>
        <w:t>)</w:t>
      </w:r>
    </w:p>
    <w:p w14:paraId="6D5912D6" w14:textId="77777777" w:rsidR="00FA7F33" w:rsidRDefault="00FA7F33" w:rsidP="00FA7F33">
      <w:pPr>
        <w:pStyle w:val="ListBullet"/>
      </w:pPr>
      <w:r>
        <w:t>At the geographic area boundary:</w:t>
      </w:r>
    </w:p>
    <w:p w14:paraId="0D3494D4" w14:textId="2757FC86" w:rsidR="00FA7F33" w:rsidRPr="00206CA1" w:rsidRDefault="00FA7F33" w:rsidP="00FA7F33">
      <w:pPr>
        <w:pStyle w:val="ListBullet2"/>
      </w:pPr>
      <w:r w:rsidRPr="00206CA1">
        <w:t>Applying the 3.4 GHz spectrum licence device boundary criteria</w:t>
      </w:r>
      <w:r w:rsidR="00922708">
        <w:rPr>
          <w:rStyle w:val="FootnoteReference"/>
        </w:rPr>
        <w:footnoteReference w:id="18"/>
      </w:r>
      <w:r w:rsidRPr="00206CA1">
        <w:t xml:space="preserve"> (DBC)</w:t>
      </w:r>
      <w:r>
        <w:t xml:space="preserve"> at the geographic boundary of an AWL licence (as detailed in the </w:t>
      </w:r>
      <w:hyperlink r:id="rId93" w:history="1">
        <w:r w:rsidRPr="000A683E">
          <w:rPr>
            <w:rStyle w:val="Hyperlink"/>
          </w:rPr>
          <w:t>Radiocommunications (Unacceptable Levels of Interference — 3.4 GHz Band) Determination 2015</w:t>
        </w:r>
      </w:hyperlink>
      <w:r>
        <w:t>)</w:t>
      </w:r>
    </w:p>
    <w:p w14:paraId="353E50DF" w14:textId="77777777" w:rsidR="00FA7F33" w:rsidRDefault="00FA7F33" w:rsidP="00FA7F33">
      <w:pPr>
        <w:pStyle w:val="ListBullet2"/>
      </w:pPr>
      <w:r>
        <w:t xml:space="preserve">The same (time division duplex) synchronisation fallback requirement as specified on 3.4 GHz spectrum licences. (see Licence Schedule 4 (11) of the example </w:t>
      </w:r>
      <w:hyperlink r:id="rId94" w:history="1">
        <w:r w:rsidRPr="00DD3EA2">
          <w:rPr>
            <w:rStyle w:val="Hyperlink"/>
          </w:rPr>
          <w:t>licence</w:t>
        </w:r>
      </w:hyperlink>
      <w:r>
        <w:t>)</w:t>
      </w:r>
    </w:p>
    <w:p w14:paraId="32B15C45" w14:textId="166F3937" w:rsidR="00FA7F33" w:rsidRDefault="00FA7F33" w:rsidP="00FA7F33">
      <w:pPr>
        <w:pStyle w:val="Paragraph"/>
      </w:pPr>
      <w:r>
        <w:t xml:space="preserve">At both the frequency and area boundaries the synchronisation fallback requirement will act as a fallback (on a case-by-case basis) should interference occur which cannot be resolved through negotiation between relevant parties. </w:t>
      </w:r>
      <w:r w:rsidR="00AC413D">
        <w:t>A</w:t>
      </w:r>
      <w:r>
        <w:t xml:space="preserve"> synchronisation fallback requirement already exists on 3.4 GHz band spectrum licences. It is proposed that this same synchronisation fallback requirement be placed on AWLs through an update to the </w:t>
      </w:r>
      <w:hyperlink r:id="rId95" w:history="1">
        <w:r w:rsidRPr="00AF5D1A">
          <w:rPr>
            <w:rStyle w:val="Hyperlink"/>
          </w:rPr>
          <w:t>Radiocommunications Licence Conditions (Area-Wide Licence) Determination 2020</w:t>
        </w:r>
      </w:hyperlink>
      <w:r>
        <w:t xml:space="preserve"> (AWL LCD). The current draft update is at </w:t>
      </w:r>
      <w:r w:rsidRPr="00CA736A">
        <w:rPr>
          <w:i/>
          <w:iCs/>
        </w:rPr>
        <w:fldChar w:fldCharType="begin"/>
      </w:r>
      <w:r w:rsidRPr="00CA736A">
        <w:rPr>
          <w:i/>
          <w:iCs/>
        </w:rPr>
        <w:instrText xml:space="preserve"> REF _Ref82174042 \h </w:instrText>
      </w:r>
      <w:r>
        <w:rPr>
          <w:i/>
          <w:iCs/>
        </w:rPr>
        <w:instrText xml:space="preserve"> \* MERGEFORMAT </w:instrText>
      </w:r>
      <w:r w:rsidRPr="00CA736A">
        <w:rPr>
          <w:i/>
          <w:iCs/>
        </w:rPr>
      </w:r>
      <w:r w:rsidRPr="00CA736A">
        <w:rPr>
          <w:i/>
          <w:iCs/>
        </w:rPr>
        <w:fldChar w:fldCharType="separate"/>
      </w:r>
      <w:r w:rsidRPr="00CA736A">
        <w:rPr>
          <w:i/>
          <w:iCs/>
        </w:rPr>
        <w:t>Appendix E: Draft updated AWL Licence Condition Determination</w:t>
      </w:r>
      <w:r w:rsidRPr="00CA736A">
        <w:rPr>
          <w:i/>
          <w:iCs/>
        </w:rPr>
        <w:fldChar w:fldCharType="end"/>
      </w:r>
      <w:r w:rsidRPr="00CA736A">
        <w:rPr>
          <w:i/>
          <w:iCs/>
        </w:rPr>
        <w:t>.</w:t>
      </w:r>
    </w:p>
    <w:p w14:paraId="44961137" w14:textId="73F22F38" w:rsidR="00FA7F33" w:rsidRDefault="00CC2D58" w:rsidP="00FA7F33">
      <w:pPr>
        <w:pStyle w:val="Paragraph"/>
      </w:pPr>
      <w:r>
        <w:t xml:space="preserve">There were different views on the appropriate </w:t>
      </w:r>
      <w:r w:rsidRPr="00CC2D58">
        <w:t xml:space="preserve">frame structure </w:t>
      </w:r>
      <w:r w:rsidR="00C200D0">
        <w:t>that</w:t>
      </w:r>
      <w:r w:rsidRPr="00CC2D58">
        <w:t xml:space="preserve"> should be incorporated into the fall</w:t>
      </w:r>
      <w:r w:rsidR="00CC7858" w:rsidRPr="00CC2D58">
        <w:t>-</w:t>
      </w:r>
      <w:r w:rsidRPr="00CC2D58">
        <w:t>back synchronisation requirements between AWL services</w:t>
      </w:r>
      <w:r>
        <w:t xml:space="preserve">. </w:t>
      </w:r>
      <w:r w:rsidR="00487A73">
        <w:t xml:space="preserve">AMTA, Telstra and Optus wanted it to match the equivalent 3.4 GHz </w:t>
      </w:r>
      <w:r w:rsidR="00656A45">
        <w:t>s</w:t>
      </w:r>
      <w:r w:rsidR="00487A73">
        <w:t xml:space="preserve">pectrum </w:t>
      </w:r>
      <w:r w:rsidR="00656A45">
        <w:t>l</w:t>
      </w:r>
      <w:r w:rsidR="00487A73">
        <w:t>icensing technical framework fallback, and Optus noted that the existing fallback was based on 4G.</w:t>
      </w:r>
      <w:r w:rsidR="00C96C58">
        <w:t xml:space="preserve"> </w:t>
      </w:r>
      <w:r w:rsidR="00557070">
        <w:t>Swoop preferred flexibility</w:t>
      </w:r>
      <w:r w:rsidR="001124B8">
        <w:t>,</w:t>
      </w:r>
      <w:r w:rsidR="00557070">
        <w:t xml:space="preserve"> but any structure should support fixed broadband delivery and use a maximum asymmetric DL/UL ratio of 3:1/4:1</w:t>
      </w:r>
      <w:r w:rsidR="00F333FB">
        <w:t>,</w:t>
      </w:r>
      <w:r w:rsidR="00557070">
        <w:t xml:space="preserve"> if it is required.</w:t>
      </w:r>
      <w:r w:rsidR="00C200D0">
        <w:t xml:space="preserve"> </w:t>
      </w:r>
      <w:r w:rsidR="00C96C58">
        <w:t xml:space="preserve">As per the revised Appendix E, the proposed clauses around the </w:t>
      </w:r>
      <w:r w:rsidR="00CC7858">
        <w:t>fall-back</w:t>
      </w:r>
      <w:r w:rsidR="00C96C58">
        <w:t xml:space="preserve"> </w:t>
      </w:r>
      <w:r w:rsidR="00101E39">
        <w:t>synchronisation</w:t>
      </w:r>
      <w:r w:rsidR="00C96C58">
        <w:t xml:space="preserve"> requirements have been modified</w:t>
      </w:r>
      <w:r w:rsidR="00AC413D">
        <w:t xml:space="preserve"> for clarity, </w:t>
      </w:r>
      <w:r w:rsidR="00904420">
        <w:t>but</w:t>
      </w:r>
      <w:r w:rsidR="00557070">
        <w:t xml:space="preserve"> the structure defined aligns with the current 3.4 GHz spectrum licensing technical framework</w:t>
      </w:r>
      <w:r w:rsidR="00C96C58">
        <w:t>.</w:t>
      </w:r>
    </w:p>
    <w:p w14:paraId="57843076" w14:textId="39B1F803" w:rsidR="0045710C" w:rsidRDefault="0045710C" w:rsidP="00FA7F33">
      <w:pPr>
        <w:pStyle w:val="Paragraph"/>
      </w:pPr>
      <w:r>
        <w:lastRenderedPageBreak/>
        <w:t>Concerning unwanted emissions, Telco operator</w:t>
      </w:r>
      <w:r w:rsidR="008F484F">
        <w:t>s</w:t>
      </w:r>
      <w:r>
        <w:t xml:space="preserve"> and manufacturer</w:t>
      </w:r>
      <w:r w:rsidR="008F484F">
        <w:t>s</w:t>
      </w:r>
      <w:r>
        <w:t xml:space="preserve"> identified that the currently proposed limits in the AWL, and existing SL, technical frameworks, do not align with 3GPP standards in this regard for non-AAS.  As discussed elsewhere in this document, we propose to change the </w:t>
      </w:r>
      <w:r w:rsidR="00E66A22">
        <w:t>limit definition to “per antenna port” under the draft AWL LCD, to align with the 3GPP, and will consider a similar future change to the SL technical framework.</w:t>
      </w:r>
    </w:p>
    <w:p w14:paraId="4C1F37EE" w14:textId="77777777" w:rsidR="00FA7F33" w:rsidRDefault="00FA7F33" w:rsidP="00FA7F33">
      <w:pPr>
        <w:pStyle w:val="Heading3"/>
      </w:pPr>
      <w:bookmarkStart w:id="70" w:name="_Toc94603294"/>
      <w:r>
        <w:t xml:space="preserve">AWLs optimised for FSS </w:t>
      </w:r>
      <w:r w:rsidRPr="004675B3">
        <w:t>receive earth station</w:t>
      </w:r>
      <w:r>
        <w:t xml:space="preserve"> use in the frequency range 3800-4000 MHz in metropolitan and major regional areas (not essential for remote)</w:t>
      </w:r>
      <w:bookmarkEnd w:id="70"/>
    </w:p>
    <w:p w14:paraId="64B19434" w14:textId="77777777" w:rsidR="00FA7F33" w:rsidRDefault="00FA7F33" w:rsidP="00FA7F33">
      <w:r>
        <w:rPr>
          <w:rFonts w:cs="Arial"/>
        </w:rPr>
        <w:t>As previously discussed, the ACMA proposes to optimise any AWL framework for LA WBB and FSS receive services in metro and major regional areas in the 3800-4000 MHz band.</w:t>
      </w:r>
    </w:p>
    <w:p w14:paraId="0B8F7A91" w14:textId="77777777" w:rsidR="00FA7F33" w:rsidRDefault="00FA7F33" w:rsidP="00FA7F33">
      <w:pPr>
        <w:rPr>
          <w:rFonts w:cs="Arial"/>
        </w:rPr>
      </w:pPr>
      <w:r>
        <w:rPr>
          <w:rFonts w:cs="Arial"/>
        </w:rPr>
        <w:t>The intent is, for FSS receivers operating under any AWL framework in these areas, that FSS operators licence sufficient spectrum and geographic area such that the potential interference from neighbouring (in location and in frequency) LA WBB AWLs is acceptable to the FSS licensee, by accepting the appropriate device boundary criteria and unwanted emissions limits for the spectrum space.</w:t>
      </w:r>
    </w:p>
    <w:p w14:paraId="1A5DC0D4" w14:textId="77777777" w:rsidR="00FA7F33" w:rsidRDefault="00FA7F33" w:rsidP="00FA7F33">
      <w:pPr>
        <w:rPr>
          <w:rFonts w:cs="Arial"/>
        </w:rPr>
      </w:pPr>
      <w:r>
        <w:rPr>
          <w:rFonts w:cs="Arial"/>
        </w:rPr>
        <w:t>Multiple FSS receive AWLs will be permitted to overlap each other in any given area, but not to overlap WBB Tx AWLs (unless agreed between licensees). The mechanism for identifying which AWL licences are FSS, and hence can overlap, is proposed to be via a licence condition, outlined in the draft RALI MS47.</w:t>
      </w:r>
    </w:p>
    <w:p w14:paraId="3A5D9D7D" w14:textId="2D0A7048" w:rsidR="00AA5A24" w:rsidRDefault="00FA7F33" w:rsidP="00FA7F33">
      <w:r>
        <w:t>There were different views in the TLG on how FSS services could be incorporated into a single AWL framework, including whether more flexible channelling arrangements should be allowed for AWLs optimised to include FSS use.</w:t>
      </w:r>
    </w:p>
    <w:p w14:paraId="222F0978" w14:textId="32B3C189" w:rsidR="008B2035" w:rsidRDefault="008B2035" w:rsidP="00FA7F33">
      <w:r w:rsidRPr="008B2035">
        <w:t xml:space="preserve">The proposed AWL for FSS receivers </w:t>
      </w:r>
      <w:r>
        <w:t>was</w:t>
      </w:r>
      <w:r w:rsidRPr="008B2035">
        <w:t xml:space="preserve"> not supported by a number of satellite members as </w:t>
      </w:r>
      <w:r>
        <w:t xml:space="preserve">their view is that </w:t>
      </w:r>
      <w:r w:rsidRPr="008B2035">
        <w:t>it is the reverse of the first-in-time coordination method, which has been relied on for many years, in which case the first-in-time licensee has priority and new licensees have to find a way to minimise interference to the existing licence (especially an existing receive-only licence). The current apparatus licence (AL) arrangements for FSS earth receive stations works and so they support it remaining as the licensing methodology for FSS earth receive stations for the 3400-4200 MHz band under consideration in all areas of Australia.</w:t>
      </w:r>
    </w:p>
    <w:p w14:paraId="19BB48AE" w14:textId="7B1735FF" w:rsidR="00FA7F33" w:rsidRDefault="008B2035" w:rsidP="00FA7F33">
      <w:r>
        <w:t>If the ACMA proceeds with AWLs for FSS receivers, s</w:t>
      </w:r>
      <w:r w:rsidR="00FA7F33">
        <w:t>atellite operators generally would prefer flexible channelling/assigned bandwidth arrangements or felt that existing incumbents were already denying large areas in capital cities so enforcing a 10 MHz MCB for FSS was not necessary to reflect the additional denial caused by new, AWL based, FSS services.</w:t>
      </w:r>
      <w:r w:rsidR="00AA5A24">
        <w:t xml:space="preserve"> They subsequently suggested an approach </w:t>
      </w:r>
      <w:r w:rsidR="00F31222">
        <w:t>like</w:t>
      </w:r>
      <w:r w:rsidR="00AA5A24">
        <w:t xml:space="preserve"> that in the 26 GHz AWL framework, requesting licensing of a single HCIS level 00 cell only for each FSS station.</w:t>
      </w:r>
    </w:p>
    <w:p w14:paraId="70A46D25" w14:textId="6F4CE5F3" w:rsidR="00AA5A24" w:rsidRDefault="00FA7F33" w:rsidP="00FA7F33">
      <w:r>
        <w:t>It was AMTA’s view that a simplistic fixed MCB approach, without further consideration of FSS operating practicalities, was likely to be inefficient and cause considerable spectrum denial to AWL transmitters. They suggested requiring a</w:t>
      </w:r>
      <w:r w:rsidR="00887F61">
        <w:t>n</w:t>
      </w:r>
      <w:r>
        <w:t xml:space="preserve"> FSS AWL operator to licence the complete LNB bandwidth or the MCB, whichever is greater. It was also AMTA’s view that incumbent FSS should migrate to AWLs.</w:t>
      </w:r>
    </w:p>
    <w:p w14:paraId="40DFEF83" w14:textId="38D8866B" w:rsidR="00FA7F33" w:rsidRDefault="00AA5A24" w:rsidP="00FA7F33">
      <w:r>
        <w:t xml:space="preserve">At this time, the ACMA </w:t>
      </w:r>
      <w:r w:rsidR="005A0D8B">
        <w:t xml:space="preserve">staff preliminary </w:t>
      </w:r>
      <w:r>
        <w:t xml:space="preserve">view has not changed, but will continue to take input </w:t>
      </w:r>
      <w:r w:rsidR="00221A6A">
        <w:t>a</w:t>
      </w:r>
      <w:r>
        <w:t>head of finalising the technical framework for areas where AWLs for FSS are currently proposed (major regional and metropolitan areas)</w:t>
      </w:r>
      <w:r w:rsidR="00560C14">
        <w:t xml:space="preserve">. </w:t>
      </w:r>
      <w:r w:rsidR="00897E3C">
        <w:t xml:space="preserve">Parts of </w:t>
      </w:r>
      <w:r w:rsidR="007C3227">
        <w:t xml:space="preserve">the </w:t>
      </w:r>
      <w:r w:rsidR="00897E3C">
        <w:t xml:space="preserve">draft </w:t>
      </w:r>
      <w:r w:rsidR="007C3227">
        <w:t xml:space="preserve">AWL LCD and </w:t>
      </w:r>
      <w:r w:rsidR="00897E3C">
        <w:t>RALI MS47 specifically in relation to the future possible FSS receive AWLs have consequently been removed</w:t>
      </w:r>
      <w:r w:rsidR="006F0AAC">
        <w:t>, as they may change and would not be included in the formal consultation of the technical framework that would apply to remote areas.</w:t>
      </w:r>
    </w:p>
    <w:p w14:paraId="5B3571DB" w14:textId="77777777" w:rsidR="00FA7F33" w:rsidRPr="00FB61D7" w:rsidRDefault="00FA7F33" w:rsidP="00FA7F33"/>
    <w:p w14:paraId="5E27C2A2" w14:textId="77777777" w:rsidR="007C3227" w:rsidRDefault="007C3227">
      <w:pPr>
        <w:spacing w:after="160" w:line="259" w:lineRule="auto"/>
        <w:rPr>
          <w:rFonts w:cs="Arial"/>
          <w:b/>
          <w:bCs/>
          <w:iCs/>
          <w:sz w:val="28"/>
          <w:szCs w:val="28"/>
        </w:rPr>
      </w:pPr>
      <w:r>
        <w:br w:type="page"/>
      </w:r>
    </w:p>
    <w:p w14:paraId="2C5DD745" w14:textId="27E6D936" w:rsidR="00FA7F33" w:rsidRPr="00137121" w:rsidRDefault="00FA7F33" w:rsidP="00FA7F33">
      <w:pPr>
        <w:pStyle w:val="sub-heading"/>
      </w:pPr>
      <w:bookmarkStart w:id="71" w:name="_Toc94603295"/>
      <w:r>
        <w:lastRenderedPageBreak/>
        <w:t>Spectrum l</w:t>
      </w:r>
      <w:r w:rsidRPr="00137121">
        <w:t xml:space="preserve">icensed devices operating in the </w:t>
      </w:r>
      <w:r>
        <w:t>3400-3800 MHz range (geographic boundary management essential for remote)</w:t>
      </w:r>
      <w:bookmarkEnd w:id="71"/>
    </w:p>
    <w:p w14:paraId="27183D72" w14:textId="77777777" w:rsidR="00FA7F33" w:rsidRDefault="00FA7F33" w:rsidP="00FA7F33">
      <w:pPr>
        <w:rPr>
          <w:rFonts w:cs="Arial"/>
        </w:rPr>
      </w:pPr>
      <w:r>
        <w:t xml:space="preserve">It was originally proposed that the same mechanisms developed to manage interference between AWLs be adopted to manage interference between AWLs and 3.4 GHz spectrum licences. </w:t>
      </w:r>
      <w:r>
        <w:rPr>
          <w:rFonts w:cs="Arial"/>
        </w:rPr>
        <w:t>This would result in reciprocal interference management arrangements at the licence boundaries between AWL apparatus and spectrum licences.</w:t>
      </w:r>
    </w:p>
    <w:p w14:paraId="67FA0DE9" w14:textId="5E03560A" w:rsidR="00FA7F33" w:rsidRDefault="00FA7F33" w:rsidP="00FA7F33">
      <w:pPr>
        <w:rPr>
          <w:rFonts w:cs="Arial"/>
        </w:rPr>
      </w:pPr>
      <w:r>
        <w:rPr>
          <w:rFonts w:cs="Arial"/>
        </w:rPr>
        <w:t xml:space="preserve">After reviewing feedback in the TLG, ACMA </w:t>
      </w:r>
      <w:r w:rsidR="005A0D8B">
        <w:rPr>
          <w:rFonts w:cs="Arial"/>
        </w:rPr>
        <w:t xml:space="preserve">staff have </w:t>
      </w:r>
      <w:r w:rsidR="000F1F77">
        <w:rPr>
          <w:rFonts w:cs="Arial"/>
        </w:rPr>
        <w:t xml:space="preserve">explored, and is continuing </w:t>
      </w:r>
      <w:r w:rsidR="00F31222">
        <w:rPr>
          <w:rFonts w:cs="Arial"/>
        </w:rPr>
        <w:t>to</w:t>
      </w:r>
      <w:r w:rsidR="000F1F77">
        <w:rPr>
          <w:rFonts w:cs="Arial"/>
        </w:rPr>
        <w:t xml:space="preserve"> </w:t>
      </w:r>
      <w:r>
        <w:rPr>
          <w:rFonts w:cs="Arial"/>
        </w:rPr>
        <w:t>explor</w:t>
      </w:r>
      <w:r w:rsidR="000F1F77">
        <w:rPr>
          <w:rFonts w:cs="Arial"/>
        </w:rPr>
        <w:t>e,</w:t>
      </w:r>
      <w:r>
        <w:rPr>
          <w:rFonts w:cs="Arial"/>
        </w:rPr>
        <w:t xml:space="preserve"> a different method to manage co-channel interference between AWL and SL services. The intention of this new approach is to support unsynchronised operation between AWLs and SLs. </w:t>
      </w:r>
    </w:p>
    <w:p w14:paraId="7EF49921" w14:textId="77777777" w:rsidR="00FA7F33" w:rsidRDefault="00FA7F33" w:rsidP="00FA7F33">
      <w:pPr>
        <w:rPr>
          <w:rFonts w:cs="Arial"/>
        </w:rPr>
      </w:pPr>
      <w:r>
        <w:rPr>
          <w:rFonts w:cs="Arial"/>
        </w:rPr>
        <w:t xml:space="preserve">The existing spectrum licence DBC assumes synchronised use. Therefore, it considers interference from a proposed base station into a notional user terminal in an adjacent area. An assumption is also made that user terminals near a geographical boundary are pointing away from the adjacent area licence, so a lower receiver gain is assumed for the calculation. </w:t>
      </w:r>
    </w:p>
    <w:p w14:paraId="08A38000" w14:textId="77777777" w:rsidR="00FA7F33" w:rsidRDefault="00FA7F33" w:rsidP="00FA7F33">
      <w:pPr>
        <w:rPr>
          <w:rFonts w:cs="Arial"/>
        </w:rPr>
      </w:pPr>
      <w:r>
        <w:rPr>
          <w:rFonts w:cs="Arial"/>
        </w:rPr>
        <w:t xml:space="preserve">To support possible unsynchronised use, interference from a base station to another base station would need to be assumed. This would result in a higher antenna height and gain being applied to the notional receiver used in DBC calculations. It is also proposed that where there is agreement, AWLs could be licensed closer or adjacent to an existing spectrum licence boundary. Such a DBC currently exists in RALI FX19 and is applied to PMP licences issued in the 3.6 GHz band. </w:t>
      </w:r>
    </w:p>
    <w:p w14:paraId="037240F8" w14:textId="055C63F5" w:rsidR="00FA7F33" w:rsidRDefault="00FA7F33" w:rsidP="000F1F77">
      <w:r>
        <w:t xml:space="preserve">Views </w:t>
      </w:r>
      <w:r w:rsidR="000F1F77">
        <w:t xml:space="preserve">were </w:t>
      </w:r>
      <w:r>
        <w:t>sought around an alternate DBC that could be used between AWL and SL geographic boundaries, to support different TDD frame structures between the SL and AWL services, and how it should be defined.</w:t>
      </w:r>
      <w:r w:rsidR="000F1F77">
        <w:t xml:space="preserve"> Most telco members supported a more stringent, “asymmetrical” DBC for interference from AWLs into SL services and to retain the existing fallback frame structure described </w:t>
      </w:r>
      <w:r w:rsidR="007A290E">
        <w:t>in</w:t>
      </w:r>
      <w:r w:rsidR="000F1F77">
        <w:t xml:space="preserve"> the 3.4 GHz spectrum licensing technical framework for both SLs</w:t>
      </w:r>
      <w:r w:rsidR="00BA0F8C">
        <w:t xml:space="preserve">, </w:t>
      </w:r>
      <w:r w:rsidR="000F1F77">
        <w:t>AWLs</w:t>
      </w:r>
      <w:r w:rsidR="00BA0F8C">
        <w:t xml:space="preserve"> and between them</w:t>
      </w:r>
      <w:r w:rsidR="000F1F77">
        <w:t>.</w:t>
      </w:r>
      <w:r w:rsidR="00E10127">
        <w:t xml:space="preserve"> DB telecommunications view was that measures </w:t>
      </w:r>
      <w:r w:rsidR="003750F5">
        <w:t>like</w:t>
      </w:r>
      <w:r w:rsidR="00E10127">
        <w:t xml:space="preserve"> those in RALI FX19 could be adapted to the AWL/SL boundary DBC. Optus and Ericsson requested more work to be conducted, including studies, to resolve SL&lt;&gt;AWL coordination issues.</w:t>
      </w:r>
      <w:r w:rsidR="00E91990">
        <w:t xml:space="preserve"> Pivotel did not see major issues with AWLs being able to synchronise together in major metropolitan areas</w:t>
      </w:r>
      <w:r w:rsidR="00432A14">
        <w:t>. Swoop favoured imposing sync requirements on AWL in AWL/SL boundaries</w:t>
      </w:r>
      <w:r w:rsidR="007C011F">
        <w:t xml:space="preserve"> and more broadly in low demand areas</w:t>
      </w:r>
      <w:r w:rsidR="00432A14">
        <w:t>.</w:t>
      </w:r>
    </w:p>
    <w:p w14:paraId="693D28D9" w14:textId="6E087D92" w:rsidR="00862A64" w:rsidRPr="00F31222" w:rsidRDefault="007A4B97" w:rsidP="000F1F77">
      <w:r w:rsidRPr="00F31222">
        <w:t>The ACMA will consider these views further in relation to other geographic areas, but for the priority remote areas</w:t>
      </w:r>
      <w:r w:rsidR="005A0D8B" w:rsidRPr="007F68A0">
        <w:t>, the ACMA staff preliminary view is</w:t>
      </w:r>
      <w:r w:rsidRPr="00F31222">
        <w:t xml:space="preserve"> to:</w:t>
      </w:r>
    </w:p>
    <w:p w14:paraId="0B8201A9" w14:textId="77777777" w:rsidR="00682845" w:rsidRPr="00F31222" w:rsidRDefault="00682845" w:rsidP="00682845">
      <w:pPr>
        <w:pStyle w:val="ListParagraph"/>
        <w:numPr>
          <w:ilvl w:val="0"/>
          <w:numId w:val="46"/>
        </w:numPr>
      </w:pPr>
      <w:r w:rsidRPr="00A32F8D">
        <w:t>Re-arrange information in draft RALI MS47 to clarify that a different DBC applies for AWL into SL compared with other boundary cases.</w:t>
      </w:r>
    </w:p>
    <w:p w14:paraId="13856CEB" w14:textId="44734FCC" w:rsidR="007A4B97" w:rsidRPr="00F31222" w:rsidRDefault="00C45C0C" w:rsidP="007F68A0">
      <w:pPr>
        <w:pStyle w:val="ListParagraph"/>
        <w:numPr>
          <w:ilvl w:val="0"/>
          <w:numId w:val="46"/>
        </w:numPr>
        <w:spacing w:before="240"/>
      </w:pPr>
      <w:r w:rsidRPr="00F31222">
        <w:t>maintain the same fallback synchronisation scheme for AWLs and SLs</w:t>
      </w:r>
      <w:r w:rsidR="007A290E" w:rsidRPr="007A290E">
        <w:t xml:space="preserve"> </w:t>
      </w:r>
      <w:r w:rsidR="007A290E">
        <w:t>(a</w:t>
      </w:r>
      <w:r w:rsidR="007A290E" w:rsidRPr="00F31222">
        <w:t>s there were no dissenting view</w:t>
      </w:r>
      <w:r w:rsidR="007A290E">
        <w:t>s)</w:t>
      </w:r>
      <w:r w:rsidRPr="00F31222">
        <w:t>.</w:t>
      </w:r>
    </w:p>
    <w:p w14:paraId="7E8DDB8D" w14:textId="16C91BE1" w:rsidR="00C45C0C" w:rsidRPr="00F31222" w:rsidRDefault="00C45C0C" w:rsidP="00C45C0C">
      <w:pPr>
        <w:pStyle w:val="ListParagraph"/>
        <w:numPr>
          <w:ilvl w:val="0"/>
          <w:numId w:val="46"/>
        </w:numPr>
      </w:pPr>
      <w:r w:rsidRPr="00F31222">
        <w:t xml:space="preserve">Propose a revised assignment priority scheme (see later section) to encourage </w:t>
      </w:r>
      <w:r w:rsidR="007A290E" w:rsidRPr="00F31222">
        <w:t xml:space="preserve">contiguity </w:t>
      </w:r>
      <w:r w:rsidR="007A290E">
        <w:t xml:space="preserve">of </w:t>
      </w:r>
      <w:r w:rsidRPr="00F31222">
        <w:t>spectrum holding</w:t>
      </w:r>
      <w:r w:rsidR="007A290E">
        <w:t>s</w:t>
      </w:r>
      <w:r w:rsidRPr="00F31222">
        <w:t xml:space="preserve"> across SL/AWL geographic boundaries.</w:t>
      </w:r>
    </w:p>
    <w:p w14:paraId="513309B6" w14:textId="77777777" w:rsidR="00FA7F33" w:rsidRPr="00137121" w:rsidRDefault="00FA7F33" w:rsidP="00FA7F33">
      <w:pPr>
        <w:pStyle w:val="sub-heading"/>
      </w:pPr>
      <w:bookmarkStart w:id="72" w:name="_Toc94603296"/>
      <w:r>
        <w:lastRenderedPageBreak/>
        <w:t>FSS AL receive</w:t>
      </w:r>
      <w:r w:rsidRPr="00137121">
        <w:t xml:space="preserve"> devices operating in the </w:t>
      </w:r>
      <w:r>
        <w:t>3400-4200 MHz range (essential for remote)</w:t>
      </w:r>
      <w:bookmarkEnd w:id="72"/>
    </w:p>
    <w:p w14:paraId="2E087DFC" w14:textId="33EADA3A" w:rsidR="00FA7F33" w:rsidRDefault="00FA7F33" w:rsidP="00FA7F33">
      <w:pPr>
        <w:rPr>
          <w:rFonts w:cs="Arial"/>
        </w:rPr>
      </w:pPr>
      <w:r>
        <w:rPr>
          <w:rFonts w:cs="Arial"/>
        </w:rPr>
        <w:t xml:space="preserve">WBB AWL licensees will need to protect any incumbent FSS earth receive AL services to the same requirements as that in the </w:t>
      </w:r>
      <w:hyperlink r:id="rId96" w:tgtFrame="_blank" w:history="1">
        <w:r w:rsidRPr="009F7F93">
          <w:rPr>
            <w:rStyle w:val="Hyperlink"/>
            <w:rFonts w:cs="Arial"/>
            <w:sz w:val="21"/>
            <w:szCs w:val="21"/>
          </w:rPr>
          <w:t xml:space="preserve">Radiocommunications Advisory Guidelines (Managing Interference from Spectrum Licensed Transmitters </w:t>
        </w:r>
        <w:r w:rsidRPr="009F7F93">
          <w:rPr>
            <w:rStyle w:val="Hyperlink"/>
            <w:rFonts w:cs="Arial" w:hint="eastAsia"/>
            <w:sz w:val="21"/>
            <w:szCs w:val="21"/>
          </w:rPr>
          <w:t>—</w:t>
        </w:r>
        <w:r w:rsidRPr="009F7F93">
          <w:rPr>
            <w:rStyle w:val="Hyperlink"/>
            <w:rFonts w:cs="Arial"/>
            <w:sz w:val="21"/>
            <w:szCs w:val="21"/>
          </w:rPr>
          <w:t xml:space="preserve"> 3.4 GHz Band) 2015</w:t>
        </w:r>
      </w:hyperlink>
      <w:r>
        <w:rPr>
          <w:rFonts w:cs="Arial"/>
        </w:rPr>
        <w:t xml:space="preserve"> (“Tx</w:t>
      </w:r>
      <w:r w:rsidR="00AE7624">
        <w:rPr>
          <w:rFonts w:cs="Arial"/>
        </w:rPr>
        <w:t xml:space="preserve"> </w:t>
      </w:r>
      <w:r>
        <w:rPr>
          <w:rFonts w:cs="Arial"/>
        </w:rPr>
        <w:t xml:space="preserve">RAG”). Any future AWL and licensed FSS services would then need to be coordinated on a first-in-time basis using the protection criteria from the </w:t>
      </w:r>
      <w:r w:rsidR="007A290E">
        <w:rPr>
          <w:rFonts w:cs="Arial"/>
        </w:rPr>
        <w:t xml:space="preserve">Tx </w:t>
      </w:r>
      <w:r>
        <w:rPr>
          <w:rFonts w:cs="Arial"/>
        </w:rPr>
        <w:t xml:space="preserve">RAG. </w:t>
      </w:r>
    </w:p>
    <w:p w14:paraId="16D5F17C" w14:textId="1F6E18DA" w:rsidR="00FA7F33" w:rsidRDefault="00FA7F33" w:rsidP="00FA7F33">
      <w:pPr>
        <w:rPr>
          <w:rFonts w:cs="Arial"/>
        </w:rPr>
      </w:pPr>
      <w:r>
        <w:rPr>
          <w:rFonts w:cs="Arial"/>
        </w:rPr>
        <w:t xml:space="preserve">The criteria in the </w:t>
      </w:r>
      <w:r w:rsidR="00AE7624">
        <w:rPr>
          <w:rFonts w:cs="Arial"/>
        </w:rPr>
        <w:t xml:space="preserve">Tx </w:t>
      </w:r>
      <w:r>
        <w:rPr>
          <w:rFonts w:cs="Arial"/>
        </w:rPr>
        <w:t xml:space="preserve">RAG is also used to coordinate new FSS ALs. New FSS ALs can then expect the level of protection detailed in the </w:t>
      </w:r>
      <w:r w:rsidR="00AE7624">
        <w:rPr>
          <w:rFonts w:cs="Arial"/>
        </w:rPr>
        <w:t xml:space="preserve">Tx </w:t>
      </w:r>
      <w:r>
        <w:rPr>
          <w:rFonts w:cs="Arial"/>
        </w:rPr>
        <w:t xml:space="preserve">RAG when new devices are deployed under an AWL. Given apparatus and spectrum licensed WBB arrangements are being expanded to cover the entire 3400-4000 MHz band, the ACMA </w:t>
      </w:r>
      <w:r w:rsidR="00764F8C">
        <w:rPr>
          <w:rFonts w:cs="Arial"/>
        </w:rPr>
        <w:t xml:space="preserve">sought </w:t>
      </w:r>
      <w:r>
        <w:rPr>
          <w:rFonts w:cs="Arial"/>
        </w:rPr>
        <w:t xml:space="preserve">advice </w:t>
      </w:r>
      <w:r w:rsidR="00335161">
        <w:rPr>
          <w:rFonts w:cs="Arial"/>
        </w:rPr>
        <w:t>from</w:t>
      </w:r>
      <w:r>
        <w:rPr>
          <w:rFonts w:cs="Arial"/>
        </w:rPr>
        <w:t xml:space="preserve"> the TLG on whether the criteria in the </w:t>
      </w:r>
      <w:r w:rsidR="00AE7624">
        <w:rPr>
          <w:rFonts w:cs="Arial"/>
        </w:rPr>
        <w:t xml:space="preserve">Tx </w:t>
      </w:r>
      <w:r>
        <w:rPr>
          <w:rFonts w:cs="Arial"/>
        </w:rPr>
        <w:t>RAG is still appropriate.</w:t>
      </w:r>
    </w:p>
    <w:p w14:paraId="3489BD7F" w14:textId="4E99E2B8" w:rsidR="00AA5A24" w:rsidRDefault="00AA5A24" w:rsidP="00FA7F33">
      <w:pPr>
        <w:rPr>
          <w:rFonts w:cs="Arial"/>
        </w:rPr>
      </w:pPr>
      <w:r>
        <w:rPr>
          <w:rFonts w:cs="Arial"/>
        </w:rPr>
        <w:t>Satellite operators provided a submission proposing</w:t>
      </w:r>
      <w:r w:rsidR="00764F8C">
        <w:rPr>
          <w:rFonts w:cs="Arial"/>
        </w:rPr>
        <w:t>, and providing supporting evidence for,</w:t>
      </w:r>
      <w:r>
        <w:rPr>
          <w:rFonts w:cs="Arial"/>
        </w:rPr>
        <w:t xml:space="preserve"> changed values to protect FSS receive devices under the </w:t>
      </w:r>
      <w:r w:rsidR="00AE7624">
        <w:rPr>
          <w:rFonts w:cs="Arial"/>
        </w:rPr>
        <w:t>Tx</w:t>
      </w:r>
      <w:r>
        <w:rPr>
          <w:rFonts w:cs="Arial"/>
        </w:rPr>
        <w:t xml:space="preserve"> RAG (and from WBB AWL devices by reference as is currently proposed). The ACMA </w:t>
      </w:r>
      <w:r w:rsidR="00697D4B">
        <w:rPr>
          <w:rFonts w:cs="Arial"/>
        </w:rPr>
        <w:t xml:space="preserve">staff preliminary </w:t>
      </w:r>
      <w:r>
        <w:rPr>
          <w:rFonts w:cs="Arial"/>
        </w:rPr>
        <w:t xml:space="preserve">view, </w:t>
      </w:r>
      <w:r w:rsidR="00764F8C">
        <w:rPr>
          <w:rFonts w:cs="Arial"/>
        </w:rPr>
        <w:t>currently</w:t>
      </w:r>
      <w:r>
        <w:rPr>
          <w:rFonts w:cs="Arial"/>
        </w:rPr>
        <w:t xml:space="preserve">, is that the </w:t>
      </w:r>
      <w:r w:rsidR="00764F8C">
        <w:rPr>
          <w:rFonts w:cs="Arial"/>
        </w:rPr>
        <w:t>existing</w:t>
      </w:r>
      <w:r>
        <w:rPr>
          <w:rFonts w:cs="Arial"/>
        </w:rPr>
        <w:t xml:space="preserve"> </w:t>
      </w:r>
      <w:r w:rsidR="00AE7624">
        <w:rPr>
          <w:rFonts w:cs="Arial"/>
        </w:rPr>
        <w:t>Tx</w:t>
      </w:r>
      <w:r>
        <w:rPr>
          <w:rFonts w:cs="Arial"/>
        </w:rPr>
        <w:t xml:space="preserve"> RAG clauses have been operating successfully in dense spectrum licensed areas in the 3.4-3.7 GHz range, both in relation to the relocation period and </w:t>
      </w:r>
      <w:r w:rsidR="00AE7624">
        <w:rPr>
          <w:rFonts w:cs="Arial"/>
        </w:rPr>
        <w:t xml:space="preserve">in </w:t>
      </w:r>
      <w:r>
        <w:rPr>
          <w:rFonts w:cs="Arial"/>
        </w:rPr>
        <w:t>ongoing coordination. Given that the initial remote allocation i</w:t>
      </w:r>
      <w:r w:rsidR="00764F8C">
        <w:rPr>
          <w:rFonts w:cs="Arial"/>
        </w:rPr>
        <w:t xml:space="preserve">s a generally lower density area, we do not propose to revise the </w:t>
      </w:r>
      <w:r w:rsidR="007A290E">
        <w:rPr>
          <w:rFonts w:cs="Arial"/>
        </w:rPr>
        <w:t>T</w:t>
      </w:r>
      <w:r w:rsidR="00764F8C">
        <w:rPr>
          <w:rFonts w:cs="Arial"/>
        </w:rPr>
        <w:t>x</w:t>
      </w:r>
      <w:r w:rsidR="007A290E">
        <w:rPr>
          <w:rFonts w:cs="Arial"/>
        </w:rPr>
        <w:t> </w:t>
      </w:r>
      <w:r w:rsidR="00764F8C">
        <w:rPr>
          <w:rFonts w:cs="Arial"/>
        </w:rPr>
        <w:t xml:space="preserve">RAG clauses in relation to FSS at this time. We will consider the input and further inputs in consideration of revising the </w:t>
      </w:r>
      <w:r w:rsidR="00AE7624">
        <w:rPr>
          <w:rFonts w:cs="Arial"/>
        </w:rPr>
        <w:t>Tx</w:t>
      </w:r>
      <w:r w:rsidR="00764F8C">
        <w:rPr>
          <w:rFonts w:cs="Arial"/>
        </w:rPr>
        <w:t xml:space="preserve"> RAG for the future allocations in other geographic areas.</w:t>
      </w:r>
    </w:p>
    <w:p w14:paraId="2486D21C" w14:textId="2BDA3D32" w:rsidR="00F17CF8" w:rsidRDefault="00F17CF8" w:rsidP="00FA7F33">
      <w:pPr>
        <w:rPr>
          <w:rFonts w:cs="Arial"/>
        </w:rPr>
      </w:pPr>
      <w:r>
        <w:rPr>
          <w:rFonts w:cs="Arial"/>
        </w:rPr>
        <w:t xml:space="preserve">Some </w:t>
      </w:r>
      <w:r w:rsidR="00A05D54">
        <w:rPr>
          <w:rFonts w:cs="Arial"/>
        </w:rPr>
        <w:t xml:space="preserve">other </w:t>
      </w:r>
      <w:r>
        <w:rPr>
          <w:rFonts w:cs="Arial"/>
        </w:rPr>
        <w:t>members had the view that more work was required to examine how best to protect FSS services from AWLs</w:t>
      </w:r>
      <w:r w:rsidR="00CE123D">
        <w:rPr>
          <w:rFonts w:cs="Arial"/>
        </w:rPr>
        <w:t xml:space="preserve">, such as proposing that a FSS AWL takes out a bandwidth equal to the entire </w:t>
      </w:r>
      <w:r w:rsidR="00AE7624">
        <w:rPr>
          <w:rFonts w:cs="Arial"/>
        </w:rPr>
        <w:t xml:space="preserve">(filtered) </w:t>
      </w:r>
      <w:r w:rsidR="00CE123D">
        <w:rPr>
          <w:rFonts w:cs="Arial"/>
        </w:rPr>
        <w:t xml:space="preserve">LNB bandwidth. </w:t>
      </w:r>
      <w:r w:rsidR="00A05D54">
        <w:rPr>
          <w:rFonts w:cs="Arial"/>
        </w:rPr>
        <w:t xml:space="preserve">As </w:t>
      </w:r>
      <w:r w:rsidR="00CE123D">
        <w:rPr>
          <w:rFonts w:cs="Arial"/>
        </w:rPr>
        <w:t xml:space="preserve">AWLs for FSS are not currently being proposed for remote areas, </w:t>
      </w:r>
      <w:r w:rsidR="00A05D54">
        <w:rPr>
          <w:rFonts w:cs="Arial"/>
        </w:rPr>
        <w:t xml:space="preserve">the ACMA </w:t>
      </w:r>
      <w:r w:rsidR="00697D4B">
        <w:rPr>
          <w:rFonts w:cs="Arial"/>
        </w:rPr>
        <w:t xml:space="preserve">staff current preliminary </w:t>
      </w:r>
      <w:r w:rsidR="00A05D54">
        <w:rPr>
          <w:rFonts w:cs="Arial"/>
        </w:rPr>
        <w:t xml:space="preserve">view is not to change proposed arrangements and maintain the protections in the </w:t>
      </w:r>
      <w:r w:rsidR="00AE7624">
        <w:rPr>
          <w:rFonts w:cs="Arial"/>
        </w:rPr>
        <w:t xml:space="preserve">Tx </w:t>
      </w:r>
      <w:r w:rsidR="00A05D54">
        <w:rPr>
          <w:rFonts w:cs="Arial"/>
        </w:rPr>
        <w:t>RAG which are also reference</w:t>
      </w:r>
      <w:r w:rsidR="0073619E">
        <w:rPr>
          <w:rFonts w:cs="Arial"/>
        </w:rPr>
        <w:t>d</w:t>
      </w:r>
      <w:r w:rsidR="00A05D54">
        <w:rPr>
          <w:rFonts w:cs="Arial"/>
        </w:rPr>
        <w:t xml:space="preserve"> in the proposed AWL technical framework.</w:t>
      </w:r>
      <w:r w:rsidR="003D1807">
        <w:rPr>
          <w:rFonts w:cs="Arial"/>
        </w:rPr>
        <w:t xml:space="preserve"> </w:t>
      </w:r>
    </w:p>
    <w:p w14:paraId="4CC64AF6" w14:textId="77777777" w:rsidR="00FA7F33" w:rsidRPr="00137121" w:rsidRDefault="00FA7F33" w:rsidP="00FA7F33">
      <w:pPr>
        <w:pStyle w:val="sub-heading"/>
      </w:pPr>
      <w:bookmarkStart w:id="73" w:name="_Toc94603297"/>
      <w:r>
        <w:t>PTP AL receive</w:t>
      </w:r>
      <w:r w:rsidRPr="00137121">
        <w:t xml:space="preserve"> devices operating in the </w:t>
      </w:r>
      <w:r>
        <w:t>3400-4200 MHz range (essential for remote)</w:t>
      </w:r>
      <w:bookmarkEnd w:id="73"/>
    </w:p>
    <w:p w14:paraId="461B4D63" w14:textId="07A7ED34" w:rsidR="009641D7" w:rsidRDefault="00FA7F33" w:rsidP="00FA7F33">
      <w:pPr>
        <w:rPr>
          <w:rFonts w:cs="Arial"/>
        </w:rPr>
      </w:pPr>
      <w:r>
        <w:rPr>
          <w:rFonts w:cs="Arial"/>
        </w:rPr>
        <w:t xml:space="preserve">WBB AWL licensees will need to protect any existing fixed (PTP) AL services to the same </w:t>
      </w:r>
      <w:r w:rsidR="00EF5047">
        <w:rPr>
          <w:rFonts w:cs="Arial"/>
        </w:rPr>
        <w:t xml:space="preserve">effective </w:t>
      </w:r>
      <w:r>
        <w:rPr>
          <w:rFonts w:cs="Arial"/>
        </w:rPr>
        <w:t xml:space="preserve">level of protection as that stated in the </w:t>
      </w:r>
      <w:r w:rsidR="00AE7624">
        <w:rPr>
          <w:rFonts w:cs="Arial"/>
        </w:rPr>
        <w:t xml:space="preserve">Tx </w:t>
      </w:r>
      <w:r>
        <w:rPr>
          <w:rFonts w:cs="Arial"/>
        </w:rPr>
        <w:t>RAG (the RAG reference</w:t>
      </w:r>
      <w:r w:rsidR="004317AA">
        <w:rPr>
          <w:rFonts w:cs="Arial"/>
        </w:rPr>
        <w:t>s</w:t>
      </w:r>
      <w:r>
        <w:rPr>
          <w:rFonts w:cs="Arial"/>
        </w:rPr>
        <w:t xml:space="preserve"> RALI FX</w:t>
      </w:r>
      <w:r w:rsidR="00DD1CE6">
        <w:rPr>
          <w:rFonts w:cs="Arial"/>
        </w:rPr>
        <w:t>0</w:t>
      </w:r>
      <w:r>
        <w:rPr>
          <w:rFonts w:cs="Arial"/>
        </w:rPr>
        <w:t>3 for the protection criteria). Any future AWL and licensed PTP services would then need to be coordinated on a first-in-time basis using the relevant protection criteria for each licence type.</w:t>
      </w:r>
    </w:p>
    <w:p w14:paraId="6E36A292" w14:textId="625941B0" w:rsidR="00FA7F33" w:rsidRDefault="009641D7" w:rsidP="00FA7F33">
      <w:pPr>
        <w:rPr>
          <w:rFonts w:cs="Arial"/>
        </w:rPr>
      </w:pPr>
      <w:r>
        <w:rPr>
          <w:rFonts w:cs="Arial"/>
        </w:rPr>
        <w:t>To provide clarity. draft RALI MS47 has been modified to include elements from RALI</w:t>
      </w:r>
      <w:r w:rsidR="001A68AC">
        <w:rPr>
          <w:rFonts w:cs="Arial"/>
        </w:rPr>
        <w:t xml:space="preserve"> </w:t>
      </w:r>
      <w:r>
        <w:rPr>
          <w:rFonts w:cs="Arial"/>
        </w:rPr>
        <w:t>MS39 to determine AWL coverage area and fixed interference area.</w:t>
      </w:r>
    </w:p>
    <w:p w14:paraId="5DBBACE5" w14:textId="77777777" w:rsidR="00FA7F33" w:rsidRPr="00137121" w:rsidRDefault="00FA7F33" w:rsidP="00FA7F33">
      <w:pPr>
        <w:pStyle w:val="sub-heading"/>
      </w:pPr>
      <w:bookmarkStart w:id="74" w:name="_Toc94603298"/>
      <w:r>
        <w:t>PMP AL receive</w:t>
      </w:r>
      <w:r w:rsidRPr="00137121">
        <w:t xml:space="preserve"> devices operating in the </w:t>
      </w:r>
      <w:r>
        <w:t>3400-3700 MHz range (essential for remote)</w:t>
      </w:r>
      <w:bookmarkEnd w:id="74"/>
    </w:p>
    <w:p w14:paraId="03E4AADB" w14:textId="77777777" w:rsidR="00FA7F33" w:rsidRDefault="00FA7F33" w:rsidP="00FA7F33">
      <w:pPr>
        <w:rPr>
          <w:rFonts w:cs="Arial"/>
        </w:rPr>
      </w:pPr>
      <w:r>
        <w:rPr>
          <w:rFonts w:cs="Arial"/>
        </w:rPr>
        <w:t xml:space="preserve">AWL licensees will need to protect any existing PMP AL services as if they were operating unsynchronised. This is to ensure existing services are not impacted by new AWL licences. </w:t>
      </w:r>
    </w:p>
    <w:p w14:paraId="767B48FB" w14:textId="2DD99165" w:rsidR="00FA7F33" w:rsidRDefault="00FA7F33" w:rsidP="00FA7F33">
      <w:pPr>
        <w:rPr>
          <w:rFonts w:cs="Arial"/>
        </w:rPr>
      </w:pPr>
      <w:r>
        <w:rPr>
          <w:rFonts w:cs="Arial"/>
        </w:rPr>
        <w:t xml:space="preserve">As there are likely to be several different </w:t>
      </w:r>
      <w:r w:rsidR="001A68AC">
        <w:rPr>
          <w:rFonts w:cs="Arial"/>
        </w:rPr>
        <w:t>time division duplex (</w:t>
      </w:r>
      <w:r>
        <w:rPr>
          <w:rFonts w:cs="Arial"/>
        </w:rPr>
        <w:t>TDD</w:t>
      </w:r>
      <w:r w:rsidR="001A68AC">
        <w:rPr>
          <w:rFonts w:cs="Arial"/>
        </w:rPr>
        <w:t>)</w:t>
      </w:r>
      <w:r>
        <w:rPr>
          <w:rFonts w:cs="Arial"/>
        </w:rPr>
        <w:t xml:space="preserve"> frame structures and technologies in use by incumbent PMP licensees, the draft protection criteria in AWL RALI MS47 proposes that AWL WBB services will need to coordinate with incumbent PMP when within 15 MHz of </w:t>
      </w:r>
      <w:r w:rsidR="000E7470">
        <w:rPr>
          <w:rFonts w:cs="Arial"/>
        </w:rPr>
        <w:t>an assigned</w:t>
      </w:r>
      <w:r>
        <w:rPr>
          <w:rFonts w:cs="Arial"/>
        </w:rPr>
        <w:t xml:space="preserve"> licence within a specified </w:t>
      </w:r>
      <w:r>
        <w:rPr>
          <w:rFonts w:cs="Arial"/>
        </w:rPr>
        <w:lastRenderedPageBreak/>
        <w:t xml:space="preserve">geographic proximity.  Beyond the 15 MHz separation, a notification process will also be proposed. This will provide time for PMP licensees to install RF filters to their systems if required to manage adjacent channel interference. </w:t>
      </w:r>
    </w:p>
    <w:p w14:paraId="72ABB293" w14:textId="0EABA171" w:rsidR="00FA7F33" w:rsidRDefault="00FA7F33" w:rsidP="00FA7F33">
      <w:pPr>
        <w:rPr>
          <w:rFonts w:cs="Arial"/>
        </w:rPr>
      </w:pPr>
      <w:r>
        <w:rPr>
          <w:rFonts w:cs="Arial"/>
        </w:rPr>
        <w:t xml:space="preserve">It is intended that once AWL arrangements are in place, no new PMP licences </w:t>
      </w:r>
      <w:r w:rsidR="001A68AC">
        <w:rPr>
          <w:rFonts w:cs="Arial"/>
        </w:rPr>
        <w:t xml:space="preserve">would </w:t>
      </w:r>
      <w:r>
        <w:rPr>
          <w:rFonts w:cs="Arial"/>
        </w:rPr>
        <w:t xml:space="preserve">be issued. </w:t>
      </w:r>
    </w:p>
    <w:p w14:paraId="3FEEB919" w14:textId="77777777" w:rsidR="00FA7F33" w:rsidRPr="00137121" w:rsidRDefault="00FA7F33" w:rsidP="00FA7F33">
      <w:pPr>
        <w:pStyle w:val="sub-heading"/>
      </w:pPr>
      <w:bookmarkStart w:id="75" w:name="_Toc94603299"/>
      <w:bookmarkStart w:id="76" w:name="_Hlk72765444"/>
      <w:r>
        <w:t>Radiolocation services</w:t>
      </w:r>
      <w:r w:rsidRPr="00137121">
        <w:t xml:space="preserve"> operating in the </w:t>
      </w:r>
      <w:r>
        <w:t>3100-3600 MHz range (essential for remote)</w:t>
      </w:r>
      <w:bookmarkEnd w:id="75"/>
    </w:p>
    <w:p w14:paraId="443FCC1F" w14:textId="35896477" w:rsidR="00FA7F33" w:rsidRDefault="00FA7F33" w:rsidP="00FA7F33">
      <w:pPr>
        <w:rPr>
          <w:rFonts w:cs="Arial"/>
        </w:rPr>
      </w:pPr>
      <w:r>
        <w:rPr>
          <w:rFonts w:cs="Arial"/>
        </w:rPr>
        <w:t xml:space="preserve">AWL licensees will need to comply with the </w:t>
      </w:r>
      <w:r w:rsidR="00AE7624">
        <w:rPr>
          <w:rFonts w:cs="Arial"/>
        </w:rPr>
        <w:t xml:space="preserve">Tx </w:t>
      </w:r>
      <w:r>
        <w:rPr>
          <w:rFonts w:cs="Arial"/>
        </w:rPr>
        <w:t xml:space="preserve">RAG with regards to radiolocation services (Part 6) and with the section 3.2(4) </w:t>
      </w:r>
      <w:r w:rsidRPr="000F524B">
        <w:rPr>
          <w:rFonts w:cs="Arial"/>
          <w:szCs w:val="20"/>
        </w:rPr>
        <w:t xml:space="preserve">of the </w:t>
      </w:r>
      <w:hyperlink r:id="rId97" w:history="1">
        <w:r w:rsidRPr="009F7F93">
          <w:rPr>
            <w:rStyle w:val="Hyperlink"/>
            <w:rFonts w:cs="Arial"/>
            <w:szCs w:val="20"/>
          </w:rPr>
          <w:t>Radiocommunications Advisory Guidelines (Managing Interference to Spectrum Licensed Receivers – 3.4 GHz Band) 2015</w:t>
        </w:r>
      </w:hyperlink>
      <w:r w:rsidRPr="009F7F93">
        <w:rPr>
          <w:rFonts w:cs="Arial"/>
          <w:szCs w:val="20"/>
        </w:rPr>
        <w:t xml:space="preserve"> (</w:t>
      </w:r>
      <w:r>
        <w:rPr>
          <w:rFonts w:cs="Arial"/>
          <w:sz w:val="19"/>
          <w:szCs w:val="19"/>
        </w:rPr>
        <w:t>“</w:t>
      </w:r>
      <w:r w:rsidR="00727477">
        <w:rPr>
          <w:rFonts w:cs="Arial"/>
          <w:sz w:val="19"/>
          <w:szCs w:val="19"/>
        </w:rPr>
        <w:t xml:space="preserve">Rx </w:t>
      </w:r>
      <w:r>
        <w:rPr>
          <w:rFonts w:cs="Arial"/>
          <w:sz w:val="19"/>
          <w:szCs w:val="19"/>
        </w:rPr>
        <w:t>RAG”</w:t>
      </w:r>
      <w:r>
        <w:rPr>
          <w:rFonts w:cs="Arial"/>
        </w:rPr>
        <w:t>).</w:t>
      </w:r>
    </w:p>
    <w:p w14:paraId="18040EB9" w14:textId="56FF83C2" w:rsidR="00016E6B" w:rsidRDefault="00FA7F33" w:rsidP="00016E6B">
      <w:r>
        <w:rPr>
          <w:rFonts w:cs="Arial"/>
        </w:rPr>
        <w:t>No views in the TLG were expressed about the following issue</w:t>
      </w:r>
      <w:r w:rsidR="00B36BAD">
        <w:rPr>
          <w:rFonts w:cs="Arial"/>
        </w:rPr>
        <w:t xml:space="preserve"> that </w:t>
      </w:r>
      <w:r w:rsidR="00F07349">
        <w:rPr>
          <w:rFonts w:cs="Arial"/>
        </w:rPr>
        <w:t>requested</w:t>
      </w:r>
      <w:r w:rsidR="00B36BAD">
        <w:rPr>
          <w:rFonts w:cs="Arial"/>
        </w:rPr>
        <w:t xml:space="preserve"> introducing a minimum receiver blocking performance</w:t>
      </w:r>
      <w:r w:rsidR="00016E6B">
        <w:t>:</w:t>
      </w:r>
    </w:p>
    <w:p w14:paraId="6F6E89CB" w14:textId="4557136C" w:rsidR="00FA7F33" w:rsidRDefault="00FA7F33" w:rsidP="007F68A0">
      <w:pPr>
        <w:ind w:left="720"/>
      </w:pPr>
      <w:r>
        <w:t xml:space="preserve">For interference management purposes with radiolocation services, should a minimum receiver blocking performance below 3400 MHz be defined for devices operating under AWLs (i.e. this would apply to FSS and LA WBB)? </w:t>
      </w:r>
    </w:p>
    <w:p w14:paraId="16E1C0D7" w14:textId="5BCBE822" w:rsidR="00016E6B" w:rsidRDefault="00016E6B" w:rsidP="00016E6B">
      <w:pPr>
        <w:rPr>
          <w:rFonts w:cs="Arial"/>
        </w:rPr>
      </w:pPr>
      <w:r>
        <w:rPr>
          <w:rFonts w:cs="Arial"/>
        </w:rPr>
        <w:t xml:space="preserve">Telco sector members suggested that if one were to be introduced, that it be based on appropriate clauses in 3GPP TS38.104. Satellite sector members requested a clarification as to whether there is an impact on FSS. Consequently, the current ACMA </w:t>
      </w:r>
      <w:r w:rsidR="00697D4B">
        <w:rPr>
          <w:rFonts w:cs="Arial"/>
        </w:rPr>
        <w:t xml:space="preserve">staff preliminary </w:t>
      </w:r>
      <w:r>
        <w:rPr>
          <w:rFonts w:cs="Arial"/>
        </w:rPr>
        <w:t xml:space="preserve">view is that we do not propose to make changes to the applicable </w:t>
      </w:r>
      <w:r w:rsidR="00F07349">
        <w:rPr>
          <w:rFonts w:cs="Arial"/>
        </w:rPr>
        <w:t xml:space="preserve">Tx </w:t>
      </w:r>
      <w:r>
        <w:rPr>
          <w:rFonts w:cs="Arial"/>
        </w:rPr>
        <w:t xml:space="preserve">RAG clauses. As a result, there is no impact on </w:t>
      </w:r>
      <w:r w:rsidR="00E60B95">
        <w:rPr>
          <w:rFonts w:cs="Arial"/>
        </w:rPr>
        <w:t xml:space="preserve">SL, </w:t>
      </w:r>
      <w:r>
        <w:rPr>
          <w:rFonts w:cs="Arial"/>
        </w:rPr>
        <w:t>FSS rx AL or FSS AWL services.</w:t>
      </w:r>
    </w:p>
    <w:p w14:paraId="3890F219" w14:textId="77777777" w:rsidR="00016E6B" w:rsidRDefault="00016E6B" w:rsidP="007F68A0"/>
    <w:p w14:paraId="0078A2D0" w14:textId="77777777" w:rsidR="00FA7F33" w:rsidRPr="00137121" w:rsidRDefault="00FA7F33" w:rsidP="00FA7F33">
      <w:pPr>
        <w:pStyle w:val="sub-heading"/>
      </w:pPr>
      <w:bookmarkStart w:id="77" w:name="_Toc94603300"/>
      <w:r>
        <w:t>Radiolocation services</w:t>
      </w:r>
      <w:r w:rsidRPr="00137121">
        <w:t xml:space="preserve"> operating in the </w:t>
      </w:r>
      <w:r>
        <w:t>3700-4000 MHz range authorised under 10(7) of the ARSP (essential for remote)</w:t>
      </w:r>
      <w:bookmarkEnd w:id="77"/>
    </w:p>
    <w:p w14:paraId="2F0AC075" w14:textId="77777777" w:rsidR="00FA7F33" w:rsidRDefault="00FA7F33" w:rsidP="00FA7F33">
      <w:r>
        <w:rPr>
          <w:rFonts w:cs="Arial"/>
        </w:rPr>
        <w:t>Existing Defence radiolocation services operating under this authorisation have a licence special condition that states that “</w:t>
      </w:r>
      <w:r>
        <w:t>No interference shall be caused to any Radiocommunication station or service and no protection from interference by such stations or services shall be afforded.” However, this condition was applied before arrangements for WBB were considered in the band.</w:t>
      </w:r>
    </w:p>
    <w:p w14:paraId="4A861981" w14:textId="76FA07B7" w:rsidR="00FA7F33" w:rsidRDefault="00FA7F33" w:rsidP="00FA7F33">
      <w:pPr>
        <w:rPr>
          <w:rFonts w:cs="Arial"/>
        </w:rPr>
      </w:pPr>
      <w:r>
        <w:rPr>
          <w:rFonts w:cs="Arial"/>
        </w:rPr>
        <w:t>Because of the higher potential for mutual interference caused by the introduction of WBB services compared with incumbent service types in the area across 3400-4000 MHz</w:t>
      </w:r>
      <w:r>
        <w:t>, the current view is that this should be managed by adopting a policy of not normally issuing AWL transmit licences in the range of 3700-4000 MHz and within 10</w:t>
      </w:r>
      <w:r>
        <w:rPr>
          <w:rFonts w:cs="Arial"/>
        </w:rPr>
        <w:t>0 km of, or within 3600-3700 MHz and within 60 km of, latitude 15°38’55” South and longitude 131°54’04” East (GDA94 Datum).</w:t>
      </w:r>
    </w:p>
    <w:p w14:paraId="158D3668" w14:textId="1D18A57E" w:rsidR="00FA7F33" w:rsidRPr="00137121" w:rsidRDefault="00FA7F33" w:rsidP="00FA7F33">
      <w:pPr>
        <w:pStyle w:val="sub-heading"/>
      </w:pPr>
      <w:bookmarkStart w:id="78" w:name="_Toc94603301"/>
      <w:bookmarkEnd w:id="76"/>
      <w:r>
        <w:t>Coexistence with the Woomera Protected Area (essential for remote)</w:t>
      </w:r>
      <w:bookmarkEnd w:id="78"/>
    </w:p>
    <w:p w14:paraId="656CE8FA" w14:textId="77777777" w:rsidR="00FA7F33" w:rsidRDefault="00FA7F33" w:rsidP="00FA7F33">
      <w:pPr>
        <w:rPr>
          <w:rFonts w:cs="Arial"/>
        </w:rPr>
      </w:pPr>
      <w:r>
        <w:rPr>
          <w:rFonts w:cs="Arial"/>
        </w:rPr>
        <w:t xml:space="preserve">There are existing conditions in several RALIs (including RALI FX19) in relation to the </w:t>
      </w:r>
      <w:r w:rsidRPr="006913E7">
        <w:rPr>
          <w:rFonts w:cs="Arial"/>
        </w:rPr>
        <w:t>Woomera Prohibited Area</w:t>
      </w:r>
      <w:r>
        <w:rPr>
          <w:rFonts w:cs="Arial"/>
        </w:rPr>
        <w:t xml:space="preserve"> </w:t>
      </w:r>
      <w:r w:rsidRPr="006913E7">
        <w:rPr>
          <w:rFonts w:cs="Arial"/>
        </w:rPr>
        <w:t>(WPA)</w:t>
      </w:r>
      <w:r>
        <w:rPr>
          <w:rFonts w:cs="Arial"/>
        </w:rPr>
        <w:t>. These state that “</w:t>
      </w:r>
      <w:r w:rsidRPr="006913E7">
        <w:rPr>
          <w:rFonts w:cs="Arial"/>
        </w:rPr>
        <w:t xml:space="preserve">Requests for </w:t>
      </w:r>
      <w:r>
        <w:rPr>
          <w:rFonts w:cs="Arial"/>
        </w:rPr>
        <w:t xml:space="preserve">any </w:t>
      </w:r>
      <w:r w:rsidRPr="006913E7">
        <w:rPr>
          <w:rFonts w:cs="Arial"/>
        </w:rPr>
        <w:t xml:space="preserve">assignments inside and within 100 km of the </w:t>
      </w:r>
      <w:r>
        <w:rPr>
          <w:rFonts w:cs="Arial"/>
        </w:rPr>
        <w:t>WPA</w:t>
      </w:r>
      <w:r w:rsidRPr="006913E7">
        <w:rPr>
          <w:rFonts w:cs="Arial"/>
        </w:rPr>
        <w:t>, as defined in embargo 52, are to be referred to the</w:t>
      </w:r>
      <w:r>
        <w:rPr>
          <w:rFonts w:cs="Arial"/>
        </w:rPr>
        <w:t xml:space="preserve"> ACMA for preliminary coordination consultation.” Embargo 52 states a policy of not </w:t>
      </w:r>
      <w:r>
        <w:rPr>
          <w:rFonts w:cs="Arial"/>
        </w:rPr>
        <w:lastRenderedPageBreak/>
        <w:t xml:space="preserve">making assignments within 3400-3573 MHz or 3600-3700 MHz inside the area designated for the WPA. </w:t>
      </w:r>
    </w:p>
    <w:p w14:paraId="1E32BDAD" w14:textId="77777777" w:rsidR="00FA7F33" w:rsidRDefault="00FA7F33" w:rsidP="00FA7F33">
      <w:pPr>
        <w:rPr>
          <w:rFonts w:cs="Arial"/>
        </w:rPr>
      </w:pPr>
      <w:r>
        <w:t>The current view is that coexistence with the WPA can be managed by adopting a policy of not normally issuing AWL licences</w:t>
      </w:r>
      <w:r>
        <w:rPr>
          <w:rFonts w:cs="Arial"/>
        </w:rPr>
        <w:t xml:space="preserve"> within the Woomera Protected Area, as defined in embargo 52, and including a note on any AWL issued within 100 km of this area that no protection is afforded from transmissions from within the WPA. </w:t>
      </w:r>
    </w:p>
    <w:p w14:paraId="1BA35D2F" w14:textId="77777777" w:rsidR="00FA7F33" w:rsidRPr="00137121" w:rsidRDefault="00FA7F33" w:rsidP="00FA7F33">
      <w:pPr>
        <w:pStyle w:val="sub-heading"/>
      </w:pPr>
      <w:bookmarkStart w:id="79" w:name="_Toc94603302"/>
      <w:r>
        <w:t>Coexistence with the Darwin and Geraldton coordination zones (essential for remote)</w:t>
      </w:r>
      <w:bookmarkEnd w:id="79"/>
    </w:p>
    <w:p w14:paraId="653A848D" w14:textId="77777777" w:rsidR="00FA7F33" w:rsidRDefault="00FA7F33" w:rsidP="00FA7F33">
      <w:pPr>
        <w:rPr>
          <w:rFonts w:cs="Arial"/>
        </w:rPr>
      </w:pPr>
      <w:r>
        <w:rPr>
          <w:rFonts w:cs="Arial"/>
        </w:rPr>
        <w:t>There are existing condition zones in several RALIs (including RALI FX3, RALI FX19 and RALI MS39) stating that “</w:t>
      </w:r>
      <w:r w:rsidRPr="006913E7">
        <w:rPr>
          <w:rFonts w:cs="Arial"/>
        </w:rPr>
        <w:t xml:space="preserve">Requests for </w:t>
      </w:r>
      <w:r>
        <w:rPr>
          <w:rFonts w:cs="Arial"/>
        </w:rPr>
        <w:t xml:space="preserve">any </w:t>
      </w:r>
      <w:r w:rsidRPr="006913E7">
        <w:rPr>
          <w:rFonts w:cs="Arial"/>
        </w:rPr>
        <w:t xml:space="preserve">assignments </w:t>
      </w:r>
      <w:r>
        <w:rPr>
          <w:rFonts w:cs="Arial"/>
        </w:rPr>
        <w:t xml:space="preserve">within </w:t>
      </w:r>
      <w:r w:rsidRPr="00290333">
        <w:rPr>
          <w:rFonts w:cs="Arial"/>
        </w:rPr>
        <w:t xml:space="preserve">150 km of latitude 12˚26’59” South and longitude 130˚50’0” East (GDA94 Datum) in Darwin (NT) and latitude 28˚45’59” South and longitude 114˚37’0” East (GDA94 Datum) in Geraldton (WA), are to be referred to </w:t>
      </w:r>
      <w:r w:rsidRPr="006913E7">
        <w:rPr>
          <w:rFonts w:cs="Arial"/>
        </w:rPr>
        <w:t>the</w:t>
      </w:r>
      <w:r>
        <w:rPr>
          <w:rFonts w:cs="Arial"/>
        </w:rPr>
        <w:t xml:space="preserve"> ACMA for preliminary coordination consultation.”</w:t>
      </w:r>
    </w:p>
    <w:p w14:paraId="10FC0312" w14:textId="77777777" w:rsidR="00FA7F33" w:rsidRDefault="00FA7F33" w:rsidP="00FA7F33">
      <w:pPr>
        <w:rPr>
          <w:rFonts w:cs="Arial"/>
        </w:rPr>
      </w:pPr>
      <w:r>
        <w:rPr>
          <w:rFonts w:cs="Arial"/>
        </w:rPr>
        <w:t xml:space="preserve">Because of the different coexistence considerations caused by the introduction of WBB services compared with incumbent service types in the areas across 3400-4000 MHz, </w:t>
      </w:r>
      <w:r>
        <w:t>the current view is that this should be managed by adopting a policy of not normally issuing AWL transmit licences</w:t>
      </w:r>
      <w:r>
        <w:rPr>
          <w:rFonts w:cs="Arial"/>
        </w:rPr>
        <w:t xml:space="preserve"> within </w:t>
      </w:r>
      <w:r w:rsidRPr="00290333">
        <w:rPr>
          <w:rFonts w:cs="Arial"/>
        </w:rPr>
        <w:t>150 km of latitude 12˚26’59” South and longitude 130˚50’0” East (GDA94 Datum) in Darwin (NT) and latitude 28˚45’59” South and longitude 114˚37’0” East (GDA94 Datum) in Geraldton (WA</w:t>
      </w:r>
      <w:r>
        <w:rPr>
          <w:rFonts w:cs="Arial"/>
        </w:rPr>
        <w:t xml:space="preserve">). </w:t>
      </w:r>
    </w:p>
    <w:p w14:paraId="2F0E87F5" w14:textId="200B5FF2" w:rsidR="00FA7F33" w:rsidRDefault="00B95144" w:rsidP="007F68A0">
      <w:pPr>
        <w:pStyle w:val="Heading3"/>
      </w:pPr>
      <w:bookmarkStart w:id="80" w:name="_Toc94603303"/>
      <w:r>
        <w:t>Feedback on the zones discussed above</w:t>
      </w:r>
      <w:bookmarkEnd w:id="80"/>
    </w:p>
    <w:p w14:paraId="55186729" w14:textId="15CB6FA3" w:rsidR="00B95144" w:rsidRDefault="00B95144" w:rsidP="00B95144">
      <w:pPr>
        <w:rPr>
          <w:rFonts w:cs="Arial"/>
        </w:rPr>
      </w:pPr>
      <w:r>
        <w:rPr>
          <w:rFonts w:cs="Arial"/>
        </w:rPr>
        <w:t>It was the view of Optus that the status quo be maintained for ARSP 10(7) services.</w:t>
      </w:r>
    </w:p>
    <w:p w14:paraId="6F6C7A76" w14:textId="1C007442" w:rsidR="00B95144" w:rsidRDefault="00B95144" w:rsidP="00FA7F33">
      <w:pPr>
        <w:rPr>
          <w:rFonts w:cs="Arial"/>
        </w:rPr>
      </w:pPr>
      <w:r>
        <w:rPr>
          <w:rFonts w:cs="Arial"/>
        </w:rPr>
        <w:t>It was the view of Pivotel that any “exclusion zones” in remote areas would reduce the utility of AWL services</w:t>
      </w:r>
      <w:r w:rsidR="001C5400">
        <w:rPr>
          <w:rFonts w:cs="Arial"/>
        </w:rPr>
        <w:t xml:space="preserve"> by an unacceptable amount</w:t>
      </w:r>
      <w:r>
        <w:rPr>
          <w:rFonts w:cs="Arial"/>
        </w:rPr>
        <w:t>.</w:t>
      </w:r>
    </w:p>
    <w:p w14:paraId="5878D35A" w14:textId="535170CB" w:rsidR="00F07349" w:rsidRDefault="00F07349" w:rsidP="00FA7F33">
      <w:pPr>
        <w:rPr>
          <w:rFonts w:cs="Arial"/>
        </w:rPr>
      </w:pPr>
      <w:r>
        <w:rPr>
          <w:rFonts w:cs="Arial"/>
        </w:rPr>
        <w:t>It is the current ACMA preliminary staff view that the proposed mechanisms remain as drafted in order to manage the coexistence in these areas.</w:t>
      </w:r>
    </w:p>
    <w:p w14:paraId="38A50D0D" w14:textId="77777777" w:rsidR="00FA7F33" w:rsidRPr="00137121" w:rsidRDefault="00FA7F33" w:rsidP="00FA7F33">
      <w:pPr>
        <w:pStyle w:val="sub-heading"/>
      </w:pPr>
      <w:bookmarkStart w:id="81" w:name="_Toc94603304"/>
      <w:bookmarkStart w:id="82" w:name="_Hlk81388608"/>
      <w:r>
        <w:t>Coexistence with Earth Station Protection Zones (ESPZs) (essential for remote)</w:t>
      </w:r>
      <w:bookmarkEnd w:id="81"/>
    </w:p>
    <w:p w14:paraId="2EF28A49" w14:textId="3C24A348" w:rsidR="00FA7F33" w:rsidRDefault="00FA7F33" w:rsidP="00FA7F33">
      <w:pPr>
        <w:rPr>
          <w:rFonts w:cs="Arial"/>
        </w:rPr>
      </w:pPr>
      <w:r>
        <w:rPr>
          <w:rFonts w:cs="Arial"/>
        </w:rPr>
        <w:t xml:space="preserve">WBB AWL licensees will need to comply with coordination requirements stated in the existing 3.4 GHz SL </w:t>
      </w:r>
      <w:r w:rsidR="00F07349">
        <w:rPr>
          <w:rFonts w:cs="Arial"/>
        </w:rPr>
        <w:t xml:space="preserve">Tx </w:t>
      </w:r>
      <w:r>
        <w:rPr>
          <w:rFonts w:cs="Arial"/>
        </w:rPr>
        <w:t xml:space="preserve">RAG with regards to ESPZs (Part 9 including the references to RALI MS44) and Uralla (Part 10). As per the </w:t>
      </w:r>
      <w:r w:rsidR="00656A45">
        <w:rPr>
          <w:rFonts w:cs="Arial"/>
        </w:rPr>
        <w:t>s</w:t>
      </w:r>
      <w:r>
        <w:rPr>
          <w:rFonts w:cs="Arial"/>
        </w:rPr>
        <w:t xml:space="preserve">pectrum </w:t>
      </w:r>
      <w:r w:rsidR="00656A45">
        <w:rPr>
          <w:rFonts w:cs="Arial"/>
        </w:rPr>
        <w:t>l</w:t>
      </w:r>
      <w:r>
        <w:rPr>
          <w:rFonts w:cs="Arial"/>
        </w:rPr>
        <w:t>icensing technical framework chapter, Part 10 may be reviewed and rolled into Part 9.</w:t>
      </w:r>
    </w:p>
    <w:p w14:paraId="29AFCED7" w14:textId="77777777" w:rsidR="00FA7F33" w:rsidRDefault="00FA7F33" w:rsidP="00FA7F33">
      <w:pPr>
        <w:rPr>
          <w:rFonts w:cs="Arial"/>
        </w:rPr>
      </w:pPr>
      <w:r>
        <w:rPr>
          <w:rFonts w:cs="Arial"/>
        </w:rPr>
        <w:t xml:space="preserve">For flexibility, it is proposed that AWL licences may be allocated up to an ESPZ area boundary, but before registering devices, compliance with the relevant Tx RAG coordination requirements (which point to RALI MS44) needs to be successful. </w:t>
      </w:r>
    </w:p>
    <w:p w14:paraId="589ECA0C" w14:textId="4383EC00" w:rsidR="00FA7F33" w:rsidRDefault="00FA7F33" w:rsidP="00FA7F33">
      <w:pPr>
        <w:rPr>
          <w:rFonts w:ascii="Calibri" w:hAnsi="Calibri"/>
        </w:rPr>
      </w:pPr>
      <w:r>
        <w:rPr>
          <w:rFonts w:cs="Arial"/>
        </w:rPr>
        <w:t>LMA had a view in the TLG that a satellite operator should not be required to seek a spectrum access agreement in any part of the 3400-4200 MHz band from any terrestrial service if the emissions from the satellite comply with the ITU-R article 21 PFD limits, or generally for TOSS, TT&amp;C or IOT FSS uses. The ACMA</w:t>
      </w:r>
      <w:r w:rsidR="00697D4B">
        <w:rPr>
          <w:rFonts w:cs="Arial"/>
        </w:rPr>
        <w:t xml:space="preserve"> staff preliminary </w:t>
      </w:r>
      <w:r>
        <w:rPr>
          <w:rFonts w:cs="Arial"/>
        </w:rPr>
        <w:t>view is that current proposed arrangements should not change</w:t>
      </w:r>
      <w:r w:rsidR="00697D4B">
        <w:rPr>
          <w:rFonts w:cs="Arial"/>
        </w:rPr>
        <w:t>, and not to</w:t>
      </w:r>
      <w:r>
        <w:t xml:space="preserve"> introduce changed requirements and maintain the current proposed mechanisms:</w:t>
      </w:r>
    </w:p>
    <w:p w14:paraId="5EBA142F" w14:textId="37019577" w:rsidR="00FA7F33" w:rsidRDefault="00FA7F33" w:rsidP="00FA7F33">
      <w:pPr>
        <w:pStyle w:val="ListParagraph"/>
        <w:numPr>
          <w:ilvl w:val="0"/>
          <w:numId w:val="28"/>
        </w:numPr>
        <w:spacing w:after="0" w:line="240" w:lineRule="auto"/>
        <w:rPr>
          <w:rFonts w:eastAsia="Times New Roman"/>
        </w:rPr>
      </w:pPr>
      <w:r>
        <w:rPr>
          <w:rFonts w:eastAsia="Times New Roman"/>
        </w:rPr>
        <w:t xml:space="preserve">coordination requirements between earth receivers and terrestrial services as to be included in the proposed updates to the AWL LCD, new AWL RALI MS47 and the updated 3.4 GHz SL Tx </w:t>
      </w:r>
      <w:r w:rsidR="00F07349">
        <w:rPr>
          <w:rFonts w:eastAsia="Times New Roman"/>
        </w:rPr>
        <w:t xml:space="preserve">RAG </w:t>
      </w:r>
      <w:r>
        <w:rPr>
          <w:rFonts w:eastAsia="Times New Roman"/>
        </w:rPr>
        <w:t xml:space="preserve">are met </w:t>
      </w:r>
    </w:p>
    <w:p w14:paraId="23A54982" w14:textId="52CFCB6C" w:rsidR="00FA7F33" w:rsidRDefault="00FA7F33" w:rsidP="00FA7F33">
      <w:pPr>
        <w:pStyle w:val="ListParagraph"/>
        <w:numPr>
          <w:ilvl w:val="0"/>
          <w:numId w:val="28"/>
        </w:numPr>
        <w:spacing w:after="0" w:line="240" w:lineRule="auto"/>
        <w:rPr>
          <w:rFonts w:eastAsia="Times New Roman"/>
        </w:rPr>
      </w:pPr>
      <w:r>
        <w:rPr>
          <w:rFonts w:eastAsia="Times New Roman"/>
        </w:rPr>
        <w:lastRenderedPageBreak/>
        <w:t xml:space="preserve">requirements for the ACMA </w:t>
      </w:r>
      <w:hyperlink r:id="rId98" w:history="1">
        <w:r w:rsidRPr="00F725F6">
          <w:rPr>
            <w:rStyle w:val="Hyperlink"/>
            <w:rFonts w:eastAsia="Times New Roman"/>
          </w:rPr>
          <w:t>BOP</w:t>
        </w:r>
      </w:hyperlink>
      <w:r>
        <w:rPr>
          <w:rFonts w:eastAsia="Times New Roman"/>
        </w:rPr>
        <w:t xml:space="preserve"> (including consistency with ITU requirements such as </w:t>
      </w:r>
      <w:r w:rsidR="000C25C6">
        <w:rPr>
          <w:rFonts w:eastAsia="Times New Roman"/>
        </w:rPr>
        <w:t xml:space="preserve">PFD </w:t>
      </w:r>
      <w:r>
        <w:rPr>
          <w:rFonts w:eastAsia="Times New Roman"/>
        </w:rPr>
        <w:t>limits) are met</w:t>
      </w:r>
    </w:p>
    <w:p w14:paraId="1701D26D" w14:textId="45F98564" w:rsidR="00FA7F33" w:rsidRPr="007F68A0" w:rsidRDefault="00FA7F33" w:rsidP="00FA7F33">
      <w:pPr>
        <w:pStyle w:val="ListParagraph"/>
        <w:numPr>
          <w:ilvl w:val="0"/>
          <w:numId w:val="28"/>
        </w:numPr>
        <w:spacing w:after="0" w:line="240" w:lineRule="auto"/>
      </w:pPr>
      <w:r w:rsidRPr="00E045FA">
        <w:rPr>
          <w:rFonts w:eastAsia="Times New Roman"/>
        </w:rPr>
        <w:t>restrictions on earth station locations as outline</w:t>
      </w:r>
      <w:r w:rsidR="001E16B2">
        <w:rPr>
          <w:rFonts w:eastAsia="Times New Roman"/>
        </w:rPr>
        <w:t>d in</w:t>
      </w:r>
      <w:r w:rsidRPr="00E045FA">
        <w:rPr>
          <w:rFonts w:eastAsia="Times New Roman"/>
        </w:rPr>
        <w:t xml:space="preserve"> spectrum embargoes, RALIs  and BOP</w:t>
      </w:r>
      <w:r w:rsidR="001E16B2">
        <w:rPr>
          <w:rFonts w:eastAsia="Times New Roman"/>
        </w:rPr>
        <w:t>s</w:t>
      </w:r>
      <w:r w:rsidRPr="00E045FA">
        <w:rPr>
          <w:rFonts w:eastAsia="Times New Roman"/>
        </w:rPr>
        <w:t xml:space="preserve"> such as </w:t>
      </w:r>
      <w:hyperlink r:id="rId99" w:history="1">
        <w:r w:rsidRPr="00E045FA">
          <w:rPr>
            <w:rStyle w:val="Hyperlink"/>
            <w:rFonts w:eastAsia="Times New Roman"/>
          </w:rPr>
          <w:t>Restriction on earth station licensing near Alice Springs</w:t>
        </w:r>
      </w:hyperlink>
      <w:r w:rsidRPr="00E045FA">
        <w:rPr>
          <w:rFonts w:eastAsia="Times New Roman"/>
        </w:rPr>
        <w:t xml:space="preserve"> are met. </w:t>
      </w:r>
    </w:p>
    <w:p w14:paraId="3203489C" w14:textId="77777777" w:rsidR="0037480B" w:rsidRDefault="0037480B" w:rsidP="0037480B">
      <w:pPr>
        <w:spacing w:after="0" w:line="240" w:lineRule="auto"/>
      </w:pPr>
    </w:p>
    <w:p w14:paraId="3BF25D0A" w14:textId="77777777" w:rsidR="00FA7F33" w:rsidRDefault="00FA7F33" w:rsidP="00FA7F33">
      <w:pPr>
        <w:spacing w:after="0" w:line="240" w:lineRule="auto"/>
        <w:rPr>
          <w:rFonts w:cs="Arial"/>
        </w:rPr>
      </w:pPr>
    </w:p>
    <w:p w14:paraId="5BE8205F" w14:textId="4D86456E" w:rsidR="00FA7F33" w:rsidRDefault="00FA7F33" w:rsidP="00FA7F33">
      <w:pPr>
        <w:spacing w:after="0" w:line="240" w:lineRule="auto"/>
        <w:rPr>
          <w:rStyle w:val="Hyperlink"/>
        </w:rPr>
      </w:pPr>
      <w:r w:rsidRPr="00B5326D">
        <w:rPr>
          <w:rFonts w:cs="Arial"/>
        </w:rPr>
        <w:t xml:space="preserve">Note that RALI MS44 </w:t>
      </w:r>
      <w:r>
        <w:rPr>
          <w:rFonts w:cs="Arial"/>
        </w:rPr>
        <w:t xml:space="preserve">currently </w:t>
      </w:r>
      <w:r w:rsidRPr="00B5326D">
        <w:rPr>
          <w:rFonts w:cs="Arial"/>
        </w:rPr>
        <w:t xml:space="preserve">includes </w:t>
      </w:r>
      <w:r w:rsidRPr="008042D7">
        <w:t xml:space="preserve">coordination requirements for </w:t>
      </w:r>
      <w:r>
        <w:t>FSS</w:t>
      </w:r>
      <w:r w:rsidRPr="008042D7">
        <w:t xml:space="preserve"> services at </w:t>
      </w:r>
      <w:r>
        <w:t xml:space="preserve">ESPZ in eastern Australia and </w:t>
      </w:r>
      <w:r w:rsidRPr="008042D7">
        <w:t xml:space="preserve">the Uralla </w:t>
      </w:r>
      <w:r>
        <w:t>earth station facility</w:t>
      </w:r>
      <w:r w:rsidRPr="008042D7">
        <w:t xml:space="preserve"> in the 3600-4200 MHz range</w:t>
      </w:r>
      <w:r>
        <w:t xml:space="preserve">. It is proposed to update these to include the 3400-3442.5 MHz and 3475-3542.5 MHz ranges (except at Quirindi) in the current consultation of </w:t>
      </w:r>
      <w:hyperlink r:id="rId100" w:history="1">
        <w:r w:rsidRPr="0004155A">
          <w:rPr>
            <w:rStyle w:val="Hyperlink"/>
          </w:rPr>
          <w:t>Planning for wireless broadband use in urban areas in the 3400–3475 MHz band Options paper.</w:t>
        </w:r>
      </w:hyperlink>
    </w:p>
    <w:p w14:paraId="4B8BB831" w14:textId="77777777" w:rsidR="00412A19" w:rsidRDefault="00412A19" w:rsidP="00412A19">
      <w:pPr>
        <w:spacing w:after="0" w:line="240" w:lineRule="auto"/>
      </w:pPr>
    </w:p>
    <w:p w14:paraId="732ED13F" w14:textId="77777777" w:rsidR="00FA7F33" w:rsidRPr="00137121" w:rsidRDefault="00FA7F33" w:rsidP="00FA7F33">
      <w:pPr>
        <w:pStyle w:val="sub-heading"/>
      </w:pPr>
      <w:bookmarkStart w:id="83" w:name="_Toc94603305"/>
      <w:bookmarkEnd w:id="82"/>
      <w:r>
        <w:t>Coexistence with the Mid West Radio Quiet Zone (RQZ) (essential for remote)</w:t>
      </w:r>
      <w:bookmarkEnd w:id="83"/>
    </w:p>
    <w:p w14:paraId="661E5DF0" w14:textId="77777777" w:rsidR="00FA7F33" w:rsidRDefault="00FA7F33" w:rsidP="00FA7F33">
      <w:pPr>
        <w:rPr>
          <w:rFonts w:cs="Arial"/>
        </w:rPr>
      </w:pPr>
      <w:r>
        <w:rPr>
          <w:rFonts w:cs="Arial"/>
        </w:rPr>
        <w:t xml:space="preserve">Similarly to existing licence conditions for the 3.4 GHz spectrum licensing technical framework, WBB AWL licensees will need to follow RALI </w:t>
      </w:r>
      <w:hyperlink r:id="rId101" w:history="1">
        <w:r w:rsidRPr="00CD612D">
          <w:rPr>
            <w:rStyle w:val="Hyperlink"/>
            <w:rFonts w:cs="Arial"/>
          </w:rPr>
          <w:t>MS32</w:t>
        </w:r>
      </w:hyperlink>
      <w:r>
        <w:rPr>
          <w:rFonts w:cs="Arial"/>
        </w:rPr>
        <w:t xml:space="preserve"> </w:t>
      </w:r>
      <w:r>
        <w:rPr>
          <w:rFonts w:cs="Arial"/>
          <w:i/>
          <w:iCs/>
        </w:rPr>
        <w:t>Coordination of Apparatus licensed services with the mid-west radio quiet zone.</w:t>
      </w:r>
    </w:p>
    <w:p w14:paraId="3606AA5D" w14:textId="77777777" w:rsidR="00FA7F33" w:rsidRPr="00137121" w:rsidRDefault="00FA7F33" w:rsidP="00FA7F33">
      <w:pPr>
        <w:pStyle w:val="sub-heading"/>
      </w:pPr>
      <w:bookmarkStart w:id="84" w:name="_Toc94603306"/>
      <w:r>
        <w:t>Class licensed</w:t>
      </w:r>
      <w:r w:rsidRPr="00137121">
        <w:t xml:space="preserve"> devices operating in the </w:t>
      </w:r>
      <w:r>
        <w:t>3400-4200 MHz range (essential for remote)</w:t>
      </w:r>
      <w:bookmarkEnd w:id="84"/>
    </w:p>
    <w:p w14:paraId="38C27406" w14:textId="77777777" w:rsidR="00FA7F33" w:rsidRDefault="00FA7F33" w:rsidP="00FA7F33">
      <w:pPr>
        <w:rPr>
          <w:rFonts w:cs="Arial"/>
        </w:rPr>
      </w:pPr>
      <w:bookmarkStart w:id="85" w:name="_Hlk22118663"/>
      <w:r>
        <w:rPr>
          <w:rFonts w:cs="Arial"/>
        </w:rPr>
        <w:t>Various class licensed devices currently operate in the 3400-4000 MHz range, including:</w:t>
      </w:r>
    </w:p>
    <w:bookmarkEnd w:id="85"/>
    <w:p w14:paraId="16E9D38A" w14:textId="77777777" w:rsidR="00FA7F33" w:rsidRDefault="00FA7F33" w:rsidP="00FA7F33">
      <w:pPr>
        <w:pStyle w:val="Bulletlevel1"/>
      </w:pPr>
      <w:r>
        <w:t>b</w:t>
      </w:r>
      <w:r w:rsidRPr="004045F8">
        <w:t>uilding material analysis transmitters</w:t>
      </w:r>
      <w:r>
        <w:t xml:space="preserve"> and ground penetrating radars operating</w:t>
      </w:r>
      <w:r w:rsidRPr="004045F8">
        <w:t xml:space="preserve"> </w:t>
      </w:r>
      <w:r>
        <w:t>in the 30–12400 MHz range</w:t>
      </w:r>
      <w:r w:rsidRPr="004045F8">
        <w:t xml:space="preserve"> </w:t>
      </w:r>
    </w:p>
    <w:p w14:paraId="236501F1" w14:textId="77777777" w:rsidR="00FA7F33" w:rsidRDefault="00FA7F33" w:rsidP="00FA7F33">
      <w:pPr>
        <w:pStyle w:val="Bulletlevel1last"/>
      </w:pPr>
      <w:r>
        <w:t>UWB</w:t>
      </w:r>
      <w:r w:rsidRPr="00492CF6">
        <w:t xml:space="preserve"> transmitters </w:t>
      </w:r>
      <w:r>
        <w:t xml:space="preserve">operating in the </w:t>
      </w:r>
      <w:r w:rsidRPr="00492CF6">
        <w:t>3</w:t>
      </w:r>
      <w:r>
        <w:t>1</w:t>
      </w:r>
      <w:r w:rsidRPr="00492CF6">
        <w:t>00</w:t>
      </w:r>
      <w:r>
        <w:t>–</w:t>
      </w:r>
      <w:r w:rsidRPr="00492CF6">
        <w:t>4800</w:t>
      </w:r>
      <w:r>
        <w:t> MHz band.</w:t>
      </w:r>
    </w:p>
    <w:p w14:paraId="750845DA" w14:textId="57858141" w:rsidR="00FA7F33" w:rsidRDefault="00FA7F33" w:rsidP="00FA7F33">
      <w:pPr>
        <w:pStyle w:val="ListBulletLast"/>
        <w:numPr>
          <w:ilvl w:val="0"/>
          <w:numId w:val="0"/>
        </w:numPr>
      </w:pPr>
      <w:r>
        <w:t xml:space="preserve">Operation of devices under the LIPD Class Licence is on a ‘no interference and no protection’ basis with other licensed services. The use of UWB ground and wall penetrating radar devices make the identification and resolution of interference more difficult than registered apparatus licensed devices. These concerns can be applied generally to all class licensed devices and ACMA </w:t>
      </w:r>
      <w:r w:rsidR="00697D4B">
        <w:t xml:space="preserve">staff </w:t>
      </w:r>
      <w:r>
        <w:t xml:space="preserve">considers the low power nature of these services greatly reduces the risk of interference. Consequently, the ACMA </w:t>
      </w:r>
      <w:r w:rsidR="00697D4B">
        <w:t>staff preliminary view is that there</w:t>
      </w:r>
      <w:r w:rsidR="00391B97">
        <w:t xml:space="preserve"> is not a</w:t>
      </w:r>
      <w:r>
        <w:t xml:space="preserve"> case to change the licensing arrangements for these specific devices.</w:t>
      </w:r>
    </w:p>
    <w:p w14:paraId="596CAB17" w14:textId="37BC7188" w:rsidR="00FA7F33" w:rsidRDefault="00FA7F33" w:rsidP="00FA7F33">
      <w:r>
        <w:rPr>
          <w:rFonts w:cs="Arial"/>
        </w:rPr>
        <w:t xml:space="preserve">The RAG Tx Part 7 also </w:t>
      </w:r>
      <w:r w:rsidR="00DC56E0">
        <w:rPr>
          <w:rFonts w:cs="Arial"/>
        </w:rPr>
        <w:t>discusses</w:t>
      </w:r>
      <w:r>
        <w:rPr>
          <w:rFonts w:cs="Arial"/>
        </w:rPr>
        <w:t xml:space="preserve"> the </w:t>
      </w:r>
      <w:hyperlink r:id="rId102" w:history="1">
        <w:r w:rsidRPr="0023024C">
          <w:rPr>
            <w:rStyle w:val="Hyperlink"/>
            <w:rFonts w:cs="Arial"/>
          </w:rPr>
          <w:t>Radiocommunications (Low Interference Potential Devices) Class Licence 2015</w:t>
        </w:r>
      </w:hyperlink>
      <w:r w:rsidRPr="003E75B9">
        <w:rPr>
          <w:rFonts w:cs="Arial"/>
        </w:rPr>
        <w:t xml:space="preserve"> </w:t>
      </w:r>
      <w:r>
        <w:rPr>
          <w:rFonts w:cs="Arial"/>
        </w:rPr>
        <w:t>and states that t</w:t>
      </w:r>
      <w:r w:rsidRPr="003E75B9">
        <w:rPr>
          <w:rFonts w:cs="Arial"/>
        </w:rPr>
        <w:t>he operation of radiocommunications transmitters under these class licences is on a no-interference and no-protection basis</w:t>
      </w:r>
      <w:r>
        <w:rPr>
          <w:rFonts w:cs="Arial"/>
        </w:rPr>
        <w:t>.</w:t>
      </w:r>
    </w:p>
    <w:p w14:paraId="38EC649A" w14:textId="77777777" w:rsidR="00FA7F33" w:rsidRPr="00137121" w:rsidRDefault="00FA7F33" w:rsidP="00FA7F33">
      <w:pPr>
        <w:pStyle w:val="sub-heading"/>
      </w:pPr>
      <w:bookmarkStart w:id="86" w:name="_Toc94603307"/>
      <w:r>
        <w:t>Amateur service below 3400 MHz and in t</w:t>
      </w:r>
      <w:r w:rsidRPr="00137121">
        <w:t xml:space="preserve">he </w:t>
      </w:r>
      <w:r>
        <w:t>3400-3575 MHz range (essential for remote)</w:t>
      </w:r>
      <w:bookmarkEnd w:id="86"/>
    </w:p>
    <w:p w14:paraId="5FDC3A37" w14:textId="77777777" w:rsidR="00FA7F33" w:rsidRDefault="00FA7F33" w:rsidP="00FA7F33">
      <w:r>
        <w:rPr>
          <w:rFonts w:cs="Arial"/>
        </w:rPr>
        <w:t xml:space="preserve">Current arrangements for the amateur service are described in the </w:t>
      </w:r>
      <w:hyperlink r:id="rId103" w:history="1">
        <w:r w:rsidRPr="005D22C7">
          <w:rPr>
            <w:rStyle w:val="Hyperlink"/>
            <w:rFonts w:cs="Arial"/>
          </w:rPr>
          <w:t>Amateur LCD</w:t>
        </w:r>
      </w:hyperlink>
      <w:r>
        <w:rPr>
          <w:rFonts w:cs="Arial"/>
        </w:rPr>
        <w:t xml:space="preserve">. The Amateur services are allocated on a secondary basis in the </w:t>
      </w:r>
      <w:hyperlink r:id="rId104" w:history="1">
        <w:r>
          <w:rPr>
            <w:rStyle w:val="Hyperlink"/>
          </w:rPr>
          <w:t>Australian Radiofrequency Spectrum Plan</w:t>
        </w:r>
      </w:hyperlink>
      <w:r>
        <w:t>. This means the operate on a no interference and no protection basis to primary services. Service deployed under both AWLs and SLs are considered primary services, consequently any amateur use must take this into account.</w:t>
      </w:r>
    </w:p>
    <w:p w14:paraId="1EB23AC1" w14:textId="6BF3618C" w:rsidR="00FA7F33" w:rsidRPr="00F74D0E" w:rsidRDefault="00FA7F33" w:rsidP="00FA7F33">
      <w:pPr>
        <w:rPr>
          <w:rFonts w:cs="Arial"/>
        </w:rPr>
      </w:pPr>
      <w:r>
        <w:rPr>
          <w:rFonts w:cs="Arial"/>
        </w:rPr>
        <w:t xml:space="preserve">The ACMA also </w:t>
      </w:r>
      <w:hyperlink r:id="rId105" w:history="1">
        <w:r w:rsidR="00183683">
          <w:rPr>
            <w:rStyle w:val="Hyperlink"/>
            <w:rFonts w:cs="Arial"/>
          </w:rPr>
          <w:t>consulted</w:t>
        </w:r>
      </w:hyperlink>
      <w:r>
        <w:rPr>
          <w:rFonts w:cs="Arial"/>
        </w:rPr>
        <w:t xml:space="preserve"> on future arrangements for the non-assigned amateur service. None of the </w:t>
      </w:r>
      <w:r w:rsidR="00183683">
        <w:rPr>
          <w:rFonts w:cs="Arial"/>
        </w:rPr>
        <w:t xml:space="preserve">possible </w:t>
      </w:r>
      <w:r>
        <w:rPr>
          <w:rFonts w:cs="Arial"/>
        </w:rPr>
        <w:t xml:space="preserve">options for new arrangements suggest changing the </w:t>
      </w:r>
      <w:r>
        <w:rPr>
          <w:rFonts w:cs="Arial"/>
        </w:rPr>
        <w:lastRenderedPageBreak/>
        <w:t xml:space="preserve">effective of the “no interference, no protection” interference management approach. The RAG Tx Part 7 also deals with the </w:t>
      </w:r>
      <w:hyperlink r:id="rId106" w:history="1">
        <w:r w:rsidRPr="00367A0D">
          <w:rPr>
            <w:rStyle w:val="Hyperlink"/>
            <w:rFonts w:cs="Arial"/>
          </w:rPr>
          <w:t>Radiocommunications (Overseas Amateurs Visiting Australia) Class Licence 2015</w:t>
        </w:r>
      </w:hyperlink>
      <w:r>
        <w:rPr>
          <w:rFonts w:cs="Arial"/>
        </w:rPr>
        <w:t xml:space="preserve"> and states that “t</w:t>
      </w:r>
      <w:r w:rsidRPr="003E75B9">
        <w:rPr>
          <w:rFonts w:cs="Arial"/>
        </w:rPr>
        <w:t>he operation of radiocommunications transmitters under these class licences is on a no-interference and no-protection basis</w:t>
      </w:r>
      <w:r>
        <w:rPr>
          <w:rFonts w:cs="Arial"/>
        </w:rPr>
        <w:t>”.</w:t>
      </w:r>
    </w:p>
    <w:p w14:paraId="3684D1BC" w14:textId="77777777" w:rsidR="00FA7F33" w:rsidRPr="007D04B2" w:rsidRDefault="00FA7F33" w:rsidP="00FA7F33">
      <w:pPr>
        <w:pStyle w:val="sub-heading"/>
      </w:pPr>
      <w:bookmarkStart w:id="87" w:name="_Toc24374025"/>
      <w:bookmarkStart w:id="88" w:name="_Toc94603308"/>
      <w:r>
        <w:t>AWL assignment conditions</w:t>
      </w:r>
      <w:bookmarkEnd w:id="87"/>
      <w:r>
        <w:t xml:space="preserve"> (most elements essential for remote)</w:t>
      </w:r>
      <w:bookmarkEnd w:id="88"/>
    </w:p>
    <w:p w14:paraId="206EE80C" w14:textId="77777777" w:rsidR="00FA7F33" w:rsidRDefault="00FA7F33" w:rsidP="00FA7F33">
      <w:pPr>
        <w:rPr>
          <w:rFonts w:cs="Arial"/>
        </w:rPr>
      </w:pPr>
      <w:bookmarkStart w:id="89" w:name="_Hlk23771293"/>
      <w:r>
        <w:rPr>
          <w:rFonts w:cs="Arial"/>
        </w:rPr>
        <w:t xml:space="preserve">This section provides an outline of possible conditions dealing with the allocation of ‘area-wide’ apparatus licences in the extended 3.4 GHz band. These conditions would apply if ‘area-wide’ apparatus licences are administratively allocated. </w:t>
      </w:r>
    </w:p>
    <w:bookmarkEnd w:id="89"/>
    <w:p w14:paraId="59C8EA87" w14:textId="77777777" w:rsidR="00FA7F33" w:rsidRDefault="00FA7F33" w:rsidP="00FA7F33">
      <w:r>
        <w:rPr>
          <w:rFonts w:cs="Arial"/>
        </w:rPr>
        <w:t xml:space="preserve">It is proposed that ‘area-wide’ </w:t>
      </w:r>
      <w:r>
        <w:t>apparatus licences are designed to be scalable (in both frequency and area) to suit the needs of individual licensees.</w:t>
      </w:r>
      <w:r>
        <w:rPr>
          <w:rStyle w:val="FootnoteReference"/>
        </w:rPr>
        <w:footnoteReference w:id="19"/>
      </w:r>
      <w:r>
        <w:t xml:space="preserve"> However, it is necessary to specify some assignment conditions to help enable the efficient and effective use of spectrum:</w:t>
      </w:r>
    </w:p>
    <w:p w14:paraId="0BDA128A" w14:textId="72F22F11" w:rsidR="00FA7F33" w:rsidRDefault="00FA7F33" w:rsidP="00FA7F33">
      <w:pPr>
        <w:pStyle w:val="ListBullet"/>
      </w:pPr>
      <w:r>
        <w:t xml:space="preserve">The area/frequency combination of an </w:t>
      </w:r>
      <w:r>
        <w:rPr>
          <w:rFonts w:cs="Arial"/>
        </w:rPr>
        <w:t xml:space="preserve">‘area-wide’ </w:t>
      </w:r>
      <w:r>
        <w:t>apparatus licence is large enough to support a service (</w:t>
      </w:r>
      <w:r w:rsidR="007F68A0">
        <w:t>i.e.,</w:t>
      </w:r>
      <w:r>
        <w:t xml:space="preserve"> the area and/or bandwidth authorised by the licence is not too small to make the licence unusable)</w:t>
      </w:r>
    </w:p>
    <w:p w14:paraId="4805F546" w14:textId="77777777" w:rsidR="00FA7F33" w:rsidRDefault="00FA7F33" w:rsidP="00FA7F33">
      <w:pPr>
        <w:pStyle w:val="ListBullet"/>
      </w:pPr>
      <w:r>
        <w:t>Improve spectrum efficiency:</w:t>
      </w:r>
    </w:p>
    <w:p w14:paraId="279F60AA" w14:textId="77777777" w:rsidR="00FA7F33" w:rsidRDefault="00FA7F33" w:rsidP="00FA7F33">
      <w:pPr>
        <w:pStyle w:val="ListBullet2"/>
      </w:pPr>
      <w:r>
        <w:t>Spectrum can be more efficiently used if the same licensee holds co-frequency licences on both sides of geographic boundaries (e.g., across the spectrum/apparatus licence boundary in the extended 3.4 GHz band). Having contiguous geographic holdings will allow a licensee to manage in-band interference more effectively between adjacent cells.</w:t>
      </w:r>
    </w:p>
    <w:p w14:paraId="284C1241" w14:textId="77777777" w:rsidR="00FA7F33" w:rsidRDefault="00FA7F33" w:rsidP="00FA7F33">
      <w:pPr>
        <w:pStyle w:val="ListBullet2"/>
      </w:pPr>
      <w:r>
        <w:t>An ordered frequency assignment priority will reduce the instances of small unusable ‘pockets’ of spectrum being left unlicensed in-between frequency adjacent licensees.</w:t>
      </w:r>
    </w:p>
    <w:p w14:paraId="09651FCF" w14:textId="77777777" w:rsidR="00FA7F33" w:rsidRDefault="00FA7F33" w:rsidP="00FA7F33">
      <w:pPr>
        <w:pStyle w:val="ListBullet"/>
        <w:numPr>
          <w:ilvl w:val="0"/>
          <w:numId w:val="0"/>
        </w:numPr>
        <w:ind w:left="295" w:hanging="295"/>
      </w:pPr>
      <w:r>
        <w:t>This section discusses proposals to address the above issues.</w:t>
      </w:r>
    </w:p>
    <w:p w14:paraId="0781F3A9" w14:textId="77777777" w:rsidR="00FA7F33" w:rsidRDefault="00FA7F33" w:rsidP="00FA7F33">
      <w:pPr>
        <w:pStyle w:val="ListBullet"/>
        <w:numPr>
          <w:ilvl w:val="0"/>
          <w:numId w:val="0"/>
        </w:numPr>
        <w:ind w:left="295" w:hanging="295"/>
      </w:pPr>
    </w:p>
    <w:p w14:paraId="1F6D5B5C" w14:textId="77777777" w:rsidR="00FA7F33" w:rsidRDefault="00FA7F33" w:rsidP="00FA7F33">
      <w:pPr>
        <w:pStyle w:val="Heading3"/>
      </w:pPr>
      <w:bookmarkStart w:id="90" w:name="_Ref23773378"/>
      <w:bookmarkStart w:id="91" w:name="_Toc24374026"/>
      <w:bookmarkStart w:id="92" w:name="_Toc94603309"/>
      <w:r>
        <w:t>Minimum area and bandwidth limits</w:t>
      </w:r>
      <w:bookmarkEnd w:id="90"/>
      <w:bookmarkEnd w:id="91"/>
      <w:r>
        <w:t xml:space="preserve"> (this does not apply to FSS in remote areas)</w:t>
      </w:r>
      <w:bookmarkEnd w:id="92"/>
    </w:p>
    <w:p w14:paraId="41569E68" w14:textId="77777777" w:rsidR="00FA7F33" w:rsidRDefault="00FA7F33" w:rsidP="00FA7F33">
      <w:r>
        <w:t xml:space="preserve">The smallest geographic ‘building-block’ used in spectrum licences (referred to as a standard trading unit or STU) is </w:t>
      </w:r>
      <w:r w:rsidRPr="007D04B2">
        <w:t>a geographic area equal to a Level 1 HCIS cell of the 2012 Australian Spectrum Map Grid (</w:t>
      </w:r>
      <w:hyperlink r:id="rId107" w:history="1">
        <w:r w:rsidRPr="00074717">
          <w:rPr>
            <w:rStyle w:val="Hyperlink"/>
          </w:rPr>
          <w:t>ASMG</w:t>
        </w:r>
      </w:hyperlink>
      <w:r w:rsidRPr="007D04B2">
        <w:t>)</w:t>
      </w:r>
      <w:r>
        <w:t xml:space="preserve"> </w:t>
      </w:r>
      <w:r w:rsidRPr="007D04B2">
        <w:t xml:space="preserve">– </w:t>
      </w:r>
      <w:r>
        <w:t>which is 5x5 minutes in size (</w:t>
      </w:r>
      <w:r w:rsidRPr="007D04B2">
        <w:t>approximately 9×9 kilometre</w:t>
      </w:r>
      <w:r>
        <w:t>). In consideration of the new LA WBB use cases that the 3700-4200 MHz and 3.4 GHz band planning outcomes were designed to promote, it may be beneficial to use a smaller Hierarchical Cell Identification Scheme (HCIS) level. Given the propagation in the band and that a range of use cases is likely for LA WBB applications, the use of HCIS level 0, as defined in the revised ASMG is likely to be appropriate. The ASMG explains the relationships between the HCIS levels.</w:t>
      </w:r>
    </w:p>
    <w:p w14:paraId="16D6F944" w14:textId="4AE9720A" w:rsidR="008C5726" w:rsidRDefault="00FA7F33" w:rsidP="00FA7F33">
      <w:r>
        <w:t>There were different views among TLG members if HCIS level 0 was considered appropriate</w:t>
      </w:r>
      <w:r w:rsidR="00B71FBE">
        <w:t xml:space="preserve">, with </w:t>
      </w:r>
      <w:r w:rsidR="00195E50">
        <w:t>many</w:t>
      </w:r>
      <w:r w:rsidR="00B71FBE">
        <w:t xml:space="preserve"> members responding to the TLG V2 indicating that HCIS level 1 was more appropriate</w:t>
      </w:r>
      <w:r w:rsidR="00195E50">
        <w:t>,</w:t>
      </w:r>
      <w:r w:rsidR="00B71FBE">
        <w:t xml:space="preserve"> as it was felt to be more spectrum efficient for most WBB use cases.  Satellite members preferred HCIS level 00 for FSS AWL receive licensing</w:t>
      </w:r>
      <w:r w:rsidR="00195E50">
        <w:t>,</w:t>
      </w:r>
      <w:r w:rsidR="00B71FBE">
        <w:t xml:space="preserve"> </w:t>
      </w:r>
      <w:r w:rsidR="007F68A0">
        <w:t>if</w:t>
      </w:r>
      <w:r w:rsidR="00B71FBE">
        <w:t xml:space="preserve"> a</w:t>
      </w:r>
      <w:r w:rsidR="00195E50">
        <w:t>n</w:t>
      </w:r>
      <w:r w:rsidR="00B71FBE">
        <w:t xml:space="preserve"> approach similar to that adopted in the 28 GHz band was adopted. The ACMA </w:t>
      </w:r>
      <w:r w:rsidR="00391B97">
        <w:t xml:space="preserve">staff </w:t>
      </w:r>
      <w:r w:rsidR="00B71FBE">
        <w:t xml:space="preserve">current </w:t>
      </w:r>
      <w:r w:rsidR="00391B97">
        <w:t>preliminary</w:t>
      </w:r>
      <w:r w:rsidR="00B71FBE">
        <w:t xml:space="preserve"> view remains that level 0 is likely to promote a wider range of use </w:t>
      </w:r>
      <w:r w:rsidR="00B71FBE">
        <w:lastRenderedPageBreak/>
        <w:t>cases</w:t>
      </w:r>
      <w:r w:rsidR="00195E50">
        <w:t>,</w:t>
      </w:r>
      <w:r w:rsidR="00B71FBE">
        <w:t xml:space="preserve"> but </w:t>
      </w:r>
      <w:r w:rsidR="00B71FBE" w:rsidRPr="00F07349">
        <w:t>may propose both HCIS level 0 and level 1 as options for allocation</w:t>
      </w:r>
      <w:r w:rsidR="00F07349" w:rsidRPr="007F68A0">
        <w:t xml:space="preserve"> in the formal </w:t>
      </w:r>
      <w:r w:rsidR="007F68A0" w:rsidRPr="007F68A0">
        <w:t>consultation</w:t>
      </w:r>
      <w:r w:rsidR="006D0A26" w:rsidRPr="00F07349">
        <w:t>.</w:t>
      </w:r>
    </w:p>
    <w:p w14:paraId="4C9B5D74" w14:textId="77777777" w:rsidR="00FA7F33" w:rsidRDefault="00FA7F33" w:rsidP="00FA7F33">
      <w:pPr>
        <w:spacing w:before="240"/>
      </w:pPr>
      <w:r>
        <w:t>All spectrum licences are subject to a minimum bandwidth requirement (known as the minimum contiguous bandwidth – or MCB), which is enforced when spectrum is traded on the secondary market.</w:t>
      </w:r>
      <w:r>
        <w:rPr>
          <w:rStyle w:val="FootnoteReference"/>
        </w:rPr>
        <w:footnoteReference w:id="20"/>
      </w:r>
      <w:r>
        <w:t xml:space="preserve">. The difference with a </w:t>
      </w:r>
      <w:r>
        <w:rPr>
          <w:rFonts w:cs="Arial"/>
        </w:rPr>
        <w:t xml:space="preserve">‘area-wide’ </w:t>
      </w:r>
      <w:r>
        <w:t xml:space="preserve">apparatus licence is that, for </w:t>
      </w:r>
      <w:r>
        <w:rPr>
          <w:rFonts w:cs="Arial"/>
        </w:rPr>
        <w:t>administratively</w:t>
      </w:r>
      <w:r>
        <w:t xml:space="preserve"> issued licences, a minimum allocation bandwidth needs to be specified to help limit unnecessary segmentation of the band at the allocation stage.</w:t>
      </w:r>
    </w:p>
    <w:p w14:paraId="7F5D092C" w14:textId="6DA3669D" w:rsidR="00FA7F33" w:rsidRDefault="00FA7F33" w:rsidP="00FA7F33">
      <w:pPr>
        <w:spacing w:before="240"/>
      </w:pPr>
      <w:r>
        <w:t xml:space="preserve">The minimum allocation bandwidth should be set at the minimum amount of spectrum needed to provide a viable service. The minimum channel bandwidth of the technology likely to be deployed under a 3400-4000 MHz band </w:t>
      </w:r>
      <w:r>
        <w:rPr>
          <w:rFonts w:cs="Arial"/>
        </w:rPr>
        <w:t xml:space="preserve">‘area-wide’ </w:t>
      </w:r>
      <w:r>
        <w:t xml:space="preserve">apparatus licence, 3GPP NR, is 10 MHz. However, more efficient use of spectrum is achievable if larger channels sizes are used, with up to 100 MHz possible. </w:t>
      </w:r>
    </w:p>
    <w:p w14:paraId="2F35DB9D" w14:textId="77777777" w:rsidR="00FA7F33" w:rsidRDefault="00FA7F33" w:rsidP="00FA7F33">
      <w:pPr>
        <w:spacing w:before="240"/>
      </w:pPr>
      <w:r>
        <w:t xml:space="preserve">The existing PMP channel plan in the 3.6 GHz band, described in RALI </w:t>
      </w:r>
      <w:hyperlink r:id="rId108" w:history="1">
        <w:r w:rsidRPr="000C4D0D">
          <w:rPr>
            <w:rStyle w:val="Hyperlink"/>
          </w:rPr>
          <w:t>FX19</w:t>
        </w:r>
      </w:hyperlink>
      <w:r>
        <w:t>,  is currently a TDD scheme using 10 MHz or 20 MHz bandwidths for new assignments.  Under the planning decisions, incumbent PMP services may end up deciding to transition to the AWL framework.</w:t>
      </w:r>
    </w:p>
    <w:p w14:paraId="4036EEFA" w14:textId="77777777" w:rsidR="00FA7F33" w:rsidRDefault="00FA7F33" w:rsidP="00FA7F33">
      <w:pPr>
        <w:spacing w:before="240"/>
      </w:pPr>
      <w:r>
        <w:t xml:space="preserve">Relevant parts of the </w:t>
      </w:r>
      <w:hyperlink r:id="rId109" w:history="1">
        <w:r w:rsidRPr="000C4D0D">
          <w:rPr>
            <w:rStyle w:val="Hyperlink"/>
          </w:rPr>
          <w:t>spectrum licensing trading rule determination</w:t>
        </w:r>
      </w:hyperlink>
      <w:r>
        <w:t xml:space="preserve"> for the 3.4 GHz and 3.6 GHz bands defined minimum contiguous bandwidths of 10 MHz.</w:t>
      </w:r>
    </w:p>
    <w:p w14:paraId="167AB79A" w14:textId="30A4898D" w:rsidR="00FA7F33" w:rsidRDefault="00FA7F33" w:rsidP="00FA7F33">
      <w:pPr>
        <w:spacing w:before="240"/>
      </w:pPr>
      <w:r>
        <w:t xml:space="preserve">Consequently, the ACMA </w:t>
      </w:r>
      <w:r w:rsidR="0010699A">
        <w:t>staff current preliminary view is</w:t>
      </w:r>
      <w:r>
        <w:t xml:space="preserve"> </w:t>
      </w:r>
      <w:r w:rsidR="0010699A">
        <w:t>to</w:t>
      </w:r>
      <w:r>
        <w:t xml:space="preserve"> use a MCB also of 10 MHz for the extended 3.4 GHz band and for AWL allocations.</w:t>
      </w:r>
    </w:p>
    <w:p w14:paraId="7CE24D0F" w14:textId="77777777" w:rsidR="00FA7F33" w:rsidRPr="007D04B2" w:rsidRDefault="00FA7F33" w:rsidP="00FA7F33">
      <w:r>
        <w:t xml:space="preserve">The ACMA previously asked if 10 MHz should be the minimum bandwidth that an extended 3.4 GHz band </w:t>
      </w:r>
      <w:r w:rsidRPr="006D1D74">
        <w:t>‘area-wide’ apparatus licence</w:t>
      </w:r>
      <w:r>
        <w:t xml:space="preserve"> can be</w:t>
      </w:r>
      <w:r w:rsidRPr="00497557">
        <w:t xml:space="preserve"> </w:t>
      </w:r>
      <w:r>
        <w:t>issued for? Should different limits apply for AWLs optimised for FSS use (i.e. receive only AWLs)?</w:t>
      </w:r>
    </w:p>
    <w:p w14:paraId="10B3288C" w14:textId="77777777" w:rsidR="00FA7F33" w:rsidRDefault="00FA7F33" w:rsidP="00FA7F33">
      <w:pPr>
        <w:pStyle w:val="ListBullet"/>
        <w:numPr>
          <w:ilvl w:val="0"/>
          <w:numId w:val="0"/>
        </w:numPr>
      </w:pPr>
      <w:r w:rsidRPr="00CA736A">
        <w:t>There were various views in the TLG about the MCB for FSS services under AWLs, with satellite operators wanting to be able to licence smaller bandwidths. The ACMA staff note that having a consistent MCB for both FSS and WBB AWL, better reflects the spectrum denial caused by a service, given that most WBB technologies in this band will be constrained to a minimum channel bandwidth of 10 MHz.</w:t>
      </w:r>
      <w:r>
        <w:t xml:space="preserve"> Note that, in remote and “other regional” areas, site based FSS earth receive licensing is currently proposed to remain the licensing mechanism and no MCBs are proposed to apply.</w:t>
      </w:r>
    </w:p>
    <w:p w14:paraId="44272C25" w14:textId="77777777" w:rsidR="00FA7F33" w:rsidRDefault="00FA7F33" w:rsidP="00FA7F33">
      <w:pPr>
        <w:pStyle w:val="ListBullet"/>
        <w:numPr>
          <w:ilvl w:val="0"/>
          <w:numId w:val="0"/>
        </w:numPr>
        <w:ind w:left="295" w:hanging="295"/>
      </w:pPr>
    </w:p>
    <w:p w14:paraId="2DD56481" w14:textId="77777777" w:rsidR="00FA7F33" w:rsidRDefault="00FA7F33" w:rsidP="00FA7F33">
      <w:pPr>
        <w:pStyle w:val="Heading3"/>
      </w:pPr>
      <w:bookmarkStart w:id="93" w:name="_Toc24374027"/>
      <w:bookmarkStart w:id="94" w:name="_Toc94603310"/>
      <w:r>
        <w:t>Maximum area and bandwidth limits</w:t>
      </w:r>
      <w:bookmarkEnd w:id="93"/>
      <w:r>
        <w:t xml:space="preserve"> (not essential for remote technical framework)</w:t>
      </w:r>
      <w:bookmarkEnd w:id="94"/>
    </w:p>
    <w:p w14:paraId="6E7D7344" w14:textId="2A6EFA0F" w:rsidR="00FA7F33" w:rsidRDefault="00FA7F33" w:rsidP="00FA7F33">
      <w:bookmarkStart w:id="95" w:name="_Hlk23154804"/>
      <w:r>
        <w:t>There are no maximum area or bandwidth limits proposed at this time</w:t>
      </w:r>
      <w:r w:rsidR="00302F8E">
        <w:t xml:space="preserve"> under the technical framework</w:t>
      </w:r>
      <w:r>
        <w:t>, however it should be noted that such limits may be considered and applied</w:t>
      </w:r>
      <w:r>
        <w:rPr>
          <w:rFonts w:cs="Arial"/>
        </w:rPr>
        <w:t xml:space="preserve"> to access spectrum across the 3400-4000 MHz band. If such limits are proposed, they will be discussed as part of the development of allocation arrangements for the band.</w:t>
      </w:r>
    </w:p>
    <w:p w14:paraId="5DBBDFB4" w14:textId="77777777" w:rsidR="00FA7F33" w:rsidRDefault="00FA7F33" w:rsidP="00FA7F33">
      <w:pPr>
        <w:pStyle w:val="Heading3"/>
      </w:pPr>
      <w:bookmarkStart w:id="96" w:name="_Toc24374028"/>
      <w:bookmarkStart w:id="97" w:name="_Toc94603311"/>
      <w:bookmarkEnd w:id="95"/>
      <w:r>
        <w:t>Assignment rules</w:t>
      </w:r>
      <w:bookmarkEnd w:id="96"/>
      <w:r>
        <w:t xml:space="preserve"> (essential for remote)</w:t>
      </w:r>
      <w:bookmarkEnd w:id="97"/>
    </w:p>
    <w:p w14:paraId="0B81DABB" w14:textId="623C5D70" w:rsidR="00FA7F33" w:rsidRDefault="00FA7F33" w:rsidP="00FA7F33">
      <w:r>
        <w:t xml:space="preserve">The following assignment rules for AWLs </w:t>
      </w:r>
      <w:r w:rsidR="00E23D70">
        <w:t xml:space="preserve">were </w:t>
      </w:r>
      <w:r>
        <w:t xml:space="preserve">proposed to be included in a new RALI (MS47) which will aim to improve the efficient allocation and use of spectrum as well </w:t>
      </w:r>
      <w:r>
        <w:lastRenderedPageBreak/>
        <w:t xml:space="preserve">as aiding coexistence with incumbent services. These rules would apply for licences which are </w:t>
      </w:r>
      <w:r>
        <w:rPr>
          <w:rFonts w:cs="Arial"/>
        </w:rPr>
        <w:t>administratively allocated.</w:t>
      </w:r>
    </w:p>
    <w:p w14:paraId="0FB0DF59" w14:textId="77777777" w:rsidR="00FA7F33" w:rsidRDefault="00FA7F33" w:rsidP="00FA7F33">
      <w:pPr>
        <w:pStyle w:val="ListBullet"/>
      </w:pPr>
      <w:r>
        <w:t>Frequency assignments must follow a 10 MHz channel raster, where multiple channels can be aggregated (maximum aggregated bandwidth limits are still under consideration outside of the TLG).</w:t>
      </w:r>
    </w:p>
    <w:p w14:paraId="0F7521A4" w14:textId="77777777" w:rsidR="00FA7F33" w:rsidRDefault="00FA7F33" w:rsidP="00FA7F33">
      <w:pPr>
        <w:pStyle w:val="ListBullet"/>
      </w:pPr>
      <w:r>
        <w:t>For WBB AWLs, only a single apparatus licence can be issued for a frequency range in a particular HCIS for transmitters.</w:t>
      </w:r>
    </w:p>
    <w:p w14:paraId="1B984EEC" w14:textId="77777777" w:rsidR="00FA7F33" w:rsidRDefault="00FA7F33" w:rsidP="00FA7F33">
      <w:pPr>
        <w:pStyle w:val="ListBullet"/>
      </w:pPr>
      <w:r>
        <w:t xml:space="preserve">The geographic area authorised by an </w:t>
      </w:r>
      <w:r>
        <w:rPr>
          <w:rFonts w:cs="Arial"/>
        </w:rPr>
        <w:t xml:space="preserve">‘area-wide’ </w:t>
      </w:r>
      <w:r>
        <w:t xml:space="preserve">apparatus licence must consist of only whole HCIS cells of a specified minimum size (see above in the </w:t>
      </w:r>
      <w:r w:rsidRPr="00352F1B">
        <w:rPr>
          <w:i/>
          <w:iCs/>
        </w:rPr>
        <w:fldChar w:fldCharType="begin"/>
      </w:r>
      <w:r w:rsidRPr="00352F1B">
        <w:rPr>
          <w:i/>
          <w:iCs/>
        </w:rPr>
        <w:instrText xml:space="preserve"> REF _Ref23773378 \h </w:instrText>
      </w:r>
      <w:r>
        <w:rPr>
          <w:i/>
          <w:iCs/>
        </w:rPr>
        <w:instrText xml:space="preserve"> \* MERGEFORMAT </w:instrText>
      </w:r>
      <w:r w:rsidRPr="00352F1B">
        <w:rPr>
          <w:i/>
          <w:iCs/>
        </w:rPr>
      </w:r>
      <w:r w:rsidRPr="00352F1B">
        <w:rPr>
          <w:i/>
          <w:iCs/>
        </w:rPr>
        <w:fldChar w:fldCharType="separate"/>
      </w:r>
      <w:r w:rsidRPr="00CA736A">
        <w:rPr>
          <w:i/>
          <w:iCs/>
        </w:rPr>
        <w:t>Minimum area and bandwidth limits</w:t>
      </w:r>
      <w:r w:rsidRPr="00352F1B">
        <w:rPr>
          <w:i/>
          <w:iCs/>
        </w:rPr>
        <w:fldChar w:fldCharType="end"/>
      </w:r>
      <w:r>
        <w:t xml:space="preserve"> section).</w:t>
      </w:r>
    </w:p>
    <w:p w14:paraId="3D186C02" w14:textId="77777777" w:rsidR="00FA7F33" w:rsidRDefault="00FA7F33" w:rsidP="00FA7F33">
      <w:pPr>
        <w:pStyle w:val="ListBullet"/>
      </w:pPr>
      <w:r>
        <w:t>Where possible, the frequency range of a new apparatus licence should align with an existing extended 3.4 GHz band (either spectrum or apparatus licensed) licence held by the licensee. This aims to help manage adjacent-area interference.</w:t>
      </w:r>
    </w:p>
    <w:p w14:paraId="6CF44C02" w14:textId="709EC77A" w:rsidR="00FA7F33" w:rsidRDefault="00FA7F33" w:rsidP="00FA7F33">
      <w:pPr>
        <w:pStyle w:val="ListBullet"/>
        <w:spacing w:after="240"/>
      </w:pPr>
      <w:r>
        <w:t>To better manage coexistence between both spectrum licences and AWLs, as well as between AWLs, in remote areas, it may be preferable to assign groups of licensees that may have similar TDD frame structure needs in the same part of spectrum. For example, Telcos could have nominal priority to channels in a segment, other downlink heavy users in another and more uplink heavy users in a remaining segment. It is also proposed that, in the event a prospective licensee cannot access spectrum in accordance with the preferred assignment model, they are not limited from applying for licences in other parts of the band.</w:t>
      </w:r>
    </w:p>
    <w:p w14:paraId="165778B3" w14:textId="1CEF3026" w:rsidR="00693427" w:rsidRDefault="00693427" w:rsidP="00693427">
      <w:pPr>
        <w:pStyle w:val="ListBullet"/>
        <w:numPr>
          <w:ilvl w:val="0"/>
          <w:numId w:val="0"/>
        </w:numPr>
        <w:spacing w:after="240"/>
      </w:pPr>
      <w:r>
        <w:t>Members provided different views on the possible priority assignment scheme:</w:t>
      </w:r>
    </w:p>
    <w:p w14:paraId="53E91032" w14:textId="1BF0E42A" w:rsidR="00CC2D58" w:rsidRDefault="00693427">
      <w:pPr>
        <w:pStyle w:val="ListBullet"/>
        <w:numPr>
          <w:ilvl w:val="0"/>
          <w:numId w:val="35"/>
        </w:numPr>
        <w:spacing w:after="240"/>
      </w:pPr>
      <w:r>
        <w:t>AMTA, Optus</w:t>
      </w:r>
      <w:r w:rsidR="00CC2D58">
        <w:t>,</w:t>
      </w:r>
      <w:r w:rsidR="003B138E">
        <w:t xml:space="preserve"> </w:t>
      </w:r>
      <w:r>
        <w:t xml:space="preserve">Telstra </w:t>
      </w:r>
      <w:r w:rsidR="00CC2D58">
        <w:t xml:space="preserve">and Pivotel </w:t>
      </w:r>
      <w:r>
        <w:t>supported a prescriptive</w:t>
      </w:r>
      <w:r w:rsidR="00CC2D58">
        <w:t>, preferred priority,</w:t>
      </w:r>
      <w:r>
        <w:t xml:space="preserve"> scheme that would</w:t>
      </w:r>
      <w:r w:rsidR="00CC2D58">
        <w:t xml:space="preserve"> better ensure an operator could get contiguous spectrum across metro, regional and remote areas.</w:t>
      </w:r>
    </w:p>
    <w:p w14:paraId="1F16E95D" w14:textId="607547D7" w:rsidR="00693427" w:rsidRDefault="00CC2D58">
      <w:pPr>
        <w:pStyle w:val="ListBullet"/>
        <w:numPr>
          <w:ilvl w:val="0"/>
          <w:numId w:val="35"/>
        </w:numPr>
        <w:spacing w:after="240"/>
      </w:pPr>
      <w:r>
        <w:t>DB Telecommunications also saw merit in a prescriptive scheme, similar to that in RALI MS34.</w:t>
      </w:r>
    </w:p>
    <w:p w14:paraId="0E51F12E" w14:textId="13A69B9E" w:rsidR="00CC2D58" w:rsidRDefault="00CC2D58" w:rsidP="00E23D70">
      <w:pPr>
        <w:pStyle w:val="ListBullet"/>
        <w:numPr>
          <w:ilvl w:val="0"/>
          <w:numId w:val="0"/>
        </w:numPr>
        <w:spacing w:after="240"/>
      </w:pPr>
      <w:r>
        <w:t xml:space="preserve">Feedback on </w:t>
      </w:r>
      <w:r w:rsidR="00E23D70">
        <w:t>a possible priority assignment scheme, as well as further considerations across the whole 3400-4000 MHz band spectrum spaces, resulted in a revised proposal</w:t>
      </w:r>
      <w:r w:rsidR="00562971">
        <w:t>,</w:t>
      </w:r>
      <w:r w:rsidR="00A369D4">
        <w:t xml:space="preserve"> to apply at least for remote areas at this time</w:t>
      </w:r>
      <w:r w:rsidR="00E23D70">
        <w:t>, included in a revised RALI MS47:</w:t>
      </w:r>
    </w:p>
    <w:p w14:paraId="28C64C32" w14:textId="3560F7F1" w:rsidR="00E23D70" w:rsidRDefault="00E23D70" w:rsidP="00E23D70">
      <w:pPr>
        <w:pStyle w:val="ListBullet"/>
        <w:numPr>
          <w:ilvl w:val="0"/>
          <w:numId w:val="44"/>
        </w:numPr>
        <w:spacing w:after="240"/>
      </w:pPr>
      <w:r>
        <w:t>Existing spectrum licence holders in the 3400-4000 MHz band would be encouraged to licence AWLs in the same spectrum</w:t>
      </w:r>
      <w:r w:rsidR="00B413B4">
        <w:t xml:space="preserve"> as they hold</w:t>
      </w:r>
      <w:r>
        <w:t>, and preferably below 3700 MHz.</w:t>
      </w:r>
    </w:p>
    <w:p w14:paraId="062AF245" w14:textId="7857E8B4" w:rsidR="00E23D70" w:rsidRDefault="00E23D70" w:rsidP="00E23D70">
      <w:pPr>
        <w:pStyle w:val="ListBullet"/>
        <w:numPr>
          <w:ilvl w:val="0"/>
          <w:numId w:val="44"/>
        </w:numPr>
        <w:spacing w:after="240"/>
      </w:pPr>
      <w:r>
        <w:t>Applicants that are not spectrum licence holders in the 3400-4000 MHz band would be encouraged to licence AWLs in the same spectrum</w:t>
      </w:r>
      <w:r w:rsidR="00B413B4">
        <w:t xml:space="preserve"> as they hold</w:t>
      </w:r>
      <w:r>
        <w:t>, and preferably above 3700 MHz.</w:t>
      </w:r>
    </w:p>
    <w:p w14:paraId="348767F1" w14:textId="141FBF0E" w:rsidR="00E23D70" w:rsidRDefault="00ED7668" w:rsidP="00E23D70">
      <w:pPr>
        <w:pStyle w:val="ListBullet"/>
        <w:numPr>
          <w:ilvl w:val="0"/>
          <w:numId w:val="44"/>
        </w:numPr>
        <w:spacing w:after="240"/>
      </w:pPr>
      <w:r>
        <w:t xml:space="preserve">For future FSS AWL rx licensees, they would be encouraged to </w:t>
      </w:r>
      <w:r w:rsidR="00C44F77">
        <w:t>licence from the “top down”, if possible.</w:t>
      </w:r>
    </w:p>
    <w:p w14:paraId="20F13855" w14:textId="52EAF981" w:rsidR="00233071" w:rsidRDefault="00233071" w:rsidP="007F68A0">
      <w:pPr>
        <w:pStyle w:val="ListBullet"/>
        <w:numPr>
          <w:ilvl w:val="0"/>
          <w:numId w:val="0"/>
        </w:numPr>
        <w:spacing w:after="240"/>
      </w:pPr>
      <w:r>
        <w:t>As further work is conducted in relation to allocations in non-remote areas, the priority scheme may be further developed.</w:t>
      </w:r>
    </w:p>
    <w:p w14:paraId="04DF7CB6" w14:textId="77777777" w:rsidR="00FA7F33" w:rsidRPr="007D04B2" w:rsidRDefault="00FA7F33" w:rsidP="00FA7F33">
      <w:pPr>
        <w:pStyle w:val="Heading3"/>
      </w:pPr>
      <w:bookmarkStart w:id="98" w:name="_Ref19539409"/>
      <w:bookmarkStart w:id="99" w:name="_Ref19797716"/>
      <w:bookmarkStart w:id="100" w:name="_Ref19797740"/>
      <w:bookmarkStart w:id="101" w:name="_Toc24374029"/>
      <w:bookmarkStart w:id="102" w:name="_Toc94603312"/>
      <w:r>
        <w:t>Recording device details in the RRL</w:t>
      </w:r>
      <w:bookmarkEnd w:id="98"/>
      <w:bookmarkEnd w:id="99"/>
      <w:bookmarkEnd w:id="100"/>
      <w:bookmarkEnd w:id="101"/>
      <w:r>
        <w:t xml:space="preserve"> (essential for remote)</w:t>
      </w:r>
      <w:bookmarkEnd w:id="102"/>
    </w:p>
    <w:p w14:paraId="0CC00359" w14:textId="77777777" w:rsidR="00FA7F33" w:rsidRDefault="00FA7F33" w:rsidP="00FA7F33">
      <w:r>
        <w:t xml:space="preserve">To aid in the management and resolution of interference issues, it is proposed that the details of certain types of transmitters operated under an extended 3.4 GHz band </w:t>
      </w:r>
      <w:r>
        <w:rPr>
          <w:rFonts w:cs="Arial"/>
        </w:rPr>
        <w:t xml:space="preserve">‘area-wide’ </w:t>
      </w:r>
      <w:r>
        <w:t xml:space="preserve">apparatus licence are required to be included in the RRL before they are </w:t>
      </w:r>
      <w:r>
        <w:lastRenderedPageBreak/>
        <w:t>operated (for simplicity, this is referred to ‘registration’ in this paper). This is a similar approach used under spectrum licensing regimes and it is proposed to align registration requirements with that in the 3.4 GHz spectrum licensing technical framework.</w:t>
      </w:r>
    </w:p>
    <w:p w14:paraId="3D4D2DC5" w14:textId="15351D24" w:rsidR="00FA7F33" w:rsidRDefault="00FA7F33" w:rsidP="00FA7F33">
      <w:r>
        <w:t>For FSS receive services in an AWL framework all receivers will be required to be registered if they wish to be afforded protection</w:t>
      </w:r>
      <w:r w:rsidR="00302F8E">
        <w:t xml:space="preserve"> under applicable SL or AWL technical frameworks</w:t>
      </w:r>
      <w:r>
        <w:t>.</w:t>
      </w:r>
    </w:p>
    <w:p w14:paraId="54E1C07F" w14:textId="77777777" w:rsidR="00FA7F33" w:rsidRPr="007D04B2" w:rsidRDefault="00FA7F33" w:rsidP="00FA7F33">
      <w:pPr>
        <w:pStyle w:val="sub-heading"/>
      </w:pPr>
      <w:bookmarkStart w:id="103" w:name="_Toc94603313"/>
      <w:r>
        <w:t>Consequential policy document changes (essential for remote)</w:t>
      </w:r>
      <w:bookmarkEnd w:id="103"/>
    </w:p>
    <w:p w14:paraId="73A2B17C" w14:textId="77777777" w:rsidR="00FA7F33" w:rsidRDefault="00FA7F33" w:rsidP="00FA7F33">
      <w:r>
        <w:t>As PMP and PTS services in the 3.4 GHz band will either be transitioned to the AWL framework or to the spectrum licensing technical framework, the following policy document changes will occur:</w:t>
      </w:r>
    </w:p>
    <w:p w14:paraId="437FCAB9" w14:textId="77777777" w:rsidR="00FA7F33" w:rsidRPr="00A044D0" w:rsidRDefault="00FA7F33" w:rsidP="00FA7F33">
      <w:pPr>
        <w:pStyle w:val="ListParagraph"/>
      </w:pPr>
      <w:r w:rsidRPr="00A044D0">
        <w:t>Retiring RALI FX14 “Point to multipoint fixed services in specified parts of the 3.4–3.5 GHz band”</w:t>
      </w:r>
      <w:r>
        <w:t>.</w:t>
      </w:r>
      <w:r w:rsidRPr="00A044D0">
        <w:t xml:space="preserve"> </w:t>
      </w:r>
      <w:r>
        <w:t>No new PMP services will be issued in that frequency range once AWL arrangements are in place</w:t>
      </w:r>
      <w:r w:rsidRPr="00A044D0">
        <w:t>.</w:t>
      </w:r>
      <w:r>
        <w:t xml:space="preserve"> Protection criteria for incumbent PMP will be contained in a new AWL RALI</w:t>
      </w:r>
      <w:r w:rsidRPr="00A044D0">
        <w:t>.</w:t>
      </w:r>
    </w:p>
    <w:p w14:paraId="1890EB9C" w14:textId="77777777" w:rsidR="00FA7F33" w:rsidRPr="00A044D0" w:rsidRDefault="00FA7F33" w:rsidP="00FA7F33">
      <w:pPr>
        <w:pStyle w:val="ListParagraph"/>
      </w:pPr>
      <w:r w:rsidRPr="00A044D0">
        <w:t>Modifying RALI</w:t>
      </w:r>
      <w:r>
        <w:t xml:space="preserve"> </w:t>
      </w:r>
      <w:r w:rsidRPr="00A044D0">
        <w:t>FX19 “Broadband Wireless Access 1900 to 1920 and 3575 to 3700 MHz bands” to remove</w:t>
      </w:r>
      <w:r>
        <w:t xml:space="preserve"> references</w:t>
      </w:r>
      <w:r w:rsidRPr="00A044D0">
        <w:t xml:space="preserve"> the 3575-3700 MHz range.</w:t>
      </w:r>
      <w:r>
        <w:t xml:space="preserve"> No new PMP services will be issued in the 3575-3700 MHz band once AWL arrangements are in place</w:t>
      </w:r>
      <w:r w:rsidRPr="00A044D0">
        <w:t>.</w:t>
      </w:r>
      <w:r>
        <w:t xml:space="preserve"> Protection criteria for incumbent PMP will be contained in a new AWL RALI.</w:t>
      </w:r>
    </w:p>
    <w:p w14:paraId="0AAB6F54" w14:textId="77E93651" w:rsidR="00FA7F33" w:rsidRDefault="00FA7F33" w:rsidP="00FA7F33">
      <w:pPr>
        <w:pStyle w:val="ListParagraph"/>
      </w:pPr>
      <w:r>
        <w:t>Modifying RALI FX03 “</w:t>
      </w:r>
      <w:r w:rsidRPr="00374B60">
        <w:t>microwave fixed services</w:t>
      </w:r>
      <w:r>
        <w:t>“ to remove references to point-to-multipoint services in the 3.4 GHz (3425-3492.5 MHz) band</w:t>
      </w:r>
      <w:r w:rsidR="009647E9">
        <w:t>,</w:t>
      </w:r>
      <w:r>
        <w:t xml:space="preserve"> RALI FX14</w:t>
      </w:r>
      <w:r w:rsidR="009647E9">
        <w:t xml:space="preserve"> and to provide guidance to the flexible use of the channel raster in the band.</w:t>
      </w:r>
    </w:p>
    <w:p w14:paraId="6DDAB112" w14:textId="77777777" w:rsidR="00FA7F33" w:rsidRDefault="00FA7F33" w:rsidP="00FA7F33">
      <w:pPr>
        <w:pStyle w:val="ListParagraph"/>
      </w:pPr>
      <w:r>
        <w:t>Retiring RALI MS39 “</w:t>
      </w:r>
      <w:r w:rsidRPr="00374B60">
        <w:t>Frequency coordination and licensing procedures for apparatus licensed public telecommunications services in the 3.5 GHz band</w:t>
      </w:r>
      <w:r>
        <w:t>” as there will no longer be PTS services in the band.</w:t>
      </w:r>
    </w:p>
    <w:p w14:paraId="79C7EB48" w14:textId="77777777" w:rsidR="00FA7F33" w:rsidRDefault="00FA7F33" w:rsidP="00FA7F33">
      <w:pPr>
        <w:pStyle w:val="ListParagraph"/>
      </w:pPr>
      <w:r>
        <w:t>Creating a new RALI (MS47) to document the AWL framework coordination requirements with other services and to incorporate relevant coordination criteria from FX14, FX19, FX03 and MS39.</w:t>
      </w:r>
    </w:p>
    <w:p w14:paraId="5F971249" w14:textId="77777777" w:rsidR="009647E9" w:rsidRPr="00AD6BED" w:rsidRDefault="009647E9" w:rsidP="007F68A0">
      <w:pPr>
        <w:pStyle w:val="Heading3"/>
      </w:pPr>
      <w:bookmarkStart w:id="104" w:name="_Toc76378848"/>
      <w:bookmarkStart w:id="105" w:name="_Toc94603314"/>
      <w:r w:rsidRPr="00B1548D">
        <w:t>Proposed changes to RALI FX03</w:t>
      </w:r>
      <w:bookmarkEnd w:id="104"/>
      <w:bookmarkEnd w:id="105"/>
    </w:p>
    <w:p w14:paraId="00628AEC" w14:textId="48D5B8DC" w:rsidR="009647E9" w:rsidRDefault="00BC5371" w:rsidP="009647E9">
      <w:pPr>
        <w:rPr>
          <w:rFonts w:cs="Arial"/>
        </w:rPr>
      </w:pPr>
      <w:r>
        <w:rPr>
          <w:rFonts w:cs="Arial"/>
        </w:rPr>
        <w:t>Possible changes to RALI FX03, if PTP Option A was adopted, are contained in Appendix C.</w:t>
      </w:r>
    </w:p>
    <w:p w14:paraId="2FA671E5" w14:textId="77777777" w:rsidR="00BD0278" w:rsidRDefault="00BD0278">
      <w:pPr>
        <w:spacing w:after="160" w:line="259" w:lineRule="auto"/>
        <w:rPr>
          <w:rFonts w:cs="Arial"/>
          <w:b/>
          <w:bCs/>
          <w:szCs w:val="26"/>
        </w:rPr>
      </w:pPr>
      <w:r>
        <w:br w:type="page"/>
      </w:r>
    </w:p>
    <w:p w14:paraId="0E50B3A3" w14:textId="5A66AA77" w:rsidR="00CA7B09" w:rsidRPr="00AD6BED" w:rsidRDefault="00CA7B09" w:rsidP="00CA7B09">
      <w:pPr>
        <w:pStyle w:val="Heading3"/>
        <w:rPr>
          <w:iCs/>
        </w:rPr>
      </w:pPr>
      <w:bookmarkStart w:id="106" w:name="_Toc94603315"/>
      <w:r w:rsidRPr="00B1548D">
        <w:lastRenderedPageBreak/>
        <w:t>Proposed changes to RALI FX</w:t>
      </w:r>
      <w:r>
        <w:t>19</w:t>
      </w:r>
      <w:bookmarkEnd w:id="106"/>
    </w:p>
    <w:p w14:paraId="03A1FEC9" w14:textId="638602F5" w:rsidR="00E50853" w:rsidRDefault="00CA7B09" w:rsidP="007F68A0">
      <w:pPr>
        <w:rPr>
          <w:b/>
          <w:bCs/>
          <w:color w:val="323232"/>
          <w:szCs w:val="20"/>
        </w:rPr>
      </w:pPr>
      <w:r>
        <w:rPr>
          <w:rFonts w:cs="Arial"/>
        </w:rPr>
        <w:t xml:space="preserve">The proposed changes </w:t>
      </w:r>
      <w:r w:rsidR="009274D0">
        <w:rPr>
          <w:rFonts w:cs="Arial"/>
        </w:rPr>
        <w:t>simply remo</w:t>
      </w:r>
      <w:r w:rsidR="00BD0278">
        <w:rPr>
          <w:rFonts w:cs="Arial"/>
        </w:rPr>
        <w:t>v</w:t>
      </w:r>
      <w:r w:rsidR="009274D0">
        <w:rPr>
          <w:rFonts w:cs="Arial"/>
        </w:rPr>
        <w:t>e reference to the RALI covering Broadband Wireless Access services in the 3575-3700 MHz range.</w:t>
      </w:r>
    </w:p>
    <w:p w14:paraId="16DFD45E" w14:textId="597BAA0F" w:rsidR="00AF6130" w:rsidRDefault="00AF6130" w:rsidP="007F68A0">
      <w:pPr>
        <w:pStyle w:val="ACMATableHeader"/>
      </w:pPr>
      <w:r>
        <w:t>: Proposed changes to RALI FX19</w:t>
      </w:r>
    </w:p>
    <w:tbl>
      <w:tblPr>
        <w:tblW w:w="11260" w:type="dxa"/>
        <w:tblLook w:val="04A0" w:firstRow="1" w:lastRow="0" w:firstColumn="1" w:lastColumn="0" w:noHBand="0" w:noVBand="1"/>
        <w:tblCaption w:val="Table title to go here"/>
        <w:tblDescription w:val="Table description to go here"/>
      </w:tblPr>
      <w:tblGrid>
        <w:gridCol w:w="3205"/>
        <w:gridCol w:w="4723"/>
        <w:gridCol w:w="3332"/>
      </w:tblGrid>
      <w:tr w:rsidR="00781D11" w:rsidRPr="00781D11" w14:paraId="65CFE371" w14:textId="77777777" w:rsidTr="007F68A0">
        <w:trPr>
          <w:gridAfter w:val="1"/>
          <w:wAfter w:w="3332" w:type="dxa"/>
          <w:cantSplit/>
          <w:trHeight w:val="293"/>
          <w:tblHeader/>
        </w:trPr>
        <w:tc>
          <w:tcPr>
            <w:tcW w:w="3205" w:type="dxa"/>
            <w:tcBorders>
              <w:top w:val="single" w:sz="8" w:space="0" w:color="auto"/>
              <w:left w:val="single" w:sz="8" w:space="0" w:color="auto"/>
              <w:bottom w:val="nil"/>
              <w:right w:val="nil"/>
            </w:tcBorders>
            <w:shd w:val="clear" w:color="000000" w:fill="404040"/>
            <w:vAlign w:val="center"/>
            <w:hideMark/>
          </w:tcPr>
          <w:p w14:paraId="030B70BA" w14:textId="132B3B41" w:rsidR="00781D11" w:rsidRPr="00781D11" w:rsidRDefault="00781D11" w:rsidP="00781D11">
            <w:pPr>
              <w:spacing w:after="0" w:line="240" w:lineRule="auto"/>
              <w:rPr>
                <w:rFonts w:cs="Arial"/>
                <w:b/>
                <w:bCs/>
                <w:color w:val="FFFFFF"/>
                <w:szCs w:val="20"/>
              </w:rPr>
            </w:pPr>
            <w:r w:rsidRPr="00781D11">
              <w:rPr>
                <w:rFonts w:cs="Arial"/>
                <w:b/>
                <w:bCs/>
                <w:color w:val="FFFFFF"/>
                <w:szCs w:val="20"/>
              </w:rPr>
              <w:t xml:space="preserve">Clause/s </w:t>
            </w:r>
          </w:p>
        </w:tc>
        <w:tc>
          <w:tcPr>
            <w:tcW w:w="4723" w:type="dxa"/>
            <w:tcBorders>
              <w:top w:val="single" w:sz="8" w:space="0" w:color="auto"/>
              <w:left w:val="nil"/>
              <w:bottom w:val="single" w:sz="8" w:space="0" w:color="auto"/>
              <w:right w:val="single" w:sz="8" w:space="0" w:color="auto"/>
            </w:tcBorders>
            <w:shd w:val="clear" w:color="000000" w:fill="404040"/>
            <w:vAlign w:val="center"/>
            <w:hideMark/>
          </w:tcPr>
          <w:p w14:paraId="68F04D3C" w14:textId="77777777" w:rsidR="00781D11" w:rsidRPr="00781D11" w:rsidRDefault="00781D11" w:rsidP="00781D11">
            <w:pPr>
              <w:spacing w:after="0" w:line="240" w:lineRule="auto"/>
              <w:rPr>
                <w:rFonts w:cs="Arial"/>
                <w:b/>
                <w:bCs/>
                <w:color w:val="FFFFFF"/>
                <w:szCs w:val="20"/>
              </w:rPr>
            </w:pPr>
            <w:r w:rsidRPr="00781D11">
              <w:rPr>
                <w:rFonts w:cs="Arial"/>
                <w:b/>
                <w:bCs/>
                <w:color w:val="FFFFFF"/>
                <w:szCs w:val="20"/>
              </w:rPr>
              <w:t>Proposed change</w:t>
            </w:r>
          </w:p>
        </w:tc>
      </w:tr>
      <w:tr w:rsidR="00781D11" w:rsidRPr="00781D11" w14:paraId="42D84630" w14:textId="77777777" w:rsidTr="007F68A0">
        <w:trPr>
          <w:gridAfter w:val="1"/>
          <w:wAfter w:w="3332" w:type="dxa"/>
          <w:trHeight w:val="510"/>
        </w:trPr>
        <w:tc>
          <w:tcPr>
            <w:tcW w:w="3205" w:type="dxa"/>
            <w:tcBorders>
              <w:top w:val="single" w:sz="8" w:space="0" w:color="auto"/>
              <w:left w:val="single" w:sz="8" w:space="0" w:color="auto"/>
              <w:bottom w:val="nil"/>
              <w:right w:val="single" w:sz="8" w:space="0" w:color="auto"/>
            </w:tcBorders>
            <w:shd w:val="clear" w:color="auto" w:fill="auto"/>
            <w:vAlign w:val="center"/>
            <w:hideMark/>
          </w:tcPr>
          <w:p w14:paraId="7355656D" w14:textId="77777777" w:rsidR="00781D11" w:rsidRPr="00781D11" w:rsidRDefault="00781D11" w:rsidP="00781D11">
            <w:pPr>
              <w:spacing w:after="0" w:line="240" w:lineRule="auto"/>
              <w:rPr>
                <w:rFonts w:cs="Arial"/>
                <w:szCs w:val="20"/>
              </w:rPr>
            </w:pPr>
            <w:r w:rsidRPr="00781D11">
              <w:rPr>
                <w:rFonts w:cs="Arial"/>
                <w:szCs w:val="20"/>
              </w:rPr>
              <w:t xml:space="preserve">3.2   BWA transmitter into fixed link receiver </w:t>
            </w:r>
          </w:p>
        </w:tc>
        <w:tc>
          <w:tcPr>
            <w:tcW w:w="4723" w:type="dxa"/>
            <w:tcBorders>
              <w:top w:val="nil"/>
              <w:left w:val="nil"/>
              <w:bottom w:val="nil"/>
              <w:right w:val="single" w:sz="8" w:space="0" w:color="auto"/>
            </w:tcBorders>
            <w:shd w:val="clear" w:color="auto" w:fill="auto"/>
            <w:vAlign w:val="center"/>
            <w:hideMark/>
          </w:tcPr>
          <w:p w14:paraId="2E20FEB6" w14:textId="77777777" w:rsidR="00781D11" w:rsidRPr="00781D11" w:rsidRDefault="00781D11" w:rsidP="00781D11">
            <w:pPr>
              <w:spacing w:after="0" w:line="240" w:lineRule="auto"/>
              <w:rPr>
                <w:rFonts w:cs="Arial"/>
                <w:szCs w:val="20"/>
              </w:rPr>
            </w:pPr>
            <w:r w:rsidRPr="00781D11">
              <w:rPr>
                <w:rFonts w:cs="Arial"/>
                <w:szCs w:val="20"/>
              </w:rPr>
              <w:t xml:space="preserve">Removed 3.2 paragraph 3 &amp; 5 </w:t>
            </w:r>
          </w:p>
        </w:tc>
      </w:tr>
      <w:tr w:rsidR="00781D11" w:rsidRPr="00781D11" w14:paraId="4298CB7D" w14:textId="77777777" w:rsidTr="007F68A0">
        <w:trPr>
          <w:gridAfter w:val="1"/>
          <w:wAfter w:w="3332" w:type="dxa"/>
          <w:trHeight w:val="293"/>
        </w:trPr>
        <w:tc>
          <w:tcPr>
            <w:tcW w:w="3205" w:type="dxa"/>
            <w:tcBorders>
              <w:top w:val="nil"/>
              <w:left w:val="single" w:sz="8" w:space="0" w:color="auto"/>
              <w:bottom w:val="single" w:sz="8" w:space="0" w:color="auto"/>
              <w:right w:val="single" w:sz="8" w:space="0" w:color="auto"/>
            </w:tcBorders>
            <w:shd w:val="clear" w:color="auto" w:fill="auto"/>
            <w:vAlign w:val="center"/>
            <w:hideMark/>
          </w:tcPr>
          <w:p w14:paraId="7E097082" w14:textId="77777777" w:rsidR="00781D11" w:rsidRPr="00781D11" w:rsidRDefault="00781D11" w:rsidP="00781D11">
            <w:pPr>
              <w:spacing w:after="0" w:line="240" w:lineRule="auto"/>
              <w:rPr>
                <w:rFonts w:cs="Arial"/>
                <w:b/>
                <w:bCs/>
                <w:color w:val="FFFFFF"/>
                <w:szCs w:val="20"/>
              </w:rPr>
            </w:pPr>
            <w:r w:rsidRPr="00781D11">
              <w:rPr>
                <w:rFonts w:cs="Arial"/>
                <w:b/>
                <w:bCs/>
                <w:color w:val="FFFFFF"/>
                <w:szCs w:val="20"/>
              </w:rPr>
              <w:t> </w:t>
            </w:r>
          </w:p>
        </w:tc>
        <w:tc>
          <w:tcPr>
            <w:tcW w:w="4723" w:type="dxa"/>
            <w:tcBorders>
              <w:top w:val="nil"/>
              <w:left w:val="nil"/>
              <w:bottom w:val="single" w:sz="8" w:space="0" w:color="auto"/>
              <w:right w:val="single" w:sz="8" w:space="0" w:color="auto"/>
            </w:tcBorders>
            <w:shd w:val="clear" w:color="auto" w:fill="auto"/>
            <w:vAlign w:val="center"/>
            <w:hideMark/>
          </w:tcPr>
          <w:p w14:paraId="4B2E1998" w14:textId="77777777" w:rsidR="00781D11" w:rsidRPr="00781D11" w:rsidRDefault="00781D11" w:rsidP="00781D11">
            <w:pPr>
              <w:spacing w:after="0" w:line="240" w:lineRule="auto"/>
              <w:rPr>
                <w:rFonts w:cs="Arial"/>
                <w:szCs w:val="20"/>
              </w:rPr>
            </w:pPr>
            <w:r w:rsidRPr="00781D11">
              <w:rPr>
                <w:rFonts w:cs="Arial"/>
                <w:szCs w:val="20"/>
              </w:rPr>
              <w:t> </w:t>
            </w:r>
          </w:p>
        </w:tc>
      </w:tr>
      <w:tr w:rsidR="00781D11" w:rsidRPr="00781D11" w14:paraId="63031BF5" w14:textId="77777777" w:rsidTr="007F68A0">
        <w:trPr>
          <w:gridAfter w:val="1"/>
          <w:wAfter w:w="3332" w:type="dxa"/>
          <w:trHeight w:val="510"/>
        </w:trPr>
        <w:tc>
          <w:tcPr>
            <w:tcW w:w="3205" w:type="dxa"/>
            <w:tcBorders>
              <w:top w:val="nil"/>
              <w:left w:val="single" w:sz="8" w:space="0" w:color="auto"/>
              <w:bottom w:val="nil"/>
              <w:right w:val="single" w:sz="8" w:space="0" w:color="auto"/>
            </w:tcBorders>
            <w:shd w:val="clear" w:color="000000" w:fill="F2F2F2"/>
            <w:vAlign w:val="center"/>
            <w:hideMark/>
          </w:tcPr>
          <w:p w14:paraId="7AC34A21" w14:textId="77777777" w:rsidR="00781D11" w:rsidRPr="00781D11" w:rsidRDefault="00781D11" w:rsidP="00781D11">
            <w:pPr>
              <w:spacing w:after="0" w:line="240" w:lineRule="auto"/>
              <w:rPr>
                <w:rFonts w:cs="Arial"/>
                <w:szCs w:val="20"/>
              </w:rPr>
            </w:pPr>
            <w:r w:rsidRPr="00781D11">
              <w:rPr>
                <w:rFonts w:cs="Arial"/>
                <w:szCs w:val="20"/>
              </w:rPr>
              <w:t xml:space="preserve">3.3   Fixed link transmitter to BWA receiver </w:t>
            </w:r>
          </w:p>
        </w:tc>
        <w:tc>
          <w:tcPr>
            <w:tcW w:w="4723" w:type="dxa"/>
            <w:tcBorders>
              <w:top w:val="nil"/>
              <w:left w:val="nil"/>
              <w:bottom w:val="nil"/>
              <w:right w:val="single" w:sz="8" w:space="0" w:color="auto"/>
            </w:tcBorders>
            <w:shd w:val="clear" w:color="000000" w:fill="F2F2F2"/>
            <w:vAlign w:val="center"/>
            <w:hideMark/>
          </w:tcPr>
          <w:p w14:paraId="30FFDE62" w14:textId="77777777" w:rsidR="00781D11" w:rsidRPr="00781D11" w:rsidRDefault="00781D11" w:rsidP="00781D11">
            <w:pPr>
              <w:spacing w:after="0" w:line="240" w:lineRule="auto"/>
              <w:rPr>
                <w:rFonts w:cs="Arial"/>
                <w:szCs w:val="20"/>
              </w:rPr>
            </w:pPr>
            <w:r w:rsidRPr="00781D11">
              <w:rPr>
                <w:rFonts w:cs="Arial"/>
                <w:szCs w:val="20"/>
              </w:rPr>
              <w:t xml:space="preserve">Removed 3.2 paragraph 2 &amp; 4 </w:t>
            </w:r>
          </w:p>
        </w:tc>
      </w:tr>
      <w:tr w:rsidR="00781D11" w:rsidRPr="00781D11" w14:paraId="4EEEFC16" w14:textId="77777777" w:rsidTr="007F68A0">
        <w:trPr>
          <w:gridAfter w:val="1"/>
          <w:wAfter w:w="3332" w:type="dxa"/>
          <w:trHeight w:val="408"/>
        </w:trPr>
        <w:tc>
          <w:tcPr>
            <w:tcW w:w="3205" w:type="dxa"/>
            <w:tcBorders>
              <w:top w:val="nil"/>
              <w:left w:val="single" w:sz="8" w:space="0" w:color="auto"/>
              <w:bottom w:val="single" w:sz="8" w:space="0" w:color="000000"/>
              <w:right w:val="single" w:sz="8" w:space="0" w:color="auto"/>
            </w:tcBorders>
            <w:shd w:val="clear" w:color="000000" w:fill="F2F2F2"/>
            <w:vAlign w:val="center"/>
            <w:hideMark/>
          </w:tcPr>
          <w:p w14:paraId="0954755A" w14:textId="77777777" w:rsidR="00781D11" w:rsidRPr="00781D11" w:rsidRDefault="00781D11" w:rsidP="00781D11">
            <w:pPr>
              <w:spacing w:after="0" w:line="240" w:lineRule="auto"/>
              <w:rPr>
                <w:rFonts w:cs="Arial"/>
                <w:b/>
                <w:bCs/>
                <w:color w:val="FFFFFF"/>
                <w:szCs w:val="20"/>
              </w:rPr>
            </w:pPr>
            <w:r w:rsidRPr="00781D11">
              <w:rPr>
                <w:rFonts w:cs="Arial"/>
                <w:b/>
                <w:bCs/>
                <w:color w:val="FFFFFF"/>
                <w:szCs w:val="20"/>
              </w:rPr>
              <w:t> </w:t>
            </w:r>
          </w:p>
        </w:tc>
        <w:tc>
          <w:tcPr>
            <w:tcW w:w="4723" w:type="dxa"/>
            <w:tcBorders>
              <w:top w:val="nil"/>
              <w:left w:val="single" w:sz="8" w:space="0" w:color="auto"/>
              <w:bottom w:val="single" w:sz="8" w:space="0" w:color="000000"/>
              <w:right w:val="single" w:sz="8" w:space="0" w:color="auto"/>
            </w:tcBorders>
            <w:shd w:val="clear" w:color="000000" w:fill="F2F2F2"/>
            <w:vAlign w:val="center"/>
            <w:hideMark/>
          </w:tcPr>
          <w:p w14:paraId="0826AE07" w14:textId="77777777" w:rsidR="00781D11" w:rsidRPr="00781D11" w:rsidRDefault="00781D11" w:rsidP="00781D11">
            <w:pPr>
              <w:spacing w:after="0" w:line="240" w:lineRule="auto"/>
              <w:rPr>
                <w:rFonts w:cs="Arial"/>
                <w:szCs w:val="20"/>
              </w:rPr>
            </w:pPr>
            <w:r w:rsidRPr="00781D11">
              <w:rPr>
                <w:rFonts w:cs="Arial"/>
                <w:szCs w:val="20"/>
              </w:rPr>
              <w:t> </w:t>
            </w:r>
          </w:p>
        </w:tc>
      </w:tr>
      <w:tr w:rsidR="00781D11" w:rsidRPr="00781D11" w14:paraId="0A6B50AC" w14:textId="77777777" w:rsidTr="007F68A0">
        <w:trPr>
          <w:trHeight w:val="75"/>
        </w:trPr>
        <w:tc>
          <w:tcPr>
            <w:tcW w:w="3205" w:type="dxa"/>
            <w:tcBorders>
              <w:top w:val="nil"/>
              <w:left w:val="single" w:sz="8" w:space="0" w:color="auto"/>
              <w:bottom w:val="single" w:sz="8" w:space="0" w:color="000000"/>
              <w:right w:val="single" w:sz="8" w:space="0" w:color="auto"/>
            </w:tcBorders>
            <w:vAlign w:val="center"/>
            <w:hideMark/>
          </w:tcPr>
          <w:p w14:paraId="4149C503" w14:textId="77777777" w:rsidR="00781D11" w:rsidRPr="00781D11" w:rsidRDefault="00781D11" w:rsidP="00781D11">
            <w:pPr>
              <w:spacing w:after="0" w:line="240" w:lineRule="auto"/>
              <w:rPr>
                <w:rFonts w:cs="Arial"/>
                <w:b/>
                <w:bCs/>
                <w:color w:val="FFFFFF"/>
                <w:szCs w:val="20"/>
              </w:rPr>
            </w:pPr>
          </w:p>
        </w:tc>
        <w:tc>
          <w:tcPr>
            <w:tcW w:w="4723" w:type="dxa"/>
            <w:tcBorders>
              <w:top w:val="nil"/>
              <w:left w:val="single" w:sz="8" w:space="0" w:color="auto"/>
              <w:bottom w:val="single" w:sz="8" w:space="0" w:color="000000"/>
              <w:right w:val="single" w:sz="8" w:space="0" w:color="auto"/>
            </w:tcBorders>
            <w:vAlign w:val="center"/>
            <w:hideMark/>
          </w:tcPr>
          <w:p w14:paraId="4617E8F1" w14:textId="77777777" w:rsidR="00781D11" w:rsidRPr="00781D11" w:rsidRDefault="00781D11" w:rsidP="00781D11">
            <w:pPr>
              <w:spacing w:after="0" w:line="240" w:lineRule="auto"/>
              <w:rPr>
                <w:rFonts w:cs="Arial"/>
                <w:szCs w:val="20"/>
              </w:rPr>
            </w:pPr>
          </w:p>
        </w:tc>
        <w:tc>
          <w:tcPr>
            <w:tcW w:w="3332" w:type="dxa"/>
            <w:tcBorders>
              <w:top w:val="nil"/>
              <w:left w:val="nil"/>
              <w:bottom w:val="nil"/>
              <w:right w:val="nil"/>
            </w:tcBorders>
            <w:shd w:val="clear" w:color="auto" w:fill="auto"/>
            <w:noWrap/>
            <w:vAlign w:val="bottom"/>
            <w:hideMark/>
          </w:tcPr>
          <w:p w14:paraId="1E505220" w14:textId="77777777" w:rsidR="00781D11" w:rsidRPr="00781D11" w:rsidRDefault="00781D11" w:rsidP="00781D11">
            <w:pPr>
              <w:spacing w:after="0" w:line="240" w:lineRule="auto"/>
              <w:rPr>
                <w:rFonts w:cs="Arial"/>
                <w:szCs w:val="20"/>
              </w:rPr>
            </w:pPr>
          </w:p>
        </w:tc>
      </w:tr>
      <w:tr w:rsidR="00781D11" w:rsidRPr="00781D11" w14:paraId="0A096B32" w14:textId="77777777" w:rsidTr="007F68A0">
        <w:trPr>
          <w:trHeight w:val="555"/>
        </w:trPr>
        <w:tc>
          <w:tcPr>
            <w:tcW w:w="3205" w:type="dxa"/>
            <w:tcBorders>
              <w:top w:val="nil"/>
              <w:left w:val="single" w:sz="8" w:space="0" w:color="auto"/>
              <w:bottom w:val="nil"/>
              <w:right w:val="single" w:sz="8" w:space="0" w:color="auto"/>
            </w:tcBorders>
            <w:shd w:val="clear" w:color="000000" w:fill="FFFFFF"/>
            <w:vAlign w:val="center"/>
            <w:hideMark/>
          </w:tcPr>
          <w:p w14:paraId="52028F0E" w14:textId="77777777" w:rsidR="00781D11" w:rsidRPr="00781D11" w:rsidRDefault="00781D11" w:rsidP="00781D11">
            <w:pPr>
              <w:spacing w:after="0" w:line="240" w:lineRule="auto"/>
              <w:rPr>
                <w:rFonts w:cs="Arial"/>
                <w:color w:val="000000"/>
                <w:szCs w:val="20"/>
              </w:rPr>
            </w:pPr>
            <w:r w:rsidRPr="00781D11">
              <w:rPr>
                <w:rFonts w:cs="Arial"/>
                <w:color w:val="000000"/>
                <w:szCs w:val="20"/>
              </w:rPr>
              <w:t>3.4   BWA transmitter into Spectrum Licensed Space</w:t>
            </w:r>
          </w:p>
        </w:tc>
        <w:tc>
          <w:tcPr>
            <w:tcW w:w="4723" w:type="dxa"/>
            <w:tcBorders>
              <w:top w:val="nil"/>
              <w:left w:val="nil"/>
              <w:bottom w:val="nil"/>
              <w:right w:val="single" w:sz="8" w:space="0" w:color="auto"/>
            </w:tcBorders>
            <w:shd w:val="clear" w:color="000000" w:fill="FFFFFF"/>
            <w:vAlign w:val="center"/>
            <w:hideMark/>
          </w:tcPr>
          <w:p w14:paraId="4736EB3F" w14:textId="77777777" w:rsidR="00781D11" w:rsidRPr="00781D11" w:rsidRDefault="00781D11" w:rsidP="00781D11">
            <w:pPr>
              <w:spacing w:after="0" w:line="240" w:lineRule="auto"/>
              <w:rPr>
                <w:rFonts w:cs="Arial"/>
                <w:szCs w:val="20"/>
              </w:rPr>
            </w:pPr>
            <w:r w:rsidRPr="00781D11">
              <w:rPr>
                <w:rFonts w:cs="Arial"/>
                <w:szCs w:val="20"/>
              </w:rPr>
              <w:t>Removed 3.4.1 3575-3770 MHz references in paragraph 3</w:t>
            </w:r>
          </w:p>
        </w:tc>
        <w:tc>
          <w:tcPr>
            <w:tcW w:w="3332" w:type="dxa"/>
            <w:vAlign w:val="center"/>
            <w:hideMark/>
          </w:tcPr>
          <w:p w14:paraId="20EB9D97" w14:textId="77777777" w:rsidR="00781D11" w:rsidRPr="00781D11" w:rsidRDefault="00781D11" w:rsidP="00781D11">
            <w:pPr>
              <w:spacing w:after="0" w:line="240" w:lineRule="auto"/>
              <w:rPr>
                <w:rFonts w:ascii="Times New Roman" w:hAnsi="Times New Roman"/>
                <w:szCs w:val="20"/>
              </w:rPr>
            </w:pPr>
          </w:p>
        </w:tc>
      </w:tr>
      <w:tr w:rsidR="00781D11" w:rsidRPr="00781D11" w14:paraId="2DE2575C" w14:textId="77777777" w:rsidTr="007F68A0">
        <w:trPr>
          <w:trHeight w:val="525"/>
        </w:trPr>
        <w:tc>
          <w:tcPr>
            <w:tcW w:w="3205" w:type="dxa"/>
            <w:tcBorders>
              <w:top w:val="nil"/>
              <w:left w:val="single" w:sz="8" w:space="0" w:color="auto"/>
              <w:bottom w:val="single" w:sz="8" w:space="0" w:color="auto"/>
              <w:right w:val="single" w:sz="8" w:space="0" w:color="auto"/>
            </w:tcBorders>
            <w:shd w:val="clear" w:color="000000" w:fill="FFFFFF"/>
            <w:vAlign w:val="center"/>
            <w:hideMark/>
          </w:tcPr>
          <w:p w14:paraId="26621FA1"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3.4.1 Adjacent Area Coordination  </w:t>
            </w:r>
          </w:p>
        </w:tc>
        <w:tc>
          <w:tcPr>
            <w:tcW w:w="4723" w:type="dxa"/>
            <w:tcBorders>
              <w:top w:val="nil"/>
              <w:left w:val="nil"/>
              <w:bottom w:val="nil"/>
              <w:right w:val="single" w:sz="8" w:space="0" w:color="auto"/>
            </w:tcBorders>
            <w:shd w:val="clear" w:color="000000" w:fill="FFFFFF"/>
            <w:vAlign w:val="center"/>
            <w:hideMark/>
          </w:tcPr>
          <w:p w14:paraId="1D641B63"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47B6BC6" w14:textId="77777777" w:rsidR="00781D11" w:rsidRPr="00781D11" w:rsidRDefault="00781D11" w:rsidP="00781D11">
            <w:pPr>
              <w:spacing w:after="0" w:line="240" w:lineRule="auto"/>
              <w:rPr>
                <w:rFonts w:ascii="Times New Roman" w:hAnsi="Times New Roman"/>
                <w:szCs w:val="20"/>
              </w:rPr>
            </w:pPr>
          </w:p>
        </w:tc>
      </w:tr>
      <w:tr w:rsidR="00781D11" w:rsidRPr="00781D11" w14:paraId="7D5D3F8D"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5F3E2263" w14:textId="77777777" w:rsidR="00781D11" w:rsidRPr="00781D11" w:rsidRDefault="00781D11" w:rsidP="00781D11">
            <w:pPr>
              <w:spacing w:after="0" w:line="240" w:lineRule="auto"/>
              <w:rPr>
                <w:rFonts w:cs="Arial"/>
                <w:color w:val="000000"/>
                <w:szCs w:val="20"/>
              </w:rPr>
            </w:pPr>
            <w:r w:rsidRPr="00781D11">
              <w:rPr>
                <w:rFonts w:cs="Arial"/>
                <w:color w:val="000000"/>
                <w:szCs w:val="20"/>
              </w:rPr>
              <w:t>3.4   BWA transmitter into Spectrum Licensed Space</w:t>
            </w:r>
          </w:p>
        </w:tc>
        <w:tc>
          <w:tcPr>
            <w:tcW w:w="4723" w:type="dxa"/>
            <w:tcBorders>
              <w:top w:val="nil"/>
              <w:left w:val="nil"/>
              <w:bottom w:val="nil"/>
              <w:right w:val="single" w:sz="8" w:space="0" w:color="auto"/>
            </w:tcBorders>
            <w:shd w:val="clear" w:color="000000" w:fill="F2F2F2"/>
            <w:vAlign w:val="center"/>
            <w:hideMark/>
          </w:tcPr>
          <w:p w14:paraId="6DBA121E" w14:textId="77777777" w:rsidR="00781D11" w:rsidRPr="00781D11" w:rsidRDefault="00781D11" w:rsidP="00781D11">
            <w:pPr>
              <w:spacing w:after="0" w:line="240" w:lineRule="auto"/>
              <w:rPr>
                <w:rFonts w:cs="Arial"/>
                <w:szCs w:val="20"/>
              </w:rPr>
            </w:pPr>
            <w:r w:rsidRPr="00781D11">
              <w:rPr>
                <w:rFonts w:cs="Arial"/>
                <w:szCs w:val="20"/>
              </w:rPr>
              <w:t xml:space="preserve">Removed 3.4.2 3575-3770 MHz references in paragraph 1 &amp; 2 </w:t>
            </w:r>
          </w:p>
        </w:tc>
        <w:tc>
          <w:tcPr>
            <w:tcW w:w="3332" w:type="dxa"/>
            <w:vAlign w:val="center"/>
            <w:hideMark/>
          </w:tcPr>
          <w:p w14:paraId="16560728" w14:textId="77777777" w:rsidR="00781D11" w:rsidRPr="00781D11" w:rsidRDefault="00781D11" w:rsidP="00781D11">
            <w:pPr>
              <w:spacing w:after="0" w:line="240" w:lineRule="auto"/>
              <w:rPr>
                <w:rFonts w:ascii="Times New Roman" w:hAnsi="Times New Roman"/>
                <w:szCs w:val="20"/>
              </w:rPr>
            </w:pPr>
          </w:p>
        </w:tc>
      </w:tr>
      <w:tr w:rsidR="00781D11" w:rsidRPr="00781D11" w14:paraId="2F9E65C0" w14:textId="77777777" w:rsidTr="007F68A0">
        <w:trPr>
          <w:trHeight w:val="458"/>
        </w:trPr>
        <w:tc>
          <w:tcPr>
            <w:tcW w:w="3205" w:type="dxa"/>
            <w:tcBorders>
              <w:top w:val="nil"/>
              <w:left w:val="single" w:sz="8" w:space="0" w:color="auto"/>
              <w:bottom w:val="nil"/>
              <w:right w:val="single" w:sz="8" w:space="0" w:color="auto"/>
            </w:tcBorders>
            <w:shd w:val="clear" w:color="000000" w:fill="F2F2F2"/>
            <w:vAlign w:val="center"/>
            <w:hideMark/>
          </w:tcPr>
          <w:p w14:paraId="7D5C02FF" w14:textId="77777777" w:rsidR="00781D11" w:rsidRPr="00781D11" w:rsidRDefault="00781D11" w:rsidP="00781D11">
            <w:pPr>
              <w:spacing w:after="0" w:line="240" w:lineRule="auto"/>
              <w:rPr>
                <w:rFonts w:cs="Arial"/>
                <w:color w:val="000000"/>
                <w:szCs w:val="20"/>
              </w:rPr>
            </w:pPr>
            <w:r w:rsidRPr="00781D11">
              <w:rPr>
                <w:rFonts w:cs="Arial"/>
                <w:color w:val="000000"/>
                <w:szCs w:val="20"/>
              </w:rPr>
              <w:t>3.4.2   Adjacent Band Coordination</w:t>
            </w:r>
          </w:p>
        </w:tc>
        <w:tc>
          <w:tcPr>
            <w:tcW w:w="4723" w:type="dxa"/>
            <w:tcBorders>
              <w:top w:val="nil"/>
              <w:left w:val="nil"/>
              <w:bottom w:val="nil"/>
              <w:right w:val="single" w:sz="8" w:space="0" w:color="auto"/>
            </w:tcBorders>
            <w:shd w:val="clear" w:color="000000" w:fill="F2F2F2"/>
            <w:vAlign w:val="center"/>
            <w:hideMark/>
          </w:tcPr>
          <w:p w14:paraId="4DEBFDBA"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7171A39B" w14:textId="77777777" w:rsidR="00781D11" w:rsidRPr="00781D11" w:rsidRDefault="00781D11" w:rsidP="00781D11">
            <w:pPr>
              <w:spacing w:after="0" w:line="240" w:lineRule="auto"/>
              <w:rPr>
                <w:rFonts w:ascii="Times New Roman" w:hAnsi="Times New Roman"/>
                <w:szCs w:val="20"/>
              </w:rPr>
            </w:pPr>
          </w:p>
        </w:tc>
      </w:tr>
      <w:tr w:rsidR="00781D11" w:rsidRPr="00781D11" w14:paraId="702F3B1E" w14:textId="77777777" w:rsidTr="007F68A0">
        <w:trPr>
          <w:trHeight w:val="510"/>
        </w:trPr>
        <w:tc>
          <w:tcPr>
            <w:tcW w:w="3205" w:type="dxa"/>
            <w:tcBorders>
              <w:top w:val="single" w:sz="8" w:space="0" w:color="auto"/>
              <w:left w:val="single" w:sz="8" w:space="0" w:color="auto"/>
              <w:bottom w:val="nil"/>
              <w:right w:val="nil"/>
            </w:tcBorders>
            <w:shd w:val="clear" w:color="000000" w:fill="FFFFFF"/>
            <w:vAlign w:val="center"/>
            <w:hideMark/>
          </w:tcPr>
          <w:p w14:paraId="6AB234B7"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3.5   Spectrum Licensed Device into BWA receiver  </w:t>
            </w:r>
          </w:p>
        </w:tc>
        <w:tc>
          <w:tcPr>
            <w:tcW w:w="4723" w:type="dxa"/>
            <w:tcBorders>
              <w:top w:val="single" w:sz="8" w:space="0" w:color="auto"/>
              <w:left w:val="single" w:sz="8" w:space="0" w:color="auto"/>
              <w:bottom w:val="nil"/>
              <w:right w:val="single" w:sz="8" w:space="0" w:color="auto"/>
            </w:tcBorders>
            <w:shd w:val="clear" w:color="000000" w:fill="FFFFFF"/>
            <w:vAlign w:val="center"/>
            <w:hideMark/>
          </w:tcPr>
          <w:p w14:paraId="519D32A3" w14:textId="77777777" w:rsidR="00781D11" w:rsidRPr="00781D11" w:rsidRDefault="00781D11" w:rsidP="00781D11">
            <w:pPr>
              <w:spacing w:after="0" w:line="240" w:lineRule="auto"/>
              <w:rPr>
                <w:rFonts w:cs="Arial"/>
                <w:color w:val="000000"/>
                <w:szCs w:val="20"/>
              </w:rPr>
            </w:pPr>
            <w:r w:rsidRPr="00781D11">
              <w:rPr>
                <w:rFonts w:cs="Arial"/>
                <w:color w:val="000000"/>
                <w:szCs w:val="20"/>
              </w:rPr>
              <w:t>Removed 3.5.2 3575-3770 MHz references in paragraph 1, 2 &amp; 3</w:t>
            </w:r>
          </w:p>
        </w:tc>
        <w:tc>
          <w:tcPr>
            <w:tcW w:w="3332" w:type="dxa"/>
            <w:vAlign w:val="center"/>
            <w:hideMark/>
          </w:tcPr>
          <w:p w14:paraId="16AC6F1C" w14:textId="77777777" w:rsidR="00781D11" w:rsidRPr="00781D11" w:rsidRDefault="00781D11" w:rsidP="00781D11">
            <w:pPr>
              <w:spacing w:after="0" w:line="240" w:lineRule="auto"/>
              <w:rPr>
                <w:rFonts w:ascii="Times New Roman" w:hAnsi="Times New Roman"/>
                <w:szCs w:val="20"/>
              </w:rPr>
            </w:pPr>
          </w:p>
        </w:tc>
      </w:tr>
      <w:tr w:rsidR="00781D11" w:rsidRPr="00781D11" w14:paraId="776E8549" w14:textId="77777777" w:rsidTr="007F68A0">
        <w:trPr>
          <w:trHeight w:val="293"/>
        </w:trPr>
        <w:tc>
          <w:tcPr>
            <w:tcW w:w="3205" w:type="dxa"/>
            <w:tcBorders>
              <w:top w:val="nil"/>
              <w:left w:val="single" w:sz="8" w:space="0" w:color="auto"/>
              <w:bottom w:val="nil"/>
              <w:right w:val="nil"/>
            </w:tcBorders>
            <w:shd w:val="clear" w:color="000000" w:fill="FFFFFF"/>
            <w:vAlign w:val="center"/>
            <w:hideMark/>
          </w:tcPr>
          <w:p w14:paraId="5EFBE5B5" w14:textId="77777777" w:rsidR="00781D11" w:rsidRPr="00781D11" w:rsidRDefault="00781D11" w:rsidP="00781D11">
            <w:pPr>
              <w:spacing w:after="0" w:line="240" w:lineRule="auto"/>
              <w:rPr>
                <w:rFonts w:cs="Arial"/>
                <w:color w:val="000000"/>
                <w:szCs w:val="20"/>
              </w:rPr>
            </w:pPr>
            <w:r w:rsidRPr="00781D11">
              <w:rPr>
                <w:rFonts w:cs="Arial"/>
                <w:color w:val="000000"/>
                <w:szCs w:val="20"/>
              </w:rPr>
              <w:t>3.5.2   Adjacent Band Coordination</w:t>
            </w:r>
          </w:p>
        </w:tc>
        <w:tc>
          <w:tcPr>
            <w:tcW w:w="4723" w:type="dxa"/>
            <w:tcBorders>
              <w:top w:val="nil"/>
              <w:left w:val="single" w:sz="8" w:space="0" w:color="auto"/>
              <w:bottom w:val="nil"/>
              <w:right w:val="single" w:sz="8" w:space="0" w:color="auto"/>
            </w:tcBorders>
            <w:shd w:val="clear" w:color="000000" w:fill="FFFFFF"/>
            <w:vAlign w:val="center"/>
            <w:hideMark/>
          </w:tcPr>
          <w:p w14:paraId="00A83BAE"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51063D67" w14:textId="77777777" w:rsidR="00781D11" w:rsidRPr="00781D11" w:rsidRDefault="00781D11" w:rsidP="00781D11">
            <w:pPr>
              <w:spacing w:after="0" w:line="240" w:lineRule="auto"/>
              <w:rPr>
                <w:rFonts w:ascii="Times New Roman" w:hAnsi="Times New Roman"/>
                <w:szCs w:val="20"/>
              </w:rPr>
            </w:pPr>
          </w:p>
        </w:tc>
      </w:tr>
      <w:tr w:rsidR="00781D11" w:rsidRPr="00781D11" w14:paraId="25302D39" w14:textId="77777777" w:rsidTr="007F68A0">
        <w:trPr>
          <w:trHeight w:val="510"/>
        </w:trPr>
        <w:tc>
          <w:tcPr>
            <w:tcW w:w="3205" w:type="dxa"/>
            <w:tcBorders>
              <w:top w:val="single" w:sz="8" w:space="0" w:color="auto"/>
              <w:left w:val="single" w:sz="8" w:space="0" w:color="auto"/>
              <w:bottom w:val="nil"/>
              <w:right w:val="nil"/>
            </w:tcBorders>
            <w:shd w:val="clear" w:color="000000" w:fill="F2F2F2"/>
            <w:vAlign w:val="center"/>
            <w:hideMark/>
          </w:tcPr>
          <w:p w14:paraId="65FC4A43"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3.8   3600-4200 MHz Band: BWA Transmitters into FSS </w:t>
            </w:r>
          </w:p>
        </w:tc>
        <w:tc>
          <w:tcPr>
            <w:tcW w:w="4723" w:type="dxa"/>
            <w:tcBorders>
              <w:top w:val="single" w:sz="8" w:space="0" w:color="auto"/>
              <w:left w:val="single" w:sz="8" w:space="0" w:color="auto"/>
              <w:bottom w:val="nil"/>
              <w:right w:val="single" w:sz="8" w:space="0" w:color="auto"/>
            </w:tcBorders>
            <w:shd w:val="clear" w:color="000000" w:fill="F2F2F2"/>
            <w:vAlign w:val="center"/>
            <w:hideMark/>
          </w:tcPr>
          <w:p w14:paraId="1AB9D937" w14:textId="77777777" w:rsidR="00781D11" w:rsidRPr="00781D11" w:rsidRDefault="00781D11" w:rsidP="00781D11">
            <w:pPr>
              <w:spacing w:after="0" w:line="240" w:lineRule="auto"/>
              <w:rPr>
                <w:rFonts w:cs="Arial"/>
                <w:color w:val="000000"/>
                <w:szCs w:val="20"/>
              </w:rPr>
            </w:pPr>
            <w:r w:rsidRPr="00781D11">
              <w:rPr>
                <w:rFonts w:cs="Arial"/>
                <w:color w:val="000000"/>
                <w:szCs w:val="20"/>
              </w:rPr>
              <w:t>Removed section 3.8</w:t>
            </w:r>
          </w:p>
        </w:tc>
        <w:tc>
          <w:tcPr>
            <w:tcW w:w="3332" w:type="dxa"/>
            <w:vAlign w:val="center"/>
            <w:hideMark/>
          </w:tcPr>
          <w:p w14:paraId="66CEC388" w14:textId="77777777" w:rsidR="00781D11" w:rsidRPr="00781D11" w:rsidRDefault="00781D11" w:rsidP="00781D11">
            <w:pPr>
              <w:spacing w:after="0" w:line="240" w:lineRule="auto"/>
              <w:rPr>
                <w:rFonts w:ascii="Times New Roman" w:hAnsi="Times New Roman"/>
                <w:szCs w:val="20"/>
              </w:rPr>
            </w:pPr>
          </w:p>
        </w:tc>
      </w:tr>
      <w:tr w:rsidR="00781D11" w:rsidRPr="00781D11" w14:paraId="757969F8" w14:textId="77777777" w:rsidTr="007F68A0">
        <w:trPr>
          <w:trHeight w:val="293"/>
        </w:trPr>
        <w:tc>
          <w:tcPr>
            <w:tcW w:w="3205" w:type="dxa"/>
            <w:tcBorders>
              <w:top w:val="nil"/>
              <w:left w:val="single" w:sz="8" w:space="0" w:color="auto"/>
              <w:bottom w:val="single" w:sz="8" w:space="0" w:color="auto"/>
              <w:right w:val="nil"/>
            </w:tcBorders>
            <w:shd w:val="clear" w:color="000000" w:fill="F2F2F2"/>
            <w:vAlign w:val="center"/>
            <w:hideMark/>
          </w:tcPr>
          <w:p w14:paraId="44439E00"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single" w:sz="8" w:space="0" w:color="auto"/>
              <w:bottom w:val="single" w:sz="8" w:space="0" w:color="auto"/>
              <w:right w:val="single" w:sz="8" w:space="0" w:color="auto"/>
            </w:tcBorders>
            <w:shd w:val="clear" w:color="000000" w:fill="F2F2F2"/>
            <w:vAlign w:val="center"/>
            <w:hideMark/>
          </w:tcPr>
          <w:p w14:paraId="71114BFA"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3F9C97D4" w14:textId="77777777" w:rsidR="00781D11" w:rsidRPr="00781D11" w:rsidRDefault="00781D11" w:rsidP="00781D11">
            <w:pPr>
              <w:spacing w:after="0" w:line="240" w:lineRule="auto"/>
              <w:rPr>
                <w:rFonts w:ascii="Times New Roman" w:hAnsi="Times New Roman"/>
                <w:szCs w:val="20"/>
              </w:rPr>
            </w:pPr>
          </w:p>
        </w:tc>
      </w:tr>
      <w:tr w:rsidR="00781D11" w:rsidRPr="00781D11" w14:paraId="78C2610B" w14:textId="77777777" w:rsidTr="007F68A0">
        <w:trPr>
          <w:trHeight w:val="510"/>
        </w:trPr>
        <w:tc>
          <w:tcPr>
            <w:tcW w:w="3205" w:type="dxa"/>
            <w:tcBorders>
              <w:top w:val="nil"/>
              <w:left w:val="single" w:sz="8" w:space="0" w:color="auto"/>
              <w:bottom w:val="nil"/>
              <w:right w:val="single" w:sz="8" w:space="0" w:color="auto"/>
            </w:tcBorders>
            <w:shd w:val="clear" w:color="000000" w:fill="FFFFFF"/>
            <w:vAlign w:val="center"/>
            <w:hideMark/>
          </w:tcPr>
          <w:p w14:paraId="4DE333A6"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3.9   3575-3600 MHz Band: Amateur Service into BWA </w:t>
            </w:r>
          </w:p>
        </w:tc>
        <w:tc>
          <w:tcPr>
            <w:tcW w:w="4723" w:type="dxa"/>
            <w:tcBorders>
              <w:top w:val="nil"/>
              <w:left w:val="nil"/>
              <w:bottom w:val="nil"/>
              <w:right w:val="single" w:sz="8" w:space="0" w:color="auto"/>
            </w:tcBorders>
            <w:shd w:val="clear" w:color="000000" w:fill="FFFFFF"/>
            <w:vAlign w:val="center"/>
            <w:hideMark/>
          </w:tcPr>
          <w:p w14:paraId="20413828"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sections 3.9 &amp; 3.10 </w:t>
            </w:r>
          </w:p>
        </w:tc>
        <w:tc>
          <w:tcPr>
            <w:tcW w:w="3332" w:type="dxa"/>
            <w:vAlign w:val="center"/>
            <w:hideMark/>
          </w:tcPr>
          <w:p w14:paraId="011409A3" w14:textId="77777777" w:rsidR="00781D11" w:rsidRPr="00781D11" w:rsidRDefault="00781D11" w:rsidP="00781D11">
            <w:pPr>
              <w:spacing w:after="0" w:line="240" w:lineRule="auto"/>
              <w:rPr>
                <w:rFonts w:ascii="Times New Roman" w:hAnsi="Times New Roman"/>
                <w:szCs w:val="20"/>
              </w:rPr>
            </w:pPr>
          </w:p>
        </w:tc>
      </w:tr>
      <w:tr w:rsidR="00781D11" w:rsidRPr="00781D11" w14:paraId="4FFB157C" w14:textId="77777777" w:rsidTr="007F68A0">
        <w:trPr>
          <w:trHeight w:val="518"/>
        </w:trPr>
        <w:tc>
          <w:tcPr>
            <w:tcW w:w="3205" w:type="dxa"/>
            <w:tcBorders>
              <w:top w:val="nil"/>
              <w:left w:val="single" w:sz="8" w:space="0" w:color="auto"/>
              <w:bottom w:val="single" w:sz="8" w:space="0" w:color="auto"/>
              <w:right w:val="single" w:sz="8" w:space="0" w:color="auto"/>
            </w:tcBorders>
            <w:shd w:val="clear" w:color="000000" w:fill="FFFFFF"/>
            <w:vAlign w:val="center"/>
            <w:hideMark/>
          </w:tcPr>
          <w:p w14:paraId="5411D0FE" w14:textId="77777777" w:rsidR="00781D11" w:rsidRPr="00781D11" w:rsidRDefault="00781D11" w:rsidP="00781D11">
            <w:pPr>
              <w:spacing w:after="0" w:line="240" w:lineRule="auto"/>
              <w:rPr>
                <w:rFonts w:cs="Arial"/>
                <w:color w:val="000000"/>
                <w:szCs w:val="20"/>
              </w:rPr>
            </w:pPr>
            <w:r w:rsidRPr="00781D11">
              <w:rPr>
                <w:rFonts w:cs="Arial"/>
                <w:color w:val="000000"/>
                <w:szCs w:val="20"/>
              </w:rPr>
              <w:t>3.10   3575-3600 MHz Band: BWA into Amateur Service</w:t>
            </w:r>
          </w:p>
        </w:tc>
        <w:tc>
          <w:tcPr>
            <w:tcW w:w="4723" w:type="dxa"/>
            <w:tcBorders>
              <w:top w:val="nil"/>
              <w:left w:val="nil"/>
              <w:bottom w:val="single" w:sz="8" w:space="0" w:color="auto"/>
              <w:right w:val="single" w:sz="8" w:space="0" w:color="auto"/>
            </w:tcBorders>
            <w:shd w:val="clear" w:color="000000" w:fill="FFFFFF"/>
            <w:vAlign w:val="center"/>
            <w:hideMark/>
          </w:tcPr>
          <w:p w14:paraId="4A8B782A"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638DBF91" w14:textId="77777777" w:rsidR="00781D11" w:rsidRPr="00781D11" w:rsidRDefault="00781D11" w:rsidP="00781D11">
            <w:pPr>
              <w:spacing w:after="0" w:line="240" w:lineRule="auto"/>
              <w:rPr>
                <w:rFonts w:ascii="Times New Roman" w:hAnsi="Times New Roman"/>
                <w:szCs w:val="20"/>
              </w:rPr>
            </w:pPr>
          </w:p>
        </w:tc>
      </w:tr>
      <w:tr w:rsidR="00781D11" w:rsidRPr="00781D11" w14:paraId="53A1E102"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6E7420E4"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3.11   3400-3600 MHz Band: Radiolocation into BWA </w:t>
            </w:r>
          </w:p>
        </w:tc>
        <w:tc>
          <w:tcPr>
            <w:tcW w:w="4723" w:type="dxa"/>
            <w:tcBorders>
              <w:top w:val="nil"/>
              <w:left w:val="nil"/>
              <w:bottom w:val="nil"/>
              <w:right w:val="single" w:sz="8" w:space="0" w:color="auto"/>
            </w:tcBorders>
            <w:shd w:val="clear" w:color="000000" w:fill="F2F2F2"/>
            <w:vAlign w:val="center"/>
            <w:hideMark/>
          </w:tcPr>
          <w:p w14:paraId="781ECBC7" w14:textId="77777777" w:rsidR="00781D11" w:rsidRPr="00781D11" w:rsidRDefault="00781D11" w:rsidP="00781D11">
            <w:pPr>
              <w:spacing w:after="0" w:line="240" w:lineRule="auto"/>
              <w:rPr>
                <w:rFonts w:cs="Arial"/>
                <w:color w:val="000000"/>
                <w:szCs w:val="20"/>
              </w:rPr>
            </w:pPr>
            <w:bookmarkStart w:id="107" w:name="RANGE!C19"/>
            <w:r w:rsidRPr="00781D11">
              <w:rPr>
                <w:rFonts w:cs="Arial"/>
                <w:color w:val="000000"/>
                <w:szCs w:val="20"/>
              </w:rPr>
              <w:t xml:space="preserve">Removed sections 3.11 &amp; 3.12 </w:t>
            </w:r>
            <w:bookmarkEnd w:id="107"/>
          </w:p>
        </w:tc>
        <w:tc>
          <w:tcPr>
            <w:tcW w:w="3332" w:type="dxa"/>
            <w:vAlign w:val="center"/>
            <w:hideMark/>
          </w:tcPr>
          <w:p w14:paraId="507C825C" w14:textId="77777777" w:rsidR="00781D11" w:rsidRPr="00781D11" w:rsidRDefault="00781D11" w:rsidP="00781D11">
            <w:pPr>
              <w:spacing w:after="0" w:line="240" w:lineRule="auto"/>
              <w:rPr>
                <w:rFonts w:ascii="Times New Roman" w:hAnsi="Times New Roman"/>
                <w:szCs w:val="20"/>
              </w:rPr>
            </w:pPr>
          </w:p>
        </w:tc>
      </w:tr>
      <w:tr w:rsidR="00781D11" w:rsidRPr="00781D11" w14:paraId="64C9F7FF" w14:textId="77777777" w:rsidTr="007F68A0">
        <w:trPr>
          <w:trHeight w:val="518"/>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0441DE8D"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3.12   3400-3600 MHz Band: BWA into Radiolocation </w:t>
            </w:r>
          </w:p>
        </w:tc>
        <w:tc>
          <w:tcPr>
            <w:tcW w:w="4723" w:type="dxa"/>
            <w:tcBorders>
              <w:top w:val="nil"/>
              <w:left w:val="nil"/>
              <w:bottom w:val="nil"/>
              <w:right w:val="single" w:sz="8" w:space="0" w:color="auto"/>
            </w:tcBorders>
            <w:shd w:val="clear" w:color="000000" w:fill="F2F2F2"/>
            <w:vAlign w:val="center"/>
            <w:hideMark/>
          </w:tcPr>
          <w:p w14:paraId="6E036C03" w14:textId="77777777" w:rsidR="00781D11" w:rsidRPr="00781D11" w:rsidRDefault="00781D11" w:rsidP="00781D11">
            <w:pPr>
              <w:spacing w:after="0" w:line="240" w:lineRule="auto"/>
              <w:rPr>
                <w:rFonts w:cs="Arial"/>
                <w:color w:val="000000"/>
                <w:szCs w:val="20"/>
              </w:rPr>
            </w:pPr>
            <w:bookmarkStart w:id="108" w:name="RANGE!C20"/>
            <w:r w:rsidRPr="00781D11">
              <w:rPr>
                <w:rFonts w:cs="Arial"/>
                <w:color w:val="000000"/>
                <w:szCs w:val="20"/>
              </w:rPr>
              <w:t> </w:t>
            </w:r>
            <w:bookmarkEnd w:id="108"/>
          </w:p>
        </w:tc>
        <w:tc>
          <w:tcPr>
            <w:tcW w:w="3332" w:type="dxa"/>
            <w:vAlign w:val="center"/>
            <w:hideMark/>
          </w:tcPr>
          <w:p w14:paraId="1453900D" w14:textId="77777777" w:rsidR="00781D11" w:rsidRPr="00781D11" w:rsidRDefault="00781D11" w:rsidP="00781D11">
            <w:pPr>
              <w:spacing w:after="0" w:line="240" w:lineRule="auto"/>
              <w:rPr>
                <w:rFonts w:ascii="Times New Roman" w:hAnsi="Times New Roman"/>
                <w:szCs w:val="20"/>
              </w:rPr>
            </w:pPr>
          </w:p>
        </w:tc>
      </w:tr>
      <w:tr w:rsidR="00781D11" w:rsidRPr="00781D11" w14:paraId="72390430" w14:textId="77777777" w:rsidTr="007F68A0">
        <w:trPr>
          <w:trHeight w:val="510"/>
        </w:trPr>
        <w:tc>
          <w:tcPr>
            <w:tcW w:w="3205" w:type="dxa"/>
            <w:tcBorders>
              <w:top w:val="nil"/>
              <w:left w:val="single" w:sz="8" w:space="0" w:color="auto"/>
              <w:bottom w:val="nil"/>
              <w:right w:val="nil"/>
            </w:tcBorders>
            <w:shd w:val="clear" w:color="000000" w:fill="FFFFFF"/>
            <w:vAlign w:val="center"/>
            <w:hideMark/>
          </w:tcPr>
          <w:p w14:paraId="333BD119"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3.13 Coordination with specific regional areas </w:t>
            </w:r>
          </w:p>
        </w:tc>
        <w:tc>
          <w:tcPr>
            <w:tcW w:w="4723" w:type="dxa"/>
            <w:tcBorders>
              <w:top w:val="single" w:sz="8" w:space="0" w:color="auto"/>
              <w:left w:val="single" w:sz="8" w:space="0" w:color="auto"/>
              <w:bottom w:val="nil"/>
              <w:right w:val="single" w:sz="8" w:space="0" w:color="auto"/>
            </w:tcBorders>
            <w:shd w:val="clear" w:color="000000" w:fill="FFFFFF"/>
            <w:vAlign w:val="center"/>
            <w:hideMark/>
          </w:tcPr>
          <w:p w14:paraId="18D16F4C" w14:textId="376489B0" w:rsidR="00781D11" w:rsidRPr="00781D11" w:rsidRDefault="00781D11" w:rsidP="00781D11">
            <w:pPr>
              <w:spacing w:after="0" w:line="240" w:lineRule="auto"/>
              <w:rPr>
                <w:rFonts w:cs="Arial"/>
                <w:szCs w:val="20"/>
              </w:rPr>
            </w:pPr>
            <w:r w:rsidRPr="00781D11">
              <w:rPr>
                <w:rFonts w:cs="Arial"/>
                <w:szCs w:val="20"/>
              </w:rPr>
              <w:t xml:space="preserve">Removed 3.13 3575-3770 MHz references in paragraph 3 &amp; Table 3 and paragraph 5 </w:t>
            </w:r>
          </w:p>
        </w:tc>
        <w:tc>
          <w:tcPr>
            <w:tcW w:w="3332" w:type="dxa"/>
            <w:vAlign w:val="center"/>
            <w:hideMark/>
          </w:tcPr>
          <w:p w14:paraId="35A76777" w14:textId="77777777" w:rsidR="00781D11" w:rsidRPr="00781D11" w:rsidRDefault="00781D11" w:rsidP="00781D11">
            <w:pPr>
              <w:spacing w:after="0" w:line="240" w:lineRule="auto"/>
              <w:rPr>
                <w:rFonts w:ascii="Times New Roman" w:hAnsi="Times New Roman"/>
                <w:szCs w:val="20"/>
              </w:rPr>
            </w:pPr>
          </w:p>
        </w:tc>
      </w:tr>
      <w:tr w:rsidR="00781D11" w:rsidRPr="00781D11" w14:paraId="22C7016E" w14:textId="77777777" w:rsidTr="007F68A0">
        <w:trPr>
          <w:trHeight w:val="293"/>
        </w:trPr>
        <w:tc>
          <w:tcPr>
            <w:tcW w:w="3205" w:type="dxa"/>
            <w:tcBorders>
              <w:top w:val="nil"/>
              <w:left w:val="single" w:sz="8" w:space="0" w:color="auto"/>
              <w:bottom w:val="single" w:sz="8" w:space="0" w:color="auto"/>
              <w:right w:val="nil"/>
            </w:tcBorders>
            <w:shd w:val="clear" w:color="000000" w:fill="FFFFFF"/>
            <w:vAlign w:val="center"/>
            <w:hideMark/>
          </w:tcPr>
          <w:p w14:paraId="10629BFA"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single" w:sz="8" w:space="0" w:color="auto"/>
              <w:bottom w:val="nil"/>
              <w:right w:val="single" w:sz="8" w:space="0" w:color="auto"/>
            </w:tcBorders>
            <w:shd w:val="clear" w:color="000000" w:fill="FFFFFF"/>
            <w:vAlign w:val="center"/>
            <w:hideMark/>
          </w:tcPr>
          <w:p w14:paraId="32068716"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3F79127C" w14:textId="77777777" w:rsidR="00781D11" w:rsidRPr="00781D11" w:rsidRDefault="00781D11" w:rsidP="00781D11">
            <w:pPr>
              <w:spacing w:after="0" w:line="240" w:lineRule="auto"/>
              <w:rPr>
                <w:rFonts w:ascii="Times New Roman" w:hAnsi="Times New Roman"/>
                <w:szCs w:val="20"/>
              </w:rPr>
            </w:pPr>
          </w:p>
        </w:tc>
      </w:tr>
      <w:tr w:rsidR="00781D11" w:rsidRPr="00781D11" w14:paraId="5C68BD16" w14:textId="77777777" w:rsidTr="007F68A0">
        <w:trPr>
          <w:trHeight w:val="510"/>
        </w:trPr>
        <w:tc>
          <w:tcPr>
            <w:tcW w:w="3205" w:type="dxa"/>
            <w:tcBorders>
              <w:top w:val="nil"/>
              <w:left w:val="single" w:sz="8" w:space="0" w:color="auto"/>
              <w:bottom w:val="nil"/>
              <w:right w:val="nil"/>
            </w:tcBorders>
            <w:shd w:val="clear" w:color="000000" w:fill="F2F2F2"/>
            <w:vAlign w:val="center"/>
            <w:hideMark/>
          </w:tcPr>
          <w:p w14:paraId="478E9F65"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4.4 Assessing Interference: BWA into Fixed Links </w:t>
            </w:r>
          </w:p>
        </w:tc>
        <w:tc>
          <w:tcPr>
            <w:tcW w:w="4723" w:type="dxa"/>
            <w:tcBorders>
              <w:top w:val="single" w:sz="8" w:space="0" w:color="auto"/>
              <w:left w:val="single" w:sz="8" w:space="0" w:color="auto"/>
              <w:bottom w:val="nil"/>
              <w:right w:val="single" w:sz="8" w:space="0" w:color="auto"/>
            </w:tcBorders>
            <w:shd w:val="clear" w:color="000000" w:fill="F2F2F2"/>
            <w:vAlign w:val="center"/>
            <w:hideMark/>
          </w:tcPr>
          <w:p w14:paraId="4585B5A4" w14:textId="77777777" w:rsidR="00781D11" w:rsidRPr="00781D11" w:rsidRDefault="00781D11" w:rsidP="00781D11">
            <w:pPr>
              <w:spacing w:after="0" w:line="240" w:lineRule="auto"/>
              <w:rPr>
                <w:rFonts w:cs="Arial"/>
                <w:szCs w:val="20"/>
              </w:rPr>
            </w:pPr>
            <w:r w:rsidRPr="00781D11">
              <w:rPr>
                <w:rFonts w:cs="Arial"/>
                <w:szCs w:val="20"/>
              </w:rPr>
              <w:t xml:space="preserve">Removed 4.4 &amp; 4.5 3575-3770 MHz references in footnotes and in the table under step 1 </w:t>
            </w:r>
          </w:p>
        </w:tc>
        <w:tc>
          <w:tcPr>
            <w:tcW w:w="3332" w:type="dxa"/>
            <w:vAlign w:val="center"/>
            <w:hideMark/>
          </w:tcPr>
          <w:p w14:paraId="35962726" w14:textId="77777777" w:rsidR="00781D11" w:rsidRPr="00781D11" w:rsidRDefault="00781D11" w:rsidP="00781D11">
            <w:pPr>
              <w:spacing w:after="0" w:line="240" w:lineRule="auto"/>
              <w:rPr>
                <w:rFonts w:ascii="Times New Roman" w:hAnsi="Times New Roman"/>
                <w:szCs w:val="20"/>
              </w:rPr>
            </w:pPr>
          </w:p>
        </w:tc>
      </w:tr>
      <w:tr w:rsidR="00781D11" w:rsidRPr="00781D11" w14:paraId="0C762824" w14:textId="77777777" w:rsidTr="007F68A0">
        <w:trPr>
          <w:trHeight w:val="518"/>
        </w:trPr>
        <w:tc>
          <w:tcPr>
            <w:tcW w:w="3205" w:type="dxa"/>
            <w:tcBorders>
              <w:top w:val="nil"/>
              <w:left w:val="single" w:sz="8" w:space="0" w:color="auto"/>
              <w:bottom w:val="single" w:sz="8" w:space="0" w:color="auto"/>
              <w:right w:val="nil"/>
            </w:tcBorders>
            <w:shd w:val="clear" w:color="000000" w:fill="F2F2F2"/>
            <w:vAlign w:val="center"/>
            <w:hideMark/>
          </w:tcPr>
          <w:p w14:paraId="392ADE7E"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4.5 Assessing Interference: Fixed Links into BWA </w:t>
            </w:r>
          </w:p>
        </w:tc>
        <w:tc>
          <w:tcPr>
            <w:tcW w:w="4723" w:type="dxa"/>
            <w:tcBorders>
              <w:top w:val="nil"/>
              <w:left w:val="single" w:sz="8" w:space="0" w:color="auto"/>
              <w:bottom w:val="single" w:sz="8" w:space="0" w:color="auto"/>
              <w:right w:val="single" w:sz="8" w:space="0" w:color="auto"/>
            </w:tcBorders>
            <w:shd w:val="clear" w:color="000000" w:fill="F2F2F2"/>
            <w:vAlign w:val="center"/>
            <w:hideMark/>
          </w:tcPr>
          <w:p w14:paraId="3CA65806"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548BA643" w14:textId="77777777" w:rsidR="00781D11" w:rsidRPr="00781D11" w:rsidRDefault="00781D11" w:rsidP="00781D11">
            <w:pPr>
              <w:spacing w:after="0" w:line="240" w:lineRule="auto"/>
              <w:rPr>
                <w:rFonts w:ascii="Times New Roman" w:hAnsi="Times New Roman"/>
                <w:szCs w:val="20"/>
              </w:rPr>
            </w:pPr>
          </w:p>
        </w:tc>
      </w:tr>
      <w:tr w:rsidR="00781D11" w:rsidRPr="00781D11" w14:paraId="0F930CF6" w14:textId="77777777" w:rsidTr="007F68A0">
        <w:trPr>
          <w:trHeight w:val="510"/>
        </w:trPr>
        <w:tc>
          <w:tcPr>
            <w:tcW w:w="3205" w:type="dxa"/>
            <w:tcBorders>
              <w:top w:val="nil"/>
              <w:left w:val="single" w:sz="8" w:space="0" w:color="auto"/>
              <w:bottom w:val="nil"/>
              <w:right w:val="single" w:sz="8" w:space="0" w:color="auto"/>
            </w:tcBorders>
            <w:shd w:val="clear" w:color="000000" w:fill="FFFFFF"/>
            <w:vAlign w:val="center"/>
            <w:hideMark/>
          </w:tcPr>
          <w:p w14:paraId="2BEEB1B7" w14:textId="77777777" w:rsidR="00781D11" w:rsidRPr="00781D11" w:rsidRDefault="00781D11" w:rsidP="00781D11">
            <w:pPr>
              <w:spacing w:after="0" w:line="240" w:lineRule="auto"/>
              <w:rPr>
                <w:rFonts w:cs="Arial"/>
                <w:color w:val="000000"/>
                <w:szCs w:val="20"/>
              </w:rPr>
            </w:pPr>
            <w:r w:rsidRPr="00781D11">
              <w:rPr>
                <w:rFonts w:cs="Arial"/>
                <w:color w:val="000000"/>
                <w:szCs w:val="20"/>
              </w:rPr>
              <w:t>4.6   Assessing Interference: Amateur Services into BWA</w:t>
            </w:r>
          </w:p>
        </w:tc>
        <w:tc>
          <w:tcPr>
            <w:tcW w:w="4723" w:type="dxa"/>
            <w:tcBorders>
              <w:top w:val="nil"/>
              <w:left w:val="nil"/>
              <w:bottom w:val="nil"/>
              <w:right w:val="single" w:sz="8" w:space="0" w:color="auto"/>
            </w:tcBorders>
            <w:shd w:val="clear" w:color="000000" w:fill="FFFFFF"/>
            <w:vAlign w:val="center"/>
            <w:hideMark/>
          </w:tcPr>
          <w:p w14:paraId="7F247BA3"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section 4.6 completely. </w:t>
            </w:r>
          </w:p>
        </w:tc>
        <w:tc>
          <w:tcPr>
            <w:tcW w:w="3332" w:type="dxa"/>
            <w:vAlign w:val="center"/>
            <w:hideMark/>
          </w:tcPr>
          <w:p w14:paraId="35A82B54" w14:textId="77777777" w:rsidR="00781D11" w:rsidRPr="00781D11" w:rsidRDefault="00781D11" w:rsidP="00781D11">
            <w:pPr>
              <w:spacing w:after="0" w:line="240" w:lineRule="auto"/>
              <w:rPr>
                <w:rFonts w:ascii="Times New Roman" w:hAnsi="Times New Roman"/>
                <w:szCs w:val="20"/>
              </w:rPr>
            </w:pPr>
          </w:p>
        </w:tc>
      </w:tr>
      <w:tr w:rsidR="00781D11" w:rsidRPr="00781D11" w14:paraId="4F56892F" w14:textId="77777777" w:rsidTr="007F68A0">
        <w:trPr>
          <w:trHeight w:val="293"/>
        </w:trPr>
        <w:tc>
          <w:tcPr>
            <w:tcW w:w="3205" w:type="dxa"/>
            <w:tcBorders>
              <w:top w:val="nil"/>
              <w:left w:val="single" w:sz="8" w:space="0" w:color="auto"/>
              <w:bottom w:val="single" w:sz="8" w:space="0" w:color="auto"/>
              <w:right w:val="single" w:sz="8" w:space="0" w:color="auto"/>
            </w:tcBorders>
            <w:shd w:val="clear" w:color="000000" w:fill="FFFFFF"/>
            <w:vAlign w:val="center"/>
            <w:hideMark/>
          </w:tcPr>
          <w:p w14:paraId="1764EBDF"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FFFFF"/>
            <w:vAlign w:val="center"/>
            <w:hideMark/>
          </w:tcPr>
          <w:p w14:paraId="15B98DD3"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0A8299E4" w14:textId="77777777" w:rsidR="00781D11" w:rsidRPr="00781D11" w:rsidRDefault="00781D11" w:rsidP="00781D11">
            <w:pPr>
              <w:spacing w:after="0" w:line="240" w:lineRule="auto"/>
              <w:rPr>
                <w:rFonts w:ascii="Times New Roman" w:hAnsi="Times New Roman"/>
                <w:szCs w:val="20"/>
              </w:rPr>
            </w:pPr>
          </w:p>
        </w:tc>
      </w:tr>
      <w:tr w:rsidR="00781D11" w:rsidRPr="00781D11" w14:paraId="1E827B20"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45D9A33F"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4.7 Assessing Interference: BWA to BWA </w:t>
            </w:r>
          </w:p>
        </w:tc>
        <w:tc>
          <w:tcPr>
            <w:tcW w:w="4723" w:type="dxa"/>
            <w:tcBorders>
              <w:top w:val="nil"/>
              <w:left w:val="nil"/>
              <w:bottom w:val="nil"/>
              <w:right w:val="single" w:sz="8" w:space="0" w:color="auto"/>
            </w:tcBorders>
            <w:shd w:val="clear" w:color="000000" w:fill="F2F2F2"/>
            <w:vAlign w:val="center"/>
            <w:hideMark/>
          </w:tcPr>
          <w:p w14:paraId="49587330" w14:textId="77777777" w:rsidR="00781D11" w:rsidRPr="00781D11" w:rsidRDefault="00781D11" w:rsidP="00781D11">
            <w:pPr>
              <w:spacing w:after="0" w:line="240" w:lineRule="auto"/>
              <w:rPr>
                <w:rFonts w:cs="Arial"/>
                <w:color w:val="000000"/>
                <w:szCs w:val="20"/>
              </w:rPr>
            </w:pPr>
            <w:r w:rsidRPr="00781D11">
              <w:rPr>
                <w:rFonts w:cs="Arial"/>
                <w:color w:val="000000"/>
                <w:szCs w:val="20"/>
              </w:rPr>
              <w:t>Removed 3575-3700 MHz references in paragraph 2 under Step 1</w:t>
            </w:r>
          </w:p>
        </w:tc>
        <w:tc>
          <w:tcPr>
            <w:tcW w:w="3332" w:type="dxa"/>
            <w:vAlign w:val="center"/>
            <w:hideMark/>
          </w:tcPr>
          <w:p w14:paraId="6147E754" w14:textId="77777777" w:rsidR="00781D11" w:rsidRPr="00781D11" w:rsidRDefault="00781D11" w:rsidP="00781D11">
            <w:pPr>
              <w:spacing w:after="0" w:line="240" w:lineRule="auto"/>
              <w:rPr>
                <w:rFonts w:ascii="Times New Roman" w:hAnsi="Times New Roman"/>
                <w:szCs w:val="20"/>
              </w:rPr>
            </w:pPr>
          </w:p>
        </w:tc>
      </w:tr>
      <w:tr w:rsidR="00781D11" w:rsidRPr="00781D11" w14:paraId="16C73573" w14:textId="77777777" w:rsidTr="007F68A0">
        <w:trPr>
          <w:trHeight w:val="518"/>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0EBA4CE6"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2F2F2"/>
            <w:vAlign w:val="center"/>
            <w:hideMark/>
          </w:tcPr>
          <w:p w14:paraId="1C24D7F7" w14:textId="77777777" w:rsidR="00781D11" w:rsidRPr="00781D11" w:rsidRDefault="00781D11" w:rsidP="00781D11">
            <w:pPr>
              <w:spacing w:after="0" w:line="240" w:lineRule="auto"/>
              <w:rPr>
                <w:rFonts w:cs="Arial"/>
                <w:color w:val="000000"/>
                <w:szCs w:val="20"/>
              </w:rPr>
            </w:pPr>
          </w:p>
        </w:tc>
        <w:tc>
          <w:tcPr>
            <w:tcW w:w="3332" w:type="dxa"/>
            <w:vAlign w:val="center"/>
            <w:hideMark/>
          </w:tcPr>
          <w:p w14:paraId="4C7DF25A" w14:textId="77777777" w:rsidR="00781D11" w:rsidRPr="00781D11" w:rsidRDefault="00781D11" w:rsidP="00781D11">
            <w:pPr>
              <w:spacing w:after="0" w:line="240" w:lineRule="auto"/>
              <w:rPr>
                <w:rFonts w:ascii="Times New Roman" w:hAnsi="Times New Roman"/>
                <w:szCs w:val="20"/>
              </w:rPr>
            </w:pPr>
          </w:p>
        </w:tc>
      </w:tr>
      <w:tr w:rsidR="00781D11" w:rsidRPr="00781D11" w14:paraId="3C9D7ACE" w14:textId="77777777" w:rsidTr="007F68A0">
        <w:trPr>
          <w:trHeight w:val="510"/>
        </w:trPr>
        <w:tc>
          <w:tcPr>
            <w:tcW w:w="3205" w:type="dxa"/>
            <w:tcBorders>
              <w:top w:val="nil"/>
              <w:left w:val="single" w:sz="8" w:space="0" w:color="auto"/>
              <w:bottom w:val="nil"/>
              <w:right w:val="single" w:sz="8" w:space="0" w:color="auto"/>
            </w:tcBorders>
            <w:shd w:val="clear" w:color="000000" w:fill="FFFFFF"/>
            <w:vAlign w:val="center"/>
            <w:hideMark/>
          </w:tcPr>
          <w:p w14:paraId="735A2C94" w14:textId="77777777" w:rsidR="00781D11" w:rsidRPr="00781D11" w:rsidRDefault="00781D11" w:rsidP="00781D11">
            <w:pPr>
              <w:spacing w:after="0" w:line="240" w:lineRule="auto"/>
              <w:rPr>
                <w:rFonts w:cs="Arial"/>
                <w:color w:val="000000"/>
                <w:szCs w:val="20"/>
              </w:rPr>
            </w:pPr>
            <w:r w:rsidRPr="00781D11">
              <w:rPr>
                <w:rFonts w:cs="Arial"/>
                <w:color w:val="000000"/>
                <w:szCs w:val="20"/>
              </w:rPr>
              <w:lastRenderedPageBreak/>
              <w:t xml:space="preserve">4.8   Assessing interference: BWA to Spectrum Licensed Rx </w:t>
            </w:r>
          </w:p>
        </w:tc>
        <w:tc>
          <w:tcPr>
            <w:tcW w:w="4723" w:type="dxa"/>
            <w:tcBorders>
              <w:top w:val="nil"/>
              <w:left w:val="nil"/>
              <w:bottom w:val="nil"/>
              <w:right w:val="single" w:sz="8" w:space="0" w:color="auto"/>
            </w:tcBorders>
            <w:shd w:val="clear" w:color="000000" w:fill="FFFFFF"/>
            <w:vAlign w:val="center"/>
            <w:hideMark/>
          </w:tcPr>
          <w:p w14:paraId="656D259F"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4.8 3 paragraph 2 </w:t>
            </w:r>
          </w:p>
        </w:tc>
        <w:tc>
          <w:tcPr>
            <w:tcW w:w="3332" w:type="dxa"/>
            <w:vAlign w:val="center"/>
            <w:hideMark/>
          </w:tcPr>
          <w:p w14:paraId="27492858" w14:textId="77777777" w:rsidR="00781D11" w:rsidRPr="00781D11" w:rsidRDefault="00781D11" w:rsidP="00781D11">
            <w:pPr>
              <w:spacing w:after="0" w:line="240" w:lineRule="auto"/>
              <w:rPr>
                <w:rFonts w:ascii="Times New Roman" w:hAnsi="Times New Roman"/>
                <w:szCs w:val="20"/>
              </w:rPr>
            </w:pPr>
          </w:p>
        </w:tc>
      </w:tr>
      <w:tr w:rsidR="00781D11" w:rsidRPr="00781D11" w14:paraId="192066E1" w14:textId="77777777" w:rsidTr="007F68A0">
        <w:trPr>
          <w:trHeight w:val="293"/>
        </w:trPr>
        <w:tc>
          <w:tcPr>
            <w:tcW w:w="3205" w:type="dxa"/>
            <w:tcBorders>
              <w:top w:val="nil"/>
              <w:left w:val="single" w:sz="8" w:space="0" w:color="auto"/>
              <w:bottom w:val="single" w:sz="8" w:space="0" w:color="auto"/>
              <w:right w:val="single" w:sz="8" w:space="0" w:color="auto"/>
            </w:tcBorders>
            <w:shd w:val="clear" w:color="000000" w:fill="FFFFFF"/>
            <w:vAlign w:val="center"/>
            <w:hideMark/>
          </w:tcPr>
          <w:p w14:paraId="007D0B94"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FFFFF"/>
            <w:vAlign w:val="center"/>
            <w:hideMark/>
          </w:tcPr>
          <w:p w14:paraId="5831DEF7"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0C439E66" w14:textId="77777777" w:rsidR="00781D11" w:rsidRPr="00781D11" w:rsidRDefault="00781D11" w:rsidP="00781D11">
            <w:pPr>
              <w:spacing w:after="0" w:line="240" w:lineRule="auto"/>
              <w:rPr>
                <w:rFonts w:ascii="Times New Roman" w:hAnsi="Times New Roman"/>
                <w:szCs w:val="20"/>
              </w:rPr>
            </w:pPr>
          </w:p>
        </w:tc>
      </w:tr>
      <w:tr w:rsidR="00781D11" w:rsidRPr="00781D11" w14:paraId="00DA4323"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0B178595"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4.9   Assessing interference: Spectrum Licensed Tx to BWA </w:t>
            </w:r>
          </w:p>
        </w:tc>
        <w:tc>
          <w:tcPr>
            <w:tcW w:w="4723" w:type="dxa"/>
            <w:tcBorders>
              <w:top w:val="nil"/>
              <w:left w:val="nil"/>
              <w:bottom w:val="nil"/>
              <w:right w:val="single" w:sz="8" w:space="0" w:color="auto"/>
            </w:tcBorders>
            <w:shd w:val="clear" w:color="000000" w:fill="F2F2F2"/>
            <w:vAlign w:val="center"/>
            <w:hideMark/>
          </w:tcPr>
          <w:p w14:paraId="206C4F51" w14:textId="22EC3809"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4.8 sentences in paragraph 2 &amp; 3 with reference to 3542.5-3700 MHz </w:t>
            </w:r>
          </w:p>
        </w:tc>
        <w:tc>
          <w:tcPr>
            <w:tcW w:w="3332" w:type="dxa"/>
            <w:vAlign w:val="center"/>
            <w:hideMark/>
          </w:tcPr>
          <w:p w14:paraId="762B9404" w14:textId="77777777" w:rsidR="00781D11" w:rsidRPr="00781D11" w:rsidRDefault="00781D11" w:rsidP="00781D11">
            <w:pPr>
              <w:spacing w:after="0" w:line="240" w:lineRule="auto"/>
              <w:rPr>
                <w:rFonts w:ascii="Times New Roman" w:hAnsi="Times New Roman"/>
                <w:szCs w:val="20"/>
              </w:rPr>
            </w:pPr>
          </w:p>
        </w:tc>
      </w:tr>
      <w:tr w:rsidR="00781D11" w:rsidRPr="00781D11" w14:paraId="51E3A8A5" w14:textId="77777777" w:rsidTr="007F68A0">
        <w:trPr>
          <w:trHeight w:val="405"/>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504E358F"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2F2F2"/>
            <w:vAlign w:val="center"/>
            <w:hideMark/>
          </w:tcPr>
          <w:p w14:paraId="6369905B"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63D3DD74" w14:textId="77777777" w:rsidR="00781D11" w:rsidRPr="00781D11" w:rsidRDefault="00781D11" w:rsidP="00781D11">
            <w:pPr>
              <w:spacing w:after="0" w:line="240" w:lineRule="auto"/>
              <w:rPr>
                <w:rFonts w:ascii="Times New Roman" w:hAnsi="Times New Roman"/>
                <w:szCs w:val="20"/>
              </w:rPr>
            </w:pPr>
          </w:p>
        </w:tc>
      </w:tr>
      <w:tr w:rsidR="00781D11" w:rsidRPr="00781D11" w14:paraId="7D855041" w14:textId="77777777" w:rsidTr="007F68A0">
        <w:trPr>
          <w:trHeight w:val="510"/>
        </w:trPr>
        <w:tc>
          <w:tcPr>
            <w:tcW w:w="3205" w:type="dxa"/>
            <w:tcBorders>
              <w:top w:val="nil"/>
              <w:left w:val="single" w:sz="8" w:space="0" w:color="auto"/>
              <w:bottom w:val="nil"/>
              <w:right w:val="single" w:sz="8" w:space="0" w:color="auto"/>
            </w:tcBorders>
            <w:shd w:val="clear" w:color="000000" w:fill="FFFFFF"/>
            <w:vAlign w:val="center"/>
            <w:hideMark/>
          </w:tcPr>
          <w:p w14:paraId="25C9A54C" w14:textId="77777777" w:rsidR="00781D11" w:rsidRPr="00781D11" w:rsidRDefault="00781D11" w:rsidP="00781D11">
            <w:pPr>
              <w:spacing w:after="0" w:line="240" w:lineRule="auto"/>
              <w:rPr>
                <w:rFonts w:cs="Arial"/>
                <w:color w:val="000000"/>
                <w:szCs w:val="20"/>
              </w:rPr>
            </w:pPr>
            <w:r w:rsidRPr="00781D11">
              <w:rPr>
                <w:rFonts w:cs="Arial"/>
                <w:color w:val="000000"/>
                <w:szCs w:val="20"/>
              </w:rPr>
              <w:t>4.10   Assessing interference: BWA to FSS (3700-4200 MHz)</w:t>
            </w:r>
          </w:p>
        </w:tc>
        <w:tc>
          <w:tcPr>
            <w:tcW w:w="4723" w:type="dxa"/>
            <w:vMerge w:val="restart"/>
            <w:tcBorders>
              <w:top w:val="nil"/>
              <w:left w:val="single" w:sz="8" w:space="0" w:color="auto"/>
              <w:bottom w:val="nil"/>
              <w:right w:val="single" w:sz="8" w:space="0" w:color="auto"/>
            </w:tcBorders>
            <w:shd w:val="clear" w:color="000000" w:fill="FFFFFF"/>
            <w:vAlign w:val="center"/>
            <w:hideMark/>
          </w:tcPr>
          <w:p w14:paraId="43D728E7" w14:textId="77777777" w:rsidR="00781D11" w:rsidRPr="00781D11" w:rsidRDefault="00781D11" w:rsidP="00781D11">
            <w:pPr>
              <w:spacing w:after="0" w:line="240" w:lineRule="auto"/>
              <w:rPr>
                <w:rFonts w:cs="Arial"/>
                <w:color w:val="000000"/>
                <w:szCs w:val="20"/>
              </w:rPr>
            </w:pPr>
            <w:r w:rsidRPr="00781D11">
              <w:rPr>
                <w:rFonts w:cs="Arial"/>
                <w:color w:val="000000"/>
                <w:szCs w:val="20"/>
              </w:rPr>
              <w:t>Removed 4.10 &amp; 4.11 sections</w:t>
            </w:r>
          </w:p>
        </w:tc>
        <w:tc>
          <w:tcPr>
            <w:tcW w:w="3332" w:type="dxa"/>
            <w:vAlign w:val="center"/>
            <w:hideMark/>
          </w:tcPr>
          <w:p w14:paraId="30490D05" w14:textId="77777777" w:rsidR="00781D11" w:rsidRPr="00781D11" w:rsidRDefault="00781D11" w:rsidP="00781D11">
            <w:pPr>
              <w:spacing w:after="0" w:line="240" w:lineRule="auto"/>
              <w:rPr>
                <w:rFonts w:ascii="Times New Roman" w:hAnsi="Times New Roman"/>
                <w:szCs w:val="20"/>
              </w:rPr>
            </w:pPr>
          </w:p>
        </w:tc>
      </w:tr>
      <w:tr w:rsidR="00781D11" w:rsidRPr="00781D11" w14:paraId="2FE329C6" w14:textId="77777777" w:rsidTr="007F68A0">
        <w:trPr>
          <w:trHeight w:val="518"/>
        </w:trPr>
        <w:tc>
          <w:tcPr>
            <w:tcW w:w="3205" w:type="dxa"/>
            <w:tcBorders>
              <w:top w:val="nil"/>
              <w:left w:val="single" w:sz="8" w:space="0" w:color="auto"/>
              <w:bottom w:val="nil"/>
              <w:right w:val="single" w:sz="8" w:space="0" w:color="auto"/>
            </w:tcBorders>
            <w:shd w:val="clear" w:color="000000" w:fill="FFFFFF"/>
            <w:vAlign w:val="center"/>
            <w:hideMark/>
          </w:tcPr>
          <w:p w14:paraId="7E64CCD7" w14:textId="77777777" w:rsidR="00781D11" w:rsidRPr="00781D11" w:rsidRDefault="00781D11" w:rsidP="00781D11">
            <w:pPr>
              <w:spacing w:after="0" w:line="240" w:lineRule="auto"/>
              <w:rPr>
                <w:rFonts w:cs="Arial"/>
                <w:color w:val="000000"/>
                <w:szCs w:val="20"/>
              </w:rPr>
            </w:pPr>
            <w:r w:rsidRPr="00781D11">
              <w:rPr>
                <w:rFonts w:cs="Arial"/>
                <w:color w:val="000000"/>
                <w:szCs w:val="20"/>
              </w:rPr>
              <w:t>4.11   Assessing interference: BWA to FSS (3600-3700 MHz)</w:t>
            </w:r>
          </w:p>
        </w:tc>
        <w:tc>
          <w:tcPr>
            <w:tcW w:w="4723" w:type="dxa"/>
            <w:vMerge/>
            <w:tcBorders>
              <w:top w:val="nil"/>
              <w:left w:val="single" w:sz="8" w:space="0" w:color="auto"/>
              <w:bottom w:val="nil"/>
              <w:right w:val="single" w:sz="8" w:space="0" w:color="auto"/>
            </w:tcBorders>
            <w:vAlign w:val="center"/>
            <w:hideMark/>
          </w:tcPr>
          <w:p w14:paraId="7C133E6D" w14:textId="77777777" w:rsidR="00781D11" w:rsidRPr="00781D11" w:rsidRDefault="00781D11" w:rsidP="00781D11">
            <w:pPr>
              <w:spacing w:after="0" w:line="240" w:lineRule="auto"/>
              <w:rPr>
                <w:rFonts w:cs="Arial"/>
                <w:color w:val="000000"/>
                <w:szCs w:val="20"/>
              </w:rPr>
            </w:pPr>
          </w:p>
        </w:tc>
        <w:tc>
          <w:tcPr>
            <w:tcW w:w="3332" w:type="dxa"/>
            <w:vAlign w:val="center"/>
            <w:hideMark/>
          </w:tcPr>
          <w:p w14:paraId="094ED236" w14:textId="77777777" w:rsidR="00781D11" w:rsidRPr="00781D11" w:rsidRDefault="00781D11" w:rsidP="00781D11">
            <w:pPr>
              <w:spacing w:after="0" w:line="240" w:lineRule="auto"/>
              <w:rPr>
                <w:rFonts w:ascii="Times New Roman" w:hAnsi="Times New Roman"/>
                <w:szCs w:val="20"/>
              </w:rPr>
            </w:pPr>
          </w:p>
        </w:tc>
      </w:tr>
      <w:tr w:rsidR="00781D11" w:rsidRPr="00781D11" w14:paraId="2A9D6123" w14:textId="77777777" w:rsidTr="007F68A0">
        <w:trPr>
          <w:trHeight w:val="285"/>
        </w:trPr>
        <w:tc>
          <w:tcPr>
            <w:tcW w:w="3205" w:type="dxa"/>
            <w:tcBorders>
              <w:top w:val="single" w:sz="8" w:space="0" w:color="auto"/>
              <w:left w:val="single" w:sz="8" w:space="0" w:color="auto"/>
              <w:bottom w:val="nil"/>
              <w:right w:val="nil"/>
            </w:tcBorders>
            <w:shd w:val="clear" w:color="000000" w:fill="F2F2F2"/>
            <w:vAlign w:val="center"/>
            <w:hideMark/>
          </w:tcPr>
          <w:p w14:paraId="38C667B3"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4.12 Site Engineering Aspects </w:t>
            </w:r>
          </w:p>
        </w:tc>
        <w:tc>
          <w:tcPr>
            <w:tcW w:w="4723" w:type="dxa"/>
            <w:tcBorders>
              <w:top w:val="single" w:sz="8" w:space="0" w:color="auto"/>
              <w:left w:val="single" w:sz="8" w:space="0" w:color="auto"/>
              <w:bottom w:val="nil"/>
              <w:right w:val="single" w:sz="8" w:space="0" w:color="auto"/>
            </w:tcBorders>
            <w:shd w:val="clear" w:color="000000" w:fill="F2F2F2"/>
            <w:vAlign w:val="center"/>
            <w:hideMark/>
          </w:tcPr>
          <w:p w14:paraId="2E84FE8B" w14:textId="49F28BB0"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4.12 a sentence in paragraph 2 with reference to 3.4GHz </w:t>
            </w:r>
          </w:p>
        </w:tc>
        <w:tc>
          <w:tcPr>
            <w:tcW w:w="3332" w:type="dxa"/>
            <w:vAlign w:val="center"/>
            <w:hideMark/>
          </w:tcPr>
          <w:p w14:paraId="3F25DD08" w14:textId="77777777" w:rsidR="00781D11" w:rsidRPr="00781D11" w:rsidRDefault="00781D11" w:rsidP="00781D11">
            <w:pPr>
              <w:spacing w:after="0" w:line="240" w:lineRule="auto"/>
              <w:rPr>
                <w:rFonts w:ascii="Times New Roman" w:hAnsi="Times New Roman"/>
                <w:szCs w:val="20"/>
              </w:rPr>
            </w:pPr>
          </w:p>
        </w:tc>
      </w:tr>
      <w:tr w:rsidR="00781D11" w:rsidRPr="00781D11" w14:paraId="2729E897" w14:textId="77777777" w:rsidTr="007F68A0">
        <w:trPr>
          <w:trHeight w:val="293"/>
        </w:trPr>
        <w:tc>
          <w:tcPr>
            <w:tcW w:w="3205" w:type="dxa"/>
            <w:tcBorders>
              <w:top w:val="nil"/>
              <w:left w:val="single" w:sz="8" w:space="0" w:color="auto"/>
              <w:bottom w:val="single" w:sz="8" w:space="0" w:color="auto"/>
              <w:right w:val="nil"/>
            </w:tcBorders>
            <w:shd w:val="clear" w:color="000000" w:fill="F2F2F2"/>
            <w:vAlign w:val="center"/>
            <w:hideMark/>
          </w:tcPr>
          <w:p w14:paraId="72A43E66"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single" w:sz="8" w:space="0" w:color="auto"/>
              <w:bottom w:val="single" w:sz="8" w:space="0" w:color="auto"/>
              <w:right w:val="single" w:sz="8" w:space="0" w:color="auto"/>
            </w:tcBorders>
            <w:shd w:val="clear" w:color="000000" w:fill="F2F2F2"/>
            <w:vAlign w:val="center"/>
            <w:hideMark/>
          </w:tcPr>
          <w:p w14:paraId="21FAC239"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BF9BF3A" w14:textId="77777777" w:rsidR="00781D11" w:rsidRPr="00781D11" w:rsidRDefault="00781D11" w:rsidP="00781D11">
            <w:pPr>
              <w:spacing w:after="0" w:line="240" w:lineRule="auto"/>
              <w:rPr>
                <w:rFonts w:ascii="Times New Roman" w:hAnsi="Times New Roman"/>
                <w:szCs w:val="20"/>
              </w:rPr>
            </w:pPr>
          </w:p>
        </w:tc>
      </w:tr>
      <w:tr w:rsidR="00781D11" w:rsidRPr="00781D11" w14:paraId="2B4C8DBA" w14:textId="77777777" w:rsidTr="007F68A0">
        <w:trPr>
          <w:trHeight w:val="510"/>
        </w:trPr>
        <w:tc>
          <w:tcPr>
            <w:tcW w:w="3205" w:type="dxa"/>
            <w:tcBorders>
              <w:top w:val="nil"/>
              <w:left w:val="single" w:sz="8" w:space="0" w:color="auto"/>
              <w:bottom w:val="nil"/>
              <w:right w:val="single" w:sz="8" w:space="0" w:color="auto"/>
            </w:tcBorders>
            <w:shd w:val="clear" w:color="000000" w:fill="FFFFFF"/>
            <w:vAlign w:val="center"/>
            <w:hideMark/>
          </w:tcPr>
          <w:p w14:paraId="0DCCBE80"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4.13 Assignment Rules  </w:t>
            </w:r>
          </w:p>
        </w:tc>
        <w:tc>
          <w:tcPr>
            <w:tcW w:w="4723" w:type="dxa"/>
            <w:tcBorders>
              <w:top w:val="nil"/>
              <w:left w:val="nil"/>
              <w:bottom w:val="nil"/>
              <w:right w:val="single" w:sz="8" w:space="0" w:color="auto"/>
            </w:tcBorders>
            <w:shd w:val="clear" w:color="000000" w:fill="FFFFFF"/>
            <w:vAlign w:val="center"/>
            <w:hideMark/>
          </w:tcPr>
          <w:p w14:paraId="02B4FF95" w14:textId="7A1DD898" w:rsidR="00781D11" w:rsidRPr="00781D11" w:rsidRDefault="00781D11" w:rsidP="00781D11">
            <w:pPr>
              <w:spacing w:after="0" w:line="240" w:lineRule="auto"/>
              <w:rPr>
                <w:rFonts w:cs="Arial"/>
                <w:color w:val="000000"/>
                <w:szCs w:val="20"/>
              </w:rPr>
            </w:pPr>
            <w:r w:rsidRPr="00781D11">
              <w:rPr>
                <w:rFonts w:cs="Arial"/>
                <w:color w:val="000000"/>
                <w:szCs w:val="20"/>
              </w:rPr>
              <w:t>Removed 4.13.2 section and 3575-3700 MHz reference in 4.13.4 Summary table under 4.13 assignment rules</w:t>
            </w:r>
          </w:p>
        </w:tc>
        <w:tc>
          <w:tcPr>
            <w:tcW w:w="3332" w:type="dxa"/>
            <w:vAlign w:val="center"/>
            <w:hideMark/>
          </w:tcPr>
          <w:p w14:paraId="74BDAAC0" w14:textId="77777777" w:rsidR="00781D11" w:rsidRPr="00781D11" w:rsidRDefault="00781D11" w:rsidP="00781D11">
            <w:pPr>
              <w:spacing w:after="0" w:line="240" w:lineRule="auto"/>
              <w:rPr>
                <w:rFonts w:ascii="Times New Roman" w:hAnsi="Times New Roman"/>
                <w:szCs w:val="20"/>
              </w:rPr>
            </w:pPr>
          </w:p>
        </w:tc>
      </w:tr>
      <w:tr w:rsidR="00781D11" w:rsidRPr="00781D11" w14:paraId="1333BEC5" w14:textId="77777777" w:rsidTr="007F68A0">
        <w:trPr>
          <w:trHeight w:val="285"/>
        </w:trPr>
        <w:tc>
          <w:tcPr>
            <w:tcW w:w="3205" w:type="dxa"/>
            <w:tcBorders>
              <w:top w:val="nil"/>
              <w:left w:val="single" w:sz="8" w:space="0" w:color="auto"/>
              <w:bottom w:val="nil"/>
              <w:right w:val="single" w:sz="8" w:space="0" w:color="auto"/>
            </w:tcBorders>
            <w:shd w:val="clear" w:color="000000" w:fill="FFFFFF"/>
            <w:vAlign w:val="center"/>
            <w:hideMark/>
          </w:tcPr>
          <w:p w14:paraId="32E5DA6F"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4.13.2 3575-3700 MHz band </w:t>
            </w:r>
          </w:p>
        </w:tc>
        <w:tc>
          <w:tcPr>
            <w:tcW w:w="4723" w:type="dxa"/>
            <w:tcBorders>
              <w:top w:val="nil"/>
              <w:left w:val="nil"/>
              <w:bottom w:val="nil"/>
              <w:right w:val="single" w:sz="8" w:space="0" w:color="auto"/>
            </w:tcBorders>
            <w:shd w:val="clear" w:color="000000" w:fill="FFFFFF"/>
            <w:noWrap/>
            <w:vAlign w:val="bottom"/>
            <w:hideMark/>
          </w:tcPr>
          <w:p w14:paraId="36F9A134"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1AA094E" w14:textId="77777777" w:rsidR="00781D11" w:rsidRPr="00781D11" w:rsidRDefault="00781D11" w:rsidP="00781D11">
            <w:pPr>
              <w:spacing w:after="0" w:line="240" w:lineRule="auto"/>
              <w:rPr>
                <w:rFonts w:ascii="Times New Roman" w:hAnsi="Times New Roman"/>
                <w:szCs w:val="20"/>
              </w:rPr>
            </w:pPr>
          </w:p>
        </w:tc>
      </w:tr>
      <w:tr w:rsidR="00781D11" w:rsidRPr="00781D11" w14:paraId="2E834FA1" w14:textId="77777777" w:rsidTr="007F68A0">
        <w:trPr>
          <w:trHeight w:val="518"/>
        </w:trPr>
        <w:tc>
          <w:tcPr>
            <w:tcW w:w="3205" w:type="dxa"/>
            <w:tcBorders>
              <w:top w:val="nil"/>
              <w:left w:val="single" w:sz="8" w:space="0" w:color="auto"/>
              <w:bottom w:val="single" w:sz="8" w:space="0" w:color="auto"/>
              <w:right w:val="single" w:sz="8" w:space="0" w:color="auto"/>
            </w:tcBorders>
            <w:shd w:val="clear" w:color="000000" w:fill="FFFFFF"/>
            <w:vAlign w:val="center"/>
            <w:hideMark/>
          </w:tcPr>
          <w:p w14:paraId="432A3F58"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4.13.4 Summary table: assignment priority rules </w:t>
            </w:r>
          </w:p>
        </w:tc>
        <w:tc>
          <w:tcPr>
            <w:tcW w:w="4723" w:type="dxa"/>
            <w:tcBorders>
              <w:top w:val="nil"/>
              <w:left w:val="nil"/>
              <w:bottom w:val="single" w:sz="8" w:space="0" w:color="auto"/>
              <w:right w:val="single" w:sz="8" w:space="0" w:color="auto"/>
            </w:tcBorders>
            <w:shd w:val="clear" w:color="000000" w:fill="FFFFFF"/>
            <w:vAlign w:val="center"/>
            <w:hideMark/>
          </w:tcPr>
          <w:p w14:paraId="46CCDA27"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3BD9D313" w14:textId="77777777" w:rsidR="00781D11" w:rsidRPr="00781D11" w:rsidRDefault="00781D11" w:rsidP="00781D11">
            <w:pPr>
              <w:spacing w:after="0" w:line="240" w:lineRule="auto"/>
              <w:rPr>
                <w:rFonts w:ascii="Times New Roman" w:hAnsi="Times New Roman"/>
                <w:szCs w:val="20"/>
              </w:rPr>
            </w:pPr>
          </w:p>
        </w:tc>
      </w:tr>
      <w:tr w:rsidR="00781D11" w:rsidRPr="00781D11" w14:paraId="5AA031BE"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7E929127"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5.1 Overview of Licensing </w:t>
            </w:r>
          </w:p>
        </w:tc>
        <w:tc>
          <w:tcPr>
            <w:tcW w:w="4723" w:type="dxa"/>
            <w:tcBorders>
              <w:top w:val="nil"/>
              <w:left w:val="nil"/>
              <w:bottom w:val="nil"/>
              <w:right w:val="single" w:sz="8" w:space="0" w:color="auto"/>
            </w:tcBorders>
            <w:shd w:val="clear" w:color="000000" w:fill="F2F2F2"/>
            <w:vAlign w:val="center"/>
            <w:hideMark/>
          </w:tcPr>
          <w:p w14:paraId="57D771D0" w14:textId="634157A4" w:rsidR="00781D11" w:rsidRPr="00781D11" w:rsidRDefault="00781D11" w:rsidP="00781D11">
            <w:pPr>
              <w:spacing w:after="0" w:line="240" w:lineRule="auto"/>
              <w:rPr>
                <w:rFonts w:cs="Arial"/>
                <w:color w:val="000000"/>
                <w:szCs w:val="20"/>
              </w:rPr>
            </w:pPr>
            <w:r w:rsidRPr="00781D11">
              <w:rPr>
                <w:rFonts w:cs="Arial"/>
                <w:color w:val="000000"/>
                <w:szCs w:val="20"/>
              </w:rPr>
              <w:t>Removed references in 3575-3700 MHz in paragraph 3 and paragraph 4 in section 5.1</w:t>
            </w:r>
          </w:p>
        </w:tc>
        <w:tc>
          <w:tcPr>
            <w:tcW w:w="3332" w:type="dxa"/>
            <w:vAlign w:val="center"/>
            <w:hideMark/>
          </w:tcPr>
          <w:p w14:paraId="7F362115" w14:textId="77777777" w:rsidR="00781D11" w:rsidRPr="00781D11" w:rsidRDefault="00781D11" w:rsidP="00781D11">
            <w:pPr>
              <w:spacing w:after="0" w:line="240" w:lineRule="auto"/>
              <w:rPr>
                <w:rFonts w:ascii="Times New Roman" w:hAnsi="Times New Roman"/>
                <w:szCs w:val="20"/>
              </w:rPr>
            </w:pPr>
          </w:p>
        </w:tc>
      </w:tr>
      <w:tr w:rsidR="00781D11" w:rsidRPr="00781D11" w14:paraId="75D47C6D" w14:textId="77777777" w:rsidTr="007F68A0">
        <w:trPr>
          <w:trHeight w:val="293"/>
        </w:trPr>
        <w:tc>
          <w:tcPr>
            <w:tcW w:w="3205" w:type="dxa"/>
            <w:tcBorders>
              <w:top w:val="nil"/>
              <w:left w:val="single" w:sz="8" w:space="0" w:color="auto"/>
              <w:bottom w:val="nil"/>
              <w:right w:val="single" w:sz="8" w:space="0" w:color="auto"/>
            </w:tcBorders>
            <w:shd w:val="clear" w:color="000000" w:fill="F2F2F2"/>
            <w:vAlign w:val="center"/>
            <w:hideMark/>
          </w:tcPr>
          <w:p w14:paraId="4EA11D77"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nil"/>
              <w:right w:val="single" w:sz="8" w:space="0" w:color="auto"/>
            </w:tcBorders>
            <w:shd w:val="clear" w:color="000000" w:fill="F2F2F2"/>
            <w:vAlign w:val="center"/>
            <w:hideMark/>
          </w:tcPr>
          <w:p w14:paraId="15F43719"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54F27DE4" w14:textId="77777777" w:rsidR="00781D11" w:rsidRPr="00781D11" w:rsidRDefault="00781D11" w:rsidP="00781D11">
            <w:pPr>
              <w:spacing w:after="0" w:line="240" w:lineRule="auto"/>
              <w:rPr>
                <w:rFonts w:ascii="Times New Roman" w:hAnsi="Times New Roman"/>
                <w:szCs w:val="20"/>
              </w:rPr>
            </w:pPr>
          </w:p>
        </w:tc>
      </w:tr>
      <w:tr w:rsidR="00781D11" w:rsidRPr="00781D11" w14:paraId="65D0A9C1" w14:textId="77777777" w:rsidTr="007F68A0">
        <w:trPr>
          <w:trHeight w:val="285"/>
        </w:trPr>
        <w:tc>
          <w:tcPr>
            <w:tcW w:w="3205" w:type="dxa"/>
            <w:tcBorders>
              <w:top w:val="single" w:sz="8" w:space="0" w:color="auto"/>
              <w:left w:val="single" w:sz="8" w:space="0" w:color="auto"/>
              <w:bottom w:val="nil"/>
              <w:right w:val="single" w:sz="8" w:space="0" w:color="auto"/>
            </w:tcBorders>
            <w:shd w:val="clear" w:color="auto" w:fill="auto"/>
            <w:vAlign w:val="center"/>
            <w:hideMark/>
          </w:tcPr>
          <w:p w14:paraId="73B65150"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5.2 Licence Conditions </w:t>
            </w:r>
          </w:p>
        </w:tc>
        <w:tc>
          <w:tcPr>
            <w:tcW w:w="4723" w:type="dxa"/>
            <w:tcBorders>
              <w:top w:val="single" w:sz="8" w:space="0" w:color="auto"/>
              <w:left w:val="nil"/>
              <w:bottom w:val="nil"/>
              <w:right w:val="single" w:sz="8" w:space="0" w:color="auto"/>
            </w:tcBorders>
            <w:shd w:val="clear" w:color="auto" w:fill="auto"/>
            <w:vAlign w:val="center"/>
            <w:hideMark/>
          </w:tcPr>
          <w:p w14:paraId="345A63AC" w14:textId="4C3B7476"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3575-3700 MHz references in paragraph 2 in section 5.2 </w:t>
            </w:r>
          </w:p>
        </w:tc>
        <w:tc>
          <w:tcPr>
            <w:tcW w:w="3332" w:type="dxa"/>
            <w:vAlign w:val="center"/>
            <w:hideMark/>
          </w:tcPr>
          <w:p w14:paraId="0AAE8FD6" w14:textId="77777777" w:rsidR="00781D11" w:rsidRPr="00781D11" w:rsidRDefault="00781D11" w:rsidP="00781D11">
            <w:pPr>
              <w:spacing w:after="0" w:line="240" w:lineRule="auto"/>
              <w:rPr>
                <w:rFonts w:ascii="Times New Roman" w:hAnsi="Times New Roman"/>
                <w:szCs w:val="20"/>
              </w:rPr>
            </w:pPr>
          </w:p>
        </w:tc>
      </w:tr>
      <w:tr w:rsidR="00781D11" w:rsidRPr="00781D11" w14:paraId="1D96DE34" w14:textId="77777777" w:rsidTr="007F68A0">
        <w:trPr>
          <w:trHeight w:val="293"/>
        </w:trPr>
        <w:tc>
          <w:tcPr>
            <w:tcW w:w="3205" w:type="dxa"/>
            <w:tcBorders>
              <w:top w:val="nil"/>
              <w:left w:val="single" w:sz="8" w:space="0" w:color="auto"/>
              <w:bottom w:val="single" w:sz="8" w:space="0" w:color="auto"/>
              <w:right w:val="single" w:sz="8" w:space="0" w:color="auto"/>
            </w:tcBorders>
            <w:shd w:val="clear" w:color="auto" w:fill="auto"/>
            <w:vAlign w:val="center"/>
            <w:hideMark/>
          </w:tcPr>
          <w:p w14:paraId="110D46FB"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auto" w:fill="auto"/>
            <w:vAlign w:val="center"/>
            <w:hideMark/>
          </w:tcPr>
          <w:p w14:paraId="4568B3F2"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5CCC1D8F" w14:textId="77777777" w:rsidR="00781D11" w:rsidRPr="00781D11" w:rsidRDefault="00781D11" w:rsidP="00781D11">
            <w:pPr>
              <w:spacing w:after="0" w:line="240" w:lineRule="auto"/>
              <w:rPr>
                <w:rFonts w:ascii="Times New Roman" w:hAnsi="Times New Roman"/>
                <w:szCs w:val="20"/>
              </w:rPr>
            </w:pPr>
          </w:p>
        </w:tc>
      </w:tr>
      <w:tr w:rsidR="00781D11" w:rsidRPr="00781D11" w14:paraId="072CA0AA" w14:textId="77777777" w:rsidTr="007F68A0">
        <w:trPr>
          <w:trHeight w:val="285"/>
        </w:trPr>
        <w:tc>
          <w:tcPr>
            <w:tcW w:w="3205" w:type="dxa"/>
            <w:tcBorders>
              <w:top w:val="nil"/>
              <w:left w:val="single" w:sz="8" w:space="0" w:color="auto"/>
              <w:bottom w:val="nil"/>
              <w:right w:val="single" w:sz="8" w:space="0" w:color="auto"/>
            </w:tcBorders>
            <w:shd w:val="clear" w:color="000000" w:fill="F2F2F2"/>
            <w:vAlign w:val="center"/>
            <w:hideMark/>
          </w:tcPr>
          <w:p w14:paraId="3FD72FE8"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5.2.1 Special Conditions </w:t>
            </w:r>
          </w:p>
        </w:tc>
        <w:tc>
          <w:tcPr>
            <w:tcW w:w="4723" w:type="dxa"/>
            <w:tcBorders>
              <w:top w:val="nil"/>
              <w:left w:val="nil"/>
              <w:bottom w:val="nil"/>
              <w:right w:val="single" w:sz="8" w:space="0" w:color="auto"/>
            </w:tcBorders>
            <w:shd w:val="clear" w:color="000000" w:fill="F2F2F2"/>
            <w:vAlign w:val="center"/>
            <w:hideMark/>
          </w:tcPr>
          <w:p w14:paraId="3D55A7E8" w14:textId="2F1822F5"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paragraph 3 &amp; 4 in section 5.2.1 </w:t>
            </w:r>
          </w:p>
        </w:tc>
        <w:tc>
          <w:tcPr>
            <w:tcW w:w="3332" w:type="dxa"/>
            <w:vAlign w:val="center"/>
            <w:hideMark/>
          </w:tcPr>
          <w:p w14:paraId="1A1733D8" w14:textId="77777777" w:rsidR="00781D11" w:rsidRPr="00781D11" w:rsidRDefault="00781D11" w:rsidP="00781D11">
            <w:pPr>
              <w:spacing w:after="0" w:line="240" w:lineRule="auto"/>
              <w:rPr>
                <w:rFonts w:ascii="Times New Roman" w:hAnsi="Times New Roman"/>
                <w:szCs w:val="20"/>
              </w:rPr>
            </w:pPr>
          </w:p>
        </w:tc>
      </w:tr>
      <w:tr w:rsidR="00781D11" w:rsidRPr="00781D11" w14:paraId="5F3D3146" w14:textId="77777777" w:rsidTr="007F68A0">
        <w:trPr>
          <w:trHeight w:val="293"/>
        </w:trPr>
        <w:tc>
          <w:tcPr>
            <w:tcW w:w="3205" w:type="dxa"/>
            <w:tcBorders>
              <w:top w:val="nil"/>
              <w:left w:val="single" w:sz="8" w:space="0" w:color="auto"/>
              <w:bottom w:val="nil"/>
              <w:right w:val="single" w:sz="8" w:space="0" w:color="auto"/>
            </w:tcBorders>
            <w:shd w:val="clear" w:color="000000" w:fill="F2F2F2"/>
            <w:vAlign w:val="center"/>
            <w:hideMark/>
          </w:tcPr>
          <w:p w14:paraId="561C6044"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nil"/>
              <w:right w:val="single" w:sz="8" w:space="0" w:color="auto"/>
            </w:tcBorders>
            <w:shd w:val="clear" w:color="000000" w:fill="F2F2F2"/>
            <w:vAlign w:val="center"/>
            <w:hideMark/>
          </w:tcPr>
          <w:p w14:paraId="19A5E79F"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0CB38D37" w14:textId="77777777" w:rsidR="00781D11" w:rsidRPr="00781D11" w:rsidRDefault="00781D11" w:rsidP="00781D11">
            <w:pPr>
              <w:spacing w:after="0" w:line="240" w:lineRule="auto"/>
              <w:rPr>
                <w:rFonts w:ascii="Times New Roman" w:hAnsi="Times New Roman"/>
                <w:szCs w:val="20"/>
              </w:rPr>
            </w:pPr>
          </w:p>
        </w:tc>
      </w:tr>
      <w:tr w:rsidR="00781D11" w:rsidRPr="00781D11" w14:paraId="59A599DF" w14:textId="77777777" w:rsidTr="007F68A0">
        <w:trPr>
          <w:trHeight w:val="285"/>
        </w:trPr>
        <w:tc>
          <w:tcPr>
            <w:tcW w:w="3205" w:type="dxa"/>
            <w:tcBorders>
              <w:top w:val="single" w:sz="8" w:space="0" w:color="auto"/>
              <w:left w:val="single" w:sz="8" w:space="0" w:color="auto"/>
              <w:bottom w:val="nil"/>
              <w:right w:val="single" w:sz="8" w:space="0" w:color="auto"/>
            </w:tcBorders>
            <w:shd w:val="clear" w:color="auto" w:fill="auto"/>
            <w:vAlign w:val="center"/>
            <w:hideMark/>
          </w:tcPr>
          <w:p w14:paraId="49983068"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5.2.2 Advisory Notes  </w:t>
            </w:r>
          </w:p>
        </w:tc>
        <w:tc>
          <w:tcPr>
            <w:tcW w:w="4723" w:type="dxa"/>
            <w:tcBorders>
              <w:top w:val="single" w:sz="8" w:space="0" w:color="auto"/>
              <w:left w:val="nil"/>
              <w:bottom w:val="nil"/>
              <w:right w:val="single" w:sz="8" w:space="0" w:color="auto"/>
            </w:tcBorders>
            <w:shd w:val="clear" w:color="auto" w:fill="auto"/>
            <w:vAlign w:val="center"/>
            <w:hideMark/>
          </w:tcPr>
          <w:p w14:paraId="6E85E7C9" w14:textId="4AA185DC"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paragraph 3 &amp; 4 in section 5.2.2 </w:t>
            </w:r>
          </w:p>
        </w:tc>
        <w:tc>
          <w:tcPr>
            <w:tcW w:w="3332" w:type="dxa"/>
            <w:vAlign w:val="center"/>
            <w:hideMark/>
          </w:tcPr>
          <w:p w14:paraId="2219FA57" w14:textId="77777777" w:rsidR="00781D11" w:rsidRPr="00781D11" w:rsidRDefault="00781D11" w:rsidP="00781D11">
            <w:pPr>
              <w:spacing w:after="0" w:line="240" w:lineRule="auto"/>
              <w:rPr>
                <w:rFonts w:ascii="Times New Roman" w:hAnsi="Times New Roman"/>
                <w:szCs w:val="20"/>
              </w:rPr>
            </w:pPr>
          </w:p>
        </w:tc>
      </w:tr>
      <w:tr w:rsidR="00781D11" w:rsidRPr="00781D11" w14:paraId="0CA8B6FB" w14:textId="77777777" w:rsidTr="007F68A0">
        <w:trPr>
          <w:trHeight w:val="293"/>
        </w:trPr>
        <w:tc>
          <w:tcPr>
            <w:tcW w:w="3205" w:type="dxa"/>
            <w:tcBorders>
              <w:top w:val="nil"/>
              <w:left w:val="single" w:sz="8" w:space="0" w:color="auto"/>
              <w:bottom w:val="single" w:sz="8" w:space="0" w:color="auto"/>
              <w:right w:val="single" w:sz="8" w:space="0" w:color="auto"/>
            </w:tcBorders>
            <w:shd w:val="clear" w:color="auto" w:fill="auto"/>
            <w:vAlign w:val="center"/>
            <w:hideMark/>
          </w:tcPr>
          <w:p w14:paraId="410CD7AE"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auto" w:fill="auto"/>
            <w:vAlign w:val="center"/>
            <w:hideMark/>
          </w:tcPr>
          <w:p w14:paraId="24BAF59F"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336D8C36" w14:textId="77777777" w:rsidR="00781D11" w:rsidRPr="00781D11" w:rsidRDefault="00781D11" w:rsidP="00781D11">
            <w:pPr>
              <w:spacing w:after="0" w:line="240" w:lineRule="auto"/>
              <w:rPr>
                <w:rFonts w:ascii="Times New Roman" w:hAnsi="Times New Roman"/>
                <w:szCs w:val="20"/>
              </w:rPr>
            </w:pPr>
          </w:p>
        </w:tc>
      </w:tr>
      <w:tr w:rsidR="00781D11" w:rsidRPr="00781D11" w14:paraId="7D71BB84"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3F8079F9"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5.4 3.6 GHz Band Specific Requirements </w:t>
            </w:r>
          </w:p>
        </w:tc>
        <w:tc>
          <w:tcPr>
            <w:tcW w:w="4723" w:type="dxa"/>
            <w:tcBorders>
              <w:top w:val="nil"/>
              <w:left w:val="nil"/>
              <w:bottom w:val="nil"/>
              <w:right w:val="single" w:sz="8" w:space="0" w:color="auto"/>
            </w:tcBorders>
            <w:shd w:val="clear" w:color="000000" w:fill="F2F2F2"/>
            <w:vAlign w:val="center"/>
            <w:hideMark/>
          </w:tcPr>
          <w:p w14:paraId="3ED4278A" w14:textId="187A367E"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section 5.4 </w:t>
            </w:r>
          </w:p>
        </w:tc>
        <w:tc>
          <w:tcPr>
            <w:tcW w:w="3332" w:type="dxa"/>
            <w:vAlign w:val="center"/>
            <w:hideMark/>
          </w:tcPr>
          <w:p w14:paraId="6BFDAA0E" w14:textId="77777777" w:rsidR="00781D11" w:rsidRPr="00781D11" w:rsidRDefault="00781D11" w:rsidP="00781D11">
            <w:pPr>
              <w:spacing w:after="0" w:line="240" w:lineRule="auto"/>
              <w:rPr>
                <w:rFonts w:ascii="Times New Roman" w:hAnsi="Times New Roman"/>
                <w:szCs w:val="20"/>
              </w:rPr>
            </w:pPr>
          </w:p>
        </w:tc>
      </w:tr>
      <w:tr w:rsidR="00781D11" w:rsidRPr="00781D11" w14:paraId="4EF121C0" w14:textId="77777777" w:rsidTr="007F68A0">
        <w:trPr>
          <w:trHeight w:val="293"/>
        </w:trPr>
        <w:tc>
          <w:tcPr>
            <w:tcW w:w="3205" w:type="dxa"/>
            <w:tcBorders>
              <w:top w:val="nil"/>
              <w:left w:val="single" w:sz="8" w:space="0" w:color="auto"/>
              <w:bottom w:val="nil"/>
              <w:right w:val="single" w:sz="8" w:space="0" w:color="auto"/>
            </w:tcBorders>
            <w:shd w:val="clear" w:color="000000" w:fill="F2F2F2"/>
            <w:vAlign w:val="center"/>
            <w:hideMark/>
          </w:tcPr>
          <w:p w14:paraId="0F33AE78"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nil"/>
              <w:right w:val="single" w:sz="8" w:space="0" w:color="auto"/>
            </w:tcBorders>
            <w:shd w:val="clear" w:color="000000" w:fill="F2F2F2"/>
            <w:vAlign w:val="center"/>
            <w:hideMark/>
          </w:tcPr>
          <w:p w14:paraId="4CB8DA48"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6A9AC7D5" w14:textId="77777777" w:rsidR="00781D11" w:rsidRPr="00781D11" w:rsidRDefault="00781D11" w:rsidP="00781D11">
            <w:pPr>
              <w:spacing w:after="0" w:line="240" w:lineRule="auto"/>
              <w:rPr>
                <w:rFonts w:ascii="Times New Roman" w:hAnsi="Times New Roman"/>
                <w:szCs w:val="20"/>
              </w:rPr>
            </w:pPr>
          </w:p>
        </w:tc>
      </w:tr>
      <w:tr w:rsidR="00781D11" w:rsidRPr="00781D11" w14:paraId="02ADF0C4" w14:textId="77777777" w:rsidTr="007F68A0">
        <w:trPr>
          <w:trHeight w:val="510"/>
        </w:trPr>
        <w:tc>
          <w:tcPr>
            <w:tcW w:w="3205"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3A8A7C2"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Attachment 2a: </w:t>
            </w:r>
            <w:r w:rsidRPr="00781D11">
              <w:rPr>
                <w:rFonts w:cs="Arial"/>
                <w:color w:val="000000"/>
                <w:szCs w:val="20"/>
              </w:rPr>
              <w:br/>
              <w:t xml:space="preserve">2.   Victim BWA receiver and Interfering 3.8 GHz Fixed link transmitter  </w:t>
            </w:r>
          </w:p>
        </w:tc>
        <w:tc>
          <w:tcPr>
            <w:tcW w:w="4723" w:type="dxa"/>
            <w:tcBorders>
              <w:top w:val="single" w:sz="8" w:space="0" w:color="auto"/>
              <w:left w:val="nil"/>
              <w:bottom w:val="nil"/>
              <w:right w:val="single" w:sz="8" w:space="0" w:color="auto"/>
            </w:tcBorders>
            <w:shd w:val="clear" w:color="000000" w:fill="FFFFFF"/>
            <w:vAlign w:val="center"/>
            <w:hideMark/>
          </w:tcPr>
          <w:p w14:paraId="48386B42" w14:textId="22805BF1" w:rsidR="00781D11" w:rsidRPr="00781D11" w:rsidRDefault="00781D11" w:rsidP="00781D11">
            <w:pPr>
              <w:spacing w:after="0" w:line="240" w:lineRule="auto"/>
              <w:rPr>
                <w:rFonts w:cs="Arial"/>
                <w:color w:val="000000"/>
                <w:szCs w:val="20"/>
              </w:rPr>
            </w:pPr>
            <w:r w:rsidRPr="00781D11">
              <w:rPr>
                <w:rFonts w:cs="Arial"/>
                <w:color w:val="000000"/>
                <w:szCs w:val="20"/>
              </w:rPr>
              <w:t>Removed Section 2.   Victim BWA receiver and Interfering 3.8 GHz Fixed link transmitter table in attachment 2a</w:t>
            </w:r>
          </w:p>
        </w:tc>
        <w:tc>
          <w:tcPr>
            <w:tcW w:w="3332" w:type="dxa"/>
            <w:vAlign w:val="center"/>
            <w:hideMark/>
          </w:tcPr>
          <w:p w14:paraId="37779C24" w14:textId="77777777" w:rsidR="00781D11" w:rsidRPr="00781D11" w:rsidRDefault="00781D11" w:rsidP="00781D11">
            <w:pPr>
              <w:spacing w:after="0" w:line="240" w:lineRule="auto"/>
              <w:rPr>
                <w:rFonts w:ascii="Times New Roman" w:hAnsi="Times New Roman"/>
                <w:szCs w:val="20"/>
              </w:rPr>
            </w:pPr>
          </w:p>
        </w:tc>
      </w:tr>
      <w:tr w:rsidR="00781D11" w:rsidRPr="00781D11" w14:paraId="2D29BCA2" w14:textId="77777777" w:rsidTr="007F68A0">
        <w:trPr>
          <w:trHeight w:val="855"/>
        </w:trPr>
        <w:tc>
          <w:tcPr>
            <w:tcW w:w="3205" w:type="dxa"/>
            <w:vMerge/>
            <w:tcBorders>
              <w:top w:val="single" w:sz="8" w:space="0" w:color="auto"/>
              <w:left w:val="single" w:sz="8" w:space="0" w:color="auto"/>
              <w:bottom w:val="single" w:sz="8" w:space="0" w:color="000000"/>
              <w:right w:val="single" w:sz="8" w:space="0" w:color="auto"/>
            </w:tcBorders>
            <w:vAlign w:val="center"/>
            <w:hideMark/>
          </w:tcPr>
          <w:p w14:paraId="65FA40F4" w14:textId="77777777" w:rsidR="00781D11" w:rsidRPr="00781D11" w:rsidRDefault="00781D11" w:rsidP="00781D11">
            <w:pPr>
              <w:spacing w:after="0" w:line="240" w:lineRule="auto"/>
              <w:rPr>
                <w:rFonts w:cs="Arial"/>
                <w:color w:val="000000"/>
                <w:szCs w:val="20"/>
              </w:rPr>
            </w:pPr>
          </w:p>
        </w:tc>
        <w:tc>
          <w:tcPr>
            <w:tcW w:w="4723" w:type="dxa"/>
            <w:tcBorders>
              <w:top w:val="nil"/>
              <w:left w:val="nil"/>
              <w:bottom w:val="single" w:sz="8" w:space="0" w:color="auto"/>
              <w:right w:val="single" w:sz="8" w:space="0" w:color="auto"/>
            </w:tcBorders>
            <w:shd w:val="clear" w:color="000000" w:fill="FFFFFF"/>
            <w:vAlign w:val="center"/>
            <w:hideMark/>
          </w:tcPr>
          <w:p w14:paraId="4C9AC1DC"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680BF102" w14:textId="77777777" w:rsidR="00781D11" w:rsidRPr="00781D11" w:rsidRDefault="00781D11" w:rsidP="00781D11">
            <w:pPr>
              <w:spacing w:after="0" w:line="240" w:lineRule="auto"/>
              <w:rPr>
                <w:rFonts w:ascii="Times New Roman" w:hAnsi="Times New Roman"/>
                <w:szCs w:val="20"/>
              </w:rPr>
            </w:pPr>
          </w:p>
        </w:tc>
      </w:tr>
      <w:tr w:rsidR="00781D11" w:rsidRPr="00781D11" w14:paraId="3B450ABA" w14:textId="77777777" w:rsidTr="007F68A0">
        <w:trPr>
          <w:trHeight w:val="765"/>
        </w:trPr>
        <w:tc>
          <w:tcPr>
            <w:tcW w:w="3205" w:type="dxa"/>
            <w:tcBorders>
              <w:top w:val="nil"/>
              <w:left w:val="single" w:sz="8" w:space="0" w:color="auto"/>
              <w:bottom w:val="nil"/>
              <w:right w:val="single" w:sz="8" w:space="0" w:color="auto"/>
            </w:tcBorders>
            <w:shd w:val="clear" w:color="000000" w:fill="F2F2F2"/>
            <w:vAlign w:val="center"/>
            <w:hideMark/>
          </w:tcPr>
          <w:p w14:paraId="353663B3"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Attachment 2b: Protection Criteria: 1.8, 2.1 and 3.8 GHz fixed point-to-point receivers </w:t>
            </w:r>
          </w:p>
        </w:tc>
        <w:tc>
          <w:tcPr>
            <w:tcW w:w="4723" w:type="dxa"/>
            <w:tcBorders>
              <w:top w:val="nil"/>
              <w:left w:val="nil"/>
              <w:bottom w:val="nil"/>
              <w:right w:val="single" w:sz="8" w:space="0" w:color="auto"/>
            </w:tcBorders>
            <w:shd w:val="clear" w:color="000000" w:fill="F2F2F2"/>
            <w:vAlign w:val="center"/>
            <w:hideMark/>
          </w:tcPr>
          <w:p w14:paraId="029BA37F" w14:textId="7112FAD7" w:rsidR="00781D11" w:rsidRPr="00781D11" w:rsidRDefault="00781D11" w:rsidP="00781D11">
            <w:pPr>
              <w:spacing w:after="0" w:line="240" w:lineRule="auto"/>
              <w:rPr>
                <w:rFonts w:cs="Arial"/>
                <w:color w:val="000000"/>
                <w:szCs w:val="20"/>
              </w:rPr>
            </w:pPr>
            <w:r w:rsidRPr="00781D11">
              <w:rPr>
                <w:rFonts w:cs="Arial"/>
                <w:color w:val="000000"/>
                <w:szCs w:val="20"/>
              </w:rPr>
              <w:t>Removed Section 2.   Victim BWA receiver and Interfering 3.8 GHz Fixed link transmitter table in attachment 2b</w:t>
            </w:r>
          </w:p>
        </w:tc>
        <w:tc>
          <w:tcPr>
            <w:tcW w:w="3332" w:type="dxa"/>
            <w:vAlign w:val="center"/>
            <w:hideMark/>
          </w:tcPr>
          <w:p w14:paraId="27DBEDF8" w14:textId="77777777" w:rsidR="00781D11" w:rsidRPr="00781D11" w:rsidRDefault="00781D11" w:rsidP="00781D11">
            <w:pPr>
              <w:spacing w:after="0" w:line="240" w:lineRule="auto"/>
              <w:rPr>
                <w:rFonts w:ascii="Times New Roman" w:hAnsi="Times New Roman"/>
                <w:szCs w:val="20"/>
              </w:rPr>
            </w:pPr>
          </w:p>
        </w:tc>
      </w:tr>
      <w:tr w:rsidR="00781D11" w:rsidRPr="00781D11" w14:paraId="799CD666" w14:textId="77777777" w:rsidTr="007F68A0">
        <w:trPr>
          <w:trHeight w:val="293"/>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62B964EC"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2F2F2"/>
            <w:vAlign w:val="center"/>
            <w:hideMark/>
          </w:tcPr>
          <w:p w14:paraId="7D61AC63"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71F5F6E" w14:textId="77777777" w:rsidR="00781D11" w:rsidRPr="00781D11" w:rsidRDefault="00781D11" w:rsidP="00781D11">
            <w:pPr>
              <w:spacing w:after="0" w:line="240" w:lineRule="auto"/>
              <w:rPr>
                <w:rFonts w:ascii="Times New Roman" w:hAnsi="Times New Roman"/>
                <w:szCs w:val="20"/>
              </w:rPr>
            </w:pPr>
          </w:p>
        </w:tc>
      </w:tr>
      <w:tr w:rsidR="00781D11" w:rsidRPr="00781D11" w14:paraId="452DB109" w14:textId="77777777" w:rsidTr="007F68A0">
        <w:trPr>
          <w:trHeight w:val="765"/>
        </w:trPr>
        <w:tc>
          <w:tcPr>
            <w:tcW w:w="3205" w:type="dxa"/>
            <w:tcBorders>
              <w:top w:val="nil"/>
              <w:left w:val="single" w:sz="8" w:space="0" w:color="auto"/>
              <w:bottom w:val="nil"/>
              <w:right w:val="single" w:sz="8" w:space="0" w:color="auto"/>
            </w:tcBorders>
            <w:shd w:val="clear" w:color="auto" w:fill="auto"/>
            <w:vAlign w:val="center"/>
            <w:hideMark/>
          </w:tcPr>
          <w:p w14:paraId="10DA0649" w14:textId="77777777" w:rsidR="00781D11" w:rsidRPr="00781D11" w:rsidRDefault="00781D11" w:rsidP="00781D11">
            <w:pPr>
              <w:spacing w:after="0" w:line="240" w:lineRule="auto"/>
              <w:rPr>
                <w:rFonts w:cs="Arial"/>
                <w:color w:val="000000"/>
                <w:szCs w:val="20"/>
              </w:rPr>
            </w:pPr>
            <w:r w:rsidRPr="00781D11">
              <w:rPr>
                <w:rFonts w:cs="Arial"/>
                <w:color w:val="000000"/>
                <w:szCs w:val="20"/>
              </w:rPr>
              <w:t>Attachment 2d: Protection Criteria: 3600-4200 MHz band Earth Station receivers</w:t>
            </w:r>
          </w:p>
        </w:tc>
        <w:tc>
          <w:tcPr>
            <w:tcW w:w="4723" w:type="dxa"/>
            <w:tcBorders>
              <w:top w:val="nil"/>
              <w:left w:val="nil"/>
              <w:bottom w:val="nil"/>
              <w:right w:val="single" w:sz="8" w:space="0" w:color="auto"/>
            </w:tcBorders>
            <w:shd w:val="clear" w:color="000000" w:fill="FFFFFF"/>
            <w:vAlign w:val="center"/>
            <w:hideMark/>
          </w:tcPr>
          <w:p w14:paraId="172FE27B"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Attachment 2d </w:t>
            </w:r>
          </w:p>
        </w:tc>
        <w:tc>
          <w:tcPr>
            <w:tcW w:w="3332" w:type="dxa"/>
            <w:vAlign w:val="center"/>
            <w:hideMark/>
          </w:tcPr>
          <w:p w14:paraId="231058DC" w14:textId="77777777" w:rsidR="00781D11" w:rsidRPr="00781D11" w:rsidRDefault="00781D11" w:rsidP="00781D11">
            <w:pPr>
              <w:spacing w:after="0" w:line="240" w:lineRule="auto"/>
              <w:rPr>
                <w:rFonts w:ascii="Times New Roman" w:hAnsi="Times New Roman"/>
                <w:szCs w:val="20"/>
              </w:rPr>
            </w:pPr>
          </w:p>
        </w:tc>
      </w:tr>
      <w:tr w:rsidR="00781D11" w:rsidRPr="00781D11" w14:paraId="5D6DDC21" w14:textId="77777777" w:rsidTr="007F68A0">
        <w:trPr>
          <w:trHeight w:val="293"/>
        </w:trPr>
        <w:tc>
          <w:tcPr>
            <w:tcW w:w="3205" w:type="dxa"/>
            <w:tcBorders>
              <w:top w:val="nil"/>
              <w:left w:val="single" w:sz="8" w:space="0" w:color="auto"/>
              <w:bottom w:val="single" w:sz="8" w:space="0" w:color="auto"/>
              <w:right w:val="single" w:sz="8" w:space="0" w:color="auto"/>
            </w:tcBorders>
            <w:shd w:val="clear" w:color="auto" w:fill="auto"/>
            <w:vAlign w:val="center"/>
            <w:hideMark/>
          </w:tcPr>
          <w:p w14:paraId="04ED7A31"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FFFFF"/>
            <w:vAlign w:val="center"/>
            <w:hideMark/>
          </w:tcPr>
          <w:p w14:paraId="25756E10"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50C217F" w14:textId="77777777" w:rsidR="00781D11" w:rsidRPr="00781D11" w:rsidRDefault="00781D11" w:rsidP="00781D11">
            <w:pPr>
              <w:spacing w:after="0" w:line="240" w:lineRule="auto"/>
              <w:rPr>
                <w:rFonts w:ascii="Times New Roman" w:hAnsi="Times New Roman"/>
                <w:szCs w:val="20"/>
              </w:rPr>
            </w:pPr>
          </w:p>
        </w:tc>
      </w:tr>
      <w:tr w:rsidR="00781D11" w:rsidRPr="00781D11" w14:paraId="6C1DF6C6"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5AA2B368"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ANNEX 1:  3575-3700 MHz Band Specific Requirements </w:t>
            </w:r>
          </w:p>
        </w:tc>
        <w:tc>
          <w:tcPr>
            <w:tcW w:w="4723" w:type="dxa"/>
            <w:tcBorders>
              <w:top w:val="nil"/>
              <w:left w:val="nil"/>
              <w:bottom w:val="nil"/>
              <w:right w:val="single" w:sz="8" w:space="0" w:color="auto"/>
            </w:tcBorders>
            <w:shd w:val="clear" w:color="000000" w:fill="F2F2F2"/>
            <w:vAlign w:val="center"/>
            <w:hideMark/>
          </w:tcPr>
          <w:p w14:paraId="2EC97952"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Attachment 2d </w:t>
            </w:r>
          </w:p>
        </w:tc>
        <w:tc>
          <w:tcPr>
            <w:tcW w:w="3332" w:type="dxa"/>
            <w:vAlign w:val="center"/>
            <w:hideMark/>
          </w:tcPr>
          <w:p w14:paraId="023FFEC8" w14:textId="77777777" w:rsidR="00781D11" w:rsidRPr="00781D11" w:rsidRDefault="00781D11" w:rsidP="00781D11">
            <w:pPr>
              <w:spacing w:after="0" w:line="240" w:lineRule="auto"/>
              <w:rPr>
                <w:rFonts w:ascii="Times New Roman" w:hAnsi="Times New Roman"/>
                <w:szCs w:val="20"/>
              </w:rPr>
            </w:pPr>
          </w:p>
        </w:tc>
      </w:tr>
      <w:tr w:rsidR="00781D11" w:rsidRPr="00781D11" w14:paraId="3E1E39A8" w14:textId="77777777" w:rsidTr="007F68A0">
        <w:trPr>
          <w:trHeight w:val="293"/>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54910C02"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2F2F2"/>
            <w:vAlign w:val="center"/>
            <w:hideMark/>
          </w:tcPr>
          <w:p w14:paraId="5B867FDE"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51E44B01" w14:textId="77777777" w:rsidR="00781D11" w:rsidRPr="00781D11" w:rsidRDefault="00781D11" w:rsidP="00781D11">
            <w:pPr>
              <w:spacing w:after="0" w:line="240" w:lineRule="auto"/>
              <w:rPr>
                <w:rFonts w:ascii="Times New Roman" w:hAnsi="Times New Roman"/>
                <w:szCs w:val="20"/>
              </w:rPr>
            </w:pPr>
          </w:p>
        </w:tc>
      </w:tr>
      <w:tr w:rsidR="00781D11" w:rsidRPr="00781D11" w14:paraId="787592D8" w14:textId="77777777" w:rsidTr="007F68A0">
        <w:trPr>
          <w:trHeight w:val="765"/>
        </w:trPr>
        <w:tc>
          <w:tcPr>
            <w:tcW w:w="3205" w:type="dxa"/>
            <w:tcBorders>
              <w:top w:val="nil"/>
              <w:left w:val="single" w:sz="8" w:space="0" w:color="auto"/>
              <w:bottom w:val="nil"/>
              <w:right w:val="single" w:sz="8" w:space="0" w:color="auto"/>
            </w:tcBorders>
            <w:shd w:val="clear" w:color="auto" w:fill="auto"/>
            <w:vAlign w:val="center"/>
            <w:hideMark/>
          </w:tcPr>
          <w:p w14:paraId="2896C922" w14:textId="77777777" w:rsidR="00781D11" w:rsidRPr="00781D11" w:rsidRDefault="00781D11" w:rsidP="00781D11">
            <w:pPr>
              <w:spacing w:after="0" w:line="240" w:lineRule="auto"/>
              <w:rPr>
                <w:rFonts w:cs="Arial"/>
                <w:color w:val="000000"/>
                <w:szCs w:val="20"/>
              </w:rPr>
            </w:pPr>
            <w:r w:rsidRPr="00781D11">
              <w:rPr>
                <w:rFonts w:cs="Arial"/>
                <w:color w:val="000000"/>
                <w:szCs w:val="20"/>
              </w:rPr>
              <w:lastRenderedPageBreak/>
              <w:t xml:space="preserve">Attachment 4: Co-channel – BWA transmitter within 200 km of a spectrum licence boundary </w:t>
            </w:r>
          </w:p>
        </w:tc>
        <w:tc>
          <w:tcPr>
            <w:tcW w:w="4723" w:type="dxa"/>
            <w:tcBorders>
              <w:top w:val="nil"/>
              <w:left w:val="nil"/>
              <w:bottom w:val="nil"/>
              <w:right w:val="single" w:sz="8" w:space="0" w:color="auto"/>
            </w:tcBorders>
            <w:shd w:val="clear" w:color="000000" w:fill="FFFFFF"/>
            <w:vAlign w:val="center"/>
            <w:hideMark/>
          </w:tcPr>
          <w:p w14:paraId="3BAEF4CB" w14:textId="77777777" w:rsidR="00781D11" w:rsidRPr="00781D11" w:rsidRDefault="00781D11" w:rsidP="00781D11">
            <w:pPr>
              <w:spacing w:after="0" w:line="240" w:lineRule="auto"/>
              <w:rPr>
                <w:rFonts w:cs="Arial"/>
                <w:color w:val="000000"/>
                <w:szCs w:val="20"/>
              </w:rPr>
            </w:pPr>
            <w:r w:rsidRPr="00781D11">
              <w:rPr>
                <w:rFonts w:cs="Arial"/>
                <w:color w:val="000000"/>
                <w:szCs w:val="20"/>
              </w:rPr>
              <w:t>Removed references to 3575-3700 MHz band in paragraphs 2, under subheadings "Calculation of Horizontally Radiated Power (HRP)" &amp; "Coordination Level"</w:t>
            </w:r>
          </w:p>
        </w:tc>
        <w:tc>
          <w:tcPr>
            <w:tcW w:w="3332" w:type="dxa"/>
            <w:vAlign w:val="center"/>
            <w:hideMark/>
          </w:tcPr>
          <w:p w14:paraId="41F1E89C" w14:textId="77777777" w:rsidR="00781D11" w:rsidRPr="00781D11" w:rsidRDefault="00781D11" w:rsidP="00781D11">
            <w:pPr>
              <w:spacing w:after="0" w:line="240" w:lineRule="auto"/>
              <w:rPr>
                <w:rFonts w:ascii="Times New Roman" w:hAnsi="Times New Roman"/>
                <w:szCs w:val="20"/>
              </w:rPr>
            </w:pPr>
          </w:p>
        </w:tc>
      </w:tr>
      <w:tr w:rsidR="00781D11" w:rsidRPr="00781D11" w14:paraId="3E9DF717" w14:textId="77777777" w:rsidTr="007F68A0">
        <w:trPr>
          <w:trHeight w:val="293"/>
        </w:trPr>
        <w:tc>
          <w:tcPr>
            <w:tcW w:w="3205" w:type="dxa"/>
            <w:tcBorders>
              <w:top w:val="nil"/>
              <w:left w:val="single" w:sz="8" w:space="0" w:color="auto"/>
              <w:bottom w:val="single" w:sz="8" w:space="0" w:color="auto"/>
              <w:right w:val="single" w:sz="8" w:space="0" w:color="auto"/>
            </w:tcBorders>
            <w:shd w:val="clear" w:color="auto" w:fill="auto"/>
            <w:vAlign w:val="center"/>
            <w:hideMark/>
          </w:tcPr>
          <w:p w14:paraId="518F5111"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auto" w:fill="auto"/>
            <w:vAlign w:val="center"/>
            <w:hideMark/>
          </w:tcPr>
          <w:p w14:paraId="0225E8E6"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03646C5E" w14:textId="77777777" w:rsidR="00781D11" w:rsidRPr="00781D11" w:rsidRDefault="00781D11" w:rsidP="00781D11">
            <w:pPr>
              <w:spacing w:after="0" w:line="240" w:lineRule="auto"/>
              <w:rPr>
                <w:rFonts w:ascii="Times New Roman" w:hAnsi="Times New Roman"/>
                <w:szCs w:val="20"/>
              </w:rPr>
            </w:pPr>
          </w:p>
        </w:tc>
      </w:tr>
      <w:tr w:rsidR="00781D11" w:rsidRPr="00781D11" w14:paraId="4C774D54" w14:textId="77777777" w:rsidTr="007F68A0">
        <w:trPr>
          <w:trHeight w:val="510"/>
        </w:trPr>
        <w:tc>
          <w:tcPr>
            <w:tcW w:w="3205" w:type="dxa"/>
            <w:tcBorders>
              <w:top w:val="nil"/>
              <w:left w:val="single" w:sz="8" w:space="0" w:color="auto"/>
              <w:bottom w:val="nil"/>
              <w:right w:val="single" w:sz="8" w:space="0" w:color="auto"/>
            </w:tcBorders>
            <w:shd w:val="clear" w:color="000000" w:fill="F2F2F2"/>
            <w:vAlign w:val="center"/>
            <w:hideMark/>
          </w:tcPr>
          <w:p w14:paraId="4D1D0CE1"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Attachment 5: Coordination of BWA licences with Earth Stations  </w:t>
            </w:r>
          </w:p>
        </w:tc>
        <w:tc>
          <w:tcPr>
            <w:tcW w:w="4723" w:type="dxa"/>
            <w:tcBorders>
              <w:top w:val="nil"/>
              <w:left w:val="nil"/>
              <w:bottom w:val="nil"/>
              <w:right w:val="single" w:sz="8" w:space="0" w:color="auto"/>
            </w:tcBorders>
            <w:shd w:val="clear" w:color="000000" w:fill="F2F2F2"/>
            <w:vAlign w:val="center"/>
            <w:hideMark/>
          </w:tcPr>
          <w:p w14:paraId="6E83F4FE" w14:textId="77777777" w:rsidR="00781D11" w:rsidRPr="00781D11" w:rsidRDefault="00781D11" w:rsidP="00781D11">
            <w:pPr>
              <w:spacing w:after="0" w:line="240" w:lineRule="auto"/>
              <w:rPr>
                <w:rFonts w:cs="Arial"/>
                <w:color w:val="000000"/>
                <w:szCs w:val="20"/>
              </w:rPr>
            </w:pPr>
            <w:r w:rsidRPr="00781D11">
              <w:rPr>
                <w:rFonts w:cs="Arial"/>
                <w:color w:val="000000"/>
                <w:szCs w:val="20"/>
              </w:rPr>
              <w:t xml:space="preserve">Removed Attachment 5 </w:t>
            </w:r>
          </w:p>
        </w:tc>
        <w:tc>
          <w:tcPr>
            <w:tcW w:w="3332" w:type="dxa"/>
            <w:vAlign w:val="center"/>
            <w:hideMark/>
          </w:tcPr>
          <w:p w14:paraId="575AABA2" w14:textId="77777777" w:rsidR="00781D11" w:rsidRPr="00781D11" w:rsidRDefault="00781D11" w:rsidP="00781D11">
            <w:pPr>
              <w:spacing w:after="0" w:line="240" w:lineRule="auto"/>
              <w:rPr>
                <w:rFonts w:ascii="Times New Roman" w:hAnsi="Times New Roman"/>
                <w:szCs w:val="20"/>
              </w:rPr>
            </w:pPr>
          </w:p>
        </w:tc>
      </w:tr>
      <w:tr w:rsidR="00781D11" w:rsidRPr="00781D11" w14:paraId="2548A25C" w14:textId="77777777" w:rsidTr="007F68A0">
        <w:trPr>
          <w:trHeight w:val="293"/>
        </w:trPr>
        <w:tc>
          <w:tcPr>
            <w:tcW w:w="3205" w:type="dxa"/>
            <w:tcBorders>
              <w:top w:val="nil"/>
              <w:left w:val="single" w:sz="8" w:space="0" w:color="auto"/>
              <w:bottom w:val="single" w:sz="8" w:space="0" w:color="auto"/>
              <w:right w:val="single" w:sz="8" w:space="0" w:color="auto"/>
            </w:tcBorders>
            <w:shd w:val="clear" w:color="000000" w:fill="F2F2F2"/>
            <w:vAlign w:val="center"/>
            <w:hideMark/>
          </w:tcPr>
          <w:p w14:paraId="17DE6370"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4723" w:type="dxa"/>
            <w:tcBorders>
              <w:top w:val="nil"/>
              <w:left w:val="nil"/>
              <w:bottom w:val="single" w:sz="8" w:space="0" w:color="auto"/>
              <w:right w:val="single" w:sz="8" w:space="0" w:color="auto"/>
            </w:tcBorders>
            <w:shd w:val="clear" w:color="000000" w:fill="F2F2F2"/>
            <w:vAlign w:val="center"/>
            <w:hideMark/>
          </w:tcPr>
          <w:p w14:paraId="499983F2" w14:textId="77777777" w:rsidR="00781D11" w:rsidRPr="00781D11" w:rsidRDefault="00781D11" w:rsidP="00781D11">
            <w:pPr>
              <w:spacing w:after="0" w:line="240" w:lineRule="auto"/>
              <w:rPr>
                <w:rFonts w:cs="Arial"/>
                <w:color w:val="000000"/>
                <w:szCs w:val="20"/>
              </w:rPr>
            </w:pPr>
            <w:r w:rsidRPr="00781D11">
              <w:rPr>
                <w:rFonts w:cs="Arial"/>
                <w:color w:val="000000"/>
                <w:szCs w:val="20"/>
              </w:rPr>
              <w:t> </w:t>
            </w:r>
          </w:p>
        </w:tc>
        <w:tc>
          <w:tcPr>
            <w:tcW w:w="3332" w:type="dxa"/>
            <w:vAlign w:val="center"/>
            <w:hideMark/>
          </w:tcPr>
          <w:p w14:paraId="2167C6F6" w14:textId="77777777" w:rsidR="00781D11" w:rsidRPr="00781D11" w:rsidRDefault="00781D11" w:rsidP="00781D11">
            <w:pPr>
              <w:spacing w:after="0" w:line="240" w:lineRule="auto"/>
              <w:rPr>
                <w:rFonts w:ascii="Times New Roman" w:hAnsi="Times New Roman"/>
                <w:szCs w:val="20"/>
              </w:rPr>
            </w:pPr>
          </w:p>
        </w:tc>
      </w:tr>
    </w:tbl>
    <w:p w14:paraId="6A8848EA" w14:textId="77777777" w:rsidR="00FA7F33" w:rsidRDefault="00FA7F33" w:rsidP="00FA7F33">
      <w:pPr>
        <w:rPr>
          <w:rFonts w:cs="Arial"/>
        </w:rPr>
      </w:pPr>
    </w:p>
    <w:p w14:paraId="00A9D69D" w14:textId="77777777" w:rsidR="00FA7F33" w:rsidRPr="00702EA1" w:rsidRDefault="00FA7F33" w:rsidP="00FA7F33">
      <w:pPr>
        <w:pStyle w:val="Heading1"/>
      </w:pPr>
      <w:bookmarkStart w:id="109" w:name="_Toc94603316"/>
      <w:r>
        <w:lastRenderedPageBreak/>
        <w:t xml:space="preserve">Extended 3.4 GHz band spectrum licensing </w:t>
      </w:r>
      <w:r w:rsidRPr="007D04B2">
        <w:t>technical framework</w:t>
      </w:r>
      <w:bookmarkEnd w:id="109"/>
    </w:p>
    <w:p w14:paraId="0E9AE961" w14:textId="77777777" w:rsidR="00FA7F33" w:rsidRDefault="00FA7F33" w:rsidP="00FA7F33">
      <w:pPr>
        <w:pStyle w:val="sub-heading"/>
      </w:pPr>
      <w:bookmarkStart w:id="110" w:name="_Toc94603317"/>
      <w:r>
        <w:t>Background</w:t>
      </w:r>
      <w:bookmarkEnd w:id="110"/>
    </w:p>
    <w:p w14:paraId="67F7E562" w14:textId="77777777" w:rsidR="00FA7F33" w:rsidRPr="007D04B2" w:rsidRDefault="00FA7F33" w:rsidP="00FA7F33">
      <w:pPr>
        <w:rPr>
          <w:rFonts w:cs="Arial"/>
        </w:rPr>
      </w:pPr>
      <w:r w:rsidRPr="007D04B2">
        <w:rPr>
          <w:rFonts w:cs="Arial"/>
        </w:rPr>
        <w:t xml:space="preserve">The </w:t>
      </w:r>
      <w:r>
        <w:rPr>
          <w:rFonts w:cs="Arial"/>
        </w:rPr>
        <w:t>ACMA</w:t>
      </w:r>
      <w:r w:rsidRPr="007D04B2">
        <w:rPr>
          <w:rFonts w:cs="Arial"/>
        </w:rPr>
        <w:t xml:space="preserve"> develops a technical framework for every band subject to spectrum licensing.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2C27E052" w14:textId="77777777" w:rsidR="00FA7F33" w:rsidRPr="007D04B2" w:rsidRDefault="00FA7F33" w:rsidP="00FA7F33">
      <w:pPr>
        <w:rPr>
          <w:rFonts w:cs="Arial"/>
        </w:rPr>
      </w:pPr>
      <w:r w:rsidRPr="007D04B2">
        <w:rPr>
          <w:rFonts w:cs="Arial"/>
        </w:rPr>
        <w:t>Although the technical framework is optimised for technologies, or services most likely to be deployed in the band, it is intended to be technology</w:t>
      </w:r>
      <w:r>
        <w:rPr>
          <w:rFonts w:cs="Arial"/>
        </w:rPr>
        <w:t xml:space="preserve"> </w:t>
      </w:r>
      <w:r w:rsidRPr="007D04B2">
        <w:rPr>
          <w:rFonts w:cs="Arial"/>
        </w:rPr>
        <w:t xml:space="preserve">flexible. This means licensees can operate any type of radiocommunications device for any purpose, provided they comply with the technical framework relevant to the licence. </w:t>
      </w:r>
    </w:p>
    <w:p w14:paraId="10D56164" w14:textId="77777777" w:rsidR="00FA7F33" w:rsidRPr="007D04B2" w:rsidRDefault="00FA7F33" w:rsidP="00FA7F33">
      <w:pPr>
        <w:spacing w:after="80"/>
        <w:rPr>
          <w:rFonts w:cs="Arial"/>
        </w:rPr>
      </w:pPr>
      <w:r w:rsidRPr="007D04B2">
        <w:rPr>
          <w:rFonts w:cs="Arial"/>
        </w:rPr>
        <w:t xml:space="preserve">A technical framework consists of three interlocking regulatory elements provided for under the </w:t>
      </w:r>
      <w:r w:rsidRPr="005438AE">
        <w:rPr>
          <w:rFonts w:cs="Arial"/>
          <w:i/>
          <w:iCs/>
        </w:rPr>
        <w:t>Radiocommunications Act 1992</w:t>
      </w:r>
      <w:r>
        <w:rPr>
          <w:rFonts w:cs="Arial"/>
        </w:rPr>
        <w:t xml:space="preserve"> (the Act)</w:t>
      </w:r>
      <w:r w:rsidRPr="007D04B2">
        <w:rPr>
          <w:rFonts w:cs="Arial"/>
        </w:rPr>
        <w:t>:</w:t>
      </w:r>
    </w:p>
    <w:p w14:paraId="6505E443" w14:textId="77777777" w:rsidR="00FA7F33" w:rsidRPr="007D04B2" w:rsidRDefault="00FA7F33" w:rsidP="00FA7F33">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2E12BB41" w14:textId="77777777" w:rsidR="00FA7F33" w:rsidRPr="007D04B2" w:rsidRDefault="00FA7F33" w:rsidP="00FA7F33">
      <w:pPr>
        <w:pStyle w:val="ListBullet"/>
      </w:pPr>
      <w:r w:rsidRPr="007D04B2">
        <w:t>A determination of unacceptable interference for the purpose of device registration in each band (section 145 of the Act). This defines permissible levels of emissions across geographical licence boundaries and can also define various deployment constraints.</w:t>
      </w:r>
    </w:p>
    <w:p w14:paraId="1FA66915" w14:textId="77777777" w:rsidR="00FA7F33" w:rsidRPr="007D04B2" w:rsidRDefault="00FA7F33" w:rsidP="00FA7F33">
      <w:pPr>
        <w:pStyle w:val="ListBullet"/>
        <w:spacing w:after="240"/>
      </w:pPr>
      <w:r w:rsidRPr="007D04B2">
        <w:t xml:space="preserve">Radiocommunications advisory guidelines (RAG) that provide assistance and advice for coordination with stations in other services when and where required (section 262 of the Act). This includes detailing interference management criteria with incumbent apparatus and other spectrum licences. </w:t>
      </w:r>
    </w:p>
    <w:p w14:paraId="4E1A1482" w14:textId="38FAF369" w:rsidR="00FA7F33" w:rsidRPr="009D4F01" w:rsidRDefault="00FA7F33" w:rsidP="00FA7F33">
      <w:pPr>
        <w:rPr>
          <w:rFonts w:cs="Arial"/>
          <w:bCs/>
          <w:iCs/>
          <w:color w:val="0000FF"/>
          <w:u w:val="single" w:color="0000FF"/>
        </w:rPr>
      </w:pPr>
      <w:r w:rsidRPr="007D04B2">
        <w:rPr>
          <w:rFonts w:cs="Arial"/>
          <w:bCs/>
          <w:iCs/>
        </w:rPr>
        <w:t>A more comprehensive explanation of spectrum licen</w:t>
      </w:r>
      <w:r w:rsidR="00656A45">
        <w:rPr>
          <w:rFonts w:cs="Arial"/>
          <w:bCs/>
          <w:iCs/>
        </w:rPr>
        <w:t>sing</w:t>
      </w:r>
      <w:r w:rsidRPr="007D04B2">
        <w:rPr>
          <w:rFonts w:cs="Arial"/>
          <w:bCs/>
          <w:iCs/>
        </w:rPr>
        <w:t xml:space="preserve"> technical frameworks is provided in the document </w:t>
      </w:r>
      <w:hyperlink r:id="rId110" w:history="1">
        <w:r w:rsidRPr="00A64DAB">
          <w:rPr>
            <w:rStyle w:val="Hyperlink"/>
            <w:rFonts w:cs="Arial"/>
            <w:bCs/>
            <w:i/>
            <w:iCs/>
          </w:rPr>
          <w:t>Know your obligations—Spectrum licensees</w:t>
        </w:r>
        <w:r w:rsidRPr="00A64DAB">
          <w:rPr>
            <w:rStyle w:val="Hyperlink"/>
            <w:rFonts w:cs="Arial"/>
            <w:bCs/>
            <w:iCs/>
          </w:rPr>
          <w:t>.</w:t>
        </w:r>
      </w:hyperlink>
      <w:r>
        <w:rPr>
          <w:rStyle w:val="Hyperlink"/>
          <w:rFonts w:cs="Arial"/>
          <w:bCs/>
          <w:iCs/>
        </w:rPr>
        <w:t xml:space="preserve"> </w:t>
      </w:r>
    </w:p>
    <w:p w14:paraId="59919CD0" w14:textId="0E58D498" w:rsidR="00FA7F33" w:rsidRDefault="00FA7F33" w:rsidP="00FA7F33">
      <w:bookmarkStart w:id="111" w:name="_Toc56006332"/>
      <w:bookmarkStart w:id="112" w:name="_Toc57809589"/>
      <w:r>
        <w:t xml:space="preserve">The ACMA </w:t>
      </w:r>
      <w:r w:rsidR="0010699A">
        <w:t>staff preliminary view is that the ACMA should</w:t>
      </w:r>
      <w:r>
        <w:t xml:space="preserve"> extend and adapt the existing 3.4 GHz spectrum licensing technical framework to metropolitan and regional areas across 3700-3800 MHz.</w:t>
      </w:r>
    </w:p>
    <w:p w14:paraId="4239AC62" w14:textId="00E08FB5" w:rsidR="00FA7F33" w:rsidRPr="007D04B2" w:rsidRDefault="00FA7F33" w:rsidP="00FA7F33">
      <w:pPr>
        <w:pStyle w:val="sub-heading"/>
      </w:pPr>
      <w:bookmarkStart w:id="113" w:name="_Toc94603318"/>
      <w:r>
        <w:t>The existing 3.4</w:t>
      </w:r>
      <w:r w:rsidRPr="007D04B2">
        <w:t xml:space="preserve"> GHz </w:t>
      </w:r>
      <w:r>
        <w:t>b</w:t>
      </w:r>
      <w:r w:rsidRPr="007D04B2">
        <w:t xml:space="preserve">and </w:t>
      </w:r>
      <w:r>
        <w:t>s</w:t>
      </w:r>
      <w:r w:rsidRPr="007D04B2">
        <w:t xml:space="preserve">pectrum </w:t>
      </w:r>
      <w:r>
        <w:t>l</w:t>
      </w:r>
      <w:r w:rsidRPr="007D04B2">
        <w:t>icen</w:t>
      </w:r>
      <w:r w:rsidR="00656A45">
        <w:t>sing</w:t>
      </w:r>
      <w:r w:rsidRPr="007D04B2">
        <w:t xml:space="preserve"> </w:t>
      </w:r>
      <w:r>
        <w:t>t</w:t>
      </w:r>
      <w:r w:rsidRPr="007D04B2">
        <w:t xml:space="preserve">echnical </w:t>
      </w:r>
      <w:r>
        <w:t>f</w:t>
      </w:r>
      <w:r w:rsidRPr="007D04B2">
        <w:t>ramework</w:t>
      </w:r>
      <w:bookmarkEnd w:id="111"/>
      <w:bookmarkEnd w:id="112"/>
      <w:bookmarkEnd w:id="113"/>
    </w:p>
    <w:p w14:paraId="3996F6C1" w14:textId="10A9E1ED" w:rsidR="00FA7F33" w:rsidRPr="007D04B2" w:rsidRDefault="00FA7F33" w:rsidP="00FA7F33">
      <w:pPr>
        <w:spacing w:after="80"/>
        <w:rPr>
          <w:rFonts w:cs="Arial"/>
        </w:rPr>
      </w:pPr>
      <w:r>
        <w:rPr>
          <w:rFonts w:cs="Arial"/>
        </w:rPr>
        <w:t>The 3.4 GHz spectrum licen</w:t>
      </w:r>
      <w:r w:rsidR="00656A45">
        <w:rPr>
          <w:rFonts w:cs="Arial"/>
        </w:rPr>
        <w:t>sing</w:t>
      </w:r>
      <w:r>
        <w:rPr>
          <w:rFonts w:cs="Arial"/>
        </w:rPr>
        <w:t xml:space="preserve"> technical framework is optimised for Time Division Duplex (TDD) technologies. </w:t>
      </w:r>
      <w:r w:rsidRPr="007D04B2">
        <w:rPr>
          <w:rFonts w:cs="Arial"/>
        </w:rPr>
        <w:t xml:space="preserve">The relevant </w:t>
      </w:r>
      <w:r>
        <w:rPr>
          <w:rFonts w:cs="Arial"/>
        </w:rPr>
        <w:t>existing 3.4</w:t>
      </w:r>
      <w:r w:rsidRPr="007D04B2">
        <w:rPr>
          <w:rFonts w:cs="Arial"/>
        </w:rPr>
        <w:t xml:space="preserve"> GHz band technical framework instruments are:</w:t>
      </w:r>
    </w:p>
    <w:p w14:paraId="6F852B11" w14:textId="77777777" w:rsidR="00FA7F33" w:rsidRPr="006B4EC1" w:rsidRDefault="00FA7F33" w:rsidP="00FA7F33">
      <w:pPr>
        <w:pStyle w:val="ListBullet"/>
        <w:rPr>
          <w:rStyle w:val="Hyperlink"/>
          <w:rFonts w:cs="Arial"/>
        </w:rPr>
      </w:pPr>
      <w:r w:rsidRPr="007D04B2">
        <w:t>Spectrum Licence (</w:t>
      </w:r>
      <w:hyperlink r:id="rId111" w:history="1">
        <w:r>
          <w:rPr>
            <w:rStyle w:val="Hyperlink"/>
            <w:rFonts w:cs="Arial"/>
          </w:rPr>
          <w:t>c</w:t>
        </w:r>
        <w:r w:rsidRPr="007D04B2">
          <w:rPr>
            <w:rStyle w:val="Hyperlink"/>
            <w:rFonts w:cs="Arial"/>
          </w:rPr>
          <w:t>urrent licence holders and copies of licences</w:t>
        </w:r>
      </w:hyperlink>
      <w:r w:rsidRPr="007D04B2">
        <w:rPr>
          <w:rStyle w:val="Hyperlink"/>
          <w:rFonts w:cs="Arial"/>
        </w:rPr>
        <w:t>)</w:t>
      </w:r>
    </w:p>
    <w:p w14:paraId="62D22D06" w14:textId="77777777" w:rsidR="00FA7F33" w:rsidRPr="006B4EC1" w:rsidRDefault="00E2128E" w:rsidP="00FA7F33">
      <w:pPr>
        <w:pStyle w:val="ListBullet"/>
        <w:rPr>
          <w:rFonts w:cs="Arial"/>
        </w:rPr>
      </w:pPr>
      <w:hyperlink r:id="rId112" w:tgtFrame="_self" w:history="1">
        <w:r w:rsidR="00FA7F33" w:rsidRPr="005438AE">
          <w:rPr>
            <w:rStyle w:val="Hyperlink"/>
            <w:bCs/>
          </w:rPr>
          <w:t xml:space="preserve">Radiocommunications (Unacceptable Levels of Interference – </w:t>
        </w:r>
        <w:r w:rsidR="00FA7F33">
          <w:rPr>
            <w:rStyle w:val="Hyperlink"/>
            <w:bCs/>
          </w:rPr>
          <w:t>3.4</w:t>
        </w:r>
        <w:r w:rsidR="00FA7F33" w:rsidRPr="005438AE">
          <w:rPr>
            <w:rStyle w:val="Hyperlink"/>
            <w:bCs/>
          </w:rPr>
          <w:t xml:space="preserve"> GHz Band) Determination 201</w:t>
        </w:r>
        <w:r w:rsidR="00FA7F33">
          <w:rPr>
            <w:rStyle w:val="Hyperlink"/>
            <w:bCs/>
          </w:rPr>
          <w:t>5</w:t>
        </w:r>
      </w:hyperlink>
      <w:r w:rsidR="00FA7F33" w:rsidRPr="00A9457C">
        <w:t xml:space="preserve"> </w:t>
      </w:r>
      <w:r w:rsidR="00FA7F33">
        <w:t>(the s.145(4) determination)</w:t>
      </w:r>
    </w:p>
    <w:p w14:paraId="34163724" w14:textId="77777777" w:rsidR="00FA7F33" w:rsidRDefault="00E2128E" w:rsidP="00FA7F33">
      <w:pPr>
        <w:pStyle w:val="ListBullet"/>
        <w:rPr>
          <w:rFonts w:cs="Arial"/>
        </w:rPr>
      </w:pPr>
      <w:hyperlink r:id="rId113" w:history="1">
        <w:r w:rsidR="00FA7F33" w:rsidRPr="006B4EC1">
          <w:rPr>
            <w:rStyle w:val="Hyperlink"/>
            <w:rFonts w:cs="Arial"/>
          </w:rPr>
          <w:t>Radiocommunications Advisory Guidelines (Managing Interference from Spectrum Licensed Transmitters — 3.4 GHz Band) 2015</w:t>
        </w:r>
      </w:hyperlink>
      <w:r w:rsidR="00FA7F33" w:rsidRPr="006B4EC1">
        <w:rPr>
          <w:rFonts w:cs="Arial"/>
        </w:rPr>
        <w:t xml:space="preserve"> (the RAG Tx)</w:t>
      </w:r>
    </w:p>
    <w:p w14:paraId="534E3280" w14:textId="77777777" w:rsidR="00FA7F33" w:rsidRPr="006B4EC1" w:rsidRDefault="00E2128E" w:rsidP="00FA7F33">
      <w:pPr>
        <w:pStyle w:val="ListBullet"/>
        <w:spacing w:after="240"/>
        <w:rPr>
          <w:rFonts w:cs="Arial"/>
        </w:rPr>
      </w:pPr>
      <w:hyperlink r:id="rId114" w:tgtFrame="_self" w:history="1">
        <w:r w:rsidR="00FA7F33" w:rsidRPr="005438AE">
          <w:rPr>
            <w:rStyle w:val="Hyperlink"/>
            <w:bCs/>
          </w:rPr>
          <w:t xml:space="preserve">Radiocommunications Advisory Guidelines (Managing Interference to Spectrum Licensed Receivers – </w:t>
        </w:r>
        <w:r w:rsidR="00FA7F33">
          <w:rPr>
            <w:rStyle w:val="Hyperlink"/>
            <w:bCs/>
          </w:rPr>
          <w:t>3.4</w:t>
        </w:r>
        <w:r w:rsidR="00FA7F33" w:rsidRPr="005438AE">
          <w:rPr>
            <w:rStyle w:val="Hyperlink"/>
            <w:bCs/>
          </w:rPr>
          <w:t xml:space="preserve"> GHz Band) 201</w:t>
        </w:r>
        <w:r w:rsidR="00FA7F33">
          <w:rPr>
            <w:rStyle w:val="Hyperlink"/>
            <w:bCs/>
          </w:rPr>
          <w:t>5</w:t>
        </w:r>
      </w:hyperlink>
      <w:r w:rsidR="00FA7F33">
        <w:rPr>
          <w:rFonts w:cs="Arial"/>
        </w:rPr>
        <w:t xml:space="preserve"> (</w:t>
      </w:r>
      <w:r w:rsidR="00FA7F33" w:rsidRPr="00A9457C">
        <w:rPr>
          <w:rFonts w:cs="Arial"/>
        </w:rPr>
        <w:t xml:space="preserve">the RAG </w:t>
      </w:r>
      <w:r w:rsidR="00FA7F33">
        <w:rPr>
          <w:rFonts w:cs="Arial"/>
        </w:rPr>
        <w:t>R</w:t>
      </w:r>
      <w:r w:rsidR="00FA7F33" w:rsidRPr="00A9457C">
        <w:rPr>
          <w:rFonts w:cs="Arial"/>
        </w:rPr>
        <w:t>x)</w:t>
      </w:r>
    </w:p>
    <w:p w14:paraId="79F42AD8" w14:textId="77777777" w:rsidR="00FA7F33" w:rsidRPr="007D04B2" w:rsidRDefault="00FA7F33" w:rsidP="00FA7F33">
      <w:pPr>
        <w:rPr>
          <w:rFonts w:cs="Arial"/>
        </w:rPr>
      </w:pPr>
      <w:r w:rsidRPr="007D04B2">
        <w:rPr>
          <w:rFonts w:cs="Arial"/>
        </w:rPr>
        <w:t xml:space="preserve">Details of the TLG process (including relevant papers) that developed the current </w:t>
      </w:r>
      <w:r>
        <w:rPr>
          <w:rFonts w:cs="Arial"/>
        </w:rPr>
        <w:t>3.4 </w:t>
      </w:r>
      <w:r w:rsidRPr="007D04B2">
        <w:rPr>
          <w:rFonts w:cs="Arial"/>
        </w:rPr>
        <w:t xml:space="preserve">GHz band technical framework are available on </w:t>
      </w:r>
      <w:hyperlink r:id="rId115" w:history="1">
        <w:r w:rsidRPr="000F4E6F">
          <w:rPr>
            <w:rStyle w:val="Hyperlink"/>
            <w:rFonts w:cs="Arial"/>
          </w:rPr>
          <w:t>the ACMA website</w:t>
        </w:r>
      </w:hyperlink>
      <w:r>
        <w:rPr>
          <w:rFonts w:cs="Arial"/>
        </w:rPr>
        <w:t>.</w:t>
      </w:r>
    </w:p>
    <w:p w14:paraId="271C9236" w14:textId="77777777" w:rsidR="00FA7F33" w:rsidRPr="007D04B2" w:rsidRDefault="00FA7F33" w:rsidP="00FA7F33">
      <w:pPr>
        <w:pStyle w:val="sub-heading"/>
      </w:pPr>
      <w:bookmarkStart w:id="114" w:name="_Toc403740552"/>
      <w:bookmarkStart w:id="115" w:name="_Toc404333447"/>
      <w:bookmarkStart w:id="116" w:name="_Toc444690625"/>
      <w:bookmarkStart w:id="117" w:name="_Toc56006333"/>
      <w:bookmarkStart w:id="118" w:name="_Toc57809590"/>
      <w:bookmarkStart w:id="119" w:name="_Toc94603319"/>
      <w:r w:rsidRPr="007D04B2">
        <w:t>Conditions on the spectrum licence</w:t>
      </w:r>
      <w:bookmarkEnd w:id="114"/>
      <w:bookmarkEnd w:id="115"/>
      <w:bookmarkEnd w:id="116"/>
      <w:bookmarkEnd w:id="117"/>
      <w:bookmarkEnd w:id="118"/>
      <w:bookmarkEnd w:id="119"/>
    </w:p>
    <w:p w14:paraId="0E21F145" w14:textId="77777777" w:rsidR="00FA7F33" w:rsidRPr="007D04B2" w:rsidRDefault="00FA7F33" w:rsidP="00FA7F33">
      <w:pPr>
        <w:keepNext/>
        <w:keepLines/>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47319AC4" w14:textId="77777777" w:rsidR="00FA7F33" w:rsidRPr="007D04B2" w:rsidRDefault="00FA7F33" w:rsidP="00FA7F33">
      <w:pPr>
        <w:pStyle w:val="ListBullet"/>
        <w:keepNext/>
        <w:keepLines/>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550B1B9B" w14:textId="77777777" w:rsidR="00FA7F33" w:rsidRPr="007D04B2" w:rsidRDefault="00FA7F33" w:rsidP="00FA7F33">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262EF150" w14:textId="77777777" w:rsidR="00FA7F33" w:rsidRPr="007D04B2" w:rsidRDefault="00FA7F33" w:rsidP="00FA7F33">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71EC4208" w14:textId="77777777" w:rsidR="00FA7F33" w:rsidRPr="007D04B2" w:rsidRDefault="00FA7F33" w:rsidP="00FA7F33">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0FAE210C" w14:textId="77777777" w:rsidR="00FA7F33" w:rsidRPr="007D04B2" w:rsidRDefault="00FA7F33" w:rsidP="00FA7F33">
      <w:pPr>
        <w:pStyle w:val="ListBullet"/>
      </w:pPr>
      <w:r w:rsidRPr="007D04B2">
        <w:t>the part or parts of the spectrum in which operation of radiocommunications devices is authorised under the licence (frequency range of operation)</w:t>
      </w:r>
    </w:p>
    <w:p w14:paraId="263691D1" w14:textId="77777777" w:rsidR="00FA7F33" w:rsidRPr="007D04B2" w:rsidRDefault="00FA7F33" w:rsidP="00FA7F33">
      <w:pPr>
        <w:pStyle w:val="ListBullet"/>
      </w:pPr>
      <w:r w:rsidRPr="007D04B2">
        <w:t>the maximum permitted level of radio emission, in parts of the spectrum outside the frequency range specified on the licence, which may be caused by operation of radiocommunications devices under the licence (outside-the-band emission)</w:t>
      </w:r>
    </w:p>
    <w:p w14:paraId="1684CB35" w14:textId="77777777" w:rsidR="00FA7F33" w:rsidRPr="007D04B2" w:rsidRDefault="00FA7F33" w:rsidP="00FA7F33">
      <w:pPr>
        <w:pStyle w:val="ListBullet"/>
      </w:pPr>
      <w:r w:rsidRPr="007D04B2">
        <w:t>the area within which operation of radiocommunications devices is authorised under the licence (geographic area of operation)</w:t>
      </w:r>
    </w:p>
    <w:p w14:paraId="7F746048" w14:textId="77777777" w:rsidR="00FA7F33" w:rsidRPr="007D04B2" w:rsidRDefault="00FA7F33" w:rsidP="00FA7F33">
      <w:pPr>
        <w:pStyle w:val="ListBullet"/>
        <w:spacing w:after="240"/>
      </w:pPr>
      <w:r w:rsidRPr="007D04B2">
        <w:t>the maximum permitted level of radio emission that may be caused by the operation of radiocommunications devices under the licence (outside-the-area emission).</w:t>
      </w:r>
    </w:p>
    <w:p w14:paraId="2E9E948E" w14:textId="77777777" w:rsidR="00FA7F33" w:rsidRPr="007D04B2" w:rsidRDefault="00FA7F33" w:rsidP="00FA7F33">
      <w:pPr>
        <w:pStyle w:val="sub-heading"/>
      </w:pPr>
      <w:bookmarkStart w:id="120" w:name="_Ref312164882"/>
      <w:bookmarkStart w:id="121" w:name="_Ref312338073"/>
      <w:bookmarkStart w:id="122" w:name="_Toc328403871"/>
      <w:bookmarkStart w:id="123" w:name="_Toc403740553"/>
      <w:bookmarkStart w:id="124" w:name="_Toc404333448"/>
      <w:bookmarkStart w:id="125" w:name="_Toc444690626"/>
      <w:bookmarkStart w:id="126" w:name="_Toc56006337"/>
      <w:bookmarkStart w:id="127" w:name="_Toc57809594"/>
      <w:bookmarkStart w:id="128" w:name="_Toc94603320"/>
      <w:r w:rsidRPr="007D04B2">
        <w:t>Unacceptable levels of interference</w:t>
      </w:r>
      <w:bookmarkEnd w:id="120"/>
      <w:bookmarkEnd w:id="121"/>
      <w:bookmarkEnd w:id="122"/>
      <w:bookmarkEnd w:id="123"/>
      <w:bookmarkEnd w:id="124"/>
      <w:bookmarkEnd w:id="125"/>
      <w:bookmarkEnd w:id="126"/>
      <w:bookmarkEnd w:id="127"/>
      <w:bookmarkEnd w:id="128"/>
    </w:p>
    <w:p w14:paraId="14B5E2BB" w14:textId="77777777" w:rsidR="00FA7F33" w:rsidRPr="007D04B2" w:rsidRDefault="00FA7F33" w:rsidP="00FA7F33">
      <w:pPr>
        <w:keepNext/>
        <w:keepLines/>
      </w:pPr>
      <w:r w:rsidRPr="007D04B2">
        <w:t>Spectrum licensees are required to register a radiocommunications transmitter in the Register of Radiocommunications Licences before they may be operated under the licence. The only exception to this is if there is a condition on licences that exempts certain types of transmitter.</w:t>
      </w:r>
    </w:p>
    <w:p w14:paraId="20C7DCED" w14:textId="77777777" w:rsidR="00FA7F33" w:rsidRPr="007D04B2" w:rsidRDefault="00FA7F33" w:rsidP="00FA7F33">
      <w:pPr>
        <w:keepLines/>
      </w:pPr>
      <w:r w:rsidRPr="007D04B2">
        <w:t>Subsection 145(1) of the Act gives the ACMA the power to refuse to register a radiocommunications transmitter if it is satisfied that the operation of the transmitter could cause an unacceptable level of interference to the operation of other radiocommunications devices. Under subsection 145(4) of the Act, the ACMA can make a determination (referred to as a section 145 determination) that sets out what is considered unacceptable levels of interference for each spectrum-licensed band.</w:t>
      </w:r>
    </w:p>
    <w:p w14:paraId="2E734465" w14:textId="77777777" w:rsidR="00FA7F33" w:rsidRPr="007D04B2" w:rsidRDefault="00FA7F33" w:rsidP="00FA7F33">
      <w:pPr>
        <w:spacing w:after="80"/>
        <w:rPr>
          <w:rFonts w:cs="Arial"/>
        </w:rPr>
      </w:pPr>
      <w:r w:rsidRPr="007D04B2">
        <w:rPr>
          <w:rFonts w:cs="Arial"/>
        </w:rPr>
        <w:lastRenderedPageBreak/>
        <w:t>A section 145 determination sets out the circumstances in which devices are deemed to cause unacceptable levels of interference. These circumstances typically include:</w:t>
      </w:r>
    </w:p>
    <w:p w14:paraId="1713976F" w14:textId="77777777" w:rsidR="00FA7F33" w:rsidRPr="007D04B2" w:rsidRDefault="00FA7F33" w:rsidP="00FA7F33">
      <w:pPr>
        <w:pStyle w:val="ListBullet"/>
      </w:pPr>
      <w:r w:rsidRPr="007D04B2">
        <w:t>if the levels of emissions from a device at the geographical boundary of a licence exceed a defined level</w:t>
      </w:r>
    </w:p>
    <w:p w14:paraId="65A52E66" w14:textId="77777777" w:rsidR="00FA7F33" w:rsidRPr="007D04B2" w:rsidRDefault="00FA7F33" w:rsidP="00FA7F33">
      <w:pPr>
        <w:pStyle w:val="ListBullet"/>
      </w:pPr>
      <w:r w:rsidRPr="007D04B2">
        <w:t>if the operation of the transmitter will cause a breach of a core condition of the licence</w:t>
      </w:r>
    </w:p>
    <w:p w14:paraId="0CF1FE49" w14:textId="77777777" w:rsidR="00FA7F33" w:rsidRPr="007D04B2" w:rsidRDefault="00FA7F33" w:rsidP="00FA7F33">
      <w:pPr>
        <w:pStyle w:val="ListBullet"/>
        <w:spacing w:after="240"/>
      </w:pPr>
      <w:r w:rsidRPr="007D04B2">
        <w:t>if the deployment of the device is outside any deployment constraints defined for the band</w:t>
      </w:r>
      <w:r>
        <w:t>.</w:t>
      </w:r>
    </w:p>
    <w:p w14:paraId="3AB4FA55" w14:textId="77777777" w:rsidR="00FA7F33" w:rsidRPr="007D04B2" w:rsidRDefault="00FA7F33" w:rsidP="00FA7F33">
      <w:pPr>
        <w:pStyle w:val="sub-heading"/>
      </w:pPr>
      <w:bookmarkStart w:id="129" w:name="_Ref312338161"/>
      <w:bookmarkStart w:id="130" w:name="_Ref312338219"/>
      <w:bookmarkStart w:id="131" w:name="_Ref314129073"/>
      <w:bookmarkStart w:id="132" w:name="_Toc328403872"/>
      <w:bookmarkStart w:id="133" w:name="_Toc403740554"/>
      <w:bookmarkStart w:id="134" w:name="_Toc404333449"/>
      <w:bookmarkStart w:id="135" w:name="_Toc444690627"/>
      <w:bookmarkStart w:id="136" w:name="_Toc56006340"/>
      <w:bookmarkStart w:id="137" w:name="_Toc57809597"/>
      <w:bookmarkStart w:id="138" w:name="_Toc94603321"/>
      <w:r w:rsidRPr="007D04B2">
        <w:t>Radiocommunications advisory guidelines</w:t>
      </w:r>
      <w:bookmarkEnd w:id="129"/>
      <w:bookmarkEnd w:id="130"/>
      <w:bookmarkEnd w:id="131"/>
      <w:bookmarkEnd w:id="132"/>
      <w:bookmarkEnd w:id="133"/>
      <w:bookmarkEnd w:id="134"/>
      <w:bookmarkEnd w:id="135"/>
      <w:bookmarkEnd w:id="136"/>
      <w:bookmarkEnd w:id="137"/>
      <w:bookmarkEnd w:id="138"/>
    </w:p>
    <w:p w14:paraId="4BF4511D" w14:textId="77777777" w:rsidR="00FA7F33" w:rsidRPr="007D04B2" w:rsidRDefault="00FA7F33" w:rsidP="00FA7F33">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6D8B540" w14:textId="77777777" w:rsidR="00FA7F33" w:rsidRPr="007D04B2" w:rsidRDefault="00FA7F33" w:rsidP="00FA7F33">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72AE51C8" w14:textId="77777777" w:rsidR="00FA7F33" w:rsidRPr="007D04B2" w:rsidRDefault="00FA7F33" w:rsidP="00FA7F33">
      <w:pPr>
        <w:rPr>
          <w:rFonts w:cs="Arial"/>
        </w:rPr>
      </w:pPr>
      <w:r w:rsidRPr="007D04B2">
        <w:rPr>
          <w:rFonts w:cs="Arial"/>
        </w:rPr>
        <w:t xml:space="preserve">It is important to note that where a case of interference arises between a spectrum-licensed device and another licensed device, the ACMA will refer to the provisions of the RAGs in resolving the matter. In general, affected licensees </w:t>
      </w:r>
      <w:r>
        <w:rPr>
          <w:rFonts w:cs="Arial"/>
        </w:rPr>
        <w:t xml:space="preserve">can </w:t>
      </w:r>
      <w:r w:rsidRPr="007D04B2">
        <w:rPr>
          <w:rFonts w:cs="Arial"/>
        </w:rPr>
        <w:t xml:space="preserve">also negotiate their own arrangements to manage interference. Such arrangements will also be considered when resolving any interference disputes.  </w:t>
      </w:r>
    </w:p>
    <w:p w14:paraId="24845779" w14:textId="76B023DE" w:rsidR="00FA7F33" w:rsidRPr="00702EA1" w:rsidRDefault="00FA7F33" w:rsidP="00FA7F33">
      <w:pPr>
        <w:pStyle w:val="Heading1"/>
      </w:pPr>
      <w:bookmarkStart w:id="139" w:name="_Toc56006331"/>
      <w:bookmarkStart w:id="140" w:name="_Toc57809588"/>
      <w:bookmarkStart w:id="141" w:name="_Toc94603322"/>
      <w:r>
        <w:lastRenderedPageBreak/>
        <w:t>Possible</w:t>
      </w:r>
      <w:r w:rsidRPr="007D04B2">
        <w:t xml:space="preserve"> </w:t>
      </w:r>
      <w:r>
        <w:t xml:space="preserve">changes to the 3.4 GHz spectrum licensing </w:t>
      </w:r>
      <w:r w:rsidRPr="007D04B2">
        <w:t>technical framework</w:t>
      </w:r>
      <w:bookmarkEnd w:id="139"/>
      <w:bookmarkEnd w:id="140"/>
      <w:r w:rsidR="00B8490B">
        <w:t xml:space="preserve"> (not required for remote)</w:t>
      </w:r>
      <w:bookmarkEnd w:id="141"/>
    </w:p>
    <w:p w14:paraId="041C9381" w14:textId="77777777" w:rsidR="00FA7F33" w:rsidRDefault="00FA7F33" w:rsidP="00FA7F33">
      <w:r w:rsidRPr="007D04B2">
        <w:rPr>
          <w:rFonts w:cs="Arial"/>
        </w:rPr>
        <w:t xml:space="preserve">This section of the paper </w:t>
      </w:r>
      <w:r>
        <w:rPr>
          <w:rFonts w:cs="Arial"/>
        </w:rPr>
        <w:t>details</w:t>
      </w:r>
      <w:r w:rsidRPr="007D04B2">
        <w:rPr>
          <w:rFonts w:cs="Arial"/>
        </w:rPr>
        <w:t xml:space="preserve"> the </w:t>
      </w:r>
      <w:r>
        <w:rPr>
          <w:rFonts w:cs="Arial"/>
        </w:rPr>
        <w:t xml:space="preserve">changes to the 3.4 GHz technical framework proposed by the TLG as they pertain to the items for review identified in the </w:t>
      </w:r>
      <w:r w:rsidRPr="004B54DD">
        <w:rPr>
          <w:rFonts w:cs="Arial"/>
          <w:i/>
          <w:iCs/>
        </w:rPr>
        <w:t>Scope of the TLG</w:t>
      </w:r>
      <w:r>
        <w:rPr>
          <w:rFonts w:cs="Arial"/>
        </w:rPr>
        <w:t xml:space="preserve"> section. </w:t>
      </w:r>
    </w:p>
    <w:p w14:paraId="57536778" w14:textId="0AD0F84D" w:rsidR="00FA7F33" w:rsidRPr="007D04B2" w:rsidRDefault="00FA7F33" w:rsidP="00FA7F33">
      <w:pPr>
        <w:pStyle w:val="sub-heading"/>
      </w:pPr>
      <w:bookmarkStart w:id="142" w:name="_Toc94603323"/>
      <w:r>
        <w:t>Consequential changes</w:t>
      </w:r>
      <w:bookmarkEnd w:id="142"/>
      <w:r>
        <w:t xml:space="preserve"> </w:t>
      </w:r>
    </w:p>
    <w:p w14:paraId="35B55BDC" w14:textId="77777777" w:rsidR="00FA7F33" w:rsidRDefault="00FA7F33" w:rsidP="00FA7F33">
      <w:pPr>
        <w:spacing w:before="120" w:after="360" w:line="240" w:lineRule="auto"/>
        <w:rPr>
          <w:rFonts w:cs="Arial"/>
          <w:szCs w:val="20"/>
        </w:rPr>
      </w:pPr>
      <w:r w:rsidRPr="00A9457C">
        <w:rPr>
          <w:rFonts w:cs="Arial"/>
          <w:szCs w:val="20"/>
        </w:rPr>
        <w:t xml:space="preserve">The TLG has identified the following consequential changes to the </w:t>
      </w:r>
      <w:hyperlink r:id="rId116" w:history="1">
        <w:r w:rsidRPr="00A9457C">
          <w:rPr>
            <w:rStyle w:val="Hyperlink"/>
            <w:rFonts w:cs="Arial"/>
            <w:szCs w:val="20"/>
          </w:rPr>
          <w:t>3.4 GHz band technical framework</w:t>
        </w:r>
      </w:hyperlink>
      <w:r w:rsidRPr="00A9457C">
        <w:rPr>
          <w:rFonts w:cs="Arial"/>
          <w:szCs w:val="20"/>
        </w:rPr>
        <w:t xml:space="preserve"> that are required to support the </w:t>
      </w:r>
      <w:r>
        <w:rPr>
          <w:rFonts w:cs="Arial"/>
          <w:szCs w:val="20"/>
        </w:rPr>
        <w:t>extension to accommodate the 3700-3800 MHz range in metro and regional areas</w:t>
      </w:r>
      <w:r w:rsidRPr="00A9457C">
        <w:rPr>
          <w:rFonts w:cs="Arial"/>
          <w:szCs w:val="20"/>
        </w:rPr>
        <w:t>:</w:t>
      </w:r>
    </w:p>
    <w:tbl>
      <w:tblPr>
        <w:tblStyle w:val="ACMAtablestyle"/>
        <w:tblW w:w="5456" w:type="pct"/>
        <w:tblLook w:val="04A0" w:firstRow="1" w:lastRow="0" w:firstColumn="1" w:lastColumn="0" w:noHBand="0" w:noVBand="1"/>
      </w:tblPr>
      <w:tblGrid>
        <w:gridCol w:w="2540"/>
        <w:gridCol w:w="976"/>
        <w:gridCol w:w="1371"/>
        <w:gridCol w:w="3473"/>
      </w:tblGrid>
      <w:tr w:rsidR="00FA7F33" w14:paraId="2E1FC786" w14:textId="77777777" w:rsidTr="00B63CAB">
        <w:trPr>
          <w:cnfStyle w:val="100000000000" w:firstRow="1" w:lastRow="0" w:firstColumn="0" w:lastColumn="0" w:oddVBand="0" w:evenVBand="0" w:oddHBand="0" w:evenHBand="0" w:firstRowFirstColumn="0" w:firstRowLastColumn="0" w:lastRowFirstColumn="0" w:lastRowLastColumn="0"/>
        </w:trPr>
        <w:tc>
          <w:tcPr>
            <w:tcW w:w="1519" w:type="pct"/>
          </w:tcPr>
          <w:p w14:paraId="0991C4AB" w14:textId="77777777" w:rsidR="00FA7F33" w:rsidRDefault="00FA7F33" w:rsidP="00B63CAB">
            <w:r>
              <w:t>DOCUMENT</w:t>
            </w:r>
          </w:p>
        </w:tc>
        <w:tc>
          <w:tcPr>
            <w:tcW w:w="584" w:type="pct"/>
          </w:tcPr>
          <w:p w14:paraId="38327B02" w14:textId="77777777" w:rsidR="00FA7F33" w:rsidRDefault="00FA7F33" w:rsidP="00B63CAB">
            <w:r>
              <w:t>ITEM</w:t>
            </w:r>
          </w:p>
        </w:tc>
        <w:tc>
          <w:tcPr>
            <w:tcW w:w="820" w:type="pct"/>
          </w:tcPr>
          <w:p w14:paraId="03A5DFFC" w14:textId="77777777" w:rsidR="00FA7F33" w:rsidRDefault="00FA7F33" w:rsidP="00B63CAB">
            <w:r>
              <w:t>CLAUSE/para</w:t>
            </w:r>
          </w:p>
        </w:tc>
        <w:tc>
          <w:tcPr>
            <w:tcW w:w="2077" w:type="pct"/>
          </w:tcPr>
          <w:p w14:paraId="0D8E7B60" w14:textId="77777777" w:rsidR="00FA7F33" w:rsidRDefault="00FA7F33" w:rsidP="00B63CAB">
            <w:r>
              <w:t>CHANGE</w:t>
            </w:r>
          </w:p>
        </w:tc>
      </w:tr>
      <w:tr w:rsidR="00FA7F33" w14:paraId="1CA89C68"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val="restart"/>
          </w:tcPr>
          <w:p w14:paraId="14363B9F" w14:textId="0DD2512E" w:rsidR="00FA7F33" w:rsidRDefault="00B8490B" w:rsidP="00B63CAB">
            <w:r>
              <w:rPr>
                <w:rStyle w:val="Hyperlink"/>
              </w:rPr>
              <w:t>Tx</w:t>
            </w:r>
            <w:r w:rsidRPr="00F74D0E">
              <w:t xml:space="preserve"> </w:t>
            </w:r>
            <w:r w:rsidR="00FA7F33" w:rsidRPr="00F74D0E">
              <w:t>RAG</w:t>
            </w:r>
            <w:r w:rsidR="00FA7F33">
              <w:rPr>
                <w:rStyle w:val="Hyperlink"/>
              </w:rPr>
              <w:t xml:space="preserve"> </w:t>
            </w:r>
          </w:p>
        </w:tc>
        <w:tc>
          <w:tcPr>
            <w:tcW w:w="584" w:type="pct"/>
          </w:tcPr>
          <w:p w14:paraId="7F99F15D" w14:textId="77777777" w:rsidR="00FA7F33" w:rsidRDefault="00FA7F33" w:rsidP="00FA7F33">
            <w:pPr>
              <w:pStyle w:val="ListParagraph"/>
              <w:numPr>
                <w:ilvl w:val="0"/>
                <w:numId w:val="16"/>
              </w:numPr>
            </w:pPr>
          </w:p>
        </w:tc>
        <w:tc>
          <w:tcPr>
            <w:tcW w:w="820" w:type="pct"/>
          </w:tcPr>
          <w:p w14:paraId="4FCD7C3D" w14:textId="77777777" w:rsidR="00FA7F33" w:rsidRDefault="00FA7F33" w:rsidP="00B63CAB">
            <w:r>
              <w:t>1.5 (1)</w:t>
            </w:r>
          </w:p>
        </w:tc>
        <w:tc>
          <w:tcPr>
            <w:tcW w:w="2077" w:type="pct"/>
          </w:tcPr>
          <w:p w14:paraId="192408F4" w14:textId="77777777" w:rsidR="00FA7F33" w:rsidRDefault="00FA7F33" w:rsidP="00B63CAB">
            <w:r>
              <w:t>Redefine 3.4 GHz band to 3400-3800 MHz</w:t>
            </w:r>
          </w:p>
          <w:p w14:paraId="1678357C" w14:textId="77777777" w:rsidR="00FA7F33" w:rsidRDefault="00FA7F33" w:rsidP="00B63CAB">
            <w:r>
              <w:t>Remove retired RALIs and insert new RALI definitions.</w:t>
            </w:r>
          </w:p>
        </w:tc>
      </w:tr>
      <w:tr w:rsidR="00FA7F33" w14:paraId="6E1F8A8E"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0B850AC4" w14:textId="77777777" w:rsidR="00FA7F33" w:rsidRDefault="00FA7F33" w:rsidP="00B63CAB"/>
        </w:tc>
        <w:tc>
          <w:tcPr>
            <w:tcW w:w="584" w:type="pct"/>
          </w:tcPr>
          <w:p w14:paraId="09FAB189" w14:textId="77777777" w:rsidR="00FA7F33" w:rsidRDefault="00FA7F33" w:rsidP="00FA7F33">
            <w:pPr>
              <w:pStyle w:val="ListParagraph"/>
              <w:numPr>
                <w:ilvl w:val="0"/>
                <w:numId w:val="16"/>
              </w:numPr>
            </w:pPr>
          </w:p>
        </w:tc>
        <w:tc>
          <w:tcPr>
            <w:tcW w:w="820" w:type="pct"/>
          </w:tcPr>
          <w:p w14:paraId="71798E50" w14:textId="77777777" w:rsidR="00FA7F33" w:rsidRDefault="00FA7F33" w:rsidP="00B63CAB">
            <w:r>
              <w:t>2.1</w:t>
            </w:r>
          </w:p>
        </w:tc>
        <w:tc>
          <w:tcPr>
            <w:tcW w:w="2077" w:type="pct"/>
          </w:tcPr>
          <w:p w14:paraId="5F558015" w14:textId="77777777" w:rsidR="00FA7F33" w:rsidRDefault="00FA7F33" w:rsidP="00B63CAB">
            <w:r>
              <w:t>Correct the text (it is not “Australia-wide”)</w:t>
            </w:r>
          </w:p>
        </w:tc>
      </w:tr>
      <w:tr w:rsidR="00FA7F33" w14:paraId="6F6865A8"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4B135D20" w14:textId="77777777" w:rsidR="00FA7F33" w:rsidRDefault="00FA7F33" w:rsidP="00B63CAB"/>
        </w:tc>
        <w:tc>
          <w:tcPr>
            <w:tcW w:w="584" w:type="pct"/>
          </w:tcPr>
          <w:p w14:paraId="40E87210" w14:textId="77777777" w:rsidR="00FA7F33" w:rsidRDefault="00FA7F33" w:rsidP="00FA7F33">
            <w:pPr>
              <w:pStyle w:val="ListParagraph"/>
              <w:numPr>
                <w:ilvl w:val="0"/>
                <w:numId w:val="16"/>
              </w:numPr>
            </w:pPr>
          </w:p>
        </w:tc>
        <w:tc>
          <w:tcPr>
            <w:tcW w:w="820" w:type="pct"/>
          </w:tcPr>
          <w:p w14:paraId="306C96B2" w14:textId="77777777" w:rsidR="00FA7F33" w:rsidRDefault="00FA7F33" w:rsidP="00B63CAB">
            <w:r>
              <w:t xml:space="preserve">2.3 </w:t>
            </w:r>
          </w:p>
        </w:tc>
        <w:tc>
          <w:tcPr>
            <w:tcW w:w="2077" w:type="pct"/>
          </w:tcPr>
          <w:p w14:paraId="50DDFE0F" w14:textId="77777777" w:rsidR="00FA7F33" w:rsidRDefault="00FA7F33" w:rsidP="00B63CAB">
            <w:r>
              <w:t>Modify BWA dot point to refer to both BWA and AWLs.</w:t>
            </w:r>
          </w:p>
        </w:tc>
      </w:tr>
      <w:tr w:rsidR="00FA7F33" w14:paraId="42830BC3"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1310C091" w14:textId="77777777" w:rsidR="00FA7F33" w:rsidRDefault="00FA7F33" w:rsidP="00B63CAB"/>
        </w:tc>
        <w:tc>
          <w:tcPr>
            <w:tcW w:w="584" w:type="pct"/>
          </w:tcPr>
          <w:p w14:paraId="04B828C3" w14:textId="77777777" w:rsidR="00FA7F33" w:rsidRDefault="00FA7F33" w:rsidP="00FA7F33">
            <w:pPr>
              <w:pStyle w:val="ListParagraph"/>
              <w:numPr>
                <w:ilvl w:val="0"/>
                <w:numId w:val="16"/>
              </w:numPr>
            </w:pPr>
          </w:p>
        </w:tc>
        <w:tc>
          <w:tcPr>
            <w:tcW w:w="820" w:type="pct"/>
          </w:tcPr>
          <w:p w14:paraId="28006927" w14:textId="77777777" w:rsidR="00FA7F33" w:rsidRDefault="00FA7F33" w:rsidP="00B63CAB">
            <w:r>
              <w:t>3.1-3.2</w:t>
            </w:r>
          </w:p>
        </w:tc>
        <w:tc>
          <w:tcPr>
            <w:tcW w:w="2077" w:type="pct"/>
          </w:tcPr>
          <w:p w14:paraId="32CECC5E" w14:textId="77777777" w:rsidR="00FA7F33" w:rsidRDefault="00FA7F33" w:rsidP="00B63CAB">
            <w:r>
              <w:t>Update to reflect changes to PTP arrangements if required, but unlikely.</w:t>
            </w:r>
          </w:p>
        </w:tc>
      </w:tr>
      <w:tr w:rsidR="00FA7F33" w14:paraId="098F837E"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38671AF9" w14:textId="77777777" w:rsidR="00FA7F33" w:rsidRDefault="00FA7F33" w:rsidP="00B63CAB"/>
        </w:tc>
        <w:tc>
          <w:tcPr>
            <w:tcW w:w="584" w:type="pct"/>
          </w:tcPr>
          <w:p w14:paraId="668281D8" w14:textId="77777777" w:rsidR="00FA7F33" w:rsidRDefault="00FA7F33" w:rsidP="00FA7F33">
            <w:pPr>
              <w:pStyle w:val="ListParagraph"/>
              <w:numPr>
                <w:ilvl w:val="0"/>
                <w:numId w:val="16"/>
              </w:numPr>
            </w:pPr>
          </w:p>
        </w:tc>
        <w:tc>
          <w:tcPr>
            <w:tcW w:w="820" w:type="pct"/>
          </w:tcPr>
          <w:p w14:paraId="37BC2EEF" w14:textId="77777777" w:rsidR="00FA7F33" w:rsidRDefault="00FA7F33" w:rsidP="00B63CAB">
            <w:r>
              <w:t>4.3</w:t>
            </w:r>
          </w:p>
        </w:tc>
        <w:tc>
          <w:tcPr>
            <w:tcW w:w="2077" w:type="pct"/>
          </w:tcPr>
          <w:p w14:paraId="49615D24" w14:textId="77777777" w:rsidR="00FA7F33" w:rsidRDefault="00FA7F33" w:rsidP="00B63CAB">
            <w:r>
              <w:t>Update frequency ranges referred to as required.</w:t>
            </w:r>
          </w:p>
          <w:p w14:paraId="373F1182" w14:textId="03D5E34B" w:rsidR="00FA7F33" w:rsidRDefault="00827F56" w:rsidP="00B63CAB">
            <w:r>
              <w:t xml:space="preserve">Change the offset definition in table 1 of </w:t>
            </w:r>
            <w:r w:rsidR="00FA7F33">
              <w:t>4.3 (4)</w:t>
            </w:r>
            <w:r>
              <w:t xml:space="preserve"> to refer to the “nearest”, rather than “lower” edge,</w:t>
            </w:r>
            <w:r w:rsidR="00FA7F33">
              <w:t xml:space="preserve"> as there will now be potential for WBB services to be above the frequency of incumbent FSS services.</w:t>
            </w:r>
          </w:p>
        </w:tc>
      </w:tr>
      <w:tr w:rsidR="00FA7F33" w14:paraId="32E0D1F7"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61B43564" w14:textId="77777777" w:rsidR="00FA7F33" w:rsidRDefault="00FA7F33" w:rsidP="00B63CAB"/>
        </w:tc>
        <w:tc>
          <w:tcPr>
            <w:tcW w:w="584" w:type="pct"/>
          </w:tcPr>
          <w:p w14:paraId="59711525" w14:textId="77777777" w:rsidR="00FA7F33" w:rsidRDefault="00FA7F33" w:rsidP="00FA7F33">
            <w:pPr>
              <w:pStyle w:val="ListParagraph"/>
              <w:numPr>
                <w:ilvl w:val="0"/>
                <w:numId w:val="16"/>
              </w:numPr>
            </w:pPr>
          </w:p>
        </w:tc>
        <w:tc>
          <w:tcPr>
            <w:tcW w:w="820" w:type="pct"/>
          </w:tcPr>
          <w:p w14:paraId="624501C8" w14:textId="77777777" w:rsidR="00FA7F33" w:rsidRDefault="00FA7F33" w:rsidP="00B63CAB">
            <w:r>
              <w:t>4.4</w:t>
            </w:r>
          </w:p>
        </w:tc>
        <w:tc>
          <w:tcPr>
            <w:tcW w:w="2077" w:type="pct"/>
          </w:tcPr>
          <w:p w14:paraId="0C625197" w14:textId="77777777" w:rsidR="00FA7F33" w:rsidRDefault="00FA7F33" w:rsidP="00B63CAB">
            <w:r>
              <w:t>Update references to reallocation declarations as required.</w:t>
            </w:r>
          </w:p>
        </w:tc>
      </w:tr>
      <w:tr w:rsidR="00FA7F33" w14:paraId="3923CBD1"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75E3CED6" w14:textId="77777777" w:rsidR="00FA7F33" w:rsidRDefault="00FA7F33" w:rsidP="00B63CAB"/>
        </w:tc>
        <w:tc>
          <w:tcPr>
            <w:tcW w:w="584" w:type="pct"/>
          </w:tcPr>
          <w:p w14:paraId="3F82ED57" w14:textId="77777777" w:rsidR="00FA7F33" w:rsidRDefault="00FA7F33" w:rsidP="00FA7F33">
            <w:pPr>
              <w:pStyle w:val="ListParagraph"/>
              <w:numPr>
                <w:ilvl w:val="0"/>
                <w:numId w:val="16"/>
              </w:numPr>
            </w:pPr>
          </w:p>
        </w:tc>
        <w:tc>
          <w:tcPr>
            <w:tcW w:w="820" w:type="pct"/>
          </w:tcPr>
          <w:p w14:paraId="1CD7F75A" w14:textId="77777777" w:rsidR="00FA7F33" w:rsidRDefault="00FA7F33" w:rsidP="00B63CAB">
            <w:r>
              <w:t>5</w:t>
            </w:r>
          </w:p>
        </w:tc>
        <w:tc>
          <w:tcPr>
            <w:tcW w:w="2077" w:type="pct"/>
          </w:tcPr>
          <w:p w14:paraId="2438FBE2" w14:textId="77777777" w:rsidR="00FA7F33" w:rsidRDefault="00FA7F33" w:rsidP="00B63CAB">
            <w:r>
              <w:t xml:space="preserve">Remove reference to RALIs proposed to be retired and update with a reference to protection criteria defined in the new AWL RALI. </w:t>
            </w:r>
          </w:p>
        </w:tc>
      </w:tr>
      <w:tr w:rsidR="00FA7F33" w14:paraId="6965220F"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2D4EEC0A" w14:textId="77777777" w:rsidR="00FA7F33" w:rsidRDefault="00FA7F33" w:rsidP="00B63CAB"/>
        </w:tc>
        <w:tc>
          <w:tcPr>
            <w:tcW w:w="584" w:type="pct"/>
          </w:tcPr>
          <w:p w14:paraId="47C210AD" w14:textId="77777777" w:rsidR="00FA7F33" w:rsidRDefault="00FA7F33" w:rsidP="00FA7F33">
            <w:pPr>
              <w:pStyle w:val="ListParagraph"/>
              <w:numPr>
                <w:ilvl w:val="0"/>
                <w:numId w:val="16"/>
              </w:numPr>
            </w:pPr>
          </w:p>
        </w:tc>
        <w:tc>
          <w:tcPr>
            <w:tcW w:w="820" w:type="pct"/>
          </w:tcPr>
          <w:p w14:paraId="7B069CE7" w14:textId="77777777" w:rsidR="00FA7F33" w:rsidRDefault="00FA7F33" w:rsidP="00B63CAB">
            <w:r>
              <w:t>(blank)</w:t>
            </w:r>
          </w:p>
        </w:tc>
        <w:tc>
          <w:tcPr>
            <w:tcW w:w="2077" w:type="pct"/>
          </w:tcPr>
          <w:p w14:paraId="47BE44E0" w14:textId="77777777" w:rsidR="00FA7F33" w:rsidRDefault="00FA7F33" w:rsidP="00B63CAB">
            <w:r>
              <w:t>[previous possible change moved to the S.145 document]</w:t>
            </w:r>
          </w:p>
        </w:tc>
      </w:tr>
      <w:tr w:rsidR="00FA7F33" w14:paraId="207BED1C"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67D88DBC" w14:textId="77777777" w:rsidR="00FA7F33" w:rsidRDefault="00FA7F33" w:rsidP="00B63CAB"/>
        </w:tc>
        <w:tc>
          <w:tcPr>
            <w:tcW w:w="584" w:type="pct"/>
          </w:tcPr>
          <w:p w14:paraId="79C261E6" w14:textId="77777777" w:rsidR="00FA7F33" w:rsidRDefault="00FA7F33" w:rsidP="00FA7F33">
            <w:pPr>
              <w:pStyle w:val="ListParagraph"/>
              <w:numPr>
                <w:ilvl w:val="0"/>
                <w:numId w:val="16"/>
              </w:numPr>
            </w:pPr>
          </w:p>
        </w:tc>
        <w:tc>
          <w:tcPr>
            <w:tcW w:w="820" w:type="pct"/>
          </w:tcPr>
          <w:p w14:paraId="3132B761" w14:textId="77777777" w:rsidR="00FA7F33" w:rsidRDefault="00FA7F33" w:rsidP="00B63CAB">
            <w:r>
              <w:t>7</w:t>
            </w:r>
          </w:p>
        </w:tc>
        <w:tc>
          <w:tcPr>
            <w:tcW w:w="2077" w:type="pct"/>
          </w:tcPr>
          <w:p w14:paraId="01B1E3C7" w14:textId="77777777" w:rsidR="00FA7F33" w:rsidRDefault="00FA7F33" w:rsidP="00B63CAB">
            <w:r w:rsidRPr="00D560AA">
              <w:t>Review class licence part to reflect devices in 3700-</w:t>
            </w:r>
            <w:r>
              <w:t>38</w:t>
            </w:r>
            <w:r w:rsidRPr="00D560AA">
              <w:t>00</w:t>
            </w:r>
            <w:r>
              <w:t xml:space="preserve"> MHz.</w:t>
            </w:r>
          </w:p>
        </w:tc>
      </w:tr>
      <w:tr w:rsidR="00FA7F33" w:rsidRPr="00D560AA" w14:paraId="29B33230"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4D441E45" w14:textId="77777777" w:rsidR="00FA7F33" w:rsidRDefault="00FA7F33" w:rsidP="00B63CAB"/>
        </w:tc>
        <w:tc>
          <w:tcPr>
            <w:tcW w:w="584" w:type="pct"/>
          </w:tcPr>
          <w:p w14:paraId="494A1867" w14:textId="77777777" w:rsidR="00FA7F33" w:rsidRDefault="00FA7F33" w:rsidP="00FA7F33">
            <w:pPr>
              <w:pStyle w:val="ListParagraph"/>
              <w:numPr>
                <w:ilvl w:val="0"/>
                <w:numId w:val="16"/>
              </w:numPr>
            </w:pPr>
          </w:p>
        </w:tc>
        <w:tc>
          <w:tcPr>
            <w:tcW w:w="820" w:type="pct"/>
          </w:tcPr>
          <w:p w14:paraId="3A97115E" w14:textId="77777777" w:rsidR="00FA7F33" w:rsidRDefault="00FA7F33" w:rsidP="00B63CAB">
            <w:r>
              <w:t>8</w:t>
            </w:r>
          </w:p>
        </w:tc>
        <w:tc>
          <w:tcPr>
            <w:tcW w:w="2077" w:type="pct"/>
          </w:tcPr>
          <w:p w14:paraId="508216D8" w14:textId="77777777" w:rsidR="00FA7F33" w:rsidRDefault="00FA7F33" w:rsidP="00B63CAB">
            <w:r>
              <w:t>Update scope to ensure AWL receivers are covering by this part as well.</w:t>
            </w:r>
          </w:p>
        </w:tc>
      </w:tr>
      <w:tr w:rsidR="00FA7F33" w:rsidRPr="00D560AA" w14:paraId="7EE0E049"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5A992D7C" w14:textId="77777777" w:rsidR="00FA7F33" w:rsidRDefault="00FA7F33" w:rsidP="00B63CAB"/>
        </w:tc>
        <w:tc>
          <w:tcPr>
            <w:tcW w:w="584" w:type="pct"/>
          </w:tcPr>
          <w:p w14:paraId="4172C3EA" w14:textId="77777777" w:rsidR="00FA7F33" w:rsidRDefault="00FA7F33" w:rsidP="00FA7F33">
            <w:pPr>
              <w:pStyle w:val="ListParagraph"/>
              <w:numPr>
                <w:ilvl w:val="0"/>
                <w:numId w:val="16"/>
              </w:numPr>
            </w:pPr>
          </w:p>
        </w:tc>
        <w:tc>
          <w:tcPr>
            <w:tcW w:w="820" w:type="pct"/>
          </w:tcPr>
          <w:p w14:paraId="6AD2C7FD" w14:textId="77777777" w:rsidR="00FA7F33" w:rsidRDefault="00FA7F33" w:rsidP="00B63CAB">
            <w:r>
              <w:t>9.2</w:t>
            </w:r>
          </w:p>
        </w:tc>
        <w:tc>
          <w:tcPr>
            <w:tcW w:w="2077" w:type="pct"/>
          </w:tcPr>
          <w:p w14:paraId="334F28E6" w14:textId="77777777" w:rsidR="00FA7F33" w:rsidRDefault="00FA7F33" w:rsidP="00B63CAB">
            <w:r>
              <w:t>Update notes about reviewing ESPZs</w:t>
            </w:r>
          </w:p>
        </w:tc>
      </w:tr>
      <w:tr w:rsidR="00FA7F33" w14:paraId="0F66D86F"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val="restart"/>
          </w:tcPr>
          <w:p w14:paraId="14093D78" w14:textId="77777777" w:rsidR="00FA7F33" w:rsidRDefault="00FA7F33" w:rsidP="00B63CAB">
            <w:r w:rsidRPr="00F74D0E">
              <w:t>Rx RAG</w:t>
            </w:r>
          </w:p>
          <w:p w14:paraId="4187DC44" w14:textId="77777777" w:rsidR="00FA7F33" w:rsidRDefault="00FA7F33" w:rsidP="00B63CAB"/>
        </w:tc>
        <w:tc>
          <w:tcPr>
            <w:tcW w:w="584" w:type="pct"/>
          </w:tcPr>
          <w:p w14:paraId="1419F4F9" w14:textId="77777777" w:rsidR="00FA7F33" w:rsidRDefault="00FA7F33" w:rsidP="00FA7F33">
            <w:pPr>
              <w:pStyle w:val="ListParagraph"/>
              <w:numPr>
                <w:ilvl w:val="0"/>
                <w:numId w:val="16"/>
              </w:numPr>
            </w:pPr>
          </w:p>
        </w:tc>
        <w:tc>
          <w:tcPr>
            <w:tcW w:w="820" w:type="pct"/>
          </w:tcPr>
          <w:p w14:paraId="42D7A6E2" w14:textId="77777777" w:rsidR="00FA7F33" w:rsidRDefault="00FA7F33" w:rsidP="00B63CAB">
            <w:r>
              <w:t>1.4 (1)</w:t>
            </w:r>
          </w:p>
        </w:tc>
        <w:tc>
          <w:tcPr>
            <w:tcW w:w="2077" w:type="pct"/>
          </w:tcPr>
          <w:p w14:paraId="662A0F4E" w14:textId="77777777" w:rsidR="00FA7F33" w:rsidRDefault="00FA7F33" w:rsidP="00B63CAB">
            <w:r>
              <w:t>Redefine 3.4 GHz band to 3400-3800 MHz</w:t>
            </w:r>
          </w:p>
          <w:p w14:paraId="769A100E" w14:textId="77777777" w:rsidR="00FA7F33" w:rsidRDefault="00FA7F33" w:rsidP="00B63CAB"/>
        </w:tc>
      </w:tr>
      <w:tr w:rsidR="00FA7F33" w14:paraId="5530DAF4"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7789CACD" w14:textId="77777777" w:rsidR="00FA7F33" w:rsidRDefault="00FA7F33" w:rsidP="00B63CAB"/>
        </w:tc>
        <w:tc>
          <w:tcPr>
            <w:tcW w:w="584" w:type="pct"/>
          </w:tcPr>
          <w:p w14:paraId="7C360850" w14:textId="77777777" w:rsidR="00FA7F33" w:rsidRDefault="00FA7F33" w:rsidP="00FA7F33">
            <w:pPr>
              <w:pStyle w:val="ListParagraph"/>
              <w:numPr>
                <w:ilvl w:val="0"/>
                <w:numId w:val="16"/>
              </w:numPr>
            </w:pPr>
          </w:p>
        </w:tc>
        <w:tc>
          <w:tcPr>
            <w:tcW w:w="820" w:type="pct"/>
          </w:tcPr>
          <w:p w14:paraId="3FE9F05B" w14:textId="77777777" w:rsidR="00FA7F33" w:rsidRDefault="00FA7F33" w:rsidP="00B63CAB">
            <w:r>
              <w:t>3.1 (2)</w:t>
            </w:r>
          </w:p>
        </w:tc>
        <w:tc>
          <w:tcPr>
            <w:tcW w:w="2077" w:type="pct"/>
          </w:tcPr>
          <w:p w14:paraId="0CB6A050" w14:textId="77777777" w:rsidR="00FA7F33" w:rsidRDefault="00FA7F33" w:rsidP="00B63CAB">
            <w:r>
              <w:t>Update ranges as required.</w:t>
            </w:r>
          </w:p>
        </w:tc>
      </w:tr>
      <w:tr w:rsidR="00FA7F33" w14:paraId="2C0790A1"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4E4C9DD4" w14:textId="77777777" w:rsidR="00FA7F33" w:rsidRDefault="00FA7F33" w:rsidP="00B63CAB"/>
        </w:tc>
        <w:tc>
          <w:tcPr>
            <w:tcW w:w="584" w:type="pct"/>
          </w:tcPr>
          <w:p w14:paraId="6C4FAA06" w14:textId="77777777" w:rsidR="00FA7F33" w:rsidRDefault="00FA7F33" w:rsidP="00FA7F33">
            <w:pPr>
              <w:pStyle w:val="ListParagraph"/>
              <w:numPr>
                <w:ilvl w:val="0"/>
                <w:numId w:val="16"/>
              </w:numPr>
            </w:pPr>
          </w:p>
        </w:tc>
        <w:tc>
          <w:tcPr>
            <w:tcW w:w="820" w:type="pct"/>
          </w:tcPr>
          <w:p w14:paraId="473AAA7B" w14:textId="77777777" w:rsidR="00FA7F33" w:rsidRDefault="00FA7F33" w:rsidP="00B63CAB">
            <w:r>
              <w:t>3.1 (5)</w:t>
            </w:r>
          </w:p>
        </w:tc>
        <w:tc>
          <w:tcPr>
            <w:tcW w:w="2077" w:type="pct"/>
          </w:tcPr>
          <w:p w14:paraId="30AB05BA" w14:textId="77777777" w:rsidR="00FA7F33" w:rsidRDefault="00FA7F33" w:rsidP="00B63CAB">
            <w:r>
              <w:t>Update ranges as required.</w:t>
            </w:r>
          </w:p>
        </w:tc>
      </w:tr>
      <w:tr w:rsidR="00FA7F33" w14:paraId="5F81E572"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39444515" w14:textId="77777777" w:rsidR="00FA7F33" w:rsidRDefault="00FA7F33" w:rsidP="00B63CAB"/>
        </w:tc>
        <w:tc>
          <w:tcPr>
            <w:tcW w:w="584" w:type="pct"/>
          </w:tcPr>
          <w:p w14:paraId="0B1B133E" w14:textId="77777777" w:rsidR="00FA7F33" w:rsidRDefault="00FA7F33" w:rsidP="00FA7F33">
            <w:pPr>
              <w:pStyle w:val="ListParagraph"/>
              <w:numPr>
                <w:ilvl w:val="0"/>
                <w:numId w:val="16"/>
              </w:numPr>
            </w:pPr>
          </w:p>
        </w:tc>
        <w:tc>
          <w:tcPr>
            <w:tcW w:w="820" w:type="pct"/>
          </w:tcPr>
          <w:p w14:paraId="28BDF87B" w14:textId="77777777" w:rsidR="00FA7F33" w:rsidRDefault="00FA7F33" w:rsidP="00B63CAB">
            <w:r>
              <w:t>3.2 (4)</w:t>
            </w:r>
          </w:p>
        </w:tc>
        <w:tc>
          <w:tcPr>
            <w:tcW w:w="2077" w:type="pct"/>
          </w:tcPr>
          <w:p w14:paraId="1AF2610D" w14:textId="77777777" w:rsidR="00FA7F33" w:rsidRDefault="00FA7F33" w:rsidP="00B63CAB">
            <w:r w:rsidRPr="00BA38E1">
              <w:t>Update to reflect agreed radiolocation service coordination requirements if required</w:t>
            </w:r>
            <w:r>
              <w:t xml:space="preserve"> [not proposed at this stage]</w:t>
            </w:r>
          </w:p>
        </w:tc>
      </w:tr>
      <w:tr w:rsidR="00FA7F33" w14:paraId="071A966B"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tcPr>
          <w:p w14:paraId="154C2953" w14:textId="77777777" w:rsidR="00FA7F33" w:rsidRDefault="00FA7F33" w:rsidP="00B63CAB"/>
        </w:tc>
        <w:tc>
          <w:tcPr>
            <w:tcW w:w="584" w:type="pct"/>
          </w:tcPr>
          <w:p w14:paraId="25D9FFA3" w14:textId="77777777" w:rsidR="00FA7F33" w:rsidRDefault="00FA7F33" w:rsidP="00FA7F33">
            <w:pPr>
              <w:pStyle w:val="ListParagraph"/>
              <w:numPr>
                <w:ilvl w:val="0"/>
                <w:numId w:val="16"/>
              </w:numPr>
            </w:pPr>
          </w:p>
        </w:tc>
        <w:tc>
          <w:tcPr>
            <w:tcW w:w="820" w:type="pct"/>
          </w:tcPr>
          <w:p w14:paraId="3730E9AE" w14:textId="77777777" w:rsidR="00FA7F33" w:rsidRDefault="00FA7F33" w:rsidP="00B63CAB">
            <w:r>
              <w:t>Sched 1 (5)</w:t>
            </w:r>
          </w:p>
        </w:tc>
        <w:tc>
          <w:tcPr>
            <w:tcW w:w="2077" w:type="pct"/>
          </w:tcPr>
          <w:p w14:paraId="6A818D67" w14:textId="77777777" w:rsidR="00FA7F33" w:rsidRDefault="00FA7F33" w:rsidP="00B63CAB">
            <w:r>
              <w:t xml:space="preserve">Update blocking ranges. </w:t>
            </w:r>
          </w:p>
        </w:tc>
      </w:tr>
      <w:tr w:rsidR="00FA7F33" w14:paraId="00574A3E"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vMerge/>
          </w:tcPr>
          <w:p w14:paraId="22092CDD" w14:textId="77777777" w:rsidR="00FA7F33" w:rsidRDefault="00FA7F33" w:rsidP="00B63CAB"/>
        </w:tc>
        <w:tc>
          <w:tcPr>
            <w:tcW w:w="584" w:type="pct"/>
          </w:tcPr>
          <w:p w14:paraId="550AD148" w14:textId="77777777" w:rsidR="00FA7F33" w:rsidRDefault="00FA7F33" w:rsidP="00FA7F33">
            <w:pPr>
              <w:pStyle w:val="ListParagraph"/>
              <w:numPr>
                <w:ilvl w:val="0"/>
                <w:numId w:val="16"/>
              </w:numPr>
            </w:pPr>
          </w:p>
        </w:tc>
        <w:tc>
          <w:tcPr>
            <w:tcW w:w="820" w:type="pct"/>
          </w:tcPr>
          <w:p w14:paraId="1B0B9D70" w14:textId="77777777" w:rsidR="00FA7F33" w:rsidRDefault="00FA7F33" w:rsidP="00B63CAB">
            <w:r>
              <w:t>5 (1)</w:t>
            </w:r>
          </w:p>
        </w:tc>
        <w:tc>
          <w:tcPr>
            <w:tcW w:w="2077" w:type="pct"/>
          </w:tcPr>
          <w:p w14:paraId="27A382D8" w14:textId="77777777" w:rsidR="00FA7F33" w:rsidRDefault="00FA7F33" w:rsidP="00B63CAB">
            <w:r>
              <w:t>Redefine 3.4 GHz band to 3400-3800 MHz</w:t>
            </w:r>
          </w:p>
          <w:p w14:paraId="46DF51F0" w14:textId="77777777" w:rsidR="00FA7F33" w:rsidRDefault="00FA7F33" w:rsidP="00B63CAB"/>
        </w:tc>
      </w:tr>
      <w:tr w:rsidR="00FA7F33" w14:paraId="3BD3470A"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vMerge w:val="restart"/>
          </w:tcPr>
          <w:p w14:paraId="2FC7EF23" w14:textId="77777777" w:rsidR="00FA7F33" w:rsidRDefault="00FA7F33" w:rsidP="00B63CAB">
            <w:r>
              <w:t xml:space="preserve">S.145 </w:t>
            </w:r>
            <w:r w:rsidRPr="00F74D0E">
              <w:t>determination</w:t>
            </w:r>
          </w:p>
        </w:tc>
        <w:tc>
          <w:tcPr>
            <w:tcW w:w="584" w:type="pct"/>
          </w:tcPr>
          <w:p w14:paraId="242DD78D" w14:textId="77777777" w:rsidR="00FA7F33" w:rsidRDefault="00FA7F33" w:rsidP="00FA7F33">
            <w:pPr>
              <w:pStyle w:val="ListParagraph"/>
              <w:numPr>
                <w:ilvl w:val="0"/>
                <w:numId w:val="16"/>
              </w:numPr>
            </w:pPr>
          </w:p>
        </w:tc>
        <w:tc>
          <w:tcPr>
            <w:tcW w:w="820" w:type="pct"/>
          </w:tcPr>
          <w:p w14:paraId="0DB3092D" w14:textId="77777777" w:rsidR="00FA7F33" w:rsidRDefault="00FA7F33" w:rsidP="00B63CAB">
            <w:r>
              <w:t>Definitions (3)</w:t>
            </w:r>
          </w:p>
        </w:tc>
        <w:tc>
          <w:tcPr>
            <w:tcW w:w="2077" w:type="pct"/>
          </w:tcPr>
          <w:p w14:paraId="2873CBBB" w14:textId="77777777" w:rsidR="00FA7F33" w:rsidRDefault="00FA7F33" w:rsidP="00B63CAB">
            <w:r>
              <w:t>Redefine 3.4 GHz band to 3400-3800 MHz</w:t>
            </w:r>
          </w:p>
          <w:p w14:paraId="7D5B8A3D" w14:textId="77777777" w:rsidR="00FA7F33" w:rsidRDefault="00FA7F33" w:rsidP="00B63CAB"/>
        </w:tc>
      </w:tr>
      <w:tr w:rsidR="00FA7F33" w14:paraId="63719F21" w14:textId="77777777" w:rsidTr="00213A9C">
        <w:trPr>
          <w:cnfStyle w:val="000000100000" w:firstRow="0" w:lastRow="0" w:firstColumn="0" w:lastColumn="0" w:oddVBand="0" w:evenVBand="0" w:oddHBand="1" w:evenHBand="0" w:firstRowFirstColumn="0" w:firstRowLastColumn="0" w:lastRowFirstColumn="0" w:lastRowLastColumn="0"/>
        </w:trPr>
        <w:tc>
          <w:tcPr>
            <w:tcW w:w="1519" w:type="pct"/>
            <w:vMerge/>
          </w:tcPr>
          <w:p w14:paraId="33590E4B" w14:textId="77777777" w:rsidR="00FA7F33" w:rsidRDefault="00FA7F33" w:rsidP="00B63CAB"/>
        </w:tc>
        <w:tc>
          <w:tcPr>
            <w:tcW w:w="584" w:type="pct"/>
          </w:tcPr>
          <w:p w14:paraId="7A862DE8" w14:textId="77777777" w:rsidR="00FA7F33" w:rsidRDefault="00FA7F33" w:rsidP="00FA7F33">
            <w:pPr>
              <w:pStyle w:val="ListParagraph"/>
              <w:numPr>
                <w:ilvl w:val="0"/>
                <w:numId w:val="16"/>
              </w:numPr>
            </w:pPr>
          </w:p>
        </w:tc>
        <w:tc>
          <w:tcPr>
            <w:tcW w:w="820" w:type="pct"/>
            <w:shd w:val="clear" w:color="auto" w:fill="auto"/>
          </w:tcPr>
          <w:p w14:paraId="089C153F" w14:textId="77777777" w:rsidR="00FA7F33" w:rsidRDefault="00FA7F33" w:rsidP="00B63CAB">
            <w:r>
              <w:t>[9 unacceptable level of interference]</w:t>
            </w:r>
          </w:p>
        </w:tc>
        <w:tc>
          <w:tcPr>
            <w:tcW w:w="2077" w:type="pct"/>
            <w:shd w:val="clear" w:color="auto" w:fill="auto"/>
          </w:tcPr>
          <w:p w14:paraId="66E7BE04" w14:textId="77777777" w:rsidR="00FA7F33" w:rsidRDefault="00FA7F33" w:rsidP="00B63CAB">
            <w:r>
              <w:t>[If proven necessary, add new clauses to coordinate services above 3700 MHz with radio altimeters]</w:t>
            </w:r>
          </w:p>
        </w:tc>
      </w:tr>
      <w:tr w:rsidR="00FA7F33" w14:paraId="10304F32"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tcPr>
          <w:p w14:paraId="18F2A29C" w14:textId="77777777" w:rsidR="00FA7F33" w:rsidRDefault="00FA7F33" w:rsidP="00B63CAB">
            <w:r w:rsidRPr="00F74D0E">
              <w:t>Example spectrum licence</w:t>
            </w:r>
          </w:p>
        </w:tc>
        <w:tc>
          <w:tcPr>
            <w:tcW w:w="584" w:type="pct"/>
          </w:tcPr>
          <w:p w14:paraId="2F550A8C" w14:textId="77777777" w:rsidR="00FA7F33" w:rsidRDefault="00FA7F33" w:rsidP="00FA7F33">
            <w:pPr>
              <w:pStyle w:val="ListParagraph"/>
              <w:numPr>
                <w:ilvl w:val="0"/>
                <w:numId w:val="16"/>
              </w:numPr>
            </w:pPr>
          </w:p>
        </w:tc>
        <w:tc>
          <w:tcPr>
            <w:tcW w:w="820" w:type="pct"/>
          </w:tcPr>
          <w:p w14:paraId="6C826876" w14:textId="7177D46B" w:rsidR="00FA7F33" w:rsidRDefault="00FA7F33" w:rsidP="00B63CAB">
            <w:r>
              <w:t xml:space="preserve">Sched 2 </w:t>
            </w:r>
            <w:r w:rsidR="00213A9C">
              <w:t>6-</w:t>
            </w:r>
            <w:r>
              <w:t>9</w:t>
            </w:r>
          </w:p>
        </w:tc>
        <w:tc>
          <w:tcPr>
            <w:tcW w:w="2077" w:type="pct"/>
          </w:tcPr>
          <w:p w14:paraId="61EE5B45" w14:textId="3F7D62A1" w:rsidR="00FA7F33" w:rsidRDefault="00FA7F33" w:rsidP="00B63CAB">
            <w:r>
              <w:t xml:space="preserve">Modify </w:t>
            </w:r>
            <w:r w:rsidR="00213A9C">
              <w:t>limit for non-AAS systems to apply per antenna port and not total radiated power.</w:t>
            </w:r>
          </w:p>
        </w:tc>
      </w:tr>
      <w:tr w:rsidR="003B138E" w14:paraId="266AACB4"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tcPr>
          <w:p w14:paraId="3014F993" w14:textId="77777777" w:rsidR="00213A9C" w:rsidRDefault="00213A9C" w:rsidP="00213A9C"/>
        </w:tc>
        <w:tc>
          <w:tcPr>
            <w:tcW w:w="584" w:type="pct"/>
          </w:tcPr>
          <w:p w14:paraId="2FB750D9" w14:textId="77777777" w:rsidR="00213A9C" w:rsidRDefault="00213A9C" w:rsidP="00213A9C">
            <w:pPr>
              <w:pStyle w:val="ListParagraph"/>
              <w:numPr>
                <w:ilvl w:val="0"/>
                <w:numId w:val="16"/>
              </w:numPr>
            </w:pPr>
          </w:p>
        </w:tc>
        <w:tc>
          <w:tcPr>
            <w:tcW w:w="820" w:type="pct"/>
          </w:tcPr>
          <w:p w14:paraId="26A56382" w14:textId="6226A9B9" w:rsidR="00213A9C" w:rsidRDefault="00213A9C" w:rsidP="00213A9C">
            <w:r>
              <w:t>Sched 2 9</w:t>
            </w:r>
          </w:p>
        </w:tc>
        <w:tc>
          <w:tcPr>
            <w:tcW w:w="2077" w:type="pct"/>
          </w:tcPr>
          <w:p w14:paraId="31E7416D" w14:textId="0049FD4C" w:rsidR="00213A9C" w:rsidRDefault="00213A9C" w:rsidP="00213A9C">
            <w:r>
              <w:t>Modify upper frequency for non-registered devices from 3805 MHz to 3905 MHz.</w:t>
            </w:r>
          </w:p>
        </w:tc>
      </w:tr>
      <w:tr w:rsidR="00213A9C" w14:paraId="5222CFB3"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tcPr>
          <w:p w14:paraId="285ADE93" w14:textId="77777777" w:rsidR="00213A9C" w:rsidRDefault="00213A9C" w:rsidP="00213A9C"/>
        </w:tc>
        <w:tc>
          <w:tcPr>
            <w:tcW w:w="584" w:type="pct"/>
          </w:tcPr>
          <w:p w14:paraId="411963BA" w14:textId="77777777" w:rsidR="00213A9C" w:rsidRDefault="00213A9C" w:rsidP="00213A9C">
            <w:pPr>
              <w:pStyle w:val="ListParagraph"/>
              <w:numPr>
                <w:ilvl w:val="0"/>
                <w:numId w:val="16"/>
              </w:numPr>
            </w:pPr>
          </w:p>
        </w:tc>
        <w:tc>
          <w:tcPr>
            <w:tcW w:w="820" w:type="pct"/>
          </w:tcPr>
          <w:p w14:paraId="0613A480" w14:textId="77777777" w:rsidR="00213A9C" w:rsidRDefault="00213A9C" w:rsidP="00213A9C">
            <w:r>
              <w:t>Sched 2 10</w:t>
            </w:r>
          </w:p>
        </w:tc>
        <w:tc>
          <w:tcPr>
            <w:tcW w:w="2077" w:type="pct"/>
          </w:tcPr>
          <w:p w14:paraId="3A9A7261" w14:textId="77777777" w:rsidR="00213A9C" w:rsidRDefault="00213A9C" w:rsidP="00213A9C">
            <w:r>
              <w:t>Modify upper frequency for non-registered devices from 3805 MHz to 3905 MHz.</w:t>
            </w:r>
          </w:p>
        </w:tc>
      </w:tr>
      <w:tr w:rsidR="00213A9C" w14:paraId="53C4861E" w14:textId="77777777" w:rsidTr="00B63CAB">
        <w:trPr>
          <w:cnfStyle w:val="000000100000" w:firstRow="0" w:lastRow="0" w:firstColumn="0" w:lastColumn="0" w:oddVBand="0" w:evenVBand="0" w:oddHBand="1" w:evenHBand="0" w:firstRowFirstColumn="0" w:firstRowLastColumn="0" w:lastRowFirstColumn="0" w:lastRowLastColumn="0"/>
        </w:trPr>
        <w:tc>
          <w:tcPr>
            <w:tcW w:w="1519" w:type="pct"/>
          </w:tcPr>
          <w:p w14:paraId="1C86E56A" w14:textId="77777777" w:rsidR="00213A9C" w:rsidRDefault="00213A9C" w:rsidP="00213A9C"/>
        </w:tc>
        <w:tc>
          <w:tcPr>
            <w:tcW w:w="584" w:type="pct"/>
          </w:tcPr>
          <w:p w14:paraId="7E1BCFBF" w14:textId="77777777" w:rsidR="00213A9C" w:rsidRDefault="00213A9C" w:rsidP="00213A9C">
            <w:pPr>
              <w:pStyle w:val="ListParagraph"/>
              <w:numPr>
                <w:ilvl w:val="0"/>
                <w:numId w:val="16"/>
              </w:numPr>
            </w:pPr>
          </w:p>
        </w:tc>
        <w:tc>
          <w:tcPr>
            <w:tcW w:w="820" w:type="pct"/>
          </w:tcPr>
          <w:p w14:paraId="0BFDD417" w14:textId="77777777" w:rsidR="00213A9C" w:rsidRDefault="00213A9C" w:rsidP="00213A9C">
            <w:r>
              <w:t>Sched 2 Table 6</w:t>
            </w:r>
          </w:p>
        </w:tc>
        <w:tc>
          <w:tcPr>
            <w:tcW w:w="2077" w:type="pct"/>
          </w:tcPr>
          <w:p w14:paraId="23BE3A05" w14:textId="77777777" w:rsidR="00213A9C" w:rsidRDefault="00213A9C" w:rsidP="00213A9C">
            <w:r>
              <w:t xml:space="preserve">(agreed in 3.4 GHz TLG meeting so should now not be required) Update table for AAS rx unwanted emissions based on </w:t>
            </w:r>
            <w:hyperlink r:id="rId117" w:history="1">
              <w:r w:rsidRPr="00B40202">
                <w:rPr>
                  <w:rStyle w:val="Hyperlink"/>
                </w:rPr>
                <w:t>3GPP</w:t>
              </w:r>
            </w:hyperlink>
            <w:r>
              <w:rPr>
                <w:rStyle w:val="Hyperlink"/>
              </w:rPr>
              <w:t>. (to -36 and -30dBm per cell/sector)</w:t>
            </w:r>
          </w:p>
        </w:tc>
      </w:tr>
      <w:tr w:rsidR="00213A9C" w14:paraId="7C8D4F68" w14:textId="77777777" w:rsidTr="00B63CAB">
        <w:trPr>
          <w:cnfStyle w:val="000000010000" w:firstRow="0" w:lastRow="0" w:firstColumn="0" w:lastColumn="0" w:oddVBand="0" w:evenVBand="0" w:oddHBand="0" w:evenHBand="1" w:firstRowFirstColumn="0" w:firstRowLastColumn="0" w:lastRowFirstColumn="0" w:lastRowLastColumn="0"/>
        </w:trPr>
        <w:tc>
          <w:tcPr>
            <w:tcW w:w="1519" w:type="pct"/>
          </w:tcPr>
          <w:p w14:paraId="3559FE7F" w14:textId="77777777" w:rsidR="00213A9C" w:rsidRDefault="00213A9C" w:rsidP="00213A9C"/>
        </w:tc>
        <w:tc>
          <w:tcPr>
            <w:tcW w:w="584" w:type="pct"/>
          </w:tcPr>
          <w:p w14:paraId="5885208F" w14:textId="77777777" w:rsidR="00213A9C" w:rsidRDefault="00213A9C" w:rsidP="00213A9C">
            <w:pPr>
              <w:pStyle w:val="ListParagraph"/>
              <w:numPr>
                <w:ilvl w:val="0"/>
                <w:numId w:val="16"/>
              </w:numPr>
            </w:pPr>
          </w:p>
        </w:tc>
        <w:tc>
          <w:tcPr>
            <w:tcW w:w="820" w:type="pct"/>
          </w:tcPr>
          <w:p w14:paraId="063EE04D" w14:textId="77777777" w:rsidR="00213A9C" w:rsidRDefault="00213A9C" w:rsidP="00213A9C">
            <w:r>
              <w:t>Sched 4 13</w:t>
            </w:r>
          </w:p>
        </w:tc>
        <w:tc>
          <w:tcPr>
            <w:tcW w:w="2077" w:type="pct"/>
          </w:tcPr>
          <w:p w14:paraId="352F8EFD" w14:textId="77777777" w:rsidR="00213A9C" w:rsidRDefault="00213A9C" w:rsidP="00213A9C">
            <w:r>
              <w:t>Update to reflect two reallocation periods/ranges</w:t>
            </w:r>
          </w:p>
        </w:tc>
      </w:tr>
    </w:tbl>
    <w:p w14:paraId="652AC05E" w14:textId="7EC3761B" w:rsidR="00FA7F33" w:rsidRDefault="00FA7F33" w:rsidP="00FA7F33">
      <w:pPr>
        <w:spacing w:before="120" w:after="360" w:line="240" w:lineRule="auto"/>
        <w:rPr>
          <w:rFonts w:cs="Arial"/>
          <w:szCs w:val="20"/>
        </w:rPr>
      </w:pPr>
    </w:p>
    <w:p w14:paraId="2B96D6D5" w14:textId="1DCF495D" w:rsidR="00602192" w:rsidRDefault="00602192" w:rsidP="00FA7F33">
      <w:pPr>
        <w:spacing w:before="120" w:after="360" w:line="240" w:lineRule="auto"/>
        <w:rPr>
          <w:rFonts w:cs="Arial"/>
          <w:szCs w:val="20"/>
        </w:rPr>
      </w:pPr>
      <w:r>
        <w:rPr>
          <w:rFonts w:cs="Arial"/>
          <w:szCs w:val="20"/>
        </w:rPr>
        <w:t>Although not a priority for remote areas, views were sought on changes to the spectrum licensing technical framework.</w:t>
      </w:r>
    </w:p>
    <w:p w14:paraId="343E2C75" w14:textId="4F91D7E3" w:rsidR="00602192" w:rsidRPr="00A9457C" w:rsidRDefault="00DF0F42" w:rsidP="00FA7F33">
      <w:pPr>
        <w:spacing w:before="120" w:after="360" w:line="240" w:lineRule="auto"/>
        <w:rPr>
          <w:rFonts w:cs="Arial"/>
          <w:szCs w:val="20"/>
        </w:rPr>
      </w:pPr>
      <w:r>
        <w:rPr>
          <w:rFonts w:cs="Arial"/>
          <w:szCs w:val="20"/>
        </w:rPr>
        <w:t xml:space="preserve">Similar to the AWL framework, telco members proposed to align both in-band and out of band emission limits to 3GPP for non-AAS </w:t>
      </w:r>
      <w:r w:rsidR="0028128D">
        <w:rPr>
          <w:rFonts w:cs="Arial"/>
          <w:szCs w:val="20"/>
        </w:rPr>
        <w:t>systems,</w:t>
      </w:r>
      <w:r>
        <w:rPr>
          <w:rFonts w:cs="Arial"/>
          <w:szCs w:val="20"/>
        </w:rPr>
        <w:t xml:space="preserve"> changing to per antenna port limits from total radiated power limits. As per comments in the AWL framework section, the ACMA </w:t>
      </w:r>
      <w:r w:rsidR="0010699A">
        <w:rPr>
          <w:rFonts w:cs="Arial"/>
          <w:szCs w:val="20"/>
        </w:rPr>
        <w:t>staff preliminary view is</w:t>
      </w:r>
      <w:r>
        <w:rPr>
          <w:rFonts w:cs="Arial"/>
          <w:szCs w:val="20"/>
        </w:rPr>
        <w:t xml:space="preserve"> to make the change to out of band and spurious emission limits but not in-band limits. </w:t>
      </w:r>
    </w:p>
    <w:p w14:paraId="3422BB87" w14:textId="77777777" w:rsidR="00FA7F33" w:rsidRDefault="00FA7F33" w:rsidP="00FA7F33">
      <w:pPr>
        <w:pStyle w:val="Heading1"/>
      </w:pPr>
      <w:bookmarkStart w:id="143" w:name="_Toc348105641"/>
      <w:bookmarkStart w:id="144" w:name="_Toc94603324"/>
      <w:r w:rsidRPr="00702EA1">
        <w:lastRenderedPageBreak/>
        <w:t>Appendix A</w:t>
      </w:r>
      <w:bookmarkEnd w:id="143"/>
      <w:r>
        <w:t>: Defined geographic areas (remote only definition essential to remote)</w:t>
      </w:r>
      <w:bookmarkEnd w:id="144"/>
    </w:p>
    <w:p w14:paraId="3380FAAB" w14:textId="77777777" w:rsidR="00FA7F33" w:rsidRDefault="00FA7F33" w:rsidP="00FA7F33">
      <w:pPr>
        <w:spacing w:after="80"/>
      </w:pPr>
      <w:r>
        <w:t>The ACMA has defined potential geographical areas for the possible future allocation of the extended 3.4 GHz band. A brief description of each is:</w:t>
      </w:r>
    </w:p>
    <w:p w14:paraId="761D36AD" w14:textId="77777777" w:rsidR="00FA7F33" w:rsidRPr="008337C7" w:rsidRDefault="00FA7F33" w:rsidP="00FA7F33">
      <w:pPr>
        <w:pStyle w:val="ListBullet"/>
        <w:rPr>
          <w:rFonts w:cs="Arial"/>
        </w:rPr>
      </w:pPr>
      <w:r>
        <w:t xml:space="preserve">Metropolitan—covers all capital cities (except Darwin and Hobart). It mirrors the metro areas defined in the </w:t>
      </w:r>
      <w:hyperlink r:id="rId118" w:history="1">
        <w:r w:rsidRPr="008337C7">
          <w:rPr>
            <w:rStyle w:val="Hyperlink"/>
            <w:rFonts w:cs="Arial"/>
          </w:rPr>
          <w:t>Radiocommunications (Spectrum Re-allocation—3.6 GHz Band for Adelaide and Eastern Metropolitan Australia) Declaration 2018</w:t>
        </w:r>
      </w:hyperlink>
      <w:r w:rsidRPr="000464E2">
        <w:rPr>
          <w:rFonts w:cs="Arial"/>
        </w:rPr>
        <w:t xml:space="preserve"> and the </w:t>
      </w:r>
      <w:hyperlink r:id="rId119" w:history="1">
        <w:r w:rsidRPr="008337C7">
          <w:rPr>
            <w:rStyle w:val="Hyperlink"/>
            <w:rFonts w:cs="Arial"/>
            <w:bCs/>
          </w:rPr>
          <w:t>Radiocommunications (Spectrum Re-allocation—3.6 GHz Band for Perth) Declaration 2018</w:t>
        </w:r>
      </w:hyperlink>
      <w:r w:rsidRPr="000464E2">
        <w:rPr>
          <w:rFonts w:cs="Arial"/>
          <w:i/>
        </w:rPr>
        <w:t>.</w:t>
      </w:r>
    </w:p>
    <w:p w14:paraId="59C792C4" w14:textId="77777777" w:rsidR="00FA7F33" w:rsidRDefault="00FA7F33" w:rsidP="00FA7F33">
      <w:pPr>
        <w:pStyle w:val="ListBullet"/>
      </w:pPr>
      <w:r>
        <w:t>Regional—mirrors the regional areas subject to spectrum licensing in the 3.6 GHz band as defined in</w:t>
      </w:r>
      <w:r>
        <w:rPr>
          <w:szCs w:val="20"/>
        </w:rPr>
        <w:t xml:space="preserve"> the </w:t>
      </w:r>
      <w:hyperlink r:id="rId120" w:history="1">
        <w:r w:rsidRPr="00585A42">
          <w:rPr>
            <w:rStyle w:val="Hyperlink"/>
            <w:rFonts w:cs="Arial"/>
          </w:rPr>
          <w:t>Radiocommunications (Spectrum Re-allocation—Regional 1800 MHz Band) Declaration 2015</w:t>
        </w:r>
      </w:hyperlink>
      <w:r>
        <w:t>. This area will be further broken down into high demand and low demand regional areas.</w:t>
      </w:r>
    </w:p>
    <w:p w14:paraId="58565639" w14:textId="69E26569" w:rsidR="00FA7F33" w:rsidRDefault="00FA7F33" w:rsidP="00FA7F33">
      <w:pPr>
        <w:pStyle w:val="ListBullet"/>
      </w:pPr>
      <w:r>
        <w:t>Remote—includes those areas of Australia</w:t>
      </w:r>
      <w:r w:rsidR="00D72AD8">
        <w:t xml:space="preserve"> defined under the Australian Spectrum Map Grid</w:t>
      </w:r>
      <w:r>
        <w:t xml:space="preserve"> not covered by metropolitan and Regional areas. </w:t>
      </w:r>
    </w:p>
    <w:p w14:paraId="0336AD91" w14:textId="77777777" w:rsidR="00FA7F33" w:rsidRDefault="00FA7F33" w:rsidP="00FA7F33">
      <w:pPr>
        <w:pStyle w:val="ListBulletLast"/>
        <w:keepLines/>
      </w:pPr>
      <w:r>
        <w:t>Australia-wide—covers all of Australia but excludes Australian external territories.</w:t>
      </w:r>
    </w:p>
    <w:p w14:paraId="63AD3385" w14:textId="77777777" w:rsidR="00FA7F33" w:rsidRDefault="00FA7F33" w:rsidP="00FA7F33">
      <w:pPr>
        <w:pStyle w:val="ListBulletLast"/>
        <w:keepLines/>
        <w:numPr>
          <w:ilvl w:val="0"/>
          <w:numId w:val="0"/>
        </w:numPr>
      </w:pPr>
      <w:r>
        <w:t>As per previous discussions, the Regional area is likely to be further segregated into “major regional areas” and “other regional areas”. Different allocations may be developed in these two areas.</w:t>
      </w:r>
    </w:p>
    <w:p w14:paraId="069E56BB" w14:textId="77777777" w:rsidR="00FA7F33" w:rsidRPr="00776DBC" w:rsidRDefault="00FA7F33" w:rsidP="00FA7F33">
      <w:pPr>
        <w:rPr>
          <w:szCs w:val="20"/>
        </w:rPr>
      </w:pPr>
      <w:r>
        <w:t>The Australian Spectrum Map Grid (</w:t>
      </w:r>
      <w:r w:rsidRPr="00577B3E">
        <w:t>ASMG</w:t>
      </w:r>
      <w:r>
        <w:t xml:space="preserve">) is used to define geographical areas over which spectrum licences are issued. </w:t>
      </w:r>
      <w:r w:rsidRPr="00577B3E">
        <w:t xml:space="preserve">The Hierarchical Cell Identification Scheme (HCIS) is a naming convention developed by the ACMA that applies unique ‘names’ to each of the cells </w:t>
      </w:r>
      <w:r>
        <w:t>that make up</w:t>
      </w:r>
      <w:r w:rsidRPr="00577B3E">
        <w:t xml:space="preserve"> the</w:t>
      </w:r>
      <w:r>
        <w:t xml:space="preserve"> ASMG</w:t>
      </w:r>
      <w:r w:rsidRPr="00577B3E">
        <w:t>.</w:t>
      </w:r>
      <w:r>
        <w:t xml:space="preserve"> The ASMG and HCIS are described in detail in the document </w:t>
      </w:r>
      <w:hyperlink r:id="rId121" w:history="1">
        <w:r w:rsidRPr="00776DBC">
          <w:rPr>
            <w:rStyle w:val="Hyperlink"/>
            <w:rFonts w:cs="Arial"/>
            <w:i/>
          </w:rPr>
          <w:t>The Australia</w:t>
        </w:r>
        <w:r>
          <w:rPr>
            <w:rStyle w:val="Hyperlink"/>
            <w:rFonts w:cs="Arial"/>
            <w:i/>
          </w:rPr>
          <w:t>n</w:t>
        </w:r>
        <w:r w:rsidRPr="00776DBC">
          <w:rPr>
            <w:rStyle w:val="Hyperlink"/>
            <w:rFonts w:cs="Arial"/>
            <w:i/>
          </w:rPr>
          <w:t xml:space="preserve"> spectrum map grid 2012</w:t>
        </w:r>
      </w:hyperlink>
      <w:r>
        <w:t>.</w:t>
      </w:r>
    </w:p>
    <w:p w14:paraId="0371ED26" w14:textId="77777777" w:rsidR="00FA7F33" w:rsidRDefault="00FA7F33" w:rsidP="00FA7F33">
      <w:pPr>
        <w:rPr>
          <w:rStyle w:val="Hyperlink"/>
        </w:rPr>
      </w:pPr>
      <w:r w:rsidRPr="006006B1">
        <w:t xml:space="preserve">The HCIS coordinates </w:t>
      </w:r>
      <w:r>
        <w:t xml:space="preserve">in </w:t>
      </w:r>
      <w:r>
        <w:fldChar w:fldCharType="begin"/>
      </w:r>
      <w:r>
        <w:instrText xml:space="preserve"> REF _Ref29365178 \h </w:instrText>
      </w:r>
      <w:r>
        <w:fldChar w:fldCharType="separate"/>
      </w:r>
      <w:r>
        <w:t xml:space="preserve">Table 2: </w:t>
      </w:r>
      <w:r w:rsidRPr="00A45C92">
        <w:t>HCIS description of areas</w:t>
      </w:r>
      <w:r>
        <w:fldChar w:fldCharType="end"/>
      </w:r>
      <w:r>
        <w:t xml:space="preserve"> </w:t>
      </w:r>
      <w:r w:rsidRPr="006006B1">
        <w:t xml:space="preserve">can be converted into a </w:t>
      </w:r>
      <w:r w:rsidRPr="00C650D6">
        <w:t>Placemark</w:t>
      </w:r>
      <w:r>
        <w:t xml:space="preserve"> file (viewable in Google Earth)</w:t>
      </w:r>
      <w:r w:rsidRPr="00C650D6">
        <w:t xml:space="preserve"> </w:t>
      </w:r>
      <w:r w:rsidRPr="006006B1">
        <w:t xml:space="preserve">through a facility on the </w:t>
      </w:r>
      <w:hyperlink r:id="rId122" w:history="1">
        <w:r w:rsidRPr="00DB6F54">
          <w:rPr>
            <w:rStyle w:val="Hyperlink"/>
          </w:rPr>
          <w:t>ACMA website</w:t>
        </w:r>
      </w:hyperlink>
      <w:r>
        <w:t>.</w:t>
      </w:r>
      <w:r w:rsidRPr="00C650D6">
        <w:t xml:space="preserve"> </w:t>
      </w:r>
    </w:p>
    <w:p w14:paraId="44A37A89" w14:textId="77777777" w:rsidR="00FA7F33" w:rsidRDefault="00FA7F33" w:rsidP="00FA7F33">
      <w:pPr>
        <w:pStyle w:val="ACMAFigureHeader"/>
        <w:keepNext/>
        <w:keepLines/>
        <w:numPr>
          <w:ilvl w:val="0"/>
          <w:numId w:val="0"/>
        </w:numPr>
      </w:pPr>
      <w:r>
        <w:lastRenderedPageBreak/>
        <w:t>Figure 1:</w:t>
      </w:r>
      <w:r>
        <w:tab/>
        <w:t>Extended 3.4 GHz</w:t>
      </w:r>
      <w:r w:rsidRPr="0074333B">
        <w:t xml:space="preserve"> band geographical area descriptions</w:t>
      </w:r>
    </w:p>
    <w:p w14:paraId="4EA0A84B" w14:textId="52B3931F" w:rsidR="00FA7F33" w:rsidRDefault="00FA7F33" w:rsidP="00FA7F33">
      <w:pPr>
        <w:keepNext/>
        <w:rPr>
          <w:noProof/>
        </w:rPr>
      </w:pPr>
      <w:r w:rsidRPr="006D66EB">
        <w:rPr>
          <w:noProof/>
        </w:rPr>
        <w:t xml:space="preserve"> </w:t>
      </w:r>
      <w:r w:rsidR="00D400EA">
        <w:rPr>
          <w:noProof/>
        </w:rPr>
        <w:drawing>
          <wp:inline distT="0" distB="0" distL="0" distR="0" wp14:anchorId="6911A56F" wp14:editId="079EEF2D">
            <wp:extent cx="5753819" cy="4445690"/>
            <wp:effectExtent l="0" t="0" r="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123">
                      <a:extLst>
                        <a:ext uri="{28A0092B-C50C-407E-A947-70E740481C1C}">
                          <a14:useLocalDpi xmlns:a14="http://schemas.microsoft.com/office/drawing/2010/main" val="0"/>
                        </a:ext>
                      </a:extLst>
                    </a:blip>
                    <a:stretch>
                      <a:fillRect/>
                    </a:stretch>
                  </pic:blipFill>
                  <pic:spPr>
                    <a:xfrm>
                      <a:off x="0" y="0"/>
                      <a:ext cx="5763484" cy="4453158"/>
                    </a:xfrm>
                    <a:prstGeom prst="rect">
                      <a:avLst/>
                    </a:prstGeom>
                  </pic:spPr>
                </pic:pic>
              </a:graphicData>
            </a:graphic>
          </wp:inline>
        </w:drawing>
      </w:r>
    </w:p>
    <w:p w14:paraId="04652CE0" w14:textId="77777777" w:rsidR="00FA7F33" w:rsidRDefault="00FA7F33" w:rsidP="00FA7F33">
      <w:pPr>
        <w:spacing w:after="0" w:line="240" w:lineRule="auto"/>
        <w:rPr>
          <w:noProof/>
        </w:rPr>
      </w:pPr>
      <w:r>
        <w:rPr>
          <w:noProof/>
        </w:rPr>
        <w:br w:type="page"/>
      </w:r>
    </w:p>
    <w:p w14:paraId="387748DE" w14:textId="77777777" w:rsidR="00FA7F33" w:rsidRDefault="00FA7F33" w:rsidP="00FA7F33">
      <w:pPr>
        <w:rPr>
          <w:rFonts w:cs="Arial"/>
          <w:szCs w:val="20"/>
        </w:rPr>
      </w:pPr>
    </w:p>
    <w:p w14:paraId="53334F07" w14:textId="77777777" w:rsidR="00FA7F33" w:rsidRDefault="00FA7F33" w:rsidP="00FA7F33">
      <w:pPr>
        <w:pStyle w:val="ACMATableHeader"/>
        <w:numPr>
          <w:ilvl w:val="0"/>
          <w:numId w:val="0"/>
        </w:numPr>
        <w:ind w:left="964" w:hanging="964"/>
      </w:pPr>
    </w:p>
    <w:p w14:paraId="726BAC56" w14:textId="77777777" w:rsidR="00FA7F33" w:rsidRDefault="00FA7F33" w:rsidP="00FA7F33">
      <w:pPr>
        <w:pStyle w:val="ACMATableHeader"/>
        <w:numPr>
          <w:ilvl w:val="0"/>
          <w:numId w:val="0"/>
        </w:numPr>
        <w:ind w:left="964" w:hanging="964"/>
      </w:pPr>
      <w:bookmarkStart w:id="145" w:name="_Ref29365178"/>
      <w:r>
        <w:t xml:space="preserve">Table 2: </w:t>
      </w:r>
      <w:r w:rsidRPr="00A45C92">
        <w:t>HCIS description of areas</w:t>
      </w:r>
      <w:bookmarkEnd w:id="145"/>
    </w:p>
    <w:tbl>
      <w:tblPr>
        <w:tblStyle w:val="TableGrid"/>
        <w:tblW w:w="9495" w:type="dxa"/>
        <w:tblLayout w:type="fixed"/>
        <w:tblCellMar>
          <w:top w:w="57" w:type="dxa"/>
          <w:bottom w:w="57" w:type="dxa"/>
        </w:tblCellMar>
        <w:tblLook w:val="04A0" w:firstRow="1" w:lastRow="0" w:firstColumn="1" w:lastColumn="0" w:noHBand="0" w:noVBand="1"/>
      </w:tblPr>
      <w:tblGrid>
        <w:gridCol w:w="1130"/>
        <w:gridCol w:w="1460"/>
        <w:gridCol w:w="6905"/>
      </w:tblGrid>
      <w:tr w:rsidR="00FA7F33" w14:paraId="5D5E381A" w14:textId="77777777" w:rsidTr="00B63CAB">
        <w:trPr>
          <w:tblHeader/>
        </w:trPr>
        <w:tc>
          <w:tcPr>
            <w:tcW w:w="1130"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27BF558E" w14:textId="77777777" w:rsidR="00FA7F33" w:rsidRPr="004346FA" w:rsidRDefault="00FA7F33" w:rsidP="00B63CAB">
            <w:pPr>
              <w:pStyle w:val="TableHeading0"/>
              <w:keepNext/>
              <w:rPr>
                <w:color w:val="FFFFFF" w:themeColor="background1"/>
              </w:rPr>
            </w:pPr>
            <w:r w:rsidRPr="004346FA">
              <w:rPr>
                <w:color w:val="FFFFFF" w:themeColor="background1"/>
              </w:rPr>
              <w:t>Area</w:t>
            </w:r>
          </w:p>
        </w:tc>
        <w:tc>
          <w:tcPr>
            <w:tcW w:w="1460"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7241FB3B" w14:textId="77777777" w:rsidR="00FA7F33" w:rsidRPr="004346FA" w:rsidRDefault="00FA7F33" w:rsidP="00B63CAB">
            <w:pPr>
              <w:pStyle w:val="TableHeading0"/>
              <w:keepNext/>
              <w:rPr>
                <w:color w:val="FFFFFF" w:themeColor="background1"/>
              </w:rPr>
            </w:pPr>
            <w:r w:rsidRPr="004346FA">
              <w:rPr>
                <w:color w:val="FFFFFF" w:themeColor="background1"/>
              </w:rPr>
              <w:t>Sub-area name</w:t>
            </w:r>
          </w:p>
        </w:tc>
        <w:tc>
          <w:tcPr>
            <w:tcW w:w="6905"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684FEDAF" w14:textId="77777777" w:rsidR="00FA7F33" w:rsidRPr="004346FA" w:rsidRDefault="00FA7F33" w:rsidP="00B63CAB">
            <w:pPr>
              <w:pStyle w:val="TableHeading0"/>
              <w:keepNext/>
              <w:rPr>
                <w:color w:val="FFFFFF" w:themeColor="background1"/>
              </w:rPr>
            </w:pPr>
            <w:r w:rsidRPr="004346FA">
              <w:rPr>
                <w:color w:val="FFFFFF" w:themeColor="background1"/>
              </w:rPr>
              <w:t>HCIS</w:t>
            </w:r>
          </w:p>
        </w:tc>
      </w:tr>
      <w:tr w:rsidR="00FA7F33" w14:paraId="7A588BCD" w14:textId="77777777" w:rsidTr="00B63CAB">
        <w:tc>
          <w:tcPr>
            <w:tcW w:w="1130" w:type="dxa"/>
            <w:vMerge w:val="restar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hideMark/>
          </w:tcPr>
          <w:p w14:paraId="029B1C02" w14:textId="77777777" w:rsidR="00FA7F33" w:rsidRDefault="00FA7F33" w:rsidP="00B63CAB">
            <w:pPr>
              <w:pStyle w:val="TableBody"/>
              <w:keepNext/>
            </w:pPr>
            <w:r>
              <w:t>Metropolitan</w:t>
            </w:r>
          </w:p>
        </w:tc>
        <w:tc>
          <w:tcPr>
            <w:tcW w:w="1460" w:type="dxa"/>
            <w:tcBorders>
              <w:top w:val="single" w:sz="4" w:space="0" w:color="auto"/>
              <w:left w:val="single" w:sz="4" w:space="0" w:color="auto"/>
              <w:bottom w:val="single" w:sz="4" w:space="0" w:color="auto"/>
              <w:right w:val="single" w:sz="4" w:space="0" w:color="auto"/>
            </w:tcBorders>
            <w:hideMark/>
          </w:tcPr>
          <w:p w14:paraId="138E350C" w14:textId="77777777" w:rsidR="00FA7F33" w:rsidRDefault="00FA7F33" w:rsidP="00B63CAB">
            <w:pPr>
              <w:pStyle w:val="TableBody"/>
              <w:keepNext/>
            </w:pPr>
            <w:r>
              <w:t xml:space="preserve">Adelaide </w:t>
            </w:r>
          </w:p>
        </w:tc>
        <w:tc>
          <w:tcPr>
            <w:tcW w:w="6905" w:type="dxa"/>
            <w:tcBorders>
              <w:top w:val="single" w:sz="4" w:space="0" w:color="auto"/>
              <w:left w:val="single" w:sz="4" w:space="0" w:color="auto"/>
              <w:bottom w:val="single" w:sz="4" w:space="0" w:color="auto"/>
              <w:right w:val="single" w:sz="4" w:space="0" w:color="auto"/>
            </w:tcBorders>
            <w:vAlign w:val="center"/>
            <w:hideMark/>
          </w:tcPr>
          <w:p w14:paraId="5195C94E" w14:textId="77777777" w:rsidR="00FA7F33" w:rsidRDefault="00FA7F33" w:rsidP="00B63CAB">
            <w:pPr>
              <w:pStyle w:val="TableBody"/>
              <w:keepNext/>
            </w:pPr>
            <w:r>
              <w:t>IW3J,IW3K,IW3L,IW3N,IW3O,IW3P,IW6B,IW6C,IW6D,IW6F,IW6G,IW6H,IW3E5,IW3E6,IW3E8,IW3E9,IW3F4,IW3F5,IW3F6,IW3F7,IW3F8,IW3F9,IW3G4,IW3G5,IW3G6,IW3G7,IW3G8,IW3G9,IW3H4,IW3H5,IW3H6,IW3H7,IW3H8,IW3H9,IW3I2,IW3I3,IW3I5,IW3I6,IW3I8,IW3I9,IW3M2,IW3M3,IW3M5,IW3M6,IW3M8,IW3M9,IW6A2,IW6A3,IW6A5,IW6A6,IW6A8,IW6A9,IW6E2,IW6E3,IW6E5,IW6E6,IW6E8,IW6E9,JW1E4,JW1E7,JW1I1,JW1I4,JW1I7,JW1M1,JW1M4</w:t>
            </w:r>
          </w:p>
        </w:tc>
      </w:tr>
      <w:tr w:rsidR="00FA7F33" w14:paraId="1C5CDBB9" w14:textId="77777777" w:rsidTr="00B63CAB">
        <w:tc>
          <w:tcPr>
            <w:tcW w:w="1130" w:type="dxa"/>
            <w:vMerge/>
            <w:tcBorders>
              <w:top w:val="single" w:sz="4" w:space="0" w:color="auto"/>
              <w:left w:val="single" w:sz="4" w:space="0" w:color="auto"/>
              <w:bottom w:val="single" w:sz="4" w:space="0" w:color="auto"/>
              <w:right w:val="single" w:sz="4" w:space="0" w:color="auto"/>
            </w:tcBorders>
            <w:vAlign w:val="center"/>
            <w:hideMark/>
          </w:tcPr>
          <w:p w14:paraId="31F828D7" w14:textId="77777777" w:rsidR="00FA7F33" w:rsidRDefault="00FA7F33" w:rsidP="00B63CAB"/>
        </w:tc>
        <w:tc>
          <w:tcPr>
            <w:tcW w:w="1460" w:type="dxa"/>
            <w:tcBorders>
              <w:top w:val="single" w:sz="4" w:space="0" w:color="auto"/>
              <w:left w:val="single" w:sz="4" w:space="0" w:color="auto"/>
              <w:bottom w:val="single" w:sz="4" w:space="0" w:color="auto"/>
              <w:right w:val="single" w:sz="4" w:space="0" w:color="auto"/>
            </w:tcBorders>
            <w:hideMark/>
          </w:tcPr>
          <w:p w14:paraId="18439334" w14:textId="77777777" w:rsidR="00FA7F33" w:rsidRDefault="00FA7F33" w:rsidP="00B63CAB">
            <w:pPr>
              <w:pStyle w:val="TableBody"/>
            </w:pPr>
            <w:r>
              <w:t xml:space="preserve">Brisbane </w:t>
            </w:r>
          </w:p>
        </w:tc>
        <w:tc>
          <w:tcPr>
            <w:tcW w:w="6905" w:type="dxa"/>
            <w:tcBorders>
              <w:top w:val="single" w:sz="4" w:space="0" w:color="auto"/>
              <w:left w:val="single" w:sz="4" w:space="0" w:color="auto"/>
              <w:bottom w:val="single" w:sz="4" w:space="0" w:color="auto"/>
              <w:right w:val="single" w:sz="4" w:space="0" w:color="auto"/>
            </w:tcBorders>
            <w:vAlign w:val="center"/>
            <w:hideMark/>
          </w:tcPr>
          <w:p w14:paraId="7372F639" w14:textId="77777777" w:rsidR="00FA7F33" w:rsidRDefault="00FA7F33" w:rsidP="00B63CAB">
            <w:pPr>
              <w:pStyle w:val="TableBody"/>
            </w:pPr>
            <w:r>
              <w:t>NT9,NT8C,NT8D,NT8G,NT8H,NT8K,NT8L,NT8O,NT8P,NU3A,NU3B,NU3C,NU3D,NU3F,NU3G,NU3H,NT5O4,NT5O5,NT5O6,NT5O7,NT5O8,NT5O9,NT5P4,NT5P5,NT5P6,NT5P7,NT5P8,NT5P9,NT6M4,NT6M5,NT6M6,NT6M7,NT6M8,NT6M9,NT6N4,NT6N5,NT6N6,NT6N7,NT6N8,NT6N9,NT6O4,NT6O5,NT6O6,NT6O7,NT6O8,NT6O9,NT6P4,NT6P5,NT6P6,NT6P7,NT6P8,NT6P9,NU2C1,NU2C2,NU2C3,NU2D1,NU2D2,NU2D3,NU2D5,NU2D6,NU2D8,NU2D9,NU2H2,NU2H3,NU3E1,NU3E2,NU3E3,NU3E5,NU3E6,NU3E8,NU3E9,NU3I2,NU3I3,NU3J1,NU3J2,NU3J3,NU3K1,NU3K2,NU3K3,NU3L1,NU3L2,NU3L3</w:t>
            </w:r>
          </w:p>
        </w:tc>
      </w:tr>
      <w:tr w:rsidR="00FA7F33" w14:paraId="083C732F" w14:textId="77777777" w:rsidTr="00B63CAB">
        <w:tc>
          <w:tcPr>
            <w:tcW w:w="1130" w:type="dxa"/>
            <w:vMerge/>
            <w:tcBorders>
              <w:top w:val="single" w:sz="4" w:space="0" w:color="auto"/>
              <w:left w:val="single" w:sz="4" w:space="0" w:color="auto"/>
              <w:bottom w:val="single" w:sz="4" w:space="0" w:color="auto"/>
              <w:right w:val="single" w:sz="4" w:space="0" w:color="auto"/>
            </w:tcBorders>
            <w:vAlign w:val="center"/>
            <w:hideMark/>
          </w:tcPr>
          <w:p w14:paraId="31661B27" w14:textId="77777777" w:rsidR="00FA7F33" w:rsidRDefault="00FA7F33" w:rsidP="00B63CAB"/>
        </w:tc>
        <w:tc>
          <w:tcPr>
            <w:tcW w:w="1460" w:type="dxa"/>
            <w:tcBorders>
              <w:top w:val="single" w:sz="4" w:space="0" w:color="auto"/>
              <w:left w:val="single" w:sz="4" w:space="0" w:color="auto"/>
              <w:bottom w:val="single" w:sz="4" w:space="0" w:color="auto"/>
              <w:right w:val="single" w:sz="4" w:space="0" w:color="auto"/>
            </w:tcBorders>
            <w:hideMark/>
          </w:tcPr>
          <w:p w14:paraId="352C83EE" w14:textId="77777777" w:rsidR="00FA7F33" w:rsidRDefault="00FA7F33" w:rsidP="00B63CAB">
            <w:pPr>
              <w:pStyle w:val="TableBody"/>
            </w:pPr>
            <w:r>
              <w:t>Canberra</w:t>
            </w:r>
          </w:p>
        </w:tc>
        <w:tc>
          <w:tcPr>
            <w:tcW w:w="6905" w:type="dxa"/>
            <w:tcBorders>
              <w:top w:val="single" w:sz="4" w:space="0" w:color="auto"/>
              <w:left w:val="single" w:sz="4" w:space="0" w:color="auto"/>
              <w:bottom w:val="single" w:sz="4" w:space="0" w:color="auto"/>
              <w:right w:val="single" w:sz="4" w:space="0" w:color="auto"/>
            </w:tcBorders>
            <w:vAlign w:val="bottom"/>
            <w:hideMark/>
          </w:tcPr>
          <w:p w14:paraId="07CE165C" w14:textId="77777777" w:rsidR="00FA7F33" w:rsidRDefault="00FA7F33" w:rsidP="00B63CAB">
            <w:pPr>
              <w:pStyle w:val="TableBody"/>
            </w:pPr>
            <w:r>
              <w:t>MW4D,MW4H,MW4L,MW5A,MW5B,MW5E,MW5F,MW5I,MW5J,MW1P4,MW1P5,MW1P6,MW1P7,MW1P8,MW1P9,MW2M4,MW2M5,MW2M6,MW2M7,MW2M8,MW2M9,MW2N4,MW2N5,MW2N6,MW2N7,MW2N8,MW2N9,MW4P1,MW4P2,MW4P3,MW5M1,MW5M2,MW5M3,MW5N1,MW5N2,MW5N3</w:t>
            </w:r>
          </w:p>
        </w:tc>
      </w:tr>
      <w:tr w:rsidR="00FA7F33" w14:paraId="64308776" w14:textId="77777777" w:rsidTr="00B63CAB">
        <w:trPr>
          <w:trHeight w:val="1772"/>
        </w:trPr>
        <w:tc>
          <w:tcPr>
            <w:tcW w:w="1130" w:type="dxa"/>
            <w:vMerge/>
            <w:tcBorders>
              <w:top w:val="single" w:sz="4" w:space="0" w:color="auto"/>
              <w:left w:val="single" w:sz="4" w:space="0" w:color="auto"/>
              <w:bottom w:val="single" w:sz="4" w:space="0" w:color="auto"/>
              <w:right w:val="single" w:sz="4" w:space="0" w:color="auto"/>
            </w:tcBorders>
            <w:vAlign w:val="center"/>
            <w:hideMark/>
          </w:tcPr>
          <w:p w14:paraId="121B888D" w14:textId="77777777" w:rsidR="00FA7F33" w:rsidRDefault="00FA7F33" w:rsidP="00B63CAB"/>
        </w:tc>
        <w:tc>
          <w:tcPr>
            <w:tcW w:w="1460" w:type="dxa"/>
            <w:tcBorders>
              <w:top w:val="single" w:sz="4" w:space="0" w:color="auto"/>
              <w:left w:val="single" w:sz="4" w:space="0" w:color="auto"/>
              <w:bottom w:val="single" w:sz="4" w:space="0" w:color="auto"/>
              <w:right w:val="single" w:sz="4" w:space="0" w:color="auto"/>
            </w:tcBorders>
            <w:hideMark/>
          </w:tcPr>
          <w:p w14:paraId="45523EB9" w14:textId="77777777" w:rsidR="00FA7F33" w:rsidRDefault="00FA7F33" w:rsidP="00B63CAB">
            <w:pPr>
              <w:pStyle w:val="TableBody"/>
            </w:pPr>
            <w:r>
              <w:t xml:space="preserve">Melbourne </w:t>
            </w:r>
          </w:p>
        </w:tc>
        <w:tc>
          <w:tcPr>
            <w:tcW w:w="6905" w:type="dxa"/>
            <w:tcBorders>
              <w:top w:val="single" w:sz="4" w:space="0" w:color="auto"/>
              <w:left w:val="single" w:sz="4" w:space="0" w:color="auto"/>
              <w:bottom w:val="single" w:sz="4" w:space="0" w:color="auto"/>
              <w:right w:val="single" w:sz="4" w:space="0" w:color="auto"/>
            </w:tcBorders>
            <w:hideMark/>
          </w:tcPr>
          <w:p w14:paraId="7F3D0D34" w14:textId="77777777" w:rsidR="00FA7F33" w:rsidRDefault="00FA7F33" w:rsidP="00B63CAB">
            <w:pPr>
              <w:pStyle w:val="TableBody"/>
            </w:pPr>
            <w:r>
              <w:t>KX3J,KX3K,KX3L,KX3N,KX3O,KX3P,KX6A,KX6B,KX6C,KX6D,KX6E,KX6F,KX6G,KX6H,KX6I,KX6J,KX6K,KX6L,LX1I,LX1M,LX1N,LX1O,LX4A,LX4B,LX4C,LX4E,LX4I,KX3E9,KX3F5,KX3F6,KX3F7,KX3F8,KX3F9,KX3G1,KX3G2,KX3G4,KX3G5,KX3G6,KX3G7,KX3G8,KX3G9,KX3H4,KX3H5,KX3H6,KX3H7,KX3H8,KX3H9,KX3I3,KX3I6,KX3I8,KX3I9,KX3M2,KX3M3,KX3M4,KX3M5,KX3M6,KX3M7,KX3M8,KX3M9,LX1E4,LX1E7,LX1E8,LX1E9,LX1J1,LX1J4,LX1J5,LX1J6,LX1J7,LX1J8,LX1J9,LX1K4,LX1K7,LX4F1,LX4F2,LX4F4,LX4F5,LX4F7,LX4F8,LX4J1,LX4J2,LX4J4,LX4J5,LX4J7,LX4J8</w:t>
            </w:r>
          </w:p>
        </w:tc>
      </w:tr>
      <w:tr w:rsidR="00FA7F33" w14:paraId="6A5BA9E5" w14:textId="77777777" w:rsidTr="00B63CAB">
        <w:tc>
          <w:tcPr>
            <w:tcW w:w="1130" w:type="dxa"/>
            <w:vMerge/>
            <w:tcBorders>
              <w:top w:val="single" w:sz="4" w:space="0" w:color="auto"/>
              <w:left w:val="single" w:sz="4" w:space="0" w:color="auto"/>
              <w:bottom w:val="single" w:sz="4" w:space="0" w:color="auto"/>
              <w:right w:val="single" w:sz="4" w:space="0" w:color="auto"/>
            </w:tcBorders>
            <w:vAlign w:val="center"/>
            <w:hideMark/>
          </w:tcPr>
          <w:p w14:paraId="34C9B892" w14:textId="77777777" w:rsidR="00FA7F33" w:rsidRDefault="00FA7F33" w:rsidP="00B63CAB"/>
        </w:tc>
        <w:tc>
          <w:tcPr>
            <w:tcW w:w="1460" w:type="dxa"/>
            <w:tcBorders>
              <w:top w:val="single" w:sz="4" w:space="0" w:color="auto"/>
              <w:left w:val="single" w:sz="4" w:space="0" w:color="auto"/>
              <w:bottom w:val="single" w:sz="4" w:space="0" w:color="auto"/>
              <w:right w:val="single" w:sz="4" w:space="0" w:color="auto"/>
            </w:tcBorders>
            <w:hideMark/>
          </w:tcPr>
          <w:p w14:paraId="39BA98CC" w14:textId="77777777" w:rsidR="00FA7F33" w:rsidRDefault="00FA7F33" w:rsidP="00B63CAB">
            <w:pPr>
              <w:pStyle w:val="TableBody"/>
            </w:pPr>
            <w:r>
              <w:t xml:space="preserve">Perth </w:t>
            </w:r>
          </w:p>
        </w:tc>
        <w:tc>
          <w:tcPr>
            <w:tcW w:w="6905" w:type="dxa"/>
            <w:tcBorders>
              <w:top w:val="single" w:sz="4" w:space="0" w:color="auto"/>
              <w:left w:val="single" w:sz="4" w:space="0" w:color="auto"/>
              <w:bottom w:val="single" w:sz="4" w:space="0" w:color="auto"/>
              <w:right w:val="single" w:sz="4" w:space="0" w:color="auto"/>
            </w:tcBorders>
            <w:vAlign w:val="center"/>
            <w:hideMark/>
          </w:tcPr>
          <w:p w14:paraId="4684A931" w14:textId="77777777" w:rsidR="00FA7F33" w:rsidRDefault="00FA7F33" w:rsidP="00B63CAB">
            <w:pPr>
              <w:pStyle w:val="TableBody"/>
            </w:pPr>
            <w:r>
              <w:t>BV1I,BV1J,BV1K,BV1L,BV1M,BV1N,BV1O,BV1P,BV2I,BV2J,BV2M,BV2N,BV4A,BV4B,BV4C,BV4D,BV4E,BV4F,BV4G,BV4H,BV4I,BV4J,BV4K,BV4L,BV5A,BV5B,BV5E,BV5F,BV5I,BV5J,BV1E7,BV1E8,BV1E9,BV1F7,BV1F8,BV1F9,BV1G7,BV1G8,BV1G9,BV1H7,BV1H8,BV1H9,BV2E7,BV2E8,BV2E9,BV2F7,BV2F8,BV2F9,BV4M1,BV4M2,BV4M3,BV4N1,BV4N2,BV4N3,BV4O1,BV4O2,BV4O3,BV4P1,BV4P2,BV4P3,BV5M1,BV5M2,BV5M3,BV5N1,BV5N2,BV5N3</w:t>
            </w:r>
          </w:p>
        </w:tc>
      </w:tr>
      <w:tr w:rsidR="00FA7F33" w14:paraId="7CAE7C6B" w14:textId="77777777" w:rsidTr="00B63CAB">
        <w:tc>
          <w:tcPr>
            <w:tcW w:w="1130" w:type="dxa"/>
            <w:vMerge/>
            <w:tcBorders>
              <w:top w:val="single" w:sz="4" w:space="0" w:color="auto"/>
              <w:left w:val="single" w:sz="4" w:space="0" w:color="auto"/>
              <w:bottom w:val="single" w:sz="4" w:space="0" w:color="auto"/>
              <w:right w:val="single" w:sz="4" w:space="0" w:color="auto"/>
            </w:tcBorders>
            <w:vAlign w:val="center"/>
            <w:hideMark/>
          </w:tcPr>
          <w:p w14:paraId="5991A203" w14:textId="77777777" w:rsidR="00FA7F33" w:rsidRDefault="00FA7F33" w:rsidP="00B63CAB"/>
        </w:tc>
        <w:tc>
          <w:tcPr>
            <w:tcW w:w="1460" w:type="dxa"/>
            <w:tcBorders>
              <w:top w:val="single" w:sz="4" w:space="0" w:color="auto"/>
              <w:left w:val="single" w:sz="4" w:space="0" w:color="auto"/>
              <w:bottom w:val="single" w:sz="4" w:space="0" w:color="auto"/>
              <w:right w:val="single" w:sz="4" w:space="0" w:color="auto"/>
            </w:tcBorders>
            <w:hideMark/>
          </w:tcPr>
          <w:p w14:paraId="4301358A" w14:textId="77777777" w:rsidR="00FA7F33" w:rsidRDefault="00FA7F33" w:rsidP="00B63CAB">
            <w:pPr>
              <w:pStyle w:val="TableBody"/>
            </w:pPr>
            <w:r>
              <w:t xml:space="preserve">Sydney </w:t>
            </w:r>
          </w:p>
        </w:tc>
        <w:tc>
          <w:tcPr>
            <w:tcW w:w="6905" w:type="dxa"/>
            <w:tcBorders>
              <w:top w:val="single" w:sz="4" w:space="0" w:color="auto"/>
              <w:left w:val="single" w:sz="4" w:space="0" w:color="auto"/>
              <w:bottom w:val="single" w:sz="4" w:space="0" w:color="auto"/>
              <w:right w:val="single" w:sz="4" w:space="0" w:color="auto"/>
            </w:tcBorders>
            <w:vAlign w:val="center"/>
            <w:hideMark/>
          </w:tcPr>
          <w:p w14:paraId="206FD0EB" w14:textId="77777777" w:rsidR="00FA7F33" w:rsidRDefault="00FA7F33" w:rsidP="00B63CAB">
            <w:pPr>
              <w:pStyle w:val="TableBody"/>
            </w:pPr>
            <w:r>
              <w:t>MV9I,MV9J,MV9K,MV9L,MV9M,MV9N,MV9O,MV9P,MW3C,MW3D,MW3G,MW3H,MW3K,MW3L,NV4N,NV4O,NV4P,NV5M,NV5N,NV5O,NV5P,NV7B,NV7C,NV7D,NV7E,NV7F,NV7G,NV7H,NV7I,NV7J,NV7K,NV7L,NV7M,NV7N,NV7O,NV7P,NW1A,NW1B,NW1C,NW1D,NW1E,NW1F,NW1G,NW1H,NW1I,NW1J,NW1K,NW1L,MV9D6,MV9D9,MV9E4,MV9E5,MV9E6,MV9E7,MV9E8,MV9E9,MV9F4,MV9F5,MV9F6,MV9F7,MV9F8,MV9F9,MV9G4,MV9G5,MV9G6,MV9G7,MV9G8,MV9G9,MV9H3,MV9H4,MV9H5,MV9H6,MV9H7,MV9H8,MV9H9,MW3B2,MW3B3,MW3B5,MW3B6,MW3B8,MW3B9,MW3F2,MW3F3,MW3F5,MW3F6,MW3F8,MW3F9,MW3J2,MW3J3,MW3O1,MW3O2,MW3O3,MW3P1,MW3P2,MW3P3,NV4I5,NV4I6,NV4I8,NV4I9,NV4J4,NV4J5,NV4J6,NV4J7,NV4J8,NV4J9,NV4K4,NV4K5,NV4K6,NV4K7,NV4K8,NV4K9,NV4L4,NV4L5,NV4L6,NV4L7,NV4L8,NV4L9,NV4M2,NV4</w:t>
            </w:r>
            <w:r>
              <w:lastRenderedPageBreak/>
              <w:t>M3,NV4M5,NV4M6,NV4M8,NV4M9,NV5I4,NV5I5,NV5I6,NV5I7,NV5I8,NV5I9,NV5J4,NV5J5,NV5J6,NV5J7,NV5J8,NV5J9,NV5K4,NV5K5,NV5K6,NV5K7,NV5K8,NV5K9,NV5L4,NV5L5,NV5L6,NV5L7,NV5L8,NV5L9,NV7A2,NV7A3,NV7A4,NV7A5,NV7A6,NV7A7,NV7A8,NV7A9,NW1M1,NW1M2,NW1M3,NW1N1,NW1N2,NW1N3,NW1O1,NW1O2,NW1O3,NW1P1,NW1P2,NW1P3</w:t>
            </w:r>
          </w:p>
        </w:tc>
      </w:tr>
      <w:tr w:rsidR="00FA7F33" w14:paraId="374BFDA6" w14:textId="77777777" w:rsidTr="00B63CAB">
        <w:tc>
          <w:tcPr>
            <w:tcW w:w="1130" w:type="dxa"/>
            <w:hideMark/>
          </w:tcPr>
          <w:p w14:paraId="4CE805CA" w14:textId="77777777" w:rsidR="00FA7F33" w:rsidRDefault="00FA7F33" w:rsidP="00B63CAB">
            <w:pPr>
              <w:pStyle w:val="TableBody"/>
            </w:pPr>
            <w:r>
              <w:lastRenderedPageBreak/>
              <w:t>Regional</w:t>
            </w:r>
          </w:p>
        </w:tc>
        <w:tc>
          <w:tcPr>
            <w:tcW w:w="1460" w:type="dxa"/>
            <w:hideMark/>
          </w:tcPr>
          <w:p w14:paraId="7C32E607" w14:textId="77777777" w:rsidR="00FA7F33" w:rsidRDefault="00FA7F33" w:rsidP="00B63CAB">
            <w:pPr>
              <w:pStyle w:val="TableBody"/>
            </w:pPr>
            <w:r>
              <w:t>-</w:t>
            </w:r>
          </w:p>
        </w:tc>
        <w:tc>
          <w:tcPr>
            <w:tcW w:w="6905" w:type="dxa"/>
            <w:hideMark/>
          </w:tcPr>
          <w:p w14:paraId="47AF9DF8" w14:textId="77777777" w:rsidR="00FA7F33" w:rsidRDefault="00FA7F33" w:rsidP="00B63CAB">
            <w:pPr>
              <w:pStyle w:val="TableBody"/>
            </w:pPr>
            <w:r>
              <w:t>CV,DV,IV,JV,KQ,KV,KW,LR,LV,LW,LY,MS,MT,MU,AU9,AV9,AW3,BU7,BU8,BV3,BV6,BV7,BV8,BV9,BW1,BW2,BW3,BW5,BW6,CW1,CW2,CW3,CW4,DW1,DW2,DW3,EV1,EV2,EV3,EV4,EV5,EV6,EV7,FV1,FV2,FV3,FV4,FV5,GV1,GV2,GV3,GV6,HV1,HV2,HV3,HV4,HV5,HV6,HV8,HV9,HW3,HW6,IW1,IW2,IW4,IW5,IW7,IW8,IW9,JW2,JW3,JW4,JW5,JW6,JW7,JW8,JW9,JX1,JX2,JX3,JX5,JX6,KO1,KO4,KO5,KO7,KO8,KP1,KP2,KP4,KP5,KP6,KP7,KP8,KP9,KX1,KX2,KX4,KX5,KX8,KX9,KY2,KY3,KY6,LP4,LP7,LQ1,LQ2,LQ4,LQ5,LQ7,LQ8,LX2,LX3,LX5,LX6,LX7,LX8,LX9,LZ1,LZ2,LZ3,MR1,MR4,MR5,MR7,MR8,MR9,MV1,MV2,MV3,MV4,MV5,MV6,MV7,MV8,MW6,MW7,MW8,MW9,MX1,MX2,MX3,MX4,MX7,MY1,MY4,MY7,MZ1,NS4,NS7,NS8,NS9,NT1,NT2,NT3,NT4,NT7,NU1,NU4,NU5,NU6,NU7,NU8,NU9,NV1,NV2,NV3,AU6I,AU6J,AU6K,AU6L,AU6M,AU6N,AU6O,AU6P,BU4H,BU4I,BU4J,BU4K,BU4L,BU4M,BU4N,BU4O,BU4P,BU5E,BU5F,BU5G,BU5H,BU5I,BU5J,BU5K,BU5L,BU5M,BU5N,BU5O,BU5P,BU9A,BU9B,BU9E,BU9F,BU9I,BU9J,BU9M,BU9N,BV1A,BV1B,BV1C,BV1D,BV2A,BV2B,BV2C,BV2D,BV2G,BV2H,BV2K,BV2L,BV2O,BV2P,BV5C,BV5D,BV5G,BV5H,BV5K,BV5L,BV5O,BV5P,IW3A,IW3B,IW3C,IW3D,IW6I,IW6J,IW6K,IW6L,IW6M,IW6N,IW6O,IW6P,JW1A,JW1B,JW1C,JW1D,JW1F,JW1G,JW1H,JW1J,JW1K,JW1L,JW1N,JW1O,JW1P,KX3A,KX3B,KX3C,KX3D,KX6M,KX6N,KX6O,KX6P,LX1A,LX1B,LX1C,LX1D,LX1F,LX1G,LX1H,LX1L,LX1P,LX4D,LX4G,LX4H,LX4K,LX4L,LX4M,LX4N,LX4O,LX4P,MV9A,MV9B,MV9C,MW1A,MW1B,MW1C,MW1D,MW1E,MW1F,MW1G,MW1H,MW1I,MW1J,MW1K,MW1L,MW1M,MW1N,MW1O,MW2A,MW2B,MW2C,MW2D,MW2E,MW2F,MW2G,MW2H,MW2I,MW2J,MW2K,MW2L,MW2O,MW2P,MW3A,MW3E,MW3I,MW3M,MW3N,MW4A,MW4B,MW4C,MW4E,MW4F,MW4G,MW4I,MW4J,MW4K,MW4M,MW4N,MW4O,MW5C,MW5D,MW5G,MW5H,MW5K,MW5L,MW5O,MW5P,NT5A,NT5B,NT5C,NT5D,NT5E,NT5F,NT5G,NT5H,NT5I,NT5J,NT5K,NT5L,NT5M,NT5N,NT6A,NT6B,NT6C,NT6D,NT6E,NT6F,NT6G,NT6H,NT6I,NT6J,NT6K,NT6L,NT8A,NT8B,NT8E,NT8F,NT8I,NT8J,NT8M,NT8N,NU2A,NU2B,NU2E,NU2F,NU2G,NU2I,NU2J,NU2K,NU2L,NU2M,NU2N,NU2O,NU2P,NU3M,NU3N,NU3O,NU3P,NV4A,NV4B,NV4C,NV4D,NV4E,NV4F,NV4G,NV4H,NV5A,NV5B,NV5C,NV5D,NV5E,NV5F,NV5G,NV5H,BV1E1,BV1E2,BV1E3,BV1E4,BV1E5,BV1E6,BV1F1,BV1F2,BV1F3,BV1F4,BV1F5,BV1F6,BV1G1,BV1G2,BV1G3,BV1G4,BV1G5,BV1G6,BV1H1,BV1H2,BV1H3,BV1H4,BV1H5,BV1H6,BV2E1,BV2E2,BV2E3,BV2E4,BV2E5,BV2E6,BV2F1,BV2F2,BV2F3,BV2F4,BV2F5,BV2F6,BV4M4,BV4M5,BV4M6,BV4M7,BV4M8,BV4M9,BV4N4,BV4N5,BV4N6,BV4N7,BV4N8,BV4N9,BV4O4,BV4O5,BV4O6,BV4O7,BV4O8,BV4O9,BV4P4,BV4P5,BV4P6,BV4P7,BV4P8,BV4P9,BV5M4,BV5M5,BV5M6,BV5M7,BV5M8,BV5M9,BV5N4,BV5N5,BV5N6,BV5N7,BV5N8,BV5N9,IW3E1,IW3E2,IW3E3,IW3E4,IW3E7,IW3F1,IW3F2,IW3F3,IW3G1,IW3G2,IW3G3,IW3H1,IW3H2,IW3H3,IW3I1,IW3I4,IW3I7,IW3M1,IW3M4,IW3M7,IW6A1,IW6A4,IW6A7,IW6E1,IW6E4,IW6E7,JW1E1,JW1E2,JW1E3,JW1E5,JW1E6,JW1E8,JW1E9,JW1I2,JW1I3,JW1I5,JW1I6,JW1I8,JW1I9,JW1M2,JW1M3,JW1M5,JW1M6,JW1M7,JW1M8,JW1M9,KX3E1,KX3E2,KX3E3,KX3E4,KX3E5,KX3E6,KX3E7,KX3E8,KX3F1,KX3F2,KX3F3,KX3F4,KX3G3,KX3H1,KX3H2,KX3H3,KX3I1,KX3I2,KX3I4,KX3I5,KX3I7,KX3M1,LX1E1,LX1E2,LX1E3,LX1E5,LX1E6,LX1J2,LX1J3,LX1K1,LX1K2,LX1K3,LX1K5,LX1K6,LX1K8,LX1K9,LX4F3,LX4F6,LX4F9,LX4J3,LX4J6,LX4J9,MV9D1,MV9D2,MV9D3,MV9D4,MV9D5,MV9D7,MV9D8,MV9E1,MV9E2,MV9E3,MV9F1,MV9F2,MV9F3,MV9G1,MV9G2,MV9G3,M</w:t>
            </w:r>
            <w:r>
              <w:lastRenderedPageBreak/>
              <w:t>V9H1,MV9H2,MW1P1,MW1P2,MW1P3,MW2M1,MW2M2,MW2M3,MW2N1,MW2N2,MW2N3,MW3B1,MW3B4,MW3B7,MW3F1,MW3F4,MW3F7,MW3J1,MW3J4,MW3J5,MW3J6,MW3J7,MW3J8,MW3J9,MW3O4,MW3O5,MW3O6,MW3O7,MW3O8,MW3O9,MW3P4,MW3P5,MW3P6,MW3P7,MW3P8,MW3P9,MW4P4,MW4P5,MW4P6,MW4P7,MW4P8,MW4P9,MW5M4,MW5M5,MW5M6,MW5M7,MW5M8,MW5M9,MW5N4,MW5N5,MW5N6,MW5N7,MW5N8,MW5N9,NT5O1,NT5O2,NT5O3,NT5P1,NT5P2,NT5P3,NT6M1,NT6M2,NT6M3,NT6N1,NT6N2,NT6N3,NT6O1,NT6O2,NT6O3,NT6P1,NT6P2,NT6P3,NU2C4,NU2C5,NU2C6,NU2C7,NU2C8,NU2C9,NU2D4,NU2D7,NU2H1,NU2H4,NU2H5,NU2H6,NU2H7,NU2H8,NU2H9,NU3E4,NU3E7,NU3I1,NU3I4,NU3I5,NU3I6,NU3I7,NU3I8,NU3I9,NU3J4,NU3J5,NU3J6,NU3J7,NU3J8,NU3J9,NU3K4,NU3K5,NU3K6,NU3K7,NU3K8,NU3K9,NU3L4,NU3L5,NU3L6,NU3L7,NU3L8,NU3L9,NV4I1,NV4I2,NV4I3,NV4I4,NV4I7,NV4J1,NV4J2,NV4J3,NV4K1,NV4K2,NV4K3,NV4L1,NV4L2,NV4L3,NV4M1,NV4M4,NV4M7,NV5I1,NV5I2,NV5I3,NV5J1,NV5J2,NV5J3,NV5K1,NV5K2,NV5K3,NV5L1,NV5L2,NV5L3,NV7A1,NW1M4,NW1M5,NW1M6,NW1M7,NW1M8,NW1M9,NW1N4,NW1N5,NW1N6,NW1N7,NW1N8,NW1N9,NW1O4,NW1O5,NW1O6,NW1O7,NW1O8,NW1O9,NW1P4,NW1P5,NW1P6,NW1P7,NW1P8,NW1P9,MT4H,MT4K,MT4L,MU5G,MU5H,MU5L,MV3G,MV3H,MV3K,MV3L,MT4F9,MT4G2,MT4G3,MT4G4,MT4G5,MT4G6,MT4G7,MT4G8,MT4G9,MT4J3,MT4J6,MT4O1,MT4O2,MT4O3,MT4O6,MT4P1,MT4P2,MT4P3,MT4P4,MT4P5,MT5E4,MT5E7,MT5I1,MT5I2,MT5I4,MT5I5,MT5I7,MT5M1,MU5C8,MU5C9,MU5D7,MU5D8,MU5D9,MU5K1,MU5K2,MU5K3,MU5K4,MU5K5,MU5K6,MU5K8,MU5K9,MU6A7,MU6E1,MU6E2,MU6E4,MU6E5,MU6E7,MU6E8,MU6I1,MU6I2,MU6I4,MU6I5,MU6I7,MV3C8,MV3C9,MV3D7,MV3F3,MV3F5,MV3F6,MV3F8,MV3F9,MV3J2,MV3J3,MV3J5,MV3J6,MV3J9,MV3O1,MV3O2,MV3O3,MV3P1,NU7K4,CV,DV,IV,JV,KQ,KV,KW,LR,LV,LW,LY,MS,AU9,AV9,AW3,BU7,BU8,BV3,BV6,BV7,BV8,BV9,BW1,BW2,BW3,BW5,BW6,CW1,CW2,CW3,CW4,DW1,DW2,DW3,EV1,EV2,EV3,EV4,EV5,EV6,EV7,FV1,FV2,FV3,FV4,FV5,GV1,GV2,GV3,GV6,HV1,HV2,HV3,HV4,HV5,HV6,HV8,HV9,HW3,HW6,IW1,IW2,IW4,IW5,IW7,IW8,IW9,JW2,JW3,JW4,JW5,JW6,JW7,JW8,JW9,JX1,JX2,JX3,JX5,JX6,KO1,KO4,KO5,KO7,KO8,KP1,KP2,KP4,KP5,KP6,KP7,KP8,KP9,KX1,KX2,KX4,KX5,KX8,KX9,KY2,KY3,KY6,LP4,LP7,LQ1,LQ2,LQ4,LQ5,LQ7,LQ8,LX2,LX3,LX5,LX6,LX7,LX8,LX9,LZ1,LZ2,LZ3,MR1,MR4,MR5,MR7,MR8,MR9,MT1,MT2,MT3,MT6,MT7,MT8,MT9,MU1,MU2,MU3,MU4,MU7,MU8,MU9,MV1,MV2,MV4,MV5,MV6,MV7,MV8,MW6,MW7,MW8,MW9,MX1,MX2,MX3,MX4,MX7,MY1,MY4,MY7,MZ1,NS4,NS7,NS8,NS9,NT1,NT2,NT3,NT4,NT7,NU1,NU4,NU5,NU6,NU8,NU9,NV1,NV2,NV3,AU6I,AU6J,AU6K,AU6L,AU6M,AU6N,AU6O,AU6P,BU4H,BU4I,BU4J,BU4K,BU4L,BU4M,BU4N,BU4O,BU4P,BU5E,BU5F,BU5G,BU5H,BU5I,BU5J,BU5K,BU5L,BU5M,BU5N,BU5O,BU5P,BU9A,BU9B,BU9E,BU9F,BU9I,BU9J,BU9M,BU9N,BV1A,BV1B,BV1C,BV1D,BV2A,BV2B,BV2C,BV2D,BV2G,BV2H,BV2K,BV2L,BV2O,BV2P,BV5C,BV5D,BV5G,BV5H,BV5K,BV5L,BV5O,BV5P,IW3A,IW3B,IW3C,IW3D,IW6I,IW6J,IW6K,IW6L,IW6M,IW6N,IW6O,IW6P,JW1A,JW1B,JW1C,JW1D,JW1F,JW1G,JW1H,JW1J,JW1K,JW1L,JW1N,JW1O,JW1P,KX3A,KX3B,KX3C,KX3D,KX6M,KX6N,KX6O,KX6P,LX1A,LX1B,LX1C,LX1D,LX1F,LX1G,LX1H,LX1L,LX1P,LX4D,LX4G,LX4H,LX4K,LX4L,LX4M,LX4N,LX4O,LX4P,MT4A,MT4B,MT4C,MT4D,MT4E,MT4I,MT4M,MT4N,MT5A,MT5B,MT5C,MT5D,MT5F,MT5G,MT5H,MT5J,MT5K,MT5L,MT5N,MT5O,MT5P,MU5A,MU5B,MU5E,MU5F,MU5I,MU5J,MU5M,MU5N,MU5O,MU5P,MU6B,MU6C,MU6D,MU6F,MU6G,MU6H,MU6J,MU6K,MU6L,MU6M,MU6N,MU6O,MU6P,MV3A,MV3B,MV3E,MV3I,MV3M,MV3N,MV9A,MV9B,MV9C,MW1A,MW1B,MW1C,MW1D,MW1E,MW1F,MW1G,MW1H,MW1I,MW1J,MW1K,MW1L,MW1M,MW1N,MW1O,MW2A,MW2B,MW2C,MW2D,MW2E,MW2F,MW2G,MW2H,MW2I,MW2J,MW2K,MW2L,MW2O,MW2P,MW3A,MW3E,MW3I,MW3M</w:t>
            </w:r>
            <w:r>
              <w:lastRenderedPageBreak/>
              <w:t>,MW3N,MW4A,MW4B,MW4C,MW4E,MW4F,MW4G,MW4I,MW4J,MW4K,MW4M,MW4N,MW4O,MW5C,MW5D,MW5G,MW5H,MW5K,MW5L,MW5O,MW5P,NT5A,NT5B,NT5C,NT5D,NT5E,NT5F,NT5G,NT5H,NT5I,NT5J,NT5K,NT5L,NT5M,NT5N,NT6A,NT6B,NT6C,NT6D,NT6E,NT6F,NT6G,NT6H,NT6I,NT6J,NT6K,NT6L,NT8A,NT8B,NT8E,NT8F,NT8I,NT8J,NT8M,NT8N,NU2A,NU2B,NU2E,NU2F,NU2G,NU2I,NU2J,NU2K,NU2L,NU2M,NU2N,NU2O,NU2P,NU3M,NU3N,NU3O,NU3P,NU7A,NU7B,NU7C,NU7D,NU7E,NU7F,NU7G,NU7H,NU7I,NU7J,NU7L,NU7M,NU7N,NU7O,NU7P,NV4A,NV4B,NV4C,NV4D,NV4E,NV4F,NV4G,NV4H,NV5A,NV5B,NV5C,NV5D,NV5E,NV5F,NV5G,NV5H,BV1E1,BV1E2,BV1E3,BV1E4,BV1E5,BV1E6,BV1F1,BV1F2,BV1F3,BV1F4,BV1F5,BV1F6,BV1G1,BV1G2,BV1G3,BV1G4,BV1G5,BV1G6,BV1H1,BV1H2,BV1H3,BV1H4,BV1H5,BV1H6,BV2E1,BV2E2,BV2E3,BV2E4,BV2E5,BV2E6,BV2F1,BV2F2,BV2F3,BV2F4,BV2F5,BV2F6,BV4M4,BV4M5,BV4M6,BV4M7,BV4M8,BV4M9,BV4N4,BV4N5,BV4N6,BV4N7,BV4N8,BV4N9,BV4O4,BV4O5,BV4O6,BV4O7,BV4O8,BV4O9,BV4P4,BV4P5,BV4P6,BV4P7,BV4P8,BV4P9,BV5M4,BV5M5,BV5M6,BV5M7,BV5M8,BV5M9,BV5N4,BV5N5,BV5N6,BV5N7,BV5N8,BV5N9,IW3E1,IW3E2,IW3E3,IW3E4,IW3E7,IW3F1,IW3F2,IW3F3,IW3G1,IW3G2,IW3G3,IW3H1,IW3H2,IW3H3,IW3I1,IW3I4,IW3I7,IW3M1,IW3M4,IW3M7,IW6A1,IW6A4,IW6A7,IW6E1,IW6E4,IW6E7,JW1E1,JW1E2,JW1E3,JW1E5,JW1E6,JW1E8,JW1E9,JW1I2,JW1I3,JW1I5,JW1I6,JW1I8,JW1I9,JW1M2,JW1M3,JW1M5,JW1M6,JW1M7,JW1M8,JW1M9,KX3E1,KX3E2,KX3E3,KX3E4,KX3E5,KX3E6,KX3E7,KX3E8,KX3F1,KX3F2,KX3F3,KX3F4,KX3G3,KX3H1,KX3H2,KX3H3,KX3I1,KX3I2,KX3I4,KX3I5,KX3I7,KX3M1,LX1E1,LX1E2,LX1E3,LX1E5,LX1E6,LX1J2,LX1J3,LX1K1,LX1K2,LX1K3,LX1K5,LX1K6,LX1K8,LX1K9,LX4F3,LX4F6,LX4F9,LX4J3,LX4J6,LX4J9,MT4F1,MT4F2,MT4F3,MT4F4,MT4F5,MT4F6,MT4F7,MT4F8,MT4G1,MT4J1,MT4J2,MT4J4,MT4J5,MT4J7,MT4J8,MT4J9,MT4O4,MT4O5,MT4O7,MT4O8,MT4O9,MT4P6,MT4P7,MT4P8,MT4P9,MT5E1,MT5E2,MT5E3,MT5E5,MT5E6,MT5E8,MT5E9,MT5I3,MT5I6,MT5I8,MT5I9,MT5M2,MT5M3,MT5M4,MT5M5,MT5M6,MT5M7,MT5M8,MT5M9,MU5C1,MU5C2,MU5C3,MU5C4,MU5C5,MU5C6,MU5C7,MU5D1,MU5D2,MU5D3,MU5D4,MU5D5,MU5D6,MU5K7,MU6A1,MU6A2,MU6A3,MU6A4,MU6A5,MU6A6,MU6A8,MU6A9,MU6E3,MU6E6,MU6E9,MU6I3,MU6I6,MU6I8,MU6I9,MV3C1,MV3C2,MV3C3,MV3C4,MV3C5,MV3C6,MV3C7,MV3D1,MV3D2,MV3D3,MV3D4,MV3D5,MV3D6,MV3D8,MV3D9,MV3F1,MV3F2,MV3F4,MV3F7,MV3J1,MV3J4,MV3J7,MV3J8,MV3O4,MV3O5,MV3O6,MV3O7,MV3O8,MV3O9,MV3P2,MV3P3,MV3P4,MV3P5,MV3P6,MV3P7,MV3P8,MV3P9,MV9D1,MV9D2,MV9D3,MV9D4,MV9D5,MV9D7,MV9D8,MV9E1,MV9E2,MV9E3,MV9F1,MV9F2,MV9F3,MV9G1,MV9G2,MV9G3,MV9H1,MV9H2,MW1P1,MW1P2,MW1P3,MW2M1,MW2M2,MW2M3,MW2N1,MW2N2,MW2N3,MW3B1,MW3B4,MW3B7,MW3F1,MW3F4,MW3F7,MW3J1,MW3J4,MW3J5,MW3J6,MW3J7,MW3J8,MW3J9,MW3O4,MW3O5,MW3O6,MW3O7,MW3O8,MW3O9,MW3P4,MW3P5,MW3P6,MW3P7,MW3P8,MW3P9,MW4P4,MW4P5,MW4P6,MW4P7,MW4P8,MW4P9,MW5M4,MW5M5,MW5M6,MW5M7,MW5M8,MW5M9,MW5N4,MW5N5,MW5N6,MW5N7,MW5N8,MW5N9,NT5O1,NT5O2,NT5O3,NT5P1,NT5P2,NT5P3,NT6M1,NT6M2,NT6M3,NT6N1,NT6N2,NT6N3,NT6O1,NT6O2,NT6O3,NT6P1,NT6P2,NT6P3,NU2C4,NU2C5,NU2C6,NU2C7,NU2C8,NU2C9,NU2D4,NU2D7,NU2H1,NU2H4,NU2H5,NU2H6,NU2H7,NU2H8,NU2H9,NU3E4,NU3E7,NU3I1,NU3I4,NU3I5,NU3I6,NU3I7,NU3I8,NU3I9,NU3J4,NU3J5,NU3J6,NU3J7,NU3J8,NU3J9,NU3K4,NU3K5,NU3K6,NU3K7,NU3K8,NU3K9,NU3L4,NU3L5,NU3L6,NU3L7,NU3L8,NU3L9,NU7K1,NU7K2,NU7K3,NU7K5,NU7K6,NU7K7,NU7K8,NU7K9,NV4I1,NV4I2,NV4I3,NV4I4,NV4I7,NV4J1,NV4J2,NV4J3,NV4K1,NV4K2,NV4K3,NV4L1,NV4L2,NV4L3,NV4M1,NV4M4,NV4M7,NV5I1,NV5I2,NV5I3,NV5J1,NV5J2,NV5J3,NV5K1,NV5K2,NV5K3,NV5L1,NV5L2,NV5L3,NV7A1,NW1M4,NW1M5,NW1M6,NW1M7,NW1M8,NW</w:t>
            </w:r>
            <w:r>
              <w:lastRenderedPageBreak/>
              <w:t>1M9,NW1N4,NW1N5,NW1N6,NW1N7,NW1N8,NW1N9,NW1O4,NW1O5,NW1O6,NW1O7,NW1O8,NW1O9,NW1P4,NW1P5,NW1P6,NW1P7,NW1P8,NW1P9</w:t>
            </w:r>
          </w:p>
        </w:tc>
      </w:tr>
      <w:tr w:rsidR="00D72AD8" w14:paraId="65C206D2" w14:textId="77777777" w:rsidTr="00B63CAB">
        <w:tc>
          <w:tcPr>
            <w:tcW w:w="1130" w:type="dxa"/>
          </w:tcPr>
          <w:p w14:paraId="07F6A483" w14:textId="3F7487A0" w:rsidR="00D72AD8" w:rsidRDefault="00D72AD8" w:rsidP="00B63CAB">
            <w:pPr>
              <w:pStyle w:val="TableBody"/>
            </w:pPr>
            <w:r>
              <w:lastRenderedPageBreak/>
              <w:t>Remote</w:t>
            </w:r>
          </w:p>
        </w:tc>
        <w:tc>
          <w:tcPr>
            <w:tcW w:w="1460" w:type="dxa"/>
          </w:tcPr>
          <w:p w14:paraId="1C11D836" w14:textId="197BD483" w:rsidR="00D72AD8" w:rsidRDefault="00D72AD8" w:rsidP="00B63CAB">
            <w:pPr>
              <w:pStyle w:val="TableBody"/>
            </w:pPr>
            <w:r>
              <w:t>-</w:t>
            </w:r>
          </w:p>
        </w:tc>
        <w:tc>
          <w:tcPr>
            <w:tcW w:w="6905" w:type="dxa"/>
          </w:tcPr>
          <w:p w14:paraId="73A03FF1" w14:textId="5695B191" w:rsidR="00D72AD8" w:rsidRDefault="00D72AD8" w:rsidP="00B63CAB">
            <w:pPr>
              <w:pStyle w:val="TableBody"/>
            </w:pPr>
            <w:r w:rsidRPr="004E7313">
              <w:t>BR, BS, BT, CR, CS, CT, CU, DQ, DR, DS, DT, DU, EP, EQ, ER, ES, ET, EU, FP, FQ, FR, FS, FT, FU, GP, GQ, GR, GS, GT, GU, HO, HP, HQ, HR, HS, HT, HU, IO, IP, IQ, IR, IS, IT, IU, JO, JP, JQ, JR, JS, JT, JU, KR, KS, KT, KU, LS, LT, LU, AR8, AR9, AS2, AS3, AS5, AS6, AS8, AS9, AT1, AT2, AT3, AT5, AT6, AT8, AT9, AU2, AU3, BU1, BU2, BU3, BU6, GO3, GO4, GO5, GO6, GO7, GO8, GO9, AU6A, AU6B, AU6C, AU6D, AU6E, AU6F, AU6G, AU6H, BU4A, BU4B, BU4C, BU4D, BU4E, BU4F, BU4G, BU5A, BU5B, BU5C, BU5D, BU9C, BU9D, BU9G, BU9H, BU9K, BU9L, BU9O, BU9P</w:t>
            </w:r>
          </w:p>
        </w:tc>
      </w:tr>
      <w:tr w:rsidR="00FA7F33" w14:paraId="13D6476B" w14:textId="77777777" w:rsidTr="00B63CAB">
        <w:tc>
          <w:tcPr>
            <w:tcW w:w="1130" w:type="dxa"/>
            <w:hideMark/>
          </w:tcPr>
          <w:p w14:paraId="794E98E0" w14:textId="77777777" w:rsidR="00FA7F33" w:rsidRDefault="00FA7F33" w:rsidP="00B63CAB">
            <w:pPr>
              <w:pStyle w:val="TableBody"/>
            </w:pPr>
            <w:r>
              <w:t>Australia-wide</w:t>
            </w:r>
          </w:p>
        </w:tc>
        <w:tc>
          <w:tcPr>
            <w:tcW w:w="1460" w:type="dxa"/>
            <w:hideMark/>
          </w:tcPr>
          <w:p w14:paraId="574BC5D4" w14:textId="77777777" w:rsidR="00FA7F33" w:rsidRDefault="00FA7F33" w:rsidP="00B63CAB">
            <w:pPr>
              <w:pStyle w:val="TableBody"/>
            </w:pPr>
            <w:r>
              <w:t>–</w:t>
            </w:r>
          </w:p>
        </w:tc>
        <w:tc>
          <w:tcPr>
            <w:tcW w:w="6905" w:type="dxa"/>
            <w:hideMark/>
          </w:tcPr>
          <w:p w14:paraId="10F14AFB" w14:textId="77777777" w:rsidR="00FA7F33" w:rsidRDefault="00FA7F33" w:rsidP="00B63CAB">
            <w:pPr>
              <w:pStyle w:val="TableBody"/>
            </w:pPr>
            <w:r>
              <w:t>AR8, AR9, AS2, AS3, AS5, AS6, AS8, AS9, AT1, AT2, AT3, AT5, AT6, AT8, AT9, AU2, AU3, AU6, AU9, AV9, AW3, BR, BS, BT, BU, BV, BW1, BW2, BW3, BW5, BW6, CR, CS, CT, CU, CV, CW1, CW2, CW3, CW4, DQ, DR, DS, DT, DU, DV, DW1, DW2, DW3, EP, EQ, ER, ES, ET, EU, EV1, EV2, EV3, EV4, EV5, EV6, EV7, FP, FQ, FR, FS, FT, FU, FV1, FV2, FV3, FV4, FV5, GO3, GO4, GO5, GO6, GO7, GO8, GO9, GP, GQ, GR, GS, GT, GU, GV1, GV2, GV3, GV6, HO, HP, HQ, HR, HS, HT, HU, HV1, HV2, HV3, HV4, HV5, HV6, HV8, HV9, HW3, HW6, IO, IP, IQ, IR, IS, IT, IU, IV, IW, JO, JP, JQ, JR, JS, JT, JU, JV, JW, JX1, JX2, JX3, JX5, JX6, KO1, KO4, KO5, KO7, KO8, KP1, KP2, KP4, KP5, KP6, KP7, KP8, KP9, KQ, KR, KS, KT, KU, KV, KW, KX1, KX2, KX3, KX4, KX5, KX6, KX8, KX9, KY2, KY3, KY6, LP4, LP7, LQ1, LQ2, LQ4, LQ5, LQ7, LQ8, LR, LS, LT, LU, LV, LW, LX, LY, LZ1, LZ2, LZ3, MR1, MR4, MR5, MR7, MR8, MR9, MS, MT, MU, MV, MW, MX1, MX2, MX3, MX4, MX7, MY1, MY4, MY7, MZ1, NS4, NS7, NS8, NS9, NT, NU, NV1, NV2, NV3, NV4, NV5, NV7, NW1</w:t>
            </w:r>
          </w:p>
        </w:tc>
      </w:tr>
    </w:tbl>
    <w:p w14:paraId="1E7E8B3F" w14:textId="77777777" w:rsidR="00FA7F33" w:rsidRDefault="00FA7F33" w:rsidP="00FA7F33"/>
    <w:p w14:paraId="77B0AC47" w14:textId="77777777" w:rsidR="00FA7F33" w:rsidRDefault="00FA7F33" w:rsidP="00FA7F33">
      <w:pPr>
        <w:spacing w:after="0" w:line="240" w:lineRule="auto"/>
      </w:pPr>
      <w:r>
        <w:br w:type="page"/>
      </w:r>
    </w:p>
    <w:p w14:paraId="4FCE0911" w14:textId="5F081C80" w:rsidR="00FA7F33" w:rsidRPr="00702EA1" w:rsidRDefault="00FA7F33" w:rsidP="00FA7F33">
      <w:pPr>
        <w:pStyle w:val="Heading1"/>
      </w:pPr>
      <w:bookmarkStart w:id="146" w:name="_Ref76372185"/>
      <w:bookmarkStart w:id="147" w:name="_Toc94603325"/>
      <w:r>
        <w:lastRenderedPageBreak/>
        <w:t>Appendix B: Wireless broadband and radio altimeter study</w:t>
      </w:r>
      <w:bookmarkEnd w:id="146"/>
      <w:bookmarkEnd w:id="147"/>
    </w:p>
    <w:p w14:paraId="2E3EB2F5" w14:textId="77777777" w:rsidR="00FA7F33" w:rsidRPr="00702EA1" w:rsidRDefault="00FA7F33" w:rsidP="00FA7F33">
      <w:pPr>
        <w:pStyle w:val="Reportsubtitle"/>
      </w:pPr>
      <w:r>
        <w:t>Existing deployments around airports</w:t>
      </w:r>
    </w:p>
    <w:p w14:paraId="36643C6B" w14:textId="77777777" w:rsidR="00FA7F33" w:rsidRDefault="00FA7F33" w:rsidP="00FA7F33">
      <w:r>
        <w:t>[see attached document]</w:t>
      </w:r>
    </w:p>
    <w:p w14:paraId="3E6E9F6D" w14:textId="77777777" w:rsidR="00FA7F33" w:rsidRDefault="00FA7F33" w:rsidP="00FA7F33">
      <w:pPr>
        <w:spacing w:after="0" w:line="240" w:lineRule="auto"/>
      </w:pPr>
      <w:r>
        <w:br w:type="page"/>
      </w:r>
    </w:p>
    <w:p w14:paraId="34E6E82C" w14:textId="77777777" w:rsidR="00FA7F33" w:rsidRDefault="00FA7F33" w:rsidP="00FA7F33">
      <w:pPr>
        <w:pStyle w:val="Heading1"/>
      </w:pPr>
      <w:bookmarkStart w:id="148" w:name="_Toc94603326"/>
      <w:r>
        <w:lastRenderedPageBreak/>
        <w:t>Appendix C: PTP channel plan options</w:t>
      </w:r>
      <w:bookmarkEnd w:id="148"/>
    </w:p>
    <w:p w14:paraId="1965B614" w14:textId="77777777" w:rsidR="00FA7F33" w:rsidRDefault="00FA7F33" w:rsidP="00FA7F33">
      <w:r>
        <w:t>[see attached document]</w:t>
      </w:r>
    </w:p>
    <w:p w14:paraId="6E06EBCA" w14:textId="77777777" w:rsidR="00FA7F33" w:rsidRDefault="00FA7F33" w:rsidP="00FA7F33">
      <w:pPr>
        <w:spacing w:after="0" w:line="240" w:lineRule="auto"/>
        <w:rPr>
          <w:rFonts w:cs="Arial"/>
          <w:b/>
          <w:bCs/>
          <w:iCs/>
          <w:sz w:val="28"/>
          <w:szCs w:val="28"/>
        </w:rPr>
      </w:pPr>
      <w:r>
        <w:br w:type="page"/>
      </w:r>
    </w:p>
    <w:p w14:paraId="1A908C03" w14:textId="5BAE0DDD" w:rsidR="00FA7F33" w:rsidRDefault="00FA7F33" w:rsidP="00FA7F33">
      <w:pPr>
        <w:pStyle w:val="Heading1"/>
      </w:pPr>
      <w:bookmarkStart w:id="149" w:name="_Ref82433148"/>
      <w:bookmarkStart w:id="150" w:name="_Toc94603327"/>
      <w:r>
        <w:lastRenderedPageBreak/>
        <w:t xml:space="preserve">Appendix D: </w:t>
      </w:r>
      <w:r w:rsidR="00B8490B">
        <w:t>U</w:t>
      </w:r>
      <w:r>
        <w:t>pdated Wireless broadband and radio altimeter study</w:t>
      </w:r>
      <w:bookmarkEnd w:id="149"/>
      <w:bookmarkEnd w:id="150"/>
    </w:p>
    <w:p w14:paraId="36580AA9" w14:textId="77777777" w:rsidR="00FA7F33" w:rsidRDefault="00FA7F33" w:rsidP="00FA7F33">
      <w:r>
        <w:t>[see attached document]</w:t>
      </w:r>
    </w:p>
    <w:p w14:paraId="6A9DB861" w14:textId="77777777" w:rsidR="00FA7F33" w:rsidRDefault="00FA7F33" w:rsidP="00FA7F33">
      <w:pPr>
        <w:spacing w:after="0" w:line="240" w:lineRule="auto"/>
        <w:rPr>
          <w:rFonts w:cs="Arial"/>
          <w:b/>
          <w:bCs/>
          <w:iCs/>
          <w:sz w:val="28"/>
          <w:szCs w:val="28"/>
        </w:rPr>
      </w:pPr>
      <w:r>
        <w:br w:type="page"/>
      </w:r>
    </w:p>
    <w:p w14:paraId="3FB749EA" w14:textId="03545C94" w:rsidR="00FA7F33" w:rsidRDefault="00FA7F33" w:rsidP="00FA7F33">
      <w:pPr>
        <w:pStyle w:val="Heading1"/>
      </w:pPr>
      <w:bookmarkStart w:id="151" w:name="_Ref82174042"/>
      <w:bookmarkStart w:id="152" w:name="_Toc94603328"/>
      <w:r>
        <w:lastRenderedPageBreak/>
        <w:t xml:space="preserve">Appendix E: </w:t>
      </w:r>
      <w:r w:rsidR="00B8490B">
        <w:t>Draft</w:t>
      </w:r>
      <w:r>
        <w:t xml:space="preserve"> AWL Licence Condition Determination</w:t>
      </w:r>
      <w:bookmarkEnd w:id="151"/>
      <w:bookmarkEnd w:id="152"/>
    </w:p>
    <w:p w14:paraId="759B6654" w14:textId="77777777" w:rsidR="00FA7F33" w:rsidRDefault="00FA7F33" w:rsidP="00FA7F33">
      <w:r>
        <w:t>[see attached document]</w:t>
      </w:r>
    </w:p>
    <w:p w14:paraId="65B199ED" w14:textId="77777777" w:rsidR="00FA7F33" w:rsidRDefault="00FA7F33" w:rsidP="00FA7F33">
      <w:pPr>
        <w:spacing w:after="0" w:line="240" w:lineRule="auto"/>
        <w:rPr>
          <w:rFonts w:cs="Arial"/>
          <w:b/>
          <w:bCs/>
          <w:iCs/>
          <w:sz w:val="28"/>
          <w:szCs w:val="28"/>
        </w:rPr>
      </w:pPr>
      <w:r>
        <w:br w:type="page"/>
      </w:r>
    </w:p>
    <w:p w14:paraId="696B0B36" w14:textId="77777777" w:rsidR="00FA7F33" w:rsidRDefault="00FA7F33" w:rsidP="00FA7F33">
      <w:pPr>
        <w:pStyle w:val="Heading1"/>
      </w:pPr>
      <w:bookmarkStart w:id="153" w:name="_Ref82174053"/>
      <w:bookmarkStart w:id="154" w:name="_Toc94603329"/>
      <w:r>
        <w:t>Appendix F: Draft RALI MS47:</w:t>
      </w:r>
      <w:r w:rsidRPr="00FF7B3F">
        <w:t xml:space="preserve"> Frequency coordination and licensing procedures for Area-Wide Licence (AWL) in the 3400–4000 MHz band</w:t>
      </w:r>
      <w:bookmarkEnd w:id="153"/>
      <w:bookmarkEnd w:id="154"/>
      <w:r>
        <w:t xml:space="preserve"> </w:t>
      </w:r>
    </w:p>
    <w:p w14:paraId="4A9A08F5" w14:textId="77777777" w:rsidR="00FA7F33" w:rsidRDefault="00FA7F33" w:rsidP="00FA7F33">
      <w:r>
        <w:t>[see attached document]</w:t>
      </w:r>
    </w:p>
    <w:p w14:paraId="12567FE4" w14:textId="77777777" w:rsidR="00FA7F33" w:rsidRPr="000A6F08" w:rsidRDefault="00FA7F33" w:rsidP="00FA7F33">
      <w:pPr>
        <w:pStyle w:val="sub-heading"/>
      </w:pPr>
    </w:p>
    <w:p w14:paraId="0A9E44B9" w14:textId="77777777" w:rsidR="00EF5B48" w:rsidRDefault="00EF5B48"/>
    <w:sectPr w:rsidR="00EF5B48" w:rsidSect="007F68A0">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35755C" w14:textId="77777777" w:rsidR="00417420" w:rsidRDefault="00417420" w:rsidP="00FA7F33">
      <w:pPr>
        <w:spacing w:after="0" w:line="240" w:lineRule="auto"/>
      </w:pPr>
      <w:r>
        <w:separator/>
      </w:r>
    </w:p>
  </w:endnote>
  <w:endnote w:type="continuationSeparator" w:id="0">
    <w:p w14:paraId="5B083EC1" w14:textId="77777777" w:rsidR="00417420" w:rsidRDefault="00417420" w:rsidP="00FA7F33">
      <w:pPr>
        <w:spacing w:after="0" w:line="240" w:lineRule="auto"/>
      </w:pPr>
      <w:r>
        <w:continuationSeparator/>
      </w:r>
    </w:p>
  </w:endnote>
  <w:endnote w:type="continuationNotice" w:id="1">
    <w:p w14:paraId="7F3391CA" w14:textId="77777777" w:rsidR="00417420" w:rsidRDefault="004174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A88A9" w14:textId="77777777" w:rsidR="00FA7F33" w:rsidRDefault="00FA7F33" w:rsidP="005E250B">
    <w:pPr>
      <w:pStyle w:val="Footer"/>
      <w:jc w:val="right"/>
    </w:pPr>
    <w:r w:rsidRPr="005E250B">
      <w:rPr>
        <w:noProof/>
        <w:vertAlign w:val="subscript"/>
      </w:rPr>
      <w:drawing>
        <wp:inline distT="0" distB="0" distL="0" distR="0" wp14:anchorId="2F45791C" wp14:editId="1743E391">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212F2" w14:textId="77777777" w:rsidR="00FA7F33" w:rsidRDefault="00FA7F3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03E24" w14:textId="77777777" w:rsidR="00FA7F33" w:rsidRDefault="00FA7F3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C521A" w14:textId="77777777" w:rsidR="00FA7F33" w:rsidRPr="00622A3B" w:rsidRDefault="00FA7F33"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49D6767A" w14:textId="77777777" w:rsidR="00FA7F33" w:rsidRPr="00A5474E" w:rsidRDefault="00FA7F33"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E69A2" w14:textId="77777777" w:rsidR="00FA7F33" w:rsidRPr="00622A3B" w:rsidRDefault="00FA7F33"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39F74F22" w14:textId="77777777" w:rsidR="00FA7F33" w:rsidRPr="00A5474E" w:rsidRDefault="00FA7F33"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7EFF1" w14:textId="77777777" w:rsidR="00FA7F33" w:rsidRPr="00622A3B" w:rsidRDefault="00FA7F33"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712CC37E" w14:textId="77777777" w:rsidR="00FA7F33" w:rsidRPr="00A5474E" w:rsidRDefault="00FA7F33"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64AC8A" w14:textId="77777777" w:rsidR="00FA7F33" w:rsidRPr="00473557" w:rsidRDefault="00FA7F33" w:rsidP="00B53EE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83819" w14:textId="77777777" w:rsidR="00FA7F33" w:rsidRPr="00622A3B" w:rsidRDefault="00FA7F33" w:rsidP="00B53EE3">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color w:val="505050"/>
      </w:rPr>
      <w:t>1</w:t>
    </w:r>
    <w:r w:rsidRPr="00575AC5">
      <w:rPr>
        <w:color w:val="505050"/>
      </w:rPr>
      <w:fldChar w:fldCharType="end"/>
    </w:r>
  </w:p>
  <w:p w14:paraId="6BDCCF80" w14:textId="77777777" w:rsidR="00FA7F33" w:rsidRPr="00A5474E" w:rsidRDefault="00FA7F33" w:rsidP="00B53EE3">
    <w:pPr>
      <w:pStyle w:val="Footer"/>
      <w:jc w:val="right"/>
    </w:pPr>
  </w:p>
  <w:p w14:paraId="11115917" w14:textId="77777777" w:rsidR="00FA7F33" w:rsidRPr="00473557" w:rsidRDefault="00FA7F33" w:rsidP="00B53EE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FEAF4" w14:textId="77777777" w:rsidR="00FA7F33" w:rsidRPr="00622A3B" w:rsidRDefault="00FA7F33"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16C55F38" w14:textId="77777777" w:rsidR="00FA7F33" w:rsidRPr="00A5474E" w:rsidRDefault="00FA7F33" w:rsidP="00A5474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351CE" w14:textId="2FCB589E" w:rsidR="00FA7F33" w:rsidRPr="00622A3B" w:rsidRDefault="00FA7F33"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sidR="00F66022" w:rsidRPr="00F66022">
      <w:rPr>
        <w:rFonts w:cs="Arial"/>
      </w:rPr>
      <w:fldChar w:fldCharType="begin"/>
    </w:r>
    <w:r w:rsidR="00F66022" w:rsidRPr="00F66022">
      <w:rPr>
        <w:rFonts w:cs="Arial"/>
      </w:rPr>
      <w:instrText xml:space="preserve"> PAGE   \* MERGEFORMAT </w:instrText>
    </w:r>
    <w:r w:rsidR="00F66022" w:rsidRPr="00F66022">
      <w:rPr>
        <w:rFonts w:cs="Arial"/>
      </w:rPr>
      <w:fldChar w:fldCharType="separate"/>
    </w:r>
    <w:r w:rsidR="00F66022" w:rsidRPr="00F66022">
      <w:rPr>
        <w:rFonts w:cs="Arial"/>
        <w:noProof/>
      </w:rPr>
      <w:t>1</w:t>
    </w:r>
    <w:r w:rsidR="00F66022" w:rsidRPr="00F66022">
      <w:rPr>
        <w:rFonts w:cs="Arial"/>
        <w:noProof/>
      </w:rPr>
      <w:fldChar w:fldCharType="end"/>
    </w:r>
  </w:p>
  <w:p w14:paraId="6A65FE1C" w14:textId="77777777" w:rsidR="00FA7F33" w:rsidRPr="00A5474E" w:rsidRDefault="00FA7F33"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063DF" w14:textId="77777777" w:rsidR="00417420" w:rsidRDefault="00417420" w:rsidP="00FA7F33">
      <w:pPr>
        <w:spacing w:after="0" w:line="240" w:lineRule="auto"/>
      </w:pPr>
      <w:r>
        <w:separator/>
      </w:r>
    </w:p>
  </w:footnote>
  <w:footnote w:type="continuationSeparator" w:id="0">
    <w:p w14:paraId="13F2D51C" w14:textId="77777777" w:rsidR="00417420" w:rsidRDefault="00417420" w:rsidP="00FA7F33">
      <w:pPr>
        <w:spacing w:after="0" w:line="240" w:lineRule="auto"/>
      </w:pPr>
      <w:r>
        <w:continuationSeparator/>
      </w:r>
    </w:p>
  </w:footnote>
  <w:footnote w:type="continuationNotice" w:id="1">
    <w:p w14:paraId="4EA9DA8B" w14:textId="77777777" w:rsidR="00417420" w:rsidRDefault="00417420">
      <w:pPr>
        <w:spacing w:after="0" w:line="240" w:lineRule="auto"/>
      </w:pPr>
    </w:p>
  </w:footnote>
  <w:footnote w:id="2">
    <w:p w14:paraId="593255EB" w14:textId="27137965" w:rsidR="00FA7F33" w:rsidRDefault="00FA7F33" w:rsidP="00FA7F33">
      <w:pPr>
        <w:pStyle w:val="FootnoteText"/>
      </w:pPr>
      <w:r>
        <w:rPr>
          <w:rStyle w:val="FootnoteReference"/>
        </w:rPr>
        <w:footnoteRef/>
      </w:r>
      <w:r>
        <w:t xml:space="preserve"> </w:t>
      </w:r>
      <w:r w:rsidR="00A61712">
        <w:t>T</w:t>
      </w:r>
      <w:r>
        <w:t>he action of allowing existing services to continue under current arrangements while new arrangements are put in place for new services is known as ‘grandfathering’</w:t>
      </w:r>
    </w:p>
  </w:footnote>
  <w:footnote w:id="3">
    <w:p w14:paraId="7B16F26E" w14:textId="77777777" w:rsidR="00FA7F33" w:rsidRDefault="00FA7F33" w:rsidP="00FA7F33">
      <w:pPr>
        <w:pStyle w:val="FootnoteText"/>
      </w:pPr>
      <w:r>
        <w:rPr>
          <w:rStyle w:val="FootnoteReference"/>
        </w:rPr>
        <w:footnoteRef/>
      </w:r>
      <w:r>
        <w:t xml:space="preserve"> The ACMA may review ESPZ arrangements, including assessing whether all of the eastern Australia ESPZs are still required in the band.</w:t>
      </w:r>
    </w:p>
  </w:footnote>
  <w:footnote w:id="4">
    <w:p w14:paraId="3A5F72E7" w14:textId="77777777" w:rsidR="00FA7F33" w:rsidRDefault="00FA7F33" w:rsidP="00FA7F33">
      <w:pPr>
        <w:pStyle w:val="FootnoteText"/>
      </w:pPr>
      <w:r>
        <w:rPr>
          <w:rStyle w:val="FootnoteReference"/>
        </w:rPr>
        <w:footnoteRef/>
      </w:r>
      <w:r>
        <w:t xml:space="preserve"> Further referred to commonly as LA WBB</w:t>
      </w:r>
    </w:p>
  </w:footnote>
  <w:footnote w:id="5">
    <w:p w14:paraId="7AC7D504" w14:textId="77777777" w:rsidR="00FA7F33" w:rsidRDefault="00FA7F33" w:rsidP="00FA7F33">
      <w:pPr>
        <w:pStyle w:val="FootnoteText"/>
      </w:pPr>
      <w:r>
        <w:rPr>
          <w:rStyle w:val="FootnoteReference"/>
        </w:rPr>
        <w:footnoteRef/>
      </w:r>
      <w:r>
        <w:t xml:space="preserve"> Largely, with urban excise areas to be decided.  An ACMA consultation on options for these areas was released in August 2021.</w:t>
      </w:r>
    </w:p>
  </w:footnote>
  <w:footnote w:id="6">
    <w:p w14:paraId="5F43F722" w14:textId="77777777" w:rsidR="00FA7F33" w:rsidRDefault="00FA7F33" w:rsidP="00FA7F33">
      <w:pPr>
        <w:pStyle w:val="FootnoteText"/>
      </w:pPr>
      <w:r>
        <w:rPr>
          <w:rStyle w:val="FootnoteReference"/>
        </w:rPr>
        <w:footnoteRef/>
      </w:r>
      <w:r>
        <w:t xml:space="preserve"> Licensing frameworks for Amateur services are currently being </w:t>
      </w:r>
      <w:hyperlink r:id="rId1" w:history="1">
        <w:r w:rsidRPr="00750E5F">
          <w:rPr>
            <w:rStyle w:val="Hyperlink"/>
          </w:rPr>
          <w:t>reviewed</w:t>
        </w:r>
      </w:hyperlink>
      <w:r>
        <w:t xml:space="preserve"> separately by the ACMA.</w:t>
      </w:r>
    </w:p>
  </w:footnote>
  <w:footnote w:id="7">
    <w:p w14:paraId="4D6CB6C8" w14:textId="77777777" w:rsidR="00FA7F33" w:rsidRDefault="00FA7F33" w:rsidP="00FA7F33">
      <w:pPr>
        <w:pStyle w:val="FootnoteText"/>
      </w:pPr>
      <w:r>
        <w:rPr>
          <w:rStyle w:val="FootnoteReference"/>
        </w:rPr>
        <w:footnoteRef/>
      </w:r>
      <w:r>
        <w:t xml:space="preserve"> This item was expanded in V2 of the TLG paper to include those other spectrum spaces that were proposed to be allocated via Spectrum Licensing across the wider 3400-4000 MHz range.</w:t>
      </w:r>
    </w:p>
  </w:footnote>
  <w:footnote w:id="8">
    <w:p w14:paraId="5FCD89D2" w14:textId="662D3A91" w:rsidR="009B2577" w:rsidRDefault="009B2577">
      <w:pPr>
        <w:pStyle w:val="FootnoteText"/>
      </w:pPr>
      <w:r>
        <w:rPr>
          <w:rStyle w:val="FootnoteReference"/>
        </w:rPr>
        <w:footnoteRef/>
      </w:r>
      <w:r>
        <w:t xml:space="preserve"> It is not possible to offer PMTS Class B licences as there are not complete taxation arrangements across the who 3400-4000 MHz range</w:t>
      </w:r>
    </w:p>
  </w:footnote>
  <w:footnote w:id="9">
    <w:p w14:paraId="01FB13D7" w14:textId="727EE9BE" w:rsidR="00BA4B06" w:rsidRDefault="00BA4B06">
      <w:pPr>
        <w:pStyle w:val="FootnoteText"/>
      </w:pPr>
      <w:r>
        <w:rPr>
          <w:rStyle w:val="FootnoteReference"/>
        </w:rPr>
        <w:footnoteRef/>
      </w:r>
      <w:r>
        <w:t xml:space="preserve"> Also see the FAA website for any subsequent related </w:t>
      </w:r>
      <w:r w:rsidRPr="00BA4B06">
        <w:t>Airworthiness Directives (ADs)</w:t>
      </w:r>
      <w:r>
        <w:t xml:space="preserve"> and </w:t>
      </w:r>
      <w:r w:rsidRPr="00BA4B06">
        <w:t>Notice to Airmen or Notice to Air Missions</w:t>
      </w:r>
      <w:r>
        <w:t xml:space="preserve"> (NOTAMs)</w:t>
      </w:r>
    </w:p>
  </w:footnote>
  <w:footnote w:id="10">
    <w:p w14:paraId="2437BED7" w14:textId="223A2D69" w:rsidR="00795A76" w:rsidRDefault="00795A76">
      <w:pPr>
        <w:pStyle w:val="FootnoteText"/>
      </w:pPr>
      <w:r>
        <w:rPr>
          <w:rStyle w:val="FootnoteReference"/>
        </w:rPr>
        <w:footnoteRef/>
      </w:r>
      <w:r>
        <w:t xml:space="preserve"> As quoted, we would use “equivalent”</w:t>
      </w:r>
    </w:p>
  </w:footnote>
  <w:footnote w:id="11">
    <w:p w14:paraId="75EC13FA" w14:textId="1D062089" w:rsidR="00FE61AE" w:rsidRDefault="00FE61AE">
      <w:pPr>
        <w:pStyle w:val="FootnoteText"/>
      </w:pPr>
      <w:r>
        <w:rPr>
          <w:rStyle w:val="FootnoteReference"/>
        </w:rPr>
        <w:footnoteRef/>
      </w:r>
      <w:r>
        <w:t xml:space="preserve"> Available in French and Dutch only</w:t>
      </w:r>
    </w:p>
  </w:footnote>
  <w:footnote w:id="12">
    <w:p w14:paraId="4E128194" w14:textId="6A55A24F" w:rsidR="008A4A0D" w:rsidRDefault="008A4A0D">
      <w:pPr>
        <w:pStyle w:val="FootnoteText"/>
      </w:pPr>
      <w:r>
        <w:rPr>
          <w:rStyle w:val="FootnoteReference"/>
        </w:rPr>
        <w:footnoteRef/>
      </w:r>
      <w:r>
        <w:t xml:space="preserve"> The range the restriction applies were taken from draft modified ministry direction (the last </w:t>
      </w:r>
      <w:r w:rsidR="00857C34">
        <w:t xml:space="preserve">Japan </w:t>
      </w:r>
      <w:r>
        <w:t xml:space="preserve">reference). The first reference does not have any such range specified on the restriction. </w:t>
      </w:r>
    </w:p>
  </w:footnote>
  <w:footnote w:id="13">
    <w:p w14:paraId="7225FF82" w14:textId="77777777" w:rsidR="00FA7F33" w:rsidRDefault="00FA7F33" w:rsidP="00FA7F33">
      <w:pPr>
        <w:pStyle w:val="FootnoteText"/>
      </w:pPr>
      <w:r>
        <w:rPr>
          <w:rStyle w:val="FootnoteReference"/>
        </w:rPr>
        <w:footnoteRef/>
      </w:r>
      <w:r>
        <w:t xml:space="preserve"> More information is available on the </w:t>
      </w:r>
      <w:hyperlink r:id="rId2" w:history="1">
        <w:r w:rsidRPr="009E021B">
          <w:rPr>
            <w:rStyle w:val="Hyperlink"/>
          </w:rPr>
          <w:t>ACMA website</w:t>
        </w:r>
      </w:hyperlink>
      <w:r>
        <w:t>.</w:t>
      </w:r>
    </w:p>
  </w:footnote>
  <w:footnote w:id="14">
    <w:p w14:paraId="36C819EF" w14:textId="77777777" w:rsidR="00FA7F33" w:rsidRDefault="00FA7F33" w:rsidP="00FA7F33">
      <w:pPr>
        <w:pStyle w:val="FootnoteText"/>
      </w:pPr>
      <w:r>
        <w:rPr>
          <w:rStyle w:val="FootnoteReference"/>
        </w:rPr>
        <w:footnoteRef/>
      </w:r>
      <w:r>
        <w:t xml:space="preserve"> For the purposes of this paper, a restricted cell is considered to be a base station that has some form of restrictions on its operation that limits or reduces the size of the radio coverage to user terminals (e.g., limits on EIRP and antenna heights). It encompasses terms such as micro-cells, small cells, femtocells, etc.</w:t>
      </w:r>
    </w:p>
  </w:footnote>
  <w:footnote w:id="15">
    <w:p w14:paraId="3597BB78" w14:textId="77777777" w:rsidR="00FA7F33" w:rsidRDefault="00FA7F33" w:rsidP="00FA7F33">
      <w:pPr>
        <w:pStyle w:val="FootnoteText"/>
      </w:pPr>
      <w:r>
        <w:rPr>
          <w:rStyle w:val="FootnoteReference"/>
        </w:rPr>
        <w:footnoteRef/>
      </w:r>
      <w:r>
        <w:t xml:space="preserve"> For the purposes of this paper, a macro-cell is considered to refer to a base station within a mobile network that provides radio coverage to user terminals over a large area. They are typically characterised by transmitters with high power and high gain antennas with antennas mounted on towers, masts, roof-tops and other existing structures to support wide-area coverage.</w:t>
      </w:r>
    </w:p>
  </w:footnote>
  <w:footnote w:id="16">
    <w:p w14:paraId="18FFB5AD" w14:textId="77777777" w:rsidR="00FA7F33" w:rsidRDefault="00FA7F33" w:rsidP="00FA7F33">
      <w:pPr>
        <w:pStyle w:val="FootnoteText"/>
      </w:pPr>
      <w:r>
        <w:rPr>
          <w:rStyle w:val="FootnoteReference"/>
        </w:rPr>
        <w:footnoteRef/>
      </w:r>
      <w:r>
        <w:t xml:space="preserve"> </w:t>
      </w:r>
      <w:r w:rsidRPr="00CF535D">
        <w:t xml:space="preserve">In context </w:t>
      </w:r>
      <w:r>
        <w:t xml:space="preserve">of this paper, </w:t>
      </w:r>
      <w:r w:rsidRPr="00CF535D">
        <w:t>a restricted</w:t>
      </w:r>
      <w:r>
        <w:t>-</w:t>
      </w:r>
      <w:r w:rsidRPr="00CF535D">
        <w:t>use band refers to a defined frequency range were either no operation is permitted, or operation is only permitted under certain conditions (e.g.</w:t>
      </w:r>
      <w:r>
        <w:t>,</w:t>
      </w:r>
      <w:r w:rsidRPr="00CF535D">
        <w:t xml:space="preserve"> agreement between operators)</w:t>
      </w:r>
      <w:r>
        <w:t>.</w:t>
      </w:r>
    </w:p>
  </w:footnote>
  <w:footnote w:id="17">
    <w:p w14:paraId="5353C144" w14:textId="7C4C095A" w:rsidR="003B5898" w:rsidRDefault="003B5898">
      <w:pPr>
        <w:pStyle w:val="FootnoteText"/>
      </w:pPr>
      <w:r>
        <w:rPr>
          <w:rStyle w:val="FootnoteReference"/>
        </w:rPr>
        <w:footnoteRef/>
      </w:r>
      <w:r>
        <w:t xml:space="preserve"> Changed from “interference” in TLG V3 as it is more accurate, as there is always a determined acceptable level of interference.</w:t>
      </w:r>
    </w:p>
  </w:footnote>
  <w:footnote w:id="18">
    <w:p w14:paraId="757F7126" w14:textId="0CB8D7C0" w:rsidR="00922708" w:rsidRDefault="00922708">
      <w:pPr>
        <w:pStyle w:val="FootnoteText"/>
      </w:pPr>
      <w:r>
        <w:rPr>
          <w:rStyle w:val="FootnoteReference"/>
        </w:rPr>
        <w:footnoteRef/>
      </w:r>
      <w:r>
        <w:t xml:space="preserve"> </w:t>
      </w:r>
      <w:r w:rsidR="00575620">
        <w:t>This section concerns coexistence between AWL boundaries.  A different section discusses conditions between AWL and SL boundaries.</w:t>
      </w:r>
    </w:p>
  </w:footnote>
  <w:footnote w:id="19">
    <w:p w14:paraId="24E9617A" w14:textId="77777777" w:rsidR="00FA7F33" w:rsidRDefault="00FA7F33" w:rsidP="00FA7F33">
      <w:pPr>
        <w:pStyle w:val="FootnoteText"/>
      </w:pPr>
      <w:r>
        <w:rPr>
          <w:rStyle w:val="FootnoteReference"/>
        </w:rPr>
        <w:footnoteRef/>
      </w:r>
      <w:r>
        <w:t xml:space="preserve"> For licences which have been aggregated over time (i.e. the frequency bandwidth and/or area authorised by the licence has changed), frequency and area boundary conditions will apply at the ‘outer’ boundary of the licence.</w:t>
      </w:r>
    </w:p>
  </w:footnote>
  <w:footnote w:id="20">
    <w:p w14:paraId="284D3E91" w14:textId="77777777" w:rsidR="00FA7F33" w:rsidRPr="008703C4" w:rsidRDefault="00FA7F33" w:rsidP="00FA7F33">
      <w:pPr>
        <w:rPr>
          <w:sz w:val="16"/>
          <w:szCs w:val="16"/>
        </w:rPr>
      </w:pPr>
      <w:r w:rsidRPr="008703C4">
        <w:rPr>
          <w:rStyle w:val="FootnoteReference"/>
          <w:sz w:val="16"/>
          <w:szCs w:val="16"/>
        </w:rPr>
        <w:footnoteRef/>
      </w:r>
      <w:r w:rsidRPr="008703C4">
        <w:rPr>
          <w:sz w:val="16"/>
          <w:szCs w:val="16"/>
        </w:rPr>
        <w:t xml:space="preserve"> These rules are contained in the </w:t>
      </w:r>
      <w:hyperlink r:id="rId3" w:history="1">
        <w:r w:rsidRPr="008703C4">
          <w:rPr>
            <w:rStyle w:val="Hyperlink"/>
            <w:i/>
            <w:sz w:val="16"/>
            <w:szCs w:val="16"/>
          </w:rPr>
          <w:t>Radiocommunications (Trading Rules for Spectrum Licences) Determination 2012</w:t>
        </w:r>
      </w:hyperlink>
      <w:r w:rsidRPr="008703C4">
        <w:rPr>
          <w:i/>
          <w:sz w:val="16"/>
          <w:szCs w:val="16"/>
        </w:rPr>
        <w:t xml:space="preserve"> </w:t>
      </w:r>
      <w:r w:rsidRPr="008703C4">
        <w:rPr>
          <w:sz w:val="16"/>
          <w:szCs w:val="16"/>
        </w:rPr>
        <w:t>(trading determination).</w:t>
      </w:r>
    </w:p>
    <w:p w14:paraId="366611D3" w14:textId="77777777" w:rsidR="00FA7F33" w:rsidRDefault="00FA7F33" w:rsidP="00FA7F33">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69AA1" w14:textId="77777777" w:rsidR="00FA7F33" w:rsidRPr="00A5474E" w:rsidRDefault="00FA7F33" w:rsidP="00A5474E">
    <w:pPr>
      <w:pStyle w:val="Header"/>
    </w:pPr>
    <w:r>
      <w:rPr>
        <w:noProof/>
      </w:rPr>
      <w:drawing>
        <wp:inline distT="0" distB="0" distL="0" distR="0" wp14:anchorId="55B1746F" wp14:editId="13CCB4EC">
          <wp:extent cx="6283434" cy="578076"/>
          <wp:effectExtent l="0" t="0" r="3175"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83434" cy="57807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200F" w14:textId="77777777" w:rsidR="00FA7F33" w:rsidRPr="00A5474E" w:rsidRDefault="00FA7F33"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64BB3B" w14:textId="77777777" w:rsidR="00FA7F33" w:rsidRDefault="00FA7F3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169DE" w14:textId="77777777" w:rsidR="00FA7F33" w:rsidRDefault="00FA7F3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FA7F33" w14:paraId="20CDAABB" w14:textId="77777777" w:rsidTr="00847191">
      <w:trPr>
        <w:trHeight w:hRule="exact" w:val="988"/>
      </w:trPr>
      <w:tc>
        <w:tcPr>
          <w:tcW w:w="7678" w:type="dxa"/>
          <w:shd w:val="clear" w:color="auto" w:fill="auto"/>
        </w:tcPr>
        <w:p w14:paraId="5334848B" w14:textId="77777777" w:rsidR="00FA7F33" w:rsidRDefault="00FA7F33" w:rsidP="00971914">
          <w:pPr>
            <w:pStyle w:val="Header"/>
          </w:pPr>
        </w:p>
      </w:tc>
    </w:tr>
    <w:tr w:rsidR="00FA7F33" w14:paraId="731AD426" w14:textId="77777777" w:rsidTr="00847191">
      <w:tc>
        <w:tcPr>
          <w:tcW w:w="7678" w:type="dxa"/>
          <w:shd w:val="clear" w:color="auto" w:fill="auto"/>
        </w:tcPr>
        <w:p w14:paraId="0D1B806F" w14:textId="77777777" w:rsidR="00FA7F33" w:rsidRDefault="00FA7F33" w:rsidP="00971914">
          <w:pPr>
            <w:pStyle w:val="GridTable31"/>
          </w:pPr>
          <w:r>
            <w:t xml:space="preserve">Contents </w:t>
          </w:r>
          <w:r w:rsidRPr="00915B1C">
            <w:rPr>
              <w:b w:val="0"/>
              <w:spacing w:val="0"/>
              <w:sz w:val="28"/>
              <w:szCs w:val="28"/>
            </w:rPr>
            <w:t>(Continued)</w:t>
          </w:r>
        </w:p>
      </w:tc>
    </w:tr>
    <w:tr w:rsidR="00FA7F33" w14:paraId="10A4AA3D" w14:textId="77777777" w:rsidTr="00847191">
      <w:trPr>
        <w:trHeight w:val="1220"/>
      </w:trPr>
      <w:tc>
        <w:tcPr>
          <w:tcW w:w="7678" w:type="dxa"/>
          <w:shd w:val="clear" w:color="auto" w:fill="auto"/>
        </w:tcPr>
        <w:p w14:paraId="6749ADFD" w14:textId="77777777" w:rsidR="00FA7F33" w:rsidRDefault="00FA7F33" w:rsidP="00971914"/>
      </w:tc>
    </w:tr>
  </w:tbl>
  <w:p w14:paraId="1823AC25" w14:textId="77777777" w:rsidR="00FA7F33" w:rsidRDefault="00FA7F33"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FA7F33" w14:paraId="12E0F5DF" w14:textId="77777777" w:rsidTr="00847191">
      <w:trPr>
        <w:trHeight w:hRule="exact" w:val="988"/>
      </w:trPr>
      <w:tc>
        <w:tcPr>
          <w:tcW w:w="7678" w:type="dxa"/>
          <w:shd w:val="clear" w:color="auto" w:fill="auto"/>
        </w:tcPr>
        <w:p w14:paraId="47C2AFD9" w14:textId="77777777" w:rsidR="00FA7F33" w:rsidRDefault="00FA7F33" w:rsidP="00971914">
          <w:pPr>
            <w:pStyle w:val="Header"/>
          </w:pPr>
        </w:p>
      </w:tc>
    </w:tr>
    <w:tr w:rsidR="00FA7F33" w14:paraId="059972CD" w14:textId="77777777" w:rsidTr="00847191">
      <w:tc>
        <w:tcPr>
          <w:tcW w:w="7678" w:type="dxa"/>
          <w:shd w:val="clear" w:color="auto" w:fill="auto"/>
        </w:tcPr>
        <w:p w14:paraId="5B451DEA" w14:textId="77777777" w:rsidR="00FA7F33" w:rsidRDefault="00FA7F33" w:rsidP="00971914">
          <w:pPr>
            <w:pStyle w:val="GridTable31"/>
          </w:pPr>
          <w:r>
            <w:t xml:space="preserve">Contents </w:t>
          </w:r>
          <w:r w:rsidRPr="00915B1C">
            <w:rPr>
              <w:b w:val="0"/>
              <w:spacing w:val="0"/>
              <w:sz w:val="28"/>
              <w:szCs w:val="28"/>
            </w:rPr>
            <w:t>(Continued)</w:t>
          </w:r>
        </w:p>
      </w:tc>
    </w:tr>
    <w:tr w:rsidR="00FA7F33" w14:paraId="29E4ECC9" w14:textId="77777777" w:rsidTr="00847191">
      <w:trPr>
        <w:trHeight w:val="1220"/>
      </w:trPr>
      <w:tc>
        <w:tcPr>
          <w:tcW w:w="7678" w:type="dxa"/>
          <w:shd w:val="clear" w:color="auto" w:fill="auto"/>
        </w:tcPr>
        <w:p w14:paraId="6AD5DF50" w14:textId="77777777" w:rsidR="00FA7F33" w:rsidRDefault="00FA7F33" w:rsidP="00971914"/>
      </w:tc>
    </w:tr>
  </w:tbl>
  <w:p w14:paraId="4E5CA413" w14:textId="77777777" w:rsidR="00FA7F33" w:rsidRPr="00A5474E" w:rsidRDefault="00FA7F33"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93B9A" w14:textId="77777777" w:rsidR="00FA7F33" w:rsidRDefault="00FA7F3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3342C" w14:textId="77777777" w:rsidR="00FA7F33" w:rsidRDefault="00FA7F3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695C6" w14:textId="77777777" w:rsidR="00FA7F33" w:rsidRDefault="00FA7F3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3BF4C" w14:textId="77777777" w:rsidR="00FA7F33" w:rsidRDefault="00FA7F3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6EBA4AA8"/>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81EA4F9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5CF089F"/>
    <w:multiLevelType w:val="hybridMultilevel"/>
    <w:tmpl w:val="5A5850DA"/>
    <w:lvl w:ilvl="0" w:tplc="1186AFA8">
      <w:start w:val="1"/>
      <w:numFmt w:val="decimal"/>
      <w:pStyle w:val="question"/>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5" w15:restartNumberingAfterBreak="0">
    <w:nsid w:val="0EB55F81"/>
    <w:multiLevelType w:val="hybridMultilevel"/>
    <w:tmpl w:val="884A1BC8"/>
    <w:lvl w:ilvl="0" w:tplc="32204036">
      <w:start w:val="1"/>
      <w:numFmt w:val="decimal"/>
      <w:pStyle w:val="LegislationLvl1"/>
      <w:lvlText w:val="%1"/>
      <w:lvlJc w:val="left"/>
      <w:pPr>
        <w:tabs>
          <w:tab w:val="num" w:pos="1080"/>
        </w:tabs>
        <w:ind w:left="1080" w:hanging="720"/>
      </w:pPr>
      <w:rPr>
        <w:rFonts w:hint="default"/>
      </w:rPr>
    </w:lvl>
    <w:lvl w:ilvl="1" w:tplc="93C69154">
      <w:start w:val="1"/>
      <w:numFmt w:val="decimal"/>
      <w:pStyle w:val="LegislationLvl2"/>
      <w:lvlText w:val="(%2)"/>
      <w:lvlJc w:val="left"/>
      <w:pPr>
        <w:tabs>
          <w:tab w:val="num" w:pos="1440"/>
        </w:tabs>
        <w:ind w:left="1440" w:hanging="360"/>
      </w:pPr>
      <w:rPr>
        <w:rFonts w:hint="default"/>
      </w:rPr>
    </w:lvl>
    <w:lvl w:ilvl="2" w:tplc="BD8A0056">
      <w:start w:val="1"/>
      <w:numFmt w:val="lowerLetter"/>
      <w:pStyle w:val="LegislationLvl3"/>
      <w:lvlText w:val="(%3)"/>
      <w:lvlJc w:val="left"/>
      <w:pPr>
        <w:tabs>
          <w:tab w:val="num" w:pos="2340"/>
        </w:tabs>
        <w:ind w:left="2340" w:hanging="360"/>
      </w:pPr>
      <w:rPr>
        <w:rFonts w:hint="default"/>
      </w:rPr>
    </w:lvl>
    <w:lvl w:ilvl="3" w:tplc="BF665EE0">
      <w:start w:val="1"/>
      <w:numFmt w:val="lowerRoman"/>
      <w:pStyle w:val="LegislationLvl4"/>
      <w:lvlText w:val="(%4)"/>
      <w:lvlJc w:val="right"/>
      <w:pPr>
        <w:tabs>
          <w:tab w:val="num" w:pos="2700"/>
        </w:tabs>
        <w:ind w:left="2700" w:hanging="180"/>
      </w:pPr>
      <w:rPr>
        <w:rFonts w:hint="default"/>
      </w:r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1826747"/>
    <w:multiLevelType w:val="hybridMultilevel"/>
    <w:tmpl w:val="66123D4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2A56770"/>
    <w:multiLevelType w:val="hybridMultilevel"/>
    <w:tmpl w:val="4DD085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2C01379"/>
    <w:multiLevelType w:val="hybridMultilevel"/>
    <w:tmpl w:val="927E64A2"/>
    <w:lvl w:ilvl="0" w:tplc="856E6310">
      <w:start w:val="1"/>
      <w:numFmt w:val="bullet"/>
      <w:lvlText w:val="&gt;"/>
      <w:lvlJc w:val="left"/>
      <w:pPr>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3EE495C"/>
    <w:multiLevelType w:val="hybridMultilevel"/>
    <w:tmpl w:val="1D8498B0"/>
    <w:lvl w:ilvl="0" w:tplc="A332420E">
      <w:start w:val="1"/>
      <w:numFmt w:val="lowerLetter"/>
      <w:pStyle w:val="ACMAletteredlist"/>
      <w:lvlText w:val="%1."/>
      <w:lvlJc w:val="left"/>
      <w:pPr>
        <w:tabs>
          <w:tab w:val="num" w:pos="360"/>
        </w:tabs>
        <w:ind w:left="360" w:hanging="360"/>
      </w:pPr>
    </w:lvl>
    <w:lvl w:ilvl="1" w:tplc="8EDAE56E">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144F4120"/>
    <w:multiLevelType w:val="hybridMultilevel"/>
    <w:tmpl w:val="5240CD66"/>
    <w:lvl w:ilvl="0" w:tplc="55F2986E">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1" w15:restartNumberingAfterBreak="0">
    <w:nsid w:val="186752CC"/>
    <w:multiLevelType w:val="hybridMultilevel"/>
    <w:tmpl w:val="357670EC"/>
    <w:lvl w:ilvl="0" w:tplc="17CC4916">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2" w15:restartNumberingAfterBreak="0">
    <w:nsid w:val="194E7162"/>
    <w:multiLevelType w:val="hybridMultilevel"/>
    <w:tmpl w:val="1E96CAA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EE03C3E"/>
    <w:multiLevelType w:val="hybridMultilevel"/>
    <w:tmpl w:val="BA8ADF1A"/>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2F82D85"/>
    <w:multiLevelType w:val="hybridMultilevel"/>
    <w:tmpl w:val="134A852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E301BF0"/>
    <w:multiLevelType w:val="hybridMultilevel"/>
    <w:tmpl w:val="DC52EC26"/>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7" w15:restartNumberingAfterBreak="0">
    <w:nsid w:val="31461075"/>
    <w:multiLevelType w:val="hybridMultilevel"/>
    <w:tmpl w:val="0C16F1B2"/>
    <w:lvl w:ilvl="0" w:tplc="856E6310">
      <w:start w:val="1"/>
      <w:numFmt w:val="bullet"/>
      <w:lvlText w:val="&gt;"/>
      <w:lvlJc w:val="left"/>
      <w:pPr>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2936509"/>
    <w:multiLevelType w:val="hybridMultilevel"/>
    <w:tmpl w:val="97D07176"/>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32C5F88"/>
    <w:multiLevelType w:val="hybridMultilevel"/>
    <w:tmpl w:val="66089A9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39C2CF1"/>
    <w:multiLevelType w:val="hybridMultilevel"/>
    <w:tmpl w:val="736C5398"/>
    <w:lvl w:ilvl="0" w:tplc="0C09000F">
      <w:start w:val="1"/>
      <w:numFmt w:val="decimal"/>
      <w:lvlText w:val="%1."/>
      <w:lvlJc w:val="left"/>
      <w:pPr>
        <w:ind w:left="1080" w:hanging="360"/>
      </w:pPr>
    </w:lvl>
    <w:lvl w:ilvl="1" w:tplc="41C6D166">
      <w:numFmt w:val="bullet"/>
      <w:lvlText w:val=""/>
      <w:lvlJc w:val="left"/>
      <w:pPr>
        <w:ind w:left="1800" w:hanging="360"/>
      </w:pPr>
      <w:rPr>
        <w:rFonts w:ascii="Wingdings" w:eastAsia="Times New Roman" w:hAnsi="Wingdings" w:cs="Times New Roman" w:hint="default"/>
      </w:r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1" w15:restartNumberingAfterBreak="0">
    <w:nsid w:val="34E56B7D"/>
    <w:multiLevelType w:val="hybridMultilevel"/>
    <w:tmpl w:val="DB7E1AF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6372499"/>
    <w:multiLevelType w:val="hybridMultilevel"/>
    <w:tmpl w:val="6CB285F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83E60E1"/>
    <w:multiLevelType w:val="hybridMultilevel"/>
    <w:tmpl w:val="D742BC14"/>
    <w:lvl w:ilvl="0" w:tplc="0C090015">
      <w:start w:val="1"/>
      <w:numFmt w:val="upperLetter"/>
      <w:lvlText w:val="%1."/>
      <w:lvlJc w:val="left"/>
      <w:pPr>
        <w:ind w:left="780" w:hanging="360"/>
      </w:pPr>
      <w:rPr>
        <w:rFonts w:hint="default"/>
      </w:rPr>
    </w:lvl>
    <w:lvl w:ilvl="1" w:tplc="0C090003">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24" w15:restartNumberingAfterBreak="0">
    <w:nsid w:val="44C45C9D"/>
    <w:multiLevelType w:val="multilevel"/>
    <w:tmpl w:val="E45E92BC"/>
    <w:lvl w:ilvl="0">
      <w:start w:val="1"/>
      <w:numFmt w:val="upp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79E39DA"/>
    <w:multiLevelType w:val="hybridMultilevel"/>
    <w:tmpl w:val="3528AACE"/>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87E3DCE"/>
    <w:multiLevelType w:val="hybridMultilevel"/>
    <w:tmpl w:val="E0F6CD92"/>
    <w:lvl w:ilvl="0" w:tplc="0004E7EC">
      <w:start w:val="1"/>
      <w:numFmt w:val="bullet"/>
      <w:pStyle w:val="ListParagraph"/>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B541E8A"/>
    <w:multiLevelType w:val="hybridMultilevel"/>
    <w:tmpl w:val="986AA28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EA67A62"/>
    <w:multiLevelType w:val="hybridMultilevel"/>
    <w:tmpl w:val="B9B6FB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2AB292A"/>
    <w:multiLevelType w:val="hybridMultilevel"/>
    <w:tmpl w:val="C198633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48128F1"/>
    <w:multiLevelType w:val="hybridMultilevel"/>
    <w:tmpl w:val="9D6CC212"/>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5AA21F0"/>
    <w:multiLevelType w:val="hybridMultilevel"/>
    <w:tmpl w:val="916686BE"/>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5E2076"/>
    <w:multiLevelType w:val="hybridMultilevel"/>
    <w:tmpl w:val="119AB610"/>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58F751C1"/>
    <w:multiLevelType w:val="hybridMultilevel"/>
    <w:tmpl w:val="2F90066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5A6F11A7"/>
    <w:multiLevelType w:val="hybridMultilevel"/>
    <w:tmpl w:val="DB4A315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D280AEA"/>
    <w:multiLevelType w:val="hybridMultilevel"/>
    <w:tmpl w:val="B8C4BF22"/>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00456F6"/>
    <w:multiLevelType w:val="hybridMultilevel"/>
    <w:tmpl w:val="B6BE2F4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27C7BA5"/>
    <w:multiLevelType w:val="hybridMultilevel"/>
    <w:tmpl w:val="8F8C6A0E"/>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2B175F3"/>
    <w:multiLevelType w:val="hybridMultilevel"/>
    <w:tmpl w:val="7C80DF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30053E5"/>
    <w:multiLevelType w:val="hybridMultilevel"/>
    <w:tmpl w:val="64E4F4BE"/>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4F723C1"/>
    <w:multiLevelType w:val="hybridMultilevel"/>
    <w:tmpl w:val="B49AEAEC"/>
    <w:lvl w:ilvl="0" w:tplc="0C090019">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612086C"/>
    <w:multiLevelType w:val="hybridMultilevel"/>
    <w:tmpl w:val="B40CC2A4"/>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69E00A9C"/>
    <w:multiLevelType w:val="hybridMultilevel"/>
    <w:tmpl w:val="609CB4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6A2A13B1"/>
    <w:multiLevelType w:val="hybridMultilevel"/>
    <w:tmpl w:val="1CF690A2"/>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C3E5510"/>
    <w:multiLevelType w:val="hybridMultilevel"/>
    <w:tmpl w:val="108E9D82"/>
    <w:lvl w:ilvl="0" w:tplc="856E6310">
      <w:start w:val="1"/>
      <w:numFmt w:val="bullet"/>
      <w:lvlText w:val="&gt;"/>
      <w:lvlJc w:val="left"/>
      <w:pPr>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4DD1512"/>
    <w:multiLevelType w:val="hybridMultilevel"/>
    <w:tmpl w:val="FD36B4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754A7A70"/>
    <w:multiLevelType w:val="hybridMultilevel"/>
    <w:tmpl w:val="B7A00F68"/>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764C24BE"/>
    <w:multiLevelType w:val="hybridMultilevel"/>
    <w:tmpl w:val="8040BF9C"/>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7E4B5F1F"/>
    <w:multiLevelType w:val="hybridMultilevel"/>
    <w:tmpl w:val="09684CA2"/>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16"/>
  </w:num>
  <w:num w:numId="6">
    <w:abstractNumId w:val="42"/>
  </w:num>
  <w:num w:numId="7">
    <w:abstractNumId w:val="31"/>
  </w:num>
  <w:num w:numId="8">
    <w:abstractNumId w:val="40"/>
  </w:num>
  <w:num w:numId="9">
    <w:abstractNumId w:val="47"/>
  </w:num>
  <w:num w:numId="10">
    <w:abstractNumId w:val="9"/>
  </w:num>
  <w:num w:numId="11">
    <w:abstractNumId w:val="5"/>
  </w:num>
  <w:num w:numId="12">
    <w:abstractNumId w:val="32"/>
  </w:num>
  <w:num w:numId="13">
    <w:abstractNumId w:val="22"/>
  </w:num>
  <w:num w:numId="14">
    <w:abstractNumId w:val="27"/>
  </w:num>
  <w:num w:numId="15">
    <w:abstractNumId w:val="15"/>
  </w:num>
  <w:num w:numId="16">
    <w:abstractNumId w:val="7"/>
  </w:num>
  <w:num w:numId="17">
    <w:abstractNumId w:val="4"/>
  </w:num>
  <w:num w:numId="18">
    <w:abstractNumId w:val="26"/>
  </w:num>
  <w:num w:numId="19">
    <w:abstractNumId w:val="10"/>
  </w:num>
  <w:num w:numId="20">
    <w:abstractNumId w:val="23"/>
  </w:num>
  <w:num w:numId="21">
    <w:abstractNumId w:val="48"/>
  </w:num>
  <w:num w:numId="22">
    <w:abstractNumId w:val="28"/>
  </w:num>
  <w:num w:numId="23">
    <w:abstractNumId w:val="14"/>
  </w:num>
  <w:num w:numId="24">
    <w:abstractNumId w:val="19"/>
  </w:num>
  <w:num w:numId="25">
    <w:abstractNumId w:val="20"/>
  </w:num>
  <w:num w:numId="26">
    <w:abstractNumId w:val="49"/>
  </w:num>
  <w:num w:numId="27">
    <w:abstractNumId w:val="50"/>
  </w:num>
  <w:num w:numId="28">
    <w:abstractNumId w:val="11"/>
  </w:num>
  <w:num w:numId="29">
    <w:abstractNumId w:val="36"/>
  </w:num>
  <w:num w:numId="30">
    <w:abstractNumId w:val="13"/>
  </w:num>
  <w:num w:numId="31">
    <w:abstractNumId w:val="37"/>
  </w:num>
  <w:num w:numId="32">
    <w:abstractNumId w:val="25"/>
  </w:num>
  <w:num w:numId="33">
    <w:abstractNumId w:val="17"/>
  </w:num>
  <w:num w:numId="34">
    <w:abstractNumId w:val="35"/>
  </w:num>
  <w:num w:numId="35">
    <w:abstractNumId w:val="6"/>
  </w:num>
  <w:num w:numId="36">
    <w:abstractNumId w:val="8"/>
  </w:num>
  <w:num w:numId="37">
    <w:abstractNumId w:val="45"/>
  </w:num>
  <w:num w:numId="38">
    <w:abstractNumId w:val="34"/>
  </w:num>
  <w:num w:numId="39">
    <w:abstractNumId w:val="33"/>
  </w:num>
  <w:num w:numId="40">
    <w:abstractNumId w:val="29"/>
  </w:num>
  <w:num w:numId="41">
    <w:abstractNumId w:val="26"/>
  </w:num>
  <w:num w:numId="42">
    <w:abstractNumId w:val="44"/>
  </w:num>
  <w:num w:numId="43">
    <w:abstractNumId w:val="38"/>
  </w:num>
  <w:num w:numId="44">
    <w:abstractNumId w:val="18"/>
  </w:num>
  <w:num w:numId="45">
    <w:abstractNumId w:val="12"/>
  </w:num>
  <w:num w:numId="46">
    <w:abstractNumId w:val="39"/>
  </w:num>
  <w:num w:numId="47">
    <w:abstractNumId w:val="43"/>
  </w:num>
  <w:num w:numId="48">
    <w:abstractNumId w:val="46"/>
  </w:num>
  <w:num w:numId="49">
    <w:abstractNumId w:val="21"/>
  </w:num>
  <w:num w:numId="50">
    <w:abstractNumId w:val="51"/>
  </w:num>
  <w:num w:numId="51">
    <w:abstractNumId w:val="30"/>
  </w:num>
  <w:num w:numId="52">
    <w:abstractNumId w:val="41"/>
  </w:num>
  <w:num w:numId="53">
    <w:abstractNumId w:val="2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7F33"/>
    <w:rsid w:val="00011BCF"/>
    <w:rsid w:val="00013931"/>
    <w:rsid w:val="00014276"/>
    <w:rsid w:val="00016E6B"/>
    <w:rsid w:val="00020E42"/>
    <w:rsid w:val="00022940"/>
    <w:rsid w:val="00022C61"/>
    <w:rsid w:val="00027536"/>
    <w:rsid w:val="00033A2F"/>
    <w:rsid w:val="00042C77"/>
    <w:rsid w:val="000436E3"/>
    <w:rsid w:val="00044E4D"/>
    <w:rsid w:val="000501B4"/>
    <w:rsid w:val="00050635"/>
    <w:rsid w:val="00053E67"/>
    <w:rsid w:val="000542D6"/>
    <w:rsid w:val="0005609B"/>
    <w:rsid w:val="00056E29"/>
    <w:rsid w:val="000572F8"/>
    <w:rsid w:val="00060A51"/>
    <w:rsid w:val="00067A76"/>
    <w:rsid w:val="00084708"/>
    <w:rsid w:val="00084DC2"/>
    <w:rsid w:val="00092677"/>
    <w:rsid w:val="0009283A"/>
    <w:rsid w:val="00092A60"/>
    <w:rsid w:val="00092B3B"/>
    <w:rsid w:val="000930D8"/>
    <w:rsid w:val="00093E26"/>
    <w:rsid w:val="00096285"/>
    <w:rsid w:val="00096600"/>
    <w:rsid w:val="00096DF1"/>
    <w:rsid w:val="00097FA2"/>
    <w:rsid w:val="000B1448"/>
    <w:rsid w:val="000B1BE5"/>
    <w:rsid w:val="000B45F4"/>
    <w:rsid w:val="000B5EAA"/>
    <w:rsid w:val="000B6751"/>
    <w:rsid w:val="000C1C48"/>
    <w:rsid w:val="000C25C6"/>
    <w:rsid w:val="000C5945"/>
    <w:rsid w:val="000E0A07"/>
    <w:rsid w:val="000E282C"/>
    <w:rsid w:val="000E6AD8"/>
    <w:rsid w:val="000E7470"/>
    <w:rsid w:val="000F1997"/>
    <w:rsid w:val="000F1C9F"/>
    <w:rsid w:val="000F1F77"/>
    <w:rsid w:val="000F238C"/>
    <w:rsid w:val="000F26A2"/>
    <w:rsid w:val="000F3BB3"/>
    <w:rsid w:val="000F4BC2"/>
    <w:rsid w:val="000F788E"/>
    <w:rsid w:val="00101853"/>
    <w:rsid w:val="00101E39"/>
    <w:rsid w:val="0010501E"/>
    <w:rsid w:val="00105A1F"/>
    <w:rsid w:val="0010699A"/>
    <w:rsid w:val="00106CF6"/>
    <w:rsid w:val="00111160"/>
    <w:rsid w:val="001124B8"/>
    <w:rsid w:val="00112ADF"/>
    <w:rsid w:val="001172A5"/>
    <w:rsid w:val="00121A12"/>
    <w:rsid w:val="0012279B"/>
    <w:rsid w:val="0012410A"/>
    <w:rsid w:val="00126F99"/>
    <w:rsid w:val="0013127F"/>
    <w:rsid w:val="00133CE6"/>
    <w:rsid w:val="00134F87"/>
    <w:rsid w:val="0013642F"/>
    <w:rsid w:val="0014282B"/>
    <w:rsid w:val="00144A4E"/>
    <w:rsid w:val="00144FCB"/>
    <w:rsid w:val="00145E15"/>
    <w:rsid w:val="00155BAE"/>
    <w:rsid w:val="00156C96"/>
    <w:rsid w:val="001650CF"/>
    <w:rsid w:val="001729F8"/>
    <w:rsid w:val="001732E1"/>
    <w:rsid w:val="00173615"/>
    <w:rsid w:val="00183144"/>
    <w:rsid w:val="00183683"/>
    <w:rsid w:val="001845AF"/>
    <w:rsid w:val="00194D2B"/>
    <w:rsid w:val="0019551D"/>
    <w:rsid w:val="001957F3"/>
    <w:rsid w:val="00195E50"/>
    <w:rsid w:val="001976FE"/>
    <w:rsid w:val="001979B8"/>
    <w:rsid w:val="001A27E4"/>
    <w:rsid w:val="001A35CA"/>
    <w:rsid w:val="001A3A9C"/>
    <w:rsid w:val="001A68AC"/>
    <w:rsid w:val="001A6DEF"/>
    <w:rsid w:val="001B1BD9"/>
    <w:rsid w:val="001B1F64"/>
    <w:rsid w:val="001B6826"/>
    <w:rsid w:val="001B721D"/>
    <w:rsid w:val="001C1D03"/>
    <w:rsid w:val="001C4F9D"/>
    <w:rsid w:val="001C5400"/>
    <w:rsid w:val="001D3618"/>
    <w:rsid w:val="001D6A75"/>
    <w:rsid w:val="001D78E5"/>
    <w:rsid w:val="001E16B2"/>
    <w:rsid w:val="001E1F32"/>
    <w:rsid w:val="001E42C1"/>
    <w:rsid w:val="001E4C2A"/>
    <w:rsid w:val="001E5D0A"/>
    <w:rsid w:val="001E7354"/>
    <w:rsid w:val="001E7DA2"/>
    <w:rsid w:val="001F4CD5"/>
    <w:rsid w:val="001F6EF9"/>
    <w:rsid w:val="001F6F71"/>
    <w:rsid w:val="0020533E"/>
    <w:rsid w:val="0021393F"/>
    <w:rsid w:val="00213A9C"/>
    <w:rsid w:val="0021590E"/>
    <w:rsid w:val="0022013B"/>
    <w:rsid w:val="0022122B"/>
    <w:rsid w:val="00221405"/>
    <w:rsid w:val="00221A6A"/>
    <w:rsid w:val="00230DB7"/>
    <w:rsid w:val="00232B26"/>
    <w:rsid w:val="00233071"/>
    <w:rsid w:val="002332F5"/>
    <w:rsid w:val="00241A29"/>
    <w:rsid w:val="00242EFB"/>
    <w:rsid w:val="00243B16"/>
    <w:rsid w:val="00244201"/>
    <w:rsid w:val="00245476"/>
    <w:rsid w:val="002461F2"/>
    <w:rsid w:val="00252C8B"/>
    <w:rsid w:val="00255F02"/>
    <w:rsid w:val="00264C6F"/>
    <w:rsid w:val="00265597"/>
    <w:rsid w:val="00273A34"/>
    <w:rsid w:val="002772BC"/>
    <w:rsid w:val="0028128D"/>
    <w:rsid w:val="002862A1"/>
    <w:rsid w:val="002A2AA5"/>
    <w:rsid w:val="002A3E04"/>
    <w:rsid w:val="002A4201"/>
    <w:rsid w:val="002A46F6"/>
    <w:rsid w:val="002A69C6"/>
    <w:rsid w:val="002A6B9C"/>
    <w:rsid w:val="002A761F"/>
    <w:rsid w:val="002B0596"/>
    <w:rsid w:val="002B1D58"/>
    <w:rsid w:val="002C5561"/>
    <w:rsid w:val="002C59DA"/>
    <w:rsid w:val="002C688F"/>
    <w:rsid w:val="002C7951"/>
    <w:rsid w:val="002D1546"/>
    <w:rsid w:val="002D6917"/>
    <w:rsid w:val="002E022B"/>
    <w:rsid w:val="002E1D23"/>
    <w:rsid w:val="002E4FC2"/>
    <w:rsid w:val="002E5343"/>
    <w:rsid w:val="002F6724"/>
    <w:rsid w:val="00302B64"/>
    <w:rsid w:val="00302F8E"/>
    <w:rsid w:val="00305A6E"/>
    <w:rsid w:val="0030651C"/>
    <w:rsid w:val="003157F0"/>
    <w:rsid w:val="00316E18"/>
    <w:rsid w:val="00316FA2"/>
    <w:rsid w:val="00317172"/>
    <w:rsid w:val="003240FB"/>
    <w:rsid w:val="003269DD"/>
    <w:rsid w:val="00326BFB"/>
    <w:rsid w:val="00327060"/>
    <w:rsid w:val="003347AB"/>
    <w:rsid w:val="00335093"/>
    <w:rsid w:val="00335161"/>
    <w:rsid w:val="003352A0"/>
    <w:rsid w:val="003400F9"/>
    <w:rsid w:val="00350A53"/>
    <w:rsid w:val="0035435C"/>
    <w:rsid w:val="00355FE5"/>
    <w:rsid w:val="00356D41"/>
    <w:rsid w:val="003615FE"/>
    <w:rsid w:val="00361B75"/>
    <w:rsid w:val="003716AC"/>
    <w:rsid w:val="0037306C"/>
    <w:rsid w:val="0037480B"/>
    <w:rsid w:val="003750F5"/>
    <w:rsid w:val="00383483"/>
    <w:rsid w:val="00385F9B"/>
    <w:rsid w:val="003906F6"/>
    <w:rsid w:val="003913CD"/>
    <w:rsid w:val="0039154A"/>
    <w:rsid w:val="00391B97"/>
    <w:rsid w:val="003957EE"/>
    <w:rsid w:val="00397821"/>
    <w:rsid w:val="003A502A"/>
    <w:rsid w:val="003A6B47"/>
    <w:rsid w:val="003A7383"/>
    <w:rsid w:val="003A77A6"/>
    <w:rsid w:val="003A7E07"/>
    <w:rsid w:val="003B138E"/>
    <w:rsid w:val="003B178B"/>
    <w:rsid w:val="003B5898"/>
    <w:rsid w:val="003B6156"/>
    <w:rsid w:val="003C0A87"/>
    <w:rsid w:val="003C2376"/>
    <w:rsid w:val="003D1807"/>
    <w:rsid w:val="003D781D"/>
    <w:rsid w:val="003D7B03"/>
    <w:rsid w:val="003E0103"/>
    <w:rsid w:val="003E17B7"/>
    <w:rsid w:val="003E2953"/>
    <w:rsid w:val="003E307F"/>
    <w:rsid w:val="003E3EF6"/>
    <w:rsid w:val="003F23DA"/>
    <w:rsid w:val="003F2BC4"/>
    <w:rsid w:val="003F4597"/>
    <w:rsid w:val="004021C3"/>
    <w:rsid w:val="00402804"/>
    <w:rsid w:val="00402BBF"/>
    <w:rsid w:val="00407C46"/>
    <w:rsid w:val="00412A19"/>
    <w:rsid w:val="00417420"/>
    <w:rsid w:val="00420F34"/>
    <w:rsid w:val="0042229C"/>
    <w:rsid w:val="004242B5"/>
    <w:rsid w:val="0042511B"/>
    <w:rsid w:val="00425370"/>
    <w:rsid w:val="004317AA"/>
    <w:rsid w:val="00432A14"/>
    <w:rsid w:val="00435121"/>
    <w:rsid w:val="004406A0"/>
    <w:rsid w:val="00441491"/>
    <w:rsid w:val="0044582D"/>
    <w:rsid w:val="00445B86"/>
    <w:rsid w:val="0044607A"/>
    <w:rsid w:val="004474A9"/>
    <w:rsid w:val="00450187"/>
    <w:rsid w:val="00450675"/>
    <w:rsid w:val="0045073F"/>
    <w:rsid w:val="00450879"/>
    <w:rsid w:val="00453A7A"/>
    <w:rsid w:val="004558E1"/>
    <w:rsid w:val="0045710C"/>
    <w:rsid w:val="00457ACD"/>
    <w:rsid w:val="00460B8C"/>
    <w:rsid w:val="00460C64"/>
    <w:rsid w:val="00461D7E"/>
    <w:rsid w:val="00463ECF"/>
    <w:rsid w:val="00466C54"/>
    <w:rsid w:val="00472E22"/>
    <w:rsid w:val="00473960"/>
    <w:rsid w:val="00475362"/>
    <w:rsid w:val="00476002"/>
    <w:rsid w:val="004819CB"/>
    <w:rsid w:val="00487A73"/>
    <w:rsid w:val="00492F18"/>
    <w:rsid w:val="0049665E"/>
    <w:rsid w:val="0049706D"/>
    <w:rsid w:val="00497133"/>
    <w:rsid w:val="004A0F55"/>
    <w:rsid w:val="004A2C77"/>
    <w:rsid w:val="004A4747"/>
    <w:rsid w:val="004B797D"/>
    <w:rsid w:val="004D19D0"/>
    <w:rsid w:val="004D1EA1"/>
    <w:rsid w:val="004E005F"/>
    <w:rsid w:val="004E1583"/>
    <w:rsid w:val="004E181B"/>
    <w:rsid w:val="004E6269"/>
    <w:rsid w:val="004F0320"/>
    <w:rsid w:val="004F4591"/>
    <w:rsid w:val="00500025"/>
    <w:rsid w:val="00501F8C"/>
    <w:rsid w:val="0050258C"/>
    <w:rsid w:val="005028D4"/>
    <w:rsid w:val="00502A56"/>
    <w:rsid w:val="00505452"/>
    <w:rsid w:val="00506254"/>
    <w:rsid w:val="005107B4"/>
    <w:rsid w:val="005117DE"/>
    <w:rsid w:val="00512DFE"/>
    <w:rsid w:val="0051648D"/>
    <w:rsid w:val="005200FB"/>
    <w:rsid w:val="00526670"/>
    <w:rsid w:val="00527758"/>
    <w:rsid w:val="00531808"/>
    <w:rsid w:val="00534193"/>
    <w:rsid w:val="0053528F"/>
    <w:rsid w:val="00543F29"/>
    <w:rsid w:val="00543F83"/>
    <w:rsid w:val="00546EE5"/>
    <w:rsid w:val="00550E1E"/>
    <w:rsid w:val="005518F1"/>
    <w:rsid w:val="00552522"/>
    <w:rsid w:val="00553023"/>
    <w:rsid w:val="005539C7"/>
    <w:rsid w:val="005549AF"/>
    <w:rsid w:val="00557070"/>
    <w:rsid w:val="00560C14"/>
    <w:rsid w:val="00560FD6"/>
    <w:rsid w:val="00561523"/>
    <w:rsid w:val="00562595"/>
    <w:rsid w:val="00562971"/>
    <w:rsid w:val="00575620"/>
    <w:rsid w:val="0058495A"/>
    <w:rsid w:val="0059003D"/>
    <w:rsid w:val="0059148B"/>
    <w:rsid w:val="005A0D8B"/>
    <w:rsid w:val="005B2AFD"/>
    <w:rsid w:val="005B37DF"/>
    <w:rsid w:val="005B530C"/>
    <w:rsid w:val="005D0A31"/>
    <w:rsid w:val="005D25ED"/>
    <w:rsid w:val="005D2DF7"/>
    <w:rsid w:val="005D2E37"/>
    <w:rsid w:val="005D7B90"/>
    <w:rsid w:val="005E05B2"/>
    <w:rsid w:val="005E1B60"/>
    <w:rsid w:val="005E27EA"/>
    <w:rsid w:val="005E3F65"/>
    <w:rsid w:val="005E4169"/>
    <w:rsid w:val="005E685D"/>
    <w:rsid w:val="005E723D"/>
    <w:rsid w:val="005F1543"/>
    <w:rsid w:val="005F3820"/>
    <w:rsid w:val="005F434B"/>
    <w:rsid w:val="00602192"/>
    <w:rsid w:val="00603BB8"/>
    <w:rsid w:val="00606984"/>
    <w:rsid w:val="0061267C"/>
    <w:rsid w:val="00612EF9"/>
    <w:rsid w:val="00616D00"/>
    <w:rsid w:val="006170CE"/>
    <w:rsid w:val="006252B0"/>
    <w:rsid w:val="00635690"/>
    <w:rsid w:val="00637D7C"/>
    <w:rsid w:val="0064092A"/>
    <w:rsid w:val="00644751"/>
    <w:rsid w:val="00644FB1"/>
    <w:rsid w:val="00645BB1"/>
    <w:rsid w:val="00646841"/>
    <w:rsid w:val="00652DDD"/>
    <w:rsid w:val="00656A45"/>
    <w:rsid w:val="0066200E"/>
    <w:rsid w:val="00665492"/>
    <w:rsid w:val="00671248"/>
    <w:rsid w:val="00671B44"/>
    <w:rsid w:val="00672D94"/>
    <w:rsid w:val="006763ED"/>
    <w:rsid w:val="006810AA"/>
    <w:rsid w:val="00682845"/>
    <w:rsid w:val="00683243"/>
    <w:rsid w:val="006832E3"/>
    <w:rsid w:val="0068630E"/>
    <w:rsid w:val="00686BA9"/>
    <w:rsid w:val="0069008E"/>
    <w:rsid w:val="00693427"/>
    <w:rsid w:val="00694D59"/>
    <w:rsid w:val="00694F11"/>
    <w:rsid w:val="00697D4B"/>
    <w:rsid w:val="006A1F8B"/>
    <w:rsid w:val="006A25F4"/>
    <w:rsid w:val="006B48A3"/>
    <w:rsid w:val="006B6E89"/>
    <w:rsid w:val="006C1126"/>
    <w:rsid w:val="006C18DC"/>
    <w:rsid w:val="006C43B7"/>
    <w:rsid w:val="006D060C"/>
    <w:rsid w:val="006D0A26"/>
    <w:rsid w:val="006D0AA2"/>
    <w:rsid w:val="006D0D82"/>
    <w:rsid w:val="006D2CA8"/>
    <w:rsid w:val="006D437C"/>
    <w:rsid w:val="006D7CF5"/>
    <w:rsid w:val="006E5E62"/>
    <w:rsid w:val="006E6078"/>
    <w:rsid w:val="006F027D"/>
    <w:rsid w:val="006F0AAC"/>
    <w:rsid w:val="006F4BD4"/>
    <w:rsid w:val="006F5A05"/>
    <w:rsid w:val="006F739E"/>
    <w:rsid w:val="00701E8C"/>
    <w:rsid w:val="00703E05"/>
    <w:rsid w:val="00705E66"/>
    <w:rsid w:val="00707E55"/>
    <w:rsid w:val="007153CF"/>
    <w:rsid w:val="007161BB"/>
    <w:rsid w:val="00723748"/>
    <w:rsid w:val="00724143"/>
    <w:rsid w:val="0072485A"/>
    <w:rsid w:val="00727477"/>
    <w:rsid w:val="00727684"/>
    <w:rsid w:val="00731657"/>
    <w:rsid w:val="00732A64"/>
    <w:rsid w:val="0073619E"/>
    <w:rsid w:val="007458ED"/>
    <w:rsid w:val="00754340"/>
    <w:rsid w:val="00757C36"/>
    <w:rsid w:val="0076064D"/>
    <w:rsid w:val="00763F51"/>
    <w:rsid w:val="00764F8C"/>
    <w:rsid w:val="00765025"/>
    <w:rsid w:val="007661FE"/>
    <w:rsid w:val="00767455"/>
    <w:rsid w:val="00772B5C"/>
    <w:rsid w:val="007733F7"/>
    <w:rsid w:val="00773CB7"/>
    <w:rsid w:val="0077477B"/>
    <w:rsid w:val="007754CF"/>
    <w:rsid w:val="007778D2"/>
    <w:rsid w:val="007816AB"/>
    <w:rsid w:val="00781D11"/>
    <w:rsid w:val="00782BE1"/>
    <w:rsid w:val="00787622"/>
    <w:rsid w:val="0079090F"/>
    <w:rsid w:val="00792008"/>
    <w:rsid w:val="007920F4"/>
    <w:rsid w:val="007930E5"/>
    <w:rsid w:val="00795A76"/>
    <w:rsid w:val="00796E6F"/>
    <w:rsid w:val="007978F7"/>
    <w:rsid w:val="007A11AF"/>
    <w:rsid w:val="007A290E"/>
    <w:rsid w:val="007A3F5E"/>
    <w:rsid w:val="007A4B97"/>
    <w:rsid w:val="007A5E51"/>
    <w:rsid w:val="007B2655"/>
    <w:rsid w:val="007B2722"/>
    <w:rsid w:val="007B3A19"/>
    <w:rsid w:val="007B40C8"/>
    <w:rsid w:val="007C011F"/>
    <w:rsid w:val="007C0401"/>
    <w:rsid w:val="007C1ABC"/>
    <w:rsid w:val="007C3227"/>
    <w:rsid w:val="007C6727"/>
    <w:rsid w:val="007C7B4E"/>
    <w:rsid w:val="007D2138"/>
    <w:rsid w:val="007D3B96"/>
    <w:rsid w:val="007D7D53"/>
    <w:rsid w:val="007E3B48"/>
    <w:rsid w:val="007E619C"/>
    <w:rsid w:val="007F0750"/>
    <w:rsid w:val="007F1354"/>
    <w:rsid w:val="007F5301"/>
    <w:rsid w:val="007F68A0"/>
    <w:rsid w:val="00804715"/>
    <w:rsid w:val="00804A83"/>
    <w:rsid w:val="00805640"/>
    <w:rsid w:val="00807809"/>
    <w:rsid w:val="00807C39"/>
    <w:rsid w:val="00811A75"/>
    <w:rsid w:val="00812F1D"/>
    <w:rsid w:val="00817E82"/>
    <w:rsid w:val="00820659"/>
    <w:rsid w:val="00827F56"/>
    <w:rsid w:val="00834D3A"/>
    <w:rsid w:val="00835EEA"/>
    <w:rsid w:val="008372BF"/>
    <w:rsid w:val="00844DB2"/>
    <w:rsid w:val="00846377"/>
    <w:rsid w:val="00846AAC"/>
    <w:rsid w:val="00847700"/>
    <w:rsid w:val="0085235D"/>
    <w:rsid w:val="008537EC"/>
    <w:rsid w:val="00854EBB"/>
    <w:rsid w:val="008551ED"/>
    <w:rsid w:val="00855D98"/>
    <w:rsid w:val="00857C34"/>
    <w:rsid w:val="008614D5"/>
    <w:rsid w:val="00862A64"/>
    <w:rsid w:val="00863D3C"/>
    <w:rsid w:val="008676DD"/>
    <w:rsid w:val="008719C7"/>
    <w:rsid w:val="008820F0"/>
    <w:rsid w:val="00887F61"/>
    <w:rsid w:val="00890638"/>
    <w:rsid w:val="00897884"/>
    <w:rsid w:val="00897E3C"/>
    <w:rsid w:val="008A2B92"/>
    <w:rsid w:val="008A47F5"/>
    <w:rsid w:val="008A4A0D"/>
    <w:rsid w:val="008A5170"/>
    <w:rsid w:val="008B2035"/>
    <w:rsid w:val="008B32E5"/>
    <w:rsid w:val="008C1ABF"/>
    <w:rsid w:val="008C1D6E"/>
    <w:rsid w:val="008C2EFA"/>
    <w:rsid w:val="008C37EE"/>
    <w:rsid w:val="008C4378"/>
    <w:rsid w:val="008C44D7"/>
    <w:rsid w:val="008C5580"/>
    <w:rsid w:val="008C5726"/>
    <w:rsid w:val="008C5EDE"/>
    <w:rsid w:val="008D035D"/>
    <w:rsid w:val="008D1AC2"/>
    <w:rsid w:val="008D2DE9"/>
    <w:rsid w:val="008D2E97"/>
    <w:rsid w:val="008D3D45"/>
    <w:rsid w:val="008D656E"/>
    <w:rsid w:val="008E05A3"/>
    <w:rsid w:val="008E2B02"/>
    <w:rsid w:val="008E37F3"/>
    <w:rsid w:val="008E5C73"/>
    <w:rsid w:val="008E684B"/>
    <w:rsid w:val="008F0FBC"/>
    <w:rsid w:val="008F484F"/>
    <w:rsid w:val="008F55F7"/>
    <w:rsid w:val="008F6EBE"/>
    <w:rsid w:val="00902A13"/>
    <w:rsid w:val="00904420"/>
    <w:rsid w:val="009077CD"/>
    <w:rsid w:val="00911DEC"/>
    <w:rsid w:val="00922708"/>
    <w:rsid w:val="00922CBF"/>
    <w:rsid w:val="009274D0"/>
    <w:rsid w:val="00933906"/>
    <w:rsid w:val="009341C8"/>
    <w:rsid w:val="00936EFD"/>
    <w:rsid w:val="00941C5F"/>
    <w:rsid w:val="009434A7"/>
    <w:rsid w:val="009448F4"/>
    <w:rsid w:val="0094513C"/>
    <w:rsid w:val="00947B2C"/>
    <w:rsid w:val="0095118B"/>
    <w:rsid w:val="00953F88"/>
    <w:rsid w:val="00954ECB"/>
    <w:rsid w:val="009567DD"/>
    <w:rsid w:val="0095749A"/>
    <w:rsid w:val="00957C01"/>
    <w:rsid w:val="00962D17"/>
    <w:rsid w:val="00963DAA"/>
    <w:rsid w:val="009641D7"/>
    <w:rsid w:val="009647E9"/>
    <w:rsid w:val="00965DED"/>
    <w:rsid w:val="00974251"/>
    <w:rsid w:val="00977857"/>
    <w:rsid w:val="00980AA2"/>
    <w:rsid w:val="009811F0"/>
    <w:rsid w:val="009847CF"/>
    <w:rsid w:val="00990921"/>
    <w:rsid w:val="00991565"/>
    <w:rsid w:val="0099166C"/>
    <w:rsid w:val="009929DE"/>
    <w:rsid w:val="00993B30"/>
    <w:rsid w:val="0099525F"/>
    <w:rsid w:val="009A148E"/>
    <w:rsid w:val="009A3483"/>
    <w:rsid w:val="009B0541"/>
    <w:rsid w:val="009B13CA"/>
    <w:rsid w:val="009B13F7"/>
    <w:rsid w:val="009B2577"/>
    <w:rsid w:val="009B4616"/>
    <w:rsid w:val="009B6E9A"/>
    <w:rsid w:val="009C3261"/>
    <w:rsid w:val="009C5EAE"/>
    <w:rsid w:val="009C605F"/>
    <w:rsid w:val="009D173F"/>
    <w:rsid w:val="009D3807"/>
    <w:rsid w:val="009E02B0"/>
    <w:rsid w:val="009E0EE0"/>
    <w:rsid w:val="009E6F4E"/>
    <w:rsid w:val="009F0A68"/>
    <w:rsid w:val="009F5C3A"/>
    <w:rsid w:val="009F7946"/>
    <w:rsid w:val="00A01BF1"/>
    <w:rsid w:val="00A0243D"/>
    <w:rsid w:val="00A02F32"/>
    <w:rsid w:val="00A05D54"/>
    <w:rsid w:val="00A0679F"/>
    <w:rsid w:val="00A07389"/>
    <w:rsid w:val="00A16E1C"/>
    <w:rsid w:val="00A20784"/>
    <w:rsid w:val="00A229C8"/>
    <w:rsid w:val="00A25842"/>
    <w:rsid w:val="00A3003E"/>
    <w:rsid w:val="00A322B5"/>
    <w:rsid w:val="00A32877"/>
    <w:rsid w:val="00A33769"/>
    <w:rsid w:val="00A369D4"/>
    <w:rsid w:val="00A402EA"/>
    <w:rsid w:val="00A417E3"/>
    <w:rsid w:val="00A42C77"/>
    <w:rsid w:val="00A45B97"/>
    <w:rsid w:val="00A45BB1"/>
    <w:rsid w:val="00A50420"/>
    <w:rsid w:val="00A55824"/>
    <w:rsid w:val="00A61712"/>
    <w:rsid w:val="00A61CFA"/>
    <w:rsid w:val="00A86142"/>
    <w:rsid w:val="00A917A5"/>
    <w:rsid w:val="00AA2C2D"/>
    <w:rsid w:val="00AA5A24"/>
    <w:rsid w:val="00AB0DEC"/>
    <w:rsid w:val="00AB218F"/>
    <w:rsid w:val="00AB28E1"/>
    <w:rsid w:val="00AB51F8"/>
    <w:rsid w:val="00AC413D"/>
    <w:rsid w:val="00AC41DF"/>
    <w:rsid w:val="00AC5499"/>
    <w:rsid w:val="00AD045E"/>
    <w:rsid w:val="00AD17AB"/>
    <w:rsid w:val="00AD199F"/>
    <w:rsid w:val="00AD6106"/>
    <w:rsid w:val="00AD7485"/>
    <w:rsid w:val="00AE5315"/>
    <w:rsid w:val="00AE5C33"/>
    <w:rsid w:val="00AE7624"/>
    <w:rsid w:val="00AF34DD"/>
    <w:rsid w:val="00AF6130"/>
    <w:rsid w:val="00AF71A2"/>
    <w:rsid w:val="00B01B84"/>
    <w:rsid w:val="00B02D83"/>
    <w:rsid w:val="00B02E5A"/>
    <w:rsid w:val="00B04450"/>
    <w:rsid w:val="00B04A34"/>
    <w:rsid w:val="00B11B83"/>
    <w:rsid w:val="00B20EF4"/>
    <w:rsid w:val="00B23336"/>
    <w:rsid w:val="00B24DA9"/>
    <w:rsid w:val="00B24EDC"/>
    <w:rsid w:val="00B24F4B"/>
    <w:rsid w:val="00B31FD9"/>
    <w:rsid w:val="00B3347E"/>
    <w:rsid w:val="00B34A61"/>
    <w:rsid w:val="00B36B6C"/>
    <w:rsid w:val="00B36BAD"/>
    <w:rsid w:val="00B413B4"/>
    <w:rsid w:val="00B43F3B"/>
    <w:rsid w:val="00B44364"/>
    <w:rsid w:val="00B538E9"/>
    <w:rsid w:val="00B6065D"/>
    <w:rsid w:val="00B62A14"/>
    <w:rsid w:val="00B63570"/>
    <w:rsid w:val="00B6522B"/>
    <w:rsid w:val="00B668D2"/>
    <w:rsid w:val="00B66D18"/>
    <w:rsid w:val="00B67C38"/>
    <w:rsid w:val="00B71FBE"/>
    <w:rsid w:val="00B769C7"/>
    <w:rsid w:val="00B77B64"/>
    <w:rsid w:val="00B82D5C"/>
    <w:rsid w:val="00B8490B"/>
    <w:rsid w:val="00B84AEC"/>
    <w:rsid w:val="00B871D3"/>
    <w:rsid w:val="00B9255D"/>
    <w:rsid w:val="00B94B06"/>
    <w:rsid w:val="00B95144"/>
    <w:rsid w:val="00BA0F8C"/>
    <w:rsid w:val="00BA4B06"/>
    <w:rsid w:val="00BA7499"/>
    <w:rsid w:val="00BC2242"/>
    <w:rsid w:val="00BC2D98"/>
    <w:rsid w:val="00BC5371"/>
    <w:rsid w:val="00BC67CF"/>
    <w:rsid w:val="00BD0278"/>
    <w:rsid w:val="00BD3C3B"/>
    <w:rsid w:val="00BD580F"/>
    <w:rsid w:val="00BD6E21"/>
    <w:rsid w:val="00BE0772"/>
    <w:rsid w:val="00BE0BC5"/>
    <w:rsid w:val="00BE3ECD"/>
    <w:rsid w:val="00BF06B6"/>
    <w:rsid w:val="00BF09D5"/>
    <w:rsid w:val="00C0285D"/>
    <w:rsid w:val="00C0460B"/>
    <w:rsid w:val="00C14258"/>
    <w:rsid w:val="00C15854"/>
    <w:rsid w:val="00C158FB"/>
    <w:rsid w:val="00C15C6B"/>
    <w:rsid w:val="00C15F20"/>
    <w:rsid w:val="00C17F20"/>
    <w:rsid w:val="00C200D0"/>
    <w:rsid w:val="00C24998"/>
    <w:rsid w:val="00C2568D"/>
    <w:rsid w:val="00C33787"/>
    <w:rsid w:val="00C35828"/>
    <w:rsid w:val="00C41FB2"/>
    <w:rsid w:val="00C44F77"/>
    <w:rsid w:val="00C45B23"/>
    <w:rsid w:val="00C45C0C"/>
    <w:rsid w:val="00C559EE"/>
    <w:rsid w:val="00C561FF"/>
    <w:rsid w:val="00C62345"/>
    <w:rsid w:val="00C65830"/>
    <w:rsid w:val="00C80A1F"/>
    <w:rsid w:val="00C81DAA"/>
    <w:rsid w:val="00C827E9"/>
    <w:rsid w:val="00C84E6C"/>
    <w:rsid w:val="00C86053"/>
    <w:rsid w:val="00C93E6D"/>
    <w:rsid w:val="00C944E1"/>
    <w:rsid w:val="00C94C5C"/>
    <w:rsid w:val="00C9639D"/>
    <w:rsid w:val="00C9678E"/>
    <w:rsid w:val="00C96C58"/>
    <w:rsid w:val="00C971A4"/>
    <w:rsid w:val="00CA01C9"/>
    <w:rsid w:val="00CA2735"/>
    <w:rsid w:val="00CA62AD"/>
    <w:rsid w:val="00CA7B09"/>
    <w:rsid w:val="00CB24FB"/>
    <w:rsid w:val="00CB28CE"/>
    <w:rsid w:val="00CB39E8"/>
    <w:rsid w:val="00CB65F3"/>
    <w:rsid w:val="00CB74A4"/>
    <w:rsid w:val="00CC2D58"/>
    <w:rsid w:val="00CC2E31"/>
    <w:rsid w:val="00CC3444"/>
    <w:rsid w:val="00CC7858"/>
    <w:rsid w:val="00CD2E53"/>
    <w:rsid w:val="00CD42FC"/>
    <w:rsid w:val="00CD4E74"/>
    <w:rsid w:val="00CE00E3"/>
    <w:rsid w:val="00CE123D"/>
    <w:rsid w:val="00CE46C4"/>
    <w:rsid w:val="00CE5690"/>
    <w:rsid w:val="00CF1ACB"/>
    <w:rsid w:val="00CF4CE6"/>
    <w:rsid w:val="00CF708C"/>
    <w:rsid w:val="00D0112C"/>
    <w:rsid w:val="00D0388C"/>
    <w:rsid w:val="00D056DC"/>
    <w:rsid w:val="00D1496C"/>
    <w:rsid w:val="00D23851"/>
    <w:rsid w:val="00D30E97"/>
    <w:rsid w:val="00D34FE1"/>
    <w:rsid w:val="00D3571A"/>
    <w:rsid w:val="00D400EA"/>
    <w:rsid w:val="00D436AB"/>
    <w:rsid w:val="00D43E40"/>
    <w:rsid w:val="00D453C9"/>
    <w:rsid w:val="00D636A7"/>
    <w:rsid w:val="00D63C79"/>
    <w:rsid w:val="00D670C1"/>
    <w:rsid w:val="00D67111"/>
    <w:rsid w:val="00D7137F"/>
    <w:rsid w:val="00D72AD8"/>
    <w:rsid w:val="00D74FC0"/>
    <w:rsid w:val="00D8148D"/>
    <w:rsid w:val="00D851B6"/>
    <w:rsid w:val="00D8655E"/>
    <w:rsid w:val="00D87BA1"/>
    <w:rsid w:val="00D95493"/>
    <w:rsid w:val="00DA1813"/>
    <w:rsid w:val="00DA20CD"/>
    <w:rsid w:val="00DA7C46"/>
    <w:rsid w:val="00DB3470"/>
    <w:rsid w:val="00DC56E0"/>
    <w:rsid w:val="00DC6601"/>
    <w:rsid w:val="00DD1CE6"/>
    <w:rsid w:val="00DD1D27"/>
    <w:rsid w:val="00DF0F42"/>
    <w:rsid w:val="00DF3C57"/>
    <w:rsid w:val="00E0668D"/>
    <w:rsid w:val="00E10127"/>
    <w:rsid w:val="00E10CAB"/>
    <w:rsid w:val="00E114F3"/>
    <w:rsid w:val="00E11903"/>
    <w:rsid w:val="00E12E50"/>
    <w:rsid w:val="00E2128E"/>
    <w:rsid w:val="00E230EA"/>
    <w:rsid w:val="00E23680"/>
    <w:rsid w:val="00E23D70"/>
    <w:rsid w:val="00E26FC3"/>
    <w:rsid w:val="00E32430"/>
    <w:rsid w:val="00E36B3E"/>
    <w:rsid w:val="00E407FF"/>
    <w:rsid w:val="00E42137"/>
    <w:rsid w:val="00E42671"/>
    <w:rsid w:val="00E42933"/>
    <w:rsid w:val="00E42B16"/>
    <w:rsid w:val="00E50853"/>
    <w:rsid w:val="00E542E8"/>
    <w:rsid w:val="00E54EB4"/>
    <w:rsid w:val="00E60B95"/>
    <w:rsid w:val="00E66A22"/>
    <w:rsid w:val="00E768B6"/>
    <w:rsid w:val="00E81719"/>
    <w:rsid w:val="00E82AC6"/>
    <w:rsid w:val="00E85081"/>
    <w:rsid w:val="00E91990"/>
    <w:rsid w:val="00E92170"/>
    <w:rsid w:val="00E943C4"/>
    <w:rsid w:val="00E95A9B"/>
    <w:rsid w:val="00EA2A6D"/>
    <w:rsid w:val="00EA2B33"/>
    <w:rsid w:val="00EA52E0"/>
    <w:rsid w:val="00EA7438"/>
    <w:rsid w:val="00EA7A1E"/>
    <w:rsid w:val="00EB27DF"/>
    <w:rsid w:val="00EB4F8F"/>
    <w:rsid w:val="00EC05A5"/>
    <w:rsid w:val="00EC2C29"/>
    <w:rsid w:val="00EC737C"/>
    <w:rsid w:val="00EC7A1E"/>
    <w:rsid w:val="00ED35DD"/>
    <w:rsid w:val="00ED5AE3"/>
    <w:rsid w:val="00ED63BE"/>
    <w:rsid w:val="00ED7668"/>
    <w:rsid w:val="00EE7ACC"/>
    <w:rsid w:val="00EF4BDB"/>
    <w:rsid w:val="00EF5047"/>
    <w:rsid w:val="00EF5B48"/>
    <w:rsid w:val="00EF7C6F"/>
    <w:rsid w:val="00F00B65"/>
    <w:rsid w:val="00F024AB"/>
    <w:rsid w:val="00F07349"/>
    <w:rsid w:val="00F12B04"/>
    <w:rsid w:val="00F14194"/>
    <w:rsid w:val="00F14959"/>
    <w:rsid w:val="00F17527"/>
    <w:rsid w:val="00F178C5"/>
    <w:rsid w:val="00F17CF8"/>
    <w:rsid w:val="00F208B2"/>
    <w:rsid w:val="00F2314D"/>
    <w:rsid w:val="00F274EE"/>
    <w:rsid w:val="00F31222"/>
    <w:rsid w:val="00F3179D"/>
    <w:rsid w:val="00F333FB"/>
    <w:rsid w:val="00F33D1A"/>
    <w:rsid w:val="00F34A66"/>
    <w:rsid w:val="00F34CD0"/>
    <w:rsid w:val="00F36AB7"/>
    <w:rsid w:val="00F37FDF"/>
    <w:rsid w:val="00F42C8A"/>
    <w:rsid w:val="00F4641D"/>
    <w:rsid w:val="00F57277"/>
    <w:rsid w:val="00F577E2"/>
    <w:rsid w:val="00F57D0B"/>
    <w:rsid w:val="00F62AA6"/>
    <w:rsid w:val="00F63D0B"/>
    <w:rsid w:val="00F65D1E"/>
    <w:rsid w:val="00F66022"/>
    <w:rsid w:val="00F66701"/>
    <w:rsid w:val="00F67EEA"/>
    <w:rsid w:val="00F723AC"/>
    <w:rsid w:val="00F74282"/>
    <w:rsid w:val="00F82A6E"/>
    <w:rsid w:val="00F82EC8"/>
    <w:rsid w:val="00F834CF"/>
    <w:rsid w:val="00F86877"/>
    <w:rsid w:val="00F868CD"/>
    <w:rsid w:val="00F872B3"/>
    <w:rsid w:val="00F87573"/>
    <w:rsid w:val="00F9290F"/>
    <w:rsid w:val="00F92D73"/>
    <w:rsid w:val="00F94CFF"/>
    <w:rsid w:val="00F96CAB"/>
    <w:rsid w:val="00FA144C"/>
    <w:rsid w:val="00FA38FF"/>
    <w:rsid w:val="00FA7F33"/>
    <w:rsid w:val="00FB2E4A"/>
    <w:rsid w:val="00FB586D"/>
    <w:rsid w:val="00FC0D61"/>
    <w:rsid w:val="00FC3DB0"/>
    <w:rsid w:val="00FC4066"/>
    <w:rsid w:val="00FC695F"/>
    <w:rsid w:val="00FC798C"/>
    <w:rsid w:val="00FD2ADB"/>
    <w:rsid w:val="00FD55D3"/>
    <w:rsid w:val="00FD77C7"/>
    <w:rsid w:val="00FE2CA4"/>
    <w:rsid w:val="00FE55D2"/>
    <w:rsid w:val="00FE61AE"/>
    <w:rsid w:val="00FE7EA1"/>
    <w:rsid w:val="00FF0D57"/>
    <w:rsid w:val="00FF0F0D"/>
    <w:rsid w:val="00FF16CA"/>
    <w:rsid w:val="00FF19A2"/>
    <w:rsid w:val="00FF501B"/>
    <w:rsid w:val="00FF632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6078C35"/>
  <w15:chartTrackingRefBased/>
  <w15:docId w15:val="{2A88514A-5D89-44A9-91AE-75F824878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0" w:unhideWhenUsed="1" w:qFormat="1"/>
    <w:lsdException w:name="heading 3" w:semiHidden="1" w:uiPriority="2" w:unhideWhenUsed="1" w:qFormat="1"/>
    <w:lsdException w:name="heading 4" w:semiHidden="1" w:uiPriority="2"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23" w:unhideWhenUsed="1" w:qFormat="1"/>
    <w:lsdException w:name="annotation text" w:semiHidden="1" w:uiPriority="0" w:unhideWhenUsed="1" w:qFormat="1"/>
    <w:lsdException w:name="header" w:semiHidden="1" w:uiPriority="0" w:unhideWhenUsed="1"/>
    <w:lsdException w:name="footer" w:semiHidden="1" w:uiPriority="0" w:unhideWhenUsed="1" w:qFormat="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nhideWhenUsed="1"/>
    <w:lsdException w:name="List Bullet 4" w:semiHidden="1" w:unhideWhenUsed="1"/>
    <w:lsdException w:name="List Bullet 5" w:semiHidden="1" w:unhideWhenUsed="1"/>
    <w:lsdException w:name="List Number 2" w:semiHidden="1" w:uiPriority="0"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7F33"/>
    <w:pPr>
      <w:spacing w:after="240" w:line="240" w:lineRule="atLeast"/>
    </w:pPr>
    <w:rPr>
      <w:rFonts w:ascii="Arial" w:eastAsia="Times New Roman" w:hAnsi="Arial" w:cs="Times New Roman"/>
      <w:sz w:val="20"/>
      <w:szCs w:val="24"/>
      <w:lang w:eastAsia="en-AU"/>
    </w:rPr>
  </w:style>
  <w:style w:type="paragraph" w:styleId="Heading1">
    <w:name w:val="heading 1"/>
    <w:basedOn w:val="Normal"/>
    <w:next w:val="Normal"/>
    <w:link w:val="Heading1Char"/>
    <w:uiPriority w:val="1"/>
    <w:qFormat/>
    <w:rsid w:val="00FA7F33"/>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Header"/>
    <w:next w:val="Normal"/>
    <w:link w:val="Heading2Char"/>
    <w:qFormat/>
    <w:rsid w:val="00FA7F33"/>
    <w:pPr>
      <w:keepNext/>
      <w:spacing w:before="360" w:after="60"/>
      <w:outlineLvl w:val="1"/>
    </w:pPr>
    <w:rPr>
      <w:rFonts w:cs="Arial"/>
      <w:b/>
      <w:bCs/>
      <w:iCs/>
      <w:sz w:val="28"/>
      <w:szCs w:val="28"/>
    </w:rPr>
  </w:style>
  <w:style w:type="paragraph" w:styleId="Heading3">
    <w:name w:val="heading 3"/>
    <w:basedOn w:val="Normal"/>
    <w:next w:val="Normal"/>
    <w:link w:val="Heading3Char"/>
    <w:uiPriority w:val="2"/>
    <w:qFormat/>
    <w:rsid w:val="00FA7F33"/>
    <w:pPr>
      <w:keepNext/>
      <w:spacing w:before="60" w:after="60"/>
      <w:outlineLvl w:val="2"/>
    </w:pPr>
    <w:rPr>
      <w:rFonts w:cs="Arial"/>
      <w:b/>
      <w:bCs/>
      <w:szCs w:val="26"/>
    </w:rPr>
  </w:style>
  <w:style w:type="paragraph" w:styleId="Heading4">
    <w:name w:val="heading 4"/>
    <w:basedOn w:val="BodySubHeader"/>
    <w:next w:val="Normal"/>
    <w:link w:val="Heading4Char"/>
    <w:uiPriority w:val="2"/>
    <w:qFormat/>
    <w:rsid w:val="00FA7F33"/>
    <w:pPr>
      <w:outlineLvl w:val="3"/>
    </w:pPr>
    <w:rPr>
      <w:rFonts w:cs="Arial"/>
    </w:rPr>
  </w:style>
  <w:style w:type="paragraph" w:styleId="Heading5">
    <w:name w:val="heading 5"/>
    <w:basedOn w:val="Normal"/>
    <w:next w:val="Normal"/>
    <w:link w:val="Heading5Char"/>
    <w:semiHidden/>
    <w:qFormat/>
    <w:rsid w:val="00FA7F33"/>
    <w:pPr>
      <w:numPr>
        <w:ilvl w:val="4"/>
        <w:numId w:val="5"/>
      </w:numPr>
      <w:spacing w:before="240" w:after="60"/>
      <w:outlineLvl w:val="4"/>
    </w:pPr>
    <w:rPr>
      <w:b/>
      <w:bCs/>
      <w:i/>
      <w:iCs/>
      <w:sz w:val="26"/>
      <w:szCs w:val="26"/>
    </w:rPr>
  </w:style>
  <w:style w:type="paragraph" w:styleId="Heading6">
    <w:name w:val="heading 6"/>
    <w:basedOn w:val="Normal"/>
    <w:next w:val="Normal"/>
    <w:link w:val="Heading6Char"/>
    <w:semiHidden/>
    <w:qFormat/>
    <w:rsid w:val="00FA7F33"/>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link w:val="Heading7Char"/>
    <w:semiHidden/>
    <w:qFormat/>
    <w:rsid w:val="00FA7F33"/>
    <w:pPr>
      <w:numPr>
        <w:ilvl w:val="6"/>
        <w:numId w:val="5"/>
      </w:numPr>
      <w:spacing w:before="240" w:after="60"/>
      <w:outlineLvl w:val="6"/>
    </w:pPr>
    <w:rPr>
      <w:rFonts w:ascii="Times New Roman" w:hAnsi="Times New Roman"/>
      <w:sz w:val="24"/>
    </w:rPr>
  </w:style>
  <w:style w:type="paragraph" w:styleId="Heading8">
    <w:name w:val="heading 8"/>
    <w:basedOn w:val="Normal"/>
    <w:next w:val="Normal"/>
    <w:link w:val="Heading8Char"/>
    <w:semiHidden/>
    <w:qFormat/>
    <w:rsid w:val="00FA7F33"/>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link w:val="Heading9Char"/>
    <w:semiHidden/>
    <w:qFormat/>
    <w:rsid w:val="00FA7F33"/>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FA7F33"/>
    <w:rPr>
      <w:rFonts w:ascii="Arial" w:eastAsia="Times New Roman" w:hAnsi="Arial" w:cs="Arial"/>
      <w:bCs/>
      <w:color w:val="323232"/>
      <w:kern w:val="32"/>
      <w:sz w:val="53"/>
      <w:szCs w:val="32"/>
      <w:lang w:eastAsia="en-AU"/>
    </w:rPr>
  </w:style>
  <w:style w:type="character" w:customStyle="1" w:styleId="Heading2Char">
    <w:name w:val="Heading 2 Char"/>
    <w:aliases w:val="RIS Heading 2 Char"/>
    <w:basedOn w:val="DefaultParagraphFont"/>
    <w:link w:val="Heading2"/>
    <w:rsid w:val="00FA7F33"/>
    <w:rPr>
      <w:rFonts w:ascii="Arial" w:eastAsia="Times New Roman" w:hAnsi="Arial" w:cs="Arial"/>
      <w:b/>
      <w:bCs/>
      <w:iCs/>
      <w:sz w:val="28"/>
      <w:szCs w:val="28"/>
      <w:lang w:eastAsia="en-AU"/>
    </w:rPr>
  </w:style>
  <w:style w:type="character" w:customStyle="1" w:styleId="Heading3Char">
    <w:name w:val="Heading 3 Char"/>
    <w:basedOn w:val="DefaultParagraphFont"/>
    <w:link w:val="Heading3"/>
    <w:uiPriority w:val="2"/>
    <w:rsid w:val="00FA7F33"/>
    <w:rPr>
      <w:rFonts w:ascii="Arial" w:eastAsia="Times New Roman" w:hAnsi="Arial" w:cs="Arial"/>
      <w:b/>
      <w:bCs/>
      <w:sz w:val="20"/>
      <w:szCs w:val="26"/>
      <w:lang w:eastAsia="en-AU"/>
    </w:rPr>
  </w:style>
  <w:style w:type="character" w:customStyle="1" w:styleId="Heading4Char">
    <w:name w:val="Heading 4 Char"/>
    <w:basedOn w:val="DefaultParagraphFont"/>
    <w:link w:val="Heading4"/>
    <w:uiPriority w:val="2"/>
    <w:rsid w:val="00FA7F33"/>
    <w:rPr>
      <w:rFonts w:ascii="Arial" w:eastAsia="Times New Roman" w:hAnsi="Arial" w:cs="Arial"/>
      <w:b/>
      <w:i/>
      <w:sz w:val="20"/>
      <w:szCs w:val="24"/>
      <w:lang w:eastAsia="en-AU"/>
    </w:rPr>
  </w:style>
  <w:style w:type="character" w:customStyle="1" w:styleId="Heading5Char">
    <w:name w:val="Heading 5 Char"/>
    <w:basedOn w:val="DefaultParagraphFont"/>
    <w:link w:val="Heading5"/>
    <w:semiHidden/>
    <w:rsid w:val="00FA7F33"/>
    <w:rPr>
      <w:rFonts w:ascii="Arial" w:eastAsia="Times New Roman" w:hAnsi="Arial" w:cs="Times New Roman"/>
      <w:b/>
      <w:bCs/>
      <w:i/>
      <w:iCs/>
      <w:sz w:val="26"/>
      <w:szCs w:val="26"/>
      <w:lang w:eastAsia="en-AU"/>
    </w:rPr>
  </w:style>
  <w:style w:type="character" w:customStyle="1" w:styleId="Heading6Char">
    <w:name w:val="Heading 6 Char"/>
    <w:basedOn w:val="DefaultParagraphFont"/>
    <w:link w:val="Heading6"/>
    <w:semiHidden/>
    <w:rsid w:val="00FA7F33"/>
    <w:rPr>
      <w:rFonts w:ascii="Times New Roman" w:eastAsia="Times New Roman" w:hAnsi="Times New Roman" w:cs="Times New Roman"/>
      <w:b/>
      <w:bCs/>
      <w:lang w:eastAsia="en-AU"/>
    </w:rPr>
  </w:style>
  <w:style w:type="character" w:customStyle="1" w:styleId="Heading7Char">
    <w:name w:val="Heading 7 Char"/>
    <w:basedOn w:val="DefaultParagraphFont"/>
    <w:link w:val="Heading7"/>
    <w:semiHidden/>
    <w:rsid w:val="00FA7F33"/>
    <w:rPr>
      <w:rFonts w:ascii="Times New Roman" w:eastAsia="Times New Roman" w:hAnsi="Times New Roman" w:cs="Times New Roman"/>
      <w:sz w:val="24"/>
      <w:szCs w:val="24"/>
      <w:lang w:eastAsia="en-AU"/>
    </w:rPr>
  </w:style>
  <w:style w:type="character" w:customStyle="1" w:styleId="Heading8Char">
    <w:name w:val="Heading 8 Char"/>
    <w:basedOn w:val="DefaultParagraphFont"/>
    <w:link w:val="Heading8"/>
    <w:semiHidden/>
    <w:rsid w:val="00FA7F33"/>
    <w:rPr>
      <w:rFonts w:ascii="Times New Roman" w:eastAsia="Times New Roman" w:hAnsi="Times New Roman" w:cs="Times New Roman"/>
      <w:i/>
      <w:iCs/>
      <w:sz w:val="24"/>
      <w:szCs w:val="24"/>
      <w:lang w:eastAsia="en-AU"/>
    </w:rPr>
  </w:style>
  <w:style w:type="character" w:customStyle="1" w:styleId="Heading9Char">
    <w:name w:val="Heading 9 Char"/>
    <w:basedOn w:val="DefaultParagraphFont"/>
    <w:link w:val="Heading9"/>
    <w:semiHidden/>
    <w:rsid w:val="00FA7F33"/>
    <w:rPr>
      <w:rFonts w:ascii="Arial" w:eastAsia="Times New Roman" w:hAnsi="Arial" w:cs="Arial"/>
      <w:lang w:eastAsia="en-AU"/>
    </w:rPr>
  </w:style>
  <w:style w:type="paragraph" w:styleId="Header">
    <w:name w:val="header"/>
    <w:basedOn w:val="Normal"/>
    <w:link w:val="HeaderChar"/>
    <w:semiHidden/>
    <w:rsid w:val="00FA7F33"/>
    <w:pPr>
      <w:tabs>
        <w:tab w:val="center" w:pos="4153"/>
        <w:tab w:val="right" w:pos="8306"/>
      </w:tabs>
      <w:spacing w:line="240" w:lineRule="auto"/>
    </w:pPr>
    <w:rPr>
      <w:sz w:val="16"/>
    </w:rPr>
  </w:style>
  <w:style w:type="character" w:customStyle="1" w:styleId="HeaderChar">
    <w:name w:val="Header Char"/>
    <w:basedOn w:val="DefaultParagraphFont"/>
    <w:link w:val="Header"/>
    <w:semiHidden/>
    <w:rsid w:val="00FA7F33"/>
    <w:rPr>
      <w:rFonts w:ascii="Arial" w:eastAsia="Times New Roman" w:hAnsi="Arial" w:cs="Times New Roman"/>
      <w:sz w:val="16"/>
      <w:szCs w:val="24"/>
      <w:lang w:eastAsia="en-AU"/>
    </w:rPr>
  </w:style>
  <w:style w:type="paragraph" w:styleId="Footer">
    <w:name w:val="footer"/>
    <w:basedOn w:val="Normal"/>
    <w:link w:val="FooterChar"/>
    <w:semiHidden/>
    <w:qFormat/>
    <w:rsid w:val="00FA7F33"/>
    <w:pPr>
      <w:tabs>
        <w:tab w:val="right" w:pos="113"/>
      </w:tabs>
      <w:spacing w:line="240" w:lineRule="auto"/>
    </w:pPr>
    <w:rPr>
      <w:color w:val="323232"/>
      <w:sz w:val="16"/>
    </w:rPr>
  </w:style>
  <w:style w:type="character" w:customStyle="1" w:styleId="FooterChar">
    <w:name w:val="Footer Char"/>
    <w:basedOn w:val="DefaultParagraphFont"/>
    <w:link w:val="Footer"/>
    <w:semiHidden/>
    <w:rsid w:val="00FA7F33"/>
    <w:rPr>
      <w:rFonts w:ascii="Arial" w:eastAsia="Times New Roman" w:hAnsi="Arial" w:cs="Times New Roman"/>
      <w:color w:val="323232"/>
      <w:sz w:val="16"/>
      <w:szCs w:val="24"/>
      <w:lang w:eastAsia="en-AU"/>
    </w:rPr>
  </w:style>
  <w:style w:type="paragraph" w:customStyle="1" w:styleId="Reporttitle">
    <w:name w:val="Report title"/>
    <w:basedOn w:val="Normal"/>
    <w:uiPriority w:val="19"/>
    <w:qFormat/>
    <w:rsid w:val="00FA7F33"/>
    <w:pPr>
      <w:spacing w:after="0" w:line="560" w:lineRule="exact"/>
    </w:pPr>
    <w:rPr>
      <w:b/>
      <w:spacing w:val="-28"/>
      <w:sz w:val="53"/>
    </w:rPr>
  </w:style>
  <w:style w:type="paragraph" w:customStyle="1" w:styleId="Reportsubtitle">
    <w:name w:val="Report subtitle"/>
    <w:basedOn w:val="Normal"/>
    <w:uiPriority w:val="20"/>
    <w:qFormat/>
    <w:rsid w:val="00FA7F33"/>
    <w:pPr>
      <w:spacing w:after="200" w:line="560" w:lineRule="exact"/>
    </w:pPr>
    <w:rPr>
      <w:color w:val="323232"/>
      <w:spacing w:val="-28"/>
      <w:sz w:val="53"/>
    </w:rPr>
  </w:style>
  <w:style w:type="table" w:styleId="TableGrid">
    <w:name w:val="Table Grid"/>
    <w:basedOn w:val="TableNormal"/>
    <w:uiPriority w:val="59"/>
    <w:rsid w:val="00FA7F33"/>
    <w:pPr>
      <w:spacing w:after="0" w:line="240" w:lineRule="atLeast"/>
    </w:pPr>
    <w:rPr>
      <w:rFonts w:ascii="Times New Roman" w:eastAsia="Times New Roman" w:hAnsi="Times New Roman" w:cs="Times New Roman"/>
      <w:sz w:val="24"/>
      <w:szCs w:val="24"/>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FA7F33"/>
    <w:pPr>
      <w:spacing w:after="1200" w:line="240" w:lineRule="auto"/>
    </w:pPr>
    <w:rPr>
      <w:caps/>
      <w:spacing w:val="-10"/>
      <w:sz w:val="20"/>
    </w:rPr>
  </w:style>
  <w:style w:type="paragraph" w:customStyle="1" w:styleId="Tableheaderrow">
    <w:name w:val="Table header row"/>
    <w:basedOn w:val="Normal"/>
    <w:uiPriority w:val="14"/>
    <w:qFormat/>
    <w:rsid w:val="00FA7F33"/>
    <w:pPr>
      <w:spacing w:after="0"/>
    </w:pPr>
    <w:rPr>
      <w:b/>
    </w:rPr>
  </w:style>
  <w:style w:type="paragraph" w:customStyle="1" w:styleId="PageNumber">
    <w:name w:val="PageNumber"/>
    <w:basedOn w:val="Normal"/>
    <w:semiHidden/>
    <w:rsid w:val="00FA7F33"/>
    <w:pPr>
      <w:spacing w:line="240" w:lineRule="auto"/>
    </w:pPr>
    <w:rPr>
      <w:sz w:val="16"/>
    </w:rPr>
  </w:style>
  <w:style w:type="paragraph" w:customStyle="1" w:styleId="Copyright">
    <w:name w:val="Copyright"/>
    <w:basedOn w:val="Normal"/>
    <w:semiHidden/>
    <w:rsid w:val="00FA7F33"/>
    <w:pPr>
      <w:spacing w:line="160" w:lineRule="exact"/>
    </w:pPr>
    <w:rPr>
      <w:color w:val="4D4D4F"/>
      <w:sz w:val="13"/>
    </w:rPr>
  </w:style>
  <w:style w:type="paragraph" w:styleId="TOCHeading">
    <w:name w:val="TOC Heading"/>
    <w:basedOn w:val="Normal"/>
    <w:semiHidden/>
    <w:qFormat/>
    <w:rsid w:val="00FA7F33"/>
    <w:pPr>
      <w:spacing w:before="1200" w:line="240" w:lineRule="auto"/>
    </w:pPr>
    <w:rPr>
      <w:b/>
      <w:color w:val="323232"/>
      <w:spacing w:val="-28"/>
      <w:sz w:val="53"/>
    </w:rPr>
  </w:style>
  <w:style w:type="paragraph" w:styleId="Caption">
    <w:name w:val="caption"/>
    <w:aliases w:val="Caption table"/>
    <w:basedOn w:val="Normal"/>
    <w:next w:val="Normal"/>
    <w:semiHidden/>
    <w:qFormat/>
    <w:rsid w:val="00FA7F33"/>
    <w:pPr>
      <w:numPr>
        <w:numId w:val="9"/>
      </w:numPr>
      <w:spacing w:after="0"/>
    </w:pPr>
    <w:rPr>
      <w:b/>
      <w:bCs/>
      <w:color w:val="323232"/>
      <w:szCs w:val="20"/>
    </w:rPr>
  </w:style>
  <w:style w:type="paragraph" w:customStyle="1" w:styleId="BodySubHeader">
    <w:name w:val="BodySubHeader"/>
    <w:basedOn w:val="Normal"/>
    <w:next w:val="Normal"/>
    <w:semiHidden/>
    <w:rsid w:val="00FA7F33"/>
    <w:pPr>
      <w:spacing w:before="240" w:after="0"/>
    </w:pPr>
    <w:rPr>
      <w:b/>
      <w:i/>
    </w:rPr>
  </w:style>
  <w:style w:type="paragraph" w:styleId="ListBullet">
    <w:name w:val="List Bullet"/>
    <w:aliases w:val="List Bullet 1"/>
    <w:basedOn w:val="Normal"/>
    <w:link w:val="ListBulletChar"/>
    <w:qFormat/>
    <w:rsid w:val="00FA7F33"/>
    <w:pPr>
      <w:numPr>
        <w:numId w:val="1"/>
      </w:numPr>
      <w:spacing w:after="80"/>
    </w:pPr>
  </w:style>
  <w:style w:type="paragraph" w:styleId="ListBullet2">
    <w:name w:val="List Bullet 2"/>
    <w:basedOn w:val="Normal"/>
    <w:qFormat/>
    <w:rsid w:val="00FA7F33"/>
    <w:pPr>
      <w:numPr>
        <w:numId w:val="2"/>
      </w:numPr>
      <w:spacing w:after="80"/>
    </w:pPr>
  </w:style>
  <w:style w:type="paragraph" w:styleId="ListNumber">
    <w:name w:val="List Number"/>
    <w:basedOn w:val="Normal"/>
    <w:semiHidden/>
    <w:qFormat/>
    <w:rsid w:val="00FA7F33"/>
    <w:pPr>
      <w:numPr>
        <w:numId w:val="3"/>
      </w:numPr>
      <w:spacing w:after="80"/>
    </w:pPr>
  </w:style>
  <w:style w:type="paragraph" w:styleId="ListNumber2">
    <w:name w:val="List Number 2"/>
    <w:basedOn w:val="Normal"/>
    <w:semiHidden/>
    <w:qFormat/>
    <w:rsid w:val="00FA7F33"/>
    <w:pPr>
      <w:numPr>
        <w:numId w:val="4"/>
      </w:numPr>
      <w:spacing w:after="80"/>
      <w:ind w:left="828" w:hanging="357"/>
    </w:pPr>
  </w:style>
  <w:style w:type="paragraph" w:customStyle="1" w:styleId="URLEmail">
    <w:name w:val="URL/Email"/>
    <w:basedOn w:val="Normal"/>
    <w:semiHidden/>
    <w:rsid w:val="00FA7F33"/>
    <w:rPr>
      <w:color w:val="4D4D4F"/>
      <w:spacing w:val="4"/>
    </w:rPr>
  </w:style>
  <w:style w:type="paragraph" w:customStyle="1" w:styleId="Execsummaryheading">
    <w:name w:val="Exec summary heading"/>
    <w:basedOn w:val="Normal"/>
    <w:uiPriority w:val="22"/>
    <w:qFormat/>
    <w:rsid w:val="00FA7F33"/>
    <w:pPr>
      <w:pageBreakBefore/>
      <w:spacing w:after="1440" w:line="550" w:lineRule="exact"/>
    </w:pPr>
    <w:rPr>
      <w:b/>
      <w:color w:val="323232"/>
      <w:spacing w:val="-18"/>
      <w:sz w:val="53"/>
    </w:rPr>
  </w:style>
  <w:style w:type="character" w:styleId="PageNumber0">
    <w:name w:val="page number"/>
    <w:basedOn w:val="DefaultParagraphFont"/>
    <w:semiHidden/>
    <w:rsid w:val="00FA7F33"/>
  </w:style>
  <w:style w:type="paragraph" w:styleId="ListContinue5">
    <w:name w:val="List Continue 5"/>
    <w:basedOn w:val="Normal"/>
    <w:semiHidden/>
    <w:rsid w:val="00FA7F33"/>
    <w:pPr>
      <w:spacing w:after="120"/>
      <w:ind w:left="1415"/>
      <w:contextualSpacing/>
    </w:pPr>
  </w:style>
  <w:style w:type="paragraph" w:customStyle="1" w:styleId="Paragraphbeforelist">
    <w:name w:val="Paragraph before list"/>
    <w:basedOn w:val="Paragraph"/>
    <w:uiPriority w:val="4"/>
    <w:qFormat/>
    <w:rsid w:val="00FA7F33"/>
    <w:pPr>
      <w:spacing w:after="80"/>
    </w:pPr>
  </w:style>
  <w:style w:type="paragraph" w:styleId="TOC1">
    <w:name w:val="toc 1"/>
    <w:basedOn w:val="Normal"/>
    <w:next w:val="Normal"/>
    <w:uiPriority w:val="39"/>
    <w:qFormat/>
    <w:rsid w:val="00FA7F33"/>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FA7F33"/>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FA7F33"/>
    <w:pPr>
      <w:tabs>
        <w:tab w:val="right" w:pos="7615"/>
      </w:tabs>
      <w:spacing w:line="320" w:lineRule="exact"/>
    </w:pPr>
    <w:rPr>
      <w:noProof/>
      <w:color w:val="808285"/>
      <w:sz w:val="28"/>
    </w:rPr>
  </w:style>
  <w:style w:type="paragraph" w:styleId="TOC3">
    <w:name w:val="toc 3"/>
    <w:basedOn w:val="Normal"/>
    <w:next w:val="Normal"/>
    <w:uiPriority w:val="39"/>
    <w:qFormat/>
    <w:rsid w:val="00FA7F33"/>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FA7F33"/>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Style 13,FR"/>
    <w:basedOn w:val="DefaultParagraphFont"/>
    <w:qFormat/>
    <w:rsid w:val="00FA7F33"/>
    <w:rPr>
      <w:rFonts w:ascii="Arial" w:hAnsi="Arial"/>
      <w:vertAlign w:val="superscript"/>
    </w:rPr>
  </w:style>
  <w:style w:type="paragraph" w:styleId="FootnoteText">
    <w:name w:val="footnote text"/>
    <w:aliases w:val="Footnote text,ACMA Footnote Text,ABA Footnote Text,footnote text,Footnote Text Char1,Footnote Text Char Char,Footnote Text Char1 Char Char,Footnote Text Char Char Char Char,Footnote Text Char1 Char Char Char Char,f,fn"/>
    <w:basedOn w:val="Normal"/>
    <w:link w:val="FootnoteTextChar"/>
    <w:uiPriority w:val="23"/>
    <w:qFormat/>
    <w:rsid w:val="00FA7F33"/>
    <w:pPr>
      <w:spacing w:after="0"/>
    </w:pPr>
    <w:rPr>
      <w:sz w:val="16"/>
      <w:szCs w:val="16"/>
    </w:rPr>
  </w:style>
  <w:style w:type="character" w:customStyle="1" w:styleId="FootnoteTextChar">
    <w:name w:val="Footnote Text Char"/>
    <w:aliases w:val="Footnote text Char,ACMA Footnote Text Char,ABA Footnote Text Char,footnote text Char,Footnote Text Char1 Char,Footnote Text Char Char Char,Footnote Text Char1 Char Char Char,Footnote Text Char Char Char Char Char,f Char,fn Char"/>
    <w:basedOn w:val="DefaultParagraphFont"/>
    <w:link w:val="FootnoteText"/>
    <w:uiPriority w:val="23"/>
    <w:qFormat/>
    <w:rsid w:val="00FA7F33"/>
    <w:rPr>
      <w:rFonts w:ascii="Arial" w:eastAsia="Times New Roman" w:hAnsi="Arial" w:cs="Times New Roman"/>
      <w:sz w:val="16"/>
      <w:szCs w:val="16"/>
      <w:lang w:eastAsia="en-AU"/>
    </w:rPr>
  </w:style>
  <w:style w:type="paragraph" w:customStyle="1" w:styleId="TableBody">
    <w:name w:val="Table Body"/>
    <w:basedOn w:val="Normal"/>
    <w:qFormat/>
    <w:rsid w:val="00FA7F33"/>
    <w:pPr>
      <w:spacing w:after="0" w:line="240" w:lineRule="auto"/>
    </w:pPr>
  </w:style>
  <w:style w:type="character" w:styleId="CommentReference">
    <w:name w:val="annotation reference"/>
    <w:basedOn w:val="DefaultParagraphFont"/>
    <w:uiPriority w:val="99"/>
    <w:rsid w:val="00FA7F33"/>
    <w:rPr>
      <w:sz w:val="16"/>
      <w:szCs w:val="16"/>
    </w:rPr>
  </w:style>
  <w:style w:type="paragraph" w:styleId="CommentText">
    <w:name w:val="annotation text"/>
    <w:basedOn w:val="Normal"/>
    <w:link w:val="CommentTextChar"/>
    <w:qFormat/>
    <w:rsid w:val="00FA7F33"/>
    <w:pPr>
      <w:spacing w:line="240" w:lineRule="auto"/>
    </w:pPr>
    <w:rPr>
      <w:szCs w:val="20"/>
    </w:rPr>
  </w:style>
  <w:style w:type="character" w:customStyle="1" w:styleId="CommentTextChar">
    <w:name w:val="Comment Text Char"/>
    <w:basedOn w:val="DefaultParagraphFont"/>
    <w:link w:val="CommentText"/>
    <w:rsid w:val="00FA7F33"/>
    <w:rPr>
      <w:rFonts w:ascii="Arial" w:eastAsia="Times New Roman" w:hAnsi="Arial" w:cs="Times New Roman"/>
      <w:sz w:val="20"/>
      <w:szCs w:val="20"/>
      <w:lang w:eastAsia="en-AU"/>
    </w:rPr>
  </w:style>
  <w:style w:type="paragraph" w:styleId="CommentSubject">
    <w:name w:val="annotation subject"/>
    <w:basedOn w:val="CommentText"/>
    <w:next w:val="CommentText"/>
    <w:link w:val="CommentSubjectChar"/>
    <w:semiHidden/>
    <w:rsid w:val="00FA7F33"/>
    <w:rPr>
      <w:b/>
      <w:bCs/>
    </w:rPr>
  </w:style>
  <w:style w:type="character" w:customStyle="1" w:styleId="CommentSubjectChar">
    <w:name w:val="Comment Subject Char"/>
    <w:basedOn w:val="CommentTextChar"/>
    <w:link w:val="CommentSubject"/>
    <w:semiHidden/>
    <w:rsid w:val="00FA7F33"/>
    <w:rPr>
      <w:rFonts w:ascii="Arial" w:eastAsia="Times New Roman" w:hAnsi="Arial" w:cs="Times New Roman"/>
      <w:b/>
      <w:bCs/>
      <w:sz w:val="20"/>
      <w:szCs w:val="20"/>
      <w:lang w:eastAsia="en-AU"/>
    </w:rPr>
  </w:style>
  <w:style w:type="character" w:styleId="FollowedHyperlink">
    <w:name w:val="FollowedHyperlink"/>
    <w:basedOn w:val="DefaultParagraphFont"/>
    <w:semiHidden/>
    <w:rsid w:val="00FA7F33"/>
    <w:rPr>
      <w:color w:val="954F72" w:themeColor="followedHyperlink"/>
      <w:u w:val="single"/>
    </w:rPr>
  </w:style>
  <w:style w:type="character" w:styleId="PlaceholderText">
    <w:name w:val="Placeholder Text"/>
    <w:basedOn w:val="DefaultParagraphFont"/>
    <w:uiPriority w:val="99"/>
    <w:semiHidden/>
    <w:rsid w:val="00FA7F33"/>
    <w:rPr>
      <w:color w:val="808080"/>
    </w:rPr>
  </w:style>
  <w:style w:type="paragraph" w:customStyle="1" w:styleId="ACMAInstructions">
    <w:name w:val="ACMA_Instructions"/>
    <w:basedOn w:val="Normal"/>
    <w:semiHidden/>
    <w:unhideWhenUsed/>
    <w:qFormat/>
    <w:rsid w:val="00FA7F33"/>
    <w:pPr>
      <w:spacing w:after="200"/>
    </w:pPr>
    <w:rPr>
      <w:rFonts w:cs="Arial"/>
      <w:b/>
      <w:vanish/>
      <w:sz w:val="24"/>
    </w:rPr>
  </w:style>
  <w:style w:type="paragraph" w:customStyle="1" w:styleId="CorporateAddresses">
    <w:name w:val="Corporate Addresses"/>
    <w:basedOn w:val="Normal"/>
    <w:semiHidden/>
    <w:rsid w:val="00FA7F33"/>
    <w:pPr>
      <w:spacing w:line="140" w:lineRule="exact"/>
    </w:pPr>
    <w:rPr>
      <w:color w:val="4D4D4F"/>
      <w:sz w:val="13"/>
    </w:rPr>
  </w:style>
  <w:style w:type="paragraph" w:customStyle="1" w:styleId="Bulletlevel1">
    <w:name w:val="Bullet level 1"/>
    <w:basedOn w:val="ListBullet"/>
    <w:uiPriority w:val="5"/>
    <w:qFormat/>
    <w:rsid w:val="00FA7F33"/>
    <w:rPr>
      <w:rFonts w:cs="Arial"/>
    </w:rPr>
  </w:style>
  <w:style w:type="paragraph" w:customStyle="1" w:styleId="ACMACorporateAddressHeader">
    <w:name w:val="ACMA_CorporateAddressHeader"/>
    <w:basedOn w:val="Normal"/>
    <w:next w:val="ACMACorporateAddresses"/>
    <w:semiHidden/>
    <w:unhideWhenUsed/>
    <w:qFormat/>
    <w:rsid w:val="00FA7F33"/>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A7F33"/>
    <w:pPr>
      <w:spacing w:before="0" w:after="120"/>
    </w:pPr>
    <w:rPr>
      <w:b w:val="0"/>
    </w:rPr>
  </w:style>
  <w:style w:type="paragraph" w:customStyle="1" w:styleId="ACMACopyrightHeader">
    <w:name w:val="ACMA_CopyrightHeader"/>
    <w:basedOn w:val="ACMACorporateAddressHeader"/>
    <w:semiHidden/>
    <w:unhideWhenUsed/>
    <w:qFormat/>
    <w:rsid w:val="00FA7F33"/>
    <w:pPr>
      <w:spacing w:before="3000"/>
    </w:pPr>
  </w:style>
  <w:style w:type="paragraph" w:customStyle="1" w:styleId="ACMACClogo">
    <w:name w:val="ACMA_CClogo"/>
    <w:semiHidden/>
    <w:unhideWhenUsed/>
    <w:qFormat/>
    <w:rsid w:val="00FA7F33"/>
    <w:pPr>
      <w:spacing w:before="160" w:after="120" w:line="240" w:lineRule="auto"/>
    </w:pPr>
    <w:rPr>
      <w:rFonts w:ascii="Arial" w:eastAsia="Times New Roman" w:hAnsi="Arial" w:cs="Times New Roman"/>
      <w:b/>
      <w:sz w:val="13"/>
      <w:szCs w:val="24"/>
      <w:lang w:eastAsia="en-AU"/>
    </w:rPr>
  </w:style>
  <w:style w:type="paragraph" w:customStyle="1" w:styleId="ListBulletLast">
    <w:name w:val="List Bullet Last"/>
    <w:basedOn w:val="ListBullet"/>
    <w:qFormat/>
    <w:rsid w:val="00FA7F33"/>
    <w:pPr>
      <w:spacing w:after="240"/>
    </w:pPr>
    <w:rPr>
      <w:rFonts w:cs="Arial"/>
    </w:rPr>
  </w:style>
  <w:style w:type="paragraph" w:customStyle="1" w:styleId="ListNumberLast">
    <w:name w:val="List Number Last"/>
    <w:basedOn w:val="ListNumber"/>
    <w:semiHidden/>
    <w:qFormat/>
    <w:rsid w:val="00FA7F33"/>
    <w:pPr>
      <w:spacing w:after="240"/>
      <w:ind w:left="357" w:hanging="357"/>
    </w:pPr>
    <w:rPr>
      <w:rFonts w:cs="Arial"/>
    </w:rPr>
  </w:style>
  <w:style w:type="paragraph" w:customStyle="1" w:styleId="ACMATableHeader">
    <w:name w:val="ACMA_TableHeader"/>
    <w:qFormat/>
    <w:rsid w:val="00FA7F33"/>
    <w:pPr>
      <w:numPr>
        <w:numId w:val="7"/>
      </w:numPr>
      <w:spacing w:line="240" w:lineRule="auto"/>
    </w:pPr>
    <w:rPr>
      <w:rFonts w:ascii="Arial" w:eastAsia="Times New Roman" w:hAnsi="Arial" w:cs="Times New Roman"/>
      <w:b/>
      <w:bCs/>
      <w:color w:val="323232"/>
      <w:sz w:val="20"/>
      <w:szCs w:val="20"/>
      <w:lang w:eastAsia="en-AU"/>
    </w:rPr>
  </w:style>
  <w:style w:type="paragraph" w:customStyle="1" w:styleId="ACMANotes">
    <w:name w:val="ACMA_Notes"/>
    <w:semiHidden/>
    <w:qFormat/>
    <w:rsid w:val="00FA7F33"/>
    <w:pPr>
      <w:spacing w:before="80" w:after="0" w:line="240" w:lineRule="auto"/>
    </w:pPr>
    <w:rPr>
      <w:rFonts w:ascii="Arial" w:eastAsia="Times New Roman" w:hAnsi="Arial" w:cs="Arial"/>
      <w:i/>
      <w:sz w:val="16"/>
      <w:szCs w:val="24"/>
      <w:lang w:eastAsia="en-AU"/>
    </w:rPr>
  </w:style>
  <w:style w:type="paragraph" w:customStyle="1" w:styleId="Numberlistlevel1">
    <w:name w:val="Number list level 1"/>
    <w:basedOn w:val="ListNumber"/>
    <w:uiPriority w:val="9"/>
    <w:qFormat/>
    <w:rsid w:val="00FA7F33"/>
  </w:style>
  <w:style w:type="character" w:styleId="Emphasis">
    <w:name w:val="Emphasis"/>
    <w:basedOn w:val="DefaultParagraphFont"/>
    <w:qFormat/>
    <w:rsid w:val="00FA7F33"/>
    <w:rPr>
      <w:i/>
      <w:iCs/>
    </w:rPr>
  </w:style>
  <w:style w:type="paragraph" w:customStyle="1" w:styleId="ListNumber2Last">
    <w:name w:val="List Number 2 Last"/>
    <w:basedOn w:val="ListNumber2"/>
    <w:semiHidden/>
    <w:qFormat/>
    <w:rsid w:val="00FA7F33"/>
    <w:pPr>
      <w:spacing w:after="240"/>
      <w:ind w:left="907"/>
    </w:pPr>
    <w:rPr>
      <w:rFonts w:cs="Arial"/>
    </w:rPr>
  </w:style>
  <w:style w:type="paragraph" w:customStyle="1" w:styleId="Spaceaftertable">
    <w:name w:val="Space after table"/>
    <w:basedOn w:val="Normal"/>
    <w:uiPriority w:val="99"/>
    <w:qFormat/>
    <w:rsid w:val="00FA7F33"/>
    <w:rPr>
      <w:rFonts w:cs="Arial"/>
    </w:rPr>
  </w:style>
  <w:style w:type="paragraph" w:customStyle="1" w:styleId="FooterLeft">
    <w:name w:val="Footer Left"/>
    <w:basedOn w:val="Footer"/>
    <w:semiHidden/>
    <w:qFormat/>
    <w:rsid w:val="00FA7F33"/>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FA7F33"/>
    <w:pPr>
      <w:numPr>
        <w:numId w:val="6"/>
      </w:numPr>
      <w:spacing w:line="240" w:lineRule="auto"/>
    </w:pPr>
    <w:rPr>
      <w:rFonts w:ascii="Arial" w:eastAsia="Times New Roman" w:hAnsi="Arial" w:cs="Times New Roman"/>
      <w:b/>
      <w:bCs/>
      <w:color w:val="323232"/>
      <w:sz w:val="20"/>
      <w:szCs w:val="20"/>
      <w:lang w:eastAsia="en-AU"/>
    </w:rPr>
  </w:style>
  <w:style w:type="paragraph" w:customStyle="1" w:styleId="Captionfigure">
    <w:name w:val="Caption figure"/>
    <w:basedOn w:val="Caption"/>
    <w:semiHidden/>
    <w:qFormat/>
    <w:rsid w:val="00FA7F33"/>
    <w:pPr>
      <w:keepNext/>
      <w:numPr>
        <w:numId w:val="8"/>
      </w:numPr>
    </w:pPr>
    <w:rPr>
      <w:rFonts w:cs="Arial"/>
    </w:rPr>
  </w:style>
  <w:style w:type="paragraph" w:customStyle="1" w:styleId="GridTable31">
    <w:name w:val="Grid Table 31"/>
    <w:basedOn w:val="Normal"/>
    <w:semiHidden/>
    <w:qFormat/>
    <w:rsid w:val="00FA7F33"/>
    <w:pPr>
      <w:spacing w:after="0" w:line="240" w:lineRule="auto"/>
    </w:pPr>
    <w:rPr>
      <w:b/>
      <w:color w:val="4D4D4F"/>
      <w:spacing w:val="-28"/>
      <w:sz w:val="53"/>
    </w:rPr>
  </w:style>
  <w:style w:type="character" w:styleId="UnresolvedMention">
    <w:name w:val="Unresolved Mention"/>
    <w:basedOn w:val="DefaultParagraphFont"/>
    <w:uiPriority w:val="99"/>
    <w:semiHidden/>
    <w:unhideWhenUsed/>
    <w:rsid w:val="00FA7F33"/>
    <w:rPr>
      <w:color w:val="605E5C"/>
      <w:shd w:val="clear" w:color="auto" w:fill="E1DFDD"/>
    </w:rPr>
  </w:style>
  <w:style w:type="paragraph" w:customStyle="1" w:styleId="Paragraph">
    <w:name w:val="Paragraph"/>
    <w:basedOn w:val="Normal"/>
    <w:qFormat/>
    <w:rsid w:val="00FA7F33"/>
    <w:rPr>
      <w:rFonts w:cs="Arial"/>
    </w:rPr>
  </w:style>
  <w:style w:type="paragraph" w:customStyle="1" w:styleId="Bulletlevel2">
    <w:name w:val="Bullet level 2"/>
    <w:basedOn w:val="ListBullet2"/>
    <w:uiPriority w:val="7"/>
    <w:qFormat/>
    <w:rsid w:val="00FA7F33"/>
    <w:pPr>
      <w:tabs>
        <w:tab w:val="clear" w:pos="845"/>
        <w:tab w:val="left" w:pos="295"/>
      </w:tabs>
      <w:ind w:left="590" w:hanging="295"/>
    </w:pPr>
    <w:rPr>
      <w:rFonts w:cs="Arial"/>
    </w:rPr>
  </w:style>
  <w:style w:type="paragraph" w:customStyle="1" w:styleId="Bulletlevel1last">
    <w:name w:val="Bullet level 1 last"/>
    <w:basedOn w:val="ListBulletLast"/>
    <w:uiPriority w:val="6"/>
    <w:qFormat/>
    <w:rsid w:val="00FA7F33"/>
  </w:style>
  <w:style w:type="paragraph" w:customStyle="1" w:styleId="Numberlistlevel2">
    <w:name w:val="Number list level 2"/>
    <w:basedOn w:val="ListNumber2"/>
    <w:uiPriority w:val="11"/>
    <w:qFormat/>
    <w:rsid w:val="00FA7F33"/>
    <w:pPr>
      <w:ind w:left="766" w:hanging="295"/>
    </w:pPr>
  </w:style>
  <w:style w:type="paragraph" w:customStyle="1" w:styleId="Numberlistlast">
    <w:name w:val="Number list last"/>
    <w:basedOn w:val="ListNumberLast"/>
    <w:uiPriority w:val="10"/>
    <w:qFormat/>
    <w:rsid w:val="00FA7F33"/>
  </w:style>
  <w:style w:type="paragraph" w:customStyle="1" w:styleId="Numberlistlevel2last">
    <w:name w:val="Number list level 2 last"/>
    <w:basedOn w:val="Numberlistlevel2"/>
    <w:uiPriority w:val="12"/>
    <w:qFormat/>
    <w:rsid w:val="00FA7F33"/>
    <w:pPr>
      <w:spacing w:after="240"/>
    </w:pPr>
  </w:style>
  <w:style w:type="paragraph" w:customStyle="1" w:styleId="Bulletlevel2last">
    <w:name w:val="Bullet level 2 last"/>
    <w:basedOn w:val="Bulletlevel2"/>
    <w:uiPriority w:val="8"/>
    <w:qFormat/>
    <w:rsid w:val="00FA7F33"/>
    <w:pPr>
      <w:spacing w:after="240"/>
    </w:pPr>
  </w:style>
  <w:style w:type="table" w:customStyle="1" w:styleId="ACMAtablestyle">
    <w:name w:val="ACMA table style"/>
    <w:basedOn w:val="TableNormal"/>
    <w:uiPriority w:val="99"/>
    <w:rsid w:val="00FA7F33"/>
    <w:pPr>
      <w:spacing w:after="0" w:line="240" w:lineRule="auto"/>
    </w:pPr>
    <w:rPr>
      <w:rFonts w:ascii="Arial" w:eastAsia="Times New Roman" w:hAnsi="Arial" w:cs="Times New Roman"/>
      <w:sz w:val="20"/>
      <w:szCs w:val="24"/>
      <w:lang w:eastAsia="en-A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uiPriority w:val="13"/>
    <w:qFormat/>
    <w:rsid w:val="00FA7F33"/>
    <w:pPr>
      <w:keepNext/>
      <w:spacing w:line="240" w:lineRule="atLeast"/>
    </w:pPr>
  </w:style>
  <w:style w:type="paragraph" w:customStyle="1" w:styleId="Tableorfigurenote">
    <w:name w:val="Table or figure note"/>
    <w:basedOn w:val="ACMANotes"/>
    <w:uiPriority w:val="17"/>
    <w:qFormat/>
    <w:rsid w:val="00FA7F33"/>
    <w:pPr>
      <w:spacing w:after="240"/>
    </w:pPr>
  </w:style>
  <w:style w:type="paragraph" w:customStyle="1" w:styleId="Figureheading">
    <w:name w:val="Figure heading"/>
    <w:basedOn w:val="ACMAFigureHeader"/>
    <w:uiPriority w:val="16"/>
    <w:qFormat/>
    <w:rsid w:val="00FA7F33"/>
    <w:pPr>
      <w:keepNext/>
      <w:spacing w:line="240" w:lineRule="atLeast"/>
    </w:pPr>
  </w:style>
  <w:style w:type="paragraph" w:customStyle="1" w:styleId="Tableorfigurenotemultiple">
    <w:name w:val="Table or figure note multiple"/>
    <w:basedOn w:val="Tableorfigurenote"/>
    <w:uiPriority w:val="18"/>
    <w:qFormat/>
    <w:rsid w:val="00FA7F33"/>
    <w:pPr>
      <w:spacing w:after="80"/>
    </w:pPr>
  </w:style>
  <w:style w:type="paragraph" w:customStyle="1" w:styleId="Protectivemarking">
    <w:name w:val="Protective marking"/>
    <w:basedOn w:val="Normal"/>
    <w:uiPriority w:val="99"/>
    <w:qFormat/>
    <w:rsid w:val="00FA7F33"/>
    <w:pPr>
      <w:tabs>
        <w:tab w:val="left" w:pos="720"/>
      </w:tabs>
      <w:spacing w:after="0" w:line="240" w:lineRule="auto"/>
      <w:jc w:val="center"/>
    </w:pPr>
    <w:rPr>
      <w:rFonts w:cs="Arial"/>
      <w:b/>
      <w:bCs/>
      <w:color w:val="FF0000"/>
      <w:sz w:val="32"/>
      <w:lang w:eastAsia="en-US"/>
    </w:rPr>
  </w:style>
  <w:style w:type="paragraph" w:styleId="BalloonText">
    <w:name w:val="Balloon Text"/>
    <w:basedOn w:val="Normal"/>
    <w:link w:val="BalloonTextChar"/>
    <w:semiHidden/>
    <w:unhideWhenUsed/>
    <w:rsid w:val="00FA7F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FA7F33"/>
    <w:rPr>
      <w:rFonts w:ascii="Segoe UI" w:eastAsia="Times New Roman" w:hAnsi="Segoe UI" w:cs="Segoe UI"/>
      <w:sz w:val="18"/>
      <w:szCs w:val="18"/>
      <w:lang w:eastAsia="en-AU"/>
    </w:rPr>
  </w:style>
  <w:style w:type="paragraph" w:styleId="Revision">
    <w:name w:val="Revision"/>
    <w:hidden/>
    <w:semiHidden/>
    <w:rsid w:val="00FA7F33"/>
    <w:pPr>
      <w:spacing w:after="0" w:line="240" w:lineRule="auto"/>
    </w:pPr>
    <w:rPr>
      <w:rFonts w:ascii="Arial" w:eastAsia="Times New Roman" w:hAnsi="Arial" w:cs="Times New Roman"/>
      <w:sz w:val="20"/>
      <w:szCs w:val="24"/>
      <w:lang w:eastAsia="en-AU"/>
    </w:rPr>
  </w:style>
  <w:style w:type="character" w:customStyle="1" w:styleId="ListBulletChar">
    <w:name w:val="List Bullet Char"/>
    <w:aliases w:val="List Bullet 1 Char"/>
    <w:basedOn w:val="DefaultParagraphFont"/>
    <w:link w:val="ListBullet"/>
    <w:rsid w:val="00FA7F33"/>
    <w:rPr>
      <w:rFonts w:ascii="Arial" w:eastAsia="Times New Roman" w:hAnsi="Arial" w:cs="Times New Roman"/>
      <w:sz w:val="20"/>
      <w:szCs w:val="24"/>
      <w:lang w:eastAsia="en-AU"/>
    </w:rPr>
  </w:style>
  <w:style w:type="paragraph" w:customStyle="1" w:styleId="ACMAletteredlist">
    <w:name w:val="ACMA lettered list"/>
    <w:rsid w:val="00FA7F33"/>
    <w:pPr>
      <w:numPr>
        <w:numId w:val="10"/>
      </w:numPr>
      <w:spacing w:before="20" w:after="20" w:line="240" w:lineRule="auto"/>
      <w:ind w:left="0" w:firstLine="0"/>
    </w:pPr>
    <w:rPr>
      <w:rFonts w:ascii="Times New Roman" w:eastAsia="Times New Roman" w:hAnsi="Times New Roman" w:cs="Times New Roman"/>
      <w:sz w:val="24"/>
      <w:szCs w:val="20"/>
    </w:rPr>
  </w:style>
  <w:style w:type="paragraph" w:customStyle="1" w:styleId="ACMABodyText">
    <w:name w:val="ACMA Body Text"/>
    <w:link w:val="ACMABodyTextChar"/>
    <w:rsid w:val="00FA7F33"/>
    <w:pPr>
      <w:suppressAutoHyphens/>
      <w:spacing w:before="80" w:after="120" w:line="280" w:lineRule="atLeast"/>
    </w:pPr>
    <w:rPr>
      <w:rFonts w:ascii="Times New Roman" w:eastAsia="Times New Roman" w:hAnsi="Times New Roman" w:cs="Times New Roman"/>
      <w:snapToGrid w:val="0"/>
      <w:sz w:val="24"/>
      <w:szCs w:val="20"/>
    </w:rPr>
  </w:style>
  <w:style w:type="paragraph" w:customStyle="1" w:styleId="LegislationLvl1">
    <w:name w:val="Legislation Lvl 1"/>
    <w:rsid w:val="00FA7F33"/>
    <w:pPr>
      <w:numPr>
        <w:numId w:val="11"/>
      </w:numPr>
      <w:tabs>
        <w:tab w:val="clear" w:pos="1080"/>
        <w:tab w:val="num" w:pos="360"/>
      </w:tabs>
      <w:spacing w:after="0" w:line="240" w:lineRule="auto"/>
      <w:ind w:left="0" w:firstLine="0"/>
    </w:pPr>
    <w:rPr>
      <w:rFonts w:ascii="Times New Roman" w:eastAsia="Times New Roman" w:hAnsi="Times New Roman" w:cs="Times New Roman"/>
      <w:bCs/>
      <w:szCs w:val="20"/>
    </w:rPr>
  </w:style>
  <w:style w:type="paragraph" w:customStyle="1" w:styleId="LegislationLvl2">
    <w:name w:val="Legislation Lvl 2"/>
    <w:rsid w:val="00FA7F33"/>
    <w:pPr>
      <w:numPr>
        <w:ilvl w:val="1"/>
        <w:numId w:val="11"/>
      </w:numPr>
      <w:tabs>
        <w:tab w:val="clear" w:pos="1440"/>
        <w:tab w:val="num" w:pos="360"/>
      </w:tabs>
      <w:spacing w:after="0" w:line="240" w:lineRule="auto"/>
      <w:ind w:left="0" w:firstLine="0"/>
    </w:pPr>
    <w:rPr>
      <w:rFonts w:ascii="Times New Roman" w:eastAsia="Times New Roman" w:hAnsi="Times New Roman" w:cs="Times New Roman"/>
      <w:szCs w:val="20"/>
    </w:rPr>
  </w:style>
  <w:style w:type="paragraph" w:customStyle="1" w:styleId="LegislationLvl3">
    <w:name w:val="Legislation Lvl 3"/>
    <w:rsid w:val="00FA7F33"/>
    <w:pPr>
      <w:numPr>
        <w:ilvl w:val="2"/>
        <w:numId w:val="11"/>
      </w:numPr>
      <w:tabs>
        <w:tab w:val="clear" w:pos="2340"/>
        <w:tab w:val="num" w:pos="360"/>
      </w:tabs>
      <w:spacing w:after="0" w:line="240" w:lineRule="auto"/>
      <w:ind w:left="0" w:firstLine="0"/>
    </w:pPr>
    <w:rPr>
      <w:rFonts w:ascii="Times New Roman" w:eastAsia="Times New Roman" w:hAnsi="Times New Roman" w:cs="Times New Roman"/>
      <w:szCs w:val="20"/>
    </w:rPr>
  </w:style>
  <w:style w:type="paragraph" w:customStyle="1" w:styleId="LegislationLvl4">
    <w:name w:val="Legislation Lvl 4"/>
    <w:rsid w:val="00FA7F33"/>
    <w:pPr>
      <w:numPr>
        <w:ilvl w:val="3"/>
        <w:numId w:val="11"/>
      </w:numPr>
      <w:tabs>
        <w:tab w:val="clear" w:pos="2700"/>
        <w:tab w:val="num" w:pos="360"/>
      </w:tabs>
      <w:spacing w:after="0" w:line="240" w:lineRule="auto"/>
      <w:ind w:left="0" w:firstLine="0"/>
    </w:pPr>
    <w:rPr>
      <w:rFonts w:ascii="Times New Roman" w:eastAsia="Times New Roman" w:hAnsi="Times New Roman" w:cs="Times New Roman"/>
      <w:szCs w:val="20"/>
    </w:rPr>
  </w:style>
  <w:style w:type="paragraph" w:styleId="ListParagraph">
    <w:name w:val="List Paragraph"/>
    <w:aliases w:val="List Paragraph1,Recommendation"/>
    <w:basedOn w:val="Normal"/>
    <w:link w:val="ListParagraphChar"/>
    <w:uiPriority w:val="34"/>
    <w:qFormat/>
    <w:rsid w:val="00FA7F33"/>
    <w:pPr>
      <w:numPr>
        <w:numId w:val="18"/>
      </w:numPr>
      <w:spacing w:after="200" w:line="276" w:lineRule="auto"/>
      <w:contextualSpacing/>
    </w:pPr>
    <w:rPr>
      <w:rFonts w:eastAsia="Calibri" w:cs="Arial"/>
      <w:szCs w:val="20"/>
      <w:lang w:eastAsia="en-US"/>
    </w:rPr>
  </w:style>
  <w:style w:type="character" w:customStyle="1" w:styleId="ACMABodyTextChar">
    <w:name w:val="ACMA Body Text Char"/>
    <w:basedOn w:val="DefaultParagraphFont"/>
    <w:link w:val="ACMABodyText"/>
    <w:locked/>
    <w:rsid w:val="00FA7F33"/>
    <w:rPr>
      <w:rFonts w:ascii="Times New Roman" w:eastAsia="Times New Roman" w:hAnsi="Times New Roman" w:cs="Times New Roman"/>
      <w:snapToGrid w:val="0"/>
      <w:sz w:val="24"/>
      <w:szCs w:val="20"/>
    </w:rPr>
  </w:style>
  <w:style w:type="character" w:customStyle="1" w:styleId="ListParagraphChar">
    <w:name w:val="List Paragraph Char"/>
    <w:aliases w:val="List Paragraph1 Char,Recommendation Char"/>
    <w:basedOn w:val="DefaultParagraphFont"/>
    <w:link w:val="ListParagraph"/>
    <w:uiPriority w:val="34"/>
    <w:locked/>
    <w:rsid w:val="00FA7F33"/>
    <w:rPr>
      <w:rFonts w:ascii="Arial" w:eastAsia="Calibri" w:hAnsi="Arial" w:cs="Arial"/>
      <w:sz w:val="20"/>
      <w:szCs w:val="20"/>
    </w:rPr>
  </w:style>
  <w:style w:type="paragraph" w:customStyle="1" w:styleId="TableHeading0">
    <w:name w:val="Table Heading"/>
    <w:basedOn w:val="Normal"/>
    <w:qFormat/>
    <w:rsid w:val="00FA7F33"/>
    <w:pPr>
      <w:spacing w:after="0"/>
    </w:pPr>
    <w:rPr>
      <w:b/>
    </w:rPr>
  </w:style>
  <w:style w:type="paragraph" w:customStyle="1" w:styleId="Pre-NumberedLegisLvl3">
    <w:name w:val="Pre-Numbered Legis Lvl 3"/>
    <w:rsid w:val="00FA7F33"/>
    <w:pPr>
      <w:spacing w:after="0" w:line="240" w:lineRule="auto"/>
      <w:ind w:left="1985" w:hanging="567"/>
    </w:pPr>
    <w:rPr>
      <w:rFonts w:ascii="Times New Roman" w:eastAsia="Times New Roman" w:hAnsi="Times New Roman" w:cs="Times New Roman"/>
      <w:szCs w:val="20"/>
    </w:rPr>
  </w:style>
  <w:style w:type="paragraph" w:customStyle="1" w:styleId="question">
    <w:name w:val="question"/>
    <w:basedOn w:val="ListParagraph"/>
    <w:link w:val="questionChar"/>
    <w:qFormat/>
    <w:rsid w:val="00FA7F33"/>
    <w:pPr>
      <w:numPr>
        <w:numId w:val="17"/>
      </w:numPr>
      <w:pBdr>
        <w:top w:val="single" w:sz="4" w:space="1" w:color="auto"/>
        <w:left w:val="single" w:sz="4" w:space="4" w:color="auto"/>
        <w:bottom w:val="single" w:sz="4" w:space="1" w:color="auto"/>
        <w:right w:val="single" w:sz="4" w:space="4" w:color="auto"/>
        <w:between w:val="single" w:sz="4" w:space="1" w:color="auto"/>
        <w:bar w:val="single" w:sz="4" w:color="auto"/>
      </w:pBdr>
    </w:pPr>
  </w:style>
  <w:style w:type="paragraph" w:customStyle="1" w:styleId="sub-heading">
    <w:name w:val="sub-heading"/>
    <w:basedOn w:val="Heading2"/>
    <w:link w:val="sub-headingChar"/>
    <w:qFormat/>
    <w:rsid w:val="00FA7F33"/>
  </w:style>
  <w:style w:type="character" w:customStyle="1" w:styleId="questionChar">
    <w:name w:val="question Char"/>
    <w:basedOn w:val="ListParagraphChar"/>
    <w:link w:val="question"/>
    <w:rsid w:val="00FA7F33"/>
    <w:rPr>
      <w:rFonts w:ascii="Arial" w:eastAsia="Calibri" w:hAnsi="Arial" w:cs="Arial"/>
      <w:sz w:val="20"/>
      <w:szCs w:val="20"/>
    </w:rPr>
  </w:style>
  <w:style w:type="character" w:customStyle="1" w:styleId="sub-headingChar">
    <w:name w:val="sub-heading Char"/>
    <w:basedOn w:val="Heading2Char"/>
    <w:link w:val="sub-heading"/>
    <w:rsid w:val="00FA7F33"/>
    <w:rPr>
      <w:rFonts w:ascii="Arial" w:eastAsia="Times New Roman" w:hAnsi="Arial" w:cs="Arial"/>
      <w:b/>
      <w:bCs/>
      <w:iCs/>
      <w:sz w:val="28"/>
      <w:szCs w:val="28"/>
      <w:lang w:eastAsia="en-AU"/>
    </w:rPr>
  </w:style>
  <w:style w:type="paragraph" w:styleId="NormalWeb">
    <w:name w:val="Normal (Web)"/>
    <w:basedOn w:val="Normal"/>
    <w:uiPriority w:val="99"/>
    <w:semiHidden/>
    <w:unhideWhenUsed/>
    <w:rsid w:val="00FA7F33"/>
    <w:pPr>
      <w:spacing w:after="100" w:afterAutospacing="1" w:line="240" w:lineRule="auto"/>
    </w:pPr>
    <w:rPr>
      <w:rFonts w:ascii="Times New Roman" w:hAnsi="Times New Roman"/>
      <w:sz w:val="24"/>
    </w:rPr>
  </w:style>
  <w:style w:type="character" w:styleId="LineNumber">
    <w:name w:val="line number"/>
    <w:basedOn w:val="DefaultParagraphFont"/>
    <w:semiHidden/>
    <w:unhideWhenUsed/>
    <w:rsid w:val="00FA7F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3376577">
      <w:bodyDiv w:val="1"/>
      <w:marLeft w:val="0"/>
      <w:marRight w:val="0"/>
      <w:marTop w:val="0"/>
      <w:marBottom w:val="0"/>
      <w:divBdr>
        <w:top w:val="none" w:sz="0" w:space="0" w:color="auto"/>
        <w:left w:val="none" w:sz="0" w:space="0" w:color="auto"/>
        <w:bottom w:val="none" w:sz="0" w:space="0" w:color="auto"/>
        <w:right w:val="none" w:sz="0" w:space="0" w:color="auto"/>
      </w:divBdr>
    </w:div>
    <w:div w:id="642588882">
      <w:bodyDiv w:val="1"/>
      <w:marLeft w:val="0"/>
      <w:marRight w:val="0"/>
      <w:marTop w:val="0"/>
      <w:marBottom w:val="0"/>
      <w:divBdr>
        <w:top w:val="none" w:sz="0" w:space="0" w:color="auto"/>
        <w:left w:val="none" w:sz="0" w:space="0" w:color="auto"/>
        <w:bottom w:val="none" w:sz="0" w:space="0" w:color="auto"/>
        <w:right w:val="none" w:sz="0" w:space="0" w:color="auto"/>
      </w:divBdr>
    </w:div>
    <w:div w:id="697439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117" Type="http://schemas.openxmlformats.org/officeDocument/2006/relationships/hyperlink" Target="https://www.3gpp.org/ftp/Specs/2020-09/Rel-16/38_series/38104-g50.zip" TargetMode="External"/><Relationship Id="rId21" Type="http://schemas.openxmlformats.org/officeDocument/2006/relationships/footer" Target="footer2.xml"/><Relationship Id="rId42" Type="http://schemas.openxmlformats.org/officeDocument/2006/relationships/image" Target="media/image6.png"/><Relationship Id="rId47" Type="http://schemas.openxmlformats.org/officeDocument/2006/relationships/hyperlink" Target="https://www.icao.int/safety/FSMP/Lists/Meetings/DispForm.aspx?ID=16&amp;ContentTypeId=0x0100775D4F62D6A47C4B8092FD88410F3070" TargetMode="External"/><Relationship Id="rId63" Type="http://schemas.openxmlformats.org/officeDocument/2006/relationships/hyperlink" Target="https://ecfsapi.fcc.gov/file/1206159800868/Aviation's%20Safety%20Proposal%2012.6.pdf" TargetMode="External"/><Relationship Id="rId68" Type="http://schemas.openxmlformats.org/officeDocument/2006/relationships/hyperlink" Target="https://www.ic.gc.ca/eic/site/smt-gst.nsf/eng/sf11692.html" TargetMode="External"/><Relationship Id="rId84" Type="http://schemas.openxmlformats.org/officeDocument/2006/relationships/footer" Target="footer9.xml"/><Relationship Id="rId89" Type="http://schemas.openxmlformats.org/officeDocument/2006/relationships/hyperlink" Target="https://www.acma.gov.au/consultations/2021-08/planning-wireless-broadband-use-urban-areas-3400-3475-mhz-band-consultation-312021" TargetMode="External"/><Relationship Id="rId112" Type="http://schemas.openxmlformats.org/officeDocument/2006/relationships/hyperlink" Target="https://www.legislation.gov.au/Series/F2015L00727" TargetMode="External"/><Relationship Id="rId16" Type="http://schemas.openxmlformats.org/officeDocument/2006/relationships/image" Target="media/image3.png"/><Relationship Id="rId107" Type="http://schemas.openxmlformats.org/officeDocument/2006/relationships/hyperlink" Target="https://www.acma.gov.au/australian-spectrum-map-grid" TargetMode="External"/><Relationship Id="rId11" Type="http://schemas.openxmlformats.org/officeDocument/2006/relationships/endnotes" Target="endnotes.xml"/><Relationship Id="rId32" Type="http://schemas.openxmlformats.org/officeDocument/2006/relationships/hyperlink" Target="https://www.acma.gov.au/consultations/2020-07/planning-options-3700-4200-mhz-band-consultation-222020" TargetMode="External"/><Relationship Id="rId37" Type="http://schemas.openxmlformats.org/officeDocument/2006/relationships/oleObject" Target="embeddings/oleObject1.bin"/><Relationship Id="rId53" Type="http://schemas.openxmlformats.org/officeDocument/2006/relationships/hyperlink" Target="https://cept.org/Documents/ecc-pt1/65959/ecc-pt1-21-188_gsa-mfcn-characteristics-for-wi-on-radio-altimeters" TargetMode="External"/><Relationship Id="rId58" Type="http://schemas.openxmlformats.org/officeDocument/2006/relationships/hyperlink" Target="https://www.ctia.org/" TargetMode="External"/><Relationship Id="rId74" Type="http://schemas.openxmlformats.org/officeDocument/2006/relationships/hyperlink" Target="https://www.tele.soumu.go.jp/resource/j/equ/mra/pdf/30/e/01.pdf" TargetMode="External"/><Relationship Id="rId79" Type="http://schemas.openxmlformats.org/officeDocument/2006/relationships/hyperlink" Target="https://www.acma.gov.au/consultations/2021-08/planning-wireless-broadband-use-urban-areas-3400-3475-mhz-band-consultation-312021" TargetMode="External"/><Relationship Id="rId102" Type="http://schemas.openxmlformats.org/officeDocument/2006/relationships/hyperlink" Target="https://www.legislation.gov.au/Series/F2015L01438" TargetMode="External"/><Relationship Id="rId123" Type="http://schemas.openxmlformats.org/officeDocument/2006/relationships/image" Target="media/image11.png"/><Relationship Id="rId5" Type="http://schemas.openxmlformats.org/officeDocument/2006/relationships/customXml" Target="../customXml/item5.xml"/><Relationship Id="rId61" Type="http://schemas.openxmlformats.org/officeDocument/2006/relationships/hyperlink" Target="https://www.reuters.com/article/usa-communications-air-safety-idCNL1N2RV1T0" TargetMode="External"/><Relationship Id="rId82" Type="http://schemas.openxmlformats.org/officeDocument/2006/relationships/header" Target="header9.xml"/><Relationship Id="rId90" Type="http://schemas.openxmlformats.org/officeDocument/2006/relationships/hyperlink" Target="https://web.acma.gov.au/rrl/licence_image.extract_pdf?pLICENCE_NO=10917463" TargetMode="External"/><Relationship Id="rId95" Type="http://schemas.openxmlformats.org/officeDocument/2006/relationships/hyperlink" Target="https://www.legislation.gov.au/Details/F2020L00070" TargetMode="External"/><Relationship Id="rId19" Type="http://schemas.openxmlformats.org/officeDocument/2006/relationships/header" Target="header3.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footer" Target="footer6.xml"/><Relationship Id="rId30" Type="http://schemas.openxmlformats.org/officeDocument/2006/relationships/footer" Target="footer7.xml"/><Relationship Id="rId35" Type="http://schemas.openxmlformats.org/officeDocument/2006/relationships/hyperlink" Target="https://www.acma.gov.au/publications/2021-05/instruction/rali-sm26-restrictions-apparatus-licensing-spectrum-licensed-spaces" TargetMode="External"/><Relationship Id="rId43" Type="http://schemas.openxmlformats.org/officeDocument/2006/relationships/image" Target="media/image7.png"/><Relationship Id="rId48" Type="http://schemas.openxmlformats.org/officeDocument/2006/relationships/hyperlink" Target="https://cept.org/ecc/groups/ecc/ecc-pt1/client/meeting-documents/?flid=28709" TargetMode="External"/><Relationship Id="rId56" Type="http://schemas.openxmlformats.org/officeDocument/2006/relationships/hyperlink" Target="https://cept.org/ecc/groups/ecc/ecc-pt1/client/meeting-documents/file-history/?fid=66780" TargetMode="External"/><Relationship Id="rId64" Type="http://schemas.openxmlformats.org/officeDocument/2006/relationships/hyperlink" Target="https://www.fcc.gov/ecfs/search/filings?proceedings_name=18-122&amp;sort=date_disseminated,DESC" TargetMode="External"/><Relationship Id="rId69" Type="http://schemas.openxmlformats.org/officeDocument/2006/relationships/hyperlink" Target="https://www.ic.gc.ca/eic/site/smt-gst.nsf/eng/sf11736.html" TargetMode="External"/><Relationship Id="rId77" Type="http://schemas.openxmlformats.org/officeDocument/2006/relationships/image" Target="media/image8.png"/><Relationship Id="rId100" Type="http://schemas.openxmlformats.org/officeDocument/2006/relationships/hyperlink" Target="https://www.acma.gov.au/consultations/2021-08/planning-wireless-broadband-use-urban-areas-3400-3475-mhz-band-consultation-312021" TargetMode="External"/><Relationship Id="rId105" Type="http://schemas.openxmlformats.org/officeDocument/2006/relationships/hyperlink" Target="https://www.acma.gov.au/consultations/2021-01/review-non-assigned-amateur-and-outpost-regulatory-arrangements-consultation-012021" TargetMode="External"/><Relationship Id="rId113" Type="http://schemas.openxmlformats.org/officeDocument/2006/relationships/hyperlink" Target="https://www.legislation.gov.au/Series/F2015L00728" TargetMode="External"/><Relationship Id="rId118" Type="http://schemas.openxmlformats.org/officeDocument/2006/relationships/hyperlink" Target="https://www.legislation.gov.au/Details/F2018L00225/Html/Text" TargetMode="External"/><Relationship Id="rId8" Type="http://schemas.openxmlformats.org/officeDocument/2006/relationships/settings" Target="settings.xml"/><Relationship Id="rId51" Type="http://schemas.openxmlformats.org/officeDocument/2006/relationships/hyperlink" Target="https://www.cept.org/Documents/ecc-pt1/64064/ecc-pt1-21-115_eurocontrol-icao-state-letter-on-potential-safety-concerns-regarding-interference-to-radio-altimeters" TargetMode="External"/><Relationship Id="rId72" Type="http://schemas.openxmlformats.org/officeDocument/2006/relationships/hyperlink" Target="https://www.ic.gc.ca/eic/site/smt-gst.nsf/eng/sf11757.html" TargetMode="External"/><Relationship Id="rId80" Type="http://schemas.openxmlformats.org/officeDocument/2006/relationships/hyperlink" Target="https://www.acma.gov.au/consultations/2021-08/planning-wireless-broadband-use-urban-areas-3400-3475-mhz-band-consultation-312021" TargetMode="External"/><Relationship Id="rId85" Type="http://schemas.openxmlformats.org/officeDocument/2006/relationships/footer" Target="footer10.xml"/><Relationship Id="rId93" Type="http://schemas.openxmlformats.org/officeDocument/2006/relationships/hyperlink" Target="https://www.legislation.gov.au/Series/F2015L00727" TargetMode="External"/><Relationship Id="rId98" Type="http://schemas.openxmlformats.org/officeDocument/2006/relationships/hyperlink" Target="https://www.acma.gov.au/procedure-earth-and-earth-receive-licensing-and-registering-earth-stations" TargetMode="External"/><Relationship Id="rId121" Type="http://schemas.openxmlformats.org/officeDocument/2006/relationships/hyperlink" Target="https://www.acma.gov.au/sites/default/files/2019-10/The%20Australian%20spectrum%20map%20grid%202012_0.PDF"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creativecommons.org/licenses/by/4.0/" TargetMode="External"/><Relationship Id="rId25" Type="http://schemas.openxmlformats.org/officeDocument/2006/relationships/footer" Target="footer4.xml"/><Relationship Id="rId33" Type="http://schemas.openxmlformats.org/officeDocument/2006/relationships/hyperlink" Target="https://www.acma.gov.au/consultations/2019-08/optimising-3400-3575-mhz-band-consultation-122019" TargetMode="External"/><Relationship Id="rId38" Type="http://schemas.openxmlformats.org/officeDocument/2006/relationships/image" Target="media/image5.emf"/><Relationship Id="rId46" Type="http://schemas.openxmlformats.org/officeDocument/2006/relationships/hyperlink" Target="https://www.icao.int/safety/FSMP/Lists/Meetings/DispForm.aspx?ID=15&amp;ContentTypeId=0x0100775D4F62D6A47C4B8092FD88410F3070" TargetMode="External"/><Relationship Id="rId59" Type="http://schemas.openxmlformats.org/officeDocument/2006/relationships/hyperlink" Target="https://www.rtca.org/" TargetMode="External"/><Relationship Id="rId67" Type="http://schemas.openxmlformats.org/officeDocument/2006/relationships/hyperlink" Target="https://www.ic.gc.ca/eic/site/smt-gst.nsf/eng/h_sf09570.html" TargetMode="External"/><Relationship Id="rId103" Type="http://schemas.openxmlformats.org/officeDocument/2006/relationships/hyperlink" Target="https://www.legislation.gov.au/Details/F2020C00376" TargetMode="External"/><Relationship Id="rId108" Type="http://schemas.openxmlformats.org/officeDocument/2006/relationships/hyperlink" Target="https://www.acma.gov.au/publications/2019-09/instruction/rali-fx19-broadband-wireless-access-1900-1920-and-3575-3700-mhz-bands" TargetMode="External"/><Relationship Id="rId116" Type="http://schemas.openxmlformats.org/officeDocument/2006/relationships/hyperlink" Target="https://www.acma.gov.au/34-ghz-technical-framework" TargetMode="External"/><Relationship Id="rId124" Type="http://schemas.openxmlformats.org/officeDocument/2006/relationships/fontTable" Target="fontTable.xml"/><Relationship Id="rId20" Type="http://schemas.openxmlformats.org/officeDocument/2006/relationships/header" Target="header4.xml"/><Relationship Id="rId41" Type="http://schemas.openxmlformats.org/officeDocument/2006/relationships/hyperlink" Target="https://www.acma.gov.au/publications/2021-05/instruction/rali-sm26-restrictions-apparatus-licensing-spectrum-licensed-spaces" TargetMode="External"/><Relationship Id="rId54" Type="http://schemas.openxmlformats.org/officeDocument/2006/relationships/hyperlink" Target="https://www.cept.org/Documents/ecc-pt1/65970/ecc-pt1-21-192_france-radioaltimeter" TargetMode="External"/><Relationship Id="rId62" Type="http://schemas.openxmlformats.org/officeDocument/2006/relationships/hyperlink" Target="https://ecfsapi.fcc.gov/file/11241848723664/2021-11-24%20ATT%20Verizon%20Letter%20FINAL.pdf" TargetMode="External"/><Relationship Id="rId70" Type="http://schemas.openxmlformats.org/officeDocument/2006/relationships/hyperlink" Target="https://www.ic.gc.ca/eic/site/smt-gst.nsf/eng/sf11725.html" TargetMode="External"/><Relationship Id="rId75" Type="http://schemas.openxmlformats.org/officeDocument/2006/relationships/hyperlink" Target="https://www.5gamericas.org/wp-content/uploads/2021/07/Mid-Band-Spectrum-and-the-Co-Existence-with-Radio-Altimeters.pdf" TargetMode="External"/><Relationship Id="rId83" Type="http://schemas.openxmlformats.org/officeDocument/2006/relationships/header" Target="header10.xml"/><Relationship Id="rId88" Type="http://schemas.openxmlformats.org/officeDocument/2006/relationships/hyperlink" Target="https://www.acma.gov.au/consultations/2021-08/planning-wireless-broadband-use-urban-areas-3400-3475-mhz-band-consultation-312021" TargetMode="External"/><Relationship Id="rId91" Type="http://schemas.openxmlformats.org/officeDocument/2006/relationships/hyperlink" Target="https://web.acma.gov.au/rrl/licence_image.extract_pdf?pLICENCE_NO=10917463" TargetMode="External"/><Relationship Id="rId96" Type="http://schemas.openxmlformats.org/officeDocument/2006/relationships/hyperlink" Target="https://www.legislation.gov.au/Series/F2015L00728" TargetMode="External"/><Relationship Id="rId111" Type="http://schemas.openxmlformats.org/officeDocument/2006/relationships/hyperlink" Target="https://web.acma.gov.au/rrl/browse_licences.licence_list?pSV_ID=85&amp;pSS_ID=861"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i.creativecommons.org/l/by/3.0/88x31.png" TargetMode="External"/><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image" Target="media/image4.emf"/><Relationship Id="rId49" Type="http://schemas.openxmlformats.org/officeDocument/2006/relationships/hyperlink" Target="https://cept.org/Documents/ecc-pt1/62871/ecc-pt1-21-086_annex-viii-12_draft-new-wi-radio-altimeters" TargetMode="External"/><Relationship Id="rId57" Type="http://schemas.openxmlformats.org/officeDocument/2006/relationships/hyperlink" Target="https://www.rtca.org/wp-content/uploads/2020/10/SC-239-5G-Interference-Assessment-Report_274-20-PMC-2073_accepted_changes.pdf" TargetMode="External"/><Relationship Id="rId106" Type="http://schemas.openxmlformats.org/officeDocument/2006/relationships/hyperlink" Target="https://www.legislation.gov.au/Series/F2015L01114" TargetMode="External"/><Relationship Id="rId114" Type="http://schemas.openxmlformats.org/officeDocument/2006/relationships/hyperlink" Target="https://www.legislation.gov.au/Details/F2013L02150" TargetMode="External"/><Relationship Id="rId119" Type="http://schemas.openxmlformats.org/officeDocument/2006/relationships/hyperlink" Target="https://www.legislation.gov.au/Details/F2018L00221" TargetMode="External"/><Relationship Id="rId10" Type="http://schemas.openxmlformats.org/officeDocument/2006/relationships/footnotes" Target="footnotes.xml"/><Relationship Id="rId31" Type="http://schemas.openxmlformats.org/officeDocument/2006/relationships/footer" Target="footer8.xml"/><Relationship Id="rId44" Type="http://schemas.openxmlformats.org/officeDocument/2006/relationships/hyperlink" Target="https://www.acma.gov.au/publications/2019-09/instruction/rali-fx3-microwave-fixed-services" TargetMode="External"/><Relationship Id="rId52" Type="http://schemas.openxmlformats.org/officeDocument/2006/relationships/hyperlink" Target="https://www.cept.org/Documents/ecc-pt1/65941/ecc-pt1-21-184_norway-results-of-the-preliminary-test-of-compatibility-between-mfcn-operating-in-3400-3800-mhz-and-radio-altimeters-operating-in-4200-4400-mhz" TargetMode="External"/><Relationship Id="rId60" Type="http://schemas.openxmlformats.org/officeDocument/2006/relationships/hyperlink" Target="https://rgl.faa.gov/Regulatory_and_Guidance_Library/rgSAIB.nsf/(LookupSAIBs)/AIR-21-18?OpenDocument" TargetMode="External"/><Relationship Id="rId65" Type="http://schemas.openxmlformats.org/officeDocument/2006/relationships/hyperlink" Target="https://www.icao.int/safety/FSMP/MeetingDocs/FSMP%20WG11/IP/FSMP-WG11-IP03_5G%20vs%20RA%20Actions%20taken%20in%20France%20to%20mitigate%20interference_r1.doc" TargetMode="External"/><Relationship Id="rId73" Type="http://schemas.openxmlformats.org/officeDocument/2006/relationships/hyperlink" Target="https://www.icao.int/safety/FSMP/MeetingDocs/FSMP%20WG11/WP/FSMP-WG11-WP30_5GJapan.docx" TargetMode="External"/><Relationship Id="rId78" Type="http://schemas.openxmlformats.org/officeDocument/2006/relationships/hyperlink" Target="https://www.acma.gov.au/consultations/2021-08/planning-wireless-broadband-use-urban-areas-3400-3475-mhz-band-consultation-312021" TargetMode="External"/><Relationship Id="rId81" Type="http://schemas.openxmlformats.org/officeDocument/2006/relationships/hyperlink" Target="https://www.acma.gov.au/consultations/2021-08/planning-wireless-broadband-use-urban-areas-3400-3475-mhz-band-consultation-312021" TargetMode="External"/><Relationship Id="rId86" Type="http://schemas.openxmlformats.org/officeDocument/2006/relationships/image" Target="media/image9.emf"/><Relationship Id="rId94" Type="http://schemas.openxmlformats.org/officeDocument/2006/relationships/hyperlink" Target="https://web.acma.gov.au/rrl/licence_image.extract_pdf?pLICENCE_NO=10917463" TargetMode="External"/><Relationship Id="rId99" Type="http://schemas.openxmlformats.org/officeDocument/2006/relationships/hyperlink" Target="https://www.acma.gov.au/restriction-earth-station-licensing-near-alice-springs" TargetMode="External"/><Relationship Id="rId101" Type="http://schemas.openxmlformats.org/officeDocument/2006/relationships/hyperlink" Target="https://www.acma.gov.au/publications/2019-08/instruction/rali-ms32-mid-west-radio-quiet-zone" TargetMode="External"/><Relationship Id="rId122" Type="http://schemas.openxmlformats.org/officeDocument/2006/relationships/hyperlink" Target="https://www.acma.gov.au/convert-hcis-area-description-placemark"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info@acma.gov.au" TargetMode="External"/><Relationship Id="rId39" Type="http://schemas.openxmlformats.org/officeDocument/2006/relationships/oleObject" Target="embeddings/oleObject2.bin"/><Relationship Id="rId109" Type="http://schemas.openxmlformats.org/officeDocument/2006/relationships/hyperlink" Target="https://www.legislation.gov.au/Details/F2020C01120" TargetMode="External"/><Relationship Id="rId34" Type="http://schemas.openxmlformats.org/officeDocument/2006/relationships/hyperlink" Target="https://www.legislation.gov.au/Details/F2020C01124" TargetMode="External"/><Relationship Id="rId50" Type="http://schemas.openxmlformats.org/officeDocument/2006/relationships/hyperlink" Target="https://www.cept.org/Documents/ecc-pt1/64066/ecc-pt1-21-117_france-wi-5g-radioaltimeters" TargetMode="External"/><Relationship Id="rId55" Type="http://schemas.openxmlformats.org/officeDocument/2006/relationships/hyperlink" Target="https://cept.org/Documents/ecc-pt1/66761/ecc-pt1-21-234-annex-viii-14_working-doc-on-ecc-report-on-radio-altimeters" TargetMode="External"/><Relationship Id="rId76" Type="http://schemas.openxmlformats.org/officeDocument/2006/relationships/hyperlink" Target="https://www.soumu.go.jp/main_content/000582446.pdf" TargetMode="External"/><Relationship Id="rId97" Type="http://schemas.openxmlformats.org/officeDocument/2006/relationships/hyperlink" Target="https://www.legislation.gov.au/Details/F2018C00568" TargetMode="External"/><Relationship Id="rId104" Type="http://schemas.openxmlformats.org/officeDocument/2006/relationships/hyperlink" Target="https://www.acma.gov.au/australian-radiofrequency-spectrum-plan" TargetMode="External"/><Relationship Id="rId120" Type="http://schemas.openxmlformats.org/officeDocument/2006/relationships/hyperlink" Target="https://www.legislation.gov.au/Details/F2015L00753" TargetMode="External"/><Relationship Id="rId125" Type="http://schemas.openxmlformats.org/officeDocument/2006/relationships/theme" Target="theme/theme1.xml"/><Relationship Id="rId7" Type="http://schemas.openxmlformats.org/officeDocument/2006/relationships/styles" Target="styles.xml"/><Relationship Id="rId71" Type="http://schemas.openxmlformats.org/officeDocument/2006/relationships/hyperlink" Target="https://www.ic.gc.ca/eic/site/smt-gst.nsf/eng/sf11725.html" TargetMode="External"/><Relationship Id="rId92" Type="http://schemas.openxmlformats.org/officeDocument/2006/relationships/hyperlink" Target="https://web.acma.gov.au/rrl/licence_image.extract_pdf?pLICENCE_NO=10917463" TargetMode="External"/><Relationship Id="rId2" Type="http://schemas.openxmlformats.org/officeDocument/2006/relationships/customXml" Target="../customXml/item2.xml"/><Relationship Id="rId29" Type="http://schemas.openxmlformats.org/officeDocument/2006/relationships/header" Target="header8.xml"/><Relationship Id="rId24" Type="http://schemas.openxmlformats.org/officeDocument/2006/relationships/header" Target="header6.xml"/><Relationship Id="rId40" Type="http://schemas.openxmlformats.org/officeDocument/2006/relationships/hyperlink" Target="https://www.acma.gov.au/publications/2021-05/instruction/rali-sm26-restrictions-apparatus-licensing-spectrum-licensed-spaces" TargetMode="External"/><Relationship Id="rId45" Type="http://schemas.openxmlformats.org/officeDocument/2006/relationships/hyperlink" Target="https://www.casa.gov.au/files/awb-34-020-issue-4-potential-interference-radio-altimeter-systems" TargetMode="External"/><Relationship Id="rId66" Type="http://schemas.openxmlformats.org/officeDocument/2006/relationships/hyperlink" Target="https://www.bipt.be/file/cc73d96153bbd5448a56f19d925d05b1379c7f21/91bb4c06ca66065139c768b8107dcb05ec8a399f/Consultation_conditions_techniques_operationnelles_brouillages_prejudiciables_bande_frequences_3400-3800_MHz.pdf" TargetMode="External"/><Relationship Id="rId87" Type="http://schemas.openxmlformats.org/officeDocument/2006/relationships/image" Target="media/image10.emf"/><Relationship Id="rId110" Type="http://schemas.openxmlformats.org/officeDocument/2006/relationships/hyperlink" Target="https://www.acma.gov.au/publications/2012-12/guide/spectrum-licencees-know-your-obligations" TargetMode="External"/><Relationship Id="rId115" Type="http://schemas.openxmlformats.org/officeDocument/2006/relationships/hyperlink" Target="https://www.acma.gov.au/spectrum-licence-technical-liaison-group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legislation.gov.au/Details/F2018C00564" TargetMode="External"/><Relationship Id="rId2" Type="http://schemas.openxmlformats.org/officeDocument/2006/relationships/hyperlink" Target="https://www.acma.gov.au/acma-creates-new-licence-type" TargetMode="External"/><Relationship Id="rId1" Type="http://schemas.openxmlformats.org/officeDocument/2006/relationships/hyperlink" Target="https://www.acma.gov.au/consultations/2021-01/review-non-assigned-amateur-and-outpost-regulatory-arrangements-consultation-01202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3NE2HDV7HD6D-128-6115</_dlc_DocId>
    <_dlc_DocIdUrl xmlns="1d983eb4-33f7-44b0-aea1-cbdcf0c55136">
      <Url>http://collaboration/organisation/cid/speb/sp/_layouts/15/DocIdRedir.aspx?ID=3NE2HDV7HD6D-128-6115</Url>
      <Description>3NE2HDV7HD6D-128-6115</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 ma:contentTypeID="0x010100D922B896673C3B4CAC6395581CF998E6" ma:contentTypeVersion="8" ma:contentTypeDescription="Create a new document." ma:contentTypeScope="" ma:versionID="f23df6dd90b35ef5a7fe3922e93e7337">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44FE4A1-4CD0-4B0A-819D-0C1BEF5A0301}">
  <ds:schemaRefs>
    <ds:schemaRef ds:uri="http://schemas.openxmlformats.org/officeDocument/2006/bibliography"/>
  </ds:schemaRefs>
</ds:datastoreItem>
</file>

<file path=customXml/itemProps2.xml><?xml version="1.0" encoding="utf-8"?>
<ds:datastoreItem xmlns:ds="http://schemas.openxmlformats.org/officeDocument/2006/customXml" ds:itemID="{7E4EE590-AD90-4FDF-8FCE-5E7A45F14E0E}">
  <ds:schemaRefs>
    <ds:schemaRef ds:uri="http://schemas.microsoft.com/office/2006/metadata/properties"/>
    <ds:schemaRef ds:uri="http://schemas.microsoft.com/office/infopath/2007/PartnerControls"/>
    <ds:schemaRef ds:uri="1d983eb4-33f7-44b0-aea1-cbdcf0c55136"/>
  </ds:schemaRefs>
</ds:datastoreItem>
</file>

<file path=customXml/itemProps3.xml><?xml version="1.0" encoding="utf-8"?>
<ds:datastoreItem xmlns:ds="http://schemas.openxmlformats.org/officeDocument/2006/customXml" ds:itemID="{5569F981-260D-4F9B-BD21-C7DDD1C03B51}">
  <ds:schemaRefs>
    <ds:schemaRef ds:uri="http://schemas.microsoft.com/sharepoint/v3/contenttype/forms"/>
  </ds:schemaRefs>
</ds:datastoreItem>
</file>

<file path=customXml/itemProps4.xml><?xml version="1.0" encoding="utf-8"?>
<ds:datastoreItem xmlns:ds="http://schemas.openxmlformats.org/officeDocument/2006/customXml" ds:itemID="{6BC2C1DD-E614-4AEA-A324-1362987E5B60}">
  <ds:schemaRefs>
    <ds:schemaRef ds:uri="http://schemas.microsoft.com/sharepoint/events"/>
  </ds:schemaRefs>
</ds:datastoreItem>
</file>

<file path=customXml/itemProps5.xml><?xml version="1.0" encoding="utf-8"?>
<ds:datastoreItem xmlns:ds="http://schemas.openxmlformats.org/officeDocument/2006/customXml" ds:itemID="{9032CCBD-5387-4E5D-9A4D-08149EB49F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83eb4-33f7-44b0-aea1-cbdcf0c551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308</TotalTime>
  <Pages>77</Pages>
  <Words>24624</Words>
  <Characters>140363</Characters>
  <Application>Microsoft Office Word</Application>
  <DocSecurity>0</DocSecurity>
  <Lines>1169</Lines>
  <Paragraphs>329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Douglas Iles</dc:creator>
  <cp:keywords/>
  <dc:description/>
  <cp:lastModifiedBy>Douglas Iles</cp:lastModifiedBy>
  <cp:revision>21</cp:revision>
  <dcterms:created xsi:type="dcterms:W3CDTF">2021-12-21T02:04:00Z</dcterms:created>
  <dcterms:modified xsi:type="dcterms:W3CDTF">2022-03-02T01:22:00Z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0x010100D922B896673C3B4CAC6395581CF998E6</vt:lpwstr>
  </property>
  <property fmtid="{D5CDD505-2E9C-101B-9397-08002B2CF9AE}" pid="3" name="_dlc_DocIdItemGuid">
    <vt:lpwstr>67edc3b0-26e4-48c6-b4de-00ba177609f5</vt:lpwstr>
  </property>
</Properties>
</file>