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5BD14" w14:textId="77777777" w:rsidR="00AE6C4E" w:rsidRDefault="00AE6C4E" w:rsidP="00AE6C4E">
      <w:pPr>
        <w:pStyle w:val="Heading1"/>
      </w:pPr>
      <w:bookmarkStart w:id="0" w:name="_Toc81389920"/>
      <w:r>
        <w:t>Appendix C: PTP channel plan options</w:t>
      </w:r>
      <w:bookmarkEnd w:id="0"/>
    </w:p>
    <w:p w14:paraId="0A435EE4" w14:textId="6917F8AF" w:rsidR="00AE6C4E" w:rsidRPr="00200216" w:rsidRDefault="00B54481" w:rsidP="00AE6C4E">
      <w:pPr>
        <w:pStyle w:val="sub-heading"/>
      </w:pPr>
      <w:bookmarkStart w:id="1" w:name="_Toc81389921"/>
      <w:r>
        <w:t xml:space="preserve">Background: </w:t>
      </w:r>
      <w:r w:rsidR="00AE6C4E">
        <w:t>Existing 3.8 GHz channel plan</w:t>
      </w:r>
      <w:bookmarkEnd w:id="1"/>
    </w:p>
    <w:p w14:paraId="559C1443" w14:textId="5B73649D" w:rsidR="00AE6C4E" w:rsidRDefault="00AE6C4E" w:rsidP="00AE6C4E">
      <w:pPr>
        <w:pStyle w:val="Paragraph"/>
      </w:pPr>
      <w:r>
        <w:t xml:space="preserve">The current </w:t>
      </w:r>
      <w:hyperlink r:id="rId12" w:history="1">
        <w:r w:rsidRPr="00BF17A4">
          <w:rPr>
            <w:rStyle w:val="Hyperlink"/>
            <w:rFonts w:eastAsiaTheme="majorEastAsia"/>
          </w:rPr>
          <w:t>RALI FX03</w:t>
        </w:r>
      </w:hyperlink>
      <w:r w:rsidRPr="00BF17A4">
        <w:t xml:space="preserve"> 3.8 GHz channel plan</w:t>
      </w:r>
      <w:r>
        <w:t xml:space="preserve"> is reproduced in figure 1. The 3800-4200 MHz frequency range</w:t>
      </w:r>
      <w:r w:rsidR="00567597">
        <w:t>, that proposed to be restricted to for new PTP licences,</w:t>
      </w:r>
      <w:r>
        <w:t xml:space="preserve"> </w:t>
      </w:r>
      <w:r w:rsidRPr="00BF17A4">
        <w:t xml:space="preserve">wholly encompasses only channels 7 and 1’ through 7’. </w:t>
      </w:r>
    </w:p>
    <w:p w14:paraId="5FC23A76" w14:textId="77777777" w:rsidR="00AE6C4E" w:rsidRPr="007D04B2" w:rsidRDefault="00AE6C4E" w:rsidP="00AE6C4E">
      <w:pPr>
        <w:pStyle w:val="ACMAFigureHeader"/>
        <w:spacing w:after="0" w:line="240" w:lineRule="atLeast"/>
      </w:pPr>
      <w:r>
        <w:t>3.8 GHz band point to point link channel arrangements</w:t>
      </w:r>
    </w:p>
    <w:p w14:paraId="39499ED4" w14:textId="77777777" w:rsidR="00AE6C4E" w:rsidRDefault="00AE6C4E" w:rsidP="00AE6C4E">
      <w:pPr>
        <w:pStyle w:val="ListParagraph"/>
        <w:numPr>
          <w:ilvl w:val="0"/>
          <w:numId w:val="0"/>
        </w:numPr>
      </w:pPr>
      <w:r>
        <w:rPr>
          <w:noProof/>
        </w:rPr>
        <w:drawing>
          <wp:inline distT="0" distB="0" distL="0" distR="0" wp14:anchorId="5179600C" wp14:editId="38668740">
            <wp:extent cx="5914239" cy="162678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23505" cy="1629331"/>
                    </a:xfrm>
                    <a:prstGeom prst="rect">
                      <a:avLst/>
                    </a:prstGeom>
                  </pic:spPr>
                </pic:pic>
              </a:graphicData>
            </a:graphic>
          </wp:inline>
        </w:drawing>
      </w:r>
    </w:p>
    <w:p w14:paraId="585EFC50" w14:textId="56ABF4E4" w:rsidR="00AE6C4E" w:rsidRDefault="00AE6C4E" w:rsidP="00AE6C4E">
      <w:pPr>
        <w:pStyle w:val="ListParagraph"/>
        <w:numPr>
          <w:ilvl w:val="0"/>
          <w:numId w:val="0"/>
        </w:numPr>
      </w:pPr>
    </w:p>
    <w:p w14:paraId="505B7CF3" w14:textId="042BB90F" w:rsidR="00B54481" w:rsidRPr="00200216" w:rsidRDefault="00B54481" w:rsidP="00B54481">
      <w:pPr>
        <w:pStyle w:val="sub-heading"/>
      </w:pPr>
      <w:r>
        <w:t>Two channel plan options proposed</w:t>
      </w:r>
    </w:p>
    <w:p w14:paraId="4F0265F9" w14:textId="3033EB9F" w:rsidR="00AE6C4E" w:rsidRDefault="00AE6C4E" w:rsidP="00AE6C4E">
      <w:r>
        <w:t xml:space="preserve">There are two </w:t>
      </w:r>
      <w:r w:rsidR="00567597">
        <w:t xml:space="preserve">preliminary </w:t>
      </w:r>
      <w:r>
        <w:t>channel plan options</w:t>
      </w:r>
      <w:r w:rsidR="00834308">
        <w:t xml:space="preserve"> proposed </w:t>
      </w:r>
      <w:r w:rsidR="00567597">
        <w:t xml:space="preserve">by ACMA staff </w:t>
      </w:r>
      <w:r>
        <w:t xml:space="preserve">for </w:t>
      </w:r>
      <w:r w:rsidR="00B54481">
        <w:t xml:space="preserve">discussion to meet </w:t>
      </w:r>
      <w:r>
        <w:t>the restricted frequency range</w:t>
      </w:r>
      <w:r w:rsidR="00834308">
        <w:t xml:space="preserve"> (3800-4200 MHz)</w:t>
      </w:r>
      <w:r w:rsidR="00F807D2">
        <w:t>, summarised as</w:t>
      </w:r>
      <w:r>
        <w:t>:</w:t>
      </w:r>
    </w:p>
    <w:p w14:paraId="2A0EE44A" w14:textId="4227B12E" w:rsidR="00AE6C4E" w:rsidRPr="00200216" w:rsidRDefault="00AE6C4E" w:rsidP="00834308">
      <w:pPr>
        <w:pStyle w:val="ListBullet"/>
        <w:numPr>
          <w:ilvl w:val="0"/>
          <w:numId w:val="5"/>
        </w:numPr>
      </w:pPr>
      <w:r>
        <w:t xml:space="preserve">Utilise the current channel plan with restrictions on new assignments </w:t>
      </w:r>
      <w:r w:rsidR="00567597">
        <w:t>using</w:t>
      </w:r>
      <w:r>
        <w:t xml:space="preserve"> channels 1-6. The remaining channels</w:t>
      </w:r>
      <w:r w:rsidR="00834308">
        <w:t xml:space="preserve"> (7 and 1’ through 7’)</w:t>
      </w:r>
      <w:r>
        <w:t xml:space="preserve"> in the band can be used with </w:t>
      </w:r>
      <w:r>
        <w:rPr>
          <w:szCs w:val="20"/>
        </w:rPr>
        <w:t>flexibility in site sense and channel pairing.</w:t>
      </w:r>
    </w:p>
    <w:p w14:paraId="1858B4C4" w14:textId="7F7E97A2" w:rsidR="00AE6C4E" w:rsidRDefault="00AE6C4E" w:rsidP="00834308">
      <w:pPr>
        <w:pStyle w:val="ListBulletLast"/>
        <w:numPr>
          <w:ilvl w:val="0"/>
          <w:numId w:val="5"/>
        </w:numPr>
      </w:pPr>
      <w:r>
        <w:t xml:space="preserve">Implement a channel plan based on </w:t>
      </w:r>
      <w:hyperlink r:id="rId14" w:history="1">
        <w:r w:rsidRPr="008E1C30">
          <w:rPr>
            <w:rStyle w:val="Hyperlink"/>
            <w:rFonts w:eastAsiaTheme="majorEastAsia"/>
          </w:rPr>
          <w:t>ITU-R F.382-8</w:t>
        </w:r>
      </w:hyperlink>
      <w:r>
        <w:t xml:space="preserve"> which </w:t>
      </w:r>
      <w:r w:rsidR="00834308">
        <w:t>would have</w:t>
      </w:r>
      <w:r>
        <w:t xml:space="preserve"> </w:t>
      </w:r>
      <w:r w:rsidR="00834308">
        <w:t>more</w:t>
      </w:r>
      <w:r>
        <w:t xml:space="preserve"> channels</w:t>
      </w:r>
      <w:r w:rsidR="00834308">
        <w:t xml:space="preserve"> (6 paired or 12 total vs 7 total</w:t>
      </w:r>
      <w:r w:rsidR="005E455A">
        <w:t xml:space="preserve"> under option 1</w:t>
      </w:r>
      <w:r w:rsidR="00834308">
        <w:t>)</w:t>
      </w:r>
      <w:r w:rsidR="005E455A">
        <w:t xml:space="preserve">, </w:t>
      </w:r>
      <w:r w:rsidR="00834308">
        <w:t xml:space="preserve">but </w:t>
      </w:r>
      <w:r>
        <w:t>smaller channel</w:t>
      </w:r>
      <w:r w:rsidR="00834308">
        <w:t xml:space="preserve"> bandwidths (29 MHz vs 40 MHz)</w:t>
      </w:r>
      <w:r>
        <w:t>.</w:t>
      </w:r>
    </w:p>
    <w:p w14:paraId="1E1B7A6D" w14:textId="6A061FCB" w:rsidR="00AE6C4E" w:rsidRPr="00E04769" w:rsidRDefault="00AE6C4E" w:rsidP="00AE6C4E">
      <w:pPr>
        <w:pStyle w:val="sub-heading"/>
      </w:pPr>
      <w:bookmarkStart w:id="2" w:name="_Toc81389922"/>
      <w:r>
        <w:t>Channel plan comparison</w:t>
      </w:r>
      <w:bookmarkEnd w:id="2"/>
    </w:p>
    <w:p w14:paraId="1F347C6B" w14:textId="073B177B" w:rsidR="00AE6C4E" w:rsidRDefault="00AE6C4E" w:rsidP="00AE6C4E">
      <w:pPr>
        <w:pStyle w:val="Paragraph"/>
      </w:pPr>
      <w:r>
        <w:t xml:space="preserve">Table </w:t>
      </w:r>
      <w:r w:rsidR="00B54481">
        <w:t>1</w:t>
      </w:r>
      <w:r>
        <w:t xml:space="preserve"> </w:t>
      </w:r>
      <w:r w:rsidRPr="00ED02CD">
        <w:t xml:space="preserve">provides a summary of </w:t>
      </w:r>
      <w:r>
        <w:t>PTP</w:t>
      </w:r>
      <w:r w:rsidRPr="00ED02CD">
        <w:t xml:space="preserve"> channel arrangements in the 3.8 GHz band</w:t>
      </w:r>
      <w:r>
        <w:t xml:space="preserve"> </w:t>
      </w:r>
      <w:r w:rsidRPr="00ED02CD">
        <w:t>(3580–4200)</w:t>
      </w:r>
      <w:r>
        <w:t xml:space="preserve"> defined in </w:t>
      </w:r>
      <w:hyperlink r:id="rId15" w:history="1">
        <w:r w:rsidRPr="007F5608">
          <w:rPr>
            <w:rStyle w:val="Hyperlink"/>
            <w:rFonts w:eastAsiaTheme="majorEastAsia"/>
          </w:rPr>
          <w:t>RALI FX03</w:t>
        </w:r>
      </w:hyperlink>
      <w:r>
        <w:t xml:space="preserve"> and a proposed alternative channel arrangement defined in </w:t>
      </w:r>
      <w:hyperlink r:id="rId16" w:history="1">
        <w:r w:rsidRPr="007346D5">
          <w:rPr>
            <w:rStyle w:val="Hyperlink"/>
            <w:rFonts w:eastAsiaTheme="majorEastAsia"/>
          </w:rPr>
          <w:t>ITU R F.382-8</w:t>
        </w:r>
      </w:hyperlink>
      <w:r>
        <w:t>. Note that the table does not consider the potential restriction of channels 1-6 for the current channel arrangements.</w:t>
      </w:r>
      <w:r w:rsidR="00B54481">
        <w:t xml:space="preserve"> Figure two indicates the frequency ranges of the channels under each of the channel plans.</w:t>
      </w:r>
    </w:p>
    <w:p w14:paraId="3B95E006" w14:textId="77777777" w:rsidR="00AE6C4E" w:rsidRPr="00ED02CD" w:rsidRDefault="00AE6C4E" w:rsidP="00AE6C4E">
      <w:pPr>
        <w:pStyle w:val="Tableheading"/>
      </w:pPr>
      <w:r>
        <w:t>Channel arrangement specifications</w:t>
      </w:r>
    </w:p>
    <w:tbl>
      <w:tblPr>
        <w:tblStyle w:val="ACMAtablestyle"/>
        <w:tblW w:w="7795" w:type="dxa"/>
        <w:tblLook w:val="04A0" w:firstRow="1" w:lastRow="0" w:firstColumn="1" w:lastColumn="0" w:noHBand="0" w:noVBand="1"/>
      </w:tblPr>
      <w:tblGrid>
        <w:gridCol w:w="2687"/>
        <w:gridCol w:w="2554"/>
        <w:gridCol w:w="2554"/>
      </w:tblGrid>
      <w:tr w:rsidR="00AE6C4E" w14:paraId="476566D5" w14:textId="77777777" w:rsidTr="00200216">
        <w:trPr>
          <w:cnfStyle w:val="100000000000" w:firstRow="1" w:lastRow="0" w:firstColumn="0" w:lastColumn="0" w:oddVBand="0" w:evenVBand="0" w:oddHBand="0" w:evenHBand="0" w:firstRowFirstColumn="0" w:firstRowLastColumn="0" w:lastRowFirstColumn="0" w:lastRowLastColumn="0"/>
        </w:trPr>
        <w:tc>
          <w:tcPr>
            <w:tcW w:w="2687" w:type="dxa"/>
          </w:tcPr>
          <w:p w14:paraId="7FC02722" w14:textId="77777777" w:rsidR="00AE6C4E" w:rsidRDefault="00AE6C4E" w:rsidP="00200216">
            <w:pPr>
              <w:pStyle w:val="Tableheaderrow"/>
            </w:pPr>
          </w:p>
        </w:tc>
        <w:tc>
          <w:tcPr>
            <w:tcW w:w="2554" w:type="dxa"/>
          </w:tcPr>
          <w:p w14:paraId="09AA4535" w14:textId="77777777" w:rsidR="00AE6C4E" w:rsidRDefault="00AE6C4E" w:rsidP="00200216">
            <w:pPr>
              <w:pStyle w:val="Tableheaderrow"/>
            </w:pPr>
            <w:r>
              <w:t>3.8 GHz RALI FX03</w:t>
            </w:r>
          </w:p>
        </w:tc>
        <w:tc>
          <w:tcPr>
            <w:tcW w:w="2554" w:type="dxa"/>
          </w:tcPr>
          <w:p w14:paraId="642DAD7C" w14:textId="77777777" w:rsidR="00AE6C4E" w:rsidRDefault="00AE6C4E" w:rsidP="00200216">
            <w:pPr>
              <w:pStyle w:val="Tableheaderrow"/>
            </w:pPr>
            <w:bookmarkStart w:id="3" w:name="_Hlk80873359"/>
            <w:r w:rsidRPr="002C16E4">
              <w:t>ITU-R F.382-8</w:t>
            </w:r>
            <w:bookmarkEnd w:id="3"/>
          </w:p>
        </w:tc>
      </w:tr>
      <w:tr w:rsidR="00AE6C4E" w14:paraId="114BC76C" w14:textId="77777777" w:rsidTr="00200216">
        <w:trPr>
          <w:cnfStyle w:val="000000100000" w:firstRow="0" w:lastRow="0" w:firstColumn="0" w:lastColumn="0" w:oddVBand="0" w:evenVBand="0" w:oddHBand="1" w:evenHBand="0" w:firstRowFirstColumn="0" w:firstRowLastColumn="0" w:lastRowFirstColumn="0" w:lastRowLastColumn="0"/>
        </w:trPr>
        <w:tc>
          <w:tcPr>
            <w:tcW w:w="2687" w:type="dxa"/>
          </w:tcPr>
          <w:p w14:paraId="1826CBBA" w14:textId="77777777" w:rsidR="00AE6C4E" w:rsidRDefault="00AE6C4E" w:rsidP="00200216">
            <w:pPr>
              <w:pStyle w:val="TableBody"/>
            </w:pPr>
            <w:r>
              <w:t>Number of paired channels</w:t>
            </w:r>
          </w:p>
        </w:tc>
        <w:tc>
          <w:tcPr>
            <w:tcW w:w="2554" w:type="dxa"/>
          </w:tcPr>
          <w:p w14:paraId="236269F3" w14:textId="20688B97" w:rsidR="00AE6C4E" w:rsidRDefault="00AE6C4E" w:rsidP="00200216">
            <w:pPr>
              <w:pStyle w:val="TableBody"/>
            </w:pPr>
            <w:r>
              <w:t>7</w:t>
            </w:r>
            <w:r w:rsidR="00F807D2">
              <w:rPr>
                <w:rStyle w:val="FootnoteReference"/>
              </w:rPr>
              <w:footnoteReference w:id="1"/>
            </w:r>
          </w:p>
        </w:tc>
        <w:tc>
          <w:tcPr>
            <w:tcW w:w="2554" w:type="dxa"/>
          </w:tcPr>
          <w:p w14:paraId="11875EC8" w14:textId="77777777" w:rsidR="00AE6C4E" w:rsidRDefault="00AE6C4E" w:rsidP="00200216">
            <w:pPr>
              <w:pStyle w:val="TableBody"/>
            </w:pPr>
            <w:r>
              <w:t>6</w:t>
            </w:r>
          </w:p>
        </w:tc>
      </w:tr>
      <w:tr w:rsidR="00AE6C4E" w14:paraId="122E3CB1" w14:textId="77777777" w:rsidTr="00200216">
        <w:trPr>
          <w:cnfStyle w:val="000000010000" w:firstRow="0" w:lastRow="0" w:firstColumn="0" w:lastColumn="0" w:oddVBand="0" w:evenVBand="0" w:oddHBand="0" w:evenHBand="1" w:firstRowFirstColumn="0" w:firstRowLastColumn="0" w:lastRowFirstColumn="0" w:lastRowLastColumn="0"/>
        </w:trPr>
        <w:tc>
          <w:tcPr>
            <w:tcW w:w="2687" w:type="dxa"/>
          </w:tcPr>
          <w:p w14:paraId="232E2685" w14:textId="77777777" w:rsidR="00AE6C4E" w:rsidRDefault="00AE6C4E" w:rsidP="00200216">
            <w:pPr>
              <w:pStyle w:val="TableBody"/>
            </w:pPr>
            <w:r>
              <w:t>Channel spacing</w:t>
            </w:r>
          </w:p>
        </w:tc>
        <w:tc>
          <w:tcPr>
            <w:tcW w:w="2554" w:type="dxa"/>
          </w:tcPr>
          <w:p w14:paraId="3C887D34" w14:textId="77777777" w:rsidR="00AE6C4E" w:rsidRDefault="00AE6C4E" w:rsidP="00200216">
            <w:pPr>
              <w:pStyle w:val="TableBody"/>
            </w:pPr>
            <w:r>
              <w:t>40 MHz</w:t>
            </w:r>
          </w:p>
        </w:tc>
        <w:tc>
          <w:tcPr>
            <w:tcW w:w="2554" w:type="dxa"/>
          </w:tcPr>
          <w:p w14:paraId="5B381944" w14:textId="77777777" w:rsidR="00AE6C4E" w:rsidRDefault="00AE6C4E" w:rsidP="00200216">
            <w:pPr>
              <w:pStyle w:val="TableBody"/>
            </w:pPr>
            <w:r>
              <w:t>29 MHz</w:t>
            </w:r>
          </w:p>
        </w:tc>
      </w:tr>
      <w:tr w:rsidR="00AE6C4E" w14:paraId="57F43ECB" w14:textId="77777777" w:rsidTr="00200216">
        <w:trPr>
          <w:cnfStyle w:val="000000100000" w:firstRow="0" w:lastRow="0" w:firstColumn="0" w:lastColumn="0" w:oddVBand="0" w:evenVBand="0" w:oddHBand="1" w:evenHBand="0" w:firstRowFirstColumn="0" w:firstRowLastColumn="0" w:lastRowFirstColumn="0" w:lastRowLastColumn="0"/>
        </w:trPr>
        <w:tc>
          <w:tcPr>
            <w:tcW w:w="2687" w:type="dxa"/>
          </w:tcPr>
          <w:p w14:paraId="12DB16DD" w14:textId="77777777" w:rsidR="00AE6C4E" w:rsidRDefault="00AE6C4E" w:rsidP="00200216">
            <w:pPr>
              <w:pStyle w:val="TableBody"/>
            </w:pPr>
            <w:r>
              <w:t>Centre gap</w:t>
            </w:r>
          </w:p>
        </w:tc>
        <w:tc>
          <w:tcPr>
            <w:tcW w:w="2554" w:type="dxa"/>
          </w:tcPr>
          <w:p w14:paraId="7A08D77A" w14:textId="77777777" w:rsidR="00AE6C4E" w:rsidRDefault="00AE6C4E" w:rsidP="00200216">
            <w:pPr>
              <w:pStyle w:val="TableBody"/>
            </w:pPr>
            <w:r>
              <w:t>80 MHz</w:t>
            </w:r>
          </w:p>
        </w:tc>
        <w:tc>
          <w:tcPr>
            <w:tcW w:w="2554" w:type="dxa"/>
          </w:tcPr>
          <w:p w14:paraId="403F5031" w14:textId="77777777" w:rsidR="00AE6C4E" w:rsidRDefault="00AE6C4E" w:rsidP="00200216">
            <w:pPr>
              <w:pStyle w:val="TableBody"/>
            </w:pPr>
            <w:r>
              <w:t>68 MHz</w:t>
            </w:r>
          </w:p>
        </w:tc>
      </w:tr>
      <w:tr w:rsidR="00AE6C4E" w14:paraId="1FC6E992" w14:textId="77777777" w:rsidTr="00200216">
        <w:trPr>
          <w:cnfStyle w:val="000000010000" w:firstRow="0" w:lastRow="0" w:firstColumn="0" w:lastColumn="0" w:oddVBand="0" w:evenVBand="0" w:oddHBand="0" w:evenHBand="1" w:firstRowFirstColumn="0" w:firstRowLastColumn="0" w:lastRowFirstColumn="0" w:lastRowLastColumn="0"/>
        </w:trPr>
        <w:tc>
          <w:tcPr>
            <w:tcW w:w="2687" w:type="dxa"/>
          </w:tcPr>
          <w:p w14:paraId="5019C72A" w14:textId="77777777" w:rsidR="00AE6C4E" w:rsidRDefault="00AE6C4E" w:rsidP="00200216">
            <w:pPr>
              <w:pStyle w:val="TableBody"/>
            </w:pPr>
            <w:r>
              <w:t>Guard spaces</w:t>
            </w:r>
          </w:p>
        </w:tc>
        <w:tc>
          <w:tcPr>
            <w:tcW w:w="2554" w:type="dxa"/>
          </w:tcPr>
          <w:p w14:paraId="07FA72CC" w14:textId="77777777" w:rsidR="00AE6C4E" w:rsidRDefault="00AE6C4E" w:rsidP="00200216">
            <w:pPr>
              <w:pStyle w:val="TableBody"/>
            </w:pPr>
            <w:r>
              <w:t>30 MHz</w:t>
            </w:r>
          </w:p>
        </w:tc>
        <w:tc>
          <w:tcPr>
            <w:tcW w:w="2554" w:type="dxa"/>
          </w:tcPr>
          <w:p w14:paraId="2E12BC19" w14:textId="77777777" w:rsidR="00AE6C4E" w:rsidRDefault="00AE6C4E" w:rsidP="00200216">
            <w:pPr>
              <w:pStyle w:val="TableBody"/>
            </w:pPr>
            <w:r>
              <w:t>21 MHz</w:t>
            </w:r>
          </w:p>
        </w:tc>
      </w:tr>
      <w:tr w:rsidR="00AE6C4E" w14:paraId="6644503F" w14:textId="77777777" w:rsidTr="00200216">
        <w:trPr>
          <w:cnfStyle w:val="000000100000" w:firstRow="0" w:lastRow="0" w:firstColumn="0" w:lastColumn="0" w:oddVBand="0" w:evenVBand="0" w:oddHBand="1" w:evenHBand="0" w:firstRowFirstColumn="0" w:firstRowLastColumn="0" w:lastRowFirstColumn="0" w:lastRowLastColumn="0"/>
        </w:trPr>
        <w:tc>
          <w:tcPr>
            <w:tcW w:w="2687" w:type="dxa"/>
          </w:tcPr>
          <w:p w14:paraId="2CFB3B64" w14:textId="77777777" w:rsidR="00AE6C4E" w:rsidRDefault="00AE6C4E" w:rsidP="00200216">
            <w:pPr>
              <w:pStyle w:val="TableBody"/>
            </w:pPr>
            <w:r>
              <w:lastRenderedPageBreak/>
              <w:t>Centre Frequency</w:t>
            </w:r>
          </w:p>
        </w:tc>
        <w:tc>
          <w:tcPr>
            <w:tcW w:w="2554" w:type="dxa"/>
          </w:tcPr>
          <w:p w14:paraId="3D222B64" w14:textId="77777777" w:rsidR="00AE6C4E" w:rsidRDefault="00AE6C4E" w:rsidP="00200216">
            <w:pPr>
              <w:pStyle w:val="TableBody"/>
            </w:pPr>
            <w:r>
              <w:t>3890 MHz</w:t>
            </w:r>
          </w:p>
        </w:tc>
        <w:tc>
          <w:tcPr>
            <w:tcW w:w="2554" w:type="dxa"/>
          </w:tcPr>
          <w:p w14:paraId="62E780C7" w14:textId="77777777" w:rsidR="00AE6C4E" w:rsidRDefault="00AE6C4E" w:rsidP="00200216">
            <w:pPr>
              <w:pStyle w:val="TableBody"/>
            </w:pPr>
            <w:r>
              <w:t>4003.5 MHz</w:t>
            </w:r>
          </w:p>
        </w:tc>
      </w:tr>
      <w:tr w:rsidR="00AE6C4E" w14:paraId="4BD38450" w14:textId="77777777" w:rsidTr="00200216">
        <w:trPr>
          <w:cnfStyle w:val="000000010000" w:firstRow="0" w:lastRow="0" w:firstColumn="0" w:lastColumn="0" w:oddVBand="0" w:evenVBand="0" w:oddHBand="0" w:evenHBand="1" w:firstRowFirstColumn="0" w:firstRowLastColumn="0" w:lastRowFirstColumn="0" w:lastRowLastColumn="0"/>
        </w:trPr>
        <w:tc>
          <w:tcPr>
            <w:tcW w:w="2687" w:type="dxa"/>
          </w:tcPr>
          <w:p w14:paraId="65C767B0" w14:textId="77777777" w:rsidR="00AE6C4E" w:rsidRDefault="00AE6C4E" w:rsidP="00200216">
            <w:pPr>
              <w:pStyle w:val="TableBody"/>
            </w:pPr>
            <w:r>
              <w:t>Frequency separation of paired channels</w:t>
            </w:r>
          </w:p>
        </w:tc>
        <w:tc>
          <w:tcPr>
            <w:tcW w:w="2554" w:type="dxa"/>
          </w:tcPr>
          <w:p w14:paraId="2DE1ACDF" w14:textId="77777777" w:rsidR="00AE6C4E" w:rsidRDefault="00AE6C4E" w:rsidP="00200216">
            <w:pPr>
              <w:pStyle w:val="TableBody"/>
            </w:pPr>
            <w:r>
              <w:t>320 MHz</w:t>
            </w:r>
          </w:p>
        </w:tc>
        <w:tc>
          <w:tcPr>
            <w:tcW w:w="2554" w:type="dxa"/>
          </w:tcPr>
          <w:p w14:paraId="45B1A9FF" w14:textId="77777777" w:rsidR="00AE6C4E" w:rsidRDefault="00AE6C4E" w:rsidP="00200216">
            <w:pPr>
              <w:pStyle w:val="TableBody"/>
            </w:pPr>
            <w:r>
              <w:t>213 MHz</w:t>
            </w:r>
          </w:p>
        </w:tc>
      </w:tr>
      <w:tr w:rsidR="00AE6C4E" w14:paraId="18E1E05D" w14:textId="77777777" w:rsidTr="00200216">
        <w:trPr>
          <w:cnfStyle w:val="000000100000" w:firstRow="0" w:lastRow="0" w:firstColumn="0" w:lastColumn="0" w:oddVBand="0" w:evenVBand="0" w:oddHBand="1" w:evenHBand="0" w:firstRowFirstColumn="0" w:firstRowLastColumn="0" w:lastRowFirstColumn="0" w:lastRowLastColumn="0"/>
        </w:trPr>
        <w:tc>
          <w:tcPr>
            <w:tcW w:w="2687" w:type="dxa"/>
          </w:tcPr>
          <w:p w14:paraId="0C87C164" w14:textId="77777777" w:rsidR="00AE6C4E" w:rsidRDefault="00AE6C4E" w:rsidP="00200216">
            <w:pPr>
              <w:pStyle w:val="TableBody"/>
            </w:pPr>
            <w:r>
              <w:t>Lower band</w:t>
            </w:r>
          </w:p>
        </w:tc>
        <w:tc>
          <w:tcPr>
            <w:tcW w:w="2554" w:type="dxa"/>
          </w:tcPr>
          <w:p w14:paraId="4F12C203" w14:textId="77777777" w:rsidR="00AE6C4E" w:rsidRDefault="00AE6C4E" w:rsidP="00200216">
            <w:pPr>
              <w:pStyle w:val="TableBody"/>
            </w:pPr>
            <w:r>
              <w:t>3580-3890 MHz</w:t>
            </w:r>
          </w:p>
        </w:tc>
        <w:tc>
          <w:tcPr>
            <w:tcW w:w="2554" w:type="dxa"/>
          </w:tcPr>
          <w:p w14:paraId="1DA9DF22" w14:textId="77777777" w:rsidR="00AE6C4E" w:rsidRDefault="00AE6C4E" w:rsidP="00200216">
            <w:pPr>
              <w:pStyle w:val="TableBody"/>
            </w:pPr>
            <w:r w:rsidRPr="002C16E4">
              <w:t>3803.5-4003.5</w:t>
            </w:r>
            <w:r>
              <w:t xml:space="preserve"> MHz</w:t>
            </w:r>
          </w:p>
        </w:tc>
      </w:tr>
      <w:tr w:rsidR="00AE6C4E" w14:paraId="7E6A521E" w14:textId="77777777" w:rsidTr="00200216">
        <w:trPr>
          <w:cnfStyle w:val="000000010000" w:firstRow="0" w:lastRow="0" w:firstColumn="0" w:lastColumn="0" w:oddVBand="0" w:evenVBand="0" w:oddHBand="0" w:evenHBand="1" w:firstRowFirstColumn="0" w:firstRowLastColumn="0" w:lastRowFirstColumn="0" w:lastRowLastColumn="0"/>
        </w:trPr>
        <w:tc>
          <w:tcPr>
            <w:tcW w:w="2687" w:type="dxa"/>
          </w:tcPr>
          <w:p w14:paraId="2C690E6D" w14:textId="77777777" w:rsidR="00AE6C4E" w:rsidRDefault="00AE6C4E" w:rsidP="00200216">
            <w:pPr>
              <w:pStyle w:val="TableBody"/>
            </w:pPr>
            <w:r>
              <w:t>Upper band</w:t>
            </w:r>
          </w:p>
        </w:tc>
        <w:tc>
          <w:tcPr>
            <w:tcW w:w="2554" w:type="dxa"/>
          </w:tcPr>
          <w:p w14:paraId="555B3FBE" w14:textId="77777777" w:rsidR="00AE6C4E" w:rsidRDefault="00AE6C4E" w:rsidP="00200216">
            <w:pPr>
              <w:pStyle w:val="TableBody"/>
            </w:pPr>
            <w:r>
              <w:t>3890-4200 MHz</w:t>
            </w:r>
          </w:p>
        </w:tc>
        <w:tc>
          <w:tcPr>
            <w:tcW w:w="2554" w:type="dxa"/>
          </w:tcPr>
          <w:p w14:paraId="28A93531" w14:textId="77777777" w:rsidR="00AE6C4E" w:rsidRPr="002C16E4" w:rsidRDefault="00AE6C4E" w:rsidP="00200216">
            <w:pPr>
              <w:pStyle w:val="TableBody"/>
            </w:pPr>
            <w:r w:rsidRPr="002C16E4">
              <w:t>4003.5-4203.5</w:t>
            </w:r>
            <w:r>
              <w:t xml:space="preserve"> MHz</w:t>
            </w:r>
          </w:p>
        </w:tc>
      </w:tr>
      <w:tr w:rsidR="00AE6C4E" w14:paraId="732EC497" w14:textId="77777777" w:rsidTr="00200216">
        <w:trPr>
          <w:cnfStyle w:val="000000100000" w:firstRow="0" w:lastRow="0" w:firstColumn="0" w:lastColumn="0" w:oddVBand="0" w:evenVBand="0" w:oddHBand="1" w:evenHBand="0" w:firstRowFirstColumn="0" w:firstRowLastColumn="0" w:lastRowFirstColumn="0" w:lastRowLastColumn="0"/>
        </w:trPr>
        <w:tc>
          <w:tcPr>
            <w:tcW w:w="2687" w:type="dxa"/>
          </w:tcPr>
          <w:p w14:paraId="4FDD4760" w14:textId="77777777" w:rsidR="00AE6C4E" w:rsidRDefault="00AE6C4E" w:rsidP="00200216">
            <w:pPr>
              <w:pStyle w:val="TableBody"/>
            </w:pPr>
            <w:r>
              <w:t>Lower/Upper band BW</w:t>
            </w:r>
          </w:p>
        </w:tc>
        <w:tc>
          <w:tcPr>
            <w:tcW w:w="2554" w:type="dxa"/>
          </w:tcPr>
          <w:p w14:paraId="77081F17" w14:textId="77777777" w:rsidR="00AE6C4E" w:rsidRDefault="00AE6C4E" w:rsidP="00200216">
            <w:pPr>
              <w:pStyle w:val="TableBody"/>
            </w:pPr>
            <w:r>
              <w:t>310 MHz</w:t>
            </w:r>
          </w:p>
        </w:tc>
        <w:tc>
          <w:tcPr>
            <w:tcW w:w="2554" w:type="dxa"/>
          </w:tcPr>
          <w:p w14:paraId="0D9DA0CE" w14:textId="77777777" w:rsidR="00AE6C4E" w:rsidRDefault="00AE6C4E" w:rsidP="00200216">
            <w:pPr>
              <w:pStyle w:val="TableBody"/>
            </w:pPr>
            <w:r>
              <w:t>200 MHz</w:t>
            </w:r>
          </w:p>
        </w:tc>
      </w:tr>
      <w:tr w:rsidR="00AE6C4E" w14:paraId="31EEEEBC" w14:textId="77777777" w:rsidTr="00200216">
        <w:trPr>
          <w:cnfStyle w:val="000000010000" w:firstRow="0" w:lastRow="0" w:firstColumn="0" w:lastColumn="0" w:oddVBand="0" w:evenVBand="0" w:oddHBand="0" w:evenHBand="1" w:firstRowFirstColumn="0" w:firstRowLastColumn="0" w:lastRowFirstColumn="0" w:lastRowLastColumn="0"/>
        </w:trPr>
        <w:tc>
          <w:tcPr>
            <w:tcW w:w="2687" w:type="dxa"/>
          </w:tcPr>
          <w:p w14:paraId="6438D92D" w14:textId="77777777" w:rsidR="00AE6C4E" w:rsidRDefault="00AE6C4E" w:rsidP="00200216">
            <w:pPr>
              <w:pStyle w:val="TableBody"/>
            </w:pPr>
            <w:r>
              <w:t>Possible bitrates</w:t>
            </w:r>
          </w:p>
        </w:tc>
        <w:tc>
          <w:tcPr>
            <w:tcW w:w="2554" w:type="dxa"/>
          </w:tcPr>
          <w:p w14:paraId="73F08B28" w14:textId="77777777" w:rsidR="00AE6C4E" w:rsidRDefault="00AE6C4E" w:rsidP="00200216">
            <w:pPr>
              <w:pStyle w:val="TableBody"/>
            </w:pPr>
            <w:r>
              <w:t>140 Mbit/s (FX03)</w:t>
            </w:r>
          </w:p>
          <w:p w14:paraId="6E176860" w14:textId="77777777" w:rsidR="00AE6C4E" w:rsidRDefault="00AE6C4E" w:rsidP="00200216">
            <w:pPr>
              <w:pStyle w:val="TableBody"/>
            </w:pPr>
            <w:r w:rsidRPr="003E5D9D">
              <w:t>155 Mbit/s</w:t>
            </w:r>
            <w:r>
              <w:t xml:space="preserve"> (</w:t>
            </w:r>
            <w:hyperlink r:id="rId17" w:history="1">
              <w:r w:rsidRPr="00783368">
                <w:rPr>
                  <w:rStyle w:val="Hyperlink"/>
                  <w:rFonts w:eastAsiaTheme="majorEastAsia"/>
                </w:rPr>
                <w:t>F.635-7</w:t>
              </w:r>
            </w:hyperlink>
            <w:r>
              <w:t>)</w:t>
            </w:r>
            <w:r>
              <w:rPr>
                <w:rStyle w:val="FootnoteReference"/>
              </w:rPr>
              <w:t xml:space="preserve"> </w:t>
            </w:r>
          </w:p>
          <w:p w14:paraId="130C2BFB" w14:textId="77777777" w:rsidR="00AE6C4E" w:rsidRDefault="00AE6C4E" w:rsidP="00200216">
            <w:pPr>
              <w:pStyle w:val="TableBody"/>
            </w:pPr>
            <w:r w:rsidRPr="003E5D9D">
              <w:t>2×155 Mbit/s</w:t>
            </w:r>
            <w:r>
              <w:t xml:space="preserve"> (F.635-7)</w:t>
            </w:r>
          </w:p>
        </w:tc>
        <w:tc>
          <w:tcPr>
            <w:tcW w:w="2554" w:type="dxa"/>
          </w:tcPr>
          <w:p w14:paraId="54FFEE76" w14:textId="77777777" w:rsidR="00AE6C4E" w:rsidRDefault="00AE6C4E" w:rsidP="00200216">
            <w:pPr>
              <w:pStyle w:val="TableBody"/>
            </w:pPr>
            <w:r w:rsidRPr="003322B2">
              <w:t>2×34 Mbit/s</w:t>
            </w:r>
          </w:p>
          <w:p w14:paraId="796BFA22" w14:textId="77777777" w:rsidR="00AE6C4E" w:rsidRDefault="00AE6C4E" w:rsidP="00200216">
            <w:pPr>
              <w:pStyle w:val="TableBody"/>
            </w:pPr>
            <w:r>
              <w:t>2</w:t>
            </w:r>
            <w:r w:rsidRPr="003322B2">
              <w:t>×45 Mbit/s</w:t>
            </w:r>
          </w:p>
          <w:p w14:paraId="3E67DF51" w14:textId="77777777" w:rsidR="00AE6C4E" w:rsidRDefault="00AE6C4E" w:rsidP="00200216">
            <w:pPr>
              <w:pStyle w:val="TableBody"/>
            </w:pPr>
            <w:r w:rsidRPr="003322B2">
              <w:t>140 Mbit/s</w:t>
            </w:r>
          </w:p>
        </w:tc>
      </w:tr>
    </w:tbl>
    <w:p w14:paraId="364960A3" w14:textId="77777777" w:rsidR="00AE6C4E" w:rsidRDefault="00AE6C4E" w:rsidP="00AE6C4E">
      <w:pPr>
        <w:pStyle w:val="Figureheading"/>
        <w:numPr>
          <w:ilvl w:val="0"/>
          <w:numId w:val="0"/>
        </w:numPr>
      </w:pPr>
    </w:p>
    <w:p w14:paraId="380D2BDA" w14:textId="77777777" w:rsidR="00AE6C4E" w:rsidRDefault="00AE6C4E" w:rsidP="00AE6C4E">
      <w:pPr>
        <w:pStyle w:val="Figureheading"/>
      </w:pPr>
      <w:r>
        <w:t xml:space="preserve">Channels frequency comparison (Blue/Red 3.8 GHz RALI FX03, Black/Green </w:t>
      </w:r>
      <w:r w:rsidRPr="005C6D52">
        <w:t>ITU-R F.382-8</w:t>
      </w:r>
      <w:r>
        <w:t>)</w:t>
      </w:r>
    </w:p>
    <w:p w14:paraId="6C580D7B" w14:textId="77777777" w:rsidR="00AE6C4E" w:rsidRPr="000A6F08" w:rsidRDefault="00AE6C4E" w:rsidP="00AE6C4E">
      <w:r w:rsidRPr="00591B2E">
        <w:rPr>
          <w:noProof/>
        </w:rPr>
        <w:drawing>
          <wp:inline distT="0" distB="0" distL="0" distR="0" wp14:anchorId="505F6263" wp14:editId="764E5C62">
            <wp:extent cx="4871085" cy="2458085"/>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871085" cy="2458085"/>
                    </a:xfrm>
                    <a:prstGeom prst="rect">
                      <a:avLst/>
                    </a:prstGeom>
                  </pic:spPr>
                </pic:pic>
              </a:graphicData>
            </a:graphic>
          </wp:inline>
        </w:drawing>
      </w:r>
    </w:p>
    <w:p w14:paraId="24D1F592" w14:textId="77777777" w:rsidR="00A70060" w:rsidRDefault="00A70060">
      <w:pPr>
        <w:spacing w:after="160" w:line="259" w:lineRule="auto"/>
        <w:rPr>
          <w:rFonts w:cs="Arial"/>
          <w:b/>
          <w:bCs/>
          <w:iCs/>
          <w:sz w:val="28"/>
          <w:szCs w:val="28"/>
        </w:rPr>
      </w:pPr>
      <w:bookmarkStart w:id="4" w:name="_Toc81389923"/>
      <w:r>
        <w:br w:type="page"/>
      </w:r>
    </w:p>
    <w:p w14:paraId="090A05DF" w14:textId="04ED75EF" w:rsidR="00AE6C4E" w:rsidRDefault="00AE6C4E" w:rsidP="00AE6C4E">
      <w:pPr>
        <w:pStyle w:val="sub-heading"/>
      </w:pPr>
      <w:r>
        <w:lastRenderedPageBreak/>
        <w:t>3.8 GHz RALI FX03</w:t>
      </w:r>
      <w:bookmarkEnd w:id="4"/>
    </w:p>
    <w:p w14:paraId="608FFBED" w14:textId="77777777" w:rsidR="00AE6C4E" w:rsidRDefault="00AE6C4E" w:rsidP="00AE6C4E">
      <w:pPr>
        <w:pStyle w:val="Heading3"/>
      </w:pPr>
      <w:bookmarkStart w:id="5" w:name="_Toc81389924"/>
      <w:r>
        <w:t>Derivation of channel plan</w:t>
      </w:r>
      <w:bookmarkEnd w:id="5"/>
    </w:p>
    <w:p w14:paraId="0EC08A9E" w14:textId="025A3A95" w:rsidR="00AE6C4E" w:rsidRDefault="00AE6C4E" w:rsidP="00AE6C4E">
      <w:pPr>
        <w:pStyle w:val="Paragraph"/>
      </w:pPr>
      <w:r>
        <w:t xml:space="preserve">The centre frequencies in RALI FX03 were derived from </w:t>
      </w:r>
      <w:hyperlink r:id="rId19" w:history="1">
        <w:r w:rsidRPr="00783368">
          <w:rPr>
            <w:rStyle w:val="Hyperlink"/>
            <w:rFonts w:eastAsiaTheme="majorEastAsia"/>
          </w:rPr>
          <w:t>ITU-R F.635-2</w:t>
        </w:r>
      </w:hyperlink>
      <w:r>
        <w:t>, recommends 1, co-channel arrangement</w:t>
      </w:r>
      <w:r>
        <w:rPr>
          <w:rStyle w:val="FootnoteReference"/>
        </w:rPr>
        <w:footnoteReference w:id="2"/>
      </w:r>
      <w:r>
        <w:t xml:space="preserve"> using Figure 1</w:t>
      </w:r>
      <w:r w:rsidR="00B54481">
        <w:t xml:space="preserve"> from that document</w:t>
      </w:r>
      <w:r>
        <w:t>:</w:t>
      </w:r>
    </w:p>
    <w:p w14:paraId="0B9288DF" w14:textId="77777777" w:rsidR="00AE6C4E" w:rsidRPr="00D06A00" w:rsidRDefault="006E15E9" w:rsidP="00AE6C4E">
      <w:pPr>
        <w:pStyle w:val="Paragraph"/>
        <w:jc w:val="center"/>
      </w:pPr>
      <m:oMath>
        <m:sSub>
          <m:sSubPr>
            <m:ctrlPr>
              <w:rPr>
                <w:rFonts w:ascii="Cambria Math" w:hAnsi="Cambria Math"/>
              </w:rPr>
            </m:ctrlPr>
          </m:sSubPr>
          <m:e>
            <m:r>
              <w:rPr>
                <w:rFonts w:ascii="Cambria Math" w:hAnsi="Cambria Math"/>
              </w:rPr>
              <m:t>f</m:t>
            </m:r>
          </m:e>
          <m:sub>
            <m:r>
              <w:rPr>
                <w:rFonts w:ascii="Cambria Math" w:hAnsi="Cambria Math"/>
              </w:rPr>
              <m:t>n</m:t>
            </m:r>
          </m:sub>
        </m:sSub>
        <m:r>
          <m:rPr>
            <m:sty m:val="p"/>
          </m:rPr>
          <w:rPr>
            <w:rFonts w:ascii="Cambria Math" w:hAnsi="Cambria Math"/>
          </w:rPr>
          <m:t>=4200-10</m:t>
        </m:r>
        <m:r>
          <w:rPr>
            <w:rFonts w:ascii="Cambria Math" w:hAnsi="Cambria Math"/>
          </w:rPr>
          <m:t>m</m:t>
        </m:r>
      </m:oMath>
      <w:r w:rsidR="00AE6C4E" w:rsidRPr="00D06A00">
        <w:t xml:space="preserve"> MHz</w:t>
      </w:r>
    </w:p>
    <w:p w14:paraId="0F9992B4" w14:textId="77777777" w:rsidR="00AE6C4E" w:rsidRDefault="00AE6C4E" w:rsidP="00AE6C4E">
      <w:pPr>
        <w:pStyle w:val="Figureheading"/>
      </w:pPr>
      <w:r>
        <w:t>Example of channel arrangements from ITU Rec. 635-2</w:t>
      </w:r>
    </w:p>
    <w:p w14:paraId="119DC601" w14:textId="77777777" w:rsidR="00AE6C4E" w:rsidRDefault="00AE6C4E" w:rsidP="00AE6C4E">
      <w:pPr>
        <w:pStyle w:val="Paragraph"/>
      </w:pPr>
      <w:r w:rsidRPr="00C9199F">
        <w:rPr>
          <w:noProof/>
        </w:rPr>
        <w:drawing>
          <wp:inline distT="0" distB="0" distL="0" distR="0" wp14:anchorId="373B1570" wp14:editId="70B22AA6">
            <wp:extent cx="4871085" cy="3577590"/>
            <wp:effectExtent l="0" t="0" r="571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71085" cy="3577590"/>
                    </a:xfrm>
                    <a:prstGeom prst="rect">
                      <a:avLst/>
                    </a:prstGeom>
                    <a:noFill/>
                    <a:ln>
                      <a:noFill/>
                    </a:ln>
                  </pic:spPr>
                </pic:pic>
              </a:graphicData>
            </a:graphic>
          </wp:inline>
        </w:drawing>
      </w:r>
    </w:p>
    <w:p w14:paraId="6CC1DA32" w14:textId="77777777" w:rsidR="00AE6C4E" w:rsidRPr="001C79B0" w:rsidRDefault="00AE6C4E" w:rsidP="00AE6C4E">
      <w:pPr>
        <w:pStyle w:val="Tableheading"/>
      </w:pPr>
      <w:r w:rsidRPr="001C79B0">
        <w:t xml:space="preserve">Variables used in </w:t>
      </w:r>
      <w:r>
        <w:t>ITU-R F.635-2</w:t>
      </w:r>
    </w:p>
    <w:tbl>
      <w:tblPr>
        <w:tblStyle w:val="ACMAtablestyle"/>
        <w:tblW w:w="0" w:type="auto"/>
        <w:tblLook w:val="04A0" w:firstRow="1" w:lastRow="0" w:firstColumn="1" w:lastColumn="0" w:noHBand="0" w:noVBand="1"/>
      </w:tblPr>
      <w:tblGrid>
        <w:gridCol w:w="1004"/>
        <w:gridCol w:w="2382"/>
        <w:gridCol w:w="2588"/>
      </w:tblGrid>
      <w:tr w:rsidR="00AE6C4E" w14:paraId="36847D85" w14:textId="77777777" w:rsidTr="00200216">
        <w:trPr>
          <w:cnfStyle w:val="100000000000" w:firstRow="1" w:lastRow="0" w:firstColumn="0" w:lastColumn="0" w:oddVBand="0" w:evenVBand="0" w:oddHBand="0" w:evenHBand="0" w:firstRowFirstColumn="0" w:firstRowLastColumn="0" w:lastRowFirstColumn="0" w:lastRowLastColumn="0"/>
        </w:trPr>
        <w:tc>
          <w:tcPr>
            <w:tcW w:w="1004" w:type="dxa"/>
          </w:tcPr>
          <w:p w14:paraId="63DC9517" w14:textId="77777777" w:rsidR="00AE6C4E" w:rsidRDefault="00AE6C4E" w:rsidP="00200216">
            <w:pPr>
              <w:pStyle w:val="Tableheaderrow"/>
            </w:pPr>
            <w:r>
              <w:t>Variable</w:t>
            </w:r>
          </w:p>
        </w:tc>
        <w:tc>
          <w:tcPr>
            <w:tcW w:w="2382" w:type="dxa"/>
          </w:tcPr>
          <w:p w14:paraId="205086F9" w14:textId="77777777" w:rsidR="00AE6C4E" w:rsidRDefault="00AE6C4E" w:rsidP="00200216">
            <w:pPr>
              <w:pStyle w:val="Tableheaderrow"/>
            </w:pPr>
            <w:r>
              <w:t>Definition</w:t>
            </w:r>
          </w:p>
        </w:tc>
        <w:tc>
          <w:tcPr>
            <w:tcW w:w="2588" w:type="dxa"/>
          </w:tcPr>
          <w:p w14:paraId="4C56BC59" w14:textId="77777777" w:rsidR="00AE6C4E" w:rsidRDefault="00AE6C4E" w:rsidP="00200216">
            <w:pPr>
              <w:pStyle w:val="Tableheaderrow"/>
            </w:pPr>
            <w:r>
              <w:t>Value</w:t>
            </w:r>
          </w:p>
        </w:tc>
      </w:tr>
      <w:tr w:rsidR="00AE6C4E" w14:paraId="23428744" w14:textId="77777777" w:rsidTr="00200216">
        <w:trPr>
          <w:cnfStyle w:val="000000100000" w:firstRow="0" w:lastRow="0" w:firstColumn="0" w:lastColumn="0" w:oddVBand="0" w:evenVBand="0" w:oddHBand="1" w:evenHBand="0" w:firstRowFirstColumn="0" w:firstRowLastColumn="0" w:lastRowFirstColumn="0" w:lastRowLastColumn="0"/>
        </w:trPr>
        <w:tc>
          <w:tcPr>
            <w:tcW w:w="1004" w:type="dxa"/>
          </w:tcPr>
          <w:p w14:paraId="13D03355" w14:textId="77777777" w:rsidR="00AE6C4E" w:rsidRDefault="00AE6C4E" w:rsidP="00200216">
            <w:pPr>
              <w:pStyle w:val="TableBody"/>
            </w:pPr>
            <w:r>
              <w:t>n, N</w:t>
            </w:r>
          </w:p>
        </w:tc>
        <w:tc>
          <w:tcPr>
            <w:tcW w:w="2382" w:type="dxa"/>
          </w:tcPr>
          <w:p w14:paraId="354DF974" w14:textId="77777777" w:rsidR="00AE6C4E" w:rsidRDefault="00AE6C4E" w:rsidP="00200216">
            <w:pPr>
              <w:pStyle w:val="TableBody"/>
            </w:pPr>
            <w:r>
              <w:t>Number of channels</w:t>
            </w:r>
          </w:p>
        </w:tc>
        <w:tc>
          <w:tcPr>
            <w:tcW w:w="2588" w:type="dxa"/>
          </w:tcPr>
          <w:p w14:paraId="0B67AC1D" w14:textId="77777777" w:rsidR="00AE6C4E" w:rsidRDefault="00AE6C4E" w:rsidP="00200216">
            <w:pPr>
              <w:pStyle w:val="TableBody"/>
            </w:pPr>
            <w:r>
              <w:t>14</w:t>
            </w:r>
          </w:p>
        </w:tc>
      </w:tr>
      <w:tr w:rsidR="00AE6C4E" w14:paraId="3EE176B8" w14:textId="77777777" w:rsidTr="00200216">
        <w:trPr>
          <w:cnfStyle w:val="000000010000" w:firstRow="0" w:lastRow="0" w:firstColumn="0" w:lastColumn="0" w:oddVBand="0" w:evenVBand="0" w:oddHBand="0" w:evenHBand="1" w:firstRowFirstColumn="0" w:firstRowLastColumn="0" w:lastRowFirstColumn="0" w:lastRowLastColumn="0"/>
        </w:trPr>
        <w:tc>
          <w:tcPr>
            <w:tcW w:w="1004" w:type="dxa"/>
          </w:tcPr>
          <w:p w14:paraId="4A4BEE0E" w14:textId="77777777" w:rsidR="00AE6C4E" w:rsidRDefault="00AE6C4E" w:rsidP="00200216">
            <w:pPr>
              <w:pStyle w:val="TableBody"/>
            </w:pPr>
            <w:r>
              <w:t>m</w:t>
            </w:r>
          </w:p>
        </w:tc>
        <w:tc>
          <w:tcPr>
            <w:tcW w:w="2382" w:type="dxa"/>
          </w:tcPr>
          <w:p w14:paraId="5DF86B52" w14:textId="77777777" w:rsidR="00AE6C4E" w:rsidRDefault="00AE6C4E" w:rsidP="00200216">
            <w:pPr>
              <w:pStyle w:val="TableBody"/>
            </w:pPr>
            <w:r>
              <w:t>Integral number</w:t>
            </w:r>
          </w:p>
        </w:tc>
        <w:tc>
          <w:tcPr>
            <w:tcW w:w="2588" w:type="dxa"/>
          </w:tcPr>
          <w:p w14:paraId="1E3A19A2" w14:textId="77777777" w:rsidR="00AE6C4E" w:rsidRDefault="00AE6C4E" w:rsidP="00200216">
            <w:pPr>
              <w:pStyle w:val="TableBody"/>
            </w:pPr>
            <w:r>
              <w:t>3, 7, 11, 15, 19, 23, 27 for the lower band</w:t>
            </w:r>
          </w:p>
          <w:p w14:paraId="35F62475" w14:textId="77777777" w:rsidR="00AE6C4E" w:rsidRDefault="00AE6C4E" w:rsidP="00200216">
            <w:pPr>
              <w:pStyle w:val="TableBody"/>
            </w:pPr>
            <w:r>
              <w:t>35, 39, 43, 47, 51, 55, 59 for the upper band.</w:t>
            </w:r>
          </w:p>
        </w:tc>
      </w:tr>
      <w:tr w:rsidR="00AE6C4E" w14:paraId="05278964" w14:textId="77777777" w:rsidTr="00200216">
        <w:trPr>
          <w:cnfStyle w:val="000000100000" w:firstRow="0" w:lastRow="0" w:firstColumn="0" w:lastColumn="0" w:oddVBand="0" w:evenVBand="0" w:oddHBand="1" w:evenHBand="0" w:firstRowFirstColumn="0" w:firstRowLastColumn="0" w:lastRowFirstColumn="0" w:lastRowLastColumn="0"/>
        </w:trPr>
        <w:tc>
          <w:tcPr>
            <w:tcW w:w="1004" w:type="dxa"/>
          </w:tcPr>
          <w:p w14:paraId="6A943EFE" w14:textId="77777777" w:rsidR="00AE6C4E" w:rsidRDefault="00AE6C4E" w:rsidP="00200216">
            <w:pPr>
              <w:pStyle w:val="TableBody"/>
            </w:pPr>
            <w:r>
              <w:t>XS</w:t>
            </w:r>
          </w:p>
        </w:tc>
        <w:tc>
          <w:tcPr>
            <w:tcW w:w="2382" w:type="dxa"/>
          </w:tcPr>
          <w:p w14:paraId="5441816C" w14:textId="77777777" w:rsidR="00AE6C4E" w:rsidRDefault="00AE6C4E" w:rsidP="00200216">
            <w:pPr>
              <w:pStyle w:val="TableBody"/>
            </w:pPr>
            <w:r>
              <w:t>Channel spacing</w:t>
            </w:r>
          </w:p>
        </w:tc>
        <w:tc>
          <w:tcPr>
            <w:tcW w:w="2588" w:type="dxa"/>
          </w:tcPr>
          <w:p w14:paraId="700EDC55" w14:textId="77777777" w:rsidR="00AE6C4E" w:rsidRDefault="00AE6C4E" w:rsidP="00200216">
            <w:pPr>
              <w:pStyle w:val="TableBody"/>
            </w:pPr>
            <w:r>
              <w:t>40 MHz</w:t>
            </w:r>
          </w:p>
        </w:tc>
      </w:tr>
      <w:tr w:rsidR="00AE6C4E" w14:paraId="7C18EEC2" w14:textId="77777777" w:rsidTr="00200216">
        <w:trPr>
          <w:cnfStyle w:val="000000010000" w:firstRow="0" w:lastRow="0" w:firstColumn="0" w:lastColumn="0" w:oddVBand="0" w:evenVBand="0" w:oddHBand="0" w:evenHBand="1" w:firstRowFirstColumn="0" w:firstRowLastColumn="0" w:lastRowFirstColumn="0" w:lastRowLastColumn="0"/>
        </w:trPr>
        <w:tc>
          <w:tcPr>
            <w:tcW w:w="1004" w:type="dxa"/>
          </w:tcPr>
          <w:p w14:paraId="58CE7301" w14:textId="77777777" w:rsidR="00AE6C4E" w:rsidRDefault="00AE6C4E" w:rsidP="00200216">
            <w:pPr>
              <w:pStyle w:val="TableBody"/>
            </w:pPr>
            <w:r>
              <w:t>YS</w:t>
            </w:r>
          </w:p>
        </w:tc>
        <w:tc>
          <w:tcPr>
            <w:tcW w:w="2382" w:type="dxa"/>
          </w:tcPr>
          <w:p w14:paraId="031ED79E" w14:textId="77777777" w:rsidR="00AE6C4E" w:rsidRDefault="00AE6C4E" w:rsidP="00200216">
            <w:pPr>
              <w:pStyle w:val="TableBody"/>
            </w:pPr>
            <w:r>
              <w:t>Centre gap</w:t>
            </w:r>
          </w:p>
        </w:tc>
        <w:tc>
          <w:tcPr>
            <w:tcW w:w="2588" w:type="dxa"/>
          </w:tcPr>
          <w:p w14:paraId="51426B3D" w14:textId="77777777" w:rsidR="00AE6C4E" w:rsidRDefault="00AE6C4E" w:rsidP="00200216">
            <w:pPr>
              <w:pStyle w:val="TableBody"/>
            </w:pPr>
            <w:r>
              <w:t>60 MHz</w:t>
            </w:r>
          </w:p>
        </w:tc>
      </w:tr>
      <w:tr w:rsidR="00AE6C4E" w14:paraId="0584202F" w14:textId="77777777" w:rsidTr="00200216">
        <w:trPr>
          <w:cnfStyle w:val="000000100000" w:firstRow="0" w:lastRow="0" w:firstColumn="0" w:lastColumn="0" w:oddVBand="0" w:evenVBand="0" w:oddHBand="1" w:evenHBand="0" w:firstRowFirstColumn="0" w:firstRowLastColumn="0" w:lastRowFirstColumn="0" w:lastRowLastColumn="0"/>
        </w:trPr>
        <w:tc>
          <w:tcPr>
            <w:tcW w:w="1004" w:type="dxa"/>
          </w:tcPr>
          <w:p w14:paraId="638C7306" w14:textId="77777777" w:rsidR="00AE6C4E" w:rsidRPr="00481979" w:rsidRDefault="00AE6C4E" w:rsidP="00200216">
            <w:pPr>
              <w:pStyle w:val="TableBody"/>
            </w:pPr>
            <w:r>
              <w:t>Z</w:t>
            </w:r>
            <w:r w:rsidRPr="00481979">
              <w:rPr>
                <w:vertAlign w:val="subscript"/>
              </w:rPr>
              <w:t>1</w:t>
            </w:r>
            <w:r>
              <w:t>S, Z</w:t>
            </w:r>
            <w:r>
              <w:rPr>
                <w:vertAlign w:val="subscript"/>
              </w:rPr>
              <w:t>2</w:t>
            </w:r>
            <w:r>
              <w:t>S</w:t>
            </w:r>
          </w:p>
        </w:tc>
        <w:tc>
          <w:tcPr>
            <w:tcW w:w="2382" w:type="dxa"/>
          </w:tcPr>
          <w:p w14:paraId="1E259269" w14:textId="77777777" w:rsidR="00AE6C4E" w:rsidRDefault="00AE6C4E" w:rsidP="00200216">
            <w:pPr>
              <w:pStyle w:val="TableBody"/>
            </w:pPr>
            <w:r>
              <w:t>Guard spaces</w:t>
            </w:r>
          </w:p>
        </w:tc>
        <w:tc>
          <w:tcPr>
            <w:tcW w:w="2588" w:type="dxa"/>
          </w:tcPr>
          <w:p w14:paraId="226E88D5" w14:textId="77777777" w:rsidR="00AE6C4E" w:rsidRDefault="00AE6C4E" w:rsidP="00200216">
            <w:pPr>
              <w:pStyle w:val="TableBody"/>
            </w:pPr>
            <w:r>
              <w:t>30 MHz</w:t>
            </w:r>
          </w:p>
        </w:tc>
      </w:tr>
    </w:tbl>
    <w:p w14:paraId="38D36585" w14:textId="77777777" w:rsidR="00AE6C4E" w:rsidRDefault="00AE6C4E" w:rsidP="00AE6C4E">
      <w:pPr>
        <w:pStyle w:val="Paragraph"/>
      </w:pPr>
    </w:p>
    <w:p w14:paraId="20EA6CDF" w14:textId="77777777" w:rsidR="00AE6C4E" w:rsidRDefault="00AE6C4E" w:rsidP="00AE6C4E">
      <w:pPr>
        <w:pStyle w:val="Tableheading"/>
      </w:pPr>
      <w:r>
        <w:lastRenderedPageBreak/>
        <w:t>Centre Frequencies</w:t>
      </w:r>
    </w:p>
    <w:tbl>
      <w:tblPr>
        <w:tblStyle w:val="ACMAtablestyle"/>
        <w:tblW w:w="3520" w:type="dxa"/>
        <w:tblLook w:val="04A0" w:firstRow="1" w:lastRow="0" w:firstColumn="1" w:lastColumn="0" w:noHBand="0" w:noVBand="1"/>
      </w:tblPr>
      <w:tblGrid>
        <w:gridCol w:w="1696"/>
        <w:gridCol w:w="1824"/>
      </w:tblGrid>
      <w:tr w:rsidR="00AE6C4E" w:rsidRPr="008A264F" w14:paraId="511C5F36" w14:textId="77777777" w:rsidTr="00200216">
        <w:trPr>
          <w:cnfStyle w:val="100000000000" w:firstRow="1" w:lastRow="0" w:firstColumn="0" w:lastColumn="0" w:oddVBand="0" w:evenVBand="0" w:oddHBand="0" w:evenHBand="0" w:firstRowFirstColumn="0" w:firstRowLastColumn="0" w:lastRowFirstColumn="0" w:lastRowLastColumn="0"/>
          <w:trHeight w:val="20"/>
        </w:trPr>
        <w:tc>
          <w:tcPr>
            <w:tcW w:w="3520" w:type="dxa"/>
            <w:gridSpan w:val="2"/>
            <w:noWrap/>
          </w:tcPr>
          <w:p w14:paraId="5C5F5A69" w14:textId="77777777" w:rsidR="00AE6C4E" w:rsidRPr="008A264F" w:rsidRDefault="00AE6C4E" w:rsidP="00200216">
            <w:pPr>
              <w:pStyle w:val="Tableheaderrow"/>
              <w:rPr>
                <w:rFonts w:ascii="Calibri" w:hAnsi="Calibri" w:cs="Calibri"/>
                <w:color w:val="000000"/>
                <w:sz w:val="22"/>
                <w:szCs w:val="22"/>
              </w:rPr>
            </w:pPr>
            <w:r>
              <w:t>3.8 GHz RALI FX03</w:t>
            </w:r>
          </w:p>
        </w:tc>
      </w:tr>
      <w:tr w:rsidR="00AE6C4E" w:rsidRPr="008A264F" w14:paraId="2714A262" w14:textId="77777777" w:rsidTr="00200216">
        <w:trPr>
          <w:cnfStyle w:val="000000100000" w:firstRow="0" w:lastRow="0" w:firstColumn="0" w:lastColumn="0" w:oddVBand="0" w:evenVBand="0" w:oddHBand="1" w:evenHBand="0" w:firstRowFirstColumn="0" w:firstRowLastColumn="0" w:lastRowFirstColumn="0" w:lastRowLastColumn="0"/>
          <w:trHeight w:val="20"/>
        </w:trPr>
        <w:tc>
          <w:tcPr>
            <w:tcW w:w="1696" w:type="dxa"/>
            <w:noWrap/>
            <w:hideMark/>
          </w:tcPr>
          <w:p w14:paraId="487D7821" w14:textId="77777777" w:rsidR="00AE6C4E" w:rsidRPr="00DC0223" w:rsidRDefault="00AE6C4E" w:rsidP="00200216">
            <w:pPr>
              <w:pStyle w:val="TableBody"/>
            </w:pPr>
            <w:r w:rsidRPr="00DC0223">
              <w:t>3610</w:t>
            </w:r>
          </w:p>
        </w:tc>
        <w:tc>
          <w:tcPr>
            <w:tcW w:w="1824" w:type="dxa"/>
            <w:noWrap/>
            <w:hideMark/>
          </w:tcPr>
          <w:p w14:paraId="107657D8" w14:textId="77777777" w:rsidR="00AE6C4E" w:rsidRPr="00DC0223" w:rsidRDefault="00AE6C4E" w:rsidP="00200216">
            <w:pPr>
              <w:pStyle w:val="TableBody"/>
            </w:pPr>
            <w:r w:rsidRPr="00DC0223">
              <w:t>3930</w:t>
            </w:r>
          </w:p>
        </w:tc>
      </w:tr>
      <w:tr w:rsidR="00AE6C4E" w:rsidRPr="008A264F" w14:paraId="531F7FBC" w14:textId="77777777" w:rsidTr="00200216">
        <w:trPr>
          <w:cnfStyle w:val="000000010000" w:firstRow="0" w:lastRow="0" w:firstColumn="0" w:lastColumn="0" w:oddVBand="0" w:evenVBand="0" w:oddHBand="0" w:evenHBand="1" w:firstRowFirstColumn="0" w:firstRowLastColumn="0" w:lastRowFirstColumn="0" w:lastRowLastColumn="0"/>
          <w:trHeight w:val="20"/>
        </w:trPr>
        <w:tc>
          <w:tcPr>
            <w:tcW w:w="1696" w:type="dxa"/>
            <w:noWrap/>
            <w:hideMark/>
          </w:tcPr>
          <w:p w14:paraId="5DA643D2" w14:textId="77777777" w:rsidR="00AE6C4E" w:rsidRPr="00DC0223" w:rsidRDefault="00AE6C4E" w:rsidP="00200216">
            <w:pPr>
              <w:pStyle w:val="TableBody"/>
            </w:pPr>
            <w:r w:rsidRPr="00DC0223">
              <w:t>3650</w:t>
            </w:r>
          </w:p>
        </w:tc>
        <w:tc>
          <w:tcPr>
            <w:tcW w:w="1824" w:type="dxa"/>
            <w:noWrap/>
            <w:hideMark/>
          </w:tcPr>
          <w:p w14:paraId="4E84AE4C" w14:textId="77777777" w:rsidR="00AE6C4E" w:rsidRPr="00DC0223" w:rsidRDefault="00AE6C4E" w:rsidP="00200216">
            <w:pPr>
              <w:pStyle w:val="TableBody"/>
            </w:pPr>
            <w:r w:rsidRPr="00DC0223">
              <w:t>3970</w:t>
            </w:r>
          </w:p>
        </w:tc>
      </w:tr>
      <w:tr w:rsidR="00AE6C4E" w:rsidRPr="008A264F" w14:paraId="30A8B62D" w14:textId="77777777" w:rsidTr="00200216">
        <w:trPr>
          <w:cnfStyle w:val="000000100000" w:firstRow="0" w:lastRow="0" w:firstColumn="0" w:lastColumn="0" w:oddVBand="0" w:evenVBand="0" w:oddHBand="1" w:evenHBand="0" w:firstRowFirstColumn="0" w:firstRowLastColumn="0" w:lastRowFirstColumn="0" w:lastRowLastColumn="0"/>
          <w:trHeight w:val="20"/>
        </w:trPr>
        <w:tc>
          <w:tcPr>
            <w:tcW w:w="1696" w:type="dxa"/>
            <w:noWrap/>
            <w:hideMark/>
          </w:tcPr>
          <w:p w14:paraId="7A743F3D" w14:textId="77777777" w:rsidR="00AE6C4E" w:rsidRPr="00DC0223" w:rsidRDefault="00AE6C4E" w:rsidP="00200216">
            <w:pPr>
              <w:pStyle w:val="TableBody"/>
            </w:pPr>
            <w:r w:rsidRPr="00DC0223">
              <w:t>3690</w:t>
            </w:r>
          </w:p>
        </w:tc>
        <w:tc>
          <w:tcPr>
            <w:tcW w:w="1824" w:type="dxa"/>
            <w:noWrap/>
            <w:hideMark/>
          </w:tcPr>
          <w:p w14:paraId="58AAEF3C" w14:textId="77777777" w:rsidR="00AE6C4E" w:rsidRPr="00DC0223" w:rsidRDefault="00AE6C4E" w:rsidP="00200216">
            <w:pPr>
              <w:pStyle w:val="TableBody"/>
            </w:pPr>
            <w:r w:rsidRPr="00DC0223">
              <w:t>4010</w:t>
            </w:r>
          </w:p>
        </w:tc>
      </w:tr>
      <w:tr w:rsidR="00AE6C4E" w:rsidRPr="008A264F" w14:paraId="53092802" w14:textId="77777777" w:rsidTr="00200216">
        <w:trPr>
          <w:cnfStyle w:val="000000010000" w:firstRow="0" w:lastRow="0" w:firstColumn="0" w:lastColumn="0" w:oddVBand="0" w:evenVBand="0" w:oddHBand="0" w:evenHBand="1" w:firstRowFirstColumn="0" w:firstRowLastColumn="0" w:lastRowFirstColumn="0" w:lastRowLastColumn="0"/>
          <w:trHeight w:val="20"/>
        </w:trPr>
        <w:tc>
          <w:tcPr>
            <w:tcW w:w="1696" w:type="dxa"/>
            <w:noWrap/>
            <w:hideMark/>
          </w:tcPr>
          <w:p w14:paraId="5361ACF8" w14:textId="77777777" w:rsidR="00AE6C4E" w:rsidRPr="00DC0223" w:rsidRDefault="00AE6C4E" w:rsidP="00200216">
            <w:pPr>
              <w:pStyle w:val="TableBody"/>
            </w:pPr>
            <w:r w:rsidRPr="00DC0223">
              <w:t>3730</w:t>
            </w:r>
          </w:p>
        </w:tc>
        <w:tc>
          <w:tcPr>
            <w:tcW w:w="1824" w:type="dxa"/>
            <w:noWrap/>
            <w:hideMark/>
          </w:tcPr>
          <w:p w14:paraId="65359104" w14:textId="77777777" w:rsidR="00AE6C4E" w:rsidRPr="00DC0223" w:rsidRDefault="00AE6C4E" w:rsidP="00200216">
            <w:pPr>
              <w:pStyle w:val="TableBody"/>
            </w:pPr>
            <w:r w:rsidRPr="00DC0223">
              <w:t>4050</w:t>
            </w:r>
          </w:p>
        </w:tc>
      </w:tr>
      <w:tr w:rsidR="00AE6C4E" w:rsidRPr="008A264F" w14:paraId="0C1AB9F4" w14:textId="77777777" w:rsidTr="00200216">
        <w:trPr>
          <w:cnfStyle w:val="000000100000" w:firstRow="0" w:lastRow="0" w:firstColumn="0" w:lastColumn="0" w:oddVBand="0" w:evenVBand="0" w:oddHBand="1" w:evenHBand="0" w:firstRowFirstColumn="0" w:firstRowLastColumn="0" w:lastRowFirstColumn="0" w:lastRowLastColumn="0"/>
          <w:trHeight w:val="20"/>
        </w:trPr>
        <w:tc>
          <w:tcPr>
            <w:tcW w:w="1696" w:type="dxa"/>
            <w:noWrap/>
            <w:hideMark/>
          </w:tcPr>
          <w:p w14:paraId="2150C199" w14:textId="77777777" w:rsidR="00AE6C4E" w:rsidRPr="00DC0223" w:rsidRDefault="00AE6C4E" w:rsidP="00200216">
            <w:pPr>
              <w:pStyle w:val="TableBody"/>
            </w:pPr>
            <w:r w:rsidRPr="00DC0223">
              <w:t>3770</w:t>
            </w:r>
          </w:p>
        </w:tc>
        <w:tc>
          <w:tcPr>
            <w:tcW w:w="1824" w:type="dxa"/>
            <w:noWrap/>
            <w:hideMark/>
          </w:tcPr>
          <w:p w14:paraId="321FE180" w14:textId="77777777" w:rsidR="00AE6C4E" w:rsidRPr="00DC0223" w:rsidRDefault="00AE6C4E" w:rsidP="00200216">
            <w:pPr>
              <w:pStyle w:val="TableBody"/>
            </w:pPr>
            <w:r w:rsidRPr="00DC0223">
              <w:t>4090</w:t>
            </w:r>
          </w:p>
        </w:tc>
      </w:tr>
      <w:tr w:rsidR="00AE6C4E" w:rsidRPr="008A264F" w14:paraId="42446F8E" w14:textId="77777777" w:rsidTr="00200216">
        <w:trPr>
          <w:cnfStyle w:val="000000010000" w:firstRow="0" w:lastRow="0" w:firstColumn="0" w:lastColumn="0" w:oddVBand="0" w:evenVBand="0" w:oddHBand="0" w:evenHBand="1" w:firstRowFirstColumn="0" w:firstRowLastColumn="0" w:lastRowFirstColumn="0" w:lastRowLastColumn="0"/>
          <w:trHeight w:val="20"/>
        </w:trPr>
        <w:tc>
          <w:tcPr>
            <w:tcW w:w="1696" w:type="dxa"/>
            <w:noWrap/>
            <w:hideMark/>
          </w:tcPr>
          <w:p w14:paraId="785C7FEF" w14:textId="77777777" w:rsidR="00AE6C4E" w:rsidRPr="00DC0223" w:rsidRDefault="00AE6C4E" w:rsidP="00200216">
            <w:pPr>
              <w:pStyle w:val="TableBody"/>
            </w:pPr>
            <w:r w:rsidRPr="00DC0223">
              <w:t>3810</w:t>
            </w:r>
          </w:p>
        </w:tc>
        <w:tc>
          <w:tcPr>
            <w:tcW w:w="1824" w:type="dxa"/>
            <w:noWrap/>
            <w:hideMark/>
          </w:tcPr>
          <w:p w14:paraId="0FA4D9CE" w14:textId="77777777" w:rsidR="00AE6C4E" w:rsidRPr="00DC0223" w:rsidRDefault="00AE6C4E" w:rsidP="00200216">
            <w:pPr>
              <w:pStyle w:val="TableBody"/>
            </w:pPr>
            <w:r w:rsidRPr="00DC0223">
              <w:t>4130</w:t>
            </w:r>
          </w:p>
        </w:tc>
      </w:tr>
      <w:tr w:rsidR="00AE6C4E" w:rsidRPr="008A264F" w14:paraId="63F43677" w14:textId="77777777" w:rsidTr="00200216">
        <w:trPr>
          <w:cnfStyle w:val="000000100000" w:firstRow="0" w:lastRow="0" w:firstColumn="0" w:lastColumn="0" w:oddVBand="0" w:evenVBand="0" w:oddHBand="1" w:evenHBand="0" w:firstRowFirstColumn="0" w:firstRowLastColumn="0" w:lastRowFirstColumn="0" w:lastRowLastColumn="0"/>
          <w:trHeight w:val="20"/>
        </w:trPr>
        <w:tc>
          <w:tcPr>
            <w:tcW w:w="1696" w:type="dxa"/>
            <w:noWrap/>
            <w:hideMark/>
          </w:tcPr>
          <w:p w14:paraId="56786B82" w14:textId="77777777" w:rsidR="00AE6C4E" w:rsidRPr="00DC0223" w:rsidRDefault="00AE6C4E" w:rsidP="00200216">
            <w:pPr>
              <w:pStyle w:val="TableBody"/>
            </w:pPr>
            <w:r w:rsidRPr="00DC0223">
              <w:t>3850</w:t>
            </w:r>
          </w:p>
        </w:tc>
        <w:tc>
          <w:tcPr>
            <w:tcW w:w="1824" w:type="dxa"/>
            <w:noWrap/>
            <w:hideMark/>
          </w:tcPr>
          <w:p w14:paraId="64C13AA8" w14:textId="77777777" w:rsidR="00AE6C4E" w:rsidRPr="00DC0223" w:rsidRDefault="00AE6C4E" w:rsidP="00200216">
            <w:pPr>
              <w:pStyle w:val="TableBody"/>
            </w:pPr>
            <w:r w:rsidRPr="00DC0223">
              <w:t>4170</w:t>
            </w:r>
          </w:p>
        </w:tc>
      </w:tr>
    </w:tbl>
    <w:p w14:paraId="2ADA619A" w14:textId="77777777" w:rsidR="00AE6C4E" w:rsidRPr="00BF17A4" w:rsidRDefault="00AE6C4E" w:rsidP="00AE6C4E">
      <w:pPr>
        <w:pStyle w:val="Paragraph"/>
      </w:pPr>
    </w:p>
    <w:p w14:paraId="16DF19C7" w14:textId="380E1053" w:rsidR="00AE6C4E" w:rsidRPr="00200216" w:rsidRDefault="00AE6C4E" w:rsidP="00AE6C4E">
      <w:pPr>
        <w:pStyle w:val="Heading3"/>
        <w:rPr>
          <w:iCs/>
        </w:rPr>
      </w:pPr>
      <w:bookmarkStart w:id="6" w:name="_Toc81389925"/>
      <w:r w:rsidRPr="00200216">
        <w:t>Proposed changes to RALI FX03</w:t>
      </w:r>
      <w:bookmarkEnd w:id="6"/>
      <w:r w:rsidR="00781FCF">
        <w:t xml:space="preserve"> if option A was adopted</w:t>
      </w:r>
    </w:p>
    <w:p w14:paraId="07ECB00D" w14:textId="77777777" w:rsidR="00AE6C4E" w:rsidRPr="007D04B2" w:rsidRDefault="00AE6C4E" w:rsidP="00AE6C4E">
      <w:pPr>
        <w:rPr>
          <w:rFonts w:cs="Arial"/>
        </w:rPr>
      </w:pPr>
      <w:r>
        <w:rPr>
          <w:rFonts w:cs="Arial"/>
        </w:rPr>
        <w:t>The proposed changes reflect the restricted available range in the 3.8 GHz point-to-point link arrangements and the desire to increase flexibility.</w:t>
      </w:r>
    </w:p>
    <w:p w14:paraId="2B0701BD" w14:textId="77777777" w:rsidR="00781FCF" w:rsidRPr="00702EA1" w:rsidRDefault="00781FCF" w:rsidP="00781FCF">
      <w:pPr>
        <w:pStyle w:val="ACMATableHeader"/>
      </w:pPr>
      <w:bookmarkStart w:id="7" w:name="_Toc81389926"/>
      <w:r>
        <w:t>Proposed changes to the main body of RALI FX03</w:t>
      </w:r>
    </w:p>
    <w:tbl>
      <w:tblPr>
        <w:tblStyle w:val="ACMAtablestyle"/>
        <w:tblW w:w="7933" w:type="dxa"/>
        <w:tblLayout w:type="fixed"/>
        <w:tblLook w:val="01E0" w:firstRow="1" w:lastRow="1" w:firstColumn="1" w:lastColumn="1" w:noHBand="0" w:noVBand="0"/>
        <w:tblCaption w:val="Table title to go here"/>
        <w:tblDescription w:val="Table description to go here"/>
      </w:tblPr>
      <w:tblGrid>
        <w:gridCol w:w="2069"/>
        <w:gridCol w:w="5864"/>
      </w:tblGrid>
      <w:tr w:rsidR="00781FCF" w:rsidRPr="00A9457C" w14:paraId="0F316C52" w14:textId="77777777" w:rsidTr="00CF5E38">
        <w:trPr>
          <w:cnfStyle w:val="100000000000" w:firstRow="1" w:lastRow="0" w:firstColumn="0" w:lastColumn="0" w:oddVBand="0" w:evenVBand="0" w:oddHBand="0" w:evenHBand="0" w:firstRowFirstColumn="0" w:firstRowLastColumn="0" w:lastRowFirstColumn="0" w:lastRowLastColumn="0"/>
        </w:trPr>
        <w:tc>
          <w:tcPr>
            <w:tcW w:w="2069" w:type="dxa"/>
          </w:tcPr>
          <w:p w14:paraId="46DA7917" w14:textId="77777777" w:rsidR="00781FCF" w:rsidRPr="00A9457C" w:rsidRDefault="00781FCF" w:rsidP="00CF5E38">
            <w:pPr>
              <w:pStyle w:val="Tableheaderrow"/>
              <w:rPr>
                <w:szCs w:val="20"/>
              </w:rPr>
            </w:pPr>
            <w:r>
              <w:rPr>
                <w:szCs w:val="20"/>
              </w:rPr>
              <w:t>Clause/s</w:t>
            </w:r>
          </w:p>
        </w:tc>
        <w:tc>
          <w:tcPr>
            <w:tcW w:w="5864" w:type="dxa"/>
          </w:tcPr>
          <w:p w14:paraId="4664417E" w14:textId="77777777" w:rsidR="00781FCF" w:rsidRPr="00A9457C" w:rsidRDefault="00781FCF" w:rsidP="00CF5E38">
            <w:pPr>
              <w:pStyle w:val="Tableheaderrow"/>
              <w:rPr>
                <w:szCs w:val="20"/>
              </w:rPr>
            </w:pPr>
            <w:r w:rsidRPr="00A9457C">
              <w:rPr>
                <w:szCs w:val="20"/>
              </w:rPr>
              <w:t>Proposed change</w:t>
            </w:r>
          </w:p>
        </w:tc>
      </w:tr>
      <w:tr w:rsidR="00781FCF" w:rsidRPr="00A9457C" w14:paraId="578C67F1" w14:textId="77777777" w:rsidTr="00CF5E38">
        <w:trPr>
          <w:cnfStyle w:val="000000100000" w:firstRow="0" w:lastRow="0" w:firstColumn="0" w:lastColumn="0" w:oddVBand="0" w:evenVBand="0" w:oddHBand="1" w:evenHBand="0" w:firstRowFirstColumn="0" w:firstRowLastColumn="0" w:lastRowFirstColumn="0" w:lastRowLastColumn="0"/>
        </w:trPr>
        <w:tc>
          <w:tcPr>
            <w:tcW w:w="2069" w:type="dxa"/>
          </w:tcPr>
          <w:p w14:paraId="76154EB1" w14:textId="77777777" w:rsidR="00781FCF" w:rsidRDefault="00781FCF" w:rsidP="00CF5E38">
            <w:pPr>
              <w:pStyle w:val="TableBody"/>
              <w:rPr>
                <w:szCs w:val="20"/>
              </w:rPr>
            </w:pPr>
            <w:r>
              <w:rPr>
                <w:szCs w:val="20"/>
              </w:rPr>
              <w:t xml:space="preserve">3.4.2:  </w:t>
            </w:r>
            <w:r w:rsidRPr="00811A75">
              <w:rPr>
                <w:szCs w:val="20"/>
              </w:rPr>
              <w:t>3.4 GHz Fixed Point-to-Multipoint services</w:t>
            </w:r>
          </w:p>
        </w:tc>
        <w:tc>
          <w:tcPr>
            <w:tcW w:w="5864" w:type="dxa"/>
          </w:tcPr>
          <w:p w14:paraId="2A78D264" w14:textId="77777777" w:rsidR="00781FCF" w:rsidRDefault="00781FCF" w:rsidP="00CF5E38">
            <w:pPr>
              <w:pStyle w:val="TableBody"/>
              <w:spacing w:after="120"/>
              <w:rPr>
                <w:szCs w:val="20"/>
              </w:rPr>
            </w:pPr>
            <w:r>
              <w:rPr>
                <w:szCs w:val="20"/>
              </w:rPr>
              <w:t xml:space="preserve">Replace with: </w:t>
            </w:r>
          </w:p>
          <w:p w14:paraId="782C03FE" w14:textId="77777777" w:rsidR="00781FCF" w:rsidRPr="00811A75" w:rsidRDefault="00781FCF" w:rsidP="00CF5E38">
            <w:pPr>
              <w:pStyle w:val="TableBody"/>
              <w:rPr>
                <w:szCs w:val="20"/>
              </w:rPr>
            </w:pPr>
            <w:r>
              <w:rPr>
                <w:szCs w:val="20"/>
              </w:rPr>
              <w:t xml:space="preserve">Parts of the 3.4 GHz band support incumbent </w:t>
            </w:r>
            <w:r w:rsidRPr="00811A75">
              <w:rPr>
                <w:szCs w:val="20"/>
              </w:rPr>
              <w:t xml:space="preserve">point-to-multipoint </w:t>
            </w:r>
          </w:p>
          <w:p w14:paraId="4BA213EB" w14:textId="77777777" w:rsidR="00781FCF" w:rsidRDefault="00781FCF" w:rsidP="00CF5E38">
            <w:pPr>
              <w:pStyle w:val="TableBody"/>
              <w:rPr>
                <w:szCs w:val="20"/>
              </w:rPr>
            </w:pPr>
            <w:r w:rsidRPr="00811A75">
              <w:rPr>
                <w:szCs w:val="20"/>
              </w:rPr>
              <w:t>telecommunication system</w:t>
            </w:r>
            <w:r>
              <w:rPr>
                <w:szCs w:val="20"/>
              </w:rPr>
              <w:t>s.</w:t>
            </w:r>
          </w:p>
          <w:p w14:paraId="23E306E6" w14:textId="77777777" w:rsidR="00781FCF" w:rsidRDefault="00781FCF" w:rsidP="00CF5E38">
            <w:pPr>
              <w:pStyle w:val="TableBody"/>
              <w:rPr>
                <w:szCs w:val="20"/>
              </w:rPr>
            </w:pPr>
            <w:r>
              <w:rPr>
                <w:szCs w:val="20"/>
              </w:rPr>
              <w:t xml:space="preserve"> </w:t>
            </w:r>
            <w:r w:rsidRPr="00811A75">
              <w:rPr>
                <w:szCs w:val="20"/>
              </w:rPr>
              <w:t xml:space="preserve">For detailed coordination </w:t>
            </w:r>
            <w:r>
              <w:rPr>
                <w:szCs w:val="20"/>
              </w:rPr>
              <w:t>with</w:t>
            </w:r>
            <w:r w:rsidRPr="00811A75">
              <w:rPr>
                <w:szCs w:val="20"/>
              </w:rPr>
              <w:t xml:space="preserve"> for these 3.4 GHz services, </w:t>
            </w:r>
            <w:r>
              <w:rPr>
                <w:szCs w:val="20"/>
              </w:rPr>
              <w:t>refer to</w:t>
            </w:r>
            <w:r w:rsidRPr="00811A75">
              <w:rPr>
                <w:szCs w:val="20"/>
              </w:rPr>
              <w:t xml:space="preserve"> RALI </w:t>
            </w:r>
            <w:r>
              <w:rPr>
                <w:szCs w:val="20"/>
              </w:rPr>
              <w:t>MS47.</w:t>
            </w:r>
          </w:p>
        </w:tc>
      </w:tr>
    </w:tbl>
    <w:p w14:paraId="407C5FD8" w14:textId="77777777" w:rsidR="00781FCF" w:rsidRPr="007D04B2" w:rsidRDefault="00781FCF" w:rsidP="00781FCF">
      <w:pPr>
        <w:rPr>
          <w:rFonts w:cs="Arial"/>
        </w:rPr>
      </w:pPr>
    </w:p>
    <w:p w14:paraId="7E75AC65" w14:textId="77777777" w:rsidR="00781FCF" w:rsidRPr="00702EA1" w:rsidRDefault="00781FCF" w:rsidP="00781FCF">
      <w:pPr>
        <w:pStyle w:val="ACMATableHeader"/>
      </w:pPr>
      <w:bookmarkStart w:id="8" w:name="_Hlk69377333"/>
      <w:r>
        <w:t>Proposed changes to the 3.8 GHz appendix of RALI FX03</w:t>
      </w:r>
      <w:bookmarkEnd w:id="8"/>
    </w:p>
    <w:tbl>
      <w:tblPr>
        <w:tblStyle w:val="ACMAtablestyle"/>
        <w:tblW w:w="7933" w:type="dxa"/>
        <w:tblLayout w:type="fixed"/>
        <w:tblLook w:val="01E0" w:firstRow="1" w:lastRow="1" w:firstColumn="1" w:lastColumn="1" w:noHBand="0" w:noVBand="0"/>
        <w:tblCaption w:val="Table title to go here"/>
        <w:tblDescription w:val="Table description to go here"/>
      </w:tblPr>
      <w:tblGrid>
        <w:gridCol w:w="2069"/>
        <w:gridCol w:w="5864"/>
      </w:tblGrid>
      <w:tr w:rsidR="00781FCF" w:rsidRPr="00A9457C" w14:paraId="4E9D23AA" w14:textId="77777777" w:rsidTr="00CF5E38">
        <w:trPr>
          <w:cnfStyle w:val="100000000000" w:firstRow="1" w:lastRow="0" w:firstColumn="0" w:lastColumn="0" w:oddVBand="0" w:evenVBand="0" w:oddHBand="0" w:evenHBand="0" w:firstRowFirstColumn="0" w:firstRowLastColumn="0" w:lastRowFirstColumn="0" w:lastRowLastColumn="0"/>
        </w:trPr>
        <w:tc>
          <w:tcPr>
            <w:tcW w:w="2069" w:type="dxa"/>
          </w:tcPr>
          <w:p w14:paraId="0363911C" w14:textId="77777777" w:rsidR="00781FCF" w:rsidRPr="00A9457C" w:rsidRDefault="00781FCF" w:rsidP="00CF5E38">
            <w:pPr>
              <w:pStyle w:val="Tableheaderrow"/>
              <w:rPr>
                <w:szCs w:val="20"/>
              </w:rPr>
            </w:pPr>
            <w:r>
              <w:rPr>
                <w:szCs w:val="20"/>
              </w:rPr>
              <w:t>Clause/s</w:t>
            </w:r>
          </w:p>
        </w:tc>
        <w:tc>
          <w:tcPr>
            <w:tcW w:w="5864" w:type="dxa"/>
          </w:tcPr>
          <w:p w14:paraId="1DC2A0BD" w14:textId="77777777" w:rsidR="00781FCF" w:rsidRPr="00A9457C" w:rsidRDefault="00781FCF" w:rsidP="00CF5E38">
            <w:pPr>
              <w:pStyle w:val="Tableheaderrow"/>
              <w:rPr>
                <w:szCs w:val="20"/>
              </w:rPr>
            </w:pPr>
            <w:r w:rsidRPr="00A9457C">
              <w:rPr>
                <w:szCs w:val="20"/>
              </w:rPr>
              <w:t>Proposed change</w:t>
            </w:r>
          </w:p>
        </w:tc>
      </w:tr>
      <w:tr w:rsidR="00781FCF" w:rsidRPr="00A9457C" w14:paraId="60D253BC" w14:textId="77777777" w:rsidTr="00CF5E38">
        <w:trPr>
          <w:cnfStyle w:val="000000100000" w:firstRow="0" w:lastRow="0" w:firstColumn="0" w:lastColumn="0" w:oddVBand="0" w:evenVBand="0" w:oddHBand="1" w:evenHBand="0" w:firstRowFirstColumn="0" w:firstRowLastColumn="0" w:lastRowFirstColumn="0" w:lastRowLastColumn="0"/>
        </w:trPr>
        <w:tc>
          <w:tcPr>
            <w:tcW w:w="2069" w:type="dxa"/>
          </w:tcPr>
          <w:p w14:paraId="7D6E02A7" w14:textId="77777777" w:rsidR="00781FCF" w:rsidRDefault="00781FCF" w:rsidP="00CF5E38">
            <w:pPr>
              <w:pStyle w:val="TableBody"/>
              <w:rPr>
                <w:szCs w:val="20"/>
              </w:rPr>
            </w:pPr>
            <w:r>
              <w:rPr>
                <w:szCs w:val="20"/>
              </w:rPr>
              <w:t>Notes</w:t>
            </w:r>
          </w:p>
        </w:tc>
        <w:tc>
          <w:tcPr>
            <w:tcW w:w="5864" w:type="dxa"/>
          </w:tcPr>
          <w:p w14:paraId="0068AEF7" w14:textId="77777777" w:rsidR="00781FCF" w:rsidRDefault="00781FCF" w:rsidP="00CF5E38">
            <w:pPr>
              <w:pStyle w:val="TableBody"/>
              <w:spacing w:after="120"/>
              <w:rPr>
                <w:szCs w:val="20"/>
              </w:rPr>
            </w:pPr>
            <w:r>
              <w:rPr>
                <w:szCs w:val="20"/>
              </w:rPr>
              <w:t>Delete note 3.</w:t>
            </w:r>
          </w:p>
          <w:p w14:paraId="4B0CFB98" w14:textId="77777777" w:rsidR="00781FCF" w:rsidRDefault="00781FCF" w:rsidP="00CF5E38">
            <w:pPr>
              <w:pStyle w:val="TableBody"/>
              <w:spacing w:after="120"/>
              <w:rPr>
                <w:szCs w:val="20"/>
              </w:rPr>
            </w:pPr>
            <w:r>
              <w:rPr>
                <w:szCs w:val="20"/>
              </w:rPr>
              <w:t>Update note 7 to apply to channels 1-6 Australia-wide.</w:t>
            </w:r>
          </w:p>
          <w:p w14:paraId="4C1CC319" w14:textId="77777777" w:rsidR="00781FCF" w:rsidRDefault="00781FCF" w:rsidP="00CF5E38">
            <w:pPr>
              <w:pStyle w:val="TableBody"/>
              <w:spacing w:after="120"/>
              <w:rPr>
                <w:szCs w:val="20"/>
              </w:rPr>
            </w:pPr>
            <w:r>
              <w:rPr>
                <w:szCs w:val="20"/>
              </w:rPr>
              <w:t xml:space="preserve">Add a new note stating proposed fixed links must coordinate with AWLs and cannot be licensed in an AWL space unless agreed to by the licensee. </w:t>
            </w:r>
          </w:p>
          <w:p w14:paraId="067565E2" w14:textId="77777777" w:rsidR="00781FCF" w:rsidRDefault="00781FCF" w:rsidP="00CF5E38">
            <w:pPr>
              <w:pStyle w:val="TableBody"/>
              <w:rPr>
                <w:szCs w:val="20"/>
              </w:rPr>
            </w:pPr>
            <w:r>
              <w:rPr>
                <w:szCs w:val="20"/>
              </w:rPr>
              <w:t xml:space="preserve">Add a note that permits flexibility in site sense and channel use for the 3.8 GHz band. If co-sited parties can reach agreement, devices can be registered. </w:t>
            </w:r>
          </w:p>
        </w:tc>
      </w:tr>
      <w:tr w:rsidR="00781FCF" w:rsidRPr="00A9457C" w14:paraId="2F2C9CC5" w14:textId="77777777" w:rsidTr="00CF5E38">
        <w:trPr>
          <w:cnfStyle w:val="000000010000" w:firstRow="0" w:lastRow="0" w:firstColumn="0" w:lastColumn="0" w:oddVBand="0" w:evenVBand="0" w:oddHBand="0" w:evenHBand="1" w:firstRowFirstColumn="0" w:firstRowLastColumn="0" w:lastRowFirstColumn="0" w:lastRowLastColumn="0"/>
          <w:trHeight w:val="477"/>
        </w:trPr>
        <w:tc>
          <w:tcPr>
            <w:tcW w:w="2069" w:type="dxa"/>
          </w:tcPr>
          <w:p w14:paraId="7FE33BD1" w14:textId="77777777" w:rsidR="00781FCF" w:rsidRDefault="00781FCF" w:rsidP="00CF5E38">
            <w:pPr>
              <w:pStyle w:val="TableBody"/>
              <w:rPr>
                <w:szCs w:val="20"/>
              </w:rPr>
            </w:pPr>
            <w:r>
              <w:rPr>
                <w:szCs w:val="20"/>
              </w:rPr>
              <w:t>Assignment restrictions</w:t>
            </w:r>
          </w:p>
        </w:tc>
        <w:tc>
          <w:tcPr>
            <w:tcW w:w="5864" w:type="dxa"/>
          </w:tcPr>
          <w:p w14:paraId="4B7AD00A" w14:textId="77777777" w:rsidR="00781FCF" w:rsidRDefault="00781FCF" w:rsidP="00CF5E38">
            <w:pPr>
              <w:pStyle w:val="TableBody"/>
              <w:spacing w:after="120"/>
              <w:rPr>
                <w:szCs w:val="20"/>
              </w:rPr>
            </w:pPr>
            <w:r>
              <w:rPr>
                <w:szCs w:val="20"/>
              </w:rPr>
              <w:t>Update restriction 1 to restrict new assignments on channels 1-6 Australia-wide.</w:t>
            </w:r>
          </w:p>
          <w:p w14:paraId="418BE713" w14:textId="77777777" w:rsidR="00781FCF" w:rsidRDefault="00781FCF" w:rsidP="00CF5E38">
            <w:pPr>
              <w:pStyle w:val="TableBody"/>
              <w:rPr>
                <w:szCs w:val="20"/>
              </w:rPr>
            </w:pPr>
            <w:r>
              <w:rPr>
                <w:szCs w:val="20"/>
              </w:rPr>
              <w:t>Add a new restriction indicating that services must be coordinated with AWLs and cannot be licensed within an existing AWL spectrum space unless agreed to by the licensee.</w:t>
            </w:r>
          </w:p>
        </w:tc>
      </w:tr>
    </w:tbl>
    <w:p w14:paraId="5D86F560" w14:textId="77777777" w:rsidR="00781FCF" w:rsidRDefault="00781FCF" w:rsidP="00781FCF">
      <w:pPr>
        <w:rPr>
          <w:rFonts w:cs="Arial"/>
        </w:rPr>
      </w:pPr>
      <w:r>
        <w:rPr>
          <w:rFonts w:cs="Arial"/>
        </w:rPr>
        <w:t xml:space="preserve">Please refer to the current </w:t>
      </w:r>
      <w:hyperlink r:id="rId21" w:history="1">
        <w:r w:rsidRPr="00BF17A4">
          <w:rPr>
            <w:rStyle w:val="Hyperlink"/>
          </w:rPr>
          <w:t>RALI FX03</w:t>
        </w:r>
      </w:hyperlink>
      <w:r>
        <w:rPr>
          <w:rStyle w:val="Hyperlink"/>
        </w:rPr>
        <w:t xml:space="preserve"> </w:t>
      </w:r>
      <w:r>
        <w:rPr>
          <w:rFonts w:cs="Arial"/>
        </w:rPr>
        <w:t>for the current clauses.</w:t>
      </w:r>
    </w:p>
    <w:p w14:paraId="312E74EB" w14:textId="77777777" w:rsidR="00834308" w:rsidRDefault="00834308">
      <w:pPr>
        <w:spacing w:after="160" w:line="259" w:lineRule="auto"/>
        <w:rPr>
          <w:rFonts w:cs="Arial"/>
          <w:b/>
          <w:bCs/>
          <w:iCs/>
          <w:sz w:val="28"/>
          <w:szCs w:val="28"/>
        </w:rPr>
      </w:pPr>
      <w:r>
        <w:br w:type="page"/>
      </w:r>
    </w:p>
    <w:p w14:paraId="4320DF16" w14:textId="11637FE7" w:rsidR="00AE6C4E" w:rsidRDefault="00AE6C4E" w:rsidP="00AE6C4E">
      <w:pPr>
        <w:pStyle w:val="sub-heading"/>
      </w:pPr>
      <w:r w:rsidRPr="00B016C6">
        <w:lastRenderedPageBreak/>
        <w:t>ITU-R F.382-8</w:t>
      </w:r>
      <w:bookmarkEnd w:id="7"/>
    </w:p>
    <w:p w14:paraId="5F1B3066" w14:textId="77777777" w:rsidR="00AE6C4E" w:rsidRDefault="00AE6C4E" w:rsidP="00AE6C4E">
      <w:pPr>
        <w:pStyle w:val="Heading3"/>
      </w:pPr>
      <w:bookmarkStart w:id="9" w:name="_Toc81389927"/>
      <w:r>
        <w:t>Derivation of channel plan</w:t>
      </w:r>
      <w:bookmarkEnd w:id="9"/>
    </w:p>
    <w:p w14:paraId="311C97FD" w14:textId="31925A11" w:rsidR="00AE6C4E" w:rsidRPr="00D06A00" w:rsidRDefault="00AE6C4E" w:rsidP="00AE6C4E">
      <w:pPr>
        <w:pStyle w:val="Paragraph"/>
      </w:pPr>
      <w:r w:rsidRPr="00D06A00">
        <w:t>The centre frequencies from ITU-R F.382-8 are derived from recommends 1</w:t>
      </w:r>
      <w:r w:rsidR="00B54481">
        <w:t xml:space="preserve"> in F.383-8</w:t>
      </w:r>
      <w:r w:rsidRPr="00D06A00">
        <w:t>:</w:t>
      </w:r>
    </w:p>
    <w:p w14:paraId="30FFA412" w14:textId="77777777" w:rsidR="00AE6C4E" w:rsidRPr="00D06A00" w:rsidRDefault="00AE6C4E" w:rsidP="00AE6C4E">
      <w:pPr>
        <w:pStyle w:val="Paragraph"/>
        <w:jc w:val="center"/>
      </w:pPr>
      <w:r w:rsidRPr="00D06A00">
        <w:t xml:space="preserve">Lower half of band: </w:t>
      </w:r>
      <m:oMath>
        <m:sSub>
          <m:sSubPr>
            <m:ctrlPr>
              <w:rPr>
                <w:rFonts w:ascii="Cambria Math" w:hAnsi="Cambria Math"/>
              </w:rPr>
            </m:ctrlPr>
          </m:sSubPr>
          <m:e>
            <m:r>
              <w:rPr>
                <w:rFonts w:ascii="Cambria Math" w:hAnsi="Cambria Math"/>
              </w:rPr>
              <m:t>f</m:t>
            </m:r>
          </m:e>
          <m:sub>
            <m:r>
              <w:rPr>
                <w:rFonts w:ascii="Cambria Math" w:hAnsi="Cambria Math"/>
              </w:rPr>
              <m:t>n</m:t>
            </m:r>
          </m:sub>
        </m:sSub>
        <m:r>
          <m:rPr>
            <m:sty m:val="p"/>
          </m:rPr>
          <w:rPr>
            <w:rFonts w:ascii="Cambria Math" w:hAnsi="Cambria Math"/>
          </w:rPr>
          <m:t xml:space="preserve"> = </m:t>
        </m:r>
        <m:sSub>
          <m:sSubPr>
            <m:ctrlPr>
              <w:rPr>
                <w:rFonts w:ascii="Cambria Math" w:hAnsi="Cambria Math"/>
              </w:rPr>
            </m:ctrlPr>
          </m:sSubPr>
          <m:e>
            <m:r>
              <w:rPr>
                <w:rFonts w:ascii="Cambria Math" w:hAnsi="Cambria Math"/>
              </w:rPr>
              <m:t>f</m:t>
            </m:r>
          </m:e>
          <m:sub>
            <m:r>
              <m:rPr>
                <m:sty m:val="p"/>
              </m:rPr>
              <w:rPr>
                <w:rFonts w:ascii="Cambria Math" w:hAnsi="Cambria Math"/>
              </w:rPr>
              <m:t>0</m:t>
            </m:r>
          </m:sub>
        </m:sSub>
        <m:r>
          <m:rPr>
            <m:sty m:val="p"/>
          </m:rPr>
          <w:rPr>
            <w:rFonts w:ascii="Cambria Math" w:hAnsi="Cambria Math"/>
          </w:rPr>
          <m:t xml:space="preserve"> – 208 + 29n</m:t>
        </m:r>
      </m:oMath>
      <w:r w:rsidRPr="00D06A00">
        <w:t xml:space="preserve"> MHz</w:t>
      </w:r>
    </w:p>
    <w:p w14:paraId="5A46143D" w14:textId="77777777" w:rsidR="00AE6C4E" w:rsidRPr="00D06A00" w:rsidRDefault="00AE6C4E" w:rsidP="00AE6C4E">
      <w:pPr>
        <w:pStyle w:val="Paragraph"/>
        <w:jc w:val="center"/>
      </w:pPr>
      <w:r w:rsidRPr="00D06A00">
        <w:t xml:space="preserve">Upper half of band: </w:t>
      </w:r>
      <m:oMath>
        <m:sSubSup>
          <m:sSubSupPr>
            <m:ctrlPr>
              <w:rPr>
                <w:rFonts w:ascii="Cambria Math" w:hAnsi="Cambria Math"/>
              </w:rPr>
            </m:ctrlPr>
          </m:sSubSupPr>
          <m:e>
            <m:r>
              <w:rPr>
                <w:rFonts w:ascii="Cambria Math" w:hAnsi="Cambria Math"/>
              </w:rPr>
              <m:t>f</m:t>
            </m:r>
          </m:e>
          <m:sub>
            <m:r>
              <w:rPr>
                <w:rFonts w:ascii="Cambria Math" w:hAnsi="Cambria Math"/>
              </w:rPr>
              <m:t>n</m:t>
            </m:r>
          </m:sub>
          <m:sup>
            <m:r>
              <m:rPr>
                <m:sty m:val="p"/>
              </m:rPr>
              <w:rPr>
                <w:rFonts w:ascii="Cambria Math" w:hAnsi="Cambria Math"/>
              </w:rPr>
              <m:t>'</m:t>
            </m:r>
          </m:sup>
        </m:sSubSup>
        <m:r>
          <m:rPr>
            <m:sty m:val="p"/>
          </m:rPr>
          <w:rPr>
            <w:rFonts w:ascii="Cambria Math" w:hAnsi="Cambria Math"/>
          </w:rPr>
          <m:t xml:space="preserve"> = </m:t>
        </m:r>
        <m:sSub>
          <m:sSubPr>
            <m:ctrlPr>
              <w:rPr>
                <w:rFonts w:ascii="Cambria Math" w:hAnsi="Cambria Math"/>
              </w:rPr>
            </m:ctrlPr>
          </m:sSubPr>
          <m:e>
            <m:r>
              <w:rPr>
                <w:rFonts w:ascii="Cambria Math" w:hAnsi="Cambria Math"/>
              </w:rPr>
              <m:t>f</m:t>
            </m:r>
          </m:e>
          <m:sub>
            <m:r>
              <m:rPr>
                <m:sty m:val="p"/>
              </m:rPr>
              <w:rPr>
                <w:rFonts w:ascii="Cambria Math" w:hAnsi="Cambria Math"/>
              </w:rPr>
              <m:t>0</m:t>
            </m:r>
          </m:sub>
        </m:sSub>
        <m:r>
          <m:rPr>
            <m:sty m:val="p"/>
          </m:rPr>
          <w:rPr>
            <w:rFonts w:ascii="Cambria Math" w:hAnsi="Cambria Math"/>
          </w:rPr>
          <m:t xml:space="preserve"> + 5 + 29n</m:t>
        </m:r>
      </m:oMath>
      <w:r w:rsidRPr="00D06A00">
        <w:t xml:space="preserve"> MHz</w:t>
      </w:r>
    </w:p>
    <w:p w14:paraId="4D834FDC" w14:textId="77777777" w:rsidR="00AE6C4E" w:rsidRDefault="00AE6C4E" w:rsidP="00AE6C4E">
      <w:pPr>
        <w:pStyle w:val="Figureheading"/>
      </w:pPr>
      <w:r>
        <w:t>Examples of channel arrangements in ITU-R F.382-8</w:t>
      </w:r>
    </w:p>
    <w:p w14:paraId="419B93BF" w14:textId="77777777" w:rsidR="00AE6C4E" w:rsidRDefault="00AE6C4E" w:rsidP="00AE6C4E">
      <w:pPr>
        <w:pStyle w:val="Paragraph"/>
      </w:pPr>
      <w:r w:rsidRPr="002C16E4">
        <w:rPr>
          <w:noProof/>
        </w:rPr>
        <w:drawing>
          <wp:inline distT="0" distB="0" distL="0" distR="0" wp14:anchorId="7E1B0EA6" wp14:editId="6F0DE951">
            <wp:extent cx="4871085" cy="2392680"/>
            <wp:effectExtent l="0" t="0" r="5715"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871085" cy="2392680"/>
                    </a:xfrm>
                    <a:prstGeom prst="rect">
                      <a:avLst/>
                    </a:prstGeom>
                  </pic:spPr>
                </pic:pic>
              </a:graphicData>
            </a:graphic>
          </wp:inline>
        </w:drawing>
      </w:r>
    </w:p>
    <w:p w14:paraId="087FE4A6" w14:textId="77777777" w:rsidR="00AE6C4E" w:rsidRDefault="00AE6C4E" w:rsidP="00AE6C4E">
      <w:pPr>
        <w:pStyle w:val="Tableheading"/>
      </w:pPr>
      <w:r>
        <w:t>Variables used in ITU</w:t>
      </w:r>
      <w:r w:rsidRPr="00582BA4">
        <w:t>-R F.382-8</w:t>
      </w:r>
    </w:p>
    <w:tbl>
      <w:tblPr>
        <w:tblStyle w:val="ACMAtablestyle"/>
        <w:tblW w:w="0" w:type="auto"/>
        <w:tblLook w:val="04A0" w:firstRow="1" w:lastRow="0" w:firstColumn="1" w:lastColumn="0" w:noHBand="0" w:noVBand="1"/>
      </w:tblPr>
      <w:tblGrid>
        <w:gridCol w:w="2691"/>
        <w:gridCol w:w="2382"/>
        <w:gridCol w:w="2588"/>
      </w:tblGrid>
      <w:tr w:rsidR="00AE6C4E" w14:paraId="1F4356D3" w14:textId="77777777" w:rsidTr="00200216">
        <w:trPr>
          <w:cnfStyle w:val="100000000000" w:firstRow="1" w:lastRow="0" w:firstColumn="0" w:lastColumn="0" w:oddVBand="0" w:evenVBand="0" w:oddHBand="0" w:evenHBand="0" w:firstRowFirstColumn="0" w:firstRowLastColumn="0" w:lastRowFirstColumn="0" w:lastRowLastColumn="0"/>
        </w:trPr>
        <w:tc>
          <w:tcPr>
            <w:tcW w:w="2691" w:type="dxa"/>
          </w:tcPr>
          <w:p w14:paraId="2D737B1D" w14:textId="77777777" w:rsidR="00AE6C4E" w:rsidRDefault="00AE6C4E" w:rsidP="00200216">
            <w:pPr>
              <w:pStyle w:val="Tableheaderrow"/>
            </w:pPr>
            <w:r>
              <w:t>Variable</w:t>
            </w:r>
          </w:p>
        </w:tc>
        <w:tc>
          <w:tcPr>
            <w:tcW w:w="2382" w:type="dxa"/>
          </w:tcPr>
          <w:p w14:paraId="4246D3F6" w14:textId="77777777" w:rsidR="00AE6C4E" w:rsidRDefault="00AE6C4E" w:rsidP="00200216">
            <w:pPr>
              <w:pStyle w:val="Tableheaderrow"/>
            </w:pPr>
            <w:r>
              <w:t>Definition</w:t>
            </w:r>
          </w:p>
        </w:tc>
        <w:tc>
          <w:tcPr>
            <w:tcW w:w="2588" w:type="dxa"/>
          </w:tcPr>
          <w:p w14:paraId="323E68B3" w14:textId="77777777" w:rsidR="00AE6C4E" w:rsidRDefault="00AE6C4E" w:rsidP="00200216">
            <w:pPr>
              <w:pStyle w:val="Tableheaderrow"/>
            </w:pPr>
            <w:r>
              <w:t>Value</w:t>
            </w:r>
          </w:p>
        </w:tc>
      </w:tr>
      <w:tr w:rsidR="00AE6C4E" w14:paraId="433AAF0C" w14:textId="77777777" w:rsidTr="00200216">
        <w:trPr>
          <w:cnfStyle w:val="000000100000" w:firstRow="0" w:lastRow="0" w:firstColumn="0" w:lastColumn="0" w:oddVBand="0" w:evenVBand="0" w:oddHBand="1" w:evenHBand="0" w:firstRowFirstColumn="0" w:firstRowLastColumn="0" w:lastRowFirstColumn="0" w:lastRowLastColumn="0"/>
        </w:trPr>
        <w:tc>
          <w:tcPr>
            <w:tcW w:w="2691" w:type="dxa"/>
          </w:tcPr>
          <w:p w14:paraId="75668E2D" w14:textId="77777777" w:rsidR="00AE6C4E" w:rsidRDefault="00AE6C4E" w:rsidP="00200216">
            <w:pPr>
              <w:pStyle w:val="TableBody"/>
            </w:pPr>
            <w:r>
              <w:t>n</w:t>
            </w:r>
          </w:p>
        </w:tc>
        <w:tc>
          <w:tcPr>
            <w:tcW w:w="2382" w:type="dxa"/>
          </w:tcPr>
          <w:p w14:paraId="7A695705" w14:textId="77777777" w:rsidR="00AE6C4E" w:rsidRDefault="00AE6C4E" w:rsidP="00200216">
            <w:pPr>
              <w:pStyle w:val="TableBody"/>
            </w:pPr>
            <w:r>
              <w:t>Number of channels</w:t>
            </w:r>
          </w:p>
        </w:tc>
        <w:tc>
          <w:tcPr>
            <w:tcW w:w="2588" w:type="dxa"/>
          </w:tcPr>
          <w:p w14:paraId="363C52A1" w14:textId="77777777" w:rsidR="00AE6C4E" w:rsidRPr="002C16E4" w:rsidRDefault="00AE6C4E" w:rsidP="00200216">
            <w:pPr>
              <w:pStyle w:val="TableBody"/>
            </w:pPr>
            <w:r>
              <w:t>6</w:t>
            </w:r>
          </w:p>
        </w:tc>
      </w:tr>
      <w:tr w:rsidR="00AE6C4E" w14:paraId="625D767B" w14:textId="77777777" w:rsidTr="00200216">
        <w:trPr>
          <w:cnfStyle w:val="000000010000" w:firstRow="0" w:lastRow="0" w:firstColumn="0" w:lastColumn="0" w:oddVBand="0" w:evenVBand="0" w:oddHBand="0" w:evenHBand="1" w:firstRowFirstColumn="0" w:firstRowLastColumn="0" w:lastRowFirstColumn="0" w:lastRowLastColumn="0"/>
        </w:trPr>
        <w:tc>
          <w:tcPr>
            <w:tcW w:w="2691" w:type="dxa"/>
          </w:tcPr>
          <w:p w14:paraId="3D5A40EB" w14:textId="77777777" w:rsidR="00AE6C4E" w:rsidRPr="00E936A9" w:rsidRDefault="00AE6C4E" w:rsidP="00200216">
            <w:pPr>
              <w:pStyle w:val="TableBody"/>
              <w:rPr>
                <w:vertAlign w:val="subscript"/>
              </w:rPr>
            </w:pPr>
            <w:r>
              <w:t>f</w:t>
            </w:r>
            <w:r>
              <w:rPr>
                <w:vertAlign w:val="subscript"/>
              </w:rPr>
              <w:t>0</w:t>
            </w:r>
          </w:p>
        </w:tc>
        <w:tc>
          <w:tcPr>
            <w:tcW w:w="2382" w:type="dxa"/>
          </w:tcPr>
          <w:p w14:paraId="4A793DE1" w14:textId="77777777" w:rsidR="00AE6C4E" w:rsidRDefault="00AE6C4E" w:rsidP="00200216">
            <w:pPr>
              <w:pStyle w:val="TableBody"/>
            </w:pPr>
            <w:r>
              <w:t>Centre frequency</w:t>
            </w:r>
          </w:p>
        </w:tc>
        <w:tc>
          <w:tcPr>
            <w:tcW w:w="2588" w:type="dxa"/>
          </w:tcPr>
          <w:p w14:paraId="2847B7A8" w14:textId="77777777" w:rsidR="00AE6C4E" w:rsidRDefault="00AE6C4E" w:rsidP="00200216">
            <w:pPr>
              <w:pStyle w:val="TableBody"/>
            </w:pPr>
            <w:r w:rsidRPr="002C16E4">
              <w:t>4003.5</w:t>
            </w:r>
            <w:r>
              <w:t xml:space="preserve"> MHz</w:t>
            </w:r>
          </w:p>
        </w:tc>
      </w:tr>
    </w:tbl>
    <w:p w14:paraId="36972D58" w14:textId="77777777" w:rsidR="00AE6C4E" w:rsidRPr="00616ACB" w:rsidRDefault="00AE6C4E" w:rsidP="00AE6C4E">
      <w:pPr>
        <w:pStyle w:val="TableBody"/>
      </w:pPr>
    </w:p>
    <w:p w14:paraId="60B34895" w14:textId="77777777" w:rsidR="00AE6C4E" w:rsidRDefault="00AE6C4E" w:rsidP="00AE6C4E">
      <w:pPr>
        <w:pStyle w:val="Tableheading"/>
      </w:pPr>
      <w:r>
        <w:t>Centre Frequencies</w:t>
      </w:r>
    </w:p>
    <w:tbl>
      <w:tblPr>
        <w:tblStyle w:val="ACMAtablestyle"/>
        <w:tblW w:w="3186" w:type="dxa"/>
        <w:tblLook w:val="04A0" w:firstRow="1" w:lastRow="0" w:firstColumn="1" w:lastColumn="0" w:noHBand="0" w:noVBand="1"/>
      </w:tblPr>
      <w:tblGrid>
        <w:gridCol w:w="1578"/>
        <w:gridCol w:w="1608"/>
      </w:tblGrid>
      <w:tr w:rsidR="00AE6C4E" w:rsidRPr="008A264F" w14:paraId="31CC2EAC" w14:textId="77777777" w:rsidTr="00200216">
        <w:trPr>
          <w:cnfStyle w:val="100000000000" w:firstRow="1" w:lastRow="0" w:firstColumn="0" w:lastColumn="0" w:oddVBand="0" w:evenVBand="0" w:oddHBand="0" w:evenHBand="0" w:firstRowFirstColumn="0" w:firstRowLastColumn="0" w:lastRowFirstColumn="0" w:lastRowLastColumn="0"/>
          <w:trHeight w:val="20"/>
        </w:trPr>
        <w:tc>
          <w:tcPr>
            <w:tcW w:w="3186" w:type="dxa"/>
            <w:gridSpan w:val="2"/>
            <w:noWrap/>
          </w:tcPr>
          <w:p w14:paraId="58F45E22" w14:textId="77777777" w:rsidR="00AE6C4E" w:rsidRPr="008A264F" w:rsidRDefault="00AE6C4E" w:rsidP="00200216">
            <w:pPr>
              <w:pStyle w:val="Tableheaderrow"/>
              <w:rPr>
                <w:rFonts w:ascii="Calibri" w:hAnsi="Calibri" w:cs="Calibri"/>
                <w:color w:val="000000"/>
                <w:sz w:val="22"/>
                <w:szCs w:val="22"/>
              </w:rPr>
            </w:pPr>
            <w:r w:rsidRPr="002C16E4">
              <w:t>ITU-R F.382-8</w:t>
            </w:r>
          </w:p>
        </w:tc>
      </w:tr>
      <w:tr w:rsidR="00AE6C4E" w:rsidRPr="008A264F" w14:paraId="5BE0F963" w14:textId="77777777" w:rsidTr="00200216">
        <w:trPr>
          <w:cnfStyle w:val="000000100000" w:firstRow="0" w:lastRow="0" w:firstColumn="0" w:lastColumn="0" w:oddVBand="0" w:evenVBand="0" w:oddHBand="1" w:evenHBand="0" w:firstRowFirstColumn="0" w:firstRowLastColumn="0" w:lastRowFirstColumn="0" w:lastRowLastColumn="0"/>
          <w:trHeight w:val="20"/>
        </w:trPr>
        <w:tc>
          <w:tcPr>
            <w:tcW w:w="1578" w:type="dxa"/>
            <w:noWrap/>
            <w:hideMark/>
          </w:tcPr>
          <w:p w14:paraId="01273AAE" w14:textId="77777777" w:rsidR="00AE6C4E" w:rsidRPr="00DC0223" w:rsidRDefault="00AE6C4E" w:rsidP="00200216">
            <w:pPr>
              <w:pStyle w:val="TableBody"/>
            </w:pPr>
            <w:r w:rsidRPr="00DC0223">
              <w:t>3824.5</w:t>
            </w:r>
          </w:p>
        </w:tc>
        <w:tc>
          <w:tcPr>
            <w:tcW w:w="1608" w:type="dxa"/>
            <w:noWrap/>
            <w:hideMark/>
          </w:tcPr>
          <w:p w14:paraId="5902CF8B" w14:textId="77777777" w:rsidR="00AE6C4E" w:rsidRPr="00DC0223" w:rsidRDefault="00AE6C4E" w:rsidP="00200216">
            <w:pPr>
              <w:pStyle w:val="TableBody"/>
            </w:pPr>
            <w:r w:rsidRPr="00DC0223">
              <w:t>4037.5</w:t>
            </w:r>
          </w:p>
        </w:tc>
      </w:tr>
      <w:tr w:rsidR="00AE6C4E" w:rsidRPr="008A264F" w14:paraId="1E44ACA4" w14:textId="77777777" w:rsidTr="00200216">
        <w:trPr>
          <w:cnfStyle w:val="000000010000" w:firstRow="0" w:lastRow="0" w:firstColumn="0" w:lastColumn="0" w:oddVBand="0" w:evenVBand="0" w:oddHBand="0" w:evenHBand="1" w:firstRowFirstColumn="0" w:firstRowLastColumn="0" w:lastRowFirstColumn="0" w:lastRowLastColumn="0"/>
          <w:trHeight w:val="20"/>
        </w:trPr>
        <w:tc>
          <w:tcPr>
            <w:tcW w:w="1578" w:type="dxa"/>
            <w:noWrap/>
            <w:hideMark/>
          </w:tcPr>
          <w:p w14:paraId="60CC33DD" w14:textId="77777777" w:rsidR="00AE6C4E" w:rsidRPr="00DC0223" w:rsidRDefault="00AE6C4E" w:rsidP="00200216">
            <w:pPr>
              <w:pStyle w:val="TableBody"/>
            </w:pPr>
            <w:r w:rsidRPr="00DC0223">
              <w:t>3853.5</w:t>
            </w:r>
          </w:p>
        </w:tc>
        <w:tc>
          <w:tcPr>
            <w:tcW w:w="1608" w:type="dxa"/>
            <w:noWrap/>
            <w:hideMark/>
          </w:tcPr>
          <w:p w14:paraId="14EE8A84" w14:textId="77777777" w:rsidR="00AE6C4E" w:rsidRPr="00DC0223" w:rsidRDefault="00AE6C4E" w:rsidP="00200216">
            <w:pPr>
              <w:pStyle w:val="TableBody"/>
            </w:pPr>
            <w:r w:rsidRPr="00DC0223">
              <w:t>4066.5</w:t>
            </w:r>
          </w:p>
        </w:tc>
      </w:tr>
      <w:tr w:rsidR="00AE6C4E" w:rsidRPr="008A264F" w14:paraId="0FAFD7EA" w14:textId="77777777" w:rsidTr="00200216">
        <w:trPr>
          <w:cnfStyle w:val="000000100000" w:firstRow="0" w:lastRow="0" w:firstColumn="0" w:lastColumn="0" w:oddVBand="0" w:evenVBand="0" w:oddHBand="1" w:evenHBand="0" w:firstRowFirstColumn="0" w:firstRowLastColumn="0" w:lastRowFirstColumn="0" w:lastRowLastColumn="0"/>
          <w:trHeight w:val="20"/>
        </w:trPr>
        <w:tc>
          <w:tcPr>
            <w:tcW w:w="1578" w:type="dxa"/>
            <w:noWrap/>
            <w:hideMark/>
          </w:tcPr>
          <w:p w14:paraId="4B9FDC61" w14:textId="77777777" w:rsidR="00AE6C4E" w:rsidRPr="00DC0223" w:rsidRDefault="00AE6C4E" w:rsidP="00200216">
            <w:pPr>
              <w:pStyle w:val="TableBody"/>
            </w:pPr>
            <w:r w:rsidRPr="00DC0223">
              <w:t>3882.5</w:t>
            </w:r>
          </w:p>
        </w:tc>
        <w:tc>
          <w:tcPr>
            <w:tcW w:w="1608" w:type="dxa"/>
            <w:noWrap/>
            <w:hideMark/>
          </w:tcPr>
          <w:p w14:paraId="4ED6560C" w14:textId="77777777" w:rsidR="00AE6C4E" w:rsidRPr="00DC0223" w:rsidRDefault="00AE6C4E" w:rsidP="00200216">
            <w:pPr>
              <w:pStyle w:val="TableBody"/>
            </w:pPr>
            <w:r w:rsidRPr="00DC0223">
              <w:t>4095.5</w:t>
            </w:r>
          </w:p>
        </w:tc>
      </w:tr>
      <w:tr w:rsidR="00AE6C4E" w:rsidRPr="008A264F" w14:paraId="6C0A2757" w14:textId="77777777" w:rsidTr="00200216">
        <w:trPr>
          <w:cnfStyle w:val="000000010000" w:firstRow="0" w:lastRow="0" w:firstColumn="0" w:lastColumn="0" w:oddVBand="0" w:evenVBand="0" w:oddHBand="0" w:evenHBand="1" w:firstRowFirstColumn="0" w:firstRowLastColumn="0" w:lastRowFirstColumn="0" w:lastRowLastColumn="0"/>
          <w:trHeight w:val="20"/>
        </w:trPr>
        <w:tc>
          <w:tcPr>
            <w:tcW w:w="1578" w:type="dxa"/>
            <w:noWrap/>
            <w:hideMark/>
          </w:tcPr>
          <w:p w14:paraId="67FADF68" w14:textId="77777777" w:rsidR="00AE6C4E" w:rsidRPr="00DC0223" w:rsidRDefault="00AE6C4E" w:rsidP="00200216">
            <w:pPr>
              <w:pStyle w:val="TableBody"/>
            </w:pPr>
            <w:r w:rsidRPr="00DC0223">
              <w:t>3911.5</w:t>
            </w:r>
          </w:p>
        </w:tc>
        <w:tc>
          <w:tcPr>
            <w:tcW w:w="1608" w:type="dxa"/>
            <w:noWrap/>
            <w:hideMark/>
          </w:tcPr>
          <w:p w14:paraId="1E5989DA" w14:textId="77777777" w:rsidR="00AE6C4E" w:rsidRPr="00DC0223" w:rsidRDefault="00AE6C4E" w:rsidP="00200216">
            <w:pPr>
              <w:pStyle w:val="TableBody"/>
            </w:pPr>
            <w:r w:rsidRPr="00DC0223">
              <w:t>4124.5</w:t>
            </w:r>
          </w:p>
        </w:tc>
      </w:tr>
      <w:tr w:rsidR="00AE6C4E" w:rsidRPr="008A264F" w14:paraId="76A087C3" w14:textId="77777777" w:rsidTr="00200216">
        <w:trPr>
          <w:cnfStyle w:val="000000100000" w:firstRow="0" w:lastRow="0" w:firstColumn="0" w:lastColumn="0" w:oddVBand="0" w:evenVBand="0" w:oddHBand="1" w:evenHBand="0" w:firstRowFirstColumn="0" w:firstRowLastColumn="0" w:lastRowFirstColumn="0" w:lastRowLastColumn="0"/>
          <w:trHeight w:val="20"/>
        </w:trPr>
        <w:tc>
          <w:tcPr>
            <w:tcW w:w="1578" w:type="dxa"/>
            <w:noWrap/>
            <w:hideMark/>
          </w:tcPr>
          <w:p w14:paraId="5C9428D1" w14:textId="77777777" w:rsidR="00AE6C4E" w:rsidRPr="00DC0223" w:rsidRDefault="00AE6C4E" w:rsidP="00200216">
            <w:pPr>
              <w:pStyle w:val="TableBody"/>
            </w:pPr>
            <w:r w:rsidRPr="00DC0223">
              <w:t>3940.5</w:t>
            </w:r>
          </w:p>
        </w:tc>
        <w:tc>
          <w:tcPr>
            <w:tcW w:w="1608" w:type="dxa"/>
            <w:noWrap/>
            <w:hideMark/>
          </w:tcPr>
          <w:p w14:paraId="3AEECFA4" w14:textId="77777777" w:rsidR="00AE6C4E" w:rsidRPr="00DC0223" w:rsidRDefault="00AE6C4E" w:rsidP="00200216">
            <w:pPr>
              <w:pStyle w:val="TableBody"/>
            </w:pPr>
            <w:r w:rsidRPr="00DC0223">
              <w:t>4153.5</w:t>
            </w:r>
          </w:p>
        </w:tc>
      </w:tr>
      <w:tr w:rsidR="00AE6C4E" w:rsidRPr="008A264F" w14:paraId="23C4C2DA" w14:textId="77777777" w:rsidTr="00200216">
        <w:trPr>
          <w:cnfStyle w:val="000000010000" w:firstRow="0" w:lastRow="0" w:firstColumn="0" w:lastColumn="0" w:oddVBand="0" w:evenVBand="0" w:oddHBand="0" w:evenHBand="1" w:firstRowFirstColumn="0" w:firstRowLastColumn="0" w:lastRowFirstColumn="0" w:lastRowLastColumn="0"/>
          <w:trHeight w:val="20"/>
        </w:trPr>
        <w:tc>
          <w:tcPr>
            <w:tcW w:w="1578" w:type="dxa"/>
            <w:noWrap/>
            <w:hideMark/>
          </w:tcPr>
          <w:p w14:paraId="07854518" w14:textId="77777777" w:rsidR="00AE6C4E" w:rsidRPr="00DC0223" w:rsidRDefault="00AE6C4E" w:rsidP="00200216">
            <w:pPr>
              <w:pStyle w:val="TableBody"/>
            </w:pPr>
            <w:r w:rsidRPr="00DC0223">
              <w:t>3969.5</w:t>
            </w:r>
          </w:p>
        </w:tc>
        <w:tc>
          <w:tcPr>
            <w:tcW w:w="1608" w:type="dxa"/>
            <w:noWrap/>
            <w:hideMark/>
          </w:tcPr>
          <w:p w14:paraId="1EB869EF" w14:textId="77777777" w:rsidR="00AE6C4E" w:rsidRPr="00DC0223" w:rsidRDefault="00AE6C4E" w:rsidP="00200216">
            <w:pPr>
              <w:pStyle w:val="TableBody"/>
            </w:pPr>
            <w:r w:rsidRPr="00DC0223">
              <w:t>4182.5</w:t>
            </w:r>
          </w:p>
        </w:tc>
      </w:tr>
    </w:tbl>
    <w:p w14:paraId="4E73F48B" w14:textId="77777777" w:rsidR="00AE6C4E" w:rsidRPr="000A6F08" w:rsidRDefault="00AE6C4E" w:rsidP="003F744C">
      <w:pPr>
        <w:pStyle w:val="Figureheading"/>
        <w:numPr>
          <w:ilvl w:val="0"/>
          <w:numId w:val="0"/>
        </w:numPr>
      </w:pPr>
    </w:p>
    <w:p w14:paraId="3D8E4AC2" w14:textId="77777777" w:rsidR="00EF5B48" w:rsidRDefault="00EF5B48"/>
    <w:sectPr w:rsidR="00EF5B48" w:rsidSect="003340EC">
      <w:footerReference w:type="even" r:id="rId23"/>
      <w:footerReference w:type="default" r:id="rId24"/>
      <w:pgSz w:w="11906" w:h="16838" w:code="9"/>
      <w:pgMar w:top="1440" w:right="1440" w:bottom="1440" w:left="1440"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ED6C8" w14:textId="77777777" w:rsidR="00AE6C4E" w:rsidRDefault="00AE6C4E" w:rsidP="00AE6C4E">
      <w:pPr>
        <w:spacing w:after="0" w:line="240" w:lineRule="auto"/>
      </w:pPr>
      <w:r>
        <w:separator/>
      </w:r>
    </w:p>
  </w:endnote>
  <w:endnote w:type="continuationSeparator" w:id="0">
    <w:p w14:paraId="1C48A818" w14:textId="77777777" w:rsidR="00AE6C4E" w:rsidRDefault="00AE6C4E" w:rsidP="00AE6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LT Std Lt">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8DD1" w14:textId="77777777" w:rsidR="009B411F" w:rsidRPr="00622A3B" w:rsidRDefault="00AE6C4E"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07744513" w14:textId="77777777" w:rsidR="009B411F" w:rsidRPr="00A5474E" w:rsidRDefault="006E15E9" w:rsidP="00A547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F6703" w14:textId="77777777" w:rsidR="009B411F" w:rsidRPr="00622A3B" w:rsidRDefault="00AE6C4E" w:rsidP="003340EC">
    <w:pPr>
      <w:pStyle w:val="Footer"/>
      <w:framePr w:w="1823" w:h="736" w:hRule="exact" w:vSpace="425" w:wrap="around" w:vAnchor="page" w:hAnchor="page" w:x="7494" w:y="15669"/>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349FCDA9" w14:textId="77777777" w:rsidR="009B411F" w:rsidRPr="00A5474E" w:rsidRDefault="006E15E9"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BAE4B" w14:textId="77777777" w:rsidR="00AE6C4E" w:rsidRDefault="00AE6C4E" w:rsidP="00AE6C4E">
      <w:pPr>
        <w:spacing w:after="0" w:line="240" w:lineRule="auto"/>
      </w:pPr>
      <w:r>
        <w:separator/>
      </w:r>
    </w:p>
  </w:footnote>
  <w:footnote w:type="continuationSeparator" w:id="0">
    <w:p w14:paraId="19E02FA6" w14:textId="77777777" w:rsidR="00AE6C4E" w:rsidRDefault="00AE6C4E" w:rsidP="00AE6C4E">
      <w:pPr>
        <w:spacing w:after="0" w:line="240" w:lineRule="auto"/>
      </w:pPr>
      <w:r>
        <w:continuationSeparator/>
      </w:r>
    </w:p>
  </w:footnote>
  <w:footnote w:id="1">
    <w:p w14:paraId="65BFEF6D" w14:textId="13C6DB7A" w:rsidR="00F807D2" w:rsidRDefault="00F807D2">
      <w:pPr>
        <w:pStyle w:val="FootnoteText"/>
      </w:pPr>
      <w:r>
        <w:rPr>
          <w:rStyle w:val="FootnoteReference"/>
        </w:rPr>
        <w:footnoteRef/>
      </w:r>
      <w:r>
        <w:t xml:space="preserve"> 7 paired under current channel plan, but use would be restricted to 7 total channels under option 1</w:t>
      </w:r>
    </w:p>
  </w:footnote>
  <w:footnote w:id="2">
    <w:p w14:paraId="03BCC1BD" w14:textId="77777777" w:rsidR="00AE6C4E" w:rsidRDefault="00AE6C4E" w:rsidP="00AE6C4E">
      <w:pPr>
        <w:pStyle w:val="FootnoteText"/>
      </w:pPr>
      <w:r>
        <w:rPr>
          <w:rStyle w:val="FootnoteReference"/>
        </w:rPr>
        <w:footnoteRef/>
      </w:r>
      <w:r>
        <w:t xml:space="preserve"> Note under FX03 the channel numbers do not differentiate the polarisations and are numbered 1 through 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E1A4E38"/>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1" w15:restartNumberingAfterBreak="0">
    <w:nsid w:val="487E3DCE"/>
    <w:multiLevelType w:val="hybridMultilevel"/>
    <w:tmpl w:val="E0F6CD92"/>
    <w:lvl w:ilvl="0" w:tplc="0004E7EC">
      <w:start w:val="1"/>
      <w:numFmt w:val="bullet"/>
      <w:pStyle w:val="ListParagraph"/>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9737728"/>
    <w:multiLevelType w:val="hybridMultilevel"/>
    <w:tmpl w:val="15C0E82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C4E"/>
    <w:rsid w:val="003340EC"/>
    <w:rsid w:val="003978B7"/>
    <w:rsid w:val="003F744C"/>
    <w:rsid w:val="00567597"/>
    <w:rsid w:val="005B3699"/>
    <w:rsid w:val="005E455A"/>
    <w:rsid w:val="006E15E9"/>
    <w:rsid w:val="00781FCF"/>
    <w:rsid w:val="00834308"/>
    <w:rsid w:val="008E684B"/>
    <w:rsid w:val="00A43F0B"/>
    <w:rsid w:val="00A70060"/>
    <w:rsid w:val="00AB0DEC"/>
    <w:rsid w:val="00AE6C4E"/>
    <w:rsid w:val="00B54481"/>
    <w:rsid w:val="00EF5B48"/>
    <w:rsid w:val="00F71926"/>
    <w:rsid w:val="00F807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16BB0"/>
  <w15:chartTrackingRefBased/>
  <w15:docId w15:val="{D2C0CBE3-C430-49BA-ACF8-1ACE71BBA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3" w:unhideWhenUsed="1" w:qFormat="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C4E"/>
    <w:pPr>
      <w:spacing w:after="240" w:line="240" w:lineRule="atLeast"/>
    </w:pPr>
    <w:rPr>
      <w:rFonts w:ascii="Arial" w:eastAsia="Times New Roman" w:hAnsi="Arial" w:cs="Times New Roman"/>
      <w:sz w:val="20"/>
      <w:szCs w:val="24"/>
      <w:lang w:eastAsia="en-AU"/>
    </w:rPr>
  </w:style>
  <w:style w:type="paragraph" w:styleId="Heading1">
    <w:name w:val="heading 1"/>
    <w:basedOn w:val="Normal"/>
    <w:next w:val="Normal"/>
    <w:link w:val="Heading1Char"/>
    <w:uiPriority w:val="1"/>
    <w:qFormat/>
    <w:rsid w:val="00AE6C4E"/>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link w:val="Heading2Char"/>
    <w:uiPriority w:val="9"/>
    <w:semiHidden/>
    <w:unhideWhenUsed/>
    <w:qFormat/>
    <w:rsid w:val="00AE6C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2"/>
    <w:qFormat/>
    <w:rsid w:val="00AE6C4E"/>
    <w:pPr>
      <w:keepNext/>
      <w:spacing w:before="6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E6C4E"/>
    <w:rPr>
      <w:rFonts w:ascii="Arial" w:eastAsia="Times New Roman" w:hAnsi="Arial" w:cs="Arial"/>
      <w:bCs/>
      <w:color w:val="323232"/>
      <w:kern w:val="32"/>
      <w:sz w:val="53"/>
      <w:szCs w:val="32"/>
      <w:lang w:eastAsia="en-AU"/>
    </w:rPr>
  </w:style>
  <w:style w:type="character" w:customStyle="1" w:styleId="Heading3Char">
    <w:name w:val="Heading 3 Char"/>
    <w:basedOn w:val="DefaultParagraphFont"/>
    <w:link w:val="Heading3"/>
    <w:uiPriority w:val="2"/>
    <w:rsid w:val="00AE6C4E"/>
    <w:rPr>
      <w:rFonts w:ascii="Arial" w:eastAsia="Times New Roman" w:hAnsi="Arial" w:cs="Arial"/>
      <w:b/>
      <w:bCs/>
      <w:sz w:val="20"/>
      <w:szCs w:val="26"/>
      <w:lang w:eastAsia="en-AU"/>
    </w:rPr>
  </w:style>
  <w:style w:type="paragraph" w:styleId="Header">
    <w:name w:val="header"/>
    <w:basedOn w:val="Normal"/>
    <w:link w:val="HeaderChar"/>
    <w:semiHidden/>
    <w:rsid w:val="00AE6C4E"/>
    <w:pPr>
      <w:tabs>
        <w:tab w:val="center" w:pos="4153"/>
        <w:tab w:val="right" w:pos="8306"/>
      </w:tabs>
      <w:spacing w:line="240" w:lineRule="auto"/>
    </w:pPr>
    <w:rPr>
      <w:sz w:val="16"/>
    </w:rPr>
  </w:style>
  <w:style w:type="character" w:customStyle="1" w:styleId="HeaderChar">
    <w:name w:val="Header Char"/>
    <w:basedOn w:val="DefaultParagraphFont"/>
    <w:link w:val="Header"/>
    <w:semiHidden/>
    <w:rsid w:val="00AE6C4E"/>
    <w:rPr>
      <w:rFonts w:ascii="Arial" w:eastAsia="Times New Roman" w:hAnsi="Arial" w:cs="Times New Roman"/>
      <w:sz w:val="16"/>
      <w:szCs w:val="24"/>
      <w:lang w:eastAsia="en-AU"/>
    </w:rPr>
  </w:style>
  <w:style w:type="paragraph" w:styleId="Footer">
    <w:name w:val="footer"/>
    <w:basedOn w:val="Normal"/>
    <w:link w:val="FooterChar"/>
    <w:semiHidden/>
    <w:qFormat/>
    <w:rsid w:val="00AE6C4E"/>
    <w:pPr>
      <w:tabs>
        <w:tab w:val="right" w:pos="113"/>
      </w:tabs>
      <w:spacing w:line="240" w:lineRule="auto"/>
    </w:pPr>
    <w:rPr>
      <w:color w:val="323232"/>
      <w:sz w:val="16"/>
    </w:rPr>
  </w:style>
  <w:style w:type="character" w:customStyle="1" w:styleId="FooterChar">
    <w:name w:val="Footer Char"/>
    <w:basedOn w:val="DefaultParagraphFont"/>
    <w:link w:val="Footer"/>
    <w:semiHidden/>
    <w:rsid w:val="00AE6C4E"/>
    <w:rPr>
      <w:rFonts w:ascii="Arial" w:eastAsia="Times New Roman" w:hAnsi="Arial" w:cs="Times New Roman"/>
      <w:color w:val="323232"/>
      <w:sz w:val="16"/>
      <w:szCs w:val="24"/>
      <w:lang w:eastAsia="en-AU"/>
    </w:rPr>
  </w:style>
  <w:style w:type="paragraph" w:customStyle="1" w:styleId="Tableheaderrow">
    <w:name w:val="Table header row"/>
    <w:basedOn w:val="Normal"/>
    <w:uiPriority w:val="14"/>
    <w:qFormat/>
    <w:rsid w:val="00AE6C4E"/>
    <w:pPr>
      <w:spacing w:after="0"/>
    </w:pPr>
    <w:rPr>
      <w:b/>
    </w:rPr>
  </w:style>
  <w:style w:type="paragraph" w:styleId="ListBullet">
    <w:name w:val="List Bullet"/>
    <w:aliases w:val="List Bullet 1"/>
    <w:basedOn w:val="Normal"/>
    <w:link w:val="ListBulletChar"/>
    <w:qFormat/>
    <w:rsid w:val="00AE6C4E"/>
    <w:pPr>
      <w:numPr>
        <w:numId w:val="1"/>
      </w:numPr>
      <w:spacing w:after="80"/>
    </w:pPr>
  </w:style>
  <w:style w:type="character" w:styleId="Hyperlink">
    <w:name w:val="Hyperlink"/>
    <w:aliases w:val="CEO_Hyperlink"/>
    <w:basedOn w:val="DefaultParagraphFont"/>
    <w:uiPriority w:val="99"/>
    <w:qFormat/>
    <w:rsid w:val="00AE6C4E"/>
    <w:rPr>
      <w:color w:val="0000FF"/>
      <w:u w:val="single" w:color="0000FF"/>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Style 13,FR"/>
    <w:basedOn w:val="DefaultParagraphFont"/>
    <w:qFormat/>
    <w:rsid w:val="00AE6C4E"/>
    <w:rPr>
      <w:rFonts w:ascii="Arial" w:hAnsi="Arial"/>
      <w:vertAlign w:val="superscript"/>
    </w:rPr>
  </w:style>
  <w:style w:type="paragraph" w:styleId="FootnoteText">
    <w:name w:val="footnote text"/>
    <w:aliases w:val="Footnote text,ACMA Footnote Text,ABA Footnote Text,footnote text,Footnote Text Char1,Footnote Text Char Char,Footnote Text Char1 Char Char,Footnote Text Char Char Char Char,Footnote Text Char1 Char Char Char Char,f,fn"/>
    <w:basedOn w:val="Normal"/>
    <w:link w:val="FootnoteTextChar"/>
    <w:uiPriority w:val="23"/>
    <w:qFormat/>
    <w:rsid w:val="00AE6C4E"/>
    <w:pPr>
      <w:spacing w:after="0"/>
    </w:pPr>
    <w:rPr>
      <w:sz w:val="16"/>
      <w:szCs w:val="16"/>
    </w:rPr>
  </w:style>
  <w:style w:type="character" w:customStyle="1" w:styleId="FootnoteTextChar">
    <w:name w:val="Footnote Text Char"/>
    <w:aliases w:val="Footnote text Char,ACMA Footnote Text Char,ABA Footnote Text Char,footnote text Char,Footnote Text Char1 Char,Footnote Text Char Char Char,Footnote Text Char1 Char Char Char,Footnote Text Char Char Char Char Char,f Char,fn Char"/>
    <w:basedOn w:val="DefaultParagraphFont"/>
    <w:link w:val="FootnoteText"/>
    <w:uiPriority w:val="23"/>
    <w:qFormat/>
    <w:rsid w:val="00AE6C4E"/>
    <w:rPr>
      <w:rFonts w:ascii="Arial" w:eastAsia="Times New Roman" w:hAnsi="Arial" w:cs="Times New Roman"/>
      <w:sz w:val="16"/>
      <w:szCs w:val="16"/>
      <w:lang w:eastAsia="en-AU"/>
    </w:rPr>
  </w:style>
  <w:style w:type="paragraph" w:customStyle="1" w:styleId="TableBody">
    <w:name w:val="Table Body"/>
    <w:basedOn w:val="Normal"/>
    <w:qFormat/>
    <w:rsid w:val="00AE6C4E"/>
    <w:pPr>
      <w:spacing w:after="0" w:line="240" w:lineRule="auto"/>
    </w:pPr>
  </w:style>
  <w:style w:type="paragraph" w:customStyle="1" w:styleId="ListBulletLast">
    <w:name w:val="List Bullet Last"/>
    <w:basedOn w:val="ListBullet"/>
    <w:qFormat/>
    <w:rsid w:val="00AE6C4E"/>
    <w:pPr>
      <w:spacing w:after="240"/>
    </w:pPr>
    <w:rPr>
      <w:rFonts w:cs="Arial"/>
    </w:rPr>
  </w:style>
  <w:style w:type="paragraph" w:customStyle="1" w:styleId="ACMATableHeader">
    <w:name w:val="ACMA_TableHeader"/>
    <w:qFormat/>
    <w:rsid w:val="00AE6C4E"/>
    <w:pPr>
      <w:numPr>
        <w:numId w:val="3"/>
      </w:numPr>
      <w:spacing w:line="240" w:lineRule="auto"/>
    </w:pPr>
    <w:rPr>
      <w:rFonts w:ascii="Arial" w:eastAsia="Times New Roman" w:hAnsi="Arial" w:cs="Times New Roman"/>
      <w:b/>
      <w:bCs/>
      <w:color w:val="323232"/>
      <w:sz w:val="20"/>
      <w:szCs w:val="20"/>
      <w:lang w:eastAsia="en-AU"/>
    </w:rPr>
  </w:style>
  <w:style w:type="paragraph" w:customStyle="1" w:styleId="FooterLeft">
    <w:name w:val="Footer Left"/>
    <w:basedOn w:val="Footer"/>
    <w:semiHidden/>
    <w:qFormat/>
    <w:rsid w:val="00AE6C4E"/>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AE6C4E"/>
    <w:pPr>
      <w:numPr>
        <w:numId w:val="2"/>
      </w:numPr>
      <w:spacing w:line="240" w:lineRule="auto"/>
    </w:pPr>
    <w:rPr>
      <w:rFonts w:ascii="Arial" w:eastAsia="Times New Roman" w:hAnsi="Arial" w:cs="Times New Roman"/>
      <w:b/>
      <w:bCs/>
      <w:color w:val="323232"/>
      <w:sz w:val="20"/>
      <w:szCs w:val="20"/>
      <w:lang w:eastAsia="en-AU"/>
    </w:rPr>
  </w:style>
  <w:style w:type="paragraph" w:customStyle="1" w:styleId="Paragraph">
    <w:name w:val="Paragraph"/>
    <w:basedOn w:val="Normal"/>
    <w:qFormat/>
    <w:rsid w:val="00AE6C4E"/>
    <w:rPr>
      <w:rFonts w:cs="Arial"/>
    </w:rPr>
  </w:style>
  <w:style w:type="table" w:customStyle="1" w:styleId="ACMAtablestyle">
    <w:name w:val="ACMA table style"/>
    <w:basedOn w:val="TableNormal"/>
    <w:uiPriority w:val="99"/>
    <w:rsid w:val="00AE6C4E"/>
    <w:pPr>
      <w:spacing w:after="0" w:line="240" w:lineRule="auto"/>
    </w:pPr>
    <w:rPr>
      <w:rFonts w:ascii="Arial" w:eastAsia="Times New Roman" w:hAnsi="Arial" w:cs="Times New Roman"/>
      <w:sz w:val="20"/>
      <w:szCs w:val="24"/>
      <w:lang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uiPriority w:val="13"/>
    <w:qFormat/>
    <w:rsid w:val="00AE6C4E"/>
    <w:pPr>
      <w:keepNext/>
      <w:spacing w:line="240" w:lineRule="atLeast"/>
    </w:pPr>
  </w:style>
  <w:style w:type="paragraph" w:customStyle="1" w:styleId="Figureheading">
    <w:name w:val="Figure heading"/>
    <w:basedOn w:val="ACMAFigureHeader"/>
    <w:uiPriority w:val="16"/>
    <w:qFormat/>
    <w:rsid w:val="00AE6C4E"/>
    <w:pPr>
      <w:keepNext/>
      <w:spacing w:line="240" w:lineRule="atLeast"/>
    </w:pPr>
  </w:style>
  <w:style w:type="character" w:customStyle="1" w:styleId="ListBulletChar">
    <w:name w:val="List Bullet Char"/>
    <w:aliases w:val="List Bullet 1 Char"/>
    <w:basedOn w:val="DefaultParagraphFont"/>
    <w:link w:val="ListBullet"/>
    <w:rsid w:val="00AE6C4E"/>
    <w:rPr>
      <w:rFonts w:ascii="Arial" w:eastAsia="Times New Roman" w:hAnsi="Arial" w:cs="Times New Roman"/>
      <w:sz w:val="20"/>
      <w:szCs w:val="24"/>
      <w:lang w:eastAsia="en-AU"/>
    </w:rPr>
  </w:style>
  <w:style w:type="paragraph" w:styleId="ListParagraph">
    <w:name w:val="List Paragraph"/>
    <w:aliases w:val="List Paragraph1,Recommendation"/>
    <w:basedOn w:val="Normal"/>
    <w:link w:val="ListParagraphChar"/>
    <w:uiPriority w:val="34"/>
    <w:qFormat/>
    <w:rsid w:val="00AE6C4E"/>
    <w:pPr>
      <w:numPr>
        <w:numId w:val="4"/>
      </w:numPr>
      <w:spacing w:after="200" w:line="276" w:lineRule="auto"/>
      <w:contextualSpacing/>
    </w:pPr>
    <w:rPr>
      <w:rFonts w:eastAsia="Calibri" w:cs="Arial"/>
      <w:szCs w:val="20"/>
      <w:lang w:eastAsia="en-US"/>
    </w:rPr>
  </w:style>
  <w:style w:type="character" w:customStyle="1" w:styleId="ListParagraphChar">
    <w:name w:val="List Paragraph Char"/>
    <w:aliases w:val="List Paragraph1 Char,Recommendation Char"/>
    <w:basedOn w:val="DefaultParagraphFont"/>
    <w:link w:val="ListParagraph"/>
    <w:uiPriority w:val="34"/>
    <w:locked/>
    <w:rsid w:val="00AE6C4E"/>
    <w:rPr>
      <w:rFonts w:ascii="Arial" w:eastAsia="Calibri" w:hAnsi="Arial" w:cs="Arial"/>
      <w:sz w:val="20"/>
      <w:szCs w:val="20"/>
    </w:rPr>
  </w:style>
  <w:style w:type="paragraph" w:customStyle="1" w:styleId="sub-heading">
    <w:name w:val="sub-heading"/>
    <w:basedOn w:val="Heading2"/>
    <w:link w:val="sub-headingChar"/>
    <w:qFormat/>
    <w:rsid w:val="00AE6C4E"/>
    <w:pPr>
      <w:keepLines w:val="0"/>
      <w:tabs>
        <w:tab w:val="center" w:pos="4153"/>
        <w:tab w:val="right" w:pos="8306"/>
      </w:tabs>
      <w:spacing w:before="360" w:after="60" w:line="240" w:lineRule="auto"/>
    </w:pPr>
    <w:rPr>
      <w:rFonts w:ascii="Arial" w:eastAsia="Times New Roman" w:hAnsi="Arial" w:cs="Arial"/>
      <w:b/>
      <w:bCs/>
      <w:iCs/>
      <w:color w:val="auto"/>
      <w:sz w:val="28"/>
      <w:szCs w:val="28"/>
    </w:rPr>
  </w:style>
  <w:style w:type="character" w:customStyle="1" w:styleId="sub-headingChar">
    <w:name w:val="sub-heading Char"/>
    <w:basedOn w:val="DefaultParagraphFont"/>
    <w:link w:val="sub-heading"/>
    <w:rsid w:val="00AE6C4E"/>
    <w:rPr>
      <w:rFonts w:ascii="Arial" w:eastAsia="Times New Roman" w:hAnsi="Arial" w:cs="Arial"/>
      <w:b/>
      <w:bCs/>
      <w:iCs/>
      <w:sz w:val="28"/>
      <w:szCs w:val="28"/>
      <w:lang w:eastAsia="en-AU"/>
    </w:rPr>
  </w:style>
  <w:style w:type="character" w:customStyle="1" w:styleId="Heading2Char">
    <w:name w:val="Heading 2 Char"/>
    <w:basedOn w:val="DefaultParagraphFont"/>
    <w:link w:val="Heading2"/>
    <w:uiPriority w:val="9"/>
    <w:semiHidden/>
    <w:rsid w:val="00AE6C4E"/>
    <w:rPr>
      <w:rFonts w:asciiTheme="majorHAnsi" w:eastAsiaTheme="majorEastAsia" w:hAnsiTheme="majorHAnsi" w:cstheme="majorBidi"/>
      <w:color w:val="2F5496" w:themeColor="accent1" w:themeShade="BF"/>
      <w:sz w:val="26"/>
      <w:szCs w:val="2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acma.gov.au/publications/2019-09/instruction/rali-fx3-microwave-fixed-services" TargetMode="External"/><Relationship Id="rId7" Type="http://schemas.openxmlformats.org/officeDocument/2006/relationships/styles" Target="styles.xml"/><Relationship Id="rId12" Type="http://schemas.openxmlformats.org/officeDocument/2006/relationships/hyperlink" Target="https://www.acma.gov.au/publications/2019-09/instruction/rali-fx3-microwave-fixed-services" TargetMode="External"/><Relationship Id="rId17" Type="http://schemas.openxmlformats.org/officeDocument/2006/relationships/hyperlink" Target="https://www.itu.int/rec/R-REC-F.635-7-201302-I/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tu.int/rec/R-REC-F.382-8-200604-I/en" TargetMode="Externa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www.acma.gov.au/publications/2019-11/instruction/38-ghz-3580-4200-mh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itu.int/rec/R-REC-F.635-2-199203-S/e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tu.int/rec/R-REC-F.382-8-200604-I/en" TargetMode="External"/><Relationship Id="rId2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3NE2HDV7HD6D-128-6118</_dlc_DocId>
    <_dlc_DocIdUrl xmlns="1d983eb4-33f7-44b0-aea1-cbdcf0c55136">
      <Url>http://collaboration/organisation/cid/speb/sp/_layouts/15/DocIdRedir.aspx?ID=3NE2HDV7HD6D-128-6118</Url>
      <Description>3NE2HDV7HD6D-128-6118</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3EFEF6-3842-4903-9879-88582B4175F0}">
  <ds:schemaRefs>
    <ds:schemaRef ds:uri="http://schemas.openxmlformats.org/officeDocument/2006/bibliography"/>
  </ds:schemaRefs>
</ds:datastoreItem>
</file>

<file path=customXml/itemProps2.xml><?xml version="1.0" encoding="utf-8"?>
<ds:datastoreItem xmlns:ds="http://schemas.openxmlformats.org/officeDocument/2006/customXml" ds:itemID="{B06A46A1-0BEF-47AA-B240-85CE8BE84A73}">
  <ds:schemaRefs>
    <ds:schemaRef ds:uri="http://schemas.microsoft.com/sharepoint/v3/contenttype/forms"/>
  </ds:schemaRefs>
</ds:datastoreItem>
</file>

<file path=customXml/itemProps3.xml><?xml version="1.0" encoding="utf-8"?>
<ds:datastoreItem xmlns:ds="http://schemas.openxmlformats.org/officeDocument/2006/customXml" ds:itemID="{441B1B1B-4BDB-4883-8062-C330D1E2F1E2}">
  <ds:schemaRefs>
    <ds:schemaRef ds:uri="http://schemas.microsoft.com/sharepoint/events"/>
  </ds:schemaRefs>
</ds:datastoreItem>
</file>

<file path=customXml/itemProps4.xml><?xml version="1.0" encoding="utf-8"?>
<ds:datastoreItem xmlns:ds="http://schemas.openxmlformats.org/officeDocument/2006/customXml" ds:itemID="{2DB2D680-F8AB-47F5-9087-6F13D90E19A1}">
  <ds:schemaRefs>
    <ds:schemaRef ds:uri="http://schemas.openxmlformats.org/package/2006/metadata/core-properties"/>
    <ds:schemaRef ds:uri="http://purl.org/dc/terms/"/>
    <ds:schemaRef ds:uri="http://schemas.microsoft.com/office/infopath/2007/PartnerControls"/>
    <ds:schemaRef ds:uri="1d983eb4-33f7-44b0-aea1-cbdcf0c55136"/>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E9258A78-9894-4971-BEE7-6058D1152F07}"/>
</file>

<file path=docProps/app.xml><?xml version="1.0" encoding="utf-8"?>
<Properties xmlns="http://schemas.openxmlformats.org/officeDocument/2006/extended-properties" xmlns:vt="http://schemas.openxmlformats.org/officeDocument/2006/docPropsVTypes">
  <Template>Normal.dotm</Template>
  <TotalTime>0</TotalTime>
  <Pages>5</Pages>
  <Words>750</Words>
  <Characters>4280</Characters>
  <Application>Microsoft Office Word</Application>
  <DocSecurity>0</DocSecurity>
  <Lines>35</Lines>
  <Paragraphs>10</Paragraphs>
  <ScaleCrop>false</ScaleCrop>
  <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Iles</dc:creator>
  <cp:keywords/>
  <dc:description/>
  <cp:lastModifiedBy>Douglas Iles</cp:lastModifiedBy>
  <cp:revision>2</cp:revision>
  <dcterms:created xsi:type="dcterms:W3CDTF">2021-12-21T02:06:00Z</dcterms:created>
  <dcterms:modified xsi:type="dcterms:W3CDTF">2021-12-21T02:06:00Z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776798c7-8fe0-4f07-a461-aaca28f2b3ab</vt:lpwstr>
  </property>
</Properties>
</file>