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84AD3" w14:textId="026FDC26" w:rsidR="004A13A7" w:rsidRPr="00A51D1A" w:rsidRDefault="00C80A97" w:rsidP="004A13A7">
      <w:pPr>
        <w:pStyle w:val="ACMAReportTitle"/>
      </w:pPr>
      <w:bookmarkStart w:id="0" w:name="_Toc6298709"/>
      <w:r>
        <w:t>Licensing and coordination procedures for area-wide apparatus licensed services in the 26/28 GHz bands</w:t>
      </w:r>
    </w:p>
    <w:p w14:paraId="39EB5CAA" w14:textId="59197738" w:rsidR="004A13A7" w:rsidRDefault="004A13A7" w:rsidP="004A13A7">
      <w:pPr>
        <w:pStyle w:val="ACMAReportSubTitle"/>
      </w:pPr>
    </w:p>
    <w:p w14:paraId="154EC1B3" w14:textId="77777777" w:rsidR="004A13A7" w:rsidRPr="00063A18" w:rsidRDefault="004A13A7" w:rsidP="004A13A7">
      <w:pPr>
        <w:pStyle w:val="ACMAInstructions"/>
      </w:pPr>
      <w:r w:rsidRPr="00063A18">
        <w:t xml:space="preserve">Radiocommunications </w:t>
      </w:r>
      <w:r>
        <w:t>A</w:t>
      </w:r>
      <w:r w:rsidRPr="00063A18">
        <w:t xml:space="preserve">ssignment and </w:t>
      </w:r>
      <w:r>
        <w:t>L</w:t>
      </w:r>
      <w:r w:rsidRPr="00063A18">
        <w:t xml:space="preserve">icensing </w:t>
      </w:r>
      <w:r>
        <w:t>I</w:t>
      </w:r>
      <w:r w:rsidRPr="00063A18">
        <w:t>nstruction</w:t>
      </w:r>
    </w:p>
    <w:p w14:paraId="09699EA3" w14:textId="4D85B34C" w:rsidR="004A13A7" w:rsidRPr="00C87159" w:rsidRDefault="004A13A7" w:rsidP="004A13A7">
      <w:pPr>
        <w:pStyle w:val="ACMAReportDate"/>
        <w:rPr>
          <w:b/>
        </w:rPr>
      </w:pPr>
      <w:r w:rsidRPr="00C87159">
        <w:rPr>
          <w:b/>
        </w:rPr>
        <w:t>rali:</w:t>
      </w:r>
      <w:r w:rsidR="00C80A97">
        <w:rPr>
          <w:b/>
        </w:rPr>
        <w:t xml:space="preserve"> </w:t>
      </w:r>
      <w:r w:rsidR="00B879FD">
        <w:rPr>
          <w:b/>
        </w:rPr>
        <w:t>MS 46</w:t>
      </w:r>
    </w:p>
    <w:p w14:paraId="33F785F1" w14:textId="30272BE2" w:rsidR="004A13A7" w:rsidRPr="00C87159" w:rsidRDefault="004A13A7" w:rsidP="008F7E36">
      <w:pPr>
        <w:pStyle w:val="ACMAReportDate"/>
        <w:widowControl w:val="0"/>
        <w:rPr>
          <w:b/>
        </w:rPr>
      </w:pPr>
      <w:r w:rsidRPr="00C87159">
        <w:rPr>
          <w:b/>
        </w:rPr>
        <w:t xml:space="preserve">date of effect: </w:t>
      </w:r>
      <w:r w:rsidR="00A440D5" w:rsidRPr="001C668F">
        <w:rPr>
          <w:b/>
        </w:rPr>
        <w:t>[insert date when released]</w:t>
      </w:r>
    </w:p>
    <w:p w14:paraId="39DA4744" w14:textId="77777777" w:rsidR="0040306E" w:rsidRDefault="008D6BD1" w:rsidP="0040306E">
      <w:pPr>
        <w:spacing w:after="0" w:line="240" w:lineRule="auto"/>
      </w:pPr>
      <w:r>
        <w:br w:type="page"/>
      </w:r>
    </w:p>
    <w:p w14:paraId="05ECD7F2" w14:textId="77777777" w:rsidR="00822B3D" w:rsidRDefault="00822B3D" w:rsidP="00BA5A9D">
      <w:pPr>
        <w:pStyle w:val="Heading1"/>
        <w:rPr>
          <w:szCs w:val="44"/>
        </w:rPr>
        <w:sectPr w:rsidR="00822B3D" w:rsidSect="00A07457">
          <w:footerReference w:type="default" r:id="rId8"/>
          <w:headerReference w:type="first" r:id="rId9"/>
          <w:type w:val="oddPage"/>
          <w:pgSz w:w="11906" w:h="16838"/>
          <w:pgMar w:top="3251" w:right="1440" w:bottom="1440" w:left="1440" w:header="708" w:footer="708" w:gutter="0"/>
          <w:pgNumType w:fmt="lowerRoman" w:start="1"/>
          <w:cols w:space="708"/>
          <w:titlePg/>
          <w:docGrid w:linePitch="360"/>
        </w:sectPr>
      </w:pPr>
    </w:p>
    <w:p w14:paraId="6A250307" w14:textId="77777777" w:rsidR="004A13A7" w:rsidRPr="00420CAF" w:rsidRDefault="004A13A7" w:rsidP="00420CAF">
      <w:pPr>
        <w:rPr>
          <w:sz w:val="32"/>
        </w:rPr>
      </w:pPr>
      <w:r w:rsidRPr="00420CAF">
        <w:rPr>
          <w:sz w:val="32"/>
          <w:szCs w:val="32"/>
        </w:rPr>
        <w:lastRenderedPageBreak/>
        <w:t>Amendment history</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5"/>
        <w:gridCol w:w="6528"/>
      </w:tblGrid>
      <w:tr w:rsidR="004A13A7" w:rsidRPr="002E390A" w14:paraId="13947DFD" w14:textId="77777777" w:rsidTr="008D40C1">
        <w:trPr>
          <w:cantSplit/>
          <w:tblHeader/>
        </w:trPr>
        <w:tc>
          <w:tcPr>
            <w:tcW w:w="2085" w:type="dxa"/>
            <w:shd w:val="clear" w:color="auto" w:fill="D9D9D9"/>
          </w:tcPr>
          <w:p w14:paraId="28F21283" w14:textId="77777777" w:rsidR="004A13A7" w:rsidRPr="00AF06C8" w:rsidRDefault="004A13A7" w:rsidP="008D40C1">
            <w:pPr>
              <w:pStyle w:val="TableHeading"/>
              <w:spacing w:line="240" w:lineRule="auto"/>
              <w:rPr>
                <w:rFonts w:eastAsiaTheme="minorHAnsi"/>
                <w:szCs w:val="22"/>
              </w:rPr>
            </w:pPr>
            <w:r w:rsidRPr="00AF06C8">
              <w:rPr>
                <w:rFonts w:eastAsiaTheme="minorHAnsi"/>
                <w:szCs w:val="22"/>
              </w:rPr>
              <w:t>Date</w:t>
            </w:r>
          </w:p>
        </w:tc>
        <w:tc>
          <w:tcPr>
            <w:tcW w:w="6528" w:type="dxa"/>
            <w:shd w:val="clear" w:color="auto" w:fill="D9D9D9"/>
          </w:tcPr>
          <w:p w14:paraId="69BD05CD" w14:textId="77777777" w:rsidR="004A13A7" w:rsidRPr="00AF06C8" w:rsidRDefault="004A13A7" w:rsidP="008D40C1">
            <w:pPr>
              <w:pStyle w:val="TableHeading"/>
              <w:spacing w:line="240" w:lineRule="auto"/>
              <w:rPr>
                <w:rFonts w:eastAsiaTheme="minorHAnsi"/>
                <w:szCs w:val="22"/>
              </w:rPr>
            </w:pPr>
            <w:r w:rsidRPr="00AF06C8">
              <w:rPr>
                <w:rFonts w:eastAsiaTheme="minorHAnsi"/>
                <w:szCs w:val="22"/>
              </w:rPr>
              <w:t>Comments</w:t>
            </w:r>
          </w:p>
        </w:tc>
      </w:tr>
      <w:tr w:rsidR="004A13A7" w:rsidRPr="002E390A" w14:paraId="56B93459" w14:textId="77777777" w:rsidTr="008D40C1">
        <w:tc>
          <w:tcPr>
            <w:tcW w:w="2085" w:type="dxa"/>
          </w:tcPr>
          <w:p w14:paraId="42B217B2" w14:textId="1424AC82" w:rsidR="004A13A7" w:rsidRPr="00AF06C8" w:rsidRDefault="00075B4F" w:rsidP="008D40C1">
            <w:pPr>
              <w:pStyle w:val="TableBody"/>
              <w:rPr>
                <w:rFonts w:eastAsiaTheme="minorHAnsi"/>
                <w:szCs w:val="22"/>
              </w:rPr>
            </w:pPr>
            <w:r w:rsidRPr="00977ED9">
              <w:rPr>
                <w:rFonts w:eastAsiaTheme="minorHAnsi"/>
                <w:szCs w:val="22"/>
              </w:rPr>
              <w:t>August</w:t>
            </w:r>
            <w:r w:rsidR="004A13A7" w:rsidRPr="00AF06C8">
              <w:rPr>
                <w:rFonts w:eastAsiaTheme="minorHAnsi"/>
                <w:szCs w:val="22"/>
              </w:rPr>
              <w:t xml:space="preserve"> 20</w:t>
            </w:r>
            <w:r w:rsidR="000E0FAB">
              <w:rPr>
                <w:rFonts w:eastAsiaTheme="minorHAnsi"/>
                <w:szCs w:val="22"/>
              </w:rPr>
              <w:t>20</w:t>
            </w:r>
          </w:p>
        </w:tc>
        <w:tc>
          <w:tcPr>
            <w:tcW w:w="6528" w:type="dxa"/>
          </w:tcPr>
          <w:p w14:paraId="4543D7C3" w14:textId="4E5D5055" w:rsidR="004A13A7" w:rsidRPr="00AF06C8" w:rsidRDefault="004A13A7" w:rsidP="008D40C1">
            <w:pPr>
              <w:pStyle w:val="TableBody"/>
              <w:rPr>
                <w:rFonts w:eastAsiaTheme="minorHAnsi"/>
                <w:szCs w:val="22"/>
              </w:rPr>
            </w:pPr>
            <w:r w:rsidRPr="00AF06C8">
              <w:rPr>
                <w:rFonts w:eastAsiaTheme="minorHAnsi"/>
                <w:szCs w:val="22"/>
              </w:rPr>
              <w:t xml:space="preserve">Initial draft covering </w:t>
            </w:r>
            <w:r w:rsidR="00D34F0D">
              <w:rPr>
                <w:rFonts w:eastAsiaTheme="minorHAnsi"/>
                <w:szCs w:val="22"/>
              </w:rPr>
              <w:t>arrangement for area-wide apparatus licences in the 26 GHz and 28 GHz bands</w:t>
            </w:r>
          </w:p>
        </w:tc>
      </w:tr>
      <w:tr w:rsidR="004A13A7" w:rsidRPr="002E390A" w14:paraId="276CF20C" w14:textId="77777777" w:rsidTr="008D40C1">
        <w:tc>
          <w:tcPr>
            <w:tcW w:w="2085" w:type="dxa"/>
          </w:tcPr>
          <w:p w14:paraId="1A1A1260" w14:textId="3BF8F825" w:rsidR="004A13A7" w:rsidRPr="00AF06C8" w:rsidRDefault="00B879FD" w:rsidP="008D40C1">
            <w:pPr>
              <w:pStyle w:val="TableBody"/>
              <w:rPr>
                <w:rFonts w:eastAsiaTheme="minorHAnsi"/>
                <w:szCs w:val="22"/>
              </w:rPr>
            </w:pPr>
            <w:r>
              <w:rPr>
                <w:rFonts w:eastAsiaTheme="minorHAnsi"/>
                <w:szCs w:val="22"/>
              </w:rPr>
              <w:t>October 2020</w:t>
            </w:r>
          </w:p>
        </w:tc>
        <w:tc>
          <w:tcPr>
            <w:tcW w:w="6528" w:type="dxa"/>
          </w:tcPr>
          <w:p w14:paraId="753FB0C2" w14:textId="298A03AF" w:rsidR="004A13A7" w:rsidRPr="00AF06C8" w:rsidRDefault="00B879FD" w:rsidP="008D40C1">
            <w:pPr>
              <w:pStyle w:val="TableBody"/>
              <w:rPr>
                <w:rFonts w:eastAsiaTheme="minorHAnsi"/>
                <w:szCs w:val="22"/>
              </w:rPr>
            </w:pPr>
            <w:r>
              <w:rPr>
                <w:rFonts w:eastAsiaTheme="minorHAnsi"/>
                <w:szCs w:val="22"/>
              </w:rPr>
              <w:t>Release of first version of RALI</w:t>
            </w:r>
          </w:p>
        </w:tc>
      </w:tr>
      <w:tr w:rsidR="004A13A7" w:rsidRPr="002E390A" w14:paraId="34E915E0" w14:textId="77777777" w:rsidTr="008D40C1">
        <w:tc>
          <w:tcPr>
            <w:tcW w:w="2085" w:type="dxa"/>
          </w:tcPr>
          <w:p w14:paraId="198E7BAC" w14:textId="1F9FB082" w:rsidR="004A13A7" w:rsidRPr="00AF06C8" w:rsidRDefault="00F46C2A" w:rsidP="008D40C1">
            <w:pPr>
              <w:pStyle w:val="TableBody"/>
              <w:rPr>
                <w:rFonts w:eastAsiaTheme="minorHAnsi"/>
                <w:szCs w:val="22"/>
              </w:rPr>
            </w:pPr>
            <w:r>
              <w:rPr>
                <w:rFonts w:eastAsiaTheme="minorHAnsi"/>
                <w:szCs w:val="22"/>
              </w:rPr>
              <w:t>November 2020</w:t>
            </w:r>
          </w:p>
        </w:tc>
        <w:tc>
          <w:tcPr>
            <w:tcW w:w="6528" w:type="dxa"/>
          </w:tcPr>
          <w:p w14:paraId="7868D166" w14:textId="77777777" w:rsidR="004A13A7" w:rsidRDefault="00F46C2A" w:rsidP="008D40C1">
            <w:pPr>
              <w:pStyle w:val="TableBody"/>
              <w:rPr>
                <w:rFonts w:eastAsiaTheme="minorHAnsi"/>
                <w:szCs w:val="22"/>
              </w:rPr>
            </w:pPr>
            <w:r>
              <w:rPr>
                <w:rFonts w:eastAsiaTheme="minorHAnsi"/>
                <w:szCs w:val="22"/>
              </w:rPr>
              <w:t>Minor updates including:</w:t>
            </w:r>
          </w:p>
          <w:p w14:paraId="4AB1E614" w14:textId="77777777" w:rsidR="00F46C2A" w:rsidRDefault="00F46C2A" w:rsidP="00F46C2A">
            <w:pPr>
              <w:pStyle w:val="TableBody"/>
              <w:numPr>
                <w:ilvl w:val="0"/>
                <w:numId w:val="63"/>
              </w:numPr>
              <w:rPr>
                <w:rFonts w:eastAsiaTheme="minorHAnsi"/>
                <w:szCs w:val="22"/>
              </w:rPr>
            </w:pPr>
            <w:r>
              <w:rPr>
                <w:rFonts w:eastAsiaTheme="minorHAnsi"/>
                <w:szCs w:val="22"/>
              </w:rPr>
              <w:t>Removing provisions that are now replicated in the Radiocommunications Advisory Guidelines (Managing interference to Spectrum Licensed Receivers – 26 GHz band) 2020.</w:t>
            </w:r>
          </w:p>
          <w:p w14:paraId="0D7B2D00" w14:textId="77777777" w:rsidR="00F46C2A" w:rsidRDefault="00780401" w:rsidP="00F46C2A">
            <w:pPr>
              <w:pStyle w:val="TableBody"/>
              <w:numPr>
                <w:ilvl w:val="0"/>
                <w:numId w:val="63"/>
              </w:numPr>
              <w:rPr>
                <w:rFonts w:eastAsiaTheme="minorHAnsi"/>
                <w:szCs w:val="22"/>
              </w:rPr>
            </w:pPr>
            <w:r>
              <w:rPr>
                <w:rFonts w:eastAsiaTheme="minorHAnsi"/>
                <w:szCs w:val="22"/>
              </w:rPr>
              <w:t>Clarifying the application of the area-boundary limit for dual polarised systems</w:t>
            </w:r>
          </w:p>
          <w:p w14:paraId="2FF5C7E3" w14:textId="7D4A7496" w:rsidR="001426A0" w:rsidRPr="00F02F42" w:rsidRDefault="001426A0" w:rsidP="00F46C2A">
            <w:pPr>
              <w:pStyle w:val="TableBody"/>
              <w:numPr>
                <w:ilvl w:val="0"/>
                <w:numId w:val="63"/>
              </w:numPr>
              <w:rPr>
                <w:rFonts w:eastAsiaTheme="minorHAnsi"/>
                <w:szCs w:val="22"/>
              </w:rPr>
            </w:pPr>
            <w:r>
              <w:rPr>
                <w:rFonts w:eastAsiaTheme="minorHAnsi"/>
                <w:szCs w:val="22"/>
              </w:rPr>
              <w:t xml:space="preserve">Alignment of the </w:t>
            </w:r>
            <w:r w:rsidR="00A661A0">
              <w:rPr>
                <w:rFonts w:eastAsiaTheme="minorHAnsi"/>
                <w:szCs w:val="22"/>
              </w:rPr>
              <w:t xml:space="preserve">site </w:t>
            </w:r>
            <w:r>
              <w:rPr>
                <w:rFonts w:eastAsiaTheme="minorHAnsi"/>
                <w:szCs w:val="22"/>
              </w:rPr>
              <w:t xml:space="preserve">coordinates for the SRS earth receive stations with their applicable apparatus licences and requiring the most current version of </w:t>
            </w:r>
            <w:r>
              <w:t>ITU-R Recommendation SA.509 to be used.</w:t>
            </w:r>
          </w:p>
          <w:p w14:paraId="2C679DB9" w14:textId="2561BAD9" w:rsidR="00252606" w:rsidRPr="007274F8" w:rsidRDefault="00252606" w:rsidP="00F46C2A">
            <w:pPr>
              <w:pStyle w:val="TableBody"/>
              <w:numPr>
                <w:ilvl w:val="0"/>
                <w:numId w:val="63"/>
              </w:numPr>
              <w:rPr>
                <w:rFonts w:eastAsiaTheme="minorHAnsi"/>
                <w:szCs w:val="22"/>
              </w:rPr>
            </w:pPr>
            <w:r>
              <w:rPr>
                <w:rFonts w:eastAsiaTheme="minorHAnsi"/>
                <w:szCs w:val="22"/>
              </w:rPr>
              <w:t xml:space="preserve">Correction of </w:t>
            </w:r>
            <w:r w:rsidR="002A38EE">
              <w:rPr>
                <w:rFonts w:eastAsiaTheme="minorHAnsi"/>
                <w:szCs w:val="22"/>
              </w:rPr>
              <w:t>an error</w:t>
            </w:r>
            <w:r>
              <w:rPr>
                <w:rFonts w:eastAsiaTheme="minorHAnsi"/>
                <w:szCs w:val="22"/>
              </w:rPr>
              <w:t xml:space="preserve"> in the y-axis label in Figures 2 and 3</w:t>
            </w:r>
            <w:r w:rsidR="00231B19">
              <w:rPr>
                <w:rFonts w:eastAsiaTheme="minorHAnsi"/>
                <w:szCs w:val="22"/>
              </w:rPr>
              <w:t xml:space="preserve"> (reference bandwidth changed from 1 MHz to 200 MHz)</w:t>
            </w:r>
            <w:r>
              <w:rPr>
                <w:rFonts w:eastAsiaTheme="minorHAnsi"/>
                <w:szCs w:val="22"/>
              </w:rPr>
              <w:t xml:space="preserve">. </w:t>
            </w:r>
          </w:p>
          <w:p w14:paraId="0A2B29A3" w14:textId="5539B6F7" w:rsidR="00780401" w:rsidRPr="00AF06C8" w:rsidRDefault="001426A0" w:rsidP="007274F8">
            <w:pPr>
              <w:pStyle w:val="TableBody"/>
              <w:numPr>
                <w:ilvl w:val="0"/>
                <w:numId w:val="63"/>
              </w:numPr>
              <w:rPr>
                <w:rFonts w:eastAsiaTheme="minorHAnsi"/>
                <w:szCs w:val="22"/>
              </w:rPr>
            </w:pPr>
            <w:r>
              <w:rPr>
                <w:rFonts w:eastAsiaTheme="minorHAnsi"/>
                <w:szCs w:val="22"/>
              </w:rPr>
              <w:t xml:space="preserve">Minor editorial corrections  </w:t>
            </w:r>
          </w:p>
        </w:tc>
      </w:tr>
      <w:tr w:rsidR="00E15A81" w:rsidRPr="002E390A" w14:paraId="6168E695" w14:textId="77777777" w:rsidTr="008D40C1">
        <w:tc>
          <w:tcPr>
            <w:tcW w:w="2085" w:type="dxa"/>
          </w:tcPr>
          <w:p w14:paraId="08F8EBF1" w14:textId="266E1A11" w:rsidR="00E15A81" w:rsidRDefault="00E15A81" w:rsidP="008D40C1">
            <w:pPr>
              <w:pStyle w:val="TableBody"/>
              <w:rPr>
                <w:rFonts w:eastAsiaTheme="minorHAnsi"/>
                <w:szCs w:val="22"/>
              </w:rPr>
            </w:pPr>
            <w:r>
              <w:rPr>
                <w:rFonts w:eastAsiaTheme="minorHAnsi"/>
                <w:szCs w:val="22"/>
              </w:rPr>
              <w:t>[Insert date when published]</w:t>
            </w:r>
          </w:p>
        </w:tc>
        <w:tc>
          <w:tcPr>
            <w:tcW w:w="6528" w:type="dxa"/>
          </w:tcPr>
          <w:p w14:paraId="7BEFA0A1" w14:textId="77777777" w:rsidR="00E15A81" w:rsidRDefault="005B50F4" w:rsidP="008D40C1">
            <w:pPr>
              <w:pStyle w:val="TableBody"/>
              <w:rPr>
                <w:rFonts w:eastAsiaTheme="minorHAnsi"/>
                <w:szCs w:val="22"/>
              </w:rPr>
            </w:pPr>
            <w:r>
              <w:rPr>
                <w:rFonts w:eastAsiaTheme="minorHAnsi"/>
                <w:szCs w:val="22"/>
              </w:rPr>
              <w:t>Updates include:</w:t>
            </w:r>
          </w:p>
          <w:p w14:paraId="57522DE3" w14:textId="77777777" w:rsidR="005B50F4" w:rsidRDefault="005B50F4" w:rsidP="005B50F4">
            <w:pPr>
              <w:pStyle w:val="TableBody"/>
              <w:numPr>
                <w:ilvl w:val="0"/>
                <w:numId w:val="123"/>
              </w:numPr>
              <w:rPr>
                <w:rFonts w:eastAsiaTheme="minorHAnsi"/>
                <w:szCs w:val="22"/>
              </w:rPr>
            </w:pPr>
            <w:r>
              <w:rPr>
                <w:rFonts w:eastAsiaTheme="minorHAnsi"/>
                <w:szCs w:val="22"/>
              </w:rPr>
              <w:t>Inclusion of coordination requirements around Mingenew WA</w:t>
            </w:r>
          </w:p>
          <w:p w14:paraId="33697722" w14:textId="20899E2A" w:rsidR="005B50F4" w:rsidRDefault="005B50F4" w:rsidP="005B50F4">
            <w:pPr>
              <w:pStyle w:val="TableBody"/>
              <w:numPr>
                <w:ilvl w:val="0"/>
                <w:numId w:val="123"/>
              </w:numPr>
              <w:rPr>
                <w:rFonts w:eastAsiaTheme="minorHAnsi"/>
                <w:szCs w:val="22"/>
              </w:rPr>
            </w:pPr>
            <w:r>
              <w:rPr>
                <w:rFonts w:eastAsiaTheme="minorHAnsi"/>
                <w:szCs w:val="22"/>
              </w:rPr>
              <w:t>Additional</w:t>
            </w:r>
            <w:r w:rsidR="004E333D">
              <w:rPr>
                <w:rFonts w:eastAsiaTheme="minorHAnsi"/>
                <w:szCs w:val="22"/>
              </w:rPr>
              <w:t xml:space="preserve"> information</w:t>
            </w:r>
            <w:r>
              <w:rPr>
                <w:rFonts w:eastAsiaTheme="minorHAnsi"/>
                <w:szCs w:val="22"/>
              </w:rPr>
              <w:t xml:space="preserve"> on coexistence arrangements for overlapp</w:t>
            </w:r>
            <w:r w:rsidR="00ED79C5">
              <w:rPr>
                <w:rFonts w:eastAsiaTheme="minorHAnsi"/>
                <w:szCs w:val="22"/>
              </w:rPr>
              <w:t>ing</w:t>
            </w:r>
            <w:r>
              <w:rPr>
                <w:rFonts w:eastAsiaTheme="minorHAnsi"/>
                <w:szCs w:val="22"/>
              </w:rPr>
              <w:t xml:space="preserve"> AWLs</w:t>
            </w:r>
          </w:p>
          <w:p w14:paraId="41807468" w14:textId="6FD99E05" w:rsidR="005B50F4" w:rsidRDefault="005B50F4" w:rsidP="005B50F4">
            <w:pPr>
              <w:pStyle w:val="TableBody"/>
              <w:numPr>
                <w:ilvl w:val="0"/>
                <w:numId w:val="123"/>
              </w:numPr>
              <w:rPr>
                <w:rFonts w:eastAsiaTheme="minorHAnsi"/>
                <w:szCs w:val="22"/>
              </w:rPr>
            </w:pPr>
            <w:r>
              <w:rPr>
                <w:rFonts w:eastAsiaTheme="minorHAnsi"/>
                <w:szCs w:val="22"/>
              </w:rPr>
              <w:t>Consolidation of arrangements in RALI MS38 and Embargo 79 into this RALI</w:t>
            </w:r>
          </w:p>
          <w:p w14:paraId="0A902247" w14:textId="348D1D09" w:rsidR="00A9227D" w:rsidRDefault="00CE0F40" w:rsidP="005B50F4">
            <w:pPr>
              <w:pStyle w:val="TableBody"/>
              <w:numPr>
                <w:ilvl w:val="0"/>
                <w:numId w:val="123"/>
              </w:numPr>
              <w:rPr>
                <w:rFonts w:eastAsiaTheme="minorHAnsi"/>
                <w:szCs w:val="22"/>
              </w:rPr>
            </w:pPr>
            <w:r>
              <w:rPr>
                <w:rFonts w:eastAsiaTheme="minorHAnsi"/>
                <w:szCs w:val="22"/>
              </w:rPr>
              <w:t>Perm</w:t>
            </w:r>
            <w:r w:rsidR="00F17CE7">
              <w:rPr>
                <w:rFonts w:eastAsiaTheme="minorHAnsi"/>
                <w:szCs w:val="22"/>
              </w:rPr>
              <w:t>i</w:t>
            </w:r>
            <w:r>
              <w:rPr>
                <w:rFonts w:eastAsiaTheme="minorHAnsi"/>
                <w:szCs w:val="22"/>
              </w:rPr>
              <w:t>tting</w:t>
            </w:r>
            <w:r w:rsidR="00A9227D">
              <w:rPr>
                <w:rFonts w:eastAsiaTheme="minorHAnsi"/>
                <w:szCs w:val="22"/>
              </w:rPr>
              <w:t xml:space="preserve"> the </w:t>
            </w:r>
            <w:r w:rsidR="00EE7823">
              <w:rPr>
                <w:rFonts w:eastAsiaTheme="minorHAnsi"/>
                <w:szCs w:val="22"/>
              </w:rPr>
              <w:t>area-boundary conditions t</w:t>
            </w:r>
            <w:r w:rsidR="00A9227D">
              <w:rPr>
                <w:rFonts w:eastAsiaTheme="minorHAnsi"/>
                <w:szCs w:val="22"/>
              </w:rPr>
              <w:t>o be exceeded when there is an active agreement with the affected licensee</w:t>
            </w:r>
            <w:r w:rsidR="001C668F">
              <w:rPr>
                <w:rFonts w:eastAsiaTheme="minorHAnsi"/>
                <w:szCs w:val="22"/>
              </w:rPr>
              <w:t>(</w:t>
            </w:r>
            <w:r w:rsidR="00EE7823">
              <w:rPr>
                <w:rFonts w:eastAsiaTheme="minorHAnsi"/>
                <w:szCs w:val="22"/>
              </w:rPr>
              <w:t>s</w:t>
            </w:r>
          </w:p>
          <w:p w14:paraId="14581E97" w14:textId="5FBE6CDA" w:rsidR="005B50F4" w:rsidRDefault="00BB7787" w:rsidP="005B50F4">
            <w:pPr>
              <w:pStyle w:val="TableBody"/>
              <w:numPr>
                <w:ilvl w:val="0"/>
                <w:numId w:val="123"/>
              </w:numPr>
              <w:rPr>
                <w:rFonts w:eastAsiaTheme="minorHAnsi"/>
                <w:szCs w:val="22"/>
              </w:rPr>
            </w:pPr>
            <w:r>
              <w:rPr>
                <w:rFonts w:eastAsiaTheme="minorHAnsi"/>
                <w:szCs w:val="22"/>
              </w:rPr>
              <w:t>Permi</w:t>
            </w:r>
            <w:r w:rsidR="0048344F">
              <w:rPr>
                <w:rFonts w:eastAsiaTheme="minorHAnsi"/>
                <w:szCs w:val="22"/>
              </w:rPr>
              <w:t>tting</w:t>
            </w:r>
            <w:r w:rsidR="005B50F4">
              <w:rPr>
                <w:rFonts w:eastAsiaTheme="minorHAnsi"/>
                <w:szCs w:val="22"/>
              </w:rPr>
              <w:t xml:space="preserve"> the use of FDR when coordinating with fixed links</w:t>
            </w:r>
          </w:p>
          <w:p w14:paraId="28A7FF0C" w14:textId="2762DDF5" w:rsidR="00554C7E" w:rsidRDefault="00BB7787">
            <w:pPr>
              <w:pStyle w:val="TableBody"/>
              <w:numPr>
                <w:ilvl w:val="0"/>
                <w:numId w:val="123"/>
              </w:numPr>
              <w:rPr>
                <w:rFonts w:eastAsiaTheme="minorHAnsi"/>
                <w:szCs w:val="22"/>
              </w:rPr>
            </w:pPr>
            <w:r>
              <w:rPr>
                <w:rFonts w:eastAsiaTheme="minorHAnsi"/>
                <w:szCs w:val="22"/>
              </w:rPr>
              <w:t>Requirement for</w:t>
            </w:r>
            <w:r w:rsidR="00554C7E">
              <w:rPr>
                <w:rFonts w:eastAsiaTheme="minorHAnsi"/>
                <w:szCs w:val="22"/>
              </w:rPr>
              <w:t xml:space="preserve"> fixed outdoor transmitters that are exempt from registration to be coordinated using RALI MS32 before operation.</w:t>
            </w:r>
          </w:p>
          <w:p w14:paraId="50803472" w14:textId="7FAE6B75" w:rsidR="005B50F4" w:rsidRDefault="00A9227D" w:rsidP="00103034">
            <w:pPr>
              <w:pStyle w:val="TableBody"/>
              <w:numPr>
                <w:ilvl w:val="0"/>
                <w:numId w:val="123"/>
              </w:numPr>
              <w:rPr>
                <w:rFonts w:eastAsiaTheme="minorHAnsi"/>
                <w:szCs w:val="22"/>
              </w:rPr>
            </w:pPr>
            <w:r>
              <w:rPr>
                <w:rFonts w:eastAsiaTheme="minorHAnsi"/>
                <w:szCs w:val="22"/>
              </w:rPr>
              <w:t xml:space="preserve">Removal of surplus information </w:t>
            </w:r>
            <w:r w:rsidR="00DA0D39">
              <w:rPr>
                <w:rFonts w:eastAsiaTheme="minorHAnsi"/>
                <w:szCs w:val="22"/>
              </w:rPr>
              <w:t xml:space="preserve">that is contain in other documents </w:t>
            </w:r>
            <w:r>
              <w:rPr>
                <w:rFonts w:eastAsiaTheme="minorHAnsi"/>
                <w:szCs w:val="22"/>
              </w:rPr>
              <w:t xml:space="preserve">and </w:t>
            </w:r>
            <w:r w:rsidR="00DA0D39">
              <w:rPr>
                <w:rFonts w:eastAsiaTheme="minorHAnsi"/>
                <w:szCs w:val="22"/>
              </w:rPr>
              <w:t>general changes t</w:t>
            </w:r>
            <w:r w:rsidR="005B50F4">
              <w:rPr>
                <w:rFonts w:eastAsiaTheme="minorHAnsi"/>
                <w:szCs w:val="22"/>
              </w:rPr>
              <w:t>o improve the understanding of the AWL technical framework and</w:t>
            </w:r>
            <w:r w:rsidR="00DA0D39">
              <w:rPr>
                <w:rFonts w:eastAsiaTheme="minorHAnsi"/>
                <w:szCs w:val="22"/>
              </w:rPr>
              <w:t xml:space="preserve"> the</w:t>
            </w:r>
            <w:r w:rsidR="005B50F4">
              <w:rPr>
                <w:rFonts w:eastAsiaTheme="minorHAnsi"/>
                <w:szCs w:val="22"/>
              </w:rPr>
              <w:t xml:space="preserve"> provisions in this RALI.</w:t>
            </w:r>
          </w:p>
        </w:tc>
      </w:tr>
    </w:tbl>
    <w:p w14:paraId="6CF90D09" w14:textId="77777777" w:rsidR="004A13A7" w:rsidRDefault="004A13A7" w:rsidP="004A13A7">
      <w:pPr>
        <w:pStyle w:val="ACMASpaceaftertable"/>
      </w:pPr>
    </w:p>
    <w:p w14:paraId="29760A3B" w14:textId="2E9BC49C" w:rsidR="004A13A7" w:rsidRPr="00AF06C8" w:rsidRDefault="004A13A7" w:rsidP="004A13A7">
      <w:pPr>
        <w:rPr>
          <w:szCs w:val="22"/>
        </w:rPr>
      </w:pPr>
      <w:r w:rsidRPr="00AF06C8">
        <w:rPr>
          <w:szCs w:val="22"/>
        </w:rPr>
        <w:t xml:space="preserve">Suggestions for improvements to Radiocommunications Assignment and Licensing Instruction </w:t>
      </w:r>
      <w:r w:rsidRPr="00977ED9">
        <w:rPr>
          <w:szCs w:val="22"/>
        </w:rPr>
        <w:t xml:space="preserve">MS </w:t>
      </w:r>
      <w:r w:rsidR="00B879FD" w:rsidRPr="00977ED9">
        <w:rPr>
          <w:szCs w:val="22"/>
        </w:rPr>
        <w:t>46</w:t>
      </w:r>
      <w:r w:rsidRPr="00AF06C8">
        <w:rPr>
          <w:szCs w:val="22"/>
        </w:rPr>
        <w:t xml:space="preserve"> may be addressed to:</w:t>
      </w:r>
    </w:p>
    <w:p w14:paraId="30734BEE" w14:textId="77777777" w:rsidR="004A13A7" w:rsidRPr="00AF06C8" w:rsidRDefault="004A13A7" w:rsidP="004A13A7">
      <w:pPr>
        <w:rPr>
          <w:szCs w:val="22"/>
        </w:rPr>
      </w:pPr>
      <w:r w:rsidRPr="00AF06C8">
        <w:rPr>
          <w:szCs w:val="22"/>
        </w:rPr>
        <w:t xml:space="preserve">The Manager, Spectrum </w:t>
      </w:r>
      <w:r w:rsidR="00746A68">
        <w:rPr>
          <w:szCs w:val="22"/>
        </w:rPr>
        <w:t>Planning Section</w:t>
      </w:r>
      <w:r w:rsidRPr="00AF06C8">
        <w:rPr>
          <w:szCs w:val="22"/>
        </w:rPr>
        <w:br/>
        <w:t>Australian Communications and Media Authority</w:t>
      </w:r>
      <w:r w:rsidRPr="00AF06C8">
        <w:rPr>
          <w:szCs w:val="22"/>
        </w:rPr>
        <w:br/>
        <w:t xml:space="preserve">PO Box 78 </w:t>
      </w:r>
      <w:r w:rsidRPr="00AF06C8">
        <w:rPr>
          <w:szCs w:val="22"/>
        </w:rPr>
        <w:br/>
        <w:t>Belconnen ACT 2616</w:t>
      </w:r>
    </w:p>
    <w:p w14:paraId="5234C2C6" w14:textId="77777777" w:rsidR="004A13A7" w:rsidRPr="00AF06C8" w:rsidRDefault="004A13A7" w:rsidP="004A13A7">
      <w:pPr>
        <w:rPr>
          <w:rFonts w:cstheme="minorHAnsi"/>
          <w:szCs w:val="22"/>
        </w:rPr>
      </w:pPr>
      <w:r w:rsidRPr="00AF06C8">
        <w:rPr>
          <w:rFonts w:cstheme="minorHAnsi"/>
          <w:szCs w:val="22"/>
        </w:rPr>
        <w:t xml:space="preserve">or by email to: </w:t>
      </w:r>
      <w:hyperlink r:id="rId10" w:history="1">
        <w:r w:rsidRPr="00AF06C8">
          <w:rPr>
            <w:rStyle w:val="Hyperlink"/>
            <w:rFonts w:cstheme="minorHAnsi"/>
            <w:szCs w:val="22"/>
          </w:rPr>
          <w:t>freqplan@acma.gov.au</w:t>
        </w:r>
      </w:hyperlink>
      <w:r w:rsidRPr="00AF06C8">
        <w:rPr>
          <w:rFonts w:cstheme="minorHAnsi"/>
          <w:szCs w:val="22"/>
        </w:rPr>
        <w:t>.</w:t>
      </w:r>
    </w:p>
    <w:p w14:paraId="4D21138D" w14:textId="77777777" w:rsidR="00B95DA7" w:rsidRPr="00AF06C8" w:rsidRDefault="004A13A7" w:rsidP="004A13A7">
      <w:pPr>
        <w:rPr>
          <w:szCs w:val="22"/>
        </w:rPr>
      </w:pPr>
      <w:r w:rsidRPr="00AF06C8">
        <w:rPr>
          <w:szCs w:val="22"/>
        </w:rPr>
        <w:lastRenderedPageBreak/>
        <w:t xml:space="preserve">Please notify the ACMA of any inaccuracy or ambiguity found in this RALI, so that it can be </w:t>
      </w:r>
      <w:proofErr w:type="gramStart"/>
      <w:r w:rsidRPr="00AF06C8">
        <w:rPr>
          <w:szCs w:val="22"/>
        </w:rPr>
        <w:t>investigated</w:t>
      </w:r>
      <w:proofErr w:type="gramEnd"/>
      <w:r w:rsidRPr="00AF06C8">
        <w:rPr>
          <w:szCs w:val="22"/>
        </w:rPr>
        <w:t xml:space="preserve"> and appropriate action taken.</w:t>
      </w:r>
    </w:p>
    <w:p w14:paraId="08F7D81A" w14:textId="77777777" w:rsidR="00822B3D" w:rsidRDefault="00822B3D" w:rsidP="004A13A7">
      <w:pPr>
        <w:rPr>
          <w:b/>
          <w:sz w:val="52"/>
          <w:szCs w:val="52"/>
        </w:rPr>
        <w:sectPr w:rsidR="00822B3D" w:rsidSect="00822B3D">
          <w:footerReference w:type="even" r:id="rId11"/>
          <w:type w:val="evenPage"/>
          <w:pgSz w:w="11906" w:h="16838"/>
          <w:pgMar w:top="1440" w:right="1440" w:bottom="1440" w:left="1440" w:header="708" w:footer="708" w:gutter="0"/>
          <w:pgNumType w:fmt="lowerRoman" w:start="2"/>
          <w:cols w:space="708"/>
          <w:docGrid w:linePitch="360"/>
        </w:sectPr>
      </w:pPr>
    </w:p>
    <w:sdt>
      <w:sdtPr>
        <w:rPr>
          <w:b w:val="0"/>
          <w:color w:val="auto"/>
          <w:spacing w:val="0"/>
          <w:sz w:val="24"/>
        </w:rPr>
        <w:id w:val="2122026567"/>
        <w:docPartObj>
          <w:docPartGallery w:val="Table of Contents"/>
          <w:docPartUnique/>
        </w:docPartObj>
      </w:sdtPr>
      <w:sdtEndPr>
        <w:rPr>
          <w:bCs/>
          <w:noProof/>
          <w:sz w:val="22"/>
        </w:rPr>
      </w:sdtEndPr>
      <w:sdtContent>
        <w:p w14:paraId="272A02B0" w14:textId="77777777" w:rsidR="00097D72" w:rsidRDefault="00097D72">
          <w:pPr>
            <w:pStyle w:val="TOCHeading"/>
          </w:pPr>
          <w:r>
            <w:t>Contents</w:t>
          </w:r>
        </w:p>
        <w:p w14:paraId="441783CC" w14:textId="5BF01E12" w:rsidR="00A62162" w:rsidRDefault="00097D72">
          <w:pPr>
            <w:pStyle w:val="TOC1"/>
            <w:tabs>
              <w:tab w:val="left" w:pos="885"/>
            </w:tabs>
            <w:rPr>
              <w:rFonts w:asciiTheme="minorHAnsi" w:eastAsiaTheme="minorEastAsia" w:hAnsiTheme="minorHAnsi" w:cstheme="minorBidi"/>
              <w:b w:val="0"/>
              <w:spacing w:val="0"/>
              <w:sz w:val="22"/>
              <w:szCs w:val="22"/>
            </w:rPr>
          </w:pPr>
          <w:r>
            <w:fldChar w:fldCharType="begin"/>
          </w:r>
          <w:r>
            <w:instrText xml:space="preserve"> TOC \o "1-3" \h \z \u </w:instrText>
          </w:r>
          <w:r>
            <w:fldChar w:fldCharType="separate"/>
          </w:r>
          <w:hyperlink w:anchor="_Toc94773059" w:history="1">
            <w:r w:rsidR="00A62162" w:rsidRPr="00377713">
              <w:rPr>
                <w:rStyle w:val="Hyperlink"/>
                <w14:scene3d>
                  <w14:camera w14:prst="orthographicFront"/>
                  <w14:lightRig w14:rig="threePt" w14:dir="t">
                    <w14:rot w14:lat="0" w14:lon="0" w14:rev="0"/>
                  </w14:lightRig>
                </w14:scene3d>
              </w:rPr>
              <w:t>1</w:t>
            </w:r>
            <w:r w:rsidR="00A62162">
              <w:rPr>
                <w:rFonts w:asciiTheme="minorHAnsi" w:eastAsiaTheme="minorEastAsia" w:hAnsiTheme="minorHAnsi" w:cstheme="minorBidi"/>
                <w:b w:val="0"/>
                <w:spacing w:val="0"/>
                <w:sz w:val="22"/>
                <w:szCs w:val="22"/>
              </w:rPr>
              <w:tab/>
            </w:r>
            <w:r w:rsidR="00A62162" w:rsidRPr="00377713">
              <w:rPr>
                <w:rStyle w:val="Hyperlink"/>
              </w:rPr>
              <w:t>Introduction</w:t>
            </w:r>
            <w:r w:rsidR="00A62162">
              <w:rPr>
                <w:webHidden/>
              </w:rPr>
              <w:tab/>
            </w:r>
            <w:r w:rsidR="00A62162">
              <w:rPr>
                <w:webHidden/>
              </w:rPr>
              <w:fldChar w:fldCharType="begin"/>
            </w:r>
            <w:r w:rsidR="00A62162">
              <w:rPr>
                <w:webHidden/>
              </w:rPr>
              <w:instrText xml:space="preserve"> PAGEREF _Toc94773059 \h </w:instrText>
            </w:r>
            <w:r w:rsidR="00A62162">
              <w:rPr>
                <w:webHidden/>
              </w:rPr>
            </w:r>
            <w:r w:rsidR="00A62162">
              <w:rPr>
                <w:webHidden/>
              </w:rPr>
              <w:fldChar w:fldCharType="separate"/>
            </w:r>
            <w:r w:rsidR="00A62162">
              <w:rPr>
                <w:webHidden/>
              </w:rPr>
              <w:t>1</w:t>
            </w:r>
            <w:r w:rsidR="00A62162">
              <w:rPr>
                <w:webHidden/>
              </w:rPr>
              <w:fldChar w:fldCharType="end"/>
            </w:r>
          </w:hyperlink>
        </w:p>
        <w:p w14:paraId="55281348" w14:textId="30598B42" w:rsidR="00A62162" w:rsidRDefault="003A7F61">
          <w:pPr>
            <w:pStyle w:val="TOC2"/>
            <w:rPr>
              <w:rFonts w:asciiTheme="minorHAnsi" w:eastAsiaTheme="minorEastAsia" w:hAnsiTheme="minorHAnsi" w:cstheme="minorBidi"/>
              <w:spacing w:val="0"/>
              <w:sz w:val="22"/>
              <w:szCs w:val="22"/>
            </w:rPr>
          </w:pPr>
          <w:hyperlink w:anchor="_Toc94773060" w:history="1">
            <w:r w:rsidR="00A62162" w:rsidRPr="00377713">
              <w:rPr>
                <w:rStyle w:val="Hyperlink"/>
              </w:rPr>
              <w:t>1.1</w:t>
            </w:r>
            <w:r w:rsidR="00A62162">
              <w:rPr>
                <w:rFonts w:asciiTheme="minorHAnsi" w:eastAsiaTheme="minorEastAsia" w:hAnsiTheme="minorHAnsi" w:cstheme="minorBidi"/>
                <w:spacing w:val="0"/>
                <w:sz w:val="22"/>
                <w:szCs w:val="22"/>
              </w:rPr>
              <w:tab/>
            </w:r>
            <w:r w:rsidR="00A62162" w:rsidRPr="00377713">
              <w:rPr>
                <w:rStyle w:val="Hyperlink"/>
              </w:rPr>
              <w:t>Purpose</w:t>
            </w:r>
            <w:r w:rsidR="00A62162">
              <w:rPr>
                <w:webHidden/>
              </w:rPr>
              <w:tab/>
            </w:r>
            <w:r w:rsidR="00A62162">
              <w:rPr>
                <w:webHidden/>
              </w:rPr>
              <w:fldChar w:fldCharType="begin"/>
            </w:r>
            <w:r w:rsidR="00A62162">
              <w:rPr>
                <w:webHidden/>
              </w:rPr>
              <w:instrText xml:space="preserve"> PAGEREF _Toc94773060 \h </w:instrText>
            </w:r>
            <w:r w:rsidR="00A62162">
              <w:rPr>
                <w:webHidden/>
              </w:rPr>
            </w:r>
            <w:r w:rsidR="00A62162">
              <w:rPr>
                <w:webHidden/>
              </w:rPr>
              <w:fldChar w:fldCharType="separate"/>
            </w:r>
            <w:r w:rsidR="00A62162">
              <w:rPr>
                <w:webHidden/>
              </w:rPr>
              <w:t>1</w:t>
            </w:r>
            <w:r w:rsidR="00A62162">
              <w:rPr>
                <w:webHidden/>
              </w:rPr>
              <w:fldChar w:fldCharType="end"/>
            </w:r>
          </w:hyperlink>
        </w:p>
        <w:p w14:paraId="7D7899C1" w14:textId="03C0713F" w:rsidR="00A62162" w:rsidRDefault="003A7F61">
          <w:pPr>
            <w:pStyle w:val="TOC2"/>
            <w:rPr>
              <w:rFonts w:asciiTheme="minorHAnsi" w:eastAsiaTheme="minorEastAsia" w:hAnsiTheme="minorHAnsi" w:cstheme="minorBidi"/>
              <w:spacing w:val="0"/>
              <w:sz w:val="22"/>
              <w:szCs w:val="22"/>
            </w:rPr>
          </w:pPr>
          <w:hyperlink w:anchor="_Toc94773061" w:history="1">
            <w:r w:rsidR="00A62162" w:rsidRPr="00377713">
              <w:rPr>
                <w:rStyle w:val="Hyperlink"/>
              </w:rPr>
              <w:t>1.2</w:t>
            </w:r>
            <w:r w:rsidR="00A62162">
              <w:rPr>
                <w:rFonts w:asciiTheme="minorHAnsi" w:eastAsiaTheme="minorEastAsia" w:hAnsiTheme="minorHAnsi" w:cstheme="minorBidi"/>
                <w:spacing w:val="0"/>
                <w:sz w:val="22"/>
                <w:szCs w:val="22"/>
              </w:rPr>
              <w:tab/>
            </w:r>
            <w:r w:rsidR="00A62162" w:rsidRPr="00377713">
              <w:rPr>
                <w:rStyle w:val="Hyperlink"/>
              </w:rPr>
              <w:t>Background</w:t>
            </w:r>
            <w:r w:rsidR="00A62162">
              <w:rPr>
                <w:webHidden/>
              </w:rPr>
              <w:tab/>
            </w:r>
            <w:r w:rsidR="00A62162">
              <w:rPr>
                <w:webHidden/>
              </w:rPr>
              <w:fldChar w:fldCharType="begin"/>
            </w:r>
            <w:r w:rsidR="00A62162">
              <w:rPr>
                <w:webHidden/>
              </w:rPr>
              <w:instrText xml:space="preserve"> PAGEREF _Toc94773061 \h </w:instrText>
            </w:r>
            <w:r w:rsidR="00A62162">
              <w:rPr>
                <w:webHidden/>
              </w:rPr>
            </w:r>
            <w:r w:rsidR="00A62162">
              <w:rPr>
                <w:webHidden/>
              </w:rPr>
              <w:fldChar w:fldCharType="separate"/>
            </w:r>
            <w:r w:rsidR="00A62162">
              <w:rPr>
                <w:webHidden/>
              </w:rPr>
              <w:t>1</w:t>
            </w:r>
            <w:r w:rsidR="00A62162">
              <w:rPr>
                <w:webHidden/>
              </w:rPr>
              <w:fldChar w:fldCharType="end"/>
            </w:r>
          </w:hyperlink>
        </w:p>
        <w:p w14:paraId="16AF70D6" w14:textId="7A55B0E0" w:rsidR="00A62162" w:rsidRDefault="003A7F61">
          <w:pPr>
            <w:pStyle w:val="TOC2"/>
            <w:rPr>
              <w:rFonts w:asciiTheme="minorHAnsi" w:eastAsiaTheme="minorEastAsia" w:hAnsiTheme="minorHAnsi" w:cstheme="minorBidi"/>
              <w:spacing w:val="0"/>
              <w:sz w:val="22"/>
              <w:szCs w:val="22"/>
            </w:rPr>
          </w:pPr>
          <w:hyperlink w:anchor="_Toc94773062" w:history="1">
            <w:r w:rsidR="00A62162" w:rsidRPr="00377713">
              <w:rPr>
                <w:rStyle w:val="Hyperlink"/>
              </w:rPr>
              <w:t>1.3</w:t>
            </w:r>
            <w:r w:rsidR="00A62162">
              <w:rPr>
                <w:rFonts w:asciiTheme="minorHAnsi" w:eastAsiaTheme="minorEastAsia" w:hAnsiTheme="minorHAnsi" w:cstheme="minorBidi"/>
                <w:spacing w:val="0"/>
                <w:sz w:val="22"/>
                <w:szCs w:val="22"/>
              </w:rPr>
              <w:tab/>
            </w:r>
            <w:r w:rsidR="00A62162" w:rsidRPr="00377713">
              <w:rPr>
                <w:rStyle w:val="Hyperlink"/>
              </w:rPr>
              <w:t>Scope</w:t>
            </w:r>
            <w:r w:rsidR="00A62162">
              <w:rPr>
                <w:webHidden/>
              </w:rPr>
              <w:tab/>
            </w:r>
            <w:r w:rsidR="00A62162">
              <w:rPr>
                <w:webHidden/>
              </w:rPr>
              <w:fldChar w:fldCharType="begin"/>
            </w:r>
            <w:r w:rsidR="00A62162">
              <w:rPr>
                <w:webHidden/>
              </w:rPr>
              <w:instrText xml:space="preserve"> PAGEREF _Toc94773062 \h </w:instrText>
            </w:r>
            <w:r w:rsidR="00A62162">
              <w:rPr>
                <w:webHidden/>
              </w:rPr>
            </w:r>
            <w:r w:rsidR="00A62162">
              <w:rPr>
                <w:webHidden/>
              </w:rPr>
              <w:fldChar w:fldCharType="separate"/>
            </w:r>
            <w:r w:rsidR="00A62162">
              <w:rPr>
                <w:webHidden/>
              </w:rPr>
              <w:t>3</w:t>
            </w:r>
            <w:r w:rsidR="00A62162">
              <w:rPr>
                <w:webHidden/>
              </w:rPr>
              <w:fldChar w:fldCharType="end"/>
            </w:r>
          </w:hyperlink>
        </w:p>
        <w:p w14:paraId="63886E9F" w14:textId="339B195F" w:rsidR="00A62162" w:rsidRDefault="003A7F61">
          <w:pPr>
            <w:pStyle w:val="TOC3"/>
            <w:tabs>
              <w:tab w:val="left" w:pos="885"/>
            </w:tabs>
            <w:rPr>
              <w:rFonts w:asciiTheme="minorHAnsi" w:eastAsiaTheme="minorEastAsia" w:hAnsiTheme="minorHAnsi" w:cstheme="minorBidi"/>
            </w:rPr>
          </w:pPr>
          <w:hyperlink w:anchor="_Toc94773063" w:history="1">
            <w:r w:rsidR="00A62162" w:rsidRPr="00377713">
              <w:rPr>
                <w:rStyle w:val="Hyperlink"/>
                <w14:scene3d>
                  <w14:camera w14:prst="orthographicFront"/>
                  <w14:lightRig w14:rig="threePt" w14:dir="t">
                    <w14:rot w14:lat="0" w14:lon="0" w14:rev="0"/>
                  </w14:lightRig>
                </w14:scene3d>
              </w:rPr>
              <w:t>1.3.1</w:t>
            </w:r>
            <w:r w:rsidR="00A62162">
              <w:rPr>
                <w:rFonts w:asciiTheme="minorHAnsi" w:eastAsiaTheme="minorEastAsia" w:hAnsiTheme="minorHAnsi" w:cstheme="minorBidi"/>
              </w:rPr>
              <w:tab/>
            </w:r>
            <w:r w:rsidR="00A62162" w:rsidRPr="00377713">
              <w:rPr>
                <w:rStyle w:val="Hyperlink"/>
              </w:rPr>
              <w:t>Definitions</w:t>
            </w:r>
            <w:r w:rsidR="00A62162">
              <w:rPr>
                <w:webHidden/>
              </w:rPr>
              <w:tab/>
            </w:r>
            <w:r w:rsidR="00A62162">
              <w:rPr>
                <w:webHidden/>
              </w:rPr>
              <w:fldChar w:fldCharType="begin"/>
            </w:r>
            <w:r w:rsidR="00A62162">
              <w:rPr>
                <w:webHidden/>
              </w:rPr>
              <w:instrText xml:space="preserve"> PAGEREF _Toc94773063 \h </w:instrText>
            </w:r>
            <w:r w:rsidR="00A62162">
              <w:rPr>
                <w:webHidden/>
              </w:rPr>
            </w:r>
            <w:r w:rsidR="00A62162">
              <w:rPr>
                <w:webHidden/>
              </w:rPr>
              <w:fldChar w:fldCharType="separate"/>
            </w:r>
            <w:r w:rsidR="00A62162">
              <w:rPr>
                <w:webHidden/>
              </w:rPr>
              <w:t>3</w:t>
            </w:r>
            <w:r w:rsidR="00A62162">
              <w:rPr>
                <w:webHidden/>
              </w:rPr>
              <w:fldChar w:fldCharType="end"/>
            </w:r>
          </w:hyperlink>
        </w:p>
        <w:p w14:paraId="0408C266" w14:textId="1FADC04D" w:rsidR="00A62162" w:rsidRDefault="003A7F61">
          <w:pPr>
            <w:pStyle w:val="TOC3"/>
            <w:tabs>
              <w:tab w:val="left" w:pos="885"/>
            </w:tabs>
            <w:rPr>
              <w:rFonts w:asciiTheme="minorHAnsi" w:eastAsiaTheme="minorEastAsia" w:hAnsiTheme="minorHAnsi" w:cstheme="minorBidi"/>
            </w:rPr>
          </w:pPr>
          <w:hyperlink w:anchor="_Toc94773064" w:history="1">
            <w:r w:rsidR="00A62162" w:rsidRPr="00377713">
              <w:rPr>
                <w:rStyle w:val="Hyperlink"/>
                <w14:scene3d>
                  <w14:camera w14:prst="orthographicFront"/>
                  <w14:lightRig w14:rig="threePt" w14:dir="t">
                    <w14:rot w14:lat="0" w14:lon="0" w14:rev="0"/>
                  </w14:lightRig>
                </w14:scene3d>
              </w:rPr>
              <w:t>1.3.2</w:t>
            </w:r>
            <w:r w:rsidR="00A62162">
              <w:rPr>
                <w:rFonts w:asciiTheme="minorHAnsi" w:eastAsiaTheme="minorEastAsia" w:hAnsiTheme="minorHAnsi" w:cstheme="minorBidi"/>
              </w:rPr>
              <w:tab/>
            </w:r>
            <w:r w:rsidR="00A62162" w:rsidRPr="00377713">
              <w:rPr>
                <w:rStyle w:val="Hyperlink"/>
              </w:rPr>
              <w:t>Basic principles</w:t>
            </w:r>
            <w:r w:rsidR="00A62162">
              <w:rPr>
                <w:webHidden/>
              </w:rPr>
              <w:tab/>
            </w:r>
            <w:r w:rsidR="00A62162">
              <w:rPr>
                <w:webHidden/>
              </w:rPr>
              <w:fldChar w:fldCharType="begin"/>
            </w:r>
            <w:r w:rsidR="00A62162">
              <w:rPr>
                <w:webHidden/>
              </w:rPr>
              <w:instrText xml:space="preserve"> PAGEREF _Toc94773064 \h </w:instrText>
            </w:r>
            <w:r w:rsidR="00A62162">
              <w:rPr>
                <w:webHidden/>
              </w:rPr>
            </w:r>
            <w:r w:rsidR="00A62162">
              <w:rPr>
                <w:webHidden/>
              </w:rPr>
              <w:fldChar w:fldCharType="separate"/>
            </w:r>
            <w:r w:rsidR="00A62162">
              <w:rPr>
                <w:webHidden/>
              </w:rPr>
              <w:t>4</w:t>
            </w:r>
            <w:r w:rsidR="00A62162">
              <w:rPr>
                <w:webHidden/>
              </w:rPr>
              <w:fldChar w:fldCharType="end"/>
            </w:r>
          </w:hyperlink>
        </w:p>
        <w:p w14:paraId="5F168776" w14:textId="4F1E29E3" w:rsidR="00A62162" w:rsidRDefault="003A7F61">
          <w:pPr>
            <w:pStyle w:val="TOC2"/>
            <w:rPr>
              <w:rFonts w:asciiTheme="minorHAnsi" w:eastAsiaTheme="minorEastAsia" w:hAnsiTheme="minorHAnsi" w:cstheme="minorBidi"/>
              <w:spacing w:val="0"/>
              <w:sz w:val="22"/>
              <w:szCs w:val="22"/>
            </w:rPr>
          </w:pPr>
          <w:hyperlink w:anchor="_Toc94773065" w:history="1">
            <w:r w:rsidR="00A62162" w:rsidRPr="00377713">
              <w:rPr>
                <w:rStyle w:val="Hyperlink"/>
              </w:rPr>
              <w:t>1.4</w:t>
            </w:r>
            <w:r w:rsidR="00A62162">
              <w:rPr>
                <w:rFonts w:asciiTheme="minorHAnsi" w:eastAsiaTheme="minorEastAsia" w:hAnsiTheme="minorHAnsi" w:cstheme="minorBidi"/>
                <w:spacing w:val="0"/>
                <w:sz w:val="22"/>
                <w:szCs w:val="22"/>
              </w:rPr>
              <w:tab/>
            </w:r>
            <w:r w:rsidR="00A62162" w:rsidRPr="00377713">
              <w:rPr>
                <w:rStyle w:val="Hyperlink"/>
              </w:rPr>
              <w:t>Operation of technical framework</w:t>
            </w:r>
            <w:r w:rsidR="00A62162">
              <w:rPr>
                <w:webHidden/>
              </w:rPr>
              <w:tab/>
            </w:r>
            <w:r w:rsidR="00A62162">
              <w:rPr>
                <w:webHidden/>
              </w:rPr>
              <w:fldChar w:fldCharType="begin"/>
            </w:r>
            <w:r w:rsidR="00A62162">
              <w:rPr>
                <w:webHidden/>
              </w:rPr>
              <w:instrText xml:space="preserve"> PAGEREF _Toc94773065 \h </w:instrText>
            </w:r>
            <w:r w:rsidR="00A62162">
              <w:rPr>
                <w:webHidden/>
              </w:rPr>
            </w:r>
            <w:r w:rsidR="00A62162">
              <w:rPr>
                <w:webHidden/>
              </w:rPr>
              <w:fldChar w:fldCharType="separate"/>
            </w:r>
            <w:r w:rsidR="00A62162">
              <w:rPr>
                <w:webHidden/>
              </w:rPr>
              <w:t>5</w:t>
            </w:r>
            <w:r w:rsidR="00A62162">
              <w:rPr>
                <w:webHidden/>
              </w:rPr>
              <w:fldChar w:fldCharType="end"/>
            </w:r>
          </w:hyperlink>
        </w:p>
        <w:p w14:paraId="7E57B3D9" w14:textId="2CB11B8D" w:rsidR="00A62162" w:rsidRDefault="003A7F61">
          <w:pPr>
            <w:pStyle w:val="TOC2"/>
            <w:rPr>
              <w:rFonts w:asciiTheme="minorHAnsi" w:eastAsiaTheme="minorEastAsia" w:hAnsiTheme="minorHAnsi" w:cstheme="minorBidi"/>
              <w:spacing w:val="0"/>
              <w:sz w:val="22"/>
              <w:szCs w:val="22"/>
            </w:rPr>
          </w:pPr>
          <w:hyperlink w:anchor="_Toc94773066" w:history="1">
            <w:r w:rsidR="00A62162" w:rsidRPr="00377713">
              <w:rPr>
                <w:rStyle w:val="Hyperlink"/>
              </w:rPr>
              <w:t>1.5</w:t>
            </w:r>
            <w:r w:rsidR="00A62162">
              <w:rPr>
                <w:rFonts w:asciiTheme="minorHAnsi" w:eastAsiaTheme="minorEastAsia" w:hAnsiTheme="minorHAnsi" w:cstheme="minorBidi"/>
                <w:spacing w:val="0"/>
                <w:sz w:val="22"/>
                <w:szCs w:val="22"/>
              </w:rPr>
              <w:tab/>
            </w:r>
            <w:r w:rsidR="00A62162" w:rsidRPr="00377713">
              <w:rPr>
                <w:rStyle w:val="Hyperlink"/>
              </w:rPr>
              <w:t>RALI contents and structure</w:t>
            </w:r>
            <w:r w:rsidR="00A62162">
              <w:rPr>
                <w:webHidden/>
              </w:rPr>
              <w:tab/>
            </w:r>
            <w:r w:rsidR="00A62162">
              <w:rPr>
                <w:webHidden/>
              </w:rPr>
              <w:fldChar w:fldCharType="begin"/>
            </w:r>
            <w:r w:rsidR="00A62162">
              <w:rPr>
                <w:webHidden/>
              </w:rPr>
              <w:instrText xml:space="preserve"> PAGEREF _Toc94773066 \h </w:instrText>
            </w:r>
            <w:r w:rsidR="00A62162">
              <w:rPr>
                <w:webHidden/>
              </w:rPr>
            </w:r>
            <w:r w:rsidR="00A62162">
              <w:rPr>
                <w:webHidden/>
              </w:rPr>
              <w:fldChar w:fldCharType="separate"/>
            </w:r>
            <w:r w:rsidR="00A62162">
              <w:rPr>
                <w:webHidden/>
              </w:rPr>
              <w:t>7</w:t>
            </w:r>
            <w:r w:rsidR="00A62162">
              <w:rPr>
                <w:webHidden/>
              </w:rPr>
              <w:fldChar w:fldCharType="end"/>
            </w:r>
          </w:hyperlink>
        </w:p>
        <w:p w14:paraId="059B80F3" w14:textId="3D8FE1A4" w:rsidR="00A62162" w:rsidRDefault="003A7F61">
          <w:pPr>
            <w:pStyle w:val="TOC1"/>
            <w:tabs>
              <w:tab w:val="left" w:pos="885"/>
            </w:tabs>
            <w:rPr>
              <w:rFonts w:asciiTheme="minorHAnsi" w:eastAsiaTheme="minorEastAsia" w:hAnsiTheme="minorHAnsi" w:cstheme="minorBidi"/>
              <w:b w:val="0"/>
              <w:spacing w:val="0"/>
              <w:sz w:val="22"/>
              <w:szCs w:val="22"/>
            </w:rPr>
          </w:pPr>
          <w:hyperlink w:anchor="_Toc94773067" w:history="1">
            <w:r w:rsidR="00A62162" w:rsidRPr="00377713">
              <w:rPr>
                <w:rStyle w:val="Hyperlink"/>
                <w14:scene3d>
                  <w14:camera w14:prst="orthographicFront"/>
                  <w14:lightRig w14:rig="threePt" w14:dir="t">
                    <w14:rot w14:lat="0" w14:lon="0" w14:rev="0"/>
                  </w14:lightRig>
                </w14:scene3d>
              </w:rPr>
              <w:t>2</w:t>
            </w:r>
            <w:r w:rsidR="00A62162">
              <w:rPr>
                <w:rFonts w:asciiTheme="minorHAnsi" w:eastAsiaTheme="minorEastAsia" w:hAnsiTheme="minorHAnsi" w:cstheme="minorBidi"/>
                <w:b w:val="0"/>
                <w:spacing w:val="0"/>
                <w:sz w:val="22"/>
                <w:szCs w:val="22"/>
              </w:rPr>
              <w:tab/>
            </w:r>
            <w:r w:rsidR="00A62162" w:rsidRPr="00377713">
              <w:rPr>
                <w:rStyle w:val="Hyperlink"/>
              </w:rPr>
              <w:t>Licensing</w:t>
            </w:r>
            <w:r w:rsidR="00A62162">
              <w:rPr>
                <w:webHidden/>
              </w:rPr>
              <w:tab/>
            </w:r>
            <w:r w:rsidR="00A62162">
              <w:rPr>
                <w:webHidden/>
              </w:rPr>
              <w:fldChar w:fldCharType="begin"/>
            </w:r>
            <w:r w:rsidR="00A62162">
              <w:rPr>
                <w:webHidden/>
              </w:rPr>
              <w:instrText xml:space="preserve"> PAGEREF _Toc94773067 \h </w:instrText>
            </w:r>
            <w:r w:rsidR="00A62162">
              <w:rPr>
                <w:webHidden/>
              </w:rPr>
            </w:r>
            <w:r w:rsidR="00A62162">
              <w:rPr>
                <w:webHidden/>
              </w:rPr>
              <w:fldChar w:fldCharType="separate"/>
            </w:r>
            <w:r w:rsidR="00A62162">
              <w:rPr>
                <w:webHidden/>
              </w:rPr>
              <w:t>11</w:t>
            </w:r>
            <w:r w:rsidR="00A62162">
              <w:rPr>
                <w:webHidden/>
              </w:rPr>
              <w:fldChar w:fldCharType="end"/>
            </w:r>
          </w:hyperlink>
        </w:p>
        <w:p w14:paraId="39AE9A28" w14:textId="734D6EFF" w:rsidR="00A62162" w:rsidRDefault="003A7F61">
          <w:pPr>
            <w:pStyle w:val="TOC2"/>
            <w:rPr>
              <w:rFonts w:asciiTheme="minorHAnsi" w:eastAsiaTheme="minorEastAsia" w:hAnsiTheme="minorHAnsi" w:cstheme="minorBidi"/>
              <w:spacing w:val="0"/>
              <w:sz w:val="22"/>
              <w:szCs w:val="22"/>
            </w:rPr>
          </w:pPr>
          <w:hyperlink w:anchor="_Toc94773068" w:history="1">
            <w:r w:rsidR="00A62162" w:rsidRPr="00377713">
              <w:rPr>
                <w:rStyle w:val="Hyperlink"/>
              </w:rPr>
              <w:t>2.1</w:t>
            </w:r>
            <w:r w:rsidR="00A62162">
              <w:rPr>
                <w:rFonts w:asciiTheme="minorHAnsi" w:eastAsiaTheme="minorEastAsia" w:hAnsiTheme="minorHAnsi" w:cstheme="minorBidi"/>
                <w:spacing w:val="0"/>
                <w:sz w:val="22"/>
                <w:szCs w:val="22"/>
              </w:rPr>
              <w:tab/>
            </w:r>
            <w:r w:rsidR="00A62162" w:rsidRPr="00377713">
              <w:rPr>
                <w:rStyle w:val="Hyperlink"/>
              </w:rPr>
              <w:t>Overview of Licensing</w:t>
            </w:r>
            <w:r w:rsidR="00A62162">
              <w:rPr>
                <w:webHidden/>
              </w:rPr>
              <w:tab/>
            </w:r>
            <w:r w:rsidR="00A62162">
              <w:rPr>
                <w:webHidden/>
              </w:rPr>
              <w:fldChar w:fldCharType="begin"/>
            </w:r>
            <w:r w:rsidR="00A62162">
              <w:rPr>
                <w:webHidden/>
              </w:rPr>
              <w:instrText xml:space="preserve"> PAGEREF _Toc94773068 \h </w:instrText>
            </w:r>
            <w:r w:rsidR="00A62162">
              <w:rPr>
                <w:webHidden/>
              </w:rPr>
            </w:r>
            <w:r w:rsidR="00A62162">
              <w:rPr>
                <w:webHidden/>
              </w:rPr>
              <w:fldChar w:fldCharType="separate"/>
            </w:r>
            <w:r w:rsidR="00A62162">
              <w:rPr>
                <w:webHidden/>
              </w:rPr>
              <w:t>11</w:t>
            </w:r>
            <w:r w:rsidR="00A62162">
              <w:rPr>
                <w:webHidden/>
              </w:rPr>
              <w:fldChar w:fldCharType="end"/>
            </w:r>
          </w:hyperlink>
        </w:p>
        <w:p w14:paraId="7A5CCCFD" w14:textId="0615EB81" w:rsidR="00A62162" w:rsidRDefault="003A7F61">
          <w:pPr>
            <w:pStyle w:val="TOC2"/>
            <w:rPr>
              <w:rFonts w:asciiTheme="minorHAnsi" w:eastAsiaTheme="minorEastAsia" w:hAnsiTheme="minorHAnsi" w:cstheme="minorBidi"/>
              <w:spacing w:val="0"/>
              <w:sz w:val="22"/>
              <w:szCs w:val="22"/>
            </w:rPr>
          </w:pPr>
          <w:hyperlink w:anchor="_Toc94773069" w:history="1">
            <w:r w:rsidR="00A62162" w:rsidRPr="00377713">
              <w:rPr>
                <w:rStyle w:val="Hyperlink"/>
              </w:rPr>
              <w:t>2.2</w:t>
            </w:r>
            <w:r w:rsidR="00A62162">
              <w:rPr>
                <w:rFonts w:asciiTheme="minorHAnsi" w:eastAsiaTheme="minorEastAsia" w:hAnsiTheme="minorHAnsi" w:cstheme="minorBidi"/>
                <w:spacing w:val="0"/>
                <w:sz w:val="22"/>
                <w:szCs w:val="22"/>
              </w:rPr>
              <w:tab/>
            </w:r>
            <w:r w:rsidR="00A62162" w:rsidRPr="00377713">
              <w:rPr>
                <w:rStyle w:val="Hyperlink"/>
              </w:rPr>
              <w:t>Licence conditions</w:t>
            </w:r>
            <w:r w:rsidR="00A62162">
              <w:rPr>
                <w:webHidden/>
              </w:rPr>
              <w:tab/>
            </w:r>
            <w:r w:rsidR="00A62162">
              <w:rPr>
                <w:webHidden/>
              </w:rPr>
              <w:fldChar w:fldCharType="begin"/>
            </w:r>
            <w:r w:rsidR="00A62162">
              <w:rPr>
                <w:webHidden/>
              </w:rPr>
              <w:instrText xml:space="preserve"> PAGEREF _Toc94773069 \h </w:instrText>
            </w:r>
            <w:r w:rsidR="00A62162">
              <w:rPr>
                <w:webHidden/>
              </w:rPr>
            </w:r>
            <w:r w:rsidR="00A62162">
              <w:rPr>
                <w:webHidden/>
              </w:rPr>
              <w:fldChar w:fldCharType="separate"/>
            </w:r>
            <w:r w:rsidR="00A62162">
              <w:rPr>
                <w:webHidden/>
              </w:rPr>
              <w:t>11</w:t>
            </w:r>
            <w:r w:rsidR="00A62162">
              <w:rPr>
                <w:webHidden/>
              </w:rPr>
              <w:fldChar w:fldCharType="end"/>
            </w:r>
          </w:hyperlink>
        </w:p>
        <w:p w14:paraId="55310BA8" w14:textId="5ADFEE61" w:rsidR="00A62162" w:rsidRDefault="003A7F61">
          <w:pPr>
            <w:pStyle w:val="TOC2"/>
            <w:rPr>
              <w:rFonts w:asciiTheme="minorHAnsi" w:eastAsiaTheme="minorEastAsia" w:hAnsiTheme="minorHAnsi" w:cstheme="minorBidi"/>
              <w:spacing w:val="0"/>
              <w:sz w:val="22"/>
              <w:szCs w:val="22"/>
            </w:rPr>
          </w:pPr>
          <w:hyperlink w:anchor="_Toc94773070" w:history="1">
            <w:r w:rsidR="00A62162" w:rsidRPr="00377713">
              <w:rPr>
                <w:rStyle w:val="Hyperlink"/>
              </w:rPr>
              <w:t>2.3</w:t>
            </w:r>
            <w:r w:rsidR="00A62162">
              <w:rPr>
                <w:rFonts w:asciiTheme="minorHAnsi" w:eastAsiaTheme="minorEastAsia" w:hAnsiTheme="minorHAnsi" w:cstheme="minorBidi"/>
                <w:spacing w:val="0"/>
                <w:sz w:val="22"/>
                <w:szCs w:val="22"/>
              </w:rPr>
              <w:tab/>
            </w:r>
            <w:r w:rsidR="00A62162" w:rsidRPr="00377713">
              <w:rPr>
                <w:rStyle w:val="Hyperlink"/>
              </w:rPr>
              <w:t>AWL issue process</w:t>
            </w:r>
            <w:r w:rsidR="00A62162">
              <w:rPr>
                <w:webHidden/>
              </w:rPr>
              <w:tab/>
            </w:r>
            <w:r w:rsidR="00A62162">
              <w:rPr>
                <w:webHidden/>
              </w:rPr>
              <w:fldChar w:fldCharType="begin"/>
            </w:r>
            <w:r w:rsidR="00A62162">
              <w:rPr>
                <w:webHidden/>
              </w:rPr>
              <w:instrText xml:space="preserve"> PAGEREF _Toc94773070 \h </w:instrText>
            </w:r>
            <w:r w:rsidR="00A62162">
              <w:rPr>
                <w:webHidden/>
              </w:rPr>
            </w:r>
            <w:r w:rsidR="00A62162">
              <w:rPr>
                <w:webHidden/>
              </w:rPr>
              <w:fldChar w:fldCharType="separate"/>
            </w:r>
            <w:r w:rsidR="00A62162">
              <w:rPr>
                <w:webHidden/>
              </w:rPr>
              <w:t>11</w:t>
            </w:r>
            <w:r w:rsidR="00A62162">
              <w:rPr>
                <w:webHidden/>
              </w:rPr>
              <w:fldChar w:fldCharType="end"/>
            </w:r>
          </w:hyperlink>
        </w:p>
        <w:p w14:paraId="55990EB6" w14:textId="31402F50" w:rsidR="00A62162" w:rsidRDefault="003A7F61">
          <w:pPr>
            <w:pStyle w:val="TOC3"/>
            <w:tabs>
              <w:tab w:val="left" w:pos="885"/>
            </w:tabs>
            <w:rPr>
              <w:rFonts w:asciiTheme="minorHAnsi" w:eastAsiaTheme="minorEastAsia" w:hAnsiTheme="minorHAnsi" w:cstheme="minorBidi"/>
            </w:rPr>
          </w:pPr>
          <w:hyperlink w:anchor="_Toc94773071" w:history="1">
            <w:r w:rsidR="00A62162" w:rsidRPr="00377713">
              <w:rPr>
                <w:rStyle w:val="Hyperlink"/>
                <w14:scene3d>
                  <w14:camera w14:prst="orthographicFront"/>
                  <w14:lightRig w14:rig="threePt" w14:dir="t">
                    <w14:rot w14:lat="0" w14:lon="0" w14:rev="0"/>
                  </w14:lightRig>
                </w14:scene3d>
              </w:rPr>
              <w:t>2.3.1</w:t>
            </w:r>
            <w:r w:rsidR="00A62162">
              <w:rPr>
                <w:rFonts w:asciiTheme="minorHAnsi" w:eastAsiaTheme="minorEastAsia" w:hAnsiTheme="minorHAnsi" w:cstheme="minorBidi"/>
              </w:rPr>
              <w:tab/>
            </w:r>
            <w:r w:rsidR="00A62162" w:rsidRPr="00377713">
              <w:rPr>
                <w:rStyle w:val="Hyperlink"/>
              </w:rPr>
              <w:t>Issuing instructions</w:t>
            </w:r>
            <w:r w:rsidR="00A62162">
              <w:rPr>
                <w:webHidden/>
              </w:rPr>
              <w:tab/>
            </w:r>
            <w:r w:rsidR="00A62162">
              <w:rPr>
                <w:webHidden/>
              </w:rPr>
              <w:fldChar w:fldCharType="begin"/>
            </w:r>
            <w:r w:rsidR="00A62162">
              <w:rPr>
                <w:webHidden/>
              </w:rPr>
              <w:instrText xml:space="preserve"> PAGEREF _Toc94773071 \h </w:instrText>
            </w:r>
            <w:r w:rsidR="00A62162">
              <w:rPr>
                <w:webHidden/>
              </w:rPr>
            </w:r>
            <w:r w:rsidR="00A62162">
              <w:rPr>
                <w:webHidden/>
              </w:rPr>
              <w:fldChar w:fldCharType="separate"/>
            </w:r>
            <w:r w:rsidR="00A62162">
              <w:rPr>
                <w:webHidden/>
              </w:rPr>
              <w:t>11</w:t>
            </w:r>
            <w:r w:rsidR="00A62162">
              <w:rPr>
                <w:webHidden/>
              </w:rPr>
              <w:fldChar w:fldCharType="end"/>
            </w:r>
          </w:hyperlink>
        </w:p>
        <w:p w14:paraId="6BD63E6C" w14:textId="1367519C" w:rsidR="00A62162" w:rsidRDefault="003A7F61">
          <w:pPr>
            <w:pStyle w:val="TOC3"/>
            <w:tabs>
              <w:tab w:val="left" w:pos="885"/>
            </w:tabs>
            <w:rPr>
              <w:rFonts w:asciiTheme="minorHAnsi" w:eastAsiaTheme="minorEastAsia" w:hAnsiTheme="minorHAnsi" w:cstheme="minorBidi"/>
            </w:rPr>
          </w:pPr>
          <w:hyperlink w:anchor="_Toc94773072" w:history="1">
            <w:r w:rsidR="00A62162" w:rsidRPr="00377713">
              <w:rPr>
                <w:rStyle w:val="Hyperlink"/>
                <w14:scene3d>
                  <w14:camera w14:prst="orthographicFront"/>
                  <w14:lightRig w14:rig="threePt" w14:dir="t">
                    <w14:rot w14:lat="0" w14:lon="0" w14:rev="0"/>
                  </w14:lightRig>
                </w14:scene3d>
              </w:rPr>
              <w:t>2.3.2</w:t>
            </w:r>
            <w:r w:rsidR="00A62162">
              <w:rPr>
                <w:rFonts w:asciiTheme="minorHAnsi" w:eastAsiaTheme="minorEastAsia" w:hAnsiTheme="minorHAnsi" w:cstheme="minorBidi"/>
              </w:rPr>
              <w:tab/>
            </w:r>
            <w:r w:rsidR="00A62162" w:rsidRPr="00377713">
              <w:rPr>
                <w:rStyle w:val="Hyperlink"/>
              </w:rPr>
              <w:t>Channel raster</w:t>
            </w:r>
            <w:r w:rsidR="00A62162">
              <w:rPr>
                <w:webHidden/>
              </w:rPr>
              <w:tab/>
            </w:r>
            <w:r w:rsidR="00A62162">
              <w:rPr>
                <w:webHidden/>
              </w:rPr>
              <w:fldChar w:fldCharType="begin"/>
            </w:r>
            <w:r w:rsidR="00A62162">
              <w:rPr>
                <w:webHidden/>
              </w:rPr>
              <w:instrText xml:space="preserve"> PAGEREF _Toc94773072 \h </w:instrText>
            </w:r>
            <w:r w:rsidR="00A62162">
              <w:rPr>
                <w:webHidden/>
              </w:rPr>
            </w:r>
            <w:r w:rsidR="00A62162">
              <w:rPr>
                <w:webHidden/>
              </w:rPr>
              <w:fldChar w:fldCharType="separate"/>
            </w:r>
            <w:r w:rsidR="00A62162">
              <w:rPr>
                <w:webHidden/>
              </w:rPr>
              <w:t>12</w:t>
            </w:r>
            <w:r w:rsidR="00A62162">
              <w:rPr>
                <w:webHidden/>
              </w:rPr>
              <w:fldChar w:fldCharType="end"/>
            </w:r>
          </w:hyperlink>
        </w:p>
        <w:p w14:paraId="15259B11" w14:textId="39EEB8E5" w:rsidR="00A62162" w:rsidRDefault="003A7F61">
          <w:pPr>
            <w:pStyle w:val="TOC3"/>
            <w:tabs>
              <w:tab w:val="left" w:pos="885"/>
            </w:tabs>
            <w:rPr>
              <w:rFonts w:asciiTheme="minorHAnsi" w:eastAsiaTheme="minorEastAsia" w:hAnsiTheme="minorHAnsi" w:cstheme="minorBidi"/>
            </w:rPr>
          </w:pPr>
          <w:hyperlink w:anchor="_Toc94773073" w:history="1">
            <w:r w:rsidR="00A62162" w:rsidRPr="00377713">
              <w:rPr>
                <w:rStyle w:val="Hyperlink"/>
                <w14:scene3d>
                  <w14:camera w14:prst="orthographicFront"/>
                  <w14:lightRig w14:rig="threePt" w14:dir="t">
                    <w14:rot w14:lat="0" w14:lon="0" w14:rev="0"/>
                  </w14:lightRig>
                </w14:scene3d>
              </w:rPr>
              <w:t>2.3.3</w:t>
            </w:r>
            <w:r w:rsidR="00A62162">
              <w:rPr>
                <w:rFonts w:asciiTheme="minorHAnsi" w:eastAsiaTheme="minorEastAsia" w:hAnsiTheme="minorHAnsi" w:cstheme="minorBidi"/>
              </w:rPr>
              <w:tab/>
            </w:r>
            <w:r w:rsidR="00A62162" w:rsidRPr="00377713">
              <w:rPr>
                <w:rStyle w:val="Hyperlink"/>
              </w:rPr>
              <w:t>Assignment priority</w:t>
            </w:r>
            <w:r w:rsidR="00A62162">
              <w:rPr>
                <w:webHidden/>
              </w:rPr>
              <w:tab/>
            </w:r>
            <w:r w:rsidR="00A62162">
              <w:rPr>
                <w:webHidden/>
              </w:rPr>
              <w:fldChar w:fldCharType="begin"/>
            </w:r>
            <w:r w:rsidR="00A62162">
              <w:rPr>
                <w:webHidden/>
              </w:rPr>
              <w:instrText xml:space="preserve"> PAGEREF _Toc94773073 \h </w:instrText>
            </w:r>
            <w:r w:rsidR="00A62162">
              <w:rPr>
                <w:webHidden/>
              </w:rPr>
            </w:r>
            <w:r w:rsidR="00A62162">
              <w:rPr>
                <w:webHidden/>
              </w:rPr>
              <w:fldChar w:fldCharType="separate"/>
            </w:r>
            <w:r w:rsidR="00A62162">
              <w:rPr>
                <w:webHidden/>
              </w:rPr>
              <w:t>13</w:t>
            </w:r>
            <w:r w:rsidR="00A62162">
              <w:rPr>
                <w:webHidden/>
              </w:rPr>
              <w:fldChar w:fldCharType="end"/>
            </w:r>
          </w:hyperlink>
        </w:p>
        <w:p w14:paraId="5EBA88F5" w14:textId="3C618E58" w:rsidR="00A62162" w:rsidRDefault="003A7F61">
          <w:pPr>
            <w:pStyle w:val="TOC3"/>
            <w:tabs>
              <w:tab w:val="left" w:pos="885"/>
            </w:tabs>
            <w:rPr>
              <w:rFonts w:asciiTheme="minorHAnsi" w:eastAsiaTheme="minorEastAsia" w:hAnsiTheme="minorHAnsi" w:cstheme="minorBidi"/>
            </w:rPr>
          </w:pPr>
          <w:hyperlink w:anchor="_Toc94773074" w:history="1">
            <w:r w:rsidR="00A62162" w:rsidRPr="00377713">
              <w:rPr>
                <w:rStyle w:val="Hyperlink"/>
                <w14:scene3d>
                  <w14:camera w14:prst="orthographicFront"/>
                  <w14:lightRig w14:rig="threePt" w14:dir="t">
                    <w14:rot w14:lat="0" w14:lon="0" w14:rev="0"/>
                  </w14:lightRig>
                </w14:scene3d>
              </w:rPr>
              <w:t>2.3.4</w:t>
            </w:r>
            <w:r w:rsidR="00A62162">
              <w:rPr>
                <w:rFonts w:asciiTheme="minorHAnsi" w:eastAsiaTheme="minorEastAsia" w:hAnsiTheme="minorHAnsi" w:cstheme="minorBidi"/>
              </w:rPr>
              <w:tab/>
            </w:r>
            <w:r w:rsidR="00A62162" w:rsidRPr="00377713">
              <w:rPr>
                <w:rStyle w:val="Hyperlink"/>
              </w:rPr>
              <w:t>FSS-only licence condition</w:t>
            </w:r>
            <w:r w:rsidR="00A62162">
              <w:rPr>
                <w:webHidden/>
              </w:rPr>
              <w:tab/>
            </w:r>
            <w:r w:rsidR="00A62162">
              <w:rPr>
                <w:webHidden/>
              </w:rPr>
              <w:fldChar w:fldCharType="begin"/>
            </w:r>
            <w:r w:rsidR="00A62162">
              <w:rPr>
                <w:webHidden/>
              </w:rPr>
              <w:instrText xml:space="preserve"> PAGEREF _Toc94773074 \h </w:instrText>
            </w:r>
            <w:r w:rsidR="00A62162">
              <w:rPr>
                <w:webHidden/>
              </w:rPr>
            </w:r>
            <w:r w:rsidR="00A62162">
              <w:rPr>
                <w:webHidden/>
              </w:rPr>
              <w:fldChar w:fldCharType="separate"/>
            </w:r>
            <w:r w:rsidR="00A62162">
              <w:rPr>
                <w:webHidden/>
              </w:rPr>
              <w:t>13</w:t>
            </w:r>
            <w:r w:rsidR="00A62162">
              <w:rPr>
                <w:webHidden/>
              </w:rPr>
              <w:fldChar w:fldCharType="end"/>
            </w:r>
          </w:hyperlink>
        </w:p>
        <w:p w14:paraId="3524F82B" w14:textId="153A44CA" w:rsidR="00A62162" w:rsidRDefault="003A7F61">
          <w:pPr>
            <w:pStyle w:val="TOC2"/>
            <w:rPr>
              <w:rFonts w:asciiTheme="minorHAnsi" w:eastAsiaTheme="minorEastAsia" w:hAnsiTheme="minorHAnsi" w:cstheme="minorBidi"/>
              <w:spacing w:val="0"/>
              <w:sz w:val="22"/>
              <w:szCs w:val="22"/>
            </w:rPr>
          </w:pPr>
          <w:hyperlink w:anchor="_Toc94773075" w:history="1">
            <w:r w:rsidR="00A62162" w:rsidRPr="00377713">
              <w:rPr>
                <w:rStyle w:val="Hyperlink"/>
              </w:rPr>
              <w:t>2.4</w:t>
            </w:r>
            <w:r w:rsidR="00A62162">
              <w:rPr>
                <w:rFonts w:asciiTheme="minorHAnsi" w:eastAsiaTheme="minorEastAsia" w:hAnsiTheme="minorHAnsi" w:cstheme="minorBidi"/>
                <w:spacing w:val="0"/>
                <w:sz w:val="22"/>
                <w:szCs w:val="22"/>
              </w:rPr>
              <w:tab/>
            </w:r>
            <w:r w:rsidR="00A62162" w:rsidRPr="00377713">
              <w:rPr>
                <w:rStyle w:val="Hyperlink"/>
              </w:rPr>
              <w:t>Coexistence arrangements and advisory notes</w:t>
            </w:r>
            <w:r w:rsidR="00A62162">
              <w:rPr>
                <w:webHidden/>
              </w:rPr>
              <w:tab/>
            </w:r>
            <w:r w:rsidR="00A62162">
              <w:rPr>
                <w:webHidden/>
              </w:rPr>
              <w:fldChar w:fldCharType="begin"/>
            </w:r>
            <w:r w:rsidR="00A62162">
              <w:rPr>
                <w:webHidden/>
              </w:rPr>
              <w:instrText xml:space="preserve"> PAGEREF _Toc94773075 \h </w:instrText>
            </w:r>
            <w:r w:rsidR="00A62162">
              <w:rPr>
                <w:webHidden/>
              </w:rPr>
            </w:r>
            <w:r w:rsidR="00A62162">
              <w:rPr>
                <w:webHidden/>
              </w:rPr>
              <w:fldChar w:fldCharType="separate"/>
            </w:r>
            <w:r w:rsidR="00A62162">
              <w:rPr>
                <w:webHidden/>
              </w:rPr>
              <w:t>14</w:t>
            </w:r>
            <w:r w:rsidR="00A62162">
              <w:rPr>
                <w:webHidden/>
              </w:rPr>
              <w:fldChar w:fldCharType="end"/>
            </w:r>
          </w:hyperlink>
        </w:p>
        <w:p w14:paraId="6651694D" w14:textId="6042FEF8" w:rsidR="00A62162" w:rsidRDefault="003A7F61">
          <w:pPr>
            <w:pStyle w:val="TOC3"/>
            <w:tabs>
              <w:tab w:val="left" w:pos="885"/>
            </w:tabs>
            <w:rPr>
              <w:rFonts w:asciiTheme="minorHAnsi" w:eastAsiaTheme="minorEastAsia" w:hAnsiTheme="minorHAnsi" w:cstheme="minorBidi"/>
            </w:rPr>
          </w:pPr>
          <w:hyperlink w:anchor="_Toc94773076" w:history="1">
            <w:r w:rsidR="00A62162" w:rsidRPr="00377713">
              <w:rPr>
                <w:rStyle w:val="Hyperlink"/>
                <w14:scene3d>
                  <w14:camera w14:prst="orthographicFront"/>
                  <w14:lightRig w14:rig="threePt" w14:dir="t">
                    <w14:rot w14:lat="0" w14:lon="0" w14:rev="0"/>
                  </w14:lightRig>
                </w14:scene3d>
              </w:rPr>
              <w:t>2.4.1</w:t>
            </w:r>
            <w:r w:rsidR="00A62162">
              <w:rPr>
                <w:rFonts w:asciiTheme="minorHAnsi" w:eastAsiaTheme="minorEastAsia" w:hAnsiTheme="minorHAnsi" w:cstheme="minorBidi"/>
              </w:rPr>
              <w:tab/>
            </w:r>
            <w:r w:rsidR="00A62162" w:rsidRPr="00377713">
              <w:rPr>
                <w:rStyle w:val="Hyperlink"/>
              </w:rPr>
              <w:t>Coexistence with existing earth stations</w:t>
            </w:r>
            <w:r w:rsidR="00A62162">
              <w:rPr>
                <w:webHidden/>
              </w:rPr>
              <w:tab/>
            </w:r>
            <w:r w:rsidR="00A62162">
              <w:rPr>
                <w:webHidden/>
              </w:rPr>
              <w:fldChar w:fldCharType="begin"/>
            </w:r>
            <w:r w:rsidR="00A62162">
              <w:rPr>
                <w:webHidden/>
              </w:rPr>
              <w:instrText xml:space="preserve"> PAGEREF _Toc94773076 \h </w:instrText>
            </w:r>
            <w:r w:rsidR="00A62162">
              <w:rPr>
                <w:webHidden/>
              </w:rPr>
            </w:r>
            <w:r w:rsidR="00A62162">
              <w:rPr>
                <w:webHidden/>
              </w:rPr>
              <w:fldChar w:fldCharType="separate"/>
            </w:r>
            <w:r w:rsidR="00A62162">
              <w:rPr>
                <w:webHidden/>
              </w:rPr>
              <w:t>14</w:t>
            </w:r>
            <w:r w:rsidR="00A62162">
              <w:rPr>
                <w:webHidden/>
              </w:rPr>
              <w:fldChar w:fldCharType="end"/>
            </w:r>
          </w:hyperlink>
        </w:p>
        <w:p w14:paraId="5C41AD73" w14:textId="3A7A2912" w:rsidR="00A62162" w:rsidRDefault="003A7F61">
          <w:pPr>
            <w:pStyle w:val="TOC3"/>
            <w:tabs>
              <w:tab w:val="left" w:pos="885"/>
            </w:tabs>
            <w:rPr>
              <w:rFonts w:asciiTheme="minorHAnsi" w:eastAsiaTheme="minorEastAsia" w:hAnsiTheme="minorHAnsi" w:cstheme="minorBidi"/>
            </w:rPr>
          </w:pPr>
          <w:hyperlink w:anchor="_Toc94773077" w:history="1">
            <w:r w:rsidR="00A62162" w:rsidRPr="00377713">
              <w:rPr>
                <w:rStyle w:val="Hyperlink"/>
                <w14:scene3d>
                  <w14:camera w14:prst="orthographicFront"/>
                  <w14:lightRig w14:rig="threePt" w14:dir="t">
                    <w14:rot w14:lat="0" w14:lon="0" w14:rev="0"/>
                  </w14:lightRig>
                </w14:scene3d>
              </w:rPr>
              <w:t>2.4.2</w:t>
            </w:r>
            <w:r w:rsidR="00A62162">
              <w:rPr>
                <w:rFonts w:asciiTheme="minorHAnsi" w:eastAsiaTheme="minorEastAsia" w:hAnsiTheme="minorHAnsi" w:cstheme="minorBidi"/>
              </w:rPr>
              <w:tab/>
            </w:r>
            <w:r w:rsidR="00A62162" w:rsidRPr="00377713">
              <w:rPr>
                <w:rStyle w:val="Hyperlink"/>
              </w:rPr>
              <w:t>Coexistence with existing apparatus licensed services</w:t>
            </w:r>
            <w:r w:rsidR="00A62162">
              <w:rPr>
                <w:webHidden/>
              </w:rPr>
              <w:tab/>
            </w:r>
            <w:r w:rsidR="00A62162">
              <w:rPr>
                <w:webHidden/>
              </w:rPr>
              <w:fldChar w:fldCharType="begin"/>
            </w:r>
            <w:r w:rsidR="00A62162">
              <w:rPr>
                <w:webHidden/>
              </w:rPr>
              <w:instrText xml:space="preserve"> PAGEREF _Toc94773077 \h </w:instrText>
            </w:r>
            <w:r w:rsidR="00A62162">
              <w:rPr>
                <w:webHidden/>
              </w:rPr>
            </w:r>
            <w:r w:rsidR="00A62162">
              <w:rPr>
                <w:webHidden/>
              </w:rPr>
              <w:fldChar w:fldCharType="separate"/>
            </w:r>
            <w:r w:rsidR="00A62162">
              <w:rPr>
                <w:webHidden/>
              </w:rPr>
              <w:t>15</w:t>
            </w:r>
            <w:r w:rsidR="00A62162">
              <w:rPr>
                <w:webHidden/>
              </w:rPr>
              <w:fldChar w:fldCharType="end"/>
            </w:r>
          </w:hyperlink>
        </w:p>
        <w:p w14:paraId="5EA805FE" w14:textId="6EF47056" w:rsidR="00A62162" w:rsidRDefault="003A7F61">
          <w:pPr>
            <w:pStyle w:val="TOC3"/>
            <w:tabs>
              <w:tab w:val="left" w:pos="885"/>
            </w:tabs>
            <w:rPr>
              <w:rFonts w:asciiTheme="minorHAnsi" w:eastAsiaTheme="minorEastAsia" w:hAnsiTheme="minorHAnsi" w:cstheme="minorBidi"/>
            </w:rPr>
          </w:pPr>
          <w:hyperlink w:anchor="_Toc94773078" w:history="1">
            <w:r w:rsidR="00A62162" w:rsidRPr="00377713">
              <w:rPr>
                <w:rStyle w:val="Hyperlink"/>
                <w14:scene3d>
                  <w14:camera w14:prst="orthographicFront"/>
                  <w14:lightRig w14:rig="threePt" w14:dir="t">
                    <w14:rot w14:lat="0" w14:lon="0" w14:rev="0"/>
                  </w14:lightRig>
                </w14:scene3d>
              </w:rPr>
              <w:t>2.4.3</w:t>
            </w:r>
            <w:r w:rsidR="00A62162">
              <w:rPr>
                <w:rFonts w:asciiTheme="minorHAnsi" w:eastAsiaTheme="minorEastAsia" w:hAnsiTheme="minorHAnsi" w:cstheme="minorBidi"/>
              </w:rPr>
              <w:tab/>
            </w:r>
            <w:r w:rsidR="00A62162" w:rsidRPr="00377713">
              <w:rPr>
                <w:rStyle w:val="Hyperlink"/>
              </w:rPr>
              <w:t>Coexistence between earth stations and receivers operating in sole-primary frequency and areas</w:t>
            </w:r>
            <w:r w:rsidR="00A62162">
              <w:rPr>
                <w:webHidden/>
              </w:rPr>
              <w:tab/>
            </w:r>
            <w:r w:rsidR="00A62162">
              <w:rPr>
                <w:webHidden/>
              </w:rPr>
              <w:fldChar w:fldCharType="begin"/>
            </w:r>
            <w:r w:rsidR="00A62162">
              <w:rPr>
                <w:webHidden/>
              </w:rPr>
              <w:instrText xml:space="preserve"> PAGEREF _Toc94773078 \h </w:instrText>
            </w:r>
            <w:r w:rsidR="00A62162">
              <w:rPr>
                <w:webHidden/>
              </w:rPr>
            </w:r>
            <w:r w:rsidR="00A62162">
              <w:rPr>
                <w:webHidden/>
              </w:rPr>
              <w:fldChar w:fldCharType="separate"/>
            </w:r>
            <w:r w:rsidR="00A62162">
              <w:rPr>
                <w:webHidden/>
              </w:rPr>
              <w:t>16</w:t>
            </w:r>
            <w:r w:rsidR="00A62162">
              <w:rPr>
                <w:webHidden/>
              </w:rPr>
              <w:fldChar w:fldCharType="end"/>
            </w:r>
          </w:hyperlink>
        </w:p>
        <w:p w14:paraId="6EFACCB8" w14:textId="3B0A205B" w:rsidR="00A62162" w:rsidRDefault="003A7F61">
          <w:pPr>
            <w:pStyle w:val="TOC3"/>
            <w:tabs>
              <w:tab w:val="left" w:pos="885"/>
            </w:tabs>
            <w:rPr>
              <w:rFonts w:asciiTheme="minorHAnsi" w:eastAsiaTheme="minorEastAsia" w:hAnsiTheme="minorHAnsi" w:cstheme="minorBidi"/>
            </w:rPr>
          </w:pPr>
          <w:hyperlink w:anchor="_Toc94773079" w:history="1">
            <w:r w:rsidR="00A62162" w:rsidRPr="00377713">
              <w:rPr>
                <w:rStyle w:val="Hyperlink"/>
                <w14:scene3d>
                  <w14:camera w14:prst="orthographicFront"/>
                  <w14:lightRig w14:rig="threePt" w14:dir="t">
                    <w14:rot w14:lat="0" w14:lon="0" w14:rev="0"/>
                  </w14:lightRig>
                </w14:scene3d>
              </w:rPr>
              <w:t>2.4.4</w:t>
            </w:r>
            <w:r w:rsidR="00A62162">
              <w:rPr>
                <w:rFonts w:asciiTheme="minorHAnsi" w:eastAsiaTheme="minorEastAsia" w:hAnsiTheme="minorHAnsi" w:cstheme="minorBidi"/>
              </w:rPr>
              <w:tab/>
            </w:r>
            <w:r w:rsidR="00A62162" w:rsidRPr="00377713">
              <w:rPr>
                <w:rStyle w:val="Hyperlink"/>
              </w:rPr>
              <w:t>Coexistence between AWL devices operating in the same frequency and area (overlapping AWLs)</w:t>
            </w:r>
            <w:r w:rsidR="00A62162">
              <w:rPr>
                <w:webHidden/>
              </w:rPr>
              <w:tab/>
            </w:r>
            <w:r w:rsidR="00A62162">
              <w:rPr>
                <w:webHidden/>
              </w:rPr>
              <w:fldChar w:fldCharType="begin"/>
            </w:r>
            <w:r w:rsidR="00A62162">
              <w:rPr>
                <w:webHidden/>
              </w:rPr>
              <w:instrText xml:space="preserve"> PAGEREF _Toc94773079 \h </w:instrText>
            </w:r>
            <w:r w:rsidR="00A62162">
              <w:rPr>
                <w:webHidden/>
              </w:rPr>
            </w:r>
            <w:r w:rsidR="00A62162">
              <w:rPr>
                <w:webHidden/>
              </w:rPr>
              <w:fldChar w:fldCharType="separate"/>
            </w:r>
            <w:r w:rsidR="00A62162">
              <w:rPr>
                <w:webHidden/>
              </w:rPr>
              <w:t>16</w:t>
            </w:r>
            <w:r w:rsidR="00A62162">
              <w:rPr>
                <w:webHidden/>
              </w:rPr>
              <w:fldChar w:fldCharType="end"/>
            </w:r>
          </w:hyperlink>
        </w:p>
        <w:p w14:paraId="268C9AD1" w14:textId="3ECEA4D3" w:rsidR="00A62162" w:rsidRDefault="003A7F61">
          <w:pPr>
            <w:pStyle w:val="TOC3"/>
            <w:tabs>
              <w:tab w:val="left" w:pos="885"/>
            </w:tabs>
            <w:rPr>
              <w:rFonts w:asciiTheme="minorHAnsi" w:eastAsiaTheme="minorEastAsia" w:hAnsiTheme="minorHAnsi" w:cstheme="minorBidi"/>
            </w:rPr>
          </w:pPr>
          <w:hyperlink w:anchor="_Toc94773080" w:history="1">
            <w:r w:rsidR="00A62162" w:rsidRPr="00377713">
              <w:rPr>
                <w:rStyle w:val="Hyperlink"/>
                <w14:scene3d>
                  <w14:camera w14:prst="orthographicFront"/>
                  <w14:lightRig w14:rig="threePt" w14:dir="t">
                    <w14:rot w14:lat="0" w14:lon="0" w14:rev="0"/>
                  </w14:lightRig>
                </w14:scene3d>
              </w:rPr>
              <w:t>2.4.5</w:t>
            </w:r>
            <w:r w:rsidR="00A62162">
              <w:rPr>
                <w:rFonts w:asciiTheme="minorHAnsi" w:eastAsiaTheme="minorEastAsia" w:hAnsiTheme="minorHAnsi" w:cstheme="minorBidi"/>
              </w:rPr>
              <w:tab/>
            </w:r>
            <w:r w:rsidR="00A62162" w:rsidRPr="00377713">
              <w:rPr>
                <w:rStyle w:val="Hyperlink"/>
              </w:rPr>
              <w:t>Coexistence with class licensed devices</w:t>
            </w:r>
            <w:r w:rsidR="00A62162">
              <w:rPr>
                <w:webHidden/>
              </w:rPr>
              <w:tab/>
            </w:r>
            <w:r w:rsidR="00A62162">
              <w:rPr>
                <w:webHidden/>
              </w:rPr>
              <w:fldChar w:fldCharType="begin"/>
            </w:r>
            <w:r w:rsidR="00A62162">
              <w:rPr>
                <w:webHidden/>
              </w:rPr>
              <w:instrText xml:space="preserve"> PAGEREF _Toc94773080 \h </w:instrText>
            </w:r>
            <w:r w:rsidR="00A62162">
              <w:rPr>
                <w:webHidden/>
              </w:rPr>
            </w:r>
            <w:r w:rsidR="00A62162">
              <w:rPr>
                <w:webHidden/>
              </w:rPr>
              <w:fldChar w:fldCharType="separate"/>
            </w:r>
            <w:r w:rsidR="00A62162">
              <w:rPr>
                <w:webHidden/>
              </w:rPr>
              <w:t>17</w:t>
            </w:r>
            <w:r w:rsidR="00A62162">
              <w:rPr>
                <w:webHidden/>
              </w:rPr>
              <w:fldChar w:fldCharType="end"/>
            </w:r>
          </w:hyperlink>
        </w:p>
        <w:p w14:paraId="7B1C1405" w14:textId="527D0A31" w:rsidR="00A62162" w:rsidRDefault="003A7F61">
          <w:pPr>
            <w:pStyle w:val="TOC3"/>
            <w:tabs>
              <w:tab w:val="left" w:pos="885"/>
            </w:tabs>
            <w:rPr>
              <w:rFonts w:asciiTheme="minorHAnsi" w:eastAsiaTheme="minorEastAsia" w:hAnsiTheme="minorHAnsi" w:cstheme="minorBidi"/>
            </w:rPr>
          </w:pPr>
          <w:hyperlink w:anchor="_Toc94773081" w:history="1">
            <w:r w:rsidR="00A62162" w:rsidRPr="00377713">
              <w:rPr>
                <w:rStyle w:val="Hyperlink"/>
                <w14:scene3d>
                  <w14:camera w14:prst="orthographicFront"/>
                  <w14:lightRig w14:rig="threePt" w14:dir="t">
                    <w14:rot w14:lat="0" w14:lon="0" w14:rev="0"/>
                  </w14:lightRig>
                </w14:scene3d>
              </w:rPr>
              <w:t>2.4.6</w:t>
            </w:r>
            <w:r w:rsidR="00A62162">
              <w:rPr>
                <w:rFonts w:asciiTheme="minorHAnsi" w:eastAsiaTheme="minorEastAsia" w:hAnsiTheme="minorHAnsi" w:cstheme="minorBidi"/>
              </w:rPr>
              <w:tab/>
            </w:r>
            <w:r w:rsidR="00A62162" w:rsidRPr="00377713">
              <w:rPr>
                <w:rStyle w:val="Hyperlink"/>
              </w:rPr>
              <w:t>Notional receiver and compatibility requirement</w:t>
            </w:r>
            <w:r w:rsidR="00A62162">
              <w:rPr>
                <w:webHidden/>
              </w:rPr>
              <w:tab/>
            </w:r>
            <w:r w:rsidR="00A62162">
              <w:rPr>
                <w:webHidden/>
              </w:rPr>
              <w:fldChar w:fldCharType="begin"/>
            </w:r>
            <w:r w:rsidR="00A62162">
              <w:rPr>
                <w:webHidden/>
              </w:rPr>
              <w:instrText xml:space="preserve"> PAGEREF _Toc94773081 \h </w:instrText>
            </w:r>
            <w:r w:rsidR="00A62162">
              <w:rPr>
                <w:webHidden/>
              </w:rPr>
            </w:r>
            <w:r w:rsidR="00A62162">
              <w:rPr>
                <w:webHidden/>
              </w:rPr>
              <w:fldChar w:fldCharType="separate"/>
            </w:r>
            <w:r w:rsidR="00A62162">
              <w:rPr>
                <w:webHidden/>
              </w:rPr>
              <w:t>18</w:t>
            </w:r>
            <w:r w:rsidR="00A62162">
              <w:rPr>
                <w:webHidden/>
              </w:rPr>
              <w:fldChar w:fldCharType="end"/>
            </w:r>
          </w:hyperlink>
        </w:p>
        <w:p w14:paraId="7F390AAF" w14:textId="674D14E5" w:rsidR="00A62162" w:rsidRDefault="003A7F61">
          <w:pPr>
            <w:pStyle w:val="TOC1"/>
            <w:tabs>
              <w:tab w:val="left" w:pos="885"/>
            </w:tabs>
            <w:rPr>
              <w:rFonts w:asciiTheme="minorHAnsi" w:eastAsiaTheme="minorEastAsia" w:hAnsiTheme="minorHAnsi" w:cstheme="minorBidi"/>
              <w:b w:val="0"/>
              <w:spacing w:val="0"/>
              <w:sz w:val="22"/>
              <w:szCs w:val="22"/>
            </w:rPr>
          </w:pPr>
          <w:hyperlink w:anchor="_Toc94773082" w:history="1">
            <w:r w:rsidR="00A62162" w:rsidRPr="00377713">
              <w:rPr>
                <w:rStyle w:val="Hyperlink"/>
                <w14:scene3d>
                  <w14:camera w14:prst="orthographicFront"/>
                  <w14:lightRig w14:rig="threePt" w14:dir="t">
                    <w14:rot w14:lat="0" w14:lon="0" w14:rev="0"/>
                  </w14:lightRig>
                </w14:scene3d>
              </w:rPr>
              <w:t>3</w:t>
            </w:r>
            <w:r w:rsidR="00A62162">
              <w:rPr>
                <w:rFonts w:asciiTheme="minorHAnsi" w:eastAsiaTheme="minorEastAsia" w:hAnsiTheme="minorHAnsi" w:cstheme="minorBidi"/>
                <w:b w:val="0"/>
                <w:spacing w:val="0"/>
                <w:sz w:val="22"/>
                <w:szCs w:val="22"/>
              </w:rPr>
              <w:tab/>
            </w:r>
            <w:r w:rsidR="00A62162" w:rsidRPr="00377713">
              <w:rPr>
                <w:rStyle w:val="Hyperlink"/>
              </w:rPr>
              <w:t>Coordination procedures and pre-registration requirements</w:t>
            </w:r>
            <w:r w:rsidR="00A62162">
              <w:rPr>
                <w:webHidden/>
              </w:rPr>
              <w:tab/>
            </w:r>
            <w:r w:rsidR="00A62162">
              <w:rPr>
                <w:webHidden/>
              </w:rPr>
              <w:fldChar w:fldCharType="begin"/>
            </w:r>
            <w:r w:rsidR="00A62162">
              <w:rPr>
                <w:webHidden/>
              </w:rPr>
              <w:instrText xml:space="preserve"> PAGEREF _Toc94773082 \h </w:instrText>
            </w:r>
            <w:r w:rsidR="00A62162">
              <w:rPr>
                <w:webHidden/>
              </w:rPr>
            </w:r>
            <w:r w:rsidR="00A62162">
              <w:rPr>
                <w:webHidden/>
              </w:rPr>
              <w:fldChar w:fldCharType="separate"/>
            </w:r>
            <w:r w:rsidR="00A62162">
              <w:rPr>
                <w:webHidden/>
              </w:rPr>
              <w:t>20</w:t>
            </w:r>
            <w:r w:rsidR="00A62162">
              <w:rPr>
                <w:webHidden/>
              </w:rPr>
              <w:fldChar w:fldCharType="end"/>
            </w:r>
          </w:hyperlink>
        </w:p>
        <w:p w14:paraId="4A5BD9FA" w14:textId="2321E86B" w:rsidR="00A62162" w:rsidRDefault="003A7F61">
          <w:pPr>
            <w:pStyle w:val="TOC2"/>
            <w:rPr>
              <w:rFonts w:asciiTheme="minorHAnsi" w:eastAsiaTheme="minorEastAsia" w:hAnsiTheme="minorHAnsi" w:cstheme="minorBidi"/>
              <w:spacing w:val="0"/>
              <w:sz w:val="22"/>
              <w:szCs w:val="22"/>
            </w:rPr>
          </w:pPr>
          <w:hyperlink w:anchor="_Toc94773083" w:history="1">
            <w:r w:rsidR="00A62162" w:rsidRPr="00377713">
              <w:rPr>
                <w:rStyle w:val="Hyperlink"/>
              </w:rPr>
              <w:t>3.1</w:t>
            </w:r>
            <w:r w:rsidR="00A62162">
              <w:rPr>
                <w:rFonts w:asciiTheme="minorHAnsi" w:eastAsiaTheme="minorEastAsia" w:hAnsiTheme="minorHAnsi" w:cstheme="minorBidi"/>
                <w:spacing w:val="0"/>
                <w:sz w:val="22"/>
                <w:szCs w:val="22"/>
              </w:rPr>
              <w:tab/>
            </w:r>
            <w:r w:rsidR="00A62162" w:rsidRPr="00377713">
              <w:rPr>
                <w:rStyle w:val="Hyperlink"/>
              </w:rPr>
              <w:t>Coexistence with AWL and spectrum licensed receivers</w:t>
            </w:r>
            <w:r w:rsidR="00A62162">
              <w:rPr>
                <w:webHidden/>
              </w:rPr>
              <w:tab/>
            </w:r>
            <w:r w:rsidR="00A62162">
              <w:rPr>
                <w:webHidden/>
              </w:rPr>
              <w:fldChar w:fldCharType="begin"/>
            </w:r>
            <w:r w:rsidR="00A62162">
              <w:rPr>
                <w:webHidden/>
              </w:rPr>
              <w:instrText xml:space="preserve"> PAGEREF _Toc94773083 \h </w:instrText>
            </w:r>
            <w:r w:rsidR="00A62162">
              <w:rPr>
                <w:webHidden/>
              </w:rPr>
            </w:r>
            <w:r w:rsidR="00A62162">
              <w:rPr>
                <w:webHidden/>
              </w:rPr>
              <w:fldChar w:fldCharType="separate"/>
            </w:r>
            <w:r w:rsidR="00A62162">
              <w:rPr>
                <w:webHidden/>
              </w:rPr>
              <w:t>20</w:t>
            </w:r>
            <w:r w:rsidR="00A62162">
              <w:rPr>
                <w:webHidden/>
              </w:rPr>
              <w:fldChar w:fldCharType="end"/>
            </w:r>
          </w:hyperlink>
        </w:p>
        <w:p w14:paraId="40C63625" w14:textId="03FA2904" w:rsidR="00A62162" w:rsidRDefault="003A7F61">
          <w:pPr>
            <w:pStyle w:val="TOC2"/>
            <w:rPr>
              <w:rFonts w:asciiTheme="minorHAnsi" w:eastAsiaTheme="minorEastAsia" w:hAnsiTheme="minorHAnsi" w:cstheme="minorBidi"/>
              <w:spacing w:val="0"/>
              <w:sz w:val="22"/>
              <w:szCs w:val="22"/>
            </w:rPr>
          </w:pPr>
          <w:hyperlink w:anchor="_Toc94773084" w:history="1">
            <w:r w:rsidR="00A62162" w:rsidRPr="00377713">
              <w:rPr>
                <w:rStyle w:val="Hyperlink"/>
              </w:rPr>
              <w:t>3.2</w:t>
            </w:r>
            <w:r w:rsidR="00A62162">
              <w:rPr>
                <w:rFonts w:asciiTheme="minorHAnsi" w:eastAsiaTheme="minorEastAsia" w:hAnsiTheme="minorHAnsi" w:cstheme="minorBidi"/>
                <w:spacing w:val="0"/>
                <w:sz w:val="22"/>
                <w:szCs w:val="22"/>
              </w:rPr>
              <w:tab/>
            </w:r>
            <w:r w:rsidR="00A62162" w:rsidRPr="00377713">
              <w:rPr>
                <w:rStyle w:val="Hyperlink"/>
              </w:rPr>
              <w:t>Registration of FSS earth stations</w:t>
            </w:r>
            <w:r w:rsidR="00A62162">
              <w:rPr>
                <w:webHidden/>
              </w:rPr>
              <w:tab/>
            </w:r>
            <w:r w:rsidR="00A62162">
              <w:rPr>
                <w:webHidden/>
              </w:rPr>
              <w:fldChar w:fldCharType="begin"/>
            </w:r>
            <w:r w:rsidR="00A62162">
              <w:rPr>
                <w:webHidden/>
              </w:rPr>
              <w:instrText xml:space="preserve"> PAGEREF _Toc94773084 \h </w:instrText>
            </w:r>
            <w:r w:rsidR="00A62162">
              <w:rPr>
                <w:webHidden/>
              </w:rPr>
            </w:r>
            <w:r w:rsidR="00A62162">
              <w:rPr>
                <w:webHidden/>
              </w:rPr>
              <w:fldChar w:fldCharType="separate"/>
            </w:r>
            <w:r w:rsidR="00A62162">
              <w:rPr>
                <w:webHidden/>
              </w:rPr>
              <w:t>22</w:t>
            </w:r>
            <w:r w:rsidR="00A62162">
              <w:rPr>
                <w:webHidden/>
              </w:rPr>
              <w:fldChar w:fldCharType="end"/>
            </w:r>
          </w:hyperlink>
        </w:p>
        <w:p w14:paraId="0F17F99E" w14:textId="66BB595E" w:rsidR="00A62162" w:rsidRDefault="003A7F61">
          <w:pPr>
            <w:pStyle w:val="TOC3"/>
            <w:tabs>
              <w:tab w:val="left" w:pos="885"/>
            </w:tabs>
            <w:rPr>
              <w:rFonts w:asciiTheme="minorHAnsi" w:eastAsiaTheme="minorEastAsia" w:hAnsiTheme="minorHAnsi" w:cstheme="minorBidi"/>
            </w:rPr>
          </w:pPr>
          <w:hyperlink w:anchor="_Toc94773085" w:history="1">
            <w:r w:rsidR="00A62162" w:rsidRPr="00377713">
              <w:rPr>
                <w:rStyle w:val="Hyperlink"/>
                <w14:scene3d>
                  <w14:camera w14:prst="orthographicFront"/>
                  <w14:lightRig w14:rig="threePt" w14:dir="t">
                    <w14:rot w14:lat="0" w14:lon="0" w14:rev="0"/>
                  </w14:lightRig>
                </w14:scene3d>
              </w:rPr>
              <w:t>3.2.1</w:t>
            </w:r>
            <w:r w:rsidR="00A62162">
              <w:rPr>
                <w:rFonts w:asciiTheme="minorHAnsi" w:eastAsiaTheme="minorEastAsia" w:hAnsiTheme="minorHAnsi" w:cstheme="minorBidi"/>
              </w:rPr>
              <w:tab/>
            </w:r>
            <w:r w:rsidR="00A62162" w:rsidRPr="00377713">
              <w:rPr>
                <w:rStyle w:val="Hyperlink"/>
              </w:rPr>
              <w:t>Earth station antennas</w:t>
            </w:r>
            <w:r w:rsidR="00A62162">
              <w:rPr>
                <w:webHidden/>
              </w:rPr>
              <w:tab/>
            </w:r>
            <w:r w:rsidR="00A62162">
              <w:rPr>
                <w:webHidden/>
              </w:rPr>
              <w:fldChar w:fldCharType="begin"/>
            </w:r>
            <w:r w:rsidR="00A62162">
              <w:rPr>
                <w:webHidden/>
              </w:rPr>
              <w:instrText xml:space="preserve"> PAGEREF _Toc94773085 \h </w:instrText>
            </w:r>
            <w:r w:rsidR="00A62162">
              <w:rPr>
                <w:webHidden/>
              </w:rPr>
            </w:r>
            <w:r w:rsidR="00A62162">
              <w:rPr>
                <w:webHidden/>
              </w:rPr>
              <w:fldChar w:fldCharType="separate"/>
            </w:r>
            <w:r w:rsidR="00A62162">
              <w:rPr>
                <w:webHidden/>
              </w:rPr>
              <w:t>22</w:t>
            </w:r>
            <w:r w:rsidR="00A62162">
              <w:rPr>
                <w:webHidden/>
              </w:rPr>
              <w:fldChar w:fldCharType="end"/>
            </w:r>
          </w:hyperlink>
        </w:p>
        <w:p w14:paraId="25CFE383" w14:textId="2F784CFB" w:rsidR="00A62162" w:rsidRDefault="003A7F61">
          <w:pPr>
            <w:pStyle w:val="TOC2"/>
            <w:rPr>
              <w:rFonts w:asciiTheme="minorHAnsi" w:eastAsiaTheme="minorEastAsia" w:hAnsiTheme="minorHAnsi" w:cstheme="minorBidi"/>
              <w:spacing w:val="0"/>
              <w:sz w:val="22"/>
              <w:szCs w:val="22"/>
            </w:rPr>
          </w:pPr>
          <w:hyperlink w:anchor="_Toc94773086" w:history="1">
            <w:r w:rsidR="00A62162" w:rsidRPr="00377713">
              <w:rPr>
                <w:rStyle w:val="Hyperlink"/>
              </w:rPr>
              <w:t>3.3</w:t>
            </w:r>
            <w:r w:rsidR="00A62162">
              <w:rPr>
                <w:rFonts w:asciiTheme="minorHAnsi" w:eastAsiaTheme="minorEastAsia" w:hAnsiTheme="minorHAnsi" w:cstheme="minorBidi"/>
                <w:spacing w:val="0"/>
                <w:sz w:val="22"/>
                <w:szCs w:val="22"/>
              </w:rPr>
              <w:tab/>
            </w:r>
            <w:r w:rsidR="00A62162" w:rsidRPr="00377713">
              <w:rPr>
                <w:rStyle w:val="Hyperlink"/>
              </w:rPr>
              <w:t>Coordination at the geographic boundary</w:t>
            </w:r>
            <w:r w:rsidR="00A62162">
              <w:rPr>
                <w:webHidden/>
              </w:rPr>
              <w:tab/>
            </w:r>
            <w:r w:rsidR="00A62162">
              <w:rPr>
                <w:webHidden/>
              </w:rPr>
              <w:fldChar w:fldCharType="begin"/>
            </w:r>
            <w:r w:rsidR="00A62162">
              <w:rPr>
                <w:webHidden/>
              </w:rPr>
              <w:instrText xml:space="preserve"> PAGEREF _Toc94773086 \h </w:instrText>
            </w:r>
            <w:r w:rsidR="00A62162">
              <w:rPr>
                <w:webHidden/>
              </w:rPr>
            </w:r>
            <w:r w:rsidR="00A62162">
              <w:rPr>
                <w:webHidden/>
              </w:rPr>
              <w:fldChar w:fldCharType="separate"/>
            </w:r>
            <w:r w:rsidR="00A62162">
              <w:rPr>
                <w:webHidden/>
              </w:rPr>
              <w:t>23</w:t>
            </w:r>
            <w:r w:rsidR="00A62162">
              <w:rPr>
                <w:webHidden/>
              </w:rPr>
              <w:fldChar w:fldCharType="end"/>
            </w:r>
          </w:hyperlink>
        </w:p>
        <w:p w14:paraId="3357EC83" w14:textId="5D31CE30" w:rsidR="00A62162" w:rsidRDefault="003A7F61">
          <w:pPr>
            <w:pStyle w:val="TOC3"/>
            <w:tabs>
              <w:tab w:val="left" w:pos="885"/>
            </w:tabs>
            <w:rPr>
              <w:rFonts w:asciiTheme="minorHAnsi" w:eastAsiaTheme="minorEastAsia" w:hAnsiTheme="minorHAnsi" w:cstheme="minorBidi"/>
            </w:rPr>
          </w:pPr>
          <w:hyperlink w:anchor="_Toc94773087" w:history="1">
            <w:r w:rsidR="00A62162" w:rsidRPr="00377713">
              <w:rPr>
                <w:rStyle w:val="Hyperlink"/>
                <w14:scene3d>
                  <w14:camera w14:prst="orthographicFront"/>
                  <w14:lightRig w14:rig="threePt" w14:dir="t">
                    <w14:rot w14:lat="0" w14:lon="0" w14:rev="0"/>
                  </w14:lightRig>
                </w14:scene3d>
              </w:rPr>
              <w:t>3.3.1</w:t>
            </w:r>
            <w:r w:rsidR="00A62162">
              <w:rPr>
                <w:rFonts w:asciiTheme="minorHAnsi" w:eastAsiaTheme="minorEastAsia" w:hAnsiTheme="minorHAnsi" w:cstheme="minorBidi"/>
              </w:rPr>
              <w:tab/>
            </w:r>
            <w:r w:rsidR="00A62162" w:rsidRPr="00377713">
              <w:rPr>
                <w:rStyle w:val="Hyperlink"/>
              </w:rPr>
              <w:t>Coordination at the AWL boundary</w:t>
            </w:r>
            <w:r w:rsidR="00A62162">
              <w:rPr>
                <w:webHidden/>
              </w:rPr>
              <w:tab/>
            </w:r>
            <w:r w:rsidR="00A62162">
              <w:rPr>
                <w:webHidden/>
              </w:rPr>
              <w:fldChar w:fldCharType="begin"/>
            </w:r>
            <w:r w:rsidR="00A62162">
              <w:rPr>
                <w:webHidden/>
              </w:rPr>
              <w:instrText xml:space="preserve"> PAGEREF _Toc94773087 \h </w:instrText>
            </w:r>
            <w:r w:rsidR="00A62162">
              <w:rPr>
                <w:webHidden/>
              </w:rPr>
            </w:r>
            <w:r w:rsidR="00A62162">
              <w:rPr>
                <w:webHidden/>
              </w:rPr>
              <w:fldChar w:fldCharType="separate"/>
            </w:r>
            <w:r w:rsidR="00A62162">
              <w:rPr>
                <w:webHidden/>
              </w:rPr>
              <w:t>23</w:t>
            </w:r>
            <w:r w:rsidR="00A62162">
              <w:rPr>
                <w:webHidden/>
              </w:rPr>
              <w:fldChar w:fldCharType="end"/>
            </w:r>
          </w:hyperlink>
        </w:p>
        <w:p w14:paraId="4F1921D9" w14:textId="5F6F9610" w:rsidR="00A62162" w:rsidRDefault="003A7F61">
          <w:pPr>
            <w:pStyle w:val="TOC3"/>
            <w:tabs>
              <w:tab w:val="left" w:pos="885"/>
            </w:tabs>
            <w:rPr>
              <w:rFonts w:asciiTheme="minorHAnsi" w:eastAsiaTheme="minorEastAsia" w:hAnsiTheme="minorHAnsi" w:cstheme="minorBidi"/>
            </w:rPr>
          </w:pPr>
          <w:hyperlink w:anchor="_Toc94773088" w:history="1">
            <w:r w:rsidR="00A62162" w:rsidRPr="00377713">
              <w:rPr>
                <w:rStyle w:val="Hyperlink"/>
                <w14:scene3d>
                  <w14:camera w14:prst="orthographicFront"/>
                  <w14:lightRig w14:rig="threePt" w14:dir="t">
                    <w14:rot w14:lat="0" w14:lon="0" w14:rev="0"/>
                  </w14:lightRig>
                </w14:scene3d>
              </w:rPr>
              <w:t>3.3.2</w:t>
            </w:r>
            <w:r w:rsidR="00A62162">
              <w:rPr>
                <w:rFonts w:asciiTheme="minorHAnsi" w:eastAsiaTheme="minorEastAsia" w:hAnsiTheme="minorHAnsi" w:cstheme="minorBidi"/>
              </w:rPr>
              <w:tab/>
            </w:r>
            <w:r w:rsidR="00A62162" w:rsidRPr="00377713">
              <w:rPr>
                <w:rStyle w:val="Hyperlink"/>
              </w:rPr>
              <w:t>Coordination at the boundary of a 26 GHz band spectrum licence</w:t>
            </w:r>
            <w:r w:rsidR="00A62162">
              <w:rPr>
                <w:webHidden/>
              </w:rPr>
              <w:tab/>
            </w:r>
            <w:r w:rsidR="00A62162">
              <w:rPr>
                <w:webHidden/>
              </w:rPr>
              <w:fldChar w:fldCharType="begin"/>
            </w:r>
            <w:r w:rsidR="00A62162">
              <w:rPr>
                <w:webHidden/>
              </w:rPr>
              <w:instrText xml:space="preserve"> PAGEREF _Toc94773088 \h </w:instrText>
            </w:r>
            <w:r w:rsidR="00A62162">
              <w:rPr>
                <w:webHidden/>
              </w:rPr>
            </w:r>
            <w:r w:rsidR="00A62162">
              <w:rPr>
                <w:webHidden/>
              </w:rPr>
              <w:fldChar w:fldCharType="separate"/>
            </w:r>
            <w:r w:rsidR="00A62162">
              <w:rPr>
                <w:webHidden/>
              </w:rPr>
              <w:t>27</w:t>
            </w:r>
            <w:r w:rsidR="00A62162">
              <w:rPr>
                <w:webHidden/>
              </w:rPr>
              <w:fldChar w:fldCharType="end"/>
            </w:r>
          </w:hyperlink>
        </w:p>
        <w:p w14:paraId="12346DE2" w14:textId="7DB08FA8" w:rsidR="00A62162" w:rsidRDefault="003A7F61">
          <w:pPr>
            <w:pStyle w:val="TOC2"/>
            <w:rPr>
              <w:rFonts w:asciiTheme="minorHAnsi" w:eastAsiaTheme="minorEastAsia" w:hAnsiTheme="minorHAnsi" w:cstheme="minorBidi"/>
              <w:spacing w:val="0"/>
              <w:sz w:val="22"/>
              <w:szCs w:val="22"/>
            </w:rPr>
          </w:pPr>
          <w:hyperlink w:anchor="_Toc94773089" w:history="1">
            <w:r w:rsidR="00A62162" w:rsidRPr="00377713">
              <w:rPr>
                <w:rStyle w:val="Hyperlink"/>
              </w:rPr>
              <w:t>3.4</w:t>
            </w:r>
            <w:r w:rsidR="00A62162">
              <w:rPr>
                <w:rFonts w:asciiTheme="minorHAnsi" w:eastAsiaTheme="minorEastAsia" w:hAnsiTheme="minorHAnsi" w:cstheme="minorBidi"/>
                <w:spacing w:val="0"/>
                <w:sz w:val="22"/>
                <w:szCs w:val="22"/>
              </w:rPr>
              <w:tab/>
            </w:r>
            <w:r w:rsidR="00A62162" w:rsidRPr="00377713">
              <w:rPr>
                <w:rStyle w:val="Hyperlink"/>
              </w:rPr>
              <w:t>Coordination requirements with space research service (SRS) earth receive stations</w:t>
            </w:r>
            <w:r w:rsidR="00A62162">
              <w:rPr>
                <w:webHidden/>
              </w:rPr>
              <w:tab/>
            </w:r>
            <w:r w:rsidR="00A62162">
              <w:rPr>
                <w:webHidden/>
              </w:rPr>
              <w:fldChar w:fldCharType="begin"/>
            </w:r>
            <w:r w:rsidR="00A62162">
              <w:rPr>
                <w:webHidden/>
              </w:rPr>
              <w:instrText xml:space="preserve"> PAGEREF _Toc94773089 \h </w:instrText>
            </w:r>
            <w:r w:rsidR="00A62162">
              <w:rPr>
                <w:webHidden/>
              </w:rPr>
            </w:r>
            <w:r w:rsidR="00A62162">
              <w:rPr>
                <w:webHidden/>
              </w:rPr>
              <w:fldChar w:fldCharType="separate"/>
            </w:r>
            <w:r w:rsidR="00A62162">
              <w:rPr>
                <w:webHidden/>
              </w:rPr>
              <w:t>28</w:t>
            </w:r>
            <w:r w:rsidR="00A62162">
              <w:rPr>
                <w:webHidden/>
              </w:rPr>
              <w:fldChar w:fldCharType="end"/>
            </w:r>
          </w:hyperlink>
        </w:p>
        <w:p w14:paraId="006827BC" w14:textId="03753401" w:rsidR="00A62162" w:rsidRDefault="003A7F61">
          <w:pPr>
            <w:pStyle w:val="TOC3"/>
            <w:tabs>
              <w:tab w:val="left" w:pos="885"/>
            </w:tabs>
            <w:rPr>
              <w:rFonts w:asciiTheme="minorHAnsi" w:eastAsiaTheme="minorEastAsia" w:hAnsiTheme="minorHAnsi" w:cstheme="minorBidi"/>
            </w:rPr>
          </w:pPr>
          <w:hyperlink w:anchor="_Toc94773090" w:history="1">
            <w:r w:rsidR="00A62162" w:rsidRPr="00377713">
              <w:rPr>
                <w:rStyle w:val="Hyperlink"/>
                <w14:scene3d>
                  <w14:camera w14:prst="orthographicFront"/>
                  <w14:lightRig w14:rig="threePt" w14:dir="t">
                    <w14:rot w14:lat="0" w14:lon="0" w14:rev="0"/>
                  </w14:lightRig>
                </w14:scene3d>
              </w:rPr>
              <w:t>3.4.1</w:t>
            </w:r>
            <w:r w:rsidR="00A62162">
              <w:rPr>
                <w:rFonts w:asciiTheme="minorHAnsi" w:eastAsiaTheme="minorEastAsia" w:hAnsiTheme="minorHAnsi" w:cstheme="minorBidi"/>
              </w:rPr>
              <w:tab/>
            </w:r>
            <w:r w:rsidR="00A62162" w:rsidRPr="00377713">
              <w:rPr>
                <w:rStyle w:val="Hyperlink"/>
              </w:rPr>
              <w:t>Coordination requirements</w:t>
            </w:r>
            <w:r w:rsidR="00A62162">
              <w:rPr>
                <w:webHidden/>
              </w:rPr>
              <w:tab/>
            </w:r>
            <w:r w:rsidR="00A62162">
              <w:rPr>
                <w:webHidden/>
              </w:rPr>
              <w:fldChar w:fldCharType="begin"/>
            </w:r>
            <w:r w:rsidR="00A62162">
              <w:rPr>
                <w:webHidden/>
              </w:rPr>
              <w:instrText xml:space="preserve"> PAGEREF _Toc94773090 \h </w:instrText>
            </w:r>
            <w:r w:rsidR="00A62162">
              <w:rPr>
                <w:webHidden/>
              </w:rPr>
            </w:r>
            <w:r w:rsidR="00A62162">
              <w:rPr>
                <w:webHidden/>
              </w:rPr>
              <w:fldChar w:fldCharType="separate"/>
            </w:r>
            <w:r w:rsidR="00A62162">
              <w:rPr>
                <w:webHidden/>
              </w:rPr>
              <w:t>28</w:t>
            </w:r>
            <w:r w:rsidR="00A62162">
              <w:rPr>
                <w:webHidden/>
              </w:rPr>
              <w:fldChar w:fldCharType="end"/>
            </w:r>
          </w:hyperlink>
        </w:p>
        <w:p w14:paraId="36C9065A" w14:textId="14AEDFAE" w:rsidR="00A62162" w:rsidRDefault="003A7F61">
          <w:pPr>
            <w:pStyle w:val="TOC2"/>
            <w:rPr>
              <w:rFonts w:asciiTheme="minorHAnsi" w:eastAsiaTheme="minorEastAsia" w:hAnsiTheme="minorHAnsi" w:cstheme="minorBidi"/>
              <w:spacing w:val="0"/>
              <w:sz w:val="22"/>
              <w:szCs w:val="22"/>
            </w:rPr>
          </w:pPr>
          <w:hyperlink w:anchor="_Toc94773091" w:history="1">
            <w:r w:rsidR="00A62162" w:rsidRPr="00377713">
              <w:rPr>
                <w:rStyle w:val="Hyperlink"/>
              </w:rPr>
              <w:t>3.5</w:t>
            </w:r>
            <w:r w:rsidR="00A62162">
              <w:rPr>
                <w:rFonts w:asciiTheme="minorHAnsi" w:eastAsiaTheme="minorEastAsia" w:hAnsiTheme="minorHAnsi" w:cstheme="minorBidi"/>
                <w:spacing w:val="0"/>
                <w:sz w:val="22"/>
                <w:szCs w:val="22"/>
              </w:rPr>
              <w:tab/>
            </w:r>
            <w:r w:rsidR="00A62162" w:rsidRPr="00377713">
              <w:rPr>
                <w:rStyle w:val="Hyperlink"/>
              </w:rPr>
              <w:t>Coexistence with passive EESS</w:t>
            </w:r>
            <w:r w:rsidR="00A62162">
              <w:rPr>
                <w:webHidden/>
              </w:rPr>
              <w:tab/>
            </w:r>
            <w:r w:rsidR="00A62162">
              <w:rPr>
                <w:webHidden/>
              </w:rPr>
              <w:fldChar w:fldCharType="begin"/>
            </w:r>
            <w:r w:rsidR="00A62162">
              <w:rPr>
                <w:webHidden/>
              </w:rPr>
              <w:instrText xml:space="preserve"> PAGEREF _Toc94773091 \h </w:instrText>
            </w:r>
            <w:r w:rsidR="00A62162">
              <w:rPr>
                <w:webHidden/>
              </w:rPr>
            </w:r>
            <w:r w:rsidR="00A62162">
              <w:rPr>
                <w:webHidden/>
              </w:rPr>
              <w:fldChar w:fldCharType="separate"/>
            </w:r>
            <w:r w:rsidR="00A62162">
              <w:rPr>
                <w:webHidden/>
              </w:rPr>
              <w:t>29</w:t>
            </w:r>
            <w:r w:rsidR="00A62162">
              <w:rPr>
                <w:webHidden/>
              </w:rPr>
              <w:fldChar w:fldCharType="end"/>
            </w:r>
          </w:hyperlink>
        </w:p>
        <w:p w14:paraId="5905873B" w14:textId="37EB0976" w:rsidR="00A62162" w:rsidRDefault="003A7F61">
          <w:pPr>
            <w:pStyle w:val="TOC3"/>
            <w:tabs>
              <w:tab w:val="left" w:pos="885"/>
            </w:tabs>
            <w:rPr>
              <w:rFonts w:asciiTheme="minorHAnsi" w:eastAsiaTheme="minorEastAsia" w:hAnsiTheme="minorHAnsi" w:cstheme="minorBidi"/>
            </w:rPr>
          </w:pPr>
          <w:hyperlink w:anchor="_Toc94773092" w:history="1">
            <w:r w:rsidR="00A62162" w:rsidRPr="00377713">
              <w:rPr>
                <w:rStyle w:val="Hyperlink"/>
                <w14:scene3d>
                  <w14:camera w14:prst="orthographicFront"/>
                  <w14:lightRig w14:rig="threePt" w14:dir="t">
                    <w14:rot w14:lat="0" w14:lon="0" w14:rev="0"/>
                  </w14:lightRig>
                </w14:scene3d>
              </w:rPr>
              <w:t>3.5.1</w:t>
            </w:r>
            <w:r w:rsidR="00A62162">
              <w:rPr>
                <w:rFonts w:asciiTheme="minorHAnsi" w:eastAsiaTheme="minorEastAsia" w:hAnsiTheme="minorHAnsi" w:cstheme="minorBidi"/>
              </w:rPr>
              <w:tab/>
            </w:r>
            <w:r w:rsidR="00A62162" w:rsidRPr="00377713">
              <w:rPr>
                <w:rStyle w:val="Hyperlink"/>
              </w:rPr>
              <w:t>Density limits</w:t>
            </w:r>
            <w:r w:rsidR="00A62162">
              <w:rPr>
                <w:webHidden/>
              </w:rPr>
              <w:tab/>
            </w:r>
            <w:r w:rsidR="00A62162">
              <w:rPr>
                <w:webHidden/>
              </w:rPr>
              <w:fldChar w:fldCharType="begin"/>
            </w:r>
            <w:r w:rsidR="00A62162">
              <w:rPr>
                <w:webHidden/>
              </w:rPr>
              <w:instrText xml:space="preserve"> PAGEREF _Toc94773092 \h </w:instrText>
            </w:r>
            <w:r w:rsidR="00A62162">
              <w:rPr>
                <w:webHidden/>
              </w:rPr>
            </w:r>
            <w:r w:rsidR="00A62162">
              <w:rPr>
                <w:webHidden/>
              </w:rPr>
              <w:fldChar w:fldCharType="separate"/>
            </w:r>
            <w:r w:rsidR="00A62162">
              <w:rPr>
                <w:webHidden/>
              </w:rPr>
              <w:t>30</w:t>
            </w:r>
            <w:r w:rsidR="00A62162">
              <w:rPr>
                <w:webHidden/>
              </w:rPr>
              <w:fldChar w:fldCharType="end"/>
            </w:r>
          </w:hyperlink>
        </w:p>
        <w:p w14:paraId="4421D72C" w14:textId="6F760A7D" w:rsidR="00A62162" w:rsidRDefault="003A7F61">
          <w:pPr>
            <w:pStyle w:val="TOC2"/>
            <w:rPr>
              <w:rFonts w:asciiTheme="minorHAnsi" w:eastAsiaTheme="minorEastAsia" w:hAnsiTheme="minorHAnsi" w:cstheme="minorBidi"/>
              <w:spacing w:val="0"/>
              <w:sz w:val="22"/>
              <w:szCs w:val="22"/>
            </w:rPr>
          </w:pPr>
          <w:hyperlink w:anchor="_Toc94773093" w:history="1">
            <w:r w:rsidR="00A62162" w:rsidRPr="00377713">
              <w:rPr>
                <w:rStyle w:val="Hyperlink"/>
              </w:rPr>
              <w:t>3.6</w:t>
            </w:r>
            <w:r w:rsidR="00A62162">
              <w:rPr>
                <w:rFonts w:asciiTheme="minorHAnsi" w:eastAsiaTheme="minorEastAsia" w:hAnsiTheme="minorHAnsi" w:cstheme="minorBidi"/>
                <w:spacing w:val="0"/>
                <w:sz w:val="22"/>
                <w:szCs w:val="22"/>
              </w:rPr>
              <w:tab/>
            </w:r>
            <w:r w:rsidR="00A62162" w:rsidRPr="00377713">
              <w:rPr>
                <w:rStyle w:val="Hyperlink"/>
              </w:rPr>
              <w:t>Coordination with legacy point-to-point fixed links</w:t>
            </w:r>
            <w:r w:rsidR="00A62162">
              <w:rPr>
                <w:webHidden/>
              </w:rPr>
              <w:tab/>
            </w:r>
            <w:r w:rsidR="00A62162">
              <w:rPr>
                <w:webHidden/>
              </w:rPr>
              <w:fldChar w:fldCharType="begin"/>
            </w:r>
            <w:r w:rsidR="00A62162">
              <w:rPr>
                <w:webHidden/>
              </w:rPr>
              <w:instrText xml:space="preserve"> PAGEREF _Toc94773093 \h </w:instrText>
            </w:r>
            <w:r w:rsidR="00A62162">
              <w:rPr>
                <w:webHidden/>
              </w:rPr>
            </w:r>
            <w:r w:rsidR="00A62162">
              <w:rPr>
                <w:webHidden/>
              </w:rPr>
              <w:fldChar w:fldCharType="separate"/>
            </w:r>
            <w:r w:rsidR="00A62162">
              <w:rPr>
                <w:webHidden/>
              </w:rPr>
              <w:t>30</w:t>
            </w:r>
            <w:r w:rsidR="00A62162">
              <w:rPr>
                <w:webHidden/>
              </w:rPr>
              <w:fldChar w:fldCharType="end"/>
            </w:r>
          </w:hyperlink>
        </w:p>
        <w:p w14:paraId="61488CAC" w14:textId="754B981E" w:rsidR="00A62162" w:rsidRDefault="003A7F61">
          <w:pPr>
            <w:pStyle w:val="TOC3"/>
            <w:tabs>
              <w:tab w:val="left" w:pos="885"/>
            </w:tabs>
            <w:rPr>
              <w:rFonts w:asciiTheme="minorHAnsi" w:eastAsiaTheme="minorEastAsia" w:hAnsiTheme="minorHAnsi" w:cstheme="minorBidi"/>
            </w:rPr>
          </w:pPr>
          <w:hyperlink w:anchor="_Toc94773094" w:history="1">
            <w:r w:rsidR="00A62162" w:rsidRPr="00377713">
              <w:rPr>
                <w:rStyle w:val="Hyperlink"/>
                <w14:scene3d>
                  <w14:camera w14:prst="orthographicFront"/>
                  <w14:lightRig w14:rig="threePt" w14:dir="t">
                    <w14:rot w14:lat="0" w14:lon="0" w14:rev="0"/>
                  </w14:lightRig>
                </w14:scene3d>
              </w:rPr>
              <w:t>3.6.1</w:t>
            </w:r>
            <w:r w:rsidR="00A62162">
              <w:rPr>
                <w:rFonts w:asciiTheme="minorHAnsi" w:eastAsiaTheme="minorEastAsia" w:hAnsiTheme="minorHAnsi" w:cstheme="minorBidi"/>
              </w:rPr>
              <w:tab/>
            </w:r>
            <w:r w:rsidR="00A62162" w:rsidRPr="00377713">
              <w:rPr>
                <w:rStyle w:val="Hyperlink"/>
              </w:rPr>
              <w:t>Coordination process</w:t>
            </w:r>
            <w:r w:rsidR="00A62162">
              <w:rPr>
                <w:webHidden/>
              </w:rPr>
              <w:tab/>
            </w:r>
            <w:r w:rsidR="00A62162">
              <w:rPr>
                <w:webHidden/>
              </w:rPr>
              <w:fldChar w:fldCharType="begin"/>
            </w:r>
            <w:r w:rsidR="00A62162">
              <w:rPr>
                <w:webHidden/>
              </w:rPr>
              <w:instrText xml:space="preserve"> PAGEREF _Toc94773094 \h </w:instrText>
            </w:r>
            <w:r w:rsidR="00A62162">
              <w:rPr>
                <w:webHidden/>
              </w:rPr>
            </w:r>
            <w:r w:rsidR="00A62162">
              <w:rPr>
                <w:webHidden/>
              </w:rPr>
              <w:fldChar w:fldCharType="separate"/>
            </w:r>
            <w:r w:rsidR="00A62162">
              <w:rPr>
                <w:webHidden/>
              </w:rPr>
              <w:t>31</w:t>
            </w:r>
            <w:r w:rsidR="00A62162">
              <w:rPr>
                <w:webHidden/>
              </w:rPr>
              <w:fldChar w:fldCharType="end"/>
            </w:r>
          </w:hyperlink>
        </w:p>
        <w:p w14:paraId="37498C95" w14:textId="4ED77CA4" w:rsidR="00A62162" w:rsidRDefault="003A7F61">
          <w:pPr>
            <w:pStyle w:val="TOC3"/>
            <w:tabs>
              <w:tab w:val="left" w:pos="885"/>
            </w:tabs>
            <w:rPr>
              <w:rFonts w:asciiTheme="minorHAnsi" w:eastAsiaTheme="minorEastAsia" w:hAnsiTheme="minorHAnsi" w:cstheme="minorBidi"/>
            </w:rPr>
          </w:pPr>
          <w:hyperlink w:anchor="_Toc94773095" w:history="1">
            <w:r w:rsidR="00A62162" w:rsidRPr="00377713">
              <w:rPr>
                <w:rStyle w:val="Hyperlink"/>
                <w14:scene3d>
                  <w14:camera w14:prst="orthographicFront"/>
                  <w14:lightRig w14:rig="threePt" w14:dir="t">
                    <w14:rot w14:lat="0" w14:lon="0" w14:rev="0"/>
                  </w14:lightRig>
                </w14:scene3d>
              </w:rPr>
              <w:t>3.6.2</w:t>
            </w:r>
            <w:r w:rsidR="00A62162">
              <w:rPr>
                <w:rFonts w:asciiTheme="minorHAnsi" w:eastAsiaTheme="minorEastAsia" w:hAnsiTheme="minorHAnsi" w:cstheme="minorBidi"/>
              </w:rPr>
              <w:tab/>
            </w:r>
            <w:r w:rsidR="00A62162" w:rsidRPr="00377713">
              <w:rPr>
                <w:rStyle w:val="Hyperlink"/>
              </w:rPr>
              <w:t>Determination of co-channel or adjacent-channel configuration for earth stations</w:t>
            </w:r>
            <w:r w:rsidR="00A62162">
              <w:rPr>
                <w:webHidden/>
              </w:rPr>
              <w:tab/>
            </w:r>
            <w:r w:rsidR="00A62162">
              <w:rPr>
                <w:webHidden/>
              </w:rPr>
              <w:fldChar w:fldCharType="begin"/>
            </w:r>
            <w:r w:rsidR="00A62162">
              <w:rPr>
                <w:webHidden/>
              </w:rPr>
              <w:instrText xml:space="preserve"> PAGEREF _Toc94773095 \h </w:instrText>
            </w:r>
            <w:r w:rsidR="00A62162">
              <w:rPr>
                <w:webHidden/>
              </w:rPr>
            </w:r>
            <w:r w:rsidR="00A62162">
              <w:rPr>
                <w:webHidden/>
              </w:rPr>
              <w:fldChar w:fldCharType="separate"/>
            </w:r>
            <w:r w:rsidR="00A62162">
              <w:rPr>
                <w:webHidden/>
              </w:rPr>
              <w:t>33</w:t>
            </w:r>
            <w:r w:rsidR="00A62162">
              <w:rPr>
                <w:webHidden/>
              </w:rPr>
              <w:fldChar w:fldCharType="end"/>
            </w:r>
          </w:hyperlink>
        </w:p>
        <w:p w14:paraId="1BA311C3" w14:textId="4C29ADA6" w:rsidR="00A62162" w:rsidRDefault="003A7F61">
          <w:pPr>
            <w:pStyle w:val="TOC3"/>
            <w:tabs>
              <w:tab w:val="left" w:pos="885"/>
            </w:tabs>
            <w:rPr>
              <w:rFonts w:asciiTheme="minorHAnsi" w:eastAsiaTheme="minorEastAsia" w:hAnsiTheme="minorHAnsi" w:cstheme="minorBidi"/>
            </w:rPr>
          </w:pPr>
          <w:hyperlink w:anchor="_Toc94773096" w:history="1">
            <w:r w:rsidR="00A62162" w:rsidRPr="00377713">
              <w:rPr>
                <w:rStyle w:val="Hyperlink"/>
                <w14:scene3d>
                  <w14:camera w14:prst="orthographicFront"/>
                  <w14:lightRig w14:rig="threePt" w14:dir="t">
                    <w14:rot w14:lat="0" w14:lon="0" w14:rev="0"/>
                  </w14:lightRig>
                </w14:scene3d>
              </w:rPr>
              <w:t>3.6.3</w:t>
            </w:r>
            <w:r w:rsidR="00A62162">
              <w:rPr>
                <w:rFonts w:asciiTheme="minorHAnsi" w:eastAsiaTheme="minorEastAsia" w:hAnsiTheme="minorHAnsi" w:cstheme="minorBidi"/>
              </w:rPr>
              <w:tab/>
            </w:r>
            <w:r w:rsidR="00A62162" w:rsidRPr="00377713">
              <w:rPr>
                <w:rStyle w:val="Hyperlink"/>
              </w:rPr>
              <w:t>Earth station transmit power</w:t>
            </w:r>
            <w:r w:rsidR="00A62162">
              <w:rPr>
                <w:webHidden/>
              </w:rPr>
              <w:tab/>
            </w:r>
            <w:r w:rsidR="00A62162">
              <w:rPr>
                <w:webHidden/>
              </w:rPr>
              <w:fldChar w:fldCharType="begin"/>
            </w:r>
            <w:r w:rsidR="00A62162">
              <w:rPr>
                <w:webHidden/>
              </w:rPr>
              <w:instrText xml:space="preserve"> PAGEREF _Toc94773096 \h </w:instrText>
            </w:r>
            <w:r w:rsidR="00A62162">
              <w:rPr>
                <w:webHidden/>
              </w:rPr>
            </w:r>
            <w:r w:rsidR="00A62162">
              <w:rPr>
                <w:webHidden/>
              </w:rPr>
              <w:fldChar w:fldCharType="separate"/>
            </w:r>
            <w:r w:rsidR="00A62162">
              <w:rPr>
                <w:webHidden/>
              </w:rPr>
              <w:t>33</w:t>
            </w:r>
            <w:r w:rsidR="00A62162">
              <w:rPr>
                <w:webHidden/>
              </w:rPr>
              <w:fldChar w:fldCharType="end"/>
            </w:r>
          </w:hyperlink>
        </w:p>
        <w:p w14:paraId="59ED3350" w14:textId="72B91B1D" w:rsidR="00A62162" w:rsidRDefault="003A7F61">
          <w:pPr>
            <w:pStyle w:val="TOC3"/>
            <w:tabs>
              <w:tab w:val="left" w:pos="885"/>
            </w:tabs>
            <w:rPr>
              <w:rFonts w:asciiTheme="minorHAnsi" w:eastAsiaTheme="minorEastAsia" w:hAnsiTheme="minorHAnsi" w:cstheme="minorBidi"/>
            </w:rPr>
          </w:pPr>
          <w:hyperlink w:anchor="_Toc94773097" w:history="1">
            <w:r w:rsidR="00A62162" w:rsidRPr="00377713">
              <w:rPr>
                <w:rStyle w:val="Hyperlink"/>
                <w14:scene3d>
                  <w14:camera w14:prst="orthographicFront"/>
                  <w14:lightRig w14:rig="threePt" w14:dir="t">
                    <w14:rot w14:lat="0" w14:lon="0" w14:rev="0"/>
                  </w14:lightRig>
                </w14:scene3d>
              </w:rPr>
              <w:t>3.6.4</w:t>
            </w:r>
            <w:r w:rsidR="00A62162">
              <w:rPr>
                <w:rFonts w:asciiTheme="minorHAnsi" w:eastAsiaTheme="minorEastAsia" w:hAnsiTheme="minorHAnsi" w:cstheme="minorBidi"/>
              </w:rPr>
              <w:tab/>
            </w:r>
            <w:r w:rsidR="00A62162" w:rsidRPr="00377713">
              <w:rPr>
                <w:rStyle w:val="Hyperlink"/>
              </w:rPr>
              <w:t>Earth station antenna gain</w:t>
            </w:r>
            <w:r w:rsidR="00A62162">
              <w:rPr>
                <w:webHidden/>
              </w:rPr>
              <w:tab/>
            </w:r>
            <w:r w:rsidR="00A62162">
              <w:rPr>
                <w:webHidden/>
              </w:rPr>
              <w:fldChar w:fldCharType="begin"/>
            </w:r>
            <w:r w:rsidR="00A62162">
              <w:rPr>
                <w:webHidden/>
              </w:rPr>
              <w:instrText xml:space="preserve"> PAGEREF _Toc94773097 \h </w:instrText>
            </w:r>
            <w:r w:rsidR="00A62162">
              <w:rPr>
                <w:webHidden/>
              </w:rPr>
            </w:r>
            <w:r w:rsidR="00A62162">
              <w:rPr>
                <w:webHidden/>
              </w:rPr>
              <w:fldChar w:fldCharType="separate"/>
            </w:r>
            <w:r w:rsidR="00A62162">
              <w:rPr>
                <w:webHidden/>
              </w:rPr>
              <w:t>33</w:t>
            </w:r>
            <w:r w:rsidR="00A62162">
              <w:rPr>
                <w:webHidden/>
              </w:rPr>
              <w:fldChar w:fldCharType="end"/>
            </w:r>
          </w:hyperlink>
        </w:p>
        <w:p w14:paraId="7BD67D38" w14:textId="2F427EDC" w:rsidR="00A62162" w:rsidRDefault="003A7F61">
          <w:pPr>
            <w:pStyle w:val="TOC2"/>
            <w:rPr>
              <w:rFonts w:asciiTheme="minorHAnsi" w:eastAsiaTheme="minorEastAsia" w:hAnsiTheme="minorHAnsi" w:cstheme="minorBidi"/>
              <w:spacing w:val="0"/>
              <w:sz w:val="22"/>
              <w:szCs w:val="22"/>
            </w:rPr>
          </w:pPr>
          <w:hyperlink w:anchor="_Toc94773098" w:history="1">
            <w:r w:rsidR="00A62162" w:rsidRPr="00377713">
              <w:rPr>
                <w:rStyle w:val="Hyperlink"/>
              </w:rPr>
              <w:t>3.7</w:t>
            </w:r>
            <w:r w:rsidR="00A62162">
              <w:rPr>
                <w:rFonts w:asciiTheme="minorHAnsi" w:eastAsiaTheme="minorEastAsia" w:hAnsiTheme="minorHAnsi" w:cstheme="minorBidi"/>
                <w:spacing w:val="0"/>
                <w:sz w:val="22"/>
                <w:szCs w:val="22"/>
              </w:rPr>
              <w:tab/>
            </w:r>
            <w:r w:rsidR="00A62162" w:rsidRPr="00377713">
              <w:rPr>
                <w:rStyle w:val="Hyperlink"/>
              </w:rPr>
              <w:t>Coordination with the Mingenew earth station protection zone</w:t>
            </w:r>
            <w:r w:rsidR="00A62162">
              <w:rPr>
                <w:webHidden/>
              </w:rPr>
              <w:tab/>
            </w:r>
            <w:r w:rsidR="00A62162">
              <w:rPr>
                <w:webHidden/>
              </w:rPr>
              <w:fldChar w:fldCharType="begin"/>
            </w:r>
            <w:r w:rsidR="00A62162">
              <w:rPr>
                <w:webHidden/>
              </w:rPr>
              <w:instrText xml:space="preserve"> PAGEREF _Toc94773098 \h </w:instrText>
            </w:r>
            <w:r w:rsidR="00A62162">
              <w:rPr>
                <w:webHidden/>
              </w:rPr>
            </w:r>
            <w:r w:rsidR="00A62162">
              <w:rPr>
                <w:webHidden/>
              </w:rPr>
              <w:fldChar w:fldCharType="separate"/>
            </w:r>
            <w:r w:rsidR="00A62162">
              <w:rPr>
                <w:webHidden/>
              </w:rPr>
              <w:t>34</w:t>
            </w:r>
            <w:r w:rsidR="00A62162">
              <w:rPr>
                <w:webHidden/>
              </w:rPr>
              <w:fldChar w:fldCharType="end"/>
            </w:r>
          </w:hyperlink>
        </w:p>
        <w:p w14:paraId="6E8EC287" w14:textId="2BB01A70" w:rsidR="00A62162" w:rsidRDefault="003A7F61">
          <w:pPr>
            <w:pStyle w:val="TOC3"/>
            <w:tabs>
              <w:tab w:val="left" w:pos="885"/>
            </w:tabs>
            <w:rPr>
              <w:rFonts w:asciiTheme="minorHAnsi" w:eastAsiaTheme="minorEastAsia" w:hAnsiTheme="minorHAnsi" w:cstheme="minorBidi"/>
            </w:rPr>
          </w:pPr>
          <w:hyperlink w:anchor="_Toc94773099" w:history="1">
            <w:r w:rsidR="00A62162" w:rsidRPr="00377713">
              <w:rPr>
                <w:rStyle w:val="Hyperlink"/>
                <w14:scene3d>
                  <w14:camera w14:prst="orthographicFront"/>
                  <w14:lightRig w14:rig="threePt" w14:dir="t">
                    <w14:rot w14:lat="0" w14:lon="0" w14:rev="0"/>
                  </w14:lightRig>
                </w14:scene3d>
              </w:rPr>
              <w:t>3.7.1</w:t>
            </w:r>
            <w:r w:rsidR="00A62162">
              <w:rPr>
                <w:rFonts w:asciiTheme="minorHAnsi" w:eastAsiaTheme="minorEastAsia" w:hAnsiTheme="minorHAnsi" w:cstheme="minorBidi"/>
              </w:rPr>
              <w:tab/>
            </w:r>
            <w:r w:rsidR="00A62162" w:rsidRPr="00377713">
              <w:rPr>
                <w:rStyle w:val="Hyperlink"/>
              </w:rPr>
              <w:t>Coordination requirements for AWL transmitters near Mingenew</w:t>
            </w:r>
            <w:r w:rsidR="00A62162">
              <w:rPr>
                <w:webHidden/>
              </w:rPr>
              <w:tab/>
            </w:r>
            <w:r w:rsidR="00A62162">
              <w:rPr>
                <w:webHidden/>
              </w:rPr>
              <w:fldChar w:fldCharType="begin"/>
            </w:r>
            <w:r w:rsidR="00A62162">
              <w:rPr>
                <w:webHidden/>
              </w:rPr>
              <w:instrText xml:space="preserve"> PAGEREF _Toc94773099 \h </w:instrText>
            </w:r>
            <w:r w:rsidR="00A62162">
              <w:rPr>
                <w:webHidden/>
              </w:rPr>
            </w:r>
            <w:r w:rsidR="00A62162">
              <w:rPr>
                <w:webHidden/>
              </w:rPr>
              <w:fldChar w:fldCharType="separate"/>
            </w:r>
            <w:r w:rsidR="00A62162">
              <w:rPr>
                <w:webHidden/>
              </w:rPr>
              <w:t>34</w:t>
            </w:r>
            <w:r w:rsidR="00A62162">
              <w:rPr>
                <w:webHidden/>
              </w:rPr>
              <w:fldChar w:fldCharType="end"/>
            </w:r>
          </w:hyperlink>
        </w:p>
        <w:p w14:paraId="75C9B88A" w14:textId="791C2C92" w:rsidR="00A62162" w:rsidRDefault="003A7F61">
          <w:pPr>
            <w:pStyle w:val="TOC2"/>
            <w:rPr>
              <w:rFonts w:asciiTheme="minorHAnsi" w:eastAsiaTheme="minorEastAsia" w:hAnsiTheme="minorHAnsi" w:cstheme="minorBidi"/>
              <w:spacing w:val="0"/>
              <w:sz w:val="22"/>
              <w:szCs w:val="22"/>
            </w:rPr>
          </w:pPr>
          <w:hyperlink w:anchor="_Toc94773100" w:history="1">
            <w:r w:rsidR="00A62162" w:rsidRPr="00377713">
              <w:rPr>
                <w:rStyle w:val="Hyperlink"/>
              </w:rPr>
              <w:t>3.8</w:t>
            </w:r>
            <w:r w:rsidR="00A62162">
              <w:rPr>
                <w:rFonts w:asciiTheme="minorHAnsi" w:eastAsiaTheme="minorEastAsia" w:hAnsiTheme="minorHAnsi" w:cstheme="minorBidi"/>
                <w:spacing w:val="0"/>
                <w:sz w:val="22"/>
                <w:szCs w:val="22"/>
              </w:rPr>
              <w:tab/>
            </w:r>
            <w:r w:rsidR="00A62162" w:rsidRPr="00377713">
              <w:rPr>
                <w:rStyle w:val="Hyperlink"/>
              </w:rPr>
              <w:t>Requirements contained in other RALIs and business operating procedures (BOPs)</w:t>
            </w:r>
            <w:r w:rsidR="00A62162">
              <w:rPr>
                <w:webHidden/>
              </w:rPr>
              <w:tab/>
            </w:r>
            <w:r w:rsidR="00A62162">
              <w:rPr>
                <w:webHidden/>
              </w:rPr>
              <w:fldChar w:fldCharType="begin"/>
            </w:r>
            <w:r w:rsidR="00A62162">
              <w:rPr>
                <w:webHidden/>
              </w:rPr>
              <w:instrText xml:space="preserve"> PAGEREF _Toc94773100 \h </w:instrText>
            </w:r>
            <w:r w:rsidR="00A62162">
              <w:rPr>
                <w:webHidden/>
              </w:rPr>
            </w:r>
            <w:r w:rsidR="00A62162">
              <w:rPr>
                <w:webHidden/>
              </w:rPr>
              <w:fldChar w:fldCharType="separate"/>
            </w:r>
            <w:r w:rsidR="00A62162">
              <w:rPr>
                <w:webHidden/>
              </w:rPr>
              <w:t>35</w:t>
            </w:r>
            <w:r w:rsidR="00A62162">
              <w:rPr>
                <w:webHidden/>
              </w:rPr>
              <w:fldChar w:fldCharType="end"/>
            </w:r>
          </w:hyperlink>
        </w:p>
        <w:p w14:paraId="56B97DF1" w14:textId="21DF3085" w:rsidR="00A62162" w:rsidRDefault="003A7F61">
          <w:pPr>
            <w:pStyle w:val="TOC1"/>
            <w:tabs>
              <w:tab w:val="left" w:pos="885"/>
            </w:tabs>
            <w:rPr>
              <w:rFonts w:asciiTheme="minorHAnsi" w:eastAsiaTheme="minorEastAsia" w:hAnsiTheme="minorHAnsi" w:cstheme="minorBidi"/>
              <w:b w:val="0"/>
              <w:spacing w:val="0"/>
              <w:sz w:val="22"/>
              <w:szCs w:val="22"/>
            </w:rPr>
          </w:pPr>
          <w:hyperlink w:anchor="_Toc94773101" w:history="1">
            <w:r w:rsidR="00A62162" w:rsidRPr="00377713">
              <w:rPr>
                <w:rStyle w:val="Hyperlink"/>
                <w14:scene3d>
                  <w14:camera w14:prst="orthographicFront"/>
                  <w14:lightRig w14:rig="threePt" w14:dir="t">
                    <w14:rot w14:lat="0" w14:lon="0" w14:rev="0"/>
                  </w14:lightRig>
                </w14:scene3d>
              </w:rPr>
              <w:t>4</w:t>
            </w:r>
            <w:r w:rsidR="00A62162">
              <w:rPr>
                <w:rFonts w:asciiTheme="minorHAnsi" w:eastAsiaTheme="minorEastAsia" w:hAnsiTheme="minorHAnsi" w:cstheme="minorBidi"/>
                <w:b w:val="0"/>
                <w:spacing w:val="0"/>
                <w:sz w:val="22"/>
                <w:szCs w:val="22"/>
              </w:rPr>
              <w:tab/>
            </w:r>
            <w:r w:rsidR="00A62162" w:rsidRPr="00377713">
              <w:rPr>
                <w:rStyle w:val="Hyperlink"/>
              </w:rPr>
              <w:t>Exceptions</w:t>
            </w:r>
            <w:r w:rsidR="00A62162">
              <w:rPr>
                <w:webHidden/>
              </w:rPr>
              <w:tab/>
            </w:r>
            <w:r w:rsidR="00A62162">
              <w:rPr>
                <w:webHidden/>
              </w:rPr>
              <w:fldChar w:fldCharType="begin"/>
            </w:r>
            <w:r w:rsidR="00A62162">
              <w:rPr>
                <w:webHidden/>
              </w:rPr>
              <w:instrText xml:space="preserve"> PAGEREF _Toc94773101 \h </w:instrText>
            </w:r>
            <w:r w:rsidR="00A62162">
              <w:rPr>
                <w:webHidden/>
              </w:rPr>
            </w:r>
            <w:r w:rsidR="00A62162">
              <w:rPr>
                <w:webHidden/>
              </w:rPr>
              <w:fldChar w:fldCharType="separate"/>
            </w:r>
            <w:r w:rsidR="00A62162">
              <w:rPr>
                <w:webHidden/>
              </w:rPr>
              <w:t>37</w:t>
            </w:r>
            <w:r w:rsidR="00A62162">
              <w:rPr>
                <w:webHidden/>
              </w:rPr>
              <w:fldChar w:fldCharType="end"/>
            </w:r>
          </w:hyperlink>
        </w:p>
        <w:p w14:paraId="2521717A" w14:textId="30BEF19E" w:rsidR="00A62162" w:rsidRDefault="003A7F61">
          <w:pPr>
            <w:pStyle w:val="TOC1"/>
            <w:tabs>
              <w:tab w:val="left" w:pos="885"/>
            </w:tabs>
            <w:rPr>
              <w:rFonts w:asciiTheme="minorHAnsi" w:eastAsiaTheme="minorEastAsia" w:hAnsiTheme="minorHAnsi" w:cstheme="minorBidi"/>
              <w:b w:val="0"/>
              <w:spacing w:val="0"/>
              <w:sz w:val="22"/>
              <w:szCs w:val="22"/>
            </w:rPr>
          </w:pPr>
          <w:hyperlink w:anchor="_Toc94773102" w:history="1">
            <w:r w:rsidR="00A62162" w:rsidRPr="00377713">
              <w:rPr>
                <w:rStyle w:val="Hyperlink"/>
                <w14:scene3d>
                  <w14:camera w14:prst="orthographicFront"/>
                  <w14:lightRig w14:rig="threePt" w14:dir="t">
                    <w14:rot w14:lat="0" w14:lon="0" w14:rev="0"/>
                  </w14:lightRig>
                </w14:scene3d>
              </w:rPr>
              <w:t>5</w:t>
            </w:r>
            <w:r w:rsidR="00A62162">
              <w:rPr>
                <w:rFonts w:asciiTheme="minorHAnsi" w:eastAsiaTheme="minorEastAsia" w:hAnsiTheme="minorHAnsi" w:cstheme="minorBidi"/>
                <w:b w:val="0"/>
                <w:spacing w:val="0"/>
                <w:sz w:val="22"/>
                <w:szCs w:val="22"/>
              </w:rPr>
              <w:tab/>
            </w:r>
            <w:r w:rsidR="00A62162" w:rsidRPr="00377713">
              <w:rPr>
                <w:rStyle w:val="Hyperlink"/>
              </w:rPr>
              <w:t>RALI Authorisation</w:t>
            </w:r>
            <w:r w:rsidR="00A62162">
              <w:rPr>
                <w:webHidden/>
              </w:rPr>
              <w:tab/>
            </w:r>
            <w:r w:rsidR="00A62162">
              <w:rPr>
                <w:webHidden/>
              </w:rPr>
              <w:fldChar w:fldCharType="begin"/>
            </w:r>
            <w:r w:rsidR="00A62162">
              <w:rPr>
                <w:webHidden/>
              </w:rPr>
              <w:instrText xml:space="preserve"> PAGEREF _Toc94773102 \h </w:instrText>
            </w:r>
            <w:r w:rsidR="00A62162">
              <w:rPr>
                <w:webHidden/>
              </w:rPr>
            </w:r>
            <w:r w:rsidR="00A62162">
              <w:rPr>
                <w:webHidden/>
              </w:rPr>
              <w:fldChar w:fldCharType="separate"/>
            </w:r>
            <w:r w:rsidR="00A62162">
              <w:rPr>
                <w:webHidden/>
              </w:rPr>
              <w:t>38</w:t>
            </w:r>
            <w:r w:rsidR="00A62162">
              <w:rPr>
                <w:webHidden/>
              </w:rPr>
              <w:fldChar w:fldCharType="end"/>
            </w:r>
          </w:hyperlink>
        </w:p>
        <w:p w14:paraId="0F0B1084" w14:textId="3EB0D203" w:rsidR="00A62162" w:rsidRDefault="003A7F61">
          <w:pPr>
            <w:pStyle w:val="TOC1"/>
            <w:rPr>
              <w:rFonts w:asciiTheme="minorHAnsi" w:eastAsiaTheme="minorEastAsia" w:hAnsiTheme="minorHAnsi" w:cstheme="minorBidi"/>
              <w:b w:val="0"/>
              <w:spacing w:val="0"/>
              <w:sz w:val="22"/>
              <w:szCs w:val="22"/>
            </w:rPr>
          </w:pPr>
          <w:hyperlink w:anchor="_Toc94773103" w:history="1">
            <w:r w:rsidR="00A62162" w:rsidRPr="00377713">
              <w:rPr>
                <w:rStyle w:val="Hyperlink"/>
              </w:rPr>
              <w:t>Appendix A: Fallback synchronisation uplink-downlink configuration</w:t>
            </w:r>
            <w:r w:rsidR="00A62162">
              <w:rPr>
                <w:webHidden/>
              </w:rPr>
              <w:tab/>
            </w:r>
            <w:r w:rsidR="00A62162">
              <w:rPr>
                <w:webHidden/>
              </w:rPr>
              <w:fldChar w:fldCharType="begin"/>
            </w:r>
            <w:r w:rsidR="00A62162">
              <w:rPr>
                <w:webHidden/>
              </w:rPr>
              <w:instrText xml:space="preserve"> PAGEREF _Toc94773103 \h </w:instrText>
            </w:r>
            <w:r w:rsidR="00A62162">
              <w:rPr>
                <w:webHidden/>
              </w:rPr>
            </w:r>
            <w:r w:rsidR="00A62162">
              <w:rPr>
                <w:webHidden/>
              </w:rPr>
              <w:fldChar w:fldCharType="separate"/>
            </w:r>
            <w:r w:rsidR="00A62162">
              <w:rPr>
                <w:webHidden/>
              </w:rPr>
              <w:t>39</w:t>
            </w:r>
            <w:r w:rsidR="00A62162">
              <w:rPr>
                <w:webHidden/>
              </w:rPr>
              <w:fldChar w:fldCharType="end"/>
            </w:r>
          </w:hyperlink>
        </w:p>
        <w:p w14:paraId="36855E76" w14:textId="1FFFF3D4" w:rsidR="00A62162" w:rsidRDefault="003A7F61">
          <w:pPr>
            <w:pStyle w:val="TOC1"/>
            <w:rPr>
              <w:rFonts w:asciiTheme="minorHAnsi" w:eastAsiaTheme="minorEastAsia" w:hAnsiTheme="minorHAnsi" w:cstheme="minorBidi"/>
              <w:b w:val="0"/>
              <w:spacing w:val="0"/>
              <w:sz w:val="22"/>
              <w:szCs w:val="22"/>
            </w:rPr>
          </w:pPr>
          <w:hyperlink w:anchor="_Toc94773104" w:history="1">
            <w:r w:rsidR="00A62162" w:rsidRPr="00377713">
              <w:rPr>
                <w:rStyle w:val="Hyperlink"/>
              </w:rPr>
              <w:t>Appendix B: Coexistence between AWL devices operating in the same frequency and area (overlapping AWLs)</w:t>
            </w:r>
            <w:r w:rsidR="00A62162">
              <w:rPr>
                <w:webHidden/>
              </w:rPr>
              <w:tab/>
            </w:r>
            <w:r w:rsidR="00A62162">
              <w:rPr>
                <w:webHidden/>
              </w:rPr>
              <w:fldChar w:fldCharType="begin"/>
            </w:r>
            <w:r w:rsidR="00A62162">
              <w:rPr>
                <w:webHidden/>
              </w:rPr>
              <w:instrText xml:space="preserve"> PAGEREF _Toc94773104 \h </w:instrText>
            </w:r>
            <w:r w:rsidR="00A62162">
              <w:rPr>
                <w:webHidden/>
              </w:rPr>
            </w:r>
            <w:r w:rsidR="00A62162">
              <w:rPr>
                <w:webHidden/>
              </w:rPr>
              <w:fldChar w:fldCharType="separate"/>
            </w:r>
            <w:r w:rsidR="00A62162">
              <w:rPr>
                <w:webHidden/>
              </w:rPr>
              <w:t>40</w:t>
            </w:r>
            <w:r w:rsidR="00A62162">
              <w:rPr>
                <w:webHidden/>
              </w:rPr>
              <w:fldChar w:fldCharType="end"/>
            </w:r>
          </w:hyperlink>
        </w:p>
        <w:p w14:paraId="3585ABC9" w14:textId="3F541F85" w:rsidR="00A62162" w:rsidRDefault="003A7F61">
          <w:pPr>
            <w:pStyle w:val="TOC1"/>
            <w:rPr>
              <w:rFonts w:asciiTheme="minorHAnsi" w:eastAsiaTheme="minorEastAsia" w:hAnsiTheme="minorHAnsi" w:cstheme="minorBidi"/>
              <w:b w:val="0"/>
              <w:spacing w:val="0"/>
              <w:sz w:val="22"/>
              <w:szCs w:val="22"/>
            </w:rPr>
          </w:pPr>
          <w:hyperlink w:anchor="_Toc94773105" w:history="1">
            <w:r w:rsidR="00A62162" w:rsidRPr="00377713">
              <w:rPr>
                <w:rStyle w:val="Hyperlink"/>
              </w:rPr>
              <w:t>Appendix C: Examples of compliance at the geographic boundary</w:t>
            </w:r>
            <w:r w:rsidR="00A62162">
              <w:rPr>
                <w:webHidden/>
              </w:rPr>
              <w:tab/>
            </w:r>
            <w:r w:rsidR="00A62162">
              <w:rPr>
                <w:webHidden/>
              </w:rPr>
              <w:fldChar w:fldCharType="begin"/>
            </w:r>
            <w:r w:rsidR="00A62162">
              <w:rPr>
                <w:webHidden/>
              </w:rPr>
              <w:instrText xml:space="preserve"> PAGEREF _Toc94773105 \h </w:instrText>
            </w:r>
            <w:r w:rsidR="00A62162">
              <w:rPr>
                <w:webHidden/>
              </w:rPr>
            </w:r>
            <w:r w:rsidR="00A62162">
              <w:rPr>
                <w:webHidden/>
              </w:rPr>
              <w:fldChar w:fldCharType="separate"/>
            </w:r>
            <w:r w:rsidR="00A62162">
              <w:rPr>
                <w:webHidden/>
              </w:rPr>
              <w:t>45</w:t>
            </w:r>
            <w:r w:rsidR="00A62162">
              <w:rPr>
                <w:webHidden/>
              </w:rPr>
              <w:fldChar w:fldCharType="end"/>
            </w:r>
          </w:hyperlink>
        </w:p>
        <w:p w14:paraId="641C0C78" w14:textId="12EB6533" w:rsidR="00A62162" w:rsidRDefault="003A7F61">
          <w:pPr>
            <w:pStyle w:val="TOC1"/>
            <w:rPr>
              <w:rFonts w:asciiTheme="minorHAnsi" w:eastAsiaTheme="minorEastAsia" w:hAnsiTheme="minorHAnsi" w:cstheme="minorBidi"/>
              <w:b w:val="0"/>
              <w:spacing w:val="0"/>
              <w:sz w:val="22"/>
              <w:szCs w:val="22"/>
            </w:rPr>
          </w:pPr>
          <w:hyperlink w:anchor="_Toc94773106" w:history="1">
            <w:r w:rsidR="00A62162" w:rsidRPr="00377713">
              <w:rPr>
                <w:rStyle w:val="Hyperlink"/>
              </w:rPr>
              <w:t>Appendix D: Protection criteria for fixed link receivers</w:t>
            </w:r>
            <w:r w:rsidR="00A62162">
              <w:rPr>
                <w:webHidden/>
              </w:rPr>
              <w:tab/>
            </w:r>
            <w:r w:rsidR="00A62162">
              <w:rPr>
                <w:webHidden/>
              </w:rPr>
              <w:fldChar w:fldCharType="begin"/>
            </w:r>
            <w:r w:rsidR="00A62162">
              <w:rPr>
                <w:webHidden/>
              </w:rPr>
              <w:instrText xml:space="preserve"> PAGEREF _Toc94773106 \h </w:instrText>
            </w:r>
            <w:r w:rsidR="00A62162">
              <w:rPr>
                <w:webHidden/>
              </w:rPr>
            </w:r>
            <w:r w:rsidR="00A62162">
              <w:rPr>
                <w:webHidden/>
              </w:rPr>
              <w:fldChar w:fldCharType="separate"/>
            </w:r>
            <w:r w:rsidR="00A62162">
              <w:rPr>
                <w:webHidden/>
              </w:rPr>
              <w:t>48</w:t>
            </w:r>
            <w:r w:rsidR="00A62162">
              <w:rPr>
                <w:webHidden/>
              </w:rPr>
              <w:fldChar w:fldCharType="end"/>
            </w:r>
          </w:hyperlink>
        </w:p>
        <w:p w14:paraId="23173841" w14:textId="2EA37272" w:rsidR="00A62162" w:rsidRDefault="003A7F61">
          <w:pPr>
            <w:pStyle w:val="TOC2"/>
            <w:rPr>
              <w:rFonts w:asciiTheme="minorHAnsi" w:eastAsiaTheme="minorEastAsia" w:hAnsiTheme="minorHAnsi" w:cstheme="minorBidi"/>
              <w:spacing w:val="0"/>
              <w:sz w:val="22"/>
              <w:szCs w:val="22"/>
            </w:rPr>
          </w:pPr>
          <w:hyperlink w:anchor="_Toc94773107" w:history="1">
            <w:r w:rsidR="00A62162" w:rsidRPr="00377713">
              <w:rPr>
                <w:rStyle w:val="Hyperlink"/>
              </w:rPr>
              <w:t>D.1 Protection from AWL-authorised transmitters other than earth stations</w:t>
            </w:r>
            <w:r w:rsidR="00A62162">
              <w:rPr>
                <w:webHidden/>
              </w:rPr>
              <w:tab/>
            </w:r>
            <w:r w:rsidR="00A62162">
              <w:rPr>
                <w:webHidden/>
              </w:rPr>
              <w:fldChar w:fldCharType="begin"/>
            </w:r>
            <w:r w:rsidR="00A62162">
              <w:rPr>
                <w:webHidden/>
              </w:rPr>
              <w:instrText xml:space="preserve"> PAGEREF _Toc94773107 \h </w:instrText>
            </w:r>
            <w:r w:rsidR="00A62162">
              <w:rPr>
                <w:webHidden/>
              </w:rPr>
            </w:r>
            <w:r w:rsidR="00A62162">
              <w:rPr>
                <w:webHidden/>
              </w:rPr>
              <w:fldChar w:fldCharType="separate"/>
            </w:r>
            <w:r w:rsidR="00A62162">
              <w:rPr>
                <w:webHidden/>
              </w:rPr>
              <w:t>48</w:t>
            </w:r>
            <w:r w:rsidR="00A62162">
              <w:rPr>
                <w:webHidden/>
              </w:rPr>
              <w:fldChar w:fldCharType="end"/>
            </w:r>
          </w:hyperlink>
        </w:p>
        <w:p w14:paraId="4CD5D53A" w14:textId="163C4ACD" w:rsidR="00A62162" w:rsidRDefault="003A7F61">
          <w:pPr>
            <w:pStyle w:val="TOC2"/>
            <w:rPr>
              <w:rFonts w:asciiTheme="minorHAnsi" w:eastAsiaTheme="minorEastAsia" w:hAnsiTheme="minorHAnsi" w:cstheme="minorBidi"/>
              <w:spacing w:val="0"/>
              <w:sz w:val="22"/>
              <w:szCs w:val="22"/>
            </w:rPr>
          </w:pPr>
          <w:hyperlink w:anchor="_Toc94773108" w:history="1">
            <w:r w:rsidR="00A62162" w:rsidRPr="00377713">
              <w:rPr>
                <w:rStyle w:val="Hyperlink"/>
              </w:rPr>
              <w:t>D.2 Protection from AWL-authorised transmitting earth stations</w:t>
            </w:r>
            <w:r w:rsidR="00A62162">
              <w:rPr>
                <w:webHidden/>
              </w:rPr>
              <w:tab/>
            </w:r>
            <w:r w:rsidR="00A62162">
              <w:rPr>
                <w:webHidden/>
              </w:rPr>
              <w:fldChar w:fldCharType="begin"/>
            </w:r>
            <w:r w:rsidR="00A62162">
              <w:rPr>
                <w:webHidden/>
              </w:rPr>
              <w:instrText xml:space="preserve"> PAGEREF _Toc94773108 \h </w:instrText>
            </w:r>
            <w:r w:rsidR="00A62162">
              <w:rPr>
                <w:webHidden/>
              </w:rPr>
            </w:r>
            <w:r w:rsidR="00A62162">
              <w:rPr>
                <w:webHidden/>
              </w:rPr>
              <w:fldChar w:fldCharType="separate"/>
            </w:r>
            <w:r w:rsidR="00A62162">
              <w:rPr>
                <w:webHidden/>
              </w:rPr>
              <w:t>50</w:t>
            </w:r>
            <w:r w:rsidR="00A62162">
              <w:rPr>
                <w:webHidden/>
              </w:rPr>
              <w:fldChar w:fldCharType="end"/>
            </w:r>
          </w:hyperlink>
        </w:p>
        <w:p w14:paraId="4261F414" w14:textId="5FD893C0" w:rsidR="00A62162" w:rsidRDefault="003A7F61">
          <w:pPr>
            <w:pStyle w:val="TOC2"/>
            <w:rPr>
              <w:rFonts w:asciiTheme="minorHAnsi" w:eastAsiaTheme="minorEastAsia" w:hAnsiTheme="minorHAnsi" w:cstheme="minorBidi"/>
              <w:spacing w:val="0"/>
              <w:sz w:val="22"/>
              <w:szCs w:val="22"/>
            </w:rPr>
          </w:pPr>
          <w:hyperlink w:anchor="_Toc94773109" w:history="1">
            <w:r w:rsidR="00A62162" w:rsidRPr="00377713">
              <w:rPr>
                <w:rStyle w:val="Hyperlink"/>
              </w:rPr>
              <w:t>D.3 Protection ratio correction factors</w:t>
            </w:r>
            <w:r w:rsidR="00A62162">
              <w:rPr>
                <w:webHidden/>
              </w:rPr>
              <w:tab/>
            </w:r>
            <w:r w:rsidR="00A62162">
              <w:rPr>
                <w:webHidden/>
              </w:rPr>
              <w:fldChar w:fldCharType="begin"/>
            </w:r>
            <w:r w:rsidR="00A62162">
              <w:rPr>
                <w:webHidden/>
              </w:rPr>
              <w:instrText xml:space="preserve"> PAGEREF _Toc94773109 \h </w:instrText>
            </w:r>
            <w:r w:rsidR="00A62162">
              <w:rPr>
                <w:webHidden/>
              </w:rPr>
            </w:r>
            <w:r w:rsidR="00A62162">
              <w:rPr>
                <w:webHidden/>
              </w:rPr>
              <w:fldChar w:fldCharType="separate"/>
            </w:r>
            <w:r w:rsidR="00A62162">
              <w:rPr>
                <w:webHidden/>
              </w:rPr>
              <w:t>51</w:t>
            </w:r>
            <w:r w:rsidR="00A62162">
              <w:rPr>
                <w:webHidden/>
              </w:rPr>
              <w:fldChar w:fldCharType="end"/>
            </w:r>
          </w:hyperlink>
        </w:p>
        <w:p w14:paraId="42DD6D38" w14:textId="1A7FE82D" w:rsidR="00A62162" w:rsidRDefault="003A7F61">
          <w:pPr>
            <w:pStyle w:val="TOC1"/>
            <w:rPr>
              <w:rFonts w:asciiTheme="minorHAnsi" w:eastAsiaTheme="minorEastAsia" w:hAnsiTheme="minorHAnsi" w:cstheme="minorBidi"/>
              <w:b w:val="0"/>
              <w:spacing w:val="0"/>
              <w:sz w:val="22"/>
              <w:szCs w:val="22"/>
            </w:rPr>
          </w:pPr>
          <w:hyperlink w:anchor="_Toc94773110" w:history="1">
            <w:r w:rsidR="00A62162" w:rsidRPr="00377713">
              <w:rPr>
                <w:rStyle w:val="Hyperlink"/>
              </w:rPr>
              <w:t>Appendix E: Calculating antenna off-axis angle in two dimensions</w:t>
            </w:r>
            <w:r w:rsidR="00A62162">
              <w:rPr>
                <w:webHidden/>
              </w:rPr>
              <w:tab/>
            </w:r>
            <w:r w:rsidR="00A62162">
              <w:rPr>
                <w:webHidden/>
              </w:rPr>
              <w:fldChar w:fldCharType="begin"/>
            </w:r>
            <w:r w:rsidR="00A62162">
              <w:rPr>
                <w:webHidden/>
              </w:rPr>
              <w:instrText xml:space="preserve"> PAGEREF _Toc94773110 \h </w:instrText>
            </w:r>
            <w:r w:rsidR="00A62162">
              <w:rPr>
                <w:webHidden/>
              </w:rPr>
            </w:r>
            <w:r w:rsidR="00A62162">
              <w:rPr>
                <w:webHidden/>
              </w:rPr>
              <w:fldChar w:fldCharType="separate"/>
            </w:r>
            <w:r w:rsidR="00A62162">
              <w:rPr>
                <w:webHidden/>
              </w:rPr>
              <w:t>52</w:t>
            </w:r>
            <w:r w:rsidR="00A62162">
              <w:rPr>
                <w:webHidden/>
              </w:rPr>
              <w:fldChar w:fldCharType="end"/>
            </w:r>
          </w:hyperlink>
        </w:p>
        <w:p w14:paraId="43B3E1E6" w14:textId="63D3E99A" w:rsidR="00A62162" w:rsidRDefault="003A7F61">
          <w:pPr>
            <w:pStyle w:val="TOC1"/>
            <w:rPr>
              <w:rFonts w:asciiTheme="minorHAnsi" w:eastAsiaTheme="minorEastAsia" w:hAnsiTheme="minorHAnsi" w:cstheme="minorBidi"/>
              <w:b w:val="0"/>
              <w:spacing w:val="0"/>
              <w:sz w:val="22"/>
              <w:szCs w:val="22"/>
            </w:rPr>
          </w:pPr>
          <w:hyperlink w:anchor="_Toc94773111" w:history="1">
            <w:r w:rsidR="00A62162" w:rsidRPr="00377713">
              <w:rPr>
                <w:rStyle w:val="Hyperlink"/>
              </w:rPr>
              <w:t>Appendix F: Calculating antenna off-axis angle in three dimensions</w:t>
            </w:r>
            <w:r w:rsidR="00A62162">
              <w:rPr>
                <w:webHidden/>
              </w:rPr>
              <w:tab/>
            </w:r>
            <w:r w:rsidR="00A62162">
              <w:rPr>
                <w:webHidden/>
              </w:rPr>
              <w:fldChar w:fldCharType="begin"/>
            </w:r>
            <w:r w:rsidR="00A62162">
              <w:rPr>
                <w:webHidden/>
              </w:rPr>
              <w:instrText xml:space="preserve"> PAGEREF _Toc94773111 \h </w:instrText>
            </w:r>
            <w:r w:rsidR="00A62162">
              <w:rPr>
                <w:webHidden/>
              </w:rPr>
            </w:r>
            <w:r w:rsidR="00A62162">
              <w:rPr>
                <w:webHidden/>
              </w:rPr>
              <w:fldChar w:fldCharType="separate"/>
            </w:r>
            <w:r w:rsidR="00A62162">
              <w:rPr>
                <w:webHidden/>
              </w:rPr>
              <w:t>55</w:t>
            </w:r>
            <w:r w:rsidR="00A62162">
              <w:rPr>
                <w:webHidden/>
              </w:rPr>
              <w:fldChar w:fldCharType="end"/>
            </w:r>
          </w:hyperlink>
        </w:p>
        <w:p w14:paraId="66EE0540" w14:textId="74D039BB" w:rsidR="00A62162" w:rsidRDefault="003A7F61">
          <w:pPr>
            <w:pStyle w:val="TOC1"/>
            <w:rPr>
              <w:rFonts w:asciiTheme="minorHAnsi" w:eastAsiaTheme="minorEastAsia" w:hAnsiTheme="minorHAnsi" w:cstheme="minorBidi"/>
              <w:b w:val="0"/>
              <w:spacing w:val="0"/>
              <w:sz w:val="22"/>
              <w:szCs w:val="22"/>
            </w:rPr>
          </w:pPr>
          <w:hyperlink w:anchor="_Toc94773112" w:history="1">
            <w:r w:rsidR="00A62162" w:rsidRPr="00377713">
              <w:rPr>
                <w:rStyle w:val="Hyperlink"/>
              </w:rPr>
              <w:t>Appendix G: On-tune rejection</w:t>
            </w:r>
            <w:r w:rsidR="00A62162">
              <w:rPr>
                <w:webHidden/>
              </w:rPr>
              <w:tab/>
            </w:r>
            <w:r w:rsidR="00A62162">
              <w:rPr>
                <w:webHidden/>
              </w:rPr>
              <w:fldChar w:fldCharType="begin"/>
            </w:r>
            <w:r w:rsidR="00A62162">
              <w:rPr>
                <w:webHidden/>
              </w:rPr>
              <w:instrText xml:space="preserve"> PAGEREF _Toc94773112 \h </w:instrText>
            </w:r>
            <w:r w:rsidR="00A62162">
              <w:rPr>
                <w:webHidden/>
              </w:rPr>
            </w:r>
            <w:r w:rsidR="00A62162">
              <w:rPr>
                <w:webHidden/>
              </w:rPr>
              <w:fldChar w:fldCharType="separate"/>
            </w:r>
            <w:r w:rsidR="00A62162">
              <w:rPr>
                <w:webHidden/>
              </w:rPr>
              <w:t>56</w:t>
            </w:r>
            <w:r w:rsidR="00A62162">
              <w:rPr>
                <w:webHidden/>
              </w:rPr>
              <w:fldChar w:fldCharType="end"/>
            </w:r>
          </w:hyperlink>
        </w:p>
        <w:p w14:paraId="544C5A24" w14:textId="3D50F5A4" w:rsidR="00A62162" w:rsidRDefault="003A7F61">
          <w:pPr>
            <w:pStyle w:val="TOC1"/>
            <w:rPr>
              <w:rFonts w:asciiTheme="minorHAnsi" w:eastAsiaTheme="minorEastAsia" w:hAnsiTheme="minorHAnsi" w:cstheme="minorBidi"/>
              <w:b w:val="0"/>
              <w:spacing w:val="0"/>
              <w:sz w:val="22"/>
              <w:szCs w:val="22"/>
            </w:rPr>
          </w:pPr>
          <w:hyperlink w:anchor="_Toc94773113" w:history="1">
            <w:r w:rsidR="00A62162" w:rsidRPr="00377713">
              <w:rPr>
                <w:rStyle w:val="Hyperlink"/>
              </w:rPr>
              <w:t>Appendix H: Coexistence with space-receive stations</w:t>
            </w:r>
            <w:r w:rsidR="00A62162">
              <w:rPr>
                <w:webHidden/>
              </w:rPr>
              <w:tab/>
            </w:r>
            <w:r w:rsidR="00A62162">
              <w:rPr>
                <w:webHidden/>
              </w:rPr>
              <w:fldChar w:fldCharType="begin"/>
            </w:r>
            <w:r w:rsidR="00A62162">
              <w:rPr>
                <w:webHidden/>
              </w:rPr>
              <w:instrText xml:space="preserve"> PAGEREF _Toc94773113 \h </w:instrText>
            </w:r>
            <w:r w:rsidR="00A62162">
              <w:rPr>
                <w:webHidden/>
              </w:rPr>
            </w:r>
            <w:r w:rsidR="00A62162">
              <w:rPr>
                <w:webHidden/>
              </w:rPr>
              <w:fldChar w:fldCharType="separate"/>
            </w:r>
            <w:r w:rsidR="00A62162">
              <w:rPr>
                <w:webHidden/>
              </w:rPr>
              <w:t>57</w:t>
            </w:r>
            <w:r w:rsidR="00A62162">
              <w:rPr>
                <w:webHidden/>
              </w:rPr>
              <w:fldChar w:fldCharType="end"/>
            </w:r>
          </w:hyperlink>
        </w:p>
        <w:p w14:paraId="7E54A57F" w14:textId="102AF484" w:rsidR="00097D72" w:rsidRDefault="00097D72">
          <w:r>
            <w:rPr>
              <w:b/>
              <w:bCs/>
              <w:noProof/>
            </w:rPr>
            <w:fldChar w:fldCharType="end"/>
          </w:r>
        </w:p>
      </w:sdtContent>
    </w:sdt>
    <w:p w14:paraId="105DFB97" w14:textId="77777777" w:rsidR="00097D72" w:rsidRDefault="00097D72" w:rsidP="00097D72">
      <w:bookmarkStart w:id="1" w:name="_Toc8983846"/>
      <w:bookmarkStart w:id="2" w:name="_Toc8986370"/>
    </w:p>
    <w:p w14:paraId="00898C7A" w14:textId="77777777" w:rsidR="001F0E76" w:rsidRPr="00420CAF" w:rsidRDefault="001F0E76" w:rsidP="00420CAF">
      <w:pPr>
        <w:sectPr w:rsidR="001F0E76" w:rsidRPr="00420CAF" w:rsidSect="00822B3D">
          <w:type w:val="oddPage"/>
          <w:pgSz w:w="11906" w:h="16838"/>
          <w:pgMar w:top="1440" w:right="1440" w:bottom="1440" w:left="1440" w:header="708" w:footer="708" w:gutter="0"/>
          <w:pgNumType w:fmt="lowerRoman" w:start="2"/>
          <w:cols w:space="708"/>
          <w:docGrid w:linePitch="360"/>
        </w:sectPr>
      </w:pPr>
    </w:p>
    <w:p w14:paraId="37DED5C6" w14:textId="77777777" w:rsidR="004A13A7" w:rsidRPr="00923D7A" w:rsidRDefault="004A13A7" w:rsidP="000B27C0">
      <w:pPr>
        <w:pStyle w:val="Heading1"/>
      </w:pPr>
      <w:bookmarkStart w:id="3" w:name="_Toc94773059"/>
      <w:r w:rsidRPr="000B27C0">
        <w:lastRenderedPageBreak/>
        <w:t>Introduction</w:t>
      </w:r>
      <w:bookmarkEnd w:id="0"/>
      <w:bookmarkEnd w:id="1"/>
      <w:bookmarkEnd w:id="2"/>
      <w:bookmarkEnd w:id="3"/>
    </w:p>
    <w:p w14:paraId="7ABBE245" w14:textId="77777777" w:rsidR="004A13A7" w:rsidRPr="00DE7566" w:rsidRDefault="004A13A7" w:rsidP="00254146">
      <w:pPr>
        <w:pStyle w:val="Heading2"/>
      </w:pPr>
      <w:bookmarkStart w:id="4" w:name="_Toc6298710"/>
      <w:bookmarkStart w:id="5" w:name="_Toc8983847"/>
      <w:bookmarkStart w:id="6" w:name="_Toc8986371"/>
      <w:bookmarkStart w:id="7" w:name="_Toc94773060"/>
      <w:r w:rsidRPr="00DE7566">
        <w:t>Purpose</w:t>
      </w:r>
      <w:bookmarkEnd w:id="4"/>
      <w:bookmarkEnd w:id="5"/>
      <w:bookmarkEnd w:id="6"/>
      <w:bookmarkEnd w:id="7"/>
    </w:p>
    <w:p w14:paraId="2DC719CB" w14:textId="3A0F6835" w:rsidR="002342D0" w:rsidRDefault="004A13A7" w:rsidP="003C6FC5">
      <w:pPr>
        <w:spacing w:after="80"/>
        <w:rPr>
          <w:szCs w:val="22"/>
        </w:rPr>
      </w:pPr>
      <w:r w:rsidRPr="00AF06C8">
        <w:rPr>
          <w:szCs w:val="22"/>
        </w:rPr>
        <w:t xml:space="preserve">The purpose of this Radiocommunications Assignment and Licensing Instruction (RALI) is to </w:t>
      </w:r>
    </w:p>
    <w:p w14:paraId="053F524A" w14:textId="2874AA67" w:rsidR="00BA3DBC" w:rsidRPr="00BA3DBC" w:rsidRDefault="001216BB" w:rsidP="002342D0">
      <w:pPr>
        <w:pStyle w:val="ListBullet"/>
        <w:rPr>
          <w:rFonts w:cs="Arial"/>
        </w:rPr>
      </w:pPr>
      <w:r>
        <w:rPr>
          <w:rFonts w:cs="Arial"/>
        </w:rPr>
        <w:t xml:space="preserve">Outline the apparatus licence types that are permitted to be issued in the </w:t>
      </w:r>
      <w:r w:rsidR="00BA3DBC">
        <w:rPr>
          <w:rFonts w:cs="Arial"/>
        </w:rPr>
        <w:t xml:space="preserve">24.7-30 GHz range </w:t>
      </w:r>
    </w:p>
    <w:p w14:paraId="2F938051" w14:textId="77777777" w:rsidR="004D32BE" w:rsidRPr="004D32BE" w:rsidRDefault="004D32BE" w:rsidP="002342D0">
      <w:pPr>
        <w:pStyle w:val="ListBullet"/>
        <w:rPr>
          <w:rFonts w:cs="Arial"/>
        </w:rPr>
      </w:pPr>
      <w:r w:rsidRPr="00AF06C8">
        <w:rPr>
          <w:szCs w:val="22"/>
        </w:rPr>
        <w:t>provide</w:t>
      </w:r>
      <w:r>
        <w:rPr>
          <w:szCs w:val="22"/>
        </w:rPr>
        <w:t xml:space="preserve"> information about, and describe the necessary steps for:</w:t>
      </w:r>
    </w:p>
    <w:p w14:paraId="27EE8F0D" w14:textId="680C011C" w:rsidR="002342D0" w:rsidRPr="000463AC" w:rsidRDefault="002342D0" w:rsidP="00103034">
      <w:pPr>
        <w:pStyle w:val="ListBullet"/>
        <w:tabs>
          <w:tab w:val="clear" w:pos="295"/>
          <w:tab w:val="num" w:pos="579"/>
        </w:tabs>
        <w:ind w:left="579"/>
        <w:rPr>
          <w:rFonts w:cs="Arial"/>
        </w:rPr>
      </w:pPr>
      <w:r>
        <w:t xml:space="preserve">administratively </w:t>
      </w:r>
      <w:r w:rsidR="00C80A97">
        <w:t xml:space="preserve">issuing area-wide </w:t>
      </w:r>
      <w:r w:rsidR="006E5830">
        <w:t xml:space="preserve">apparatus </w:t>
      </w:r>
      <w:r w:rsidR="00C80A97">
        <w:t>licences</w:t>
      </w:r>
      <w:r w:rsidR="004311C7">
        <w:t xml:space="preserve"> (AWLs)</w:t>
      </w:r>
      <w:r w:rsidR="00C80A97">
        <w:t xml:space="preserve"> in the 26</w:t>
      </w:r>
      <w:r w:rsidR="00C30780">
        <w:t> </w:t>
      </w:r>
      <w:r w:rsidR="00C80A97">
        <w:t>GHz (24.7-27.5 GHz) and 28 GHz (27.5-</w:t>
      </w:r>
      <w:r w:rsidR="003558DF">
        <w:t>30</w:t>
      </w:r>
      <w:r w:rsidR="00C80A97">
        <w:t xml:space="preserve"> GHz) bands</w:t>
      </w:r>
      <w:r w:rsidR="0070227D">
        <w:t xml:space="preserve"> (referred to collectively as the 26/28 GHz bands)</w:t>
      </w:r>
      <w:r w:rsidR="00C80A97">
        <w:t xml:space="preserve">, and </w:t>
      </w:r>
    </w:p>
    <w:p w14:paraId="14E47877" w14:textId="632F481E" w:rsidR="004A13A7" w:rsidRPr="00AF06C8" w:rsidRDefault="00C80A97" w:rsidP="00103034">
      <w:pPr>
        <w:pStyle w:val="ListBulletLast"/>
        <w:tabs>
          <w:tab w:val="clear" w:pos="295"/>
          <w:tab w:val="num" w:pos="596"/>
        </w:tabs>
        <w:ind w:left="596"/>
      </w:pPr>
      <w:r>
        <w:t>the coordination</w:t>
      </w:r>
      <w:r w:rsidR="00371E25">
        <w:t xml:space="preserve"> </w:t>
      </w:r>
      <w:r>
        <w:t>of devices operated under these licences.</w:t>
      </w:r>
      <w:r w:rsidR="003A3FFF">
        <w:t xml:space="preserve"> </w:t>
      </w:r>
    </w:p>
    <w:p w14:paraId="1BEE2967" w14:textId="5F54E644" w:rsidR="004A13A7" w:rsidRPr="00AF06C8" w:rsidRDefault="004A13A7" w:rsidP="00AF06C8">
      <w:pPr>
        <w:rPr>
          <w:szCs w:val="22"/>
        </w:rPr>
      </w:pPr>
      <w:r w:rsidRPr="00AF06C8">
        <w:rPr>
          <w:szCs w:val="22"/>
        </w:rPr>
        <w:t>The information in this document reflects the ACMA’s statement of current policy in relation to</w:t>
      </w:r>
      <w:r w:rsidR="001400CD">
        <w:rPr>
          <w:szCs w:val="22"/>
        </w:rPr>
        <w:t xml:space="preserve"> devices authorised under an </w:t>
      </w:r>
      <w:r w:rsidR="004311C7">
        <w:rPr>
          <w:szCs w:val="22"/>
        </w:rPr>
        <w:t>AWL</w:t>
      </w:r>
      <w:r w:rsidR="001400CD">
        <w:rPr>
          <w:szCs w:val="22"/>
        </w:rPr>
        <w:t xml:space="preserve"> in the 26</w:t>
      </w:r>
      <w:r w:rsidR="0070227D">
        <w:rPr>
          <w:szCs w:val="22"/>
        </w:rPr>
        <w:t>/</w:t>
      </w:r>
      <w:r w:rsidR="001F4FF7">
        <w:rPr>
          <w:szCs w:val="22"/>
        </w:rPr>
        <w:t xml:space="preserve">28 GHz </w:t>
      </w:r>
      <w:r w:rsidR="001400CD">
        <w:rPr>
          <w:szCs w:val="22"/>
        </w:rPr>
        <w:t>band</w:t>
      </w:r>
      <w:r w:rsidR="001F4FF7">
        <w:rPr>
          <w:szCs w:val="22"/>
        </w:rPr>
        <w:t>s</w:t>
      </w:r>
      <w:r w:rsidR="001400CD">
        <w:rPr>
          <w:szCs w:val="22"/>
        </w:rPr>
        <w:t xml:space="preserve">. </w:t>
      </w:r>
      <w:r w:rsidRPr="00AF06C8">
        <w:rPr>
          <w:rFonts w:cs="Calibri"/>
          <w:szCs w:val="22"/>
        </w:rPr>
        <w:t xml:space="preserve">In making decisions, </w:t>
      </w:r>
      <w:r w:rsidRPr="00AF06C8">
        <w:rPr>
          <w:rFonts w:cstheme="minorHAnsi"/>
          <w:szCs w:val="22"/>
        </w:rPr>
        <w:t xml:space="preserve">accredited frequency assigners and the ACMA’s officers </w:t>
      </w:r>
      <w:r w:rsidRPr="00AF06C8">
        <w:rPr>
          <w:rFonts w:cs="Calibri"/>
          <w:szCs w:val="22"/>
        </w:rPr>
        <w:t xml:space="preserve">should take all relevant factors into account and decide each case on its merits. Issues relating to this document that appear to fall outside the enunciated </w:t>
      </w:r>
      <w:r w:rsidRPr="00AF06C8">
        <w:rPr>
          <w:rFonts w:cstheme="minorHAnsi"/>
          <w:szCs w:val="22"/>
        </w:rPr>
        <w:t xml:space="preserve">policy should be referred </w:t>
      </w:r>
      <w:r w:rsidRPr="00AF06C8">
        <w:rPr>
          <w:szCs w:val="22"/>
        </w:rPr>
        <w:t>to:</w:t>
      </w:r>
    </w:p>
    <w:p w14:paraId="1AB7026D" w14:textId="77777777" w:rsidR="004A13A7" w:rsidRPr="00AF06C8" w:rsidRDefault="004A13A7" w:rsidP="00AF06C8">
      <w:pPr>
        <w:rPr>
          <w:szCs w:val="22"/>
        </w:rPr>
      </w:pPr>
      <w:r w:rsidRPr="00AF06C8">
        <w:rPr>
          <w:szCs w:val="22"/>
        </w:rPr>
        <w:t xml:space="preserve">The Manager, Spectrum </w:t>
      </w:r>
      <w:r w:rsidR="00746A68">
        <w:rPr>
          <w:szCs w:val="22"/>
        </w:rPr>
        <w:t>Planning Section</w:t>
      </w:r>
      <w:r w:rsidRPr="00AF06C8">
        <w:rPr>
          <w:szCs w:val="22"/>
        </w:rPr>
        <w:br/>
        <w:t>Australian Communications and Media Authority</w:t>
      </w:r>
      <w:r w:rsidRPr="00AF06C8">
        <w:rPr>
          <w:szCs w:val="22"/>
        </w:rPr>
        <w:br/>
        <w:t xml:space="preserve">PO Box 78 </w:t>
      </w:r>
      <w:r w:rsidRPr="00AF06C8">
        <w:rPr>
          <w:szCs w:val="22"/>
        </w:rPr>
        <w:br/>
        <w:t>Belconnen ACT 2616</w:t>
      </w:r>
    </w:p>
    <w:p w14:paraId="79E4D74D" w14:textId="0E09DC26" w:rsidR="004A13A7" w:rsidRDefault="004A13A7" w:rsidP="00AF06C8">
      <w:pPr>
        <w:rPr>
          <w:rFonts w:cstheme="minorHAnsi"/>
          <w:szCs w:val="22"/>
        </w:rPr>
      </w:pPr>
      <w:r w:rsidRPr="00AF06C8">
        <w:rPr>
          <w:rFonts w:cstheme="minorHAnsi"/>
          <w:szCs w:val="22"/>
        </w:rPr>
        <w:t xml:space="preserve">or by email to: </w:t>
      </w:r>
      <w:hyperlink r:id="rId12" w:history="1">
        <w:r w:rsidRPr="00AF06C8">
          <w:rPr>
            <w:rStyle w:val="Hyperlink"/>
            <w:rFonts w:cstheme="minorHAnsi"/>
            <w:szCs w:val="22"/>
          </w:rPr>
          <w:t>freqplan@acma.gov.au</w:t>
        </w:r>
      </w:hyperlink>
      <w:r w:rsidRPr="00AF06C8">
        <w:rPr>
          <w:rFonts w:cstheme="minorHAnsi"/>
          <w:szCs w:val="22"/>
        </w:rPr>
        <w:t>.</w:t>
      </w:r>
    </w:p>
    <w:tbl>
      <w:tblPr>
        <w:tblStyle w:val="TableGrid"/>
        <w:tblW w:w="0" w:type="auto"/>
        <w:tblLook w:val="04A0" w:firstRow="1" w:lastRow="0" w:firstColumn="1" w:lastColumn="0" w:noHBand="0" w:noVBand="1"/>
      </w:tblPr>
      <w:tblGrid>
        <w:gridCol w:w="7661"/>
      </w:tblGrid>
      <w:tr w:rsidR="002A48C2" w14:paraId="1132B9B1" w14:textId="77777777" w:rsidTr="002A48C2">
        <w:tc>
          <w:tcPr>
            <w:tcW w:w="7661" w:type="dxa"/>
          </w:tcPr>
          <w:p w14:paraId="05CC7F0D" w14:textId="3953C50A" w:rsidR="002A48C2" w:rsidRPr="00E76C89" w:rsidRDefault="002A48C2" w:rsidP="00E76C89">
            <w:r>
              <w:t xml:space="preserve">Some parts of this RALI are incorporated by reference into legislative instruments. The ACMA will </w:t>
            </w:r>
            <w:r w:rsidR="00CD665E">
              <w:t xml:space="preserve">undertake public consultation prior to </w:t>
            </w:r>
            <w:r>
              <w:t>mak</w:t>
            </w:r>
            <w:r w:rsidR="00CD665E">
              <w:t>ing</w:t>
            </w:r>
            <w:r>
              <w:t xml:space="preserve"> any </w:t>
            </w:r>
            <w:r w:rsidR="00CD665E">
              <w:t>changes</w:t>
            </w:r>
            <w:r>
              <w:t xml:space="preserve"> to those parts.</w:t>
            </w:r>
            <w:r w:rsidRPr="00E76C89">
              <w:rPr>
                <w:rFonts w:cstheme="minorHAnsi"/>
                <w:szCs w:val="22"/>
              </w:rPr>
              <w:t xml:space="preserve"> </w:t>
            </w:r>
          </w:p>
        </w:tc>
      </w:tr>
    </w:tbl>
    <w:p w14:paraId="2B4F6164" w14:textId="77777777" w:rsidR="002A48C2" w:rsidRPr="00AF06C8" w:rsidRDefault="002A48C2" w:rsidP="00AF06C8">
      <w:pPr>
        <w:rPr>
          <w:rFonts w:cstheme="minorHAnsi"/>
          <w:szCs w:val="22"/>
        </w:rPr>
      </w:pPr>
    </w:p>
    <w:p w14:paraId="434B9277" w14:textId="70EBE531" w:rsidR="00A00C3E" w:rsidRDefault="00A00C3E" w:rsidP="00254146">
      <w:pPr>
        <w:pStyle w:val="Heading2"/>
      </w:pPr>
      <w:bookmarkStart w:id="8" w:name="_Ref83647151"/>
      <w:bookmarkStart w:id="9" w:name="_Toc94773061"/>
      <w:bookmarkStart w:id="10" w:name="_Toc6298711"/>
      <w:bookmarkStart w:id="11" w:name="_Toc8983848"/>
      <w:bookmarkStart w:id="12" w:name="_Toc8986372"/>
      <w:r>
        <w:t>Background</w:t>
      </w:r>
      <w:bookmarkEnd w:id="8"/>
      <w:bookmarkEnd w:id="9"/>
    </w:p>
    <w:p w14:paraId="509F0075" w14:textId="77777777" w:rsidR="00A00C3E" w:rsidRDefault="00A00C3E" w:rsidP="00A00C3E">
      <w:pPr>
        <w:rPr>
          <w:rFonts w:eastAsia="Batang"/>
          <w:szCs w:val="20"/>
        </w:rPr>
      </w:pPr>
      <w:r>
        <w:t xml:space="preserve">In April 2019, the ACMA released the </w:t>
      </w:r>
      <w:hyperlink r:id="rId13" w:history="1">
        <w:r>
          <w:rPr>
            <w:rStyle w:val="Hyperlink"/>
          </w:rPr>
          <w:t>Future use of the 26 GHz band—Planning decisions and preliminary views</w:t>
        </w:r>
      </w:hyperlink>
      <w:r>
        <w:t xml:space="preserve"> paper which: </w:t>
      </w:r>
    </w:p>
    <w:p w14:paraId="7EE17812" w14:textId="5F42106F" w:rsidR="00A00C3E" w:rsidRPr="006C6130" w:rsidRDefault="00A00C3E" w:rsidP="00103034">
      <w:pPr>
        <w:pStyle w:val="ListBullet"/>
      </w:pPr>
      <w:r w:rsidRPr="00D07789">
        <w:t>Identified the frequency range 25.1–27.5 GHz (the 26 GHz band) for spectrum licensing in 34 specified cities and regional centres.</w:t>
      </w:r>
    </w:p>
    <w:p w14:paraId="2AC83623" w14:textId="0EDAA645" w:rsidR="00A00C3E" w:rsidRPr="006C6130" w:rsidRDefault="00A00C3E" w:rsidP="00103034">
      <w:pPr>
        <w:pStyle w:val="ListBullet"/>
      </w:pPr>
      <w:r w:rsidRPr="006C6130">
        <w:t xml:space="preserve">Identified a range of apparatus and class licensing measures to facilitate a broad range of wireless broadband use cases in the 26 GHz band. </w:t>
      </w:r>
    </w:p>
    <w:p w14:paraId="5063C21F" w14:textId="75294C8D" w:rsidR="00A00C3E" w:rsidRDefault="00A00C3E" w:rsidP="00A00C3E">
      <w:pPr>
        <w:rPr>
          <w:rFonts w:cs="Arial"/>
          <w:szCs w:val="22"/>
        </w:rPr>
      </w:pPr>
      <w:r w:rsidRPr="006C6130">
        <w:rPr>
          <w:rFonts w:cs="Arial"/>
          <w:szCs w:val="22"/>
        </w:rPr>
        <w:t xml:space="preserve">These arrangements in the 26 GHz band are illustrated </w:t>
      </w:r>
      <w:r w:rsidR="00494BF1">
        <w:rPr>
          <w:rFonts w:cs="Arial"/>
          <w:szCs w:val="22"/>
        </w:rPr>
        <w:t>in Figure 1.</w:t>
      </w:r>
      <w:r w:rsidRPr="00D07789">
        <w:rPr>
          <w:rFonts w:cs="Arial"/>
          <w:szCs w:val="22"/>
        </w:rPr>
        <w:t xml:space="preserve">  </w:t>
      </w:r>
    </w:p>
    <w:p w14:paraId="4C6AB2DC" w14:textId="345C82A8" w:rsidR="00CF69AB" w:rsidRDefault="00CF69AB" w:rsidP="00A00C3E">
      <w:pPr>
        <w:rPr>
          <w:rFonts w:cs="Arial"/>
          <w:szCs w:val="22"/>
        </w:rPr>
      </w:pPr>
    </w:p>
    <w:p w14:paraId="5C0D2D9D" w14:textId="009BBDED" w:rsidR="00CF69AB" w:rsidRDefault="00CF69AB" w:rsidP="00A00C3E">
      <w:pPr>
        <w:rPr>
          <w:rFonts w:cs="Arial"/>
          <w:szCs w:val="22"/>
        </w:rPr>
      </w:pPr>
    </w:p>
    <w:p w14:paraId="71D1D10F" w14:textId="77777777" w:rsidR="00CF69AB" w:rsidRDefault="00CF69AB" w:rsidP="00A00C3E">
      <w:pPr>
        <w:rPr>
          <w:rFonts w:cs="Arial"/>
          <w:szCs w:val="22"/>
        </w:rPr>
      </w:pPr>
    </w:p>
    <w:p w14:paraId="6C27DB4C" w14:textId="49DAE28D" w:rsidR="00494BF1" w:rsidRPr="00D07789" w:rsidRDefault="00494BF1" w:rsidP="00103034">
      <w:pPr>
        <w:pStyle w:val="ACMAFigureHeader"/>
      </w:pPr>
      <w:r>
        <w:lastRenderedPageBreak/>
        <w:t>Licensing arrangements in 24.25-27.5 GHz</w:t>
      </w:r>
    </w:p>
    <w:p w14:paraId="1E1AF98D" w14:textId="77777777" w:rsidR="00A00C3E" w:rsidRPr="00103034" w:rsidRDefault="00A00C3E" w:rsidP="00A00C3E">
      <w:pPr>
        <w:pStyle w:val="Figure"/>
        <w:spacing w:after="120"/>
        <w:rPr>
          <w:rFonts w:ascii="Arial" w:hAnsi="Arial" w:cs="Arial"/>
          <w:sz w:val="22"/>
          <w:szCs w:val="22"/>
        </w:rPr>
      </w:pPr>
      <w:r w:rsidRPr="00103034">
        <w:rPr>
          <w:rFonts w:ascii="Arial" w:hAnsi="Arial" w:cs="Arial"/>
          <w:noProof/>
          <w:sz w:val="22"/>
          <w:szCs w:val="22"/>
        </w:rPr>
        <w:drawing>
          <wp:inline distT="0" distB="0" distL="0" distR="0" wp14:anchorId="720C0A45" wp14:editId="52F30063">
            <wp:extent cx="4857750" cy="1524000"/>
            <wp:effectExtent l="0" t="0" r="0" b="0"/>
            <wp:docPr id="18" name="Picture 18" descr="Planned arrangements for wireless broadband services in the &#10;26 GHz b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ned arrangements for wireless broadband services in the &#10;26 GHz band&#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0" cy="1524000"/>
                    </a:xfrm>
                    <a:prstGeom prst="rect">
                      <a:avLst/>
                    </a:prstGeom>
                    <a:noFill/>
                    <a:ln>
                      <a:noFill/>
                    </a:ln>
                  </pic:spPr>
                </pic:pic>
              </a:graphicData>
            </a:graphic>
          </wp:inline>
        </w:drawing>
      </w:r>
    </w:p>
    <w:p w14:paraId="0BE46B58" w14:textId="77777777" w:rsidR="00A00C3E" w:rsidRPr="00103034" w:rsidRDefault="00A00C3E" w:rsidP="00A00C3E">
      <w:pPr>
        <w:pStyle w:val="ListBullet"/>
        <w:keepNext/>
        <w:numPr>
          <w:ilvl w:val="0"/>
          <w:numId w:val="95"/>
        </w:numPr>
        <w:spacing w:before="40" w:after="40" w:line="240" w:lineRule="auto"/>
        <w:ind w:left="714" w:hanging="357"/>
        <w:rPr>
          <w:rFonts w:cs="Arial"/>
          <w:szCs w:val="22"/>
        </w:rPr>
      </w:pPr>
      <w:r w:rsidRPr="00103034">
        <w:rPr>
          <w:rFonts w:cs="Arial"/>
          <w:szCs w:val="22"/>
        </w:rPr>
        <w:t>Class-licensing for indoor use (Australia-wide).</w:t>
      </w:r>
    </w:p>
    <w:p w14:paraId="54F6CFA2" w14:textId="77777777" w:rsidR="00A00C3E" w:rsidRPr="00103034" w:rsidRDefault="00A00C3E" w:rsidP="00A00C3E">
      <w:pPr>
        <w:pStyle w:val="ListBullet"/>
        <w:keepNext/>
        <w:numPr>
          <w:ilvl w:val="0"/>
          <w:numId w:val="96"/>
        </w:numPr>
        <w:spacing w:before="40" w:after="40" w:line="240" w:lineRule="auto"/>
        <w:ind w:left="714" w:hanging="357"/>
        <w:rPr>
          <w:rFonts w:cs="Arial"/>
          <w:szCs w:val="22"/>
        </w:rPr>
      </w:pPr>
      <w:r w:rsidRPr="00103034">
        <w:rPr>
          <w:rFonts w:cs="Arial"/>
          <w:szCs w:val="22"/>
        </w:rPr>
        <w:t>Class-licensing for indoor and outdoor use (Australia-wide).</w:t>
      </w:r>
    </w:p>
    <w:p w14:paraId="1B884A54" w14:textId="5F3A9373" w:rsidR="00A00C3E" w:rsidRPr="00103034" w:rsidRDefault="00A00C3E" w:rsidP="00A00C3E">
      <w:pPr>
        <w:pStyle w:val="ListBullet"/>
        <w:keepNext/>
        <w:numPr>
          <w:ilvl w:val="0"/>
          <w:numId w:val="97"/>
        </w:numPr>
        <w:spacing w:before="40" w:after="40" w:line="240" w:lineRule="auto"/>
        <w:ind w:left="714" w:hanging="357"/>
        <w:rPr>
          <w:rFonts w:cs="Arial"/>
          <w:szCs w:val="22"/>
        </w:rPr>
      </w:pPr>
      <w:r w:rsidRPr="00103034">
        <w:rPr>
          <w:rFonts w:cs="Arial"/>
          <w:szCs w:val="22"/>
        </w:rPr>
        <w:t xml:space="preserve">Spectrum licensing </w:t>
      </w:r>
      <w:r w:rsidR="006D626F">
        <w:rPr>
          <w:rFonts w:cs="Arial"/>
          <w:szCs w:val="22"/>
        </w:rPr>
        <w:t xml:space="preserve">in </w:t>
      </w:r>
      <w:r w:rsidRPr="00103034">
        <w:rPr>
          <w:rFonts w:cs="Arial"/>
          <w:szCs w:val="22"/>
        </w:rPr>
        <w:t>defined areas.</w:t>
      </w:r>
      <w:r w:rsidR="006D626F">
        <w:rPr>
          <w:rStyle w:val="FootnoteReference"/>
          <w:rFonts w:cs="Arial"/>
          <w:szCs w:val="22"/>
        </w:rPr>
        <w:footnoteReference w:id="2"/>
      </w:r>
      <w:r w:rsidRPr="00103034">
        <w:rPr>
          <w:rFonts w:cs="Arial"/>
          <w:szCs w:val="22"/>
        </w:rPr>
        <w:t xml:space="preserve">  </w:t>
      </w:r>
    </w:p>
    <w:p w14:paraId="56982F23" w14:textId="4BF129D3" w:rsidR="00A00C3E" w:rsidRPr="00103034" w:rsidRDefault="00A00C3E" w:rsidP="00A00C3E">
      <w:pPr>
        <w:pStyle w:val="ListBullet"/>
        <w:keepNext/>
        <w:numPr>
          <w:ilvl w:val="0"/>
          <w:numId w:val="98"/>
        </w:numPr>
        <w:spacing w:before="40" w:after="40" w:line="240" w:lineRule="auto"/>
        <w:ind w:left="714" w:hanging="357"/>
        <w:rPr>
          <w:rFonts w:cs="Arial"/>
          <w:szCs w:val="22"/>
        </w:rPr>
      </w:pPr>
      <w:r w:rsidRPr="00103034">
        <w:rPr>
          <w:rFonts w:cs="Arial"/>
          <w:szCs w:val="22"/>
        </w:rPr>
        <w:t xml:space="preserve">Spectrum licensing with additional </w:t>
      </w:r>
      <w:r w:rsidR="003649D5">
        <w:rPr>
          <w:rFonts w:cs="Arial"/>
          <w:szCs w:val="22"/>
        </w:rPr>
        <w:t>fixed satellite service (</w:t>
      </w:r>
      <w:r w:rsidRPr="00103034">
        <w:rPr>
          <w:rFonts w:cs="Arial"/>
          <w:szCs w:val="22"/>
        </w:rPr>
        <w:t>FSS</w:t>
      </w:r>
      <w:r w:rsidR="003649D5">
        <w:rPr>
          <w:rFonts w:cs="Arial"/>
          <w:szCs w:val="22"/>
        </w:rPr>
        <w:t>)</w:t>
      </w:r>
      <w:r w:rsidRPr="00103034">
        <w:rPr>
          <w:rFonts w:cs="Arial"/>
          <w:szCs w:val="22"/>
        </w:rPr>
        <w:t xml:space="preserve"> coexistence conditions within certain areas.</w:t>
      </w:r>
    </w:p>
    <w:p w14:paraId="27553B84" w14:textId="2F3394C5" w:rsidR="00A00C3E" w:rsidRPr="00103034" w:rsidRDefault="00A00C3E" w:rsidP="00A00C3E">
      <w:pPr>
        <w:pStyle w:val="ListBullet"/>
        <w:keepNext/>
        <w:numPr>
          <w:ilvl w:val="0"/>
          <w:numId w:val="99"/>
        </w:numPr>
        <w:spacing w:before="40" w:after="40" w:line="240" w:lineRule="auto"/>
        <w:ind w:left="714" w:hanging="357"/>
        <w:rPr>
          <w:rFonts w:cs="Arial"/>
          <w:szCs w:val="22"/>
        </w:rPr>
      </w:pPr>
      <w:r w:rsidRPr="00103034">
        <w:rPr>
          <w:rFonts w:cs="Arial"/>
          <w:szCs w:val="22"/>
        </w:rPr>
        <w:t>Area</w:t>
      </w:r>
      <w:r w:rsidR="00606853">
        <w:rPr>
          <w:rFonts w:cs="Arial"/>
          <w:szCs w:val="22"/>
        </w:rPr>
        <w:t>-</w:t>
      </w:r>
      <w:r w:rsidRPr="00103034">
        <w:rPr>
          <w:rFonts w:cs="Arial"/>
          <w:szCs w:val="22"/>
        </w:rPr>
        <w:t xml:space="preserve">wide apparatus licensing (AWL) - Australia-wide. </w:t>
      </w:r>
    </w:p>
    <w:p w14:paraId="0BD8FCB7" w14:textId="1D17DFDA" w:rsidR="00A00C3E" w:rsidRPr="00103034" w:rsidRDefault="00A00C3E" w:rsidP="00A00C3E">
      <w:pPr>
        <w:pStyle w:val="ListBullet"/>
        <w:keepNext/>
        <w:numPr>
          <w:ilvl w:val="0"/>
          <w:numId w:val="100"/>
        </w:numPr>
        <w:spacing w:before="40" w:after="40" w:line="240" w:lineRule="auto"/>
        <w:ind w:left="714" w:hanging="357"/>
        <w:rPr>
          <w:rFonts w:cs="Arial"/>
          <w:szCs w:val="22"/>
        </w:rPr>
      </w:pPr>
      <w:r w:rsidRPr="00103034">
        <w:rPr>
          <w:rFonts w:cs="Arial"/>
          <w:szCs w:val="22"/>
        </w:rPr>
        <w:t>Area</w:t>
      </w:r>
      <w:r w:rsidR="00606853">
        <w:rPr>
          <w:rFonts w:cs="Arial"/>
          <w:szCs w:val="22"/>
        </w:rPr>
        <w:t>-</w:t>
      </w:r>
      <w:r w:rsidRPr="00103034">
        <w:rPr>
          <w:rFonts w:cs="Arial"/>
          <w:szCs w:val="22"/>
        </w:rPr>
        <w:t xml:space="preserve">wide apparatus licensing (AWL) - Australia-wide, except defined areas. </w:t>
      </w:r>
    </w:p>
    <w:p w14:paraId="1E63B014" w14:textId="2F4E108C" w:rsidR="00A00C3E" w:rsidRPr="00103034" w:rsidRDefault="00A00C3E" w:rsidP="00A00C3E">
      <w:pPr>
        <w:pStyle w:val="ListBullet"/>
        <w:keepNext/>
        <w:numPr>
          <w:ilvl w:val="0"/>
          <w:numId w:val="101"/>
        </w:numPr>
        <w:tabs>
          <w:tab w:val="left" w:pos="720"/>
        </w:tabs>
        <w:spacing w:before="40" w:after="40" w:line="240" w:lineRule="auto"/>
        <w:ind w:left="714" w:hanging="357"/>
        <w:rPr>
          <w:rFonts w:cs="Arial"/>
          <w:szCs w:val="22"/>
        </w:rPr>
      </w:pPr>
      <w:r w:rsidRPr="00103034">
        <w:rPr>
          <w:rFonts w:cs="Arial"/>
          <w:szCs w:val="22"/>
        </w:rPr>
        <w:t>Area</w:t>
      </w:r>
      <w:r w:rsidR="00606853">
        <w:rPr>
          <w:rFonts w:cs="Arial"/>
          <w:szCs w:val="22"/>
        </w:rPr>
        <w:t>-</w:t>
      </w:r>
      <w:r w:rsidRPr="00103034">
        <w:rPr>
          <w:rFonts w:cs="Arial"/>
          <w:szCs w:val="22"/>
        </w:rPr>
        <w:t>wide apparatus licensing (AWL) with additional conditions to protect FSS uplinks (Australia-wide except defined areas). New FSS earth stations will also be permitted, on a first-in-time coordinated basis with apparatus licensed wireless broadband services.</w:t>
      </w:r>
    </w:p>
    <w:p w14:paraId="3A566BE9" w14:textId="20EFF3F7" w:rsidR="00A00C3E" w:rsidRDefault="00A00C3E" w:rsidP="00103034">
      <w:pPr>
        <w:spacing w:before="240"/>
      </w:pPr>
      <w:r>
        <w:t xml:space="preserve">The ACMA also finalised its arrangements for </w:t>
      </w:r>
      <w:hyperlink r:id="rId15" w:history="1">
        <w:r w:rsidRPr="002032AD">
          <w:rPr>
            <w:rStyle w:val="Hyperlink"/>
            <w:bCs/>
          </w:rPr>
          <w:t>area-wide apparatus licensing in the 26</w:t>
        </w:r>
        <w:r w:rsidR="006D626F">
          <w:rPr>
            <w:rStyle w:val="Hyperlink"/>
            <w:bCs/>
          </w:rPr>
          <w:t>/</w:t>
        </w:r>
        <w:r w:rsidRPr="002032AD">
          <w:rPr>
            <w:rStyle w:val="Hyperlink"/>
            <w:bCs/>
          </w:rPr>
          <w:t>28 GHz bands</w:t>
        </w:r>
      </w:hyperlink>
      <w:r>
        <w:t xml:space="preserve"> in</w:t>
      </w:r>
      <w:r w:rsidR="00292E52">
        <w:t xml:space="preserve"> October</w:t>
      </w:r>
      <w:r>
        <w:t xml:space="preserve"> 2020, such that apparatus licences </w:t>
      </w:r>
      <w:r w:rsidR="00E4641B">
        <w:t>may</w:t>
      </w:r>
      <w:r>
        <w:t xml:space="preserve"> be issued</w:t>
      </w:r>
      <w:r w:rsidR="00E4641B">
        <w:t xml:space="preserve"> </w:t>
      </w:r>
      <w:r>
        <w:t>for:</w:t>
      </w:r>
    </w:p>
    <w:p w14:paraId="2076928D" w14:textId="77777777" w:rsidR="00A00C3E" w:rsidRDefault="00A00C3E" w:rsidP="00103034">
      <w:pPr>
        <w:pStyle w:val="ListBullet"/>
      </w:pPr>
      <w:r w:rsidRPr="00EE5342">
        <w:t xml:space="preserve">fixed and mobile wireless broadband </w:t>
      </w:r>
      <w:r>
        <w:t xml:space="preserve">(IMT-2020/5G) </w:t>
      </w:r>
      <w:r w:rsidRPr="00EE5342">
        <w:t>in the following frequency ranges:</w:t>
      </w:r>
    </w:p>
    <w:p w14:paraId="7FE0FAF1" w14:textId="77777777" w:rsidR="00A00C3E" w:rsidRPr="00EE5342" w:rsidRDefault="00A00C3E" w:rsidP="00103034">
      <w:pPr>
        <w:pStyle w:val="ListBullet"/>
        <w:tabs>
          <w:tab w:val="clear" w:pos="295"/>
          <w:tab w:val="num" w:pos="579"/>
        </w:tabs>
        <w:ind w:left="579"/>
      </w:pPr>
      <w:r w:rsidRPr="00EE5342">
        <w:t>24.7-25.1 GHz</w:t>
      </w:r>
      <w:r>
        <w:t xml:space="preserve"> Australia-wide</w:t>
      </w:r>
      <w:r w:rsidRPr="00EE5342">
        <w:t>,</w:t>
      </w:r>
    </w:p>
    <w:p w14:paraId="7507F9F1" w14:textId="6448ECCD" w:rsidR="00A00C3E" w:rsidRDefault="00A00C3E" w:rsidP="00103034">
      <w:pPr>
        <w:pStyle w:val="ListBullet"/>
        <w:tabs>
          <w:tab w:val="clear" w:pos="295"/>
          <w:tab w:val="num" w:pos="579"/>
        </w:tabs>
        <w:ind w:left="579"/>
      </w:pPr>
      <w:r>
        <w:t>25.1-27.5 GHz outside of defined areas,</w:t>
      </w:r>
    </w:p>
    <w:p w14:paraId="4E0C7F45" w14:textId="77777777" w:rsidR="00A00C3E" w:rsidRDefault="00A00C3E" w:rsidP="00103034">
      <w:pPr>
        <w:pStyle w:val="ListBullet"/>
      </w:pPr>
      <w:r>
        <w:t>fixed wireless access (FWA) in the following frequency ranges:</w:t>
      </w:r>
    </w:p>
    <w:p w14:paraId="507B697C" w14:textId="26C2E7BB" w:rsidR="00A00C3E" w:rsidRDefault="00A00C3E" w:rsidP="00103034">
      <w:pPr>
        <w:pStyle w:val="ListBullet"/>
        <w:tabs>
          <w:tab w:val="clear" w:pos="295"/>
          <w:tab w:val="num" w:pos="579"/>
        </w:tabs>
        <w:ind w:left="579"/>
      </w:pPr>
      <w:r>
        <w:t>27.5-28.1 GHz co-primary with coordinated FSS earth stations in the defined areas, but secondary to all FSS outside these areas,</w:t>
      </w:r>
    </w:p>
    <w:p w14:paraId="298A97B5" w14:textId="77777777" w:rsidR="00A00C3E" w:rsidRDefault="00A00C3E" w:rsidP="00103034">
      <w:pPr>
        <w:pStyle w:val="ListBullet"/>
        <w:tabs>
          <w:tab w:val="clear" w:pos="295"/>
          <w:tab w:val="num" w:pos="579"/>
        </w:tabs>
        <w:ind w:left="579"/>
      </w:pPr>
      <w:r>
        <w:t xml:space="preserve">28.1-29.5 GHz on secondary basis to FSS. </w:t>
      </w:r>
    </w:p>
    <w:p w14:paraId="4307F80D" w14:textId="1A40A0F8" w:rsidR="00494BF1" w:rsidRDefault="00A00C3E" w:rsidP="00A00C3E">
      <w:r>
        <w:t xml:space="preserve">Arrangements in the 28 GHz band are illustrated </w:t>
      </w:r>
      <w:r w:rsidR="00494BF1">
        <w:t>in Figure 2.</w:t>
      </w:r>
    </w:p>
    <w:p w14:paraId="00355988" w14:textId="67986F11" w:rsidR="00A00C3E" w:rsidRDefault="00A00C3E">
      <w:r>
        <w:t xml:space="preserve">  </w:t>
      </w:r>
    </w:p>
    <w:p w14:paraId="19B87161" w14:textId="1A0A8C40" w:rsidR="00A00C3E" w:rsidRDefault="00A00C3E" w:rsidP="00A00C3E">
      <w:pPr>
        <w:tabs>
          <w:tab w:val="left" w:pos="1134"/>
          <w:tab w:val="left" w:pos="1871"/>
          <w:tab w:val="left" w:pos="2268"/>
        </w:tabs>
        <w:overflowPunct w:val="0"/>
        <w:autoSpaceDE w:val="0"/>
        <w:autoSpaceDN w:val="0"/>
        <w:adjustRightInd w:val="0"/>
        <w:snapToGrid w:val="0"/>
        <w:spacing w:afterLines="50" w:after="120"/>
        <w:textAlignment w:val="baseline"/>
      </w:pPr>
    </w:p>
    <w:p w14:paraId="21B33C62" w14:textId="742039DD" w:rsidR="00494BF1" w:rsidRDefault="00494BF1" w:rsidP="00A00C3E">
      <w:pPr>
        <w:tabs>
          <w:tab w:val="left" w:pos="1134"/>
          <w:tab w:val="left" w:pos="1871"/>
          <w:tab w:val="left" w:pos="2268"/>
        </w:tabs>
        <w:overflowPunct w:val="0"/>
        <w:autoSpaceDE w:val="0"/>
        <w:autoSpaceDN w:val="0"/>
        <w:adjustRightInd w:val="0"/>
        <w:snapToGrid w:val="0"/>
        <w:spacing w:afterLines="50" w:after="120"/>
        <w:textAlignment w:val="baseline"/>
      </w:pPr>
    </w:p>
    <w:p w14:paraId="2FC4F026" w14:textId="332853DE" w:rsidR="00A00C3E" w:rsidRPr="00103034" w:rsidRDefault="00D07789" w:rsidP="00103034">
      <w:pPr>
        <w:pStyle w:val="ACMAFigureHeader"/>
      </w:pPr>
      <w:r>
        <w:rPr>
          <w:noProof/>
          <w:lang w:val="en-GB" w:eastAsia="en-US"/>
        </w:rPr>
        <w:lastRenderedPageBreak/>
        <mc:AlternateContent>
          <mc:Choice Requires="wps">
            <w:drawing>
              <wp:anchor distT="0" distB="0" distL="114300" distR="114300" simplePos="0" relativeHeight="251658242" behindDoc="0" locked="0" layoutInCell="1" allowOverlap="1" wp14:anchorId="708CC2AB" wp14:editId="4E32E20F">
                <wp:simplePos x="0" y="0"/>
                <wp:positionH relativeFrom="column">
                  <wp:posOffset>3810</wp:posOffset>
                </wp:positionH>
                <wp:positionV relativeFrom="paragraph">
                  <wp:posOffset>309245</wp:posOffset>
                </wp:positionV>
                <wp:extent cx="1457325" cy="762000"/>
                <wp:effectExtent l="0" t="0" r="28575" b="19050"/>
                <wp:wrapTopAndBottom/>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7325" cy="762000"/>
                        </a:xfrm>
                        <a:prstGeom prst="rect">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933C9B5" w14:textId="07819041" w:rsidR="00494BF1" w:rsidRPr="00103034" w:rsidRDefault="00494BF1" w:rsidP="00103034">
                            <w:pPr>
                              <w:spacing w:after="0"/>
                              <w:jc w:val="center"/>
                              <w:rPr>
                                <w:color w:val="000000" w:themeColor="text1"/>
                                <w:sz w:val="14"/>
                                <w:szCs w:val="14"/>
                              </w:rPr>
                            </w:pPr>
                            <w:r w:rsidRPr="00103034">
                              <w:rPr>
                                <w:color w:val="000000" w:themeColor="text1"/>
                                <w:sz w:val="14"/>
                                <w:szCs w:val="14"/>
                              </w:rPr>
                              <w:t>27.5-28.1 GHz (600 MHz)</w:t>
                            </w:r>
                          </w:p>
                          <w:p w14:paraId="1087C896" w14:textId="38216006" w:rsidR="00494BF1" w:rsidRPr="00103034" w:rsidRDefault="00494BF1" w:rsidP="00103034">
                            <w:pPr>
                              <w:spacing w:after="0"/>
                              <w:jc w:val="center"/>
                              <w:rPr>
                                <w:color w:val="000000" w:themeColor="text1"/>
                                <w:sz w:val="14"/>
                                <w:szCs w:val="14"/>
                              </w:rPr>
                            </w:pPr>
                            <w:r w:rsidRPr="00103034">
                              <w:rPr>
                                <w:color w:val="000000" w:themeColor="text1"/>
                                <w:sz w:val="14"/>
                                <w:szCs w:val="14"/>
                              </w:rPr>
                              <w:t>I</w:t>
                            </w:r>
                            <w:r w:rsidR="00BA6EC8">
                              <w:rPr>
                                <w:color w:val="000000" w:themeColor="text1"/>
                                <w:sz w:val="14"/>
                                <w:szCs w:val="14"/>
                              </w:rPr>
                              <w:t>NSIDE DEFINED AREAS</w:t>
                            </w:r>
                          </w:p>
                          <w:p w14:paraId="5BAA46C0" w14:textId="5079EB64" w:rsidR="00494BF1" w:rsidRDefault="00494BF1" w:rsidP="00103034">
                            <w:pPr>
                              <w:spacing w:after="0"/>
                              <w:jc w:val="center"/>
                              <w:rPr>
                                <w:color w:val="000000" w:themeColor="text1"/>
                                <w:sz w:val="14"/>
                                <w:szCs w:val="14"/>
                              </w:rPr>
                            </w:pPr>
                            <w:r w:rsidRPr="00103034">
                              <w:rPr>
                                <w:color w:val="000000" w:themeColor="text1"/>
                                <w:sz w:val="14"/>
                                <w:szCs w:val="14"/>
                              </w:rPr>
                              <w:t>Primary: FWA/FSS gateway</w:t>
                            </w:r>
                          </w:p>
                          <w:p w14:paraId="70482B93" w14:textId="5F2BC3D2" w:rsidR="00494BF1" w:rsidRDefault="00494BF1" w:rsidP="00494BF1">
                            <w:pPr>
                              <w:jc w:val="center"/>
                              <w:rPr>
                                <w:color w:val="000000" w:themeColor="text1"/>
                                <w:sz w:val="14"/>
                                <w:szCs w:val="14"/>
                              </w:rPr>
                            </w:pPr>
                            <w:r>
                              <w:rPr>
                                <w:color w:val="000000" w:themeColor="text1"/>
                                <w:sz w:val="14"/>
                                <w:szCs w:val="14"/>
                              </w:rPr>
                              <w:t xml:space="preserve">Secondary: </w:t>
                            </w:r>
                            <w:r w:rsidR="00FF4EF5">
                              <w:rPr>
                                <w:color w:val="000000" w:themeColor="text1"/>
                                <w:sz w:val="14"/>
                                <w:szCs w:val="14"/>
                              </w:rPr>
                              <w:t>Ubiquitous FSS*</w:t>
                            </w:r>
                          </w:p>
                          <w:p w14:paraId="40B62F3B" w14:textId="77777777" w:rsidR="00494BF1" w:rsidRPr="00103034" w:rsidRDefault="00494BF1" w:rsidP="00494BF1">
                            <w:pPr>
                              <w:jc w:val="center"/>
                              <w:rPr>
                                <w:color w:val="000000" w:themeColor="text1"/>
                                <w:sz w:val="14"/>
                                <w:szCs w:val="14"/>
                              </w:rPr>
                            </w:pPr>
                          </w:p>
                          <w:p w14:paraId="18E5CE53" w14:textId="77777777" w:rsidR="00494BF1" w:rsidRPr="00103034" w:rsidRDefault="00494BF1" w:rsidP="00103034">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CC2AB" id="Rectangle 4" o:spid="_x0000_s1026" alt="&quot;&quot;" style="position:absolute;left:0;text-align:left;margin-left:.3pt;margin-top:24.35pt;width:114.75pt;height:60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" fillcolor="yellow" strokecolor="#243f60 [1604]" strokeweight="1pt">
                <v:textbox>
                  <w:txbxContent>
                    <w:p w14:paraId="4933C9B5" w14:textId="07819041" w:rsidR="00494BF1" w:rsidRPr="00103034" w:rsidRDefault="00494BF1" w:rsidP="00103034">
                      <w:pPr>
                        <w:spacing w:after="0"/>
                        <w:jc w:val="center"/>
                        <w:rPr>
                          <w:color w:val="000000" w:themeColor="text1"/>
                          <w:sz w:val="14"/>
                          <w:szCs w:val="14"/>
                        </w:rPr>
                      </w:pPr>
                      <w:r w:rsidRPr="00103034">
                        <w:rPr>
                          <w:color w:val="000000" w:themeColor="text1"/>
                          <w:sz w:val="14"/>
                          <w:szCs w:val="14"/>
                        </w:rPr>
                        <w:t>27.5-28.1 GHz (600 MHz)</w:t>
                      </w:r>
                    </w:p>
                    <w:p w14:paraId="1087C896" w14:textId="38216006" w:rsidR="00494BF1" w:rsidRPr="00103034" w:rsidRDefault="00494BF1" w:rsidP="00103034">
                      <w:pPr>
                        <w:spacing w:after="0"/>
                        <w:jc w:val="center"/>
                        <w:rPr>
                          <w:color w:val="000000" w:themeColor="text1"/>
                          <w:sz w:val="14"/>
                          <w:szCs w:val="14"/>
                        </w:rPr>
                      </w:pPr>
                      <w:r w:rsidRPr="00103034">
                        <w:rPr>
                          <w:color w:val="000000" w:themeColor="text1"/>
                          <w:sz w:val="14"/>
                          <w:szCs w:val="14"/>
                        </w:rPr>
                        <w:t>I</w:t>
                      </w:r>
                      <w:r w:rsidR="00BA6EC8">
                        <w:rPr>
                          <w:color w:val="000000" w:themeColor="text1"/>
                          <w:sz w:val="14"/>
                          <w:szCs w:val="14"/>
                        </w:rPr>
                        <w:t>NSIDE DEFINED AREAS</w:t>
                      </w:r>
                    </w:p>
                    <w:p w14:paraId="5BAA46C0" w14:textId="5079EB64" w:rsidR="00494BF1" w:rsidRDefault="00494BF1" w:rsidP="00103034">
                      <w:pPr>
                        <w:spacing w:after="0"/>
                        <w:jc w:val="center"/>
                        <w:rPr>
                          <w:color w:val="000000" w:themeColor="text1"/>
                          <w:sz w:val="14"/>
                          <w:szCs w:val="14"/>
                        </w:rPr>
                      </w:pPr>
                      <w:r w:rsidRPr="00103034">
                        <w:rPr>
                          <w:color w:val="000000" w:themeColor="text1"/>
                          <w:sz w:val="14"/>
                          <w:szCs w:val="14"/>
                        </w:rPr>
                        <w:t>Primary: FWA/FSS gateway</w:t>
                      </w:r>
                    </w:p>
                    <w:p w14:paraId="70482B93" w14:textId="5F2BC3D2" w:rsidR="00494BF1" w:rsidRDefault="00494BF1" w:rsidP="00494BF1">
                      <w:pPr>
                        <w:jc w:val="center"/>
                        <w:rPr>
                          <w:color w:val="000000" w:themeColor="text1"/>
                          <w:sz w:val="14"/>
                          <w:szCs w:val="14"/>
                        </w:rPr>
                      </w:pPr>
                      <w:r>
                        <w:rPr>
                          <w:color w:val="000000" w:themeColor="text1"/>
                          <w:sz w:val="14"/>
                          <w:szCs w:val="14"/>
                        </w:rPr>
                        <w:t xml:space="preserve">Secondary: </w:t>
                      </w:r>
                      <w:r w:rsidR="00FF4EF5">
                        <w:rPr>
                          <w:color w:val="000000" w:themeColor="text1"/>
                          <w:sz w:val="14"/>
                          <w:szCs w:val="14"/>
                        </w:rPr>
                        <w:t>Ubiquitous FSS*</w:t>
                      </w:r>
                    </w:p>
                    <w:p w14:paraId="40B62F3B" w14:textId="77777777" w:rsidR="00494BF1" w:rsidRPr="00103034" w:rsidRDefault="00494BF1" w:rsidP="00494BF1">
                      <w:pPr>
                        <w:jc w:val="center"/>
                        <w:rPr>
                          <w:color w:val="000000" w:themeColor="text1"/>
                          <w:sz w:val="14"/>
                          <w:szCs w:val="14"/>
                        </w:rPr>
                      </w:pPr>
                    </w:p>
                    <w:p w14:paraId="18E5CE53" w14:textId="77777777" w:rsidR="00494BF1" w:rsidRPr="00103034" w:rsidRDefault="00494BF1" w:rsidP="00103034">
                      <w:pPr>
                        <w:jc w:val="center"/>
                        <w:rPr>
                          <w:color w:val="000000" w:themeColor="text1"/>
                          <w:sz w:val="14"/>
                          <w:szCs w:val="14"/>
                        </w:rPr>
                      </w:pPr>
                    </w:p>
                  </w:txbxContent>
                </v:textbox>
                <w10:wrap type="topAndBottom"/>
              </v:rect>
            </w:pict>
          </mc:Fallback>
        </mc:AlternateContent>
      </w:r>
      <w:r w:rsidR="00494BF1">
        <w:t>Licensing</w:t>
      </w:r>
      <w:r>
        <w:t xml:space="preserve"> and service</w:t>
      </w:r>
      <w:r w:rsidR="00494BF1">
        <w:t xml:space="preserve"> arrangements in 27.5-30 MHz</w:t>
      </w:r>
      <w:r w:rsidR="00BA6EC8">
        <w:rPr>
          <w:noProof/>
          <w:lang w:val="en-GB" w:eastAsia="en-US"/>
        </w:rPr>
        <mc:AlternateContent>
          <mc:Choice Requires="wps">
            <w:drawing>
              <wp:anchor distT="0" distB="0" distL="114300" distR="114300" simplePos="0" relativeHeight="251658244" behindDoc="0" locked="0" layoutInCell="1" allowOverlap="1" wp14:anchorId="57EF8A6B" wp14:editId="111731A5">
                <wp:simplePos x="0" y="0"/>
                <wp:positionH relativeFrom="column">
                  <wp:posOffset>4309110</wp:posOffset>
                </wp:positionH>
                <wp:positionV relativeFrom="paragraph">
                  <wp:posOffset>312420</wp:posOffset>
                </wp:positionV>
                <wp:extent cx="781050" cy="1524000"/>
                <wp:effectExtent l="0" t="0" r="19050" b="19050"/>
                <wp:wrapTopAndBottom/>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050" cy="1524000"/>
                        </a:xfrm>
                        <a:prstGeom prst="rect">
                          <a:avLst/>
                        </a:prstGeom>
                        <a:solidFill>
                          <a:srgbClr val="00CCFF"/>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EF26F48" w14:textId="77777777" w:rsidR="00BA6EC8" w:rsidRDefault="00BA6EC8" w:rsidP="00BA6EC8">
                            <w:pPr>
                              <w:spacing w:after="0"/>
                              <w:jc w:val="center"/>
                              <w:rPr>
                                <w:color w:val="000000" w:themeColor="text1"/>
                                <w:sz w:val="14"/>
                                <w:szCs w:val="14"/>
                              </w:rPr>
                            </w:pPr>
                          </w:p>
                          <w:p w14:paraId="15A40802" w14:textId="77777777" w:rsidR="00BA6EC8" w:rsidRDefault="00BA6EC8" w:rsidP="00BA6EC8">
                            <w:pPr>
                              <w:spacing w:after="0"/>
                              <w:jc w:val="center"/>
                              <w:rPr>
                                <w:color w:val="000000" w:themeColor="text1"/>
                                <w:sz w:val="14"/>
                                <w:szCs w:val="14"/>
                              </w:rPr>
                            </w:pPr>
                          </w:p>
                          <w:p w14:paraId="50D3E8F3" w14:textId="09ECB658" w:rsidR="00BA6EC8" w:rsidRPr="00D52D53" w:rsidRDefault="00BA6EC8" w:rsidP="00BA6EC8">
                            <w:pPr>
                              <w:spacing w:after="0"/>
                              <w:jc w:val="center"/>
                              <w:rPr>
                                <w:color w:val="000000" w:themeColor="text1"/>
                                <w:sz w:val="14"/>
                                <w:szCs w:val="14"/>
                              </w:rPr>
                            </w:pPr>
                            <w:r w:rsidRPr="00D52D53">
                              <w:rPr>
                                <w:color w:val="000000" w:themeColor="text1"/>
                                <w:sz w:val="14"/>
                                <w:szCs w:val="14"/>
                              </w:rPr>
                              <w:t>2</w:t>
                            </w:r>
                            <w:r>
                              <w:rPr>
                                <w:color w:val="000000" w:themeColor="text1"/>
                                <w:sz w:val="14"/>
                                <w:szCs w:val="14"/>
                              </w:rPr>
                              <w:t>9.5</w:t>
                            </w:r>
                            <w:r w:rsidRPr="00D52D53">
                              <w:rPr>
                                <w:color w:val="000000" w:themeColor="text1"/>
                                <w:sz w:val="14"/>
                                <w:szCs w:val="14"/>
                              </w:rPr>
                              <w:t>-</w:t>
                            </w:r>
                            <w:r>
                              <w:rPr>
                                <w:color w:val="000000" w:themeColor="text1"/>
                                <w:sz w:val="14"/>
                                <w:szCs w:val="14"/>
                              </w:rPr>
                              <w:t>30</w:t>
                            </w:r>
                            <w:r w:rsidRPr="00D52D53">
                              <w:rPr>
                                <w:color w:val="000000" w:themeColor="text1"/>
                                <w:sz w:val="14"/>
                                <w:szCs w:val="14"/>
                              </w:rPr>
                              <w:t xml:space="preserve"> GHz (</w:t>
                            </w:r>
                            <w:r>
                              <w:rPr>
                                <w:color w:val="000000" w:themeColor="text1"/>
                                <w:sz w:val="14"/>
                                <w:szCs w:val="14"/>
                              </w:rPr>
                              <w:t>5</w:t>
                            </w:r>
                            <w:r w:rsidRPr="00D52D53">
                              <w:rPr>
                                <w:color w:val="000000" w:themeColor="text1"/>
                                <w:sz w:val="14"/>
                                <w:szCs w:val="14"/>
                              </w:rPr>
                              <w:t>00 MHz)</w:t>
                            </w:r>
                          </w:p>
                          <w:p w14:paraId="6C9CA344" w14:textId="591BF3CE" w:rsidR="00BA6EC8" w:rsidRPr="00D52D53" w:rsidRDefault="00BA6EC8" w:rsidP="00BA6EC8">
                            <w:pPr>
                              <w:spacing w:after="0"/>
                              <w:jc w:val="center"/>
                              <w:rPr>
                                <w:color w:val="000000" w:themeColor="text1"/>
                                <w:sz w:val="14"/>
                                <w:szCs w:val="14"/>
                              </w:rPr>
                            </w:pPr>
                            <w:r>
                              <w:rPr>
                                <w:color w:val="000000" w:themeColor="text1"/>
                                <w:sz w:val="14"/>
                                <w:szCs w:val="14"/>
                              </w:rPr>
                              <w:t>AUSTRALIA WIDE</w:t>
                            </w:r>
                          </w:p>
                          <w:p w14:paraId="6B9086B7" w14:textId="3868C521" w:rsidR="00BA6EC8" w:rsidRDefault="00BA6EC8" w:rsidP="00103034">
                            <w:pPr>
                              <w:spacing w:after="0"/>
                              <w:jc w:val="center"/>
                              <w:rPr>
                                <w:color w:val="000000" w:themeColor="text1"/>
                                <w:sz w:val="14"/>
                                <w:szCs w:val="14"/>
                              </w:rPr>
                            </w:pPr>
                            <w:r>
                              <w:rPr>
                                <w:color w:val="000000" w:themeColor="text1"/>
                                <w:sz w:val="14"/>
                                <w:szCs w:val="14"/>
                              </w:rPr>
                              <w:t>FSS only</w:t>
                            </w:r>
                          </w:p>
                          <w:p w14:paraId="228D16B7" w14:textId="77777777" w:rsidR="00BA6EC8" w:rsidRPr="00D52D53" w:rsidRDefault="00BA6EC8" w:rsidP="00BA6EC8">
                            <w:pPr>
                              <w:jc w:val="center"/>
                              <w:rPr>
                                <w:color w:val="000000" w:themeColor="text1"/>
                                <w:sz w:val="14"/>
                                <w:szCs w:val="14"/>
                              </w:rPr>
                            </w:pPr>
                          </w:p>
                          <w:p w14:paraId="19AD2441" w14:textId="77777777" w:rsidR="00BA6EC8" w:rsidRPr="00D52D53" w:rsidRDefault="00BA6EC8" w:rsidP="00BA6EC8">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F8A6B" id="Rectangle 14" o:spid="_x0000_s1027" alt="&quot;&quot;" style="position:absolute;left:0;text-align:left;margin-left:339.3pt;margin-top:24.6pt;width:61.5pt;height:12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" fillcolor="#0cf" strokecolor="#243f60 [1604]" strokeweight="1pt">
                <v:textbox>
                  <w:txbxContent>
                    <w:p w14:paraId="5EF26F48" w14:textId="77777777" w:rsidR="00BA6EC8" w:rsidRDefault="00BA6EC8" w:rsidP="00BA6EC8">
                      <w:pPr>
                        <w:spacing w:after="0"/>
                        <w:jc w:val="center"/>
                        <w:rPr>
                          <w:color w:val="000000" w:themeColor="text1"/>
                          <w:sz w:val="14"/>
                          <w:szCs w:val="14"/>
                        </w:rPr>
                      </w:pPr>
                    </w:p>
                    <w:p w14:paraId="15A40802" w14:textId="77777777" w:rsidR="00BA6EC8" w:rsidRDefault="00BA6EC8" w:rsidP="00BA6EC8">
                      <w:pPr>
                        <w:spacing w:after="0"/>
                        <w:jc w:val="center"/>
                        <w:rPr>
                          <w:color w:val="000000" w:themeColor="text1"/>
                          <w:sz w:val="14"/>
                          <w:szCs w:val="14"/>
                        </w:rPr>
                      </w:pPr>
                    </w:p>
                    <w:p w14:paraId="50D3E8F3" w14:textId="09ECB658" w:rsidR="00BA6EC8" w:rsidRPr="00D52D53" w:rsidRDefault="00BA6EC8" w:rsidP="00BA6EC8">
                      <w:pPr>
                        <w:spacing w:after="0"/>
                        <w:jc w:val="center"/>
                        <w:rPr>
                          <w:color w:val="000000" w:themeColor="text1"/>
                          <w:sz w:val="14"/>
                          <w:szCs w:val="14"/>
                        </w:rPr>
                      </w:pPr>
                      <w:r w:rsidRPr="00D52D53">
                        <w:rPr>
                          <w:color w:val="000000" w:themeColor="text1"/>
                          <w:sz w:val="14"/>
                          <w:szCs w:val="14"/>
                        </w:rPr>
                        <w:t>2</w:t>
                      </w:r>
                      <w:r>
                        <w:rPr>
                          <w:color w:val="000000" w:themeColor="text1"/>
                          <w:sz w:val="14"/>
                          <w:szCs w:val="14"/>
                        </w:rPr>
                        <w:t>9.5</w:t>
                      </w:r>
                      <w:r w:rsidRPr="00D52D53">
                        <w:rPr>
                          <w:color w:val="000000" w:themeColor="text1"/>
                          <w:sz w:val="14"/>
                          <w:szCs w:val="14"/>
                        </w:rPr>
                        <w:t>-</w:t>
                      </w:r>
                      <w:r>
                        <w:rPr>
                          <w:color w:val="000000" w:themeColor="text1"/>
                          <w:sz w:val="14"/>
                          <w:szCs w:val="14"/>
                        </w:rPr>
                        <w:t>30</w:t>
                      </w:r>
                      <w:r w:rsidRPr="00D52D53">
                        <w:rPr>
                          <w:color w:val="000000" w:themeColor="text1"/>
                          <w:sz w:val="14"/>
                          <w:szCs w:val="14"/>
                        </w:rPr>
                        <w:t xml:space="preserve"> GHz (</w:t>
                      </w:r>
                      <w:r>
                        <w:rPr>
                          <w:color w:val="000000" w:themeColor="text1"/>
                          <w:sz w:val="14"/>
                          <w:szCs w:val="14"/>
                        </w:rPr>
                        <w:t>5</w:t>
                      </w:r>
                      <w:r w:rsidRPr="00D52D53">
                        <w:rPr>
                          <w:color w:val="000000" w:themeColor="text1"/>
                          <w:sz w:val="14"/>
                          <w:szCs w:val="14"/>
                        </w:rPr>
                        <w:t>00 MHz)</w:t>
                      </w:r>
                    </w:p>
                    <w:p w14:paraId="6C9CA344" w14:textId="591BF3CE" w:rsidR="00BA6EC8" w:rsidRPr="00D52D53" w:rsidRDefault="00BA6EC8" w:rsidP="00BA6EC8">
                      <w:pPr>
                        <w:spacing w:after="0"/>
                        <w:jc w:val="center"/>
                        <w:rPr>
                          <w:color w:val="000000" w:themeColor="text1"/>
                          <w:sz w:val="14"/>
                          <w:szCs w:val="14"/>
                        </w:rPr>
                      </w:pPr>
                      <w:r>
                        <w:rPr>
                          <w:color w:val="000000" w:themeColor="text1"/>
                          <w:sz w:val="14"/>
                          <w:szCs w:val="14"/>
                        </w:rPr>
                        <w:t>AUSTRALIA WIDE</w:t>
                      </w:r>
                    </w:p>
                    <w:p w14:paraId="6B9086B7" w14:textId="3868C521" w:rsidR="00BA6EC8" w:rsidRDefault="00BA6EC8" w:rsidP="00103034">
                      <w:pPr>
                        <w:spacing w:after="0"/>
                        <w:jc w:val="center"/>
                        <w:rPr>
                          <w:color w:val="000000" w:themeColor="text1"/>
                          <w:sz w:val="14"/>
                          <w:szCs w:val="14"/>
                        </w:rPr>
                      </w:pPr>
                      <w:r>
                        <w:rPr>
                          <w:color w:val="000000" w:themeColor="text1"/>
                          <w:sz w:val="14"/>
                          <w:szCs w:val="14"/>
                        </w:rPr>
                        <w:t>FSS only</w:t>
                      </w:r>
                    </w:p>
                    <w:p w14:paraId="228D16B7" w14:textId="77777777" w:rsidR="00BA6EC8" w:rsidRPr="00D52D53" w:rsidRDefault="00BA6EC8" w:rsidP="00BA6EC8">
                      <w:pPr>
                        <w:jc w:val="center"/>
                        <w:rPr>
                          <w:color w:val="000000" w:themeColor="text1"/>
                          <w:sz w:val="14"/>
                          <w:szCs w:val="14"/>
                        </w:rPr>
                      </w:pPr>
                    </w:p>
                    <w:p w14:paraId="19AD2441" w14:textId="77777777" w:rsidR="00BA6EC8" w:rsidRPr="00D52D53" w:rsidRDefault="00BA6EC8" w:rsidP="00BA6EC8">
                      <w:pPr>
                        <w:jc w:val="center"/>
                        <w:rPr>
                          <w:color w:val="000000" w:themeColor="text1"/>
                          <w:sz w:val="14"/>
                          <w:szCs w:val="14"/>
                        </w:rPr>
                      </w:pPr>
                    </w:p>
                  </w:txbxContent>
                </v:textbox>
                <w10:wrap type="topAndBottom"/>
              </v:rect>
            </w:pict>
          </mc:Fallback>
        </mc:AlternateContent>
      </w:r>
      <w:r w:rsidR="00A310BA">
        <w:rPr>
          <w:noProof/>
          <w:lang w:val="en-GB" w:eastAsia="en-US"/>
        </w:rPr>
        <mc:AlternateContent>
          <mc:Choice Requires="wps">
            <w:drawing>
              <wp:anchor distT="0" distB="0" distL="114300" distR="114300" simplePos="0" relativeHeight="251658243" behindDoc="0" locked="0" layoutInCell="1" allowOverlap="1" wp14:anchorId="52EA73AE" wp14:editId="1E125A62">
                <wp:simplePos x="0" y="0"/>
                <wp:positionH relativeFrom="column">
                  <wp:posOffset>1461135</wp:posOffset>
                </wp:positionH>
                <wp:positionV relativeFrom="paragraph">
                  <wp:posOffset>312420</wp:posOffset>
                </wp:positionV>
                <wp:extent cx="2847975" cy="1524000"/>
                <wp:effectExtent l="0" t="0" r="28575" b="19050"/>
                <wp:wrapTopAndBottom/>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47975" cy="1524000"/>
                        </a:xfrm>
                        <a:prstGeom prst="rect">
                          <a:avLst/>
                        </a:prstGeom>
                        <a:solidFill>
                          <a:srgbClr val="00CCFF"/>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C1EB7F2" w14:textId="77777777" w:rsidR="00A310BA" w:rsidRDefault="00A310BA" w:rsidP="00A310BA">
                            <w:pPr>
                              <w:spacing w:after="0"/>
                              <w:jc w:val="center"/>
                              <w:rPr>
                                <w:color w:val="000000" w:themeColor="text1"/>
                                <w:sz w:val="14"/>
                                <w:szCs w:val="14"/>
                              </w:rPr>
                            </w:pPr>
                          </w:p>
                          <w:p w14:paraId="1D68F0BE" w14:textId="77777777" w:rsidR="00A310BA" w:rsidRDefault="00A310BA" w:rsidP="00A310BA">
                            <w:pPr>
                              <w:spacing w:after="0"/>
                              <w:jc w:val="center"/>
                              <w:rPr>
                                <w:color w:val="000000" w:themeColor="text1"/>
                                <w:sz w:val="14"/>
                                <w:szCs w:val="14"/>
                              </w:rPr>
                            </w:pPr>
                          </w:p>
                          <w:p w14:paraId="6DD9B8D2" w14:textId="505D5411" w:rsidR="00A310BA" w:rsidRPr="00D52D53" w:rsidRDefault="00A310BA" w:rsidP="00A310BA">
                            <w:pPr>
                              <w:spacing w:after="0"/>
                              <w:jc w:val="center"/>
                              <w:rPr>
                                <w:color w:val="000000" w:themeColor="text1"/>
                                <w:sz w:val="14"/>
                                <w:szCs w:val="14"/>
                              </w:rPr>
                            </w:pPr>
                            <w:r w:rsidRPr="00D52D53">
                              <w:rPr>
                                <w:color w:val="000000" w:themeColor="text1"/>
                                <w:sz w:val="14"/>
                                <w:szCs w:val="14"/>
                              </w:rPr>
                              <w:t>2</w:t>
                            </w:r>
                            <w:r>
                              <w:rPr>
                                <w:color w:val="000000" w:themeColor="text1"/>
                                <w:sz w:val="14"/>
                                <w:szCs w:val="14"/>
                              </w:rPr>
                              <w:t>8.1</w:t>
                            </w:r>
                            <w:r w:rsidRPr="00D52D53">
                              <w:rPr>
                                <w:color w:val="000000" w:themeColor="text1"/>
                                <w:sz w:val="14"/>
                                <w:szCs w:val="14"/>
                              </w:rPr>
                              <w:t>-2</w:t>
                            </w:r>
                            <w:r>
                              <w:rPr>
                                <w:color w:val="000000" w:themeColor="text1"/>
                                <w:sz w:val="14"/>
                                <w:szCs w:val="14"/>
                              </w:rPr>
                              <w:t>9.5</w:t>
                            </w:r>
                            <w:r w:rsidRPr="00D52D53">
                              <w:rPr>
                                <w:color w:val="000000" w:themeColor="text1"/>
                                <w:sz w:val="14"/>
                                <w:szCs w:val="14"/>
                              </w:rPr>
                              <w:t xml:space="preserve"> GHz (</w:t>
                            </w:r>
                            <w:r w:rsidR="00BA6EC8">
                              <w:rPr>
                                <w:color w:val="000000" w:themeColor="text1"/>
                                <w:sz w:val="14"/>
                                <w:szCs w:val="14"/>
                              </w:rPr>
                              <w:t>1400</w:t>
                            </w:r>
                            <w:r w:rsidRPr="00D52D53">
                              <w:rPr>
                                <w:color w:val="000000" w:themeColor="text1"/>
                                <w:sz w:val="14"/>
                                <w:szCs w:val="14"/>
                              </w:rPr>
                              <w:t xml:space="preserve"> MHz)</w:t>
                            </w:r>
                          </w:p>
                          <w:p w14:paraId="549444F4" w14:textId="64F7AE6B" w:rsidR="00A310BA" w:rsidRPr="00D52D53" w:rsidRDefault="00BA6EC8" w:rsidP="00A310BA">
                            <w:pPr>
                              <w:spacing w:after="0"/>
                              <w:jc w:val="center"/>
                              <w:rPr>
                                <w:color w:val="000000" w:themeColor="text1"/>
                                <w:sz w:val="14"/>
                                <w:szCs w:val="14"/>
                              </w:rPr>
                            </w:pPr>
                            <w:r>
                              <w:rPr>
                                <w:color w:val="000000" w:themeColor="text1"/>
                                <w:sz w:val="14"/>
                                <w:szCs w:val="14"/>
                              </w:rPr>
                              <w:t>AUSTRALIA WIDE</w:t>
                            </w:r>
                          </w:p>
                          <w:p w14:paraId="5726176F" w14:textId="327BCBA7" w:rsidR="00A310BA" w:rsidRDefault="00A310BA" w:rsidP="00A310BA">
                            <w:pPr>
                              <w:spacing w:after="0"/>
                              <w:jc w:val="center"/>
                              <w:rPr>
                                <w:color w:val="000000" w:themeColor="text1"/>
                                <w:sz w:val="14"/>
                                <w:szCs w:val="14"/>
                              </w:rPr>
                            </w:pPr>
                            <w:r w:rsidRPr="00D52D53">
                              <w:rPr>
                                <w:color w:val="000000" w:themeColor="text1"/>
                                <w:sz w:val="14"/>
                                <w:szCs w:val="14"/>
                              </w:rPr>
                              <w:t xml:space="preserve">Primary: </w:t>
                            </w:r>
                            <w:r w:rsidR="00BA6EC8">
                              <w:rPr>
                                <w:color w:val="000000" w:themeColor="text1"/>
                                <w:sz w:val="14"/>
                                <w:szCs w:val="14"/>
                              </w:rPr>
                              <w:t xml:space="preserve">ALL </w:t>
                            </w:r>
                            <w:r w:rsidRPr="00D52D53">
                              <w:rPr>
                                <w:color w:val="000000" w:themeColor="text1"/>
                                <w:sz w:val="14"/>
                                <w:szCs w:val="14"/>
                              </w:rPr>
                              <w:t>FSS</w:t>
                            </w:r>
                          </w:p>
                          <w:p w14:paraId="6B5DF282" w14:textId="52408E46" w:rsidR="00A310BA" w:rsidRDefault="00A310BA" w:rsidP="00A310BA">
                            <w:pPr>
                              <w:jc w:val="center"/>
                              <w:rPr>
                                <w:color w:val="000000" w:themeColor="text1"/>
                                <w:sz w:val="14"/>
                                <w:szCs w:val="14"/>
                              </w:rPr>
                            </w:pPr>
                            <w:r>
                              <w:rPr>
                                <w:color w:val="000000" w:themeColor="text1"/>
                                <w:sz w:val="14"/>
                                <w:szCs w:val="14"/>
                              </w:rPr>
                              <w:t xml:space="preserve">Secondary: </w:t>
                            </w:r>
                            <w:r w:rsidR="00BA6EC8">
                              <w:rPr>
                                <w:color w:val="000000" w:themeColor="text1"/>
                                <w:sz w:val="14"/>
                                <w:szCs w:val="14"/>
                              </w:rPr>
                              <w:t>FWA</w:t>
                            </w:r>
                          </w:p>
                          <w:p w14:paraId="0E2D68BB" w14:textId="77777777" w:rsidR="00A310BA" w:rsidRPr="00D52D53" w:rsidRDefault="00A310BA" w:rsidP="00A310BA">
                            <w:pPr>
                              <w:jc w:val="center"/>
                              <w:rPr>
                                <w:color w:val="000000" w:themeColor="text1"/>
                                <w:sz w:val="14"/>
                                <w:szCs w:val="14"/>
                              </w:rPr>
                            </w:pPr>
                          </w:p>
                          <w:p w14:paraId="7F177904" w14:textId="77777777" w:rsidR="00A310BA" w:rsidRPr="00D52D53" w:rsidRDefault="00A310BA" w:rsidP="00A310BA">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A73AE" id="Rectangle 8" o:spid="_x0000_s1028" alt="&quot;&quot;" style="position:absolute;left:0;text-align:left;margin-left:115.05pt;margin-top:24.6pt;width:224.25pt;height:12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" fillcolor="#0cf" strokecolor="#243f60 [1604]" strokeweight="1pt">
                <v:textbox>
                  <w:txbxContent>
                    <w:p w14:paraId="2C1EB7F2" w14:textId="77777777" w:rsidR="00A310BA" w:rsidRDefault="00A310BA" w:rsidP="00A310BA">
                      <w:pPr>
                        <w:spacing w:after="0"/>
                        <w:jc w:val="center"/>
                        <w:rPr>
                          <w:color w:val="000000" w:themeColor="text1"/>
                          <w:sz w:val="14"/>
                          <w:szCs w:val="14"/>
                        </w:rPr>
                      </w:pPr>
                    </w:p>
                    <w:p w14:paraId="1D68F0BE" w14:textId="77777777" w:rsidR="00A310BA" w:rsidRDefault="00A310BA" w:rsidP="00A310BA">
                      <w:pPr>
                        <w:spacing w:after="0"/>
                        <w:jc w:val="center"/>
                        <w:rPr>
                          <w:color w:val="000000" w:themeColor="text1"/>
                          <w:sz w:val="14"/>
                          <w:szCs w:val="14"/>
                        </w:rPr>
                      </w:pPr>
                    </w:p>
                    <w:p w14:paraId="6DD9B8D2" w14:textId="505D5411" w:rsidR="00A310BA" w:rsidRPr="00D52D53" w:rsidRDefault="00A310BA" w:rsidP="00A310BA">
                      <w:pPr>
                        <w:spacing w:after="0"/>
                        <w:jc w:val="center"/>
                        <w:rPr>
                          <w:color w:val="000000" w:themeColor="text1"/>
                          <w:sz w:val="14"/>
                          <w:szCs w:val="14"/>
                        </w:rPr>
                      </w:pPr>
                      <w:r w:rsidRPr="00D52D53">
                        <w:rPr>
                          <w:color w:val="000000" w:themeColor="text1"/>
                          <w:sz w:val="14"/>
                          <w:szCs w:val="14"/>
                        </w:rPr>
                        <w:t>2</w:t>
                      </w:r>
                      <w:r>
                        <w:rPr>
                          <w:color w:val="000000" w:themeColor="text1"/>
                          <w:sz w:val="14"/>
                          <w:szCs w:val="14"/>
                        </w:rPr>
                        <w:t>8.1</w:t>
                      </w:r>
                      <w:r w:rsidRPr="00D52D53">
                        <w:rPr>
                          <w:color w:val="000000" w:themeColor="text1"/>
                          <w:sz w:val="14"/>
                          <w:szCs w:val="14"/>
                        </w:rPr>
                        <w:t>-2</w:t>
                      </w:r>
                      <w:r>
                        <w:rPr>
                          <w:color w:val="000000" w:themeColor="text1"/>
                          <w:sz w:val="14"/>
                          <w:szCs w:val="14"/>
                        </w:rPr>
                        <w:t>9.5</w:t>
                      </w:r>
                      <w:r w:rsidRPr="00D52D53">
                        <w:rPr>
                          <w:color w:val="000000" w:themeColor="text1"/>
                          <w:sz w:val="14"/>
                          <w:szCs w:val="14"/>
                        </w:rPr>
                        <w:t xml:space="preserve"> GHz (</w:t>
                      </w:r>
                      <w:r w:rsidR="00BA6EC8">
                        <w:rPr>
                          <w:color w:val="000000" w:themeColor="text1"/>
                          <w:sz w:val="14"/>
                          <w:szCs w:val="14"/>
                        </w:rPr>
                        <w:t>1400</w:t>
                      </w:r>
                      <w:r w:rsidRPr="00D52D53">
                        <w:rPr>
                          <w:color w:val="000000" w:themeColor="text1"/>
                          <w:sz w:val="14"/>
                          <w:szCs w:val="14"/>
                        </w:rPr>
                        <w:t xml:space="preserve"> MHz)</w:t>
                      </w:r>
                    </w:p>
                    <w:p w14:paraId="549444F4" w14:textId="64F7AE6B" w:rsidR="00A310BA" w:rsidRPr="00D52D53" w:rsidRDefault="00BA6EC8" w:rsidP="00A310BA">
                      <w:pPr>
                        <w:spacing w:after="0"/>
                        <w:jc w:val="center"/>
                        <w:rPr>
                          <w:color w:val="000000" w:themeColor="text1"/>
                          <w:sz w:val="14"/>
                          <w:szCs w:val="14"/>
                        </w:rPr>
                      </w:pPr>
                      <w:r>
                        <w:rPr>
                          <w:color w:val="000000" w:themeColor="text1"/>
                          <w:sz w:val="14"/>
                          <w:szCs w:val="14"/>
                        </w:rPr>
                        <w:t>AUSTRALIA WIDE</w:t>
                      </w:r>
                    </w:p>
                    <w:p w14:paraId="5726176F" w14:textId="327BCBA7" w:rsidR="00A310BA" w:rsidRDefault="00A310BA" w:rsidP="00A310BA">
                      <w:pPr>
                        <w:spacing w:after="0"/>
                        <w:jc w:val="center"/>
                        <w:rPr>
                          <w:color w:val="000000" w:themeColor="text1"/>
                          <w:sz w:val="14"/>
                          <w:szCs w:val="14"/>
                        </w:rPr>
                      </w:pPr>
                      <w:r w:rsidRPr="00D52D53">
                        <w:rPr>
                          <w:color w:val="000000" w:themeColor="text1"/>
                          <w:sz w:val="14"/>
                          <w:szCs w:val="14"/>
                        </w:rPr>
                        <w:t xml:space="preserve">Primary: </w:t>
                      </w:r>
                      <w:r w:rsidR="00BA6EC8">
                        <w:rPr>
                          <w:color w:val="000000" w:themeColor="text1"/>
                          <w:sz w:val="14"/>
                          <w:szCs w:val="14"/>
                        </w:rPr>
                        <w:t xml:space="preserve">ALL </w:t>
                      </w:r>
                      <w:r w:rsidRPr="00D52D53">
                        <w:rPr>
                          <w:color w:val="000000" w:themeColor="text1"/>
                          <w:sz w:val="14"/>
                          <w:szCs w:val="14"/>
                        </w:rPr>
                        <w:t>FSS</w:t>
                      </w:r>
                    </w:p>
                    <w:p w14:paraId="6B5DF282" w14:textId="52408E46" w:rsidR="00A310BA" w:rsidRDefault="00A310BA" w:rsidP="00A310BA">
                      <w:pPr>
                        <w:jc w:val="center"/>
                        <w:rPr>
                          <w:color w:val="000000" w:themeColor="text1"/>
                          <w:sz w:val="14"/>
                          <w:szCs w:val="14"/>
                        </w:rPr>
                      </w:pPr>
                      <w:r>
                        <w:rPr>
                          <w:color w:val="000000" w:themeColor="text1"/>
                          <w:sz w:val="14"/>
                          <w:szCs w:val="14"/>
                        </w:rPr>
                        <w:t xml:space="preserve">Secondary: </w:t>
                      </w:r>
                      <w:r w:rsidR="00BA6EC8">
                        <w:rPr>
                          <w:color w:val="000000" w:themeColor="text1"/>
                          <w:sz w:val="14"/>
                          <w:szCs w:val="14"/>
                        </w:rPr>
                        <w:t>FWA</w:t>
                      </w:r>
                    </w:p>
                    <w:p w14:paraId="0E2D68BB" w14:textId="77777777" w:rsidR="00A310BA" w:rsidRPr="00D52D53" w:rsidRDefault="00A310BA" w:rsidP="00A310BA">
                      <w:pPr>
                        <w:jc w:val="center"/>
                        <w:rPr>
                          <w:color w:val="000000" w:themeColor="text1"/>
                          <w:sz w:val="14"/>
                          <w:szCs w:val="14"/>
                        </w:rPr>
                      </w:pPr>
                    </w:p>
                    <w:p w14:paraId="7F177904" w14:textId="77777777" w:rsidR="00A310BA" w:rsidRPr="00D52D53" w:rsidRDefault="00A310BA" w:rsidP="00A310BA">
                      <w:pPr>
                        <w:jc w:val="center"/>
                        <w:rPr>
                          <w:color w:val="000000" w:themeColor="text1"/>
                          <w:sz w:val="14"/>
                          <w:szCs w:val="14"/>
                        </w:rPr>
                      </w:pPr>
                    </w:p>
                  </w:txbxContent>
                </v:textbox>
                <w10:wrap type="topAndBottom"/>
              </v:rect>
            </w:pict>
          </mc:Fallback>
        </mc:AlternateContent>
      </w:r>
      <w:r w:rsidR="00A310BA">
        <w:rPr>
          <w:noProof/>
          <w:lang w:val="en-GB" w:eastAsia="en-US"/>
        </w:rPr>
        <mc:AlternateContent>
          <mc:Choice Requires="wps">
            <w:drawing>
              <wp:anchor distT="0" distB="0" distL="114300" distR="114300" simplePos="0" relativeHeight="251658241" behindDoc="0" locked="0" layoutInCell="1" allowOverlap="1" wp14:anchorId="307E88A8" wp14:editId="41222796">
                <wp:simplePos x="0" y="0"/>
                <wp:positionH relativeFrom="column">
                  <wp:posOffset>3810</wp:posOffset>
                </wp:positionH>
                <wp:positionV relativeFrom="paragraph">
                  <wp:posOffset>1074420</wp:posOffset>
                </wp:positionV>
                <wp:extent cx="1457325" cy="762000"/>
                <wp:effectExtent l="0" t="0" r="28575" b="19050"/>
                <wp:wrapTopAndBottom/>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7325" cy="762000"/>
                        </a:xfrm>
                        <a:prstGeom prst="rect">
                          <a:avLst/>
                        </a:prstGeom>
                        <a:solidFill>
                          <a:srgbClr val="00CCFF"/>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CA9915E" w14:textId="77777777" w:rsidR="00494BF1" w:rsidRPr="00D52D53" w:rsidRDefault="00494BF1" w:rsidP="00494BF1">
                            <w:pPr>
                              <w:spacing w:after="0"/>
                              <w:jc w:val="center"/>
                              <w:rPr>
                                <w:color w:val="000000" w:themeColor="text1"/>
                                <w:sz w:val="14"/>
                                <w:szCs w:val="14"/>
                              </w:rPr>
                            </w:pPr>
                            <w:r w:rsidRPr="00D52D53">
                              <w:rPr>
                                <w:color w:val="000000" w:themeColor="text1"/>
                                <w:sz w:val="14"/>
                                <w:szCs w:val="14"/>
                              </w:rPr>
                              <w:t>27.5-28.1 GHz (600 MHz)</w:t>
                            </w:r>
                          </w:p>
                          <w:p w14:paraId="6D3ED5D2" w14:textId="58CEFBE0" w:rsidR="00BA6EC8" w:rsidRDefault="00BA6EC8" w:rsidP="00494BF1">
                            <w:pPr>
                              <w:spacing w:after="0"/>
                              <w:jc w:val="center"/>
                              <w:rPr>
                                <w:color w:val="000000" w:themeColor="text1"/>
                                <w:sz w:val="14"/>
                                <w:szCs w:val="14"/>
                              </w:rPr>
                            </w:pPr>
                            <w:r>
                              <w:rPr>
                                <w:color w:val="000000" w:themeColor="text1"/>
                                <w:sz w:val="14"/>
                                <w:szCs w:val="14"/>
                              </w:rPr>
                              <w:t>OUTSIDE DEFINED AREAS</w:t>
                            </w:r>
                          </w:p>
                          <w:p w14:paraId="5101E5F9" w14:textId="2D6104C2" w:rsidR="00494BF1" w:rsidRDefault="00494BF1" w:rsidP="00494BF1">
                            <w:pPr>
                              <w:spacing w:after="0"/>
                              <w:jc w:val="center"/>
                              <w:rPr>
                                <w:color w:val="000000" w:themeColor="text1"/>
                                <w:sz w:val="14"/>
                                <w:szCs w:val="14"/>
                              </w:rPr>
                            </w:pPr>
                            <w:r w:rsidRPr="00D52D53">
                              <w:rPr>
                                <w:color w:val="000000" w:themeColor="text1"/>
                                <w:sz w:val="14"/>
                                <w:szCs w:val="14"/>
                              </w:rPr>
                              <w:t xml:space="preserve">Primary: </w:t>
                            </w:r>
                            <w:r w:rsidR="00BA6EC8">
                              <w:rPr>
                                <w:color w:val="000000" w:themeColor="text1"/>
                                <w:sz w:val="14"/>
                                <w:szCs w:val="14"/>
                              </w:rPr>
                              <w:t>All F</w:t>
                            </w:r>
                            <w:r w:rsidRPr="00D52D53">
                              <w:rPr>
                                <w:color w:val="000000" w:themeColor="text1"/>
                                <w:sz w:val="14"/>
                                <w:szCs w:val="14"/>
                              </w:rPr>
                              <w:t xml:space="preserve">SS </w:t>
                            </w:r>
                          </w:p>
                          <w:p w14:paraId="50E06436" w14:textId="7E004FAE" w:rsidR="00494BF1" w:rsidRDefault="00494BF1" w:rsidP="00494BF1">
                            <w:pPr>
                              <w:jc w:val="center"/>
                              <w:rPr>
                                <w:color w:val="000000" w:themeColor="text1"/>
                                <w:sz w:val="14"/>
                                <w:szCs w:val="14"/>
                              </w:rPr>
                            </w:pPr>
                            <w:r>
                              <w:rPr>
                                <w:color w:val="000000" w:themeColor="text1"/>
                                <w:sz w:val="14"/>
                                <w:szCs w:val="14"/>
                              </w:rPr>
                              <w:t xml:space="preserve">Secondary: </w:t>
                            </w:r>
                            <w:r w:rsidR="00BA6EC8">
                              <w:rPr>
                                <w:color w:val="000000" w:themeColor="text1"/>
                                <w:sz w:val="14"/>
                                <w:szCs w:val="14"/>
                              </w:rPr>
                              <w:t>FWA</w:t>
                            </w:r>
                          </w:p>
                          <w:p w14:paraId="4B7154E4" w14:textId="77777777" w:rsidR="00494BF1" w:rsidRPr="00D52D53" w:rsidRDefault="00494BF1" w:rsidP="00494BF1">
                            <w:pPr>
                              <w:jc w:val="center"/>
                              <w:rPr>
                                <w:color w:val="000000" w:themeColor="text1"/>
                                <w:sz w:val="14"/>
                                <w:szCs w:val="14"/>
                              </w:rPr>
                            </w:pPr>
                          </w:p>
                          <w:p w14:paraId="55D29089" w14:textId="77777777" w:rsidR="00494BF1" w:rsidRPr="00D52D53" w:rsidRDefault="00494BF1" w:rsidP="00494BF1">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E88A8" id="Rectangle 7" o:spid="_x0000_s1029" alt="&quot;&quot;" style="position:absolute;left:0;text-align:left;margin-left:.3pt;margin-top:84.6pt;width:114.75pt;height:60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" fillcolor="#0cf" strokecolor="#243f60 [1604]" strokeweight="1pt">
                <v:textbox>
                  <w:txbxContent>
                    <w:p w14:paraId="1CA9915E" w14:textId="77777777" w:rsidR="00494BF1" w:rsidRPr="00D52D53" w:rsidRDefault="00494BF1" w:rsidP="00494BF1">
                      <w:pPr>
                        <w:spacing w:after="0"/>
                        <w:jc w:val="center"/>
                        <w:rPr>
                          <w:color w:val="000000" w:themeColor="text1"/>
                          <w:sz w:val="14"/>
                          <w:szCs w:val="14"/>
                        </w:rPr>
                      </w:pPr>
                      <w:r w:rsidRPr="00D52D53">
                        <w:rPr>
                          <w:color w:val="000000" w:themeColor="text1"/>
                          <w:sz w:val="14"/>
                          <w:szCs w:val="14"/>
                        </w:rPr>
                        <w:t>27.5-28.1 GHz (600 MHz)</w:t>
                      </w:r>
                    </w:p>
                    <w:p w14:paraId="6D3ED5D2" w14:textId="58CEFBE0" w:rsidR="00BA6EC8" w:rsidRDefault="00BA6EC8" w:rsidP="00494BF1">
                      <w:pPr>
                        <w:spacing w:after="0"/>
                        <w:jc w:val="center"/>
                        <w:rPr>
                          <w:color w:val="000000" w:themeColor="text1"/>
                          <w:sz w:val="14"/>
                          <w:szCs w:val="14"/>
                        </w:rPr>
                      </w:pPr>
                      <w:r>
                        <w:rPr>
                          <w:color w:val="000000" w:themeColor="text1"/>
                          <w:sz w:val="14"/>
                          <w:szCs w:val="14"/>
                        </w:rPr>
                        <w:t>OUTSIDE DEFINED AREAS</w:t>
                      </w:r>
                    </w:p>
                    <w:p w14:paraId="5101E5F9" w14:textId="2D6104C2" w:rsidR="00494BF1" w:rsidRDefault="00494BF1" w:rsidP="00494BF1">
                      <w:pPr>
                        <w:spacing w:after="0"/>
                        <w:jc w:val="center"/>
                        <w:rPr>
                          <w:color w:val="000000" w:themeColor="text1"/>
                          <w:sz w:val="14"/>
                          <w:szCs w:val="14"/>
                        </w:rPr>
                      </w:pPr>
                      <w:r w:rsidRPr="00D52D53">
                        <w:rPr>
                          <w:color w:val="000000" w:themeColor="text1"/>
                          <w:sz w:val="14"/>
                          <w:szCs w:val="14"/>
                        </w:rPr>
                        <w:t xml:space="preserve">Primary: </w:t>
                      </w:r>
                      <w:r w:rsidR="00BA6EC8">
                        <w:rPr>
                          <w:color w:val="000000" w:themeColor="text1"/>
                          <w:sz w:val="14"/>
                          <w:szCs w:val="14"/>
                        </w:rPr>
                        <w:t>All F</w:t>
                      </w:r>
                      <w:r w:rsidRPr="00D52D53">
                        <w:rPr>
                          <w:color w:val="000000" w:themeColor="text1"/>
                          <w:sz w:val="14"/>
                          <w:szCs w:val="14"/>
                        </w:rPr>
                        <w:t xml:space="preserve">SS </w:t>
                      </w:r>
                    </w:p>
                    <w:p w14:paraId="50E06436" w14:textId="7E004FAE" w:rsidR="00494BF1" w:rsidRDefault="00494BF1" w:rsidP="00494BF1">
                      <w:pPr>
                        <w:jc w:val="center"/>
                        <w:rPr>
                          <w:color w:val="000000" w:themeColor="text1"/>
                          <w:sz w:val="14"/>
                          <w:szCs w:val="14"/>
                        </w:rPr>
                      </w:pPr>
                      <w:r>
                        <w:rPr>
                          <w:color w:val="000000" w:themeColor="text1"/>
                          <w:sz w:val="14"/>
                          <w:szCs w:val="14"/>
                        </w:rPr>
                        <w:t xml:space="preserve">Secondary: </w:t>
                      </w:r>
                      <w:r w:rsidR="00BA6EC8">
                        <w:rPr>
                          <w:color w:val="000000" w:themeColor="text1"/>
                          <w:sz w:val="14"/>
                          <w:szCs w:val="14"/>
                        </w:rPr>
                        <w:t>FWA</w:t>
                      </w:r>
                    </w:p>
                    <w:p w14:paraId="4B7154E4" w14:textId="77777777" w:rsidR="00494BF1" w:rsidRPr="00D52D53" w:rsidRDefault="00494BF1" w:rsidP="00494BF1">
                      <w:pPr>
                        <w:jc w:val="center"/>
                        <w:rPr>
                          <w:color w:val="000000" w:themeColor="text1"/>
                          <w:sz w:val="14"/>
                          <w:szCs w:val="14"/>
                        </w:rPr>
                      </w:pPr>
                    </w:p>
                    <w:p w14:paraId="55D29089" w14:textId="77777777" w:rsidR="00494BF1" w:rsidRPr="00D52D53" w:rsidRDefault="00494BF1" w:rsidP="00494BF1">
                      <w:pPr>
                        <w:jc w:val="center"/>
                        <w:rPr>
                          <w:color w:val="000000" w:themeColor="text1"/>
                          <w:sz w:val="14"/>
                          <w:szCs w:val="14"/>
                        </w:rPr>
                      </w:pPr>
                    </w:p>
                  </w:txbxContent>
                </v:textbox>
                <w10:wrap type="topAndBottom"/>
              </v:rect>
            </w:pict>
          </mc:Fallback>
        </mc:AlternateContent>
      </w:r>
    </w:p>
    <w:p w14:paraId="196676DD" w14:textId="467039FF" w:rsidR="00494BF1" w:rsidRPr="00103034" w:rsidRDefault="00FF4EF5" w:rsidP="00A00C3E">
      <w:pPr>
        <w:rPr>
          <w:sz w:val="18"/>
          <w:szCs w:val="18"/>
          <w:lang w:val="en-GB" w:eastAsia="en-US"/>
        </w:rPr>
      </w:pPr>
      <w:r w:rsidRPr="00103034">
        <w:rPr>
          <w:sz w:val="18"/>
          <w:szCs w:val="18"/>
          <w:lang w:val="en-GB" w:eastAsia="en-US"/>
        </w:rPr>
        <w:t xml:space="preserve">*Operation of ubiquitous FSS earth stations is subject to the conditions in the </w:t>
      </w:r>
      <w:hyperlink r:id="rId16" w:history="1">
        <w:r w:rsidRPr="00103034">
          <w:rPr>
            <w:rStyle w:val="Hyperlink"/>
            <w:sz w:val="18"/>
            <w:szCs w:val="18"/>
          </w:rPr>
          <w:t>Radiocommunications (Communication with Space Object) Class Licence 2015</w:t>
        </w:r>
      </w:hyperlink>
      <w:r w:rsidRPr="00103034">
        <w:rPr>
          <w:sz w:val="18"/>
          <w:szCs w:val="18"/>
          <w:lang w:val="en-GB" w:eastAsia="en-US"/>
        </w:rPr>
        <w:t>, as in force from time to time</w:t>
      </w:r>
    </w:p>
    <w:p w14:paraId="5B249EA8" w14:textId="7AFCAE2A" w:rsidR="004A13A7" w:rsidRPr="00FD1033" w:rsidRDefault="004A13A7" w:rsidP="00254146">
      <w:pPr>
        <w:pStyle w:val="Heading2"/>
      </w:pPr>
      <w:bookmarkStart w:id="13" w:name="_Toc94773062"/>
      <w:r>
        <w:t>Scope</w:t>
      </w:r>
      <w:bookmarkEnd w:id="10"/>
      <w:bookmarkEnd w:id="11"/>
      <w:bookmarkEnd w:id="12"/>
      <w:bookmarkEnd w:id="13"/>
    </w:p>
    <w:p w14:paraId="26E76C46" w14:textId="4DFF201A" w:rsidR="004A13A7" w:rsidRDefault="004A13A7" w:rsidP="00AF06C8">
      <w:pPr>
        <w:rPr>
          <w:szCs w:val="22"/>
        </w:rPr>
      </w:pPr>
      <w:r w:rsidRPr="00AF06C8">
        <w:rPr>
          <w:szCs w:val="22"/>
        </w:rPr>
        <w:t xml:space="preserve">The scope of the RALI </w:t>
      </w:r>
      <w:r w:rsidR="00B13FD8">
        <w:rPr>
          <w:szCs w:val="22"/>
        </w:rPr>
        <w:t>covers</w:t>
      </w:r>
      <w:r w:rsidR="00900CBD">
        <w:rPr>
          <w:szCs w:val="22"/>
        </w:rPr>
        <w:t xml:space="preserve"> the administrative</w:t>
      </w:r>
      <w:r w:rsidR="00924308">
        <w:rPr>
          <w:szCs w:val="22"/>
        </w:rPr>
        <w:t xml:space="preserve"> allocation and coordination</w:t>
      </w:r>
      <w:r w:rsidR="00B13FD8">
        <w:rPr>
          <w:szCs w:val="22"/>
        </w:rPr>
        <w:t xml:space="preserve"> </w:t>
      </w:r>
      <w:r w:rsidR="00AE4B94">
        <w:rPr>
          <w:szCs w:val="22"/>
        </w:rPr>
        <w:t xml:space="preserve">arrangements </w:t>
      </w:r>
      <w:r w:rsidR="00AB4885">
        <w:rPr>
          <w:szCs w:val="22"/>
        </w:rPr>
        <w:t xml:space="preserve">for </w:t>
      </w:r>
      <w:r w:rsidR="00F95C02">
        <w:t xml:space="preserve">AWLs </w:t>
      </w:r>
      <w:r w:rsidR="00924308">
        <w:rPr>
          <w:szCs w:val="22"/>
        </w:rPr>
        <w:t>in the 26</w:t>
      </w:r>
      <w:r w:rsidR="000E0FAB">
        <w:rPr>
          <w:szCs w:val="22"/>
        </w:rPr>
        <w:t>/</w:t>
      </w:r>
      <w:r w:rsidR="00924308">
        <w:rPr>
          <w:szCs w:val="22"/>
        </w:rPr>
        <w:t>28 GHz bands.</w:t>
      </w:r>
      <w:r w:rsidR="008F2EB5">
        <w:rPr>
          <w:szCs w:val="22"/>
        </w:rPr>
        <w:t xml:space="preserve"> </w:t>
      </w:r>
      <w:r w:rsidR="00D4280F">
        <w:t xml:space="preserve">Additional information regarding the licence application process is available on the </w:t>
      </w:r>
      <w:hyperlink r:id="rId17" w:history="1">
        <w:r w:rsidR="00D4280F" w:rsidRPr="00D65439">
          <w:rPr>
            <w:rStyle w:val="Hyperlink"/>
          </w:rPr>
          <w:t>ACMA website</w:t>
        </w:r>
      </w:hyperlink>
      <w:r w:rsidR="00D4280F">
        <w:t>.</w:t>
      </w:r>
    </w:p>
    <w:p w14:paraId="6E93F8D9" w14:textId="382F40CF" w:rsidR="005E534B" w:rsidRDefault="005E534B" w:rsidP="00AF06C8">
      <w:pPr>
        <w:rPr>
          <w:szCs w:val="22"/>
        </w:rPr>
      </w:pPr>
      <w:r>
        <w:rPr>
          <w:szCs w:val="22"/>
        </w:rPr>
        <w:t>Technical arrangements detailed in this RALI have been developed using information from the 26/28 GHz apparat</w:t>
      </w:r>
      <w:r w:rsidR="00133300">
        <w:rPr>
          <w:szCs w:val="22"/>
        </w:rPr>
        <w:t>us</w:t>
      </w:r>
      <w:r>
        <w:rPr>
          <w:szCs w:val="22"/>
        </w:rPr>
        <w:t xml:space="preserve"> licence Technical Liaison Group (TLG) – TLG papers are available on the </w:t>
      </w:r>
      <w:hyperlink r:id="rId18" w:history="1">
        <w:r w:rsidRPr="005E534B">
          <w:rPr>
            <w:rStyle w:val="Hyperlink"/>
            <w:szCs w:val="22"/>
          </w:rPr>
          <w:t>ACMA website</w:t>
        </w:r>
      </w:hyperlink>
      <w:r>
        <w:rPr>
          <w:szCs w:val="22"/>
        </w:rPr>
        <w:t xml:space="preserve">. </w:t>
      </w:r>
    </w:p>
    <w:p w14:paraId="7FF0D27A" w14:textId="326B9EA2" w:rsidR="00110A88" w:rsidRDefault="00110A88" w:rsidP="00110A88">
      <w:pPr>
        <w:pStyle w:val="Heading3"/>
      </w:pPr>
      <w:bookmarkStart w:id="14" w:name="_Ref83214963"/>
      <w:bookmarkStart w:id="15" w:name="_Toc94773063"/>
      <w:r>
        <w:t>Definitions</w:t>
      </w:r>
      <w:bookmarkEnd w:id="14"/>
      <w:bookmarkEnd w:id="15"/>
    </w:p>
    <w:p w14:paraId="65B16AAA" w14:textId="50EB0F8B" w:rsidR="004F0E96" w:rsidRPr="004F0E96" w:rsidRDefault="004F0E96" w:rsidP="00103034">
      <w:r>
        <w:t>The following definitions apply for the purposes of this RALI:</w:t>
      </w:r>
    </w:p>
    <w:p w14:paraId="50C3431E" w14:textId="77777777" w:rsidR="0067750B" w:rsidRDefault="0067750B" w:rsidP="0067750B">
      <w:pPr>
        <w:pStyle w:val="ListBullet"/>
      </w:pPr>
      <w:r>
        <w:t>‘AWL receiver’ means a radiocommunications receiver which is:</w:t>
      </w:r>
    </w:p>
    <w:p w14:paraId="6DF2B91A" w14:textId="77777777" w:rsidR="0067750B" w:rsidRDefault="0067750B" w:rsidP="0067750B">
      <w:pPr>
        <w:pStyle w:val="ListBullet"/>
        <w:tabs>
          <w:tab w:val="clear" w:pos="295"/>
          <w:tab w:val="num" w:pos="579"/>
        </w:tabs>
        <w:ind w:left="579"/>
      </w:pPr>
      <w:r>
        <w:t>used for the reception of radio emissions from area-wide stations;</w:t>
      </w:r>
    </w:p>
    <w:p w14:paraId="13B4072B" w14:textId="77777777" w:rsidR="0067750B" w:rsidRDefault="0067750B" w:rsidP="0067750B">
      <w:pPr>
        <w:pStyle w:val="ListBullet"/>
        <w:tabs>
          <w:tab w:val="clear" w:pos="295"/>
          <w:tab w:val="num" w:pos="579"/>
        </w:tabs>
        <w:ind w:left="579"/>
      </w:pPr>
      <w:r>
        <w:t xml:space="preserve">does not require an area-wide receive licence; and </w:t>
      </w:r>
    </w:p>
    <w:p w14:paraId="7C83C5AC" w14:textId="3A7D317E" w:rsidR="0067750B" w:rsidRDefault="0067750B" w:rsidP="0067750B">
      <w:pPr>
        <w:pStyle w:val="ListBullet"/>
        <w:tabs>
          <w:tab w:val="clear" w:pos="295"/>
          <w:tab w:val="num" w:pos="579"/>
        </w:tabs>
        <w:ind w:left="579"/>
      </w:pPr>
      <w:r>
        <w:t xml:space="preserve">is located within the area authorised by the licence </w:t>
      </w:r>
      <w:r w:rsidR="00E923D1">
        <w:t xml:space="preserve">under which the area-wide station is operating </w:t>
      </w:r>
      <w:r>
        <w:t>(therefore does not include space receive stations).</w:t>
      </w:r>
    </w:p>
    <w:p w14:paraId="39B01F6D" w14:textId="34E4B854" w:rsidR="003F1076" w:rsidRDefault="003F1076" w:rsidP="00110A88">
      <w:pPr>
        <w:pStyle w:val="ListBullet"/>
      </w:pPr>
      <w:r>
        <w:t>Co-primary frequency/area means:</w:t>
      </w:r>
    </w:p>
    <w:p w14:paraId="45803AA5" w14:textId="2CB4D6F8" w:rsidR="003F1076" w:rsidRDefault="003F1076" w:rsidP="003F1076">
      <w:pPr>
        <w:pStyle w:val="ListBullet"/>
        <w:tabs>
          <w:tab w:val="clear" w:pos="295"/>
          <w:tab w:val="num" w:pos="579"/>
        </w:tabs>
        <w:ind w:left="579"/>
      </w:pPr>
      <w:r>
        <w:t>24.7-27.5 GHz Australia wide</w:t>
      </w:r>
      <w:r w:rsidR="00060EE1">
        <w:t>; and</w:t>
      </w:r>
    </w:p>
    <w:p w14:paraId="6DA17B41" w14:textId="32D9797E" w:rsidR="003F1076" w:rsidRDefault="003F1076" w:rsidP="00103034">
      <w:pPr>
        <w:pStyle w:val="ListBullet"/>
        <w:tabs>
          <w:tab w:val="clear" w:pos="295"/>
          <w:tab w:val="num" w:pos="579"/>
        </w:tabs>
        <w:ind w:left="579"/>
      </w:pPr>
      <w:r>
        <w:t>27.5-28.1 GHz in</w:t>
      </w:r>
      <w:r w:rsidR="004E0667">
        <w:t>side</w:t>
      </w:r>
      <w:r>
        <w:t xml:space="preserve"> </w:t>
      </w:r>
      <w:r w:rsidR="004E0667">
        <w:t>a defined area</w:t>
      </w:r>
    </w:p>
    <w:p w14:paraId="091E9B7B" w14:textId="740D34D1" w:rsidR="00110A88" w:rsidRDefault="00110A88" w:rsidP="00110A88">
      <w:pPr>
        <w:pStyle w:val="ListBullet"/>
      </w:pPr>
      <w:r>
        <w:t>Sole-primary frequency/area means:</w:t>
      </w:r>
    </w:p>
    <w:p w14:paraId="763F683D" w14:textId="30FB3386" w:rsidR="00110A88" w:rsidRDefault="00110A88" w:rsidP="00110A88">
      <w:pPr>
        <w:pStyle w:val="ListBullet"/>
        <w:tabs>
          <w:tab w:val="clear" w:pos="295"/>
          <w:tab w:val="num" w:pos="579"/>
        </w:tabs>
        <w:ind w:left="579"/>
      </w:pPr>
      <w:r>
        <w:t xml:space="preserve">27.5-28.1 GHz </w:t>
      </w:r>
      <w:r w:rsidR="004E0667">
        <w:t xml:space="preserve">outside a </w:t>
      </w:r>
      <w:r>
        <w:t xml:space="preserve">defined </w:t>
      </w:r>
      <w:r w:rsidR="004E0667">
        <w:t>area</w:t>
      </w:r>
      <w:r w:rsidR="00060EE1">
        <w:t>; and</w:t>
      </w:r>
    </w:p>
    <w:p w14:paraId="798EF2F4" w14:textId="77777777" w:rsidR="00110A88" w:rsidRDefault="00110A88" w:rsidP="00110A88">
      <w:pPr>
        <w:pStyle w:val="ListBullet"/>
        <w:tabs>
          <w:tab w:val="clear" w:pos="295"/>
          <w:tab w:val="num" w:pos="579"/>
        </w:tabs>
        <w:ind w:left="579"/>
      </w:pPr>
      <w:r>
        <w:t>28.1-29.5 GHz Australia wide</w:t>
      </w:r>
    </w:p>
    <w:p w14:paraId="7C0B7226" w14:textId="19F0FF1F" w:rsidR="00110A88" w:rsidRDefault="00110A88" w:rsidP="00110A88">
      <w:pPr>
        <w:pStyle w:val="ListBullet"/>
      </w:pPr>
      <w:r>
        <w:t>26/28 GHz bands means the frequency range 24.7-30 GHz</w:t>
      </w:r>
    </w:p>
    <w:p w14:paraId="5E271137" w14:textId="1FB44C3E" w:rsidR="00110A88" w:rsidRPr="00D11131" w:rsidRDefault="00362FB0" w:rsidP="00110A88">
      <w:pPr>
        <w:pStyle w:val="ListBullet"/>
      </w:pPr>
      <w:r>
        <w:rPr>
          <w:szCs w:val="22"/>
        </w:rPr>
        <w:t>A d</w:t>
      </w:r>
      <w:r w:rsidR="00110A88">
        <w:rPr>
          <w:szCs w:val="22"/>
        </w:rPr>
        <w:t>efined area mean</w:t>
      </w:r>
      <w:r w:rsidR="004E0667">
        <w:rPr>
          <w:szCs w:val="22"/>
        </w:rPr>
        <w:t>s</w:t>
      </w:r>
      <w:r w:rsidR="00110A88">
        <w:rPr>
          <w:szCs w:val="22"/>
        </w:rPr>
        <w:t xml:space="preserve"> </w:t>
      </w:r>
      <w:r>
        <w:rPr>
          <w:szCs w:val="22"/>
        </w:rPr>
        <w:t>an</w:t>
      </w:r>
      <w:r w:rsidR="00110A88">
        <w:rPr>
          <w:szCs w:val="22"/>
        </w:rPr>
        <w:t xml:space="preserve"> area </w:t>
      </w:r>
      <w:r w:rsidRPr="00660605">
        <w:t xml:space="preserve">specified </w:t>
      </w:r>
      <w:r>
        <w:t>in</w:t>
      </w:r>
      <w:r w:rsidRPr="00660605">
        <w:t xml:space="preserve"> </w:t>
      </w:r>
      <w:r>
        <w:t>the relevant tables for HCIS area descriptions set out in RALI MS 26 that apply to the 25.1 to 27.5 GHz frequency range.</w:t>
      </w:r>
      <w:r w:rsidR="00110A88">
        <w:rPr>
          <w:szCs w:val="22"/>
        </w:rPr>
        <w:t xml:space="preserve"> Th</w:t>
      </w:r>
      <w:r w:rsidR="00F6490B">
        <w:rPr>
          <w:szCs w:val="22"/>
        </w:rPr>
        <w:t xml:space="preserve">ese </w:t>
      </w:r>
      <w:r w:rsidR="00110A88">
        <w:rPr>
          <w:szCs w:val="22"/>
        </w:rPr>
        <w:t>area</w:t>
      </w:r>
      <w:r w:rsidR="00F6490B">
        <w:rPr>
          <w:szCs w:val="22"/>
        </w:rPr>
        <w:t>s are</w:t>
      </w:r>
      <w:r w:rsidR="00110A88">
        <w:rPr>
          <w:szCs w:val="22"/>
        </w:rPr>
        <w:t xml:space="preserve"> identical to the areas subject to the </w:t>
      </w:r>
      <w:hyperlink r:id="rId19" w:history="1">
        <w:r w:rsidR="00110A88" w:rsidRPr="00857E41">
          <w:rPr>
            <w:rStyle w:val="Hyperlink"/>
            <w:i/>
            <w:iCs/>
          </w:rPr>
          <w:t>Radiocommunications (Spectrum Re-allocation—26 GHz band) Declaration 2019</w:t>
        </w:r>
      </w:hyperlink>
      <w:r w:rsidR="00110A88">
        <w:t>.</w:t>
      </w:r>
    </w:p>
    <w:p w14:paraId="07D60BB6" w14:textId="77777777" w:rsidR="00110A88" w:rsidRPr="00AF06C8" w:rsidRDefault="00110A88" w:rsidP="00AF06C8">
      <w:pPr>
        <w:rPr>
          <w:rFonts w:cstheme="minorHAnsi"/>
          <w:szCs w:val="22"/>
        </w:rPr>
      </w:pPr>
    </w:p>
    <w:p w14:paraId="173179B9" w14:textId="77777777" w:rsidR="004A13A7" w:rsidRPr="00DE7566" w:rsidRDefault="004A13A7" w:rsidP="00317CE5">
      <w:pPr>
        <w:pStyle w:val="Heading3"/>
      </w:pPr>
      <w:bookmarkStart w:id="16" w:name="_Toc6298712"/>
      <w:bookmarkStart w:id="17" w:name="_Toc8983849"/>
      <w:bookmarkStart w:id="18" w:name="_Toc8986373"/>
      <w:bookmarkStart w:id="19" w:name="_Toc94773064"/>
      <w:r w:rsidRPr="00DE7566">
        <w:lastRenderedPageBreak/>
        <w:t>Basic principles</w:t>
      </w:r>
      <w:bookmarkEnd w:id="16"/>
      <w:bookmarkEnd w:id="17"/>
      <w:bookmarkEnd w:id="18"/>
      <w:bookmarkEnd w:id="19"/>
    </w:p>
    <w:p w14:paraId="60175BD6" w14:textId="49AB5199" w:rsidR="004A13A7" w:rsidRDefault="004A13A7" w:rsidP="00AF06C8">
      <w:pPr>
        <w:rPr>
          <w:szCs w:val="22"/>
        </w:rPr>
      </w:pPr>
      <w:r w:rsidRPr="00AF06C8">
        <w:rPr>
          <w:szCs w:val="22"/>
        </w:rPr>
        <w:t xml:space="preserve">The basic principles </w:t>
      </w:r>
      <w:r w:rsidR="005B1485">
        <w:rPr>
          <w:szCs w:val="22"/>
        </w:rPr>
        <w:t xml:space="preserve">for issuing and operating devices under an </w:t>
      </w:r>
      <w:r w:rsidR="00F95C02">
        <w:t>AWL</w:t>
      </w:r>
      <w:r w:rsidR="005B1485">
        <w:rPr>
          <w:szCs w:val="22"/>
        </w:rPr>
        <w:t xml:space="preserve"> in the 26</w:t>
      </w:r>
      <w:r w:rsidR="000E0FAB">
        <w:rPr>
          <w:szCs w:val="22"/>
        </w:rPr>
        <w:t>/</w:t>
      </w:r>
      <w:r w:rsidR="005B1485">
        <w:rPr>
          <w:szCs w:val="22"/>
        </w:rPr>
        <w:t>28 GHz bands are:</w:t>
      </w:r>
    </w:p>
    <w:p w14:paraId="33B40D4C" w14:textId="60F7D07E" w:rsidR="005B1485" w:rsidRDefault="005B1485" w:rsidP="00AF57A4">
      <w:pPr>
        <w:pStyle w:val="ListBullet"/>
      </w:pPr>
      <w:r>
        <w:t xml:space="preserve">An </w:t>
      </w:r>
      <w:r w:rsidR="00F95C02">
        <w:t xml:space="preserve">AWL </w:t>
      </w:r>
      <w:r w:rsidR="00A67C00">
        <w:t>p</w:t>
      </w:r>
      <w:r>
        <w:t>rovides service</w:t>
      </w:r>
      <w:r w:rsidR="00264216">
        <w:t>-</w:t>
      </w:r>
      <w:r w:rsidR="00C30780">
        <w:t xml:space="preserve">flexible </w:t>
      </w:r>
      <w:r>
        <w:t>and technology</w:t>
      </w:r>
      <w:r w:rsidR="00264216">
        <w:t>-</w:t>
      </w:r>
      <w:r>
        <w:t>flexible access to a frequency range and geographic area</w:t>
      </w:r>
      <w:r w:rsidR="00C30780">
        <w:t xml:space="preserve"> (its ‘licence area’)</w:t>
      </w:r>
      <w:r>
        <w:t xml:space="preserve"> specified on the licence. Conditions applicable to all </w:t>
      </w:r>
      <w:r w:rsidR="00F95C02">
        <w:t xml:space="preserve">AWLs </w:t>
      </w:r>
      <w:r>
        <w:t>in the 26</w:t>
      </w:r>
      <w:r w:rsidR="000E0FAB">
        <w:t>/</w:t>
      </w:r>
      <w:r>
        <w:t xml:space="preserve">28 GHz band </w:t>
      </w:r>
      <w:r w:rsidR="00AB4885">
        <w:t>are</w:t>
      </w:r>
      <w:r>
        <w:t xml:space="preserve"> detailed in the</w:t>
      </w:r>
      <w:r w:rsidR="00A67C00">
        <w:t xml:space="preserve"> </w:t>
      </w:r>
      <w:hyperlink r:id="rId20" w:history="1">
        <w:r w:rsidR="00EF02CC" w:rsidRPr="00A552FF">
          <w:rPr>
            <w:rStyle w:val="Hyperlink"/>
          </w:rPr>
          <w:t>Radiocommunications Licence Conditions (Area-Wide Licence) Determination 2020</w:t>
        </w:r>
      </w:hyperlink>
      <w:r w:rsidR="00EF02CC">
        <w:t xml:space="preserve"> (the AWL LCD)</w:t>
      </w:r>
      <w:r>
        <w:t>,</w:t>
      </w:r>
      <w:r w:rsidR="00C30780">
        <w:rPr>
          <w:rStyle w:val="FootnoteReference"/>
        </w:rPr>
        <w:footnoteReference w:id="3"/>
      </w:r>
      <w:r>
        <w:t xml:space="preserve"> as in force from time to time</w:t>
      </w:r>
      <w:r w:rsidR="00FB7FEC">
        <w:t>.</w:t>
      </w:r>
    </w:p>
    <w:p w14:paraId="39B2AE73" w14:textId="04585EF0" w:rsidR="00A746B9" w:rsidRDefault="00D553CE" w:rsidP="00103034">
      <w:pPr>
        <w:pStyle w:val="ListBullet"/>
      </w:pPr>
      <w:r>
        <w:t xml:space="preserve">Consistent with the </w:t>
      </w:r>
      <w:hyperlink r:id="rId21" w:history="1">
        <w:r w:rsidR="007616E0" w:rsidRPr="00A561A3">
          <w:rPr>
            <w:rStyle w:val="Hyperlink"/>
          </w:rPr>
          <w:t>Radiocommunications</w:t>
        </w:r>
        <w:r w:rsidR="00C80FD1" w:rsidRPr="00A561A3">
          <w:rPr>
            <w:rStyle w:val="Hyperlink"/>
          </w:rPr>
          <w:t xml:space="preserve"> </w:t>
        </w:r>
        <w:r w:rsidR="007616E0" w:rsidRPr="00A561A3">
          <w:rPr>
            <w:rStyle w:val="Hyperlink"/>
          </w:rPr>
          <w:t>(Interpretation) Determination 2015</w:t>
        </w:r>
      </w:hyperlink>
      <w:r w:rsidR="007616E0">
        <w:t>, a</w:t>
      </w:r>
      <w:r w:rsidR="0009476B">
        <w:t>n AWL</w:t>
      </w:r>
      <w:r w:rsidR="00D96053">
        <w:t xml:space="preserve"> may be used to operate an area-wide service that consists of one or more area-wide stations</w:t>
      </w:r>
      <w:r w:rsidR="00A746B9">
        <w:t xml:space="preserve"> (radiocommunications transmitters), and which may also consist of one or more area-wide receive stations</w:t>
      </w:r>
      <w:r w:rsidR="0067750B">
        <w:t xml:space="preserve"> (also see definition of </w:t>
      </w:r>
      <w:r w:rsidR="00571518">
        <w:t>‘AWL receiver</w:t>
      </w:r>
      <w:r w:rsidR="009B0329">
        <w:t>’</w:t>
      </w:r>
      <w:r w:rsidR="008F42C9">
        <w:t xml:space="preserve"> </w:t>
      </w:r>
      <w:r w:rsidR="0067750B">
        <w:t xml:space="preserve">in section </w:t>
      </w:r>
      <w:r w:rsidR="0067750B">
        <w:fldChar w:fldCharType="begin"/>
      </w:r>
      <w:r w:rsidR="0067750B">
        <w:instrText xml:space="preserve"> REF _Ref83214963 \r \h </w:instrText>
      </w:r>
      <w:r w:rsidR="0067750B">
        <w:fldChar w:fldCharType="separate"/>
      </w:r>
      <w:r w:rsidR="009E3A92">
        <w:t>1.3.1</w:t>
      </w:r>
      <w:r w:rsidR="0067750B">
        <w:fldChar w:fldCharType="end"/>
      </w:r>
      <w:r w:rsidR="0067750B">
        <w:t>).</w:t>
      </w:r>
    </w:p>
    <w:p w14:paraId="1ADFEFB9" w14:textId="6F01B4AC" w:rsidR="00FB7FEC" w:rsidRDefault="00FB7FEC" w:rsidP="00AF57A4">
      <w:pPr>
        <w:pStyle w:val="ListBullet"/>
      </w:pPr>
      <w:r>
        <w:t>The technical arrangements for AWLs in the 26/28 GHz band</w:t>
      </w:r>
      <w:r w:rsidR="006F2999">
        <w:t>s</w:t>
      </w:r>
      <w:r>
        <w:t xml:space="preserve"> have been designed to accommodate wireless broadband and </w:t>
      </w:r>
      <w:r w:rsidR="00D94AB5">
        <w:t xml:space="preserve">FSS </w:t>
      </w:r>
      <w:r>
        <w:t>earth stations</w:t>
      </w:r>
      <w:r w:rsidR="00D94AB5">
        <w:t xml:space="preserve"> (referred to as ‘earth stations’ </w:t>
      </w:r>
      <w:r w:rsidR="005924D4">
        <w:t>for</w:t>
      </w:r>
      <w:r w:rsidR="00D94AB5">
        <w:t xml:space="preserve"> the purposes of this RALI)</w:t>
      </w:r>
      <w:r>
        <w:t xml:space="preserve"> – although other services may be deployed as long as devices comply with the applicable licence conditions.</w:t>
      </w:r>
      <w:r>
        <w:rPr>
          <w:rStyle w:val="FootnoteReference"/>
        </w:rPr>
        <w:footnoteReference w:id="4"/>
      </w:r>
    </w:p>
    <w:p w14:paraId="3A776F11" w14:textId="789D8D62" w:rsidR="009E5DB6" w:rsidRDefault="009E5DB6" w:rsidP="00AF57A4">
      <w:pPr>
        <w:pStyle w:val="ListBullet"/>
      </w:pPr>
      <w:r>
        <w:t>For the purposes of this RALI, two types of AWLs are available for issue:</w:t>
      </w:r>
    </w:p>
    <w:p w14:paraId="5153E375" w14:textId="531268B9" w:rsidR="009E5DB6" w:rsidRDefault="009E5DB6" w:rsidP="009E5DB6">
      <w:pPr>
        <w:pStyle w:val="ListBullet"/>
        <w:tabs>
          <w:tab w:val="clear" w:pos="295"/>
          <w:tab w:val="num" w:pos="579"/>
        </w:tabs>
        <w:ind w:left="579"/>
      </w:pPr>
      <w:r w:rsidRPr="00103034">
        <w:rPr>
          <w:i/>
          <w:iCs/>
        </w:rPr>
        <w:t>Standard</w:t>
      </w:r>
      <w:r w:rsidR="00D1540F" w:rsidRPr="00103034">
        <w:rPr>
          <w:i/>
          <w:iCs/>
        </w:rPr>
        <w:t>-AWL</w:t>
      </w:r>
      <w:r w:rsidR="00D1540F">
        <w:t>: used to authorise any radiocommunications device (including both wireless broadband devices and earth stations)</w:t>
      </w:r>
      <w:r w:rsidR="00070AF2">
        <w:t>.</w:t>
      </w:r>
      <w:r w:rsidR="00E66633">
        <w:t xml:space="preserve"> </w:t>
      </w:r>
      <w:r w:rsidR="004F00CD">
        <w:t>A defining feature of a s</w:t>
      </w:r>
      <w:r w:rsidR="00070AF2">
        <w:t>tandard-AWL</w:t>
      </w:r>
      <w:r w:rsidR="004F00CD">
        <w:t xml:space="preserve"> is the inclusion of the</w:t>
      </w:r>
      <w:r w:rsidR="00070AF2">
        <w:t xml:space="preserve"> advisory notes detained in section</w:t>
      </w:r>
      <w:r w:rsidR="00C26432">
        <w:t xml:space="preserve"> </w:t>
      </w:r>
      <w:r w:rsidR="00C26432">
        <w:fldChar w:fldCharType="begin"/>
      </w:r>
      <w:r w:rsidR="00C26432">
        <w:instrText xml:space="preserve"> REF _Ref83204140 \r \h </w:instrText>
      </w:r>
      <w:r w:rsidR="00C26432">
        <w:fldChar w:fldCharType="separate"/>
      </w:r>
      <w:r w:rsidR="009E3A92">
        <w:t>2.4</w:t>
      </w:r>
      <w:r w:rsidR="00C26432">
        <w:fldChar w:fldCharType="end"/>
      </w:r>
      <w:r w:rsidR="00070AF2">
        <w:t xml:space="preserve">. </w:t>
      </w:r>
    </w:p>
    <w:p w14:paraId="18FB37EF" w14:textId="69C0BB90" w:rsidR="00D1540F" w:rsidRDefault="00D1540F" w:rsidP="00103034">
      <w:pPr>
        <w:pStyle w:val="ListBullet"/>
        <w:tabs>
          <w:tab w:val="clear" w:pos="295"/>
          <w:tab w:val="num" w:pos="579"/>
        </w:tabs>
        <w:ind w:left="579"/>
      </w:pPr>
      <w:r w:rsidRPr="00103034">
        <w:rPr>
          <w:i/>
          <w:iCs/>
        </w:rPr>
        <w:t>FSS-only AWL</w:t>
      </w:r>
      <w:r>
        <w:t>: used to only authorise earth stations</w:t>
      </w:r>
      <w:r w:rsidR="00FE3279">
        <w:t xml:space="preserve"> (no other type of station is permitted)</w:t>
      </w:r>
      <w:r>
        <w:t>.</w:t>
      </w:r>
      <w:r w:rsidR="00070AF2" w:rsidRPr="00070AF2">
        <w:t xml:space="preserve"> </w:t>
      </w:r>
      <w:r w:rsidR="004F00CD">
        <w:t xml:space="preserve">A defining feature of an </w:t>
      </w:r>
      <w:r w:rsidR="00070AF2">
        <w:t>FSS-only AWL</w:t>
      </w:r>
      <w:r w:rsidR="004F00CD">
        <w:t xml:space="preserve"> is the inclusion of</w:t>
      </w:r>
      <w:r w:rsidR="00070AF2">
        <w:t xml:space="preserve"> the </w:t>
      </w:r>
      <w:r w:rsidR="004F00CD">
        <w:t xml:space="preserve">‘FSS-only </w:t>
      </w:r>
      <w:r w:rsidR="00070AF2">
        <w:t>licence condition</w:t>
      </w:r>
      <w:r w:rsidR="004F00CD">
        <w:t>’</w:t>
      </w:r>
      <w:r w:rsidR="00070AF2">
        <w:t xml:space="preserve"> detailed in section</w:t>
      </w:r>
      <w:r w:rsidR="00C26432">
        <w:t xml:space="preserve"> </w:t>
      </w:r>
      <w:r w:rsidR="00C26432">
        <w:fldChar w:fldCharType="begin"/>
      </w:r>
      <w:r w:rsidR="00C26432">
        <w:instrText xml:space="preserve"> REF _Ref52367438 \r \h </w:instrText>
      </w:r>
      <w:r w:rsidR="00C26432">
        <w:fldChar w:fldCharType="separate"/>
      </w:r>
      <w:r w:rsidR="009E3A92">
        <w:t>2.3.4</w:t>
      </w:r>
      <w:r w:rsidR="00C26432">
        <w:fldChar w:fldCharType="end"/>
      </w:r>
      <w:r w:rsidR="00070AF2">
        <w:t>.</w:t>
      </w:r>
    </w:p>
    <w:p w14:paraId="621955A2" w14:textId="49BB410E" w:rsidR="0092642F" w:rsidRDefault="008646B4" w:rsidP="00EC7FE6">
      <w:pPr>
        <w:pStyle w:val="ListBullet"/>
      </w:pPr>
      <w:r>
        <w:t>E</w:t>
      </w:r>
      <w:r w:rsidR="0092642F">
        <w:t>arth stations operated under an 26/28 GHz band AWL have primacy over AWL receivers operating in ‘sole-primary frequencies/areas</w:t>
      </w:r>
      <w:r w:rsidR="00E66633">
        <w:t xml:space="preserve">’ (refer to definition in section </w:t>
      </w:r>
      <w:r w:rsidR="00110A88">
        <w:fldChar w:fldCharType="begin"/>
      </w:r>
      <w:r w:rsidR="00110A88">
        <w:instrText xml:space="preserve"> REF _Ref83214963 \r \h </w:instrText>
      </w:r>
      <w:r w:rsidR="00110A88">
        <w:fldChar w:fldCharType="separate"/>
      </w:r>
      <w:r w:rsidR="009E3A92">
        <w:t>1.3.1</w:t>
      </w:r>
      <w:r w:rsidR="00110A88">
        <w:fldChar w:fldCharType="end"/>
      </w:r>
      <w:r w:rsidR="0092642F">
        <w:t>)</w:t>
      </w:r>
      <w:r>
        <w:t xml:space="preserve">. This arrangement operationalises the planning </w:t>
      </w:r>
      <w:r w:rsidRPr="00EC7FE6">
        <w:t>outcomes</w:t>
      </w:r>
      <w:r>
        <w:t xml:space="preserve"> for the 28 GHz band as detailed in section </w:t>
      </w:r>
      <w:r>
        <w:fldChar w:fldCharType="begin"/>
      </w:r>
      <w:r>
        <w:instrText xml:space="preserve"> REF _Ref83647151 \r \h </w:instrText>
      </w:r>
      <w:r>
        <w:fldChar w:fldCharType="separate"/>
      </w:r>
      <w:r w:rsidR="009E3A92">
        <w:t>1.2</w:t>
      </w:r>
      <w:r>
        <w:fldChar w:fldCharType="end"/>
      </w:r>
      <w:r>
        <w:t>.</w:t>
      </w:r>
    </w:p>
    <w:p w14:paraId="049EADA1" w14:textId="36087FFA" w:rsidR="00EC7FE6" w:rsidRPr="00F04777" w:rsidRDefault="00EC7FE6" w:rsidP="00EC7FE6">
      <w:pPr>
        <w:pStyle w:val="ListBullet"/>
      </w:pPr>
      <w:r w:rsidRPr="00F04777">
        <w:t xml:space="preserve">An </w:t>
      </w:r>
      <w:r w:rsidRPr="00EC7FE6">
        <w:t>overview</w:t>
      </w:r>
      <w:r w:rsidRPr="00F04777">
        <w:t xml:space="preserve"> of how the AWL technical framework operates is provided in section</w:t>
      </w:r>
      <w:r>
        <w:t xml:space="preserve"> </w:t>
      </w:r>
      <w:r>
        <w:fldChar w:fldCharType="begin"/>
      </w:r>
      <w:r>
        <w:instrText xml:space="preserve"> REF _Ref83201021 \r \h </w:instrText>
      </w:r>
      <w:r>
        <w:fldChar w:fldCharType="separate"/>
      </w:r>
      <w:r w:rsidR="009E3A92">
        <w:t>1.4</w:t>
      </w:r>
      <w:r>
        <w:fldChar w:fldCharType="end"/>
      </w:r>
      <w:r w:rsidRPr="00F04777">
        <w:t>.</w:t>
      </w:r>
    </w:p>
    <w:p w14:paraId="39C98FCE" w14:textId="66771AAE" w:rsidR="00EC7FE6" w:rsidRDefault="00EC7FE6" w:rsidP="00103034">
      <w:pPr>
        <w:pStyle w:val="ListBullet"/>
      </w:pPr>
      <w:r>
        <w:t xml:space="preserve">An </w:t>
      </w:r>
      <w:r w:rsidRPr="00EC7FE6">
        <w:t>AWL</w:t>
      </w:r>
      <w:r>
        <w:t xml:space="preserve"> is issued </w:t>
      </w:r>
      <w:r w:rsidRPr="005E5B48">
        <w:t xml:space="preserve">prior to device coordination (if required). An </w:t>
      </w:r>
      <w:r w:rsidRPr="00EC7FE6">
        <w:rPr>
          <w:rFonts w:cs="Arial"/>
        </w:rPr>
        <w:t>AWL</w:t>
      </w:r>
      <w:r w:rsidRPr="005E5B48">
        <w:t xml:space="preserve"> will generally only be issued if it complies with the licensing arrangements detailed in Chapter </w:t>
      </w:r>
      <w:r w:rsidR="0008754B">
        <w:fldChar w:fldCharType="begin"/>
      </w:r>
      <w:r w:rsidR="0008754B">
        <w:instrText xml:space="preserve"> REF _Ref91151371 \r \h </w:instrText>
      </w:r>
      <w:r w:rsidR="0008754B">
        <w:fldChar w:fldCharType="separate"/>
      </w:r>
      <w:r w:rsidR="009E3A92">
        <w:t>2</w:t>
      </w:r>
      <w:r w:rsidR="0008754B">
        <w:fldChar w:fldCharType="end"/>
      </w:r>
      <w:r w:rsidRPr="00F04777">
        <w:t xml:space="preserve"> of this RALI.</w:t>
      </w:r>
    </w:p>
    <w:p w14:paraId="603A429B" w14:textId="6CB62399" w:rsidR="00602EC8" w:rsidRDefault="00A04308" w:rsidP="00EC7FE6">
      <w:pPr>
        <w:pStyle w:val="ListBullet"/>
      </w:pPr>
      <w:r>
        <w:t>In general, a new AWL will not be issued if it would overlap</w:t>
      </w:r>
      <w:r w:rsidRPr="00DA1729">
        <w:t xml:space="preserve"> </w:t>
      </w:r>
      <w:r>
        <w:t xml:space="preserve">with an existing AWL in both frequency and area. </w:t>
      </w:r>
      <w:bookmarkStart w:id="20" w:name="_Hlk52435067"/>
      <w:r>
        <w:t>The exception is when the new AWL</w:t>
      </w:r>
      <w:r w:rsidR="00B128B3">
        <w:t>, or the existing AWL(s),</w:t>
      </w:r>
      <w:r>
        <w:t xml:space="preserve"> </w:t>
      </w:r>
      <w:r w:rsidR="00F94F7C">
        <w:t xml:space="preserve">is an FSS-only AWL. Arrangements for coexistence between devices operating under overlapping AWLs are detailed in </w:t>
      </w:r>
      <w:r w:rsidR="0008754B">
        <w:fldChar w:fldCharType="begin"/>
      </w:r>
      <w:r w:rsidR="0008754B">
        <w:instrText xml:space="preserve"> REF _Ref91151426 \h </w:instrText>
      </w:r>
      <w:r w:rsidR="0008754B">
        <w:fldChar w:fldCharType="separate"/>
      </w:r>
      <w:r w:rsidR="009E3A92">
        <w:rPr>
          <w:szCs w:val="44"/>
        </w:rPr>
        <w:t>Coexistence between AWL devices operating in the same frequency and area (overlapping AWLs)</w:t>
      </w:r>
      <w:r w:rsidR="0008754B">
        <w:fldChar w:fldCharType="end"/>
      </w:r>
      <w:r w:rsidR="00F94F7C">
        <w:t>.</w:t>
      </w:r>
      <w:r>
        <w:t xml:space="preserve"> </w:t>
      </w:r>
      <w:bookmarkEnd w:id="20"/>
    </w:p>
    <w:p w14:paraId="412C814D" w14:textId="273E9E98" w:rsidR="007543C0" w:rsidRDefault="00E57957" w:rsidP="007543C0">
      <w:pPr>
        <w:pStyle w:val="ListBullet"/>
      </w:pPr>
      <w:r>
        <w:t xml:space="preserve">A </w:t>
      </w:r>
      <w:r w:rsidR="006671B5">
        <w:t>transmitter</w:t>
      </w:r>
      <w:r>
        <w:t xml:space="preserve"> must not be operated under an </w:t>
      </w:r>
      <w:r w:rsidR="00EF02CC" w:rsidRPr="006671B5">
        <w:rPr>
          <w:rFonts w:cs="Arial"/>
        </w:rPr>
        <w:t>AWL</w:t>
      </w:r>
      <w:r>
        <w:t xml:space="preserve"> unless it complies with </w:t>
      </w:r>
      <w:r w:rsidR="00781699">
        <w:t xml:space="preserve">the </w:t>
      </w:r>
      <w:r w:rsidR="00EF02CC">
        <w:t>AWL LCD</w:t>
      </w:r>
      <w:r w:rsidR="006671B5">
        <w:t xml:space="preserve"> and</w:t>
      </w:r>
      <w:r w:rsidR="00A67C00">
        <w:t xml:space="preserve"> </w:t>
      </w:r>
      <w:r w:rsidR="00A254D7">
        <w:t xml:space="preserve">conditions </w:t>
      </w:r>
      <w:r w:rsidR="00A97740">
        <w:t>included</w:t>
      </w:r>
      <w:r w:rsidR="00781699">
        <w:t xml:space="preserve"> </w:t>
      </w:r>
      <w:r w:rsidR="00A254D7">
        <w:t xml:space="preserve">on </w:t>
      </w:r>
      <w:r w:rsidR="00D53912">
        <w:t xml:space="preserve">individual </w:t>
      </w:r>
      <w:r w:rsidR="00A254D7">
        <w:t>licence</w:t>
      </w:r>
      <w:r w:rsidR="00D53912">
        <w:t>s</w:t>
      </w:r>
      <w:r w:rsidR="00030956">
        <w:t>,</w:t>
      </w:r>
      <w:r w:rsidR="006671B5">
        <w:t xml:space="preserve"> </w:t>
      </w:r>
      <w:r w:rsidR="007543C0">
        <w:t>including any applicable parts of</w:t>
      </w:r>
      <w:r w:rsidR="00620DE5">
        <w:t xml:space="preserve"> this RALI (</w:t>
      </w:r>
      <w:r w:rsidR="00F059BF">
        <w:t xml:space="preserve">see </w:t>
      </w:r>
      <w:r w:rsidR="00620DE5">
        <w:t xml:space="preserve">paragraph </w:t>
      </w:r>
      <w:r w:rsidR="003170A1">
        <w:t>5</w:t>
      </w:r>
      <w:r w:rsidR="00620DE5">
        <w:t xml:space="preserve"> of schedule 1 of the AWL </w:t>
      </w:r>
      <w:r w:rsidR="00620DE5">
        <w:lastRenderedPageBreak/>
        <w:t>LCD)</w:t>
      </w:r>
      <w:r w:rsidR="007543C0">
        <w:t xml:space="preserve">, and if registration is required, is registered on the </w:t>
      </w:r>
      <w:hyperlink r:id="rId22" w:history="1">
        <w:r w:rsidR="007543C0" w:rsidRPr="007543C0">
          <w:rPr>
            <w:rStyle w:val="Hyperlink"/>
          </w:rPr>
          <w:t>Register of Radiocommunications Licences</w:t>
        </w:r>
      </w:hyperlink>
      <w:r w:rsidR="007543C0">
        <w:t xml:space="preserve"> (RRL)</w:t>
      </w:r>
      <w:r w:rsidR="00620DE5">
        <w:t>.</w:t>
      </w:r>
      <w:r w:rsidR="007543C0" w:rsidRPr="007543C0">
        <w:t xml:space="preserve"> </w:t>
      </w:r>
    </w:p>
    <w:p w14:paraId="191113F2" w14:textId="2B34D598" w:rsidR="00620DE5" w:rsidRDefault="007543C0" w:rsidP="007543C0">
      <w:pPr>
        <w:pStyle w:val="ListBullet"/>
      </w:pPr>
      <w:r w:rsidRPr="005E5B48">
        <w:t xml:space="preserve">Where applicable, any necessary device coordination is to be undertaken prior to including applicable devices in the </w:t>
      </w:r>
      <w:r w:rsidRPr="00F04777">
        <w:t xml:space="preserve">RRL – see Chapter </w:t>
      </w:r>
      <w:r w:rsidR="0008754B">
        <w:fldChar w:fldCharType="begin"/>
      </w:r>
      <w:r w:rsidR="0008754B">
        <w:instrText xml:space="preserve"> REF _Ref83896996 \r \h </w:instrText>
      </w:r>
      <w:r w:rsidR="0008754B">
        <w:fldChar w:fldCharType="separate"/>
      </w:r>
      <w:r w:rsidR="009E3A92">
        <w:t>3</w:t>
      </w:r>
      <w:r w:rsidR="0008754B">
        <w:fldChar w:fldCharType="end"/>
      </w:r>
      <w:r w:rsidRPr="00F04777">
        <w:t xml:space="preserve">. </w:t>
      </w:r>
    </w:p>
    <w:p w14:paraId="3D38A75E" w14:textId="77777777" w:rsidR="006671B5" w:rsidRDefault="006671B5" w:rsidP="00103034">
      <w:pPr>
        <w:pStyle w:val="ListBullet"/>
        <w:numPr>
          <w:ilvl w:val="0"/>
          <w:numId w:val="0"/>
        </w:numPr>
        <w:ind w:left="295" w:hanging="295"/>
      </w:pPr>
    </w:p>
    <w:p w14:paraId="4D40CC88" w14:textId="4BE09298" w:rsidR="00E14D80" w:rsidRDefault="00E14D80" w:rsidP="00103034">
      <w:pPr>
        <w:pStyle w:val="Heading2"/>
      </w:pPr>
      <w:bookmarkStart w:id="21" w:name="_Ref83201021"/>
      <w:bookmarkStart w:id="22" w:name="_Toc94773065"/>
      <w:r>
        <w:t>O</w:t>
      </w:r>
      <w:r w:rsidR="000354AD">
        <w:t>peration of technical framework</w:t>
      </w:r>
      <w:bookmarkEnd w:id="21"/>
      <w:bookmarkEnd w:id="22"/>
    </w:p>
    <w:p w14:paraId="05FF923E" w14:textId="7E3EE5D1" w:rsidR="000354AD" w:rsidRDefault="000354AD" w:rsidP="000354AD">
      <w:r>
        <w:t>The technical framework for AWLs in the 26/28 GHz bands sets out the conditions and</w:t>
      </w:r>
      <w:r w:rsidR="00D40932">
        <w:t xml:space="preserve"> planning</w:t>
      </w:r>
      <w:r>
        <w:t xml:space="preserve"> arrangements that allow coexistence with other services operating in and adjacent to the 26/28 GHz bands.  The conditions or arrangements are</w:t>
      </w:r>
      <w:r w:rsidR="00D40932">
        <w:t xml:space="preserve"> contained in</w:t>
      </w:r>
      <w:r>
        <w:t>:</w:t>
      </w:r>
    </w:p>
    <w:p w14:paraId="389A01EE" w14:textId="0E56BE52" w:rsidR="000354AD" w:rsidRDefault="00D40932" w:rsidP="00103034">
      <w:pPr>
        <w:pStyle w:val="ListBullet"/>
      </w:pPr>
      <w:r>
        <w:t xml:space="preserve">Conditions included </w:t>
      </w:r>
      <w:r w:rsidR="000354AD">
        <w:t>on individual licences</w:t>
      </w:r>
    </w:p>
    <w:p w14:paraId="0748E427" w14:textId="3F313FA3" w:rsidR="000354AD" w:rsidRDefault="000354AD" w:rsidP="00103034">
      <w:pPr>
        <w:pStyle w:val="ListBullet"/>
      </w:pPr>
      <w:r>
        <w:t xml:space="preserve">the </w:t>
      </w:r>
      <w:hyperlink r:id="rId23" w:history="1">
        <w:r w:rsidRPr="00307A0C">
          <w:rPr>
            <w:rStyle w:val="Hyperlink"/>
          </w:rPr>
          <w:t>Radiocommunications Licence Conditions (Area-Wide Licence) Determination 2020</w:t>
        </w:r>
      </w:hyperlink>
      <w:r>
        <w:t xml:space="preserve"> (AWL LCD)</w:t>
      </w:r>
    </w:p>
    <w:p w14:paraId="7718AE7D" w14:textId="77777777" w:rsidR="00D40932" w:rsidRDefault="000354AD" w:rsidP="00103034">
      <w:pPr>
        <w:pStyle w:val="ListBullet"/>
      </w:pPr>
      <w:r>
        <w:t xml:space="preserve">in the </w:t>
      </w:r>
      <w:hyperlink r:id="rId24" w:history="1">
        <w:r w:rsidRPr="00BB4BA0">
          <w:rPr>
            <w:rStyle w:val="Hyperlink"/>
          </w:rPr>
          <w:t>Radiocommunications Licence Conditions (Apparatus Licence) Determination 2015</w:t>
        </w:r>
      </w:hyperlink>
      <w:r>
        <w:rPr>
          <w:rStyle w:val="Hyperlink"/>
        </w:rPr>
        <w:t>,</w:t>
      </w:r>
      <w:r>
        <w:t xml:space="preserve"> which contains conditions for all apparatus licences</w:t>
      </w:r>
    </w:p>
    <w:p w14:paraId="544A032D" w14:textId="3E6CEC6D" w:rsidR="000354AD" w:rsidRDefault="00D40932" w:rsidP="00103034">
      <w:pPr>
        <w:pStyle w:val="ListBullet"/>
      </w:pPr>
      <w:r>
        <w:t xml:space="preserve">in the policy document </w:t>
      </w:r>
      <w:hyperlink r:id="rId25" w:history="1">
        <w:r w:rsidRPr="00307A0C">
          <w:rPr>
            <w:rStyle w:val="Hyperlink"/>
          </w:rPr>
          <w:t>Radiocommunications Assignment and Licensing Instruction MS46</w:t>
        </w:r>
      </w:hyperlink>
      <w:r>
        <w:t xml:space="preserve"> (RALI MS46)</w:t>
      </w:r>
      <w:r w:rsidR="000354AD">
        <w:t xml:space="preserve">. </w:t>
      </w:r>
    </w:p>
    <w:p w14:paraId="3668B1CF" w14:textId="3887448B" w:rsidR="000354AD" w:rsidRDefault="000354AD" w:rsidP="000354AD">
      <w:r>
        <w:t>The technical framework operates using the 3 steps</w:t>
      </w:r>
      <w:r w:rsidR="005A5E12">
        <w:t xml:space="preserve"> described below</w:t>
      </w:r>
      <w:r>
        <w:t>:</w:t>
      </w:r>
    </w:p>
    <w:p w14:paraId="697A3195" w14:textId="77777777" w:rsidR="000354AD" w:rsidRPr="0079290C" w:rsidRDefault="000354AD" w:rsidP="000354AD">
      <w:pPr>
        <w:keepNext/>
        <w:keepLines/>
        <w:rPr>
          <w:b/>
          <w:bCs/>
          <w:sz w:val="24"/>
        </w:rPr>
      </w:pPr>
      <w:r>
        <w:rPr>
          <w:b/>
          <w:bCs/>
          <w:sz w:val="24"/>
        </w:rPr>
        <w:t xml:space="preserve">Step </w:t>
      </w:r>
      <w:r w:rsidRPr="0079290C">
        <w:rPr>
          <w:b/>
          <w:bCs/>
          <w:sz w:val="24"/>
        </w:rPr>
        <w:t xml:space="preserve">1: </w:t>
      </w:r>
      <w:r>
        <w:rPr>
          <w:b/>
          <w:bCs/>
          <w:sz w:val="24"/>
        </w:rPr>
        <w:t xml:space="preserve">Determine your needs, then apply for </w:t>
      </w:r>
      <w:r w:rsidRPr="0079290C">
        <w:rPr>
          <w:b/>
          <w:bCs/>
          <w:sz w:val="24"/>
        </w:rPr>
        <w:t>a licence</w:t>
      </w:r>
    </w:p>
    <w:p w14:paraId="0FCD03BD" w14:textId="77777777" w:rsidR="000354AD" w:rsidRDefault="000354AD" w:rsidP="000354AD">
      <w:pPr>
        <w:keepNext/>
        <w:keepLines/>
      </w:pPr>
      <w:r>
        <w:rPr>
          <w:b/>
          <w:bCs/>
        </w:rPr>
        <w:t>Define</w:t>
      </w:r>
      <w:r w:rsidRPr="004D2C0A">
        <w:rPr>
          <w:b/>
          <w:bCs/>
        </w:rPr>
        <w:t xml:space="preserve"> the area and frequency range first</w:t>
      </w:r>
      <w:r>
        <w:t xml:space="preserve">:  </w:t>
      </w:r>
    </w:p>
    <w:p w14:paraId="47151EA2" w14:textId="76D7AA2C" w:rsidR="000354AD" w:rsidRDefault="000354AD" w:rsidP="00103034">
      <w:pPr>
        <w:pStyle w:val="ListBullet"/>
      </w:pPr>
      <w:r>
        <w:t xml:space="preserve">Unlike most other types of apparatus licences, AWLs are issued </w:t>
      </w:r>
      <w:r w:rsidRPr="00D3704B">
        <w:rPr>
          <w:i/>
          <w:iCs/>
        </w:rPr>
        <w:t>before</w:t>
      </w:r>
      <w:r>
        <w:t xml:space="preserve"> device coordination. You will need to </w:t>
      </w:r>
      <w:r w:rsidR="005A5E12">
        <w:t>identify</w:t>
      </w:r>
      <w:r>
        <w:t xml:space="preserve"> the area and frequency range you wish to operate in before applying for an AWL. </w:t>
      </w:r>
    </w:p>
    <w:p w14:paraId="104516CE" w14:textId="36205A5A" w:rsidR="000354AD" w:rsidRDefault="000354AD" w:rsidP="00103034">
      <w:pPr>
        <w:pStyle w:val="ListBullet"/>
      </w:pPr>
      <w:r>
        <w:t xml:space="preserve">Go to the ACMA’s </w:t>
      </w:r>
      <w:hyperlink r:id="rId26" w:history="1">
        <w:r w:rsidRPr="004D2C0A">
          <w:rPr>
            <w:rStyle w:val="Hyperlink"/>
          </w:rPr>
          <w:t>Register of Radiocommunications Licences</w:t>
        </w:r>
      </w:hyperlink>
      <w:r>
        <w:t xml:space="preserve"> to check if your desired geographical area(s) and frequency range(s) are available</w:t>
      </w:r>
      <w:r w:rsidR="001C5239">
        <w:t xml:space="preserve"> (see licence issue instructions in section </w:t>
      </w:r>
      <w:r w:rsidR="001C5239">
        <w:fldChar w:fldCharType="begin"/>
      </w:r>
      <w:r w:rsidR="001C5239">
        <w:instrText xml:space="preserve"> REF _Ref22126455 \r \h </w:instrText>
      </w:r>
      <w:r w:rsidR="001C5239">
        <w:fldChar w:fldCharType="separate"/>
      </w:r>
      <w:r w:rsidR="001C5239">
        <w:t>2.3.1</w:t>
      </w:r>
      <w:r w:rsidR="001C5239">
        <w:fldChar w:fldCharType="end"/>
      </w:r>
      <w:r w:rsidR="001C5239">
        <w:t>)</w:t>
      </w:r>
      <w:r>
        <w:t xml:space="preserve">. </w:t>
      </w:r>
    </w:p>
    <w:p w14:paraId="45888A2B" w14:textId="14D1A29B" w:rsidR="000354AD" w:rsidRDefault="000354AD" w:rsidP="00103034">
      <w:pPr>
        <w:pStyle w:val="ListBullet"/>
      </w:pPr>
      <w:r>
        <w:t xml:space="preserve">Additional spectrum and/or area may be required so that operation complies with all requirements at the frequency and area boundaries of the licence (detailed in the </w:t>
      </w:r>
      <w:hyperlink r:id="rId27" w:history="1">
        <w:r w:rsidRPr="007C0096">
          <w:rPr>
            <w:rStyle w:val="Hyperlink"/>
          </w:rPr>
          <w:t>AWL LCD</w:t>
        </w:r>
      </w:hyperlink>
      <w:r>
        <w:t xml:space="preserve"> and</w:t>
      </w:r>
      <w:r w:rsidR="00334F57">
        <w:t xml:space="preserve"> section </w:t>
      </w:r>
      <w:r w:rsidR="00FB0873">
        <w:rPr>
          <w:highlight w:val="yellow"/>
        </w:rPr>
        <w:fldChar w:fldCharType="begin"/>
      </w:r>
      <w:r w:rsidR="00FB0873">
        <w:instrText xml:space="preserve"> REF _Ref19697702 \r \h </w:instrText>
      </w:r>
      <w:r w:rsidR="00FB0873">
        <w:rPr>
          <w:highlight w:val="yellow"/>
        </w:rPr>
      </w:r>
      <w:r w:rsidR="00FB0873">
        <w:rPr>
          <w:highlight w:val="yellow"/>
        </w:rPr>
        <w:fldChar w:fldCharType="separate"/>
      </w:r>
      <w:r w:rsidR="009E3A92">
        <w:t>3.3</w:t>
      </w:r>
      <w:r w:rsidR="00FB0873">
        <w:rPr>
          <w:highlight w:val="yellow"/>
        </w:rPr>
        <w:fldChar w:fldCharType="end"/>
      </w:r>
      <w:r w:rsidR="00334F57">
        <w:t xml:space="preserve"> of this </w:t>
      </w:r>
      <w:hyperlink r:id="rId28" w:history="1">
        <w:r w:rsidRPr="007C0096">
          <w:rPr>
            <w:rStyle w:val="Hyperlink"/>
          </w:rPr>
          <w:t>RALI</w:t>
        </w:r>
      </w:hyperlink>
      <w:r w:rsidR="00334F57">
        <w:rPr>
          <w:rStyle w:val="Hyperlink"/>
        </w:rPr>
        <w:t>)</w:t>
      </w:r>
      <w:r>
        <w:t>.</w:t>
      </w:r>
      <w:r w:rsidRPr="00FB3B9A">
        <w:t xml:space="preserve"> </w:t>
      </w:r>
      <w:r>
        <w:t>This will make sure that enough ‘spectrum space’ (geographic area and bandwidth) is licensed.</w:t>
      </w:r>
    </w:p>
    <w:p w14:paraId="22296957" w14:textId="77777777" w:rsidR="000354AD" w:rsidRPr="004D2C0A" w:rsidRDefault="000354AD" w:rsidP="000354AD">
      <w:pPr>
        <w:rPr>
          <w:b/>
          <w:bCs/>
        </w:rPr>
      </w:pPr>
      <w:r>
        <w:rPr>
          <w:b/>
          <w:bCs/>
        </w:rPr>
        <w:t>Apply to the ACMA</w:t>
      </w:r>
      <w:r w:rsidRPr="004D2C0A">
        <w:rPr>
          <w:b/>
          <w:bCs/>
        </w:rPr>
        <w:t>:</w:t>
      </w:r>
    </w:p>
    <w:p w14:paraId="29BB00A7" w14:textId="480296E8" w:rsidR="000354AD" w:rsidRDefault="000354AD" w:rsidP="00103034">
      <w:pPr>
        <w:pStyle w:val="ListBullet"/>
      </w:pPr>
      <w:r>
        <w:t xml:space="preserve">Chapter </w:t>
      </w:r>
      <w:r w:rsidR="00FB0873">
        <w:fldChar w:fldCharType="begin"/>
      </w:r>
      <w:r w:rsidR="00FB0873">
        <w:instrText xml:space="preserve"> REF _Ref91151604 \r \h </w:instrText>
      </w:r>
      <w:r w:rsidR="00FB0873">
        <w:fldChar w:fldCharType="separate"/>
      </w:r>
      <w:r w:rsidR="009E3A92">
        <w:t>2</w:t>
      </w:r>
      <w:r w:rsidR="00FB0873">
        <w:fldChar w:fldCharType="end"/>
      </w:r>
      <w:r>
        <w:t xml:space="preserve"> of</w:t>
      </w:r>
      <w:r w:rsidR="0085605A">
        <w:t xml:space="preserve"> this</w:t>
      </w:r>
      <w:r>
        <w:t xml:space="preserve"> </w:t>
      </w:r>
      <w:hyperlink r:id="rId29" w:history="1">
        <w:r w:rsidRPr="007C0096">
          <w:rPr>
            <w:rStyle w:val="Hyperlink"/>
          </w:rPr>
          <w:t>RALI</w:t>
        </w:r>
      </w:hyperlink>
      <w:r>
        <w:t xml:space="preserve"> contains the basic arrangements for </w:t>
      </w:r>
      <w:r w:rsidR="00CA3155">
        <w:t xml:space="preserve">issuing </w:t>
      </w:r>
      <w:r>
        <w:t>AWLs in the 26/28 GHz bands.</w:t>
      </w:r>
      <w:r w:rsidRPr="00CA0CE4">
        <w:t xml:space="preserve"> </w:t>
      </w:r>
    </w:p>
    <w:p w14:paraId="0614DC8A" w14:textId="72B84AFF" w:rsidR="000354AD" w:rsidRDefault="000354AD" w:rsidP="00103034">
      <w:pPr>
        <w:pStyle w:val="ListBullet"/>
      </w:pPr>
      <w:r>
        <w:t xml:space="preserve">See the </w:t>
      </w:r>
      <w:hyperlink r:id="rId30" w:history="1">
        <w:r w:rsidR="00D65439" w:rsidRPr="00D65439">
          <w:rPr>
            <w:rStyle w:val="Hyperlink"/>
          </w:rPr>
          <w:t>ACMA website</w:t>
        </w:r>
      </w:hyperlink>
      <w:r w:rsidR="00D65439">
        <w:t xml:space="preserve"> for further information about</w:t>
      </w:r>
      <w:r>
        <w:t xml:space="preserve"> how to apply </w:t>
      </w:r>
      <w:r w:rsidR="00D65439">
        <w:t>for an AWL</w:t>
      </w:r>
      <w:r>
        <w:t xml:space="preserve">. </w:t>
      </w:r>
    </w:p>
    <w:p w14:paraId="695D53C0" w14:textId="77777777" w:rsidR="000354AD" w:rsidRDefault="000354AD" w:rsidP="00103034">
      <w:pPr>
        <w:pStyle w:val="ListBullet"/>
      </w:pPr>
      <w:r>
        <w:t xml:space="preserve">You should engage an </w:t>
      </w:r>
      <w:hyperlink r:id="rId31" w:history="1">
        <w:r w:rsidRPr="00F13925">
          <w:rPr>
            <w:rStyle w:val="Hyperlink"/>
          </w:rPr>
          <w:t>Accredited Person</w:t>
        </w:r>
      </w:hyperlink>
      <w:r w:rsidRPr="006E5C4C">
        <w:t xml:space="preserve"> to </w:t>
      </w:r>
      <w:r>
        <w:t>assist with your application.</w:t>
      </w:r>
    </w:p>
    <w:p w14:paraId="38549365" w14:textId="77777777" w:rsidR="000354AD" w:rsidRPr="009F5779" w:rsidRDefault="000354AD" w:rsidP="000354AD">
      <w:pPr>
        <w:rPr>
          <w:b/>
        </w:rPr>
      </w:pPr>
      <w:r>
        <w:rPr>
          <w:b/>
        </w:rPr>
        <w:t>After you apply:</w:t>
      </w:r>
      <w:r w:rsidRPr="009F5779">
        <w:rPr>
          <w:b/>
        </w:rPr>
        <w:t xml:space="preserve"> </w:t>
      </w:r>
    </w:p>
    <w:p w14:paraId="1FA75047" w14:textId="77777777" w:rsidR="000354AD" w:rsidRDefault="000354AD" w:rsidP="00103034">
      <w:pPr>
        <w:pStyle w:val="ListBullet"/>
      </w:pPr>
      <w:r>
        <w:t xml:space="preserve">After we receive your application, we will send you an invoice for the application fee. </w:t>
      </w:r>
    </w:p>
    <w:p w14:paraId="70BF6B50" w14:textId="77777777" w:rsidR="000354AD" w:rsidRDefault="000354AD" w:rsidP="00103034">
      <w:pPr>
        <w:pStyle w:val="ListBullet"/>
      </w:pPr>
      <w:r>
        <w:lastRenderedPageBreak/>
        <w:t>After we approve your licence, we will send you an invoice for the apparatus licence tax. The licence will only be issued once the apparatus licence tax is paid.</w:t>
      </w:r>
    </w:p>
    <w:p w14:paraId="7A84CCC0" w14:textId="59A5F9A9" w:rsidR="000354AD" w:rsidRDefault="000354AD" w:rsidP="00103034">
      <w:pPr>
        <w:pStyle w:val="ListBullet"/>
      </w:pPr>
      <w:r>
        <w:t xml:space="preserve">You may only operate a transmitter once your licence is issued (and all </w:t>
      </w:r>
      <w:r w:rsidR="005A5E12">
        <w:t xml:space="preserve">applicable </w:t>
      </w:r>
      <w:r>
        <w:t>conditions below are met).</w:t>
      </w:r>
    </w:p>
    <w:p w14:paraId="1E9012F9" w14:textId="34B18F9E" w:rsidR="000354AD" w:rsidRDefault="000354AD" w:rsidP="000354AD">
      <w:pPr>
        <w:rPr>
          <w:b/>
          <w:bCs/>
          <w:sz w:val="24"/>
        </w:rPr>
      </w:pPr>
      <w:r w:rsidRPr="0079290C">
        <w:rPr>
          <w:b/>
          <w:bCs/>
          <w:sz w:val="24"/>
        </w:rPr>
        <w:t xml:space="preserve">Step 2: </w:t>
      </w:r>
      <w:r>
        <w:rPr>
          <w:b/>
          <w:bCs/>
          <w:sz w:val="24"/>
        </w:rPr>
        <w:t xml:space="preserve">Coordinate and register the </w:t>
      </w:r>
      <w:r w:rsidR="00186BF5">
        <w:rPr>
          <w:b/>
          <w:bCs/>
          <w:sz w:val="24"/>
        </w:rPr>
        <w:t>device</w:t>
      </w:r>
      <w:r>
        <w:rPr>
          <w:b/>
          <w:bCs/>
          <w:sz w:val="24"/>
        </w:rPr>
        <w:t xml:space="preserve"> </w:t>
      </w:r>
    </w:p>
    <w:p w14:paraId="1834AED4" w14:textId="69ABC207" w:rsidR="000354AD" w:rsidRPr="009F5779" w:rsidRDefault="000354AD" w:rsidP="000354AD">
      <w:pPr>
        <w:rPr>
          <w:b/>
          <w:bCs/>
        </w:rPr>
      </w:pPr>
      <w:r w:rsidRPr="009F5779">
        <w:rPr>
          <w:b/>
          <w:bCs/>
        </w:rPr>
        <w:t xml:space="preserve">Before registration, meet the requirements in Chapter </w:t>
      </w:r>
      <w:r w:rsidR="00FB0873">
        <w:rPr>
          <w:b/>
          <w:bCs/>
          <w:highlight w:val="yellow"/>
        </w:rPr>
        <w:fldChar w:fldCharType="begin"/>
      </w:r>
      <w:r w:rsidR="00FB0873">
        <w:rPr>
          <w:b/>
          <w:bCs/>
        </w:rPr>
        <w:instrText xml:space="preserve"> REF _Ref83896996 \r \h </w:instrText>
      </w:r>
      <w:r w:rsidR="00FB0873">
        <w:rPr>
          <w:b/>
          <w:bCs/>
          <w:highlight w:val="yellow"/>
        </w:rPr>
      </w:r>
      <w:r w:rsidR="00FB0873">
        <w:rPr>
          <w:b/>
          <w:bCs/>
          <w:highlight w:val="yellow"/>
        </w:rPr>
        <w:fldChar w:fldCharType="separate"/>
      </w:r>
      <w:r w:rsidR="009E3A92">
        <w:rPr>
          <w:b/>
          <w:bCs/>
        </w:rPr>
        <w:t>3</w:t>
      </w:r>
      <w:r w:rsidR="00FB0873">
        <w:rPr>
          <w:b/>
          <w:bCs/>
          <w:highlight w:val="yellow"/>
        </w:rPr>
        <w:fldChar w:fldCharType="end"/>
      </w:r>
      <w:r w:rsidRPr="009F5779">
        <w:rPr>
          <w:b/>
          <w:bCs/>
        </w:rPr>
        <w:t xml:space="preserve"> of </w:t>
      </w:r>
      <w:r w:rsidR="0085605A">
        <w:rPr>
          <w:b/>
          <w:bCs/>
        </w:rPr>
        <w:t xml:space="preserve">this </w:t>
      </w:r>
      <w:r w:rsidRPr="00FB0873">
        <w:rPr>
          <w:rStyle w:val="Hyperlink"/>
          <w:b/>
          <w:bCs/>
        </w:rPr>
        <w:t>RALI</w:t>
      </w:r>
      <w:r w:rsidRPr="009F5779">
        <w:t>.</w:t>
      </w:r>
      <w:r>
        <w:rPr>
          <w:b/>
          <w:bCs/>
        </w:rPr>
        <w:t xml:space="preserve"> </w:t>
      </w:r>
      <w:r>
        <w:t>These include:</w:t>
      </w:r>
    </w:p>
    <w:p w14:paraId="3823C2B9" w14:textId="54B0521F" w:rsidR="000354AD" w:rsidRDefault="000354AD" w:rsidP="00103034">
      <w:pPr>
        <w:pStyle w:val="ListBullet"/>
      </w:pPr>
      <w:r>
        <w:t xml:space="preserve">Coordinating with existing services – see sections </w:t>
      </w:r>
      <w:r w:rsidR="00FB0873">
        <w:fldChar w:fldCharType="begin"/>
      </w:r>
      <w:r w:rsidR="00FB0873">
        <w:instrText xml:space="preserve"> REF _Ref83649553 \r \h </w:instrText>
      </w:r>
      <w:r w:rsidR="00FB0873">
        <w:fldChar w:fldCharType="separate"/>
      </w:r>
      <w:r w:rsidR="009E3A92">
        <w:t>3.1</w:t>
      </w:r>
      <w:r w:rsidR="00FB0873">
        <w:fldChar w:fldCharType="end"/>
      </w:r>
      <w:r w:rsidR="00FB0873">
        <w:t xml:space="preserve">, </w:t>
      </w:r>
      <w:r w:rsidR="00FB0873">
        <w:fldChar w:fldCharType="begin"/>
      </w:r>
      <w:r w:rsidR="00FB0873">
        <w:instrText xml:space="preserve"> REF _Ref16690549 \r \h </w:instrText>
      </w:r>
      <w:r w:rsidR="00FB0873">
        <w:fldChar w:fldCharType="separate"/>
      </w:r>
      <w:r w:rsidR="009E3A92">
        <w:t>3.4</w:t>
      </w:r>
      <w:r w:rsidR="00FB0873">
        <w:fldChar w:fldCharType="end"/>
      </w:r>
      <w:r w:rsidR="00052A42">
        <w:t xml:space="preserve">, </w:t>
      </w:r>
      <w:r w:rsidR="00FB0873">
        <w:fldChar w:fldCharType="begin"/>
      </w:r>
      <w:r w:rsidR="00FB0873">
        <w:instrText xml:space="preserve"> REF _Ref22128670 \r \h </w:instrText>
      </w:r>
      <w:r w:rsidR="00FB0873">
        <w:fldChar w:fldCharType="separate"/>
      </w:r>
      <w:r w:rsidR="009E3A92">
        <w:t>3.6</w:t>
      </w:r>
      <w:r w:rsidR="00FB0873">
        <w:fldChar w:fldCharType="end"/>
      </w:r>
      <w:r>
        <w:t xml:space="preserve"> </w:t>
      </w:r>
      <w:r w:rsidR="00052A42">
        <w:t xml:space="preserve">and </w:t>
      </w:r>
      <w:r w:rsidR="00052A42">
        <w:fldChar w:fldCharType="begin"/>
      </w:r>
      <w:r w:rsidR="00052A42">
        <w:instrText xml:space="preserve"> REF _Ref91151769 \r \h </w:instrText>
      </w:r>
      <w:r w:rsidR="00052A42">
        <w:fldChar w:fldCharType="separate"/>
      </w:r>
      <w:r w:rsidR="009E3A92">
        <w:t>3.7</w:t>
      </w:r>
      <w:r w:rsidR="00052A42">
        <w:fldChar w:fldCharType="end"/>
      </w:r>
      <w:r w:rsidR="00052A42">
        <w:t xml:space="preserve"> </w:t>
      </w:r>
      <w:r>
        <w:t xml:space="preserve">of </w:t>
      </w:r>
      <w:r w:rsidR="00553724">
        <w:t xml:space="preserve">this </w:t>
      </w:r>
      <w:r>
        <w:t>RALI.</w:t>
      </w:r>
    </w:p>
    <w:p w14:paraId="4EF20687" w14:textId="771F3ABF" w:rsidR="000354AD" w:rsidRDefault="000354AD" w:rsidP="00103034">
      <w:pPr>
        <w:pStyle w:val="ListBullet"/>
      </w:pPr>
      <w:r>
        <w:t xml:space="preserve">Implementing operational limitations to facilitate coexistence with other services (for example, meeting the power flux density limit at the geographic boundary of the licence, where applicable) – see sections </w:t>
      </w:r>
      <w:r w:rsidR="00FB0873">
        <w:fldChar w:fldCharType="begin"/>
      </w:r>
      <w:r w:rsidR="00FB0873">
        <w:instrText xml:space="preserve"> REF _Ref19697702 \r \h </w:instrText>
      </w:r>
      <w:r w:rsidR="00FB0873">
        <w:fldChar w:fldCharType="separate"/>
      </w:r>
      <w:r w:rsidR="009E3A92">
        <w:t>3.3</w:t>
      </w:r>
      <w:r w:rsidR="00FB0873">
        <w:fldChar w:fldCharType="end"/>
      </w:r>
      <w:r w:rsidR="00FB0873">
        <w:t xml:space="preserve"> and </w:t>
      </w:r>
      <w:r w:rsidR="00FB0873">
        <w:fldChar w:fldCharType="begin"/>
      </w:r>
      <w:r w:rsidR="00FB0873">
        <w:instrText xml:space="preserve"> REF _Ref16690482 \r \h </w:instrText>
      </w:r>
      <w:r w:rsidR="00FB0873">
        <w:fldChar w:fldCharType="separate"/>
      </w:r>
      <w:r w:rsidR="009E3A92">
        <w:t>3.5</w:t>
      </w:r>
      <w:r w:rsidR="00FB0873">
        <w:fldChar w:fldCharType="end"/>
      </w:r>
      <w:r>
        <w:t xml:space="preserve"> of </w:t>
      </w:r>
      <w:r w:rsidR="00553724">
        <w:t xml:space="preserve">this </w:t>
      </w:r>
      <w:r>
        <w:t>RALI.</w:t>
      </w:r>
    </w:p>
    <w:p w14:paraId="35F14249" w14:textId="188CCAA2" w:rsidR="000354AD" w:rsidRDefault="000354AD" w:rsidP="00103034">
      <w:pPr>
        <w:pStyle w:val="ListBullet"/>
      </w:pPr>
      <w:r>
        <w:t xml:space="preserve">Complying with arrangements detailed in other documents to be met prior to registration – see sections </w:t>
      </w:r>
      <w:r w:rsidR="00FB3BCB">
        <w:fldChar w:fldCharType="begin"/>
      </w:r>
      <w:r w:rsidR="00FB3BCB">
        <w:instrText xml:space="preserve"> REF _Ref45893953 \r \h </w:instrText>
      </w:r>
      <w:r w:rsidR="00FB3BCB">
        <w:fldChar w:fldCharType="separate"/>
      </w:r>
      <w:r w:rsidR="009E3A92">
        <w:t>3.2</w:t>
      </w:r>
      <w:r w:rsidR="00FB3BCB">
        <w:fldChar w:fldCharType="end"/>
      </w:r>
      <w:r w:rsidR="00FB3BCB">
        <w:t xml:space="preserve"> and </w:t>
      </w:r>
      <w:r w:rsidR="00FB3BCB">
        <w:fldChar w:fldCharType="begin"/>
      </w:r>
      <w:r w:rsidR="00FB3BCB">
        <w:instrText xml:space="preserve"> REF _Ref46470743 \r \h </w:instrText>
      </w:r>
      <w:r w:rsidR="00FB3BCB">
        <w:fldChar w:fldCharType="separate"/>
      </w:r>
      <w:r w:rsidR="009E3A92">
        <w:t>3.8</w:t>
      </w:r>
      <w:r w:rsidR="00FB3BCB">
        <w:fldChar w:fldCharType="end"/>
      </w:r>
      <w:r>
        <w:t xml:space="preserve"> of </w:t>
      </w:r>
      <w:r w:rsidR="00553724">
        <w:t xml:space="preserve">this </w:t>
      </w:r>
      <w:r>
        <w:t xml:space="preserve">RALI. </w:t>
      </w:r>
    </w:p>
    <w:p w14:paraId="0388AAD0" w14:textId="77777777" w:rsidR="000354AD" w:rsidRDefault="000354AD" w:rsidP="000354AD">
      <w:r w:rsidRPr="007C0096">
        <w:rPr>
          <w:b/>
          <w:bCs/>
        </w:rPr>
        <w:t>Register the transmitter</w:t>
      </w:r>
      <w:r>
        <w:rPr>
          <w:b/>
          <w:bCs/>
        </w:rPr>
        <w:t>:</w:t>
      </w:r>
      <w:r>
        <w:t xml:space="preserve"> </w:t>
      </w:r>
    </w:p>
    <w:p w14:paraId="2D0D9B32" w14:textId="66056982" w:rsidR="000354AD" w:rsidRDefault="000354AD" w:rsidP="00103034">
      <w:pPr>
        <w:pStyle w:val="ListBullet"/>
      </w:pPr>
      <w:r>
        <w:t xml:space="preserve">Meet the requirements in Chapter </w:t>
      </w:r>
      <w:r w:rsidR="009B09C0">
        <w:fldChar w:fldCharType="begin"/>
      </w:r>
      <w:r w:rsidR="009B09C0">
        <w:instrText xml:space="preserve"> REF _Ref83896996 \r \h </w:instrText>
      </w:r>
      <w:r w:rsidR="009B09C0">
        <w:fldChar w:fldCharType="separate"/>
      </w:r>
      <w:r w:rsidR="009E3A92">
        <w:t>3</w:t>
      </w:r>
      <w:r w:rsidR="009B09C0">
        <w:fldChar w:fldCharType="end"/>
      </w:r>
      <w:r>
        <w:t xml:space="preserve"> of</w:t>
      </w:r>
      <w:r w:rsidR="00553724">
        <w:t xml:space="preserve"> this</w:t>
      </w:r>
      <w:r>
        <w:t xml:space="preserve"> </w:t>
      </w:r>
      <w:hyperlink r:id="rId32" w:history="1">
        <w:r w:rsidRPr="007C0096">
          <w:rPr>
            <w:rStyle w:val="Hyperlink"/>
          </w:rPr>
          <w:t>RALI</w:t>
        </w:r>
      </w:hyperlink>
      <w:r>
        <w:t xml:space="preserve"> before you register the transmitter. </w:t>
      </w:r>
    </w:p>
    <w:p w14:paraId="7E079863" w14:textId="77777777" w:rsidR="000354AD" w:rsidRDefault="000354AD" w:rsidP="00103034">
      <w:pPr>
        <w:pStyle w:val="ListBullet"/>
      </w:pPr>
      <w:r>
        <w:t xml:space="preserve">Engage an </w:t>
      </w:r>
      <w:hyperlink r:id="rId33" w:history="1">
        <w:r w:rsidRPr="00F13925">
          <w:rPr>
            <w:rStyle w:val="Hyperlink"/>
          </w:rPr>
          <w:t>Accredited Person</w:t>
        </w:r>
      </w:hyperlink>
      <w:r w:rsidRPr="006E5C4C">
        <w:t xml:space="preserve"> to register the device</w:t>
      </w:r>
      <w:r>
        <w:t xml:space="preserve"> in the </w:t>
      </w:r>
      <w:hyperlink r:id="rId34" w:history="1">
        <w:r w:rsidRPr="00F13925">
          <w:rPr>
            <w:rStyle w:val="Hyperlink"/>
          </w:rPr>
          <w:t>Register of Radiocommunications Licences</w:t>
        </w:r>
      </w:hyperlink>
      <w:r w:rsidRPr="009F5779">
        <w:rPr>
          <w:rStyle w:val="Hyperlink"/>
        </w:rPr>
        <w:t>.</w:t>
      </w:r>
      <w:r w:rsidRPr="007C0096">
        <w:t xml:space="preserve"> </w:t>
      </w:r>
    </w:p>
    <w:p w14:paraId="046E1C42" w14:textId="64BF6B9F" w:rsidR="000354AD" w:rsidRDefault="000354AD">
      <w:pPr>
        <w:pStyle w:val="ListBullet"/>
      </w:pPr>
      <w:r>
        <w:t xml:space="preserve">You must register your transmitter </w:t>
      </w:r>
      <w:r w:rsidRPr="00D3704B">
        <w:rPr>
          <w:i/>
          <w:iCs/>
        </w:rPr>
        <w:t>before</w:t>
      </w:r>
      <w:r>
        <w:t xml:space="preserve"> </w:t>
      </w:r>
      <w:proofErr w:type="gramStart"/>
      <w:r>
        <w:t>operation, unless</w:t>
      </w:r>
      <w:proofErr w:type="gramEnd"/>
      <w:r>
        <w:t xml:space="preserve"> it is exempt. Schedule 1 Paragraph 4 of the </w:t>
      </w:r>
      <w:hyperlink r:id="rId35" w:history="1">
        <w:r w:rsidRPr="007C0096">
          <w:rPr>
            <w:rStyle w:val="Hyperlink"/>
          </w:rPr>
          <w:t>AWL LCD</w:t>
        </w:r>
      </w:hyperlink>
      <w:r>
        <w:t xml:space="preserve"> shows the types of transmitters that are exempt from registration – registration-exempt transmitters still must comply with other applicable licence conditions (see Step 3).</w:t>
      </w:r>
    </w:p>
    <w:p w14:paraId="1E90B1C4" w14:textId="354A0C28" w:rsidR="00186BF5" w:rsidRDefault="00186BF5" w:rsidP="00103034">
      <w:pPr>
        <w:pStyle w:val="ListBullet"/>
        <w:numPr>
          <w:ilvl w:val="0"/>
          <w:numId w:val="0"/>
        </w:numPr>
      </w:pPr>
      <w:r w:rsidRPr="00103034">
        <w:rPr>
          <w:b/>
          <w:bCs/>
        </w:rPr>
        <w:t xml:space="preserve">Receivers are not required to </w:t>
      </w:r>
      <w:r w:rsidR="009B05B0" w:rsidRPr="00103034">
        <w:rPr>
          <w:b/>
          <w:bCs/>
        </w:rPr>
        <w:t>be registered;</w:t>
      </w:r>
      <w:r>
        <w:t xml:space="preserve"> however only registered receivers will be afforded protection. Coordination requirements </w:t>
      </w:r>
      <w:r w:rsidR="00234EE8">
        <w:t xml:space="preserve">before a </w:t>
      </w:r>
      <w:r>
        <w:t>receiver</w:t>
      </w:r>
      <w:r w:rsidR="00234EE8">
        <w:t xml:space="preserve"> can be registered</w:t>
      </w:r>
      <w:r>
        <w:t xml:space="preserve"> are contained in </w:t>
      </w:r>
      <w:r w:rsidR="008A3DF9">
        <w:t xml:space="preserve">other applicable RALIs – see </w:t>
      </w:r>
      <w:r>
        <w:t>section</w:t>
      </w:r>
      <w:r w:rsidR="009B09C0">
        <w:t xml:space="preserve"> </w:t>
      </w:r>
      <w:r w:rsidR="009B09C0">
        <w:fldChar w:fldCharType="begin"/>
      </w:r>
      <w:r w:rsidR="009B09C0">
        <w:instrText xml:space="preserve"> REF _Ref46470743 \r \h </w:instrText>
      </w:r>
      <w:r w:rsidR="009B09C0">
        <w:fldChar w:fldCharType="separate"/>
      </w:r>
      <w:r w:rsidR="009E3A92">
        <w:t>3.8</w:t>
      </w:r>
      <w:r w:rsidR="009B09C0">
        <w:fldChar w:fldCharType="end"/>
      </w:r>
      <w:r>
        <w:t>.</w:t>
      </w:r>
    </w:p>
    <w:p w14:paraId="0F3EC10F" w14:textId="77777777" w:rsidR="000354AD" w:rsidRPr="00D3704B" w:rsidRDefault="000354AD" w:rsidP="000354AD">
      <w:pPr>
        <w:rPr>
          <w:b/>
          <w:bCs/>
          <w:sz w:val="24"/>
        </w:rPr>
      </w:pPr>
      <w:r w:rsidRPr="0079290C">
        <w:rPr>
          <w:b/>
          <w:bCs/>
          <w:sz w:val="24"/>
        </w:rPr>
        <w:t xml:space="preserve">Step 3: </w:t>
      </w:r>
      <w:r>
        <w:rPr>
          <w:b/>
          <w:bCs/>
          <w:sz w:val="24"/>
        </w:rPr>
        <w:t xml:space="preserve">Follow the operating conditions </w:t>
      </w:r>
    </w:p>
    <w:p w14:paraId="75810EF3" w14:textId="264F682D" w:rsidR="000354AD" w:rsidRPr="0079290C" w:rsidRDefault="000354AD" w:rsidP="00103034">
      <w:pPr>
        <w:pStyle w:val="ListBullet"/>
      </w:pPr>
      <w:r>
        <w:rPr>
          <w:b/>
          <w:bCs/>
        </w:rPr>
        <w:t>C</w:t>
      </w:r>
      <w:r w:rsidRPr="00D3704B">
        <w:rPr>
          <w:b/>
          <w:bCs/>
        </w:rPr>
        <w:t>onditions</w:t>
      </w:r>
      <w:r>
        <w:rPr>
          <w:b/>
          <w:bCs/>
        </w:rPr>
        <w:t xml:space="preserve"> are</w:t>
      </w:r>
      <w:r w:rsidRPr="00D3704B">
        <w:rPr>
          <w:b/>
          <w:bCs/>
        </w:rPr>
        <w:t xml:space="preserve"> in the </w:t>
      </w:r>
      <w:hyperlink r:id="rId36" w:history="1">
        <w:r w:rsidRPr="007C0096">
          <w:rPr>
            <w:rStyle w:val="Hyperlink"/>
            <w:b/>
            <w:bCs/>
          </w:rPr>
          <w:t>AWL LCD</w:t>
        </w:r>
      </w:hyperlink>
      <w:r w:rsidRPr="00D3704B">
        <w:rPr>
          <w:b/>
          <w:bCs/>
        </w:rPr>
        <w:t xml:space="preserve">, on the licence and in </w:t>
      </w:r>
      <w:r w:rsidR="00553724">
        <w:rPr>
          <w:b/>
          <w:bCs/>
        </w:rPr>
        <w:t xml:space="preserve">this </w:t>
      </w:r>
      <w:hyperlink r:id="rId37" w:history="1">
        <w:r w:rsidRPr="007C0096">
          <w:rPr>
            <w:rStyle w:val="Hyperlink"/>
            <w:b/>
            <w:bCs/>
          </w:rPr>
          <w:t>RALI</w:t>
        </w:r>
      </w:hyperlink>
      <w:r>
        <w:t>.</w:t>
      </w:r>
    </w:p>
    <w:p w14:paraId="73276A73" w14:textId="77777777" w:rsidR="000354AD" w:rsidRDefault="000354AD" w:rsidP="00103034">
      <w:pPr>
        <w:pStyle w:val="ListBullet"/>
      </w:pPr>
      <w:r w:rsidRPr="006E5C4C">
        <w:rPr>
          <w:b/>
          <w:bCs/>
        </w:rPr>
        <w:t>All transmitters (including transmitters exempt from registration) must comply</w:t>
      </w:r>
      <w:r w:rsidRPr="007C0096">
        <w:rPr>
          <w:b/>
          <w:bCs/>
        </w:rPr>
        <w:t xml:space="preserve"> with conditions</w:t>
      </w:r>
      <w:r>
        <w:rPr>
          <w:b/>
          <w:bCs/>
        </w:rPr>
        <w:t xml:space="preserve"> where applicable</w:t>
      </w:r>
      <w:r w:rsidRPr="007C0096">
        <w:t>,</w:t>
      </w:r>
      <w:r w:rsidRPr="007C0096">
        <w:rPr>
          <w:b/>
          <w:bCs/>
        </w:rPr>
        <w:t xml:space="preserve"> </w:t>
      </w:r>
      <w:r>
        <w:t>including:</w:t>
      </w:r>
    </w:p>
    <w:p w14:paraId="4A2BA674" w14:textId="77777777" w:rsidR="000354AD" w:rsidRDefault="000354AD" w:rsidP="00103034">
      <w:pPr>
        <w:pStyle w:val="ListBullet2"/>
      </w:pPr>
      <w:r>
        <w:t>Maximum power levels (within the licensed frequency range and in adjacent frequencies) – see paragraphs 1 and 15 of Schedule 1 of the AWL LCD.</w:t>
      </w:r>
    </w:p>
    <w:p w14:paraId="079D808B" w14:textId="77777777" w:rsidR="000354AD" w:rsidRDefault="000354AD" w:rsidP="00103034">
      <w:pPr>
        <w:pStyle w:val="ListBullet2"/>
      </w:pPr>
      <w:r>
        <w:t>Limitations of emissions above the horizon and antenna-pointing requirements in certain frequency ranges and geographic areas</w:t>
      </w:r>
      <w:bookmarkStart w:id="23" w:name="_Hlk77158843"/>
      <w:r>
        <w:t xml:space="preserve"> – </w:t>
      </w:r>
      <w:bookmarkEnd w:id="23"/>
      <w:r>
        <w:t>see paragraph 10 of Schedule 1 of the AWL LCD.</w:t>
      </w:r>
    </w:p>
    <w:p w14:paraId="40590427" w14:textId="77777777" w:rsidR="000354AD" w:rsidRDefault="000354AD" w:rsidP="00103034">
      <w:pPr>
        <w:pStyle w:val="ListBullet2"/>
      </w:pPr>
      <w:r>
        <w:t>Limitations of transmitters operating in certain geographic areas, and the operation of certain types of transmitters – see paragraphs 2, 3 and 11 of Schedule 1 of the AWL LCD.</w:t>
      </w:r>
    </w:p>
    <w:p w14:paraId="320113BA" w14:textId="2F3D1DA3" w:rsidR="000354AD" w:rsidRDefault="000354AD" w:rsidP="00103034">
      <w:pPr>
        <w:pStyle w:val="ListBullet2"/>
      </w:pPr>
      <w:r>
        <w:t xml:space="preserve">Earth station transmitters may only be operated after ITU regulatory status checks have been completed and where minimum antenna requirements are met – see section </w:t>
      </w:r>
      <w:r w:rsidR="009B09C0">
        <w:fldChar w:fldCharType="begin"/>
      </w:r>
      <w:r w:rsidR="009B09C0">
        <w:instrText xml:space="preserve"> REF _Ref45893953 \r \h </w:instrText>
      </w:r>
      <w:r w:rsidR="009B09C0">
        <w:fldChar w:fldCharType="separate"/>
      </w:r>
      <w:r w:rsidR="009E3A92">
        <w:t>3.2</w:t>
      </w:r>
      <w:r w:rsidR="009B09C0">
        <w:fldChar w:fldCharType="end"/>
      </w:r>
      <w:r>
        <w:t xml:space="preserve"> of </w:t>
      </w:r>
      <w:r w:rsidR="00553724">
        <w:t xml:space="preserve">this </w:t>
      </w:r>
      <w:r>
        <w:t>RALI.</w:t>
      </w:r>
    </w:p>
    <w:p w14:paraId="6E5E8BF4" w14:textId="0EA204CC" w:rsidR="000354AD" w:rsidRDefault="00E5075C" w:rsidP="00103034">
      <w:pPr>
        <w:pStyle w:val="ListBullet2"/>
      </w:pPr>
      <w:r>
        <w:lastRenderedPageBreak/>
        <w:t xml:space="preserve">Some </w:t>
      </w:r>
      <w:r w:rsidR="002076DD">
        <w:t>transmitters</w:t>
      </w:r>
      <w:r>
        <w:t xml:space="preserve"> that are</w:t>
      </w:r>
      <w:r w:rsidR="002076DD">
        <w:t xml:space="preserve"> exempt from registration</w:t>
      </w:r>
      <w:r>
        <w:t xml:space="preserve"> are required to </w:t>
      </w:r>
      <w:r w:rsidR="007B2B56">
        <w:t xml:space="preserve">be </w:t>
      </w:r>
      <w:r>
        <w:t>coordinate</w:t>
      </w:r>
      <w:r w:rsidR="007B2B56">
        <w:t>d</w:t>
      </w:r>
      <w:r>
        <w:t xml:space="preserve"> before operation see – sections </w:t>
      </w:r>
      <w:r w:rsidR="009B09C0">
        <w:fldChar w:fldCharType="begin"/>
      </w:r>
      <w:r w:rsidR="009B09C0">
        <w:instrText xml:space="preserve"> REF _Ref16690549 \r \h </w:instrText>
      </w:r>
      <w:r w:rsidR="009B09C0">
        <w:fldChar w:fldCharType="separate"/>
      </w:r>
      <w:r w:rsidR="009E3A92">
        <w:t>3.4</w:t>
      </w:r>
      <w:r w:rsidR="009B09C0">
        <w:fldChar w:fldCharType="end"/>
      </w:r>
      <w:r>
        <w:t xml:space="preserve"> and </w:t>
      </w:r>
      <w:r w:rsidR="009B09C0">
        <w:fldChar w:fldCharType="begin"/>
      </w:r>
      <w:r w:rsidR="009B09C0">
        <w:instrText xml:space="preserve"> REF _Ref46470743 \r \h </w:instrText>
      </w:r>
      <w:r w:rsidR="009B09C0">
        <w:fldChar w:fldCharType="separate"/>
      </w:r>
      <w:r w:rsidR="009E3A92">
        <w:t>3.8</w:t>
      </w:r>
      <w:r w:rsidR="009B09C0">
        <w:fldChar w:fldCharType="end"/>
      </w:r>
      <w:r w:rsidR="000354AD">
        <w:t xml:space="preserve"> of </w:t>
      </w:r>
      <w:r w:rsidR="00553724">
        <w:t xml:space="preserve">this </w:t>
      </w:r>
      <w:r w:rsidR="000354AD">
        <w:t>RALI.</w:t>
      </w:r>
    </w:p>
    <w:p w14:paraId="3C2BF11F" w14:textId="77777777" w:rsidR="000354AD" w:rsidRDefault="000354AD" w:rsidP="00103034">
      <w:pPr>
        <w:pStyle w:val="ListBullet2"/>
      </w:pPr>
      <w:r>
        <w:t xml:space="preserve">Obligations for licensees to help manage and resolve interference – see paragraphs 6, 7, 8, 9 and 12 of Schedule 1 of the AWL LCD. </w:t>
      </w:r>
    </w:p>
    <w:p w14:paraId="79AFADD0" w14:textId="77777777" w:rsidR="000354AD" w:rsidRPr="000354AD" w:rsidRDefault="000354AD" w:rsidP="00103034"/>
    <w:p w14:paraId="10BF2AF5" w14:textId="019892C4" w:rsidR="009542ED" w:rsidRDefault="009542ED" w:rsidP="00C87CB3">
      <w:pPr>
        <w:pStyle w:val="Heading2"/>
      </w:pPr>
      <w:bookmarkStart w:id="24" w:name="_Toc53151191"/>
      <w:bookmarkStart w:id="25" w:name="_Toc53489432"/>
      <w:bookmarkStart w:id="26" w:name="_Toc53151192"/>
      <w:bookmarkStart w:id="27" w:name="_Toc53489433"/>
      <w:bookmarkStart w:id="28" w:name="_Toc94773066"/>
      <w:bookmarkEnd w:id="24"/>
      <w:bookmarkEnd w:id="25"/>
      <w:bookmarkEnd w:id="26"/>
      <w:bookmarkEnd w:id="27"/>
      <w:r>
        <w:t>RAL</w:t>
      </w:r>
      <w:r w:rsidR="00B35AAD">
        <w:t>I</w:t>
      </w:r>
      <w:r>
        <w:t xml:space="preserve"> </w:t>
      </w:r>
      <w:r w:rsidR="00BA51EE">
        <w:t xml:space="preserve">contents and </w:t>
      </w:r>
      <w:r>
        <w:t>structure</w:t>
      </w:r>
      <w:bookmarkEnd w:id="28"/>
    </w:p>
    <w:p w14:paraId="2225BA29" w14:textId="43B5D3B9" w:rsidR="009542ED" w:rsidRDefault="00153406" w:rsidP="003C6FC5">
      <w:pPr>
        <w:spacing w:after="80"/>
      </w:pPr>
      <w:r>
        <w:t xml:space="preserve">This </w:t>
      </w:r>
      <w:r w:rsidR="009542ED">
        <w:t xml:space="preserve">RALI is structured </w:t>
      </w:r>
      <w:r>
        <w:t>as follows</w:t>
      </w:r>
      <w:r w:rsidR="009542ED">
        <w:t>:</w:t>
      </w:r>
    </w:p>
    <w:p w14:paraId="581A7AE2" w14:textId="77CEC377" w:rsidR="00AE45E0" w:rsidRDefault="00AE45E0" w:rsidP="00103034">
      <w:pPr>
        <w:pStyle w:val="ListBullet"/>
      </w:pPr>
      <w:r>
        <w:t xml:space="preserve">Chapter </w:t>
      </w:r>
      <w:r w:rsidR="009B09C0">
        <w:fldChar w:fldCharType="begin"/>
      </w:r>
      <w:r w:rsidR="009B09C0">
        <w:instrText xml:space="preserve"> REF _Ref91152119 \r \h </w:instrText>
      </w:r>
      <w:r w:rsidR="009B09C0">
        <w:fldChar w:fldCharType="separate"/>
      </w:r>
      <w:r w:rsidR="009E3A92">
        <w:t>2</w:t>
      </w:r>
      <w:r w:rsidR="009B09C0">
        <w:fldChar w:fldCharType="end"/>
      </w:r>
      <w:r>
        <w:t xml:space="preserve"> – details the rules when assigning a new AWL in the 26/28 GHz bands.</w:t>
      </w:r>
    </w:p>
    <w:p w14:paraId="0B2953CC" w14:textId="0035A171" w:rsidR="009542ED" w:rsidRDefault="009542ED" w:rsidP="00103034">
      <w:pPr>
        <w:pStyle w:val="ListBullet"/>
      </w:pPr>
      <w:r>
        <w:t xml:space="preserve">Chapter </w:t>
      </w:r>
      <w:r w:rsidR="009B09C0">
        <w:fldChar w:fldCharType="begin"/>
      </w:r>
      <w:r w:rsidR="009B09C0">
        <w:instrText xml:space="preserve"> REF _Ref83896996 \r \h </w:instrText>
      </w:r>
      <w:r w:rsidR="009B09C0">
        <w:fldChar w:fldCharType="separate"/>
      </w:r>
      <w:r w:rsidR="009E3A92">
        <w:t>3</w:t>
      </w:r>
      <w:r w:rsidR="009B09C0">
        <w:fldChar w:fldCharType="end"/>
      </w:r>
      <w:r>
        <w:t xml:space="preserve"> – details the requirements and procedures to be undertaken before a radiocommunications transmitter</w:t>
      </w:r>
      <w:r w:rsidR="00AD495A">
        <w:t xml:space="preserve"> or receiver</w:t>
      </w:r>
      <w:r>
        <w:t xml:space="preserve"> can be </w:t>
      </w:r>
      <w:r w:rsidR="002E6094">
        <w:t>registered</w:t>
      </w:r>
      <w:r>
        <w:t xml:space="preserve"> in the RRL.</w:t>
      </w:r>
    </w:p>
    <w:p w14:paraId="1DE1B063" w14:textId="04A28C62" w:rsidR="00FE67CB" w:rsidRDefault="00FE67CB" w:rsidP="00103034">
      <w:pPr>
        <w:pStyle w:val="ListBulletLast"/>
      </w:pPr>
      <w:r>
        <w:t xml:space="preserve">Appendices – contain additional supporting information. </w:t>
      </w:r>
    </w:p>
    <w:p w14:paraId="76432410" w14:textId="233A6012" w:rsidR="008F2EB5" w:rsidRDefault="00153406">
      <w:pPr>
        <w:pStyle w:val="ListBullet"/>
        <w:numPr>
          <w:ilvl w:val="0"/>
          <w:numId w:val="0"/>
        </w:numPr>
      </w:pPr>
      <w:r>
        <w:t xml:space="preserve">Table 1 further expands on the rules and requirements set out in Chapters </w:t>
      </w:r>
      <w:r w:rsidR="009B09C0">
        <w:fldChar w:fldCharType="begin"/>
      </w:r>
      <w:r w:rsidR="009B09C0">
        <w:instrText xml:space="preserve"> REF _Ref91152153 \r \h </w:instrText>
      </w:r>
      <w:r w:rsidR="009B09C0">
        <w:fldChar w:fldCharType="separate"/>
      </w:r>
      <w:r w:rsidR="009E3A92">
        <w:t>2</w:t>
      </w:r>
      <w:r w:rsidR="009B09C0">
        <w:fldChar w:fldCharType="end"/>
      </w:r>
      <w:r>
        <w:t xml:space="preserve"> and </w:t>
      </w:r>
      <w:r w:rsidR="009B09C0">
        <w:fldChar w:fldCharType="begin"/>
      </w:r>
      <w:r w:rsidR="009B09C0">
        <w:instrText xml:space="preserve"> REF _Ref83896996 \r \h </w:instrText>
      </w:r>
      <w:r w:rsidR="009B09C0">
        <w:fldChar w:fldCharType="separate"/>
      </w:r>
      <w:r w:rsidR="009E3A92">
        <w:t>3</w:t>
      </w:r>
      <w:r w:rsidR="009B09C0">
        <w:fldChar w:fldCharType="end"/>
      </w:r>
      <w:r w:rsidR="00FE67CB">
        <w:t xml:space="preserve">, and the </w:t>
      </w:r>
      <w:r w:rsidR="00FE553A">
        <w:t>topics</w:t>
      </w:r>
      <w:r w:rsidR="00FE67CB">
        <w:t xml:space="preserve"> contained in the </w:t>
      </w:r>
      <w:r w:rsidR="00FE553A">
        <w:t>appendices</w:t>
      </w:r>
      <w:r>
        <w:t>.</w:t>
      </w:r>
    </w:p>
    <w:p w14:paraId="35325CB9" w14:textId="77777777" w:rsidR="00153406" w:rsidRDefault="00153406" w:rsidP="008F2EB5">
      <w:pPr>
        <w:pStyle w:val="ListBullet"/>
        <w:numPr>
          <w:ilvl w:val="0"/>
          <w:numId w:val="0"/>
        </w:numPr>
        <w:ind w:left="295" w:hanging="295"/>
      </w:pPr>
    </w:p>
    <w:p w14:paraId="2DCBCA77" w14:textId="499F6B3F" w:rsidR="008F2EB5" w:rsidRDefault="00BA51EE" w:rsidP="003C6FC5">
      <w:pPr>
        <w:pStyle w:val="ACMATableHeader"/>
        <w:keepNext/>
        <w:keepLines/>
      </w:pPr>
      <w:r>
        <w:lastRenderedPageBreak/>
        <w:t xml:space="preserve">Contents and </w:t>
      </w:r>
      <w:r w:rsidR="00F01621">
        <w:t>structure</w:t>
      </w:r>
      <w:r>
        <w:t xml:space="preserve"> of RALI MS 46</w:t>
      </w:r>
    </w:p>
    <w:tbl>
      <w:tblPr>
        <w:tblStyle w:val="TableGrid"/>
        <w:tblW w:w="7638" w:type="dxa"/>
        <w:tblInd w:w="295" w:type="dxa"/>
        <w:tblLook w:val="04A0" w:firstRow="1" w:lastRow="0" w:firstColumn="1" w:lastColumn="0" w:noHBand="0" w:noVBand="1"/>
      </w:tblPr>
      <w:tblGrid>
        <w:gridCol w:w="824"/>
        <w:gridCol w:w="3999"/>
        <w:gridCol w:w="2815"/>
      </w:tblGrid>
      <w:tr w:rsidR="00B50A08" w14:paraId="5D7B6B36" w14:textId="77777777" w:rsidTr="00015C71">
        <w:tc>
          <w:tcPr>
            <w:tcW w:w="824" w:type="dxa"/>
          </w:tcPr>
          <w:p w14:paraId="7485E9CD" w14:textId="77777777" w:rsidR="009014D0" w:rsidRDefault="009014D0" w:rsidP="003C6FC5">
            <w:pPr>
              <w:pStyle w:val="ListBullet"/>
              <w:keepNext/>
              <w:keepLines/>
              <w:numPr>
                <w:ilvl w:val="0"/>
                <w:numId w:val="0"/>
              </w:numPr>
            </w:pPr>
          </w:p>
        </w:tc>
        <w:tc>
          <w:tcPr>
            <w:tcW w:w="3999" w:type="dxa"/>
          </w:tcPr>
          <w:p w14:paraId="506748C5" w14:textId="59E4D8D3" w:rsidR="009014D0" w:rsidRPr="00C87CB3" w:rsidRDefault="009014D0" w:rsidP="003C6FC5">
            <w:pPr>
              <w:pStyle w:val="ListBullet"/>
              <w:keepNext/>
              <w:keepLines/>
              <w:numPr>
                <w:ilvl w:val="0"/>
                <w:numId w:val="0"/>
              </w:numPr>
              <w:rPr>
                <w:b/>
                <w:bCs/>
              </w:rPr>
            </w:pPr>
            <w:r w:rsidRPr="00C87CB3">
              <w:rPr>
                <w:b/>
                <w:bCs/>
              </w:rPr>
              <w:t>Topic</w:t>
            </w:r>
          </w:p>
        </w:tc>
        <w:tc>
          <w:tcPr>
            <w:tcW w:w="2815" w:type="dxa"/>
          </w:tcPr>
          <w:p w14:paraId="255F8B9A" w14:textId="5C2BAB9A" w:rsidR="009014D0" w:rsidRPr="00C87CB3" w:rsidRDefault="009014D0" w:rsidP="003C6FC5">
            <w:pPr>
              <w:pStyle w:val="ListBullet"/>
              <w:keepNext/>
              <w:keepLines/>
              <w:numPr>
                <w:ilvl w:val="0"/>
                <w:numId w:val="0"/>
              </w:numPr>
              <w:rPr>
                <w:b/>
                <w:bCs/>
              </w:rPr>
            </w:pPr>
            <w:r w:rsidRPr="00C87CB3">
              <w:rPr>
                <w:b/>
                <w:bCs/>
              </w:rPr>
              <w:t>Reference</w:t>
            </w:r>
          </w:p>
        </w:tc>
      </w:tr>
      <w:tr w:rsidR="00AE45E0" w14:paraId="3BE0BAFF" w14:textId="77777777" w:rsidTr="00015C71">
        <w:tc>
          <w:tcPr>
            <w:tcW w:w="824" w:type="dxa"/>
            <w:vMerge w:val="restart"/>
            <w:textDirection w:val="btLr"/>
          </w:tcPr>
          <w:p w14:paraId="1C8387B6" w14:textId="7CC0F78B" w:rsidR="00AE45E0" w:rsidRDefault="00AE45E0" w:rsidP="00AE45E0">
            <w:pPr>
              <w:pStyle w:val="ListBullet"/>
              <w:keepNext/>
              <w:keepLines/>
              <w:numPr>
                <w:ilvl w:val="0"/>
                <w:numId w:val="0"/>
              </w:numPr>
              <w:ind w:left="113" w:right="113"/>
              <w:jc w:val="center"/>
            </w:pPr>
            <w:r>
              <w:t>Licence issue rules</w:t>
            </w:r>
          </w:p>
        </w:tc>
        <w:tc>
          <w:tcPr>
            <w:tcW w:w="3999" w:type="dxa"/>
          </w:tcPr>
          <w:p w14:paraId="7CF9FFF2" w14:textId="11E5825D" w:rsidR="00AE45E0" w:rsidRDefault="008B49C9" w:rsidP="00AE45E0">
            <w:pPr>
              <w:pStyle w:val="ListBullet"/>
              <w:keepNext/>
              <w:keepLines/>
              <w:numPr>
                <w:ilvl w:val="0"/>
                <w:numId w:val="0"/>
              </w:numPr>
            </w:pPr>
            <w:r>
              <w:t>Licence issue</w:t>
            </w:r>
            <w:r w:rsidR="00AE45E0">
              <w:t xml:space="preserve"> instructions</w:t>
            </w:r>
          </w:p>
        </w:tc>
        <w:tc>
          <w:tcPr>
            <w:tcW w:w="2815" w:type="dxa"/>
          </w:tcPr>
          <w:p w14:paraId="1DDCD4E9" w14:textId="2CC6EECC" w:rsidR="00AE45E0" w:rsidRDefault="00864F44" w:rsidP="00AE45E0">
            <w:pPr>
              <w:pStyle w:val="ListBullet"/>
              <w:keepNext/>
              <w:keepLines/>
              <w:numPr>
                <w:ilvl w:val="0"/>
                <w:numId w:val="0"/>
              </w:numPr>
            </w:pPr>
            <w:r>
              <w:fldChar w:fldCharType="begin"/>
            </w:r>
            <w:r>
              <w:instrText xml:space="preserve"> REF _Ref22126455 \r \h </w:instrText>
            </w:r>
            <w:r>
              <w:fldChar w:fldCharType="separate"/>
            </w:r>
            <w:r w:rsidR="009E3A92">
              <w:t>2.3.1</w:t>
            </w:r>
            <w:r>
              <w:fldChar w:fldCharType="end"/>
            </w:r>
          </w:p>
        </w:tc>
      </w:tr>
      <w:tr w:rsidR="00AE45E0" w14:paraId="185755BB" w14:textId="77777777" w:rsidTr="00015C71">
        <w:tc>
          <w:tcPr>
            <w:tcW w:w="824" w:type="dxa"/>
            <w:vMerge/>
          </w:tcPr>
          <w:p w14:paraId="6A2C037B" w14:textId="77777777" w:rsidR="00AE45E0" w:rsidRDefault="00AE45E0" w:rsidP="00AE45E0">
            <w:pPr>
              <w:pStyle w:val="ListBullet"/>
              <w:keepNext/>
              <w:keepLines/>
              <w:numPr>
                <w:ilvl w:val="0"/>
                <w:numId w:val="0"/>
              </w:numPr>
              <w:ind w:left="113" w:right="113"/>
              <w:jc w:val="center"/>
            </w:pPr>
          </w:p>
        </w:tc>
        <w:tc>
          <w:tcPr>
            <w:tcW w:w="3999" w:type="dxa"/>
          </w:tcPr>
          <w:p w14:paraId="358E8417" w14:textId="1146B4A4" w:rsidR="00AE45E0" w:rsidRDefault="00AE45E0" w:rsidP="00AE45E0">
            <w:pPr>
              <w:pStyle w:val="ListBullet"/>
              <w:keepNext/>
              <w:keepLines/>
              <w:numPr>
                <w:ilvl w:val="0"/>
                <w:numId w:val="0"/>
              </w:numPr>
            </w:pPr>
            <w:r>
              <w:t>Channel raster</w:t>
            </w:r>
          </w:p>
        </w:tc>
        <w:tc>
          <w:tcPr>
            <w:tcW w:w="2815" w:type="dxa"/>
          </w:tcPr>
          <w:p w14:paraId="376E2A3E" w14:textId="66C3C6BF" w:rsidR="00AE45E0" w:rsidRDefault="00864F44" w:rsidP="00AE45E0">
            <w:pPr>
              <w:pStyle w:val="ListBullet"/>
              <w:keepNext/>
              <w:keepLines/>
              <w:numPr>
                <w:ilvl w:val="0"/>
                <w:numId w:val="0"/>
              </w:numPr>
            </w:pPr>
            <w:r>
              <w:fldChar w:fldCharType="begin"/>
            </w:r>
            <w:r>
              <w:instrText xml:space="preserve"> REF _Ref20989312 \r \h </w:instrText>
            </w:r>
            <w:r>
              <w:fldChar w:fldCharType="separate"/>
            </w:r>
            <w:r w:rsidR="009E3A92">
              <w:t>2.3.2</w:t>
            </w:r>
            <w:r>
              <w:fldChar w:fldCharType="end"/>
            </w:r>
          </w:p>
        </w:tc>
      </w:tr>
      <w:tr w:rsidR="00AE45E0" w14:paraId="06A9BE82" w14:textId="77777777" w:rsidTr="00015C71">
        <w:tc>
          <w:tcPr>
            <w:tcW w:w="824" w:type="dxa"/>
            <w:vMerge/>
          </w:tcPr>
          <w:p w14:paraId="10071CF0" w14:textId="77777777" w:rsidR="00AE45E0" w:rsidRDefault="00AE45E0" w:rsidP="00AE45E0">
            <w:pPr>
              <w:pStyle w:val="ListBullet"/>
              <w:keepNext/>
              <w:keepLines/>
              <w:numPr>
                <w:ilvl w:val="0"/>
                <w:numId w:val="0"/>
              </w:numPr>
              <w:ind w:left="113" w:right="113"/>
              <w:jc w:val="center"/>
            </w:pPr>
          </w:p>
        </w:tc>
        <w:tc>
          <w:tcPr>
            <w:tcW w:w="3999" w:type="dxa"/>
          </w:tcPr>
          <w:p w14:paraId="7BEDD53C" w14:textId="0FC4872D" w:rsidR="00AE45E0" w:rsidRDefault="00AE45E0" w:rsidP="00AE45E0">
            <w:pPr>
              <w:pStyle w:val="ListBullet"/>
              <w:keepNext/>
              <w:keepLines/>
              <w:numPr>
                <w:ilvl w:val="0"/>
                <w:numId w:val="0"/>
              </w:numPr>
            </w:pPr>
            <w:r>
              <w:t>Assignment priority</w:t>
            </w:r>
          </w:p>
        </w:tc>
        <w:tc>
          <w:tcPr>
            <w:tcW w:w="2815" w:type="dxa"/>
          </w:tcPr>
          <w:p w14:paraId="6E1A6BE2" w14:textId="7FAC87E4" w:rsidR="00AE45E0" w:rsidRDefault="00864F44" w:rsidP="00AE45E0">
            <w:pPr>
              <w:pStyle w:val="ListBullet"/>
              <w:keepNext/>
              <w:keepLines/>
              <w:numPr>
                <w:ilvl w:val="0"/>
                <w:numId w:val="0"/>
              </w:numPr>
            </w:pPr>
            <w:r>
              <w:fldChar w:fldCharType="begin"/>
            </w:r>
            <w:r>
              <w:instrText xml:space="preserve"> REF _Ref46736588 \r \h </w:instrText>
            </w:r>
            <w:r>
              <w:fldChar w:fldCharType="separate"/>
            </w:r>
            <w:r w:rsidR="009E3A92">
              <w:t>2.3.3</w:t>
            </w:r>
            <w:r>
              <w:fldChar w:fldCharType="end"/>
            </w:r>
          </w:p>
        </w:tc>
      </w:tr>
      <w:tr w:rsidR="00AE45E0" w14:paraId="768288CE" w14:textId="77777777" w:rsidTr="00015C71">
        <w:tc>
          <w:tcPr>
            <w:tcW w:w="824" w:type="dxa"/>
            <w:vMerge/>
          </w:tcPr>
          <w:p w14:paraId="16058C8E" w14:textId="77777777" w:rsidR="00AE45E0" w:rsidRDefault="00AE45E0" w:rsidP="00AE45E0">
            <w:pPr>
              <w:pStyle w:val="ListBullet"/>
              <w:keepNext/>
              <w:keepLines/>
              <w:numPr>
                <w:ilvl w:val="0"/>
                <w:numId w:val="0"/>
              </w:numPr>
              <w:ind w:left="113" w:right="113"/>
              <w:jc w:val="center"/>
            </w:pPr>
          </w:p>
        </w:tc>
        <w:tc>
          <w:tcPr>
            <w:tcW w:w="3999" w:type="dxa"/>
          </w:tcPr>
          <w:p w14:paraId="6DEDD57C" w14:textId="5299C3E4" w:rsidR="00AE45E0" w:rsidRDefault="00864F44" w:rsidP="00AE45E0">
            <w:pPr>
              <w:pStyle w:val="ListBullet"/>
              <w:keepNext/>
              <w:keepLines/>
              <w:numPr>
                <w:ilvl w:val="0"/>
                <w:numId w:val="0"/>
              </w:numPr>
            </w:pPr>
            <w:r>
              <w:t>FSS-only licence condition</w:t>
            </w:r>
          </w:p>
        </w:tc>
        <w:tc>
          <w:tcPr>
            <w:tcW w:w="2815" w:type="dxa"/>
          </w:tcPr>
          <w:p w14:paraId="5823F533" w14:textId="6FFCE7E1" w:rsidR="00AE45E0" w:rsidRDefault="00864F44" w:rsidP="00AE45E0">
            <w:pPr>
              <w:pStyle w:val="ListBullet"/>
              <w:keepNext/>
              <w:keepLines/>
              <w:numPr>
                <w:ilvl w:val="0"/>
                <w:numId w:val="0"/>
              </w:numPr>
            </w:pPr>
            <w:r>
              <w:fldChar w:fldCharType="begin"/>
            </w:r>
            <w:r>
              <w:instrText xml:space="preserve"> REF _Ref52367438 \r \h </w:instrText>
            </w:r>
            <w:r>
              <w:fldChar w:fldCharType="separate"/>
            </w:r>
            <w:r w:rsidR="009E3A92">
              <w:t>2.3.4</w:t>
            </w:r>
            <w:r>
              <w:fldChar w:fldCharType="end"/>
            </w:r>
          </w:p>
        </w:tc>
      </w:tr>
      <w:tr w:rsidR="00AE45E0" w14:paraId="35839EF7" w14:textId="77777777" w:rsidTr="00015C71">
        <w:tc>
          <w:tcPr>
            <w:tcW w:w="824" w:type="dxa"/>
            <w:vMerge/>
          </w:tcPr>
          <w:p w14:paraId="5D8A031D" w14:textId="77777777" w:rsidR="00AE45E0" w:rsidRDefault="00AE45E0" w:rsidP="00AE45E0">
            <w:pPr>
              <w:pStyle w:val="ListBullet"/>
              <w:keepNext/>
              <w:keepLines/>
              <w:numPr>
                <w:ilvl w:val="0"/>
                <w:numId w:val="0"/>
              </w:numPr>
              <w:ind w:left="113" w:right="113"/>
              <w:jc w:val="center"/>
            </w:pPr>
          </w:p>
        </w:tc>
        <w:tc>
          <w:tcPr>
            <w:tcW w:w="3999" w:type="dxa"/>
          </w:tcPr>
          <w:p w14:paraId="12A6552E" w14:textId="54588BB6" w:rsidR="00AE45E0" w:rsidRDefault="00864F44" w:rsidP="00AE45E0">
            <w:pPr>
              <w:pStyle w:val="ListBullet"/>
              <w:keepNext/>
              <w:keepLines/>
              <w:numPr>
                <w:ilvl w:val="0"/>
                <w:numId w:val="0"/>
              </w:numPr>
            </w:pPr>
            <w:r>
              <w:t>Advisory notes on standard-AWLs</w:t>
            </w:r>
          </w:p>
        </w:tc>
        <w:tc>
          <w:tcPr>
            <w:tcW w:w="2815" w:type="dxa"/>
          </w:tcPr>
          <w:p w14:paraId="121E7538" w14:textId="63F4B163" w:rsidR="00AE45E0" w:rsidRDefault="00864F44" w:rsidP="00AE45E0">
            <w:pPr>
              <w:pStyle w:val="ListBullet"/>
              <w:keepNext/>
              <w:keepLines/>
              <w:numPr>
                <w:ilvl w:val="0"/>
                <w:numId w:val="0"/>
              </w:numPr>
            </w:pPr>
            <w:r>
              <w:fldChar w:fldCharType="begin"/>
            </w:r>
            <w:r>
              <w:instrText xml:space="preserve"> REF _Ref83204140 \r \h </w:instrText>
            </w:r>
            <w:r>
              <w:fldChar w:fldCharType="separate"/>
            </w:r>
            <w:r w:rsidR="009E3A92">
              <w:t>2.4</w:t>
            </w:r>
            <w:r>
              <w:fldChar w:fldCharType="end"/>
            </w:r>
          </w:p>
        </w:tc>
      </w:tr>
      <w:tr w:rsidR="00AE45E0" w14:paraId="654B530B" w14:textId="77777777" w:rsidTr="00015C71">
        <w:tc>
          <w:tcPr>
            <w:tcW w:w="824" w:type="dxa"/>
            <w:vMerge w:val="restart"/>
            <w:textDirection w:val="btLr"/>
          </w:tcPr>
          <w:p w14:paraId="62CCCF68" w14:textId="6004CEE5" w:rsidR="00AE45E0" w:rsidRDefault="00AE45E0" w:rsidP="00AE45E0">
            <w:pPr>
              <w:pStyle w:val="ListBullet"/>
              <w:keepNext/>
              <w:keepLines/>
              <w:numPr>
                <w:ilvl w:val="0"/>
                <w:numId w:val="0"/>
              </w:numPr>
              <w:ind w:left="113" w:right="113"/>
              <w:jc w:val="center"/>
            </w:pPr>
            <w:r>
              <w:t>Pre-registration requirement</w:t>
            </w:r>
          </w:p>
        </w:tc>
        <w:tc>
          <w:tcPr>
            <w:tcW w:w="3999" w:type="dxa"/>
          </w:tcPr>
          <w:p w14:paraId="663DABFC" w14:textId="2C6AFB78" w:rsidR="00AE45E0" w:rsidRDefault="00AE45E0" w:rsidP="00AE45E0">
            <w:pPr>
              <w:pStyle w:val="ListBullet"/>
              <w:keepNext/>
              <w:keepLines/>
              <w:numPr>
                <w:ilvl w:val="0"/>
                <w:numId w:val="0"/>
              </w:numPr>
            </w:pPr>
            <w:r>
              <w:t>Coexistence with existing AWL or 26 GHz band spectrum licensed receivers</w:t>
            </w:r>
            <w:r w:rsidDel="001A664A">
              <w:t xml:space="preserve"> </w:t>
            </w:r>
          </w:p>
        </w:tc>
        <w:tc>
          <w:tcPr>
            <w:tcW w:w="2815" w:type="dxa"/>
          </w:tcPr>
          <w:p w14:paraId="66FBCF44" w14:textId="3D460EDD" w:rsidR="00AE45E0" w:rsidRDefault="00864F44" w:rsidP="00AE45E0">
            <w:pPr>
              <w:pStyle w:val="ListBullet"/>
              <w:keepNext/>
              <w:keepLines/>
              <w:numPr>
                <w:ilvl w:val="0"/>
                <w:numId w:val="0"/>
              </w:numPr>
            </w:pPr>
            <w:r>
              <w:fldChar w:fldCharType="begin"/>
            </w:r>
            <w:r>
              <w:instrText xml:space="preserve"> REF _Ref83649553 \r \h </w:instrText>
            </w:r>
            <w:r>
              <w:fldChar w:fldCharType="separate"/>
            </w:r>
            <w:r w:rsidR="009E3A92">
              <w:t>3.1</w:t>
            </w:r>
            <w:r>
              <w:fldChar w:fldCharType="end"/>
            </w:r>
          </w:p>
        </w:tc>
      </w:tr>
      <w:tr w:rsidR="00AE45E0" w14:paraId="05B5ED15" w14:textId="77777777" w:rsidTr="00015C71">
        <w:tc>
          <w:tcPr>
            <w:tcW w:w="824" w:type="dxa"/>
            <w:vMerge/>
          </w:tcPr>
          <w:p w14:paraId="15BDCA0E" w14:textId="77777777" w:rsidR="00AE45E0" w:rsidRDefault="00AE45E0" w:rsidP="00AE45E0">
            <w:pPr>
              <w:pStyle w:val="ListBullet"/>
              <w:keepNext/>
              <w:keepLines/>
              <w:numPr>
                <w:ilvl w:val="0"/>
                <w:numId w:val="0"/>
              </w:numPr>
            </w:pPr>
          </w:p>
        </w:tc>
        <w:tc>
          <w:tcPr>
            <w:tcW w:w="3999" w:type="dxa"/>
          </w:tcPr>
          <w:p w14:paraId="2CFD34A2" w14:textId="5D5954CE" w:rsidR="00AE45E0" w:rsidRDefault="00F721BD" w:rsidP="00AE45E0">
            <w:pPr>
              <w:pStyle w:val="ListBullet"/>
              <w:keepNext/>
              <w:keepLines/>
              <w:numPr>
                <w:ilvl w:val="0"/>
                <w:numId w:val="0"/>
              </w:numPr>
            </w:pPr>
            <w:r>
              <w:t xml:space="preserve">Additional </w:t>
            </w:r>
            <w:r w:rsidR="001307EA">
              <w:t>requirements</w:t>
            </w:r>
            <w:r>
              <w:t xml:space="preserve"> before</w:t>
            </w:r>
            <w:r w:rsidR="00864F44">
              <w:t xml:space="preserve"> </w:t>
            </w:r>
            <w:r w:rsidR="00AE45E0">
              <w:t>FSS earth stations</w:t>
            </w:r>
            <w:r>
              <w:t xml:space="preserve"> can be registered</w:t>
            </w:r>
          </w:p>
        </w:tc>
        <w:tc>
          <w:tcPr>
            <w:tcW w:w="2815" w:type="dxa"/>
          </w:tcPr>
          <w:p w14:paraId="08D8F183" w14:textId="4717442B" w:rsidR="00AE45E0" w:rsidRDefault="00864F44" w:rsidP="00AE45E0">
            <w:pPr>
              <w:pStyle w:val="ListBullet"/>
              <w:keepNext/>
              <w:keepLines/>
              <w:numPr>
                <w:ilvl w:val="0"/>
                <w:numId w:val="0"/>
              </w:numPr>
            </w:pPr>
            <w:r>
              <w:fldChar w:fldCharType="begin"/>
            </w:r>
            <w:r>
              <w:instrText xml:space="preserve"> REF _Ref45893953 \r \h </w:instrText>
            </w:r>
            <w:r>
              <w:fldChar w:fldCharType="separate"/>
            </w:r>
            <w:r w:rsidR="009E3A92">
              <w:t>3.2</w:t>
            </w:r>
            <w:r>
              <w:fldChar w:fldCharType="end"/>
            </w:r>
          </w:p>
        </w:tc>
      </w:tr>
      <w:tr w:rsidR="00AE45E0" w14:paraId="7679A1FA" w14:textId="77777777" w:rsidTr="00015C71">
        <w:tc>
          <w:tcPr>
            <w:tcW w:w="824" w:type="dxa"/>
            <w:vMerge/>
          </w:tcPr>
          <w:p w14:paraId="3958E267" w14:textId="77777777" w:rsidR="00AE45E0" w:rsidRDefault="00AE45E0" w:rsidP="00AE45E0">
            <w:pPr>
              <w:pStyle w:val="ListBullet"/>
              <w:keepNext/>
              <w:keepLines/>
              <w:numPr>
                <w:ilvl w:val="0"/>
                <w:numId w:val="0"/>
              </w:numPr>
            </w:pPr>
          </w:p>
        </w:tc>
        <w:tc>
          <w:tcPr>
            <w:tcW w:w="3999" w:type="dxa"/>
          </w:tcPr>
          <w:p w14:paraId="21F24E81" w14:textId="56A8EC5E" w:rsidR="00AE45E0" w:rsidRDefault="00AE45E0" w:rsidP="00AE45E0">
            <w:pPr>
              <w:pStyle w:val="ListBullet"/>
              <w:keepNext/>
              <w:keepLines/>
              <w:numPr>
                <w:ilvl w:val="0"/>
                <w:numId w:val="0"/>
              </w:numPr>
            </w:pPr>
            <w:r>
              <w:t>Geographic boundary coordination</w:t>
            </w:r>
          </w:p>
        </w:tc>
        <w:tc>
          <w:tcPr>
            <w:tcW w:w="2815" w:type="dxa"/>
          </w:tcPr>
          <w:p w14:paraId="67BA7078" w14:textId="629EFD96" w:rsidR="00AE45E0" w:rsidRDefault="00D130F6" w:rsidP="00AE45E0">
            <w:pPr>
              <w:pStyle w:val="ListBullet"/>
              <w:keepNext/>
              <w:keepLines/>
              <w:numPr>
                <w:ilvl w:val="0"/>
                <w:numId w:val="0"/>
              </w:numPr>
            </w:pPr>
            <w:r>
              <w:fldChar w:fldCharType="begin"/>
            </w:r>
            <w:r>
              <w:instrText xml:space="preserve"> REF _Ref19697702 \r \h </w:instrText>
            </w:r>
            <w:r>
              <w:fldChar w:fldCharType="separate"/>
            </w:r>
            <w:r w:rsidR="009E3A92">
              <w:t>3.3</w:t>
            </w:r>
            <w:r>
              <w:fldChar w:fldCharType="end"/>
            </w:r>
          </w:p>
        </w:tc>
      </w:tr>
      <w:tr w:rsidR="00AE45E0" w14:paraId="28C260E5" w14:textId="77777777" w:rsidTr="00015C71">
        <w:tc>
          <w:tcPr>
            <w:tcW w:w="824" w:type="dxa"/>
            <w:vMerge/>
          </w:tcPr>
          <w:p w14:paraId="2F5504D7" w14:textId="77777777" w:rsidR="00AE45E0" w:rsidRDefault="00AE45E0" w:rsidP="00AE45E0">
            <w:pPr>
              <w:pStyle w:val="ListBullet"/>
              <w:keepNext/>
              <w:keepLines/>
              <w:numPr>
                <w:ilvl w:val="0"/>
                <w:numId w:val="0"/>
              </w:numPr>
            </w:pPr>
          </w:p>
        </w:tc>
        <w:tc>
          <w:tcPr>
            <w:tcW w:w="3999" w:type="dxa"/>
          </w:tcPr>
          <w:p w14:paraId="6BA76726" w14:textId="00ACB6B1" w:rsidR="00AE45E0" w:rsidRDefault="00AE45E0" w:rsidP="00AE45E0">
            <w:pPr>
              <w:pStyle w:val="ListBullet"/>
              <w:keepNext/>
              <w:keepLines/>
              <w:numPr>
                <w:ilvl w:val="0"/>
                <w:numId w:val="0"/>
              </w:numPr>
            </w:pPr>
            <w:r>
              <w:t>Coordination with SRS earth stations</w:t>
            </w:r>
          </w:p>
        </w:tc>
        <w:tc>
          <w:tcPr>
            <w:tcW w:w="2815" w:type="dxa"/>
          </w:tcPr>
          <w:p w14:paraId="102CFBBE" w14:textId="087346C7" w:rsidR="00AE45E0" w:rsidRDefault="00D130F6" w:rsidP="00AE45E0">
            <w:pPr>
              <w:pStyle w:val="ListBullet"/>
              <w:keepNext/>
              <w:keepLines/>
              <w:numPr>
                <w:ilvl w:val="0"/>
                <w:numId w:val="0"/>
              </w:numPr>
            </w:pPr>
            <w:r>
              <w:fldChar w:fldCharType="begin"/>
            </w:r>
            <w:r>
              <w:instrText xml:space="preserve"> REF _Ref16690549 \r \h </w:instrText>
            </w:r>
            <w:r>
              <w:fldChar w:fldCharType="separate"/>
            </w:r>
            <w:r w:rsidR="009E3A92">
              <w:t>3.4</w:t>
            </w:r>
            <w:r>
              <w:fldChar w:fldCharType="end"/>
            </w:r>
          </w:p>
        </w:tc>
      </w:tr>
      <w:tr w:rsidR="00AE45E0" w14:paraId="270E14C4" w14:textId="77777777" w:rsidTr="00015C71">
        <w:tc>
          <w:tcPr>
            <w:tcW w:w="824" w:type="dxa"/>
            <w:vMerge/>
          </w:tcPr>
          <w:p w14:paraId="440C05DC" w14:textId="77777777" w:rsidR="00AE45E0" w:rsidRDefault="00AE45E0" w:rsidP="00AE45E0">
            <w:pPr>
              <w:pStyle w:val="ListBullet"/>
              <w:keepNext/>
              <w:keepLines/>
              <w:numPr>
                <w:ilvl w:val="0"/>
                <w:numId w:val="0"/>
              </w:numPr>
            </w:pPr>
          </w:p>
        </w:tc>
        <w:tc>
          <w:tcPr>
            <w:tcW w:w="3999" w:type="dxa"/>
          </w:tcPr>
          <w:p w14:paraId="1C49AC81" w14:textId="1A2F06EE" w:rsidR="00AE45E0" w:rsidRDefault="00AE45E0" w:rsidP="00AE45E0">
            <w:pPr>
              <w:pStyle w:val="ListBullet"/>
              <w:keepNext/>
              <w:keepLines/>
              <w:numPr>
                <w:ilvl w:val="0"/>
                <w:numId w:val="0"/>
              </w:numPr>
            </w:pPr>
            <w:r>
              <w:t xml:space="preserve">Coexistence with passive EESS in 23.6-24 GHz </w:t>
            </w:r>
          </w:p>
        </w:tc>
        <w:tc>
          <w:tcPr>
            <w:tcW w:w="2815" w:type="dxa"/>
          </w:tcPr>
          <w:p w14:paraId="516B93B3" w14:textId="00ED6CF2" w:rsidR="00AE45E0" w:rsidRDefault="00D130F6" w:rsidP="00AE45E0">
            <w:pPr>
              <w:pStyle w:val="ListBullet"/>
              <w:keepNext/>
              <w:keepLines/>
              <w:numPr>
                <w:ilvl w:val="0"/>
                <w:numId w:val="0"/>
              </w:numPr>
            </w:pPr>
            <w:r>
              <w:fldChar w:fldCharType="begin"/>
            </w:r>
            <w:r>
              <w:instrText xml:space="preserve"> REF _Ref16690482 \r \h </w:instrText>
            </w:r>
            <w:r w:rsidR="00015C71">
              <w:instrText xml:space="preserve"> \* MERGEFORMAT </w:instrText>
            </w:r>
            <w:r>
              <w:fldChar w:fldCharType="separate"/>
            </w:r>
            <w:r w:rsidR="009E3A92">
              <w:t>3.5</w:t>
            </w:r>
            <w:r>
              <w:fldChar w:fldCharType="end"/>
            </w:r>
          </w:p>
        </w:tc>
      </w:tr>
      <w:tr w:rsidR="00AE45E0" w14:paraId="371AF15E" w14:textId="77777777" w:rsidTr="00015C71">
        <w:tc>
          <w:tcPr>
            <w:tcW w:w="824" w:type="dxa"/>
            <w:vMerge/>
          </w:tcPr>
          <w:p w14:paraId="623F7BC4" w14:textId="77777777" w:rsidR="00AE45E0" w:rsidRDefault="00AE45E0" w:rsidP="00AE45E0">
            <w:pPr>
              <w:pStyle w:val="ListBullet"/>
              <w:keepNext/>
              <w:keepLines/>
              <w:numPr>
                <w:ilvl w:val="0"/>
                <w:numId w:val="0"/>
              </w:numPr>
            </w:pPr>
          </w:p>
        </w:tc>
        <w:tc>
          <w:tcPr>
            <w:tcW w:w="3999" w:type="dxa"/>
          </w:tcPr>
          <w:p w14:paraId="387C02DE" w14:textId="3EAA93D6" w:rsidR="00AE45E0" w:rsidRDefault="00AE45E0" w:rsidP="00AE45E0">
            <w:pPr>
              <w:pStyle w:val="ListBullet"/>
              <w:keepNext/>
              <w:keepLines/>
              <w:numPr>
                <w:ilvl w:val="0"/>
                <w:numId w:val="0"/>
              </w:numPr>
            </w:pPr>
            <w:r>
              <w:t>Coordination with legacy point-to-point links</w:t>
            </w:r>
          </w:p>
        </w:tc>
        <w:tc>
          <w:tcPr>
            <w:tcW w:w="2815" w:type="dxa"/>
          </w:tcPr>
          <w:p w14:paraId="0886D15F" w14:textId="30F64FCF" w:rsidR="00AE45E0" w:rsidRDefault="00D130F6" w:rsidP="00AE45E0">
            <w:pPr>
              <w:pStyle w:val="ListBullet"/>
              <w:keepNext/>
              <w:keepLines/>
              <w:numPr>
                <w:ilvl w:val="0"/>
                <w:numId w:val="0"/>
              </w:numPr>
            </w:pPr>
            <w:r>
              <w:fldChar w:fldCharType="begin"/>
            </w:r>
            <w:r>
              <w:instrText xml:space="preserve"> REF _Ref22128670 \r \h </w:instrText>
            </w:r>
            <w:r>
              <w:fldChar w:fldCharType="separate"/>
            </w:r>
            <w:r w:rsidR="009E3A92">
              <w:t>3.6</w:t>
            </w:r>
            <w:r>
              <w:fldChar w:fldCharType="end"/>
            </w:r>
          </w:p>
        </w:tc>
      </w:tr>
      <w:tr w:rsidR="00AE45E0" w14:paraId="559A3AA7" w14:textId="77777777" w:rsidTr="00015C71">
        <w:tc>
          <w:tcPr>
            <w:tcW w:w="824" w:type="dxa"/>
            <w:vMerge/>
          </w:tcPr>
          <w:p w14:paraId="7F9D8D1F" w14:textId="77777777" w:rsidR="00AE45E0" w:rsidRDefault="00AE45E0" w:rsidP="00AE45E0">
            <w:pPr>
              <w:pStyle w:val="ListBullet"/>
              <w:keepNext/>
              <w:keepLines/>
              <w:numPr>
                <w:ilvl w:val="0"/>
                <w:numId w:val="0"/>
              </w:numPr>
            </w:pPr>
          </w:p>
        </w:tc>
        <w:tc>
          <w:tcPr>
            <w:tcW w:w="3999" w:type="dxa"/>
          </w:tcPr>
          <w:p w14:paraId="5A3BD266" w14:textId="53F6C6B3" w:rsidR="00AE45E0" w:rsidRDefault="00AE45E0" w:rsidP="00AE45E0">
            <w:pPr>
              <w:pStyle w:val="ListBullet"/>
              <w:keepNext/>
              <w:keepLines/>
              <w:numPr>
                <w:ilvl w:val="0"/>
                <w:numId w:val="0"/>
              </w:numPr>
            </w:pPr>
            <w:r>
              <w:t>Coordination with Mingenew</w:t>
            </w:r>
          </w:p>
        </w:tc>
        <w:tc>
          <w:tcPr>
            <w:tcW w:w="2815" w:type="dxa"/>
          </w:tcPr>
          <w:p w14:paraId="440381E0" w14:textId="6701EF85" w:rsidR="00AE45E0" w:rsidRDefault="00D130F6" w:rsidP="00AE45E0">
            <w:pPr>
              <w:pStyle w:val="ListBullet"/>
              <w:keepNext/>
              <w:keepLines/>
              <w:numPr>
                <w:ilvl w:val="0"/>
                <w:numId w:val="0"/>
              </w:numPr>
            </w:pPr>
            <w:r>
              <w:fldChar w:fldCharType="begin"/>
            </w:r>
            <w:r>
              <w:instrText xml:space="preserve"> REF _Ref91151769 \r \h </w:instrText>
            </w:r>
            <w:r>
              <w:fldChar w:fldCharType="separate"/>
            </w:r>
            <w:r w:rsidR="009E3A92">
              <w:t>3.7</w:t>
            </w:r>
            <w:r>
              <w:fldChar w:fldCharType="end"/>
            </w:r>
          </w:p>
        </w:tc>
      </w:tr>
      <w:tr w:rsidR="00AE45E0" w14:paraId="4D31589D" w14:textId="77777777" w:rsidTr="00015C71">
        <w:tc>
          <w:tcPr>
            <w:tcW w:w="824" w:type="dxa"/>
            <w:vMerge/>
          </w:tcPr>
          <w:p w14:paraId="1FAA8468" w14:textId="77777777" w:rsidR="00AE45E0" w:rsidRDefault="00AE45E0" w:rsidP="00AE45E0">
            <w:pPr>
              <w:pStyle w:val="ListBullet"/>
              <w:keepNext/>
              <w:keepLines/>
              <w:numPr>
                <w:ilvl w:val="0"/>
                <w:numId w:val="0"/>
              </w:numPr>
            </w:pPr>
          </w:p>
        </w:tc>
        <w:tc>
          <w:tcPr>
            <w:tcW w:w="3999" w:type="dxa"/>
          </w:tcPr>
          <w:p w14:paraId="6BA65AC7" w14:textId="3BBCBDAB" w:rsidR="00AE45E0" w:rsidRDefault="00AE45E0" w:rsidP="00AE45E0">
            <w:pPr>
              <w:pStyle w:val="ListBullet"/>
              <w:keepNext/>
              <w:keepLines/>
              <w:numPr>
                <w:ilvl w:val="0"/>
                <w:numId w:val="0"/>
              </w:numPr>
            </w:pPr>
            <w:r>
              <w:t>Requirements in other RALIs and business operating procedures (BOPs)</w:t>
            </w:r>
          </w:p>
        </w:tc>
        <w:tc>
          <w:tcPr>
            <w:tcW w:w="2815" w:type="dxa"/>
          </w:tcPr>
          <w:p w14:paraId="67F56BB1" w14:textId="74609495" w:rsidR="00AE45E0" w:rsidRDefault="00D130F6" w:rsidP="00AE45E0">
            <w:pPr>
              <w:pStyle w:val="ListBullet"/>
              <w:keepNext/>
              <w:keepLines/>
              <w:numPr>
                <w:ilvl w:val="0"/>
                <w:numId w:val="0"/>
              </w:numPr>
            </w:pPr>
            <w:r>
              <w:fldChar w:fldCharType="begin"/>
            </w:r>
            <w:r>
              <w:instrText xml:space="preserve"> REF _Ref46470743 \r \h </w:instrText>
            </w:r>
            <w:r>
              <w:fldChar w:fldCharType="separate"/>
            </w:r>
            <w:r w:rsidR="009E3A92">
              <w:t>3.8</w:t>
            </w:r>
            <w:r>
              <w:fldChar w:fldCharType="end"/>
            </w:r>
          </w:p>
        </w:tc>
      </w:tr>
      <w:tr w:rsidR="0066755C" w14:paraId="7962E80A" w14:textId="77777777" w:rsidTr="00015C71">
        <w:tc>
          <w:tcPr>
            <w:tcW w:w="824" w:type="dxa"/>
            <w:vMerge w:val="restart"/>
            <w:textDirection w:val="btLr"/>
          </w:tcPr>
          <w:p w14:paraId="51E26B74" w14:textId="194C4F2C" w:rsidR="00FE67CB" w:rsidRDefault="00FE67CB" w:rsidP="00103034">
            <w:pPr>
              <w:pStyle w:val="ListBullet"/>
              <w:keepNext/>
              <w:keepLines/>
              <w:numPr>
                <w:ilvl w:val="0"/>
                <w:numId w:val="0"/>
              </w:numPr>
              <w:ind w:left="113" w:right="113"/>
              <w:jc w:val="center"/>
            </w:pPr>
            <w:r>
              <w:t>Supporting appendices</w:t>
            </w:r>
          </w:p>
        </w:tc>
        <w:tc>
          <w:tcPr>
            <w:tcW w:w="3999" w:type="dxa"/>
          </w:tcPr>
          <w:p w14:paraId="76411A3A" w14:textId="22487B0E" w:rsidR="00FE67CB" w:rsidRDefault="00FE67CB" w:rsidP="00AE45E0">
            <w:pPr>
              <w:pStyle w:val="ListBullet"/>
              <w:keepNext/>
              <w:keepLines/>
              <w:numPr>
                <w:ilvl w:val="0"/>
                <w:numId w:val="0"/>
              </w:numPr>
            </w:pPr>
            <w:r>
              <w:t>Fallback-synchronisation configuration</w:t>
            </w:r>
          </w:p>
        </w:tc>
        <w:tc>
          <w:tcPr>
            <w:tcW w:w="2815" w:type="dxa"/>
          </w:tcPr>
          <w:p w14:paraId="3A982226" w14:textId="383116E9" w:rsidR="00FE67CB" w:rsidRDefault="00D130F6" w:rsidP="00AE45E0">
            <w:pPr>
              <w:pStyle w:val="ListBullet"/>
              <w:keepNext/>
              <w:keepLines/>
              <w:numPr>
                <w:ilvl w:val="0"/>
                <w:numId w:val="0"/>
              </w:numPr>
            </w:pPr>
            <w:r>
              <w:fldChar w:fldCharType="begin"/>
            </w:r>
            <w:r>
              <w:instrText xml:space="preserve"> REF _Ref91152683 \h </w:instrText>
            </w:r>
            <w:r>
              <w:fldChar w:fldCharType="separate"/>
            </w:r>
            <w:r w:rsidR="009E3A92">
              <w:rPr>
                <w:szCs w:val="44"/>
              </w:rPr>
              <w:t>Appendix A: Fallback synchronisation uplink-downlink configuration</w:t>
            </w:r>
            <w:r>
              <w:fldChar w:fldCharType="end"/>
            </w:r>
          </w:p>
        </w:tc>
      </w:tr>
      <w:tr w:rsidR="0066755C" w14:paraId="00681607" w14:textId="77777777" w:rsidTr="00015C71">
        <w:tc>
          <w:tcPr>
            <w:tcW w:w="824" w:type="dxa"/>
            <w:vMerge/>
          </w:tcPr>
          <w:p w14:paraId="47533B9B" w14:textId="77777777" w:rsidR="00FE67CB" w:rsidRDefault="00FE67CB" w:rsidP="00AE45E0">
            <w:pPr>
              <w:pStyle w:val="ListBullet"/>
              <w:keepNext/>
              <w:keepLines/>
              <w:numPr>
                <w:ilvl w:val="0"/>
                <w:numId w:val="0"/>
              </w:numPr>
            </w:pPr>
          </w:p>
        </w:tc>
        <w:tc>
          <w:tcPr>
            <w:tcW w:w="3999" w:type="dxa"/>
          </w:tcPr>
          <w:p w14:paraId="5F22870B" w14:textId="49B93948" w:rsidR="00FE67CB" w:rsidRDefault="00FE67CB" w:rsidP="00AE45E0">
            <w:pPr>
              <w:pStyle w:val="ListBullet"/>
              <w:keepNext/>
              <w:keepLines/>
              <w:numPr>
                <w:ilvl w:val="0"/>
                <w:numId w:val="0"/>
              </w:numPr>
            </w:pPr>
            <w:r>
              <w:t>Arrangements for AWLs overlapping in both area and frequency</w:t>
            </w:r>
          </w:p>
        </w:tc>
        <w:tc>
          <w:tcPr>
            <w:tcW w:w="2815" w:type="dxa"/>
          </w:tcPr>
          <w:p w14:paraId="4AA393C0" w14:textId="73134033" w:rsidR="00FE67CB" w:rsidRDefault="00D130F6" w:rsidP="00AE45E0">
            <w:pPr>
              <w:pStyle w:val="ListBullet"/>
              <w:keepNext/>
              <w:keepLines/>
              <w:numPr>
                <w:ilvl w:val="0"/>
                <w:numId w:val="0"/>
              </w:numPr>
            </w:pPr>
            <w:r>
              <w:fldChar w:fldCharType="begin"/>
            </w:r>
            <w:r>
              <w:instrText xml:space="preserve"> REF _Ref91151426 \h </w:instrText>
            </w:r>
            <w:r>
              <w:fldChar w:fldCharType="separate"/>
            </w:r>
            <w:r w:rsidR="009E3A92">
              <w:rPr>
                <w:szCs w:val="44"/>
              </w:rPr>
              <w:t>Coexistence between AWL devices operating in the same frequency and area (overlapping AWLs)</w:t>
            </w:r>
            <w:r>
              <w:fldChar w:fldCharType="end"/>
            </w:r>
          </w:p>
        </w:tc>
      </w:tr>
      <w:tr w:rsidR="0066755C" w14:paraId="7AFEEF7C" w14:textId="77777777" w:rsidTr="00015C71">
        <w:tc>
          <w:tcPr>
            <w:tcW w:w="824" w:type="dxa"/>
            <w:vMerge/>
          </w:tcPr>
          <w:p w14:paraId="37FD09E8" w14:textId="77777777" w:rsidR="00FE67CB" w:rsidRDefault="00FE67CB" w:rsidP="00AE45E0">
            <w:pPr>
              <w:pStyle w:val="ListBullet"/>
              <w:keepNext/>
              <w:keepLines/>
              <w:numPr>
                <w:ilvl w:val="0"/>
                <w:numId w:val="0"/>
              </w:numPr>
            </w:pPr>
          </w:p>
        </w:tc>
        <w:tc>
          <w:tcPr>
            <w:tcW w:w="3999" w:type="dxa"/>
          </w:tcPr>
          <w:p w14:paraId="0171D27E" w14:textId="74190747" w:rsidR="00FE67CB" w:rsidRDefault="00FE67CB" w:rsidP="00AE45E0">
            <w:pPr>
              <w:pStyle w:val="ListBullet"/>
              <w:keepNext/>
              <w:keepLines/>
              <w:numPr>
                <w:ilvl w:val="0"/>
                <w:numId w:val="0"/>
              </w:numPr>
            </w:pPr>
            <w:r>
              <w:t>Examples of co</w:t>
            </w:r>
            <w:r w:rsidR="00D130F6">
              <w:t>mpliance</w:t>
            </w:r>
            <w:r>
              <w:t xml:space="preserve"> at the geographic boundary</w:t>
            </w:r>
          </w:p>
        </w:tc>
        <w:tc>
          <w:tcPr>
            <w:tcW w:w="2815" w:type="dxa"/>
          </w:tcPr>
          <w:p w14:paraId="06A4CAA6" w14:textId="4492CCC1" w:rsidR="00FE67CB" w:rsidRDefault="00D130F6" w:rsidP="00AE45E0">
            <w:pPr>
              <w:pStyle w:val="ListBullet"/>
              <w:keepNext/>
              <w:keepLines/>
              <w:numPr>
                <w:ilvl w:val="0"/>
                <w:numId w:val="0"/>
              </w:numPr>
            </w:pPr>
            <w:r>
              <w:fldChar w:fldCharType="begin"/>
            </w:r>
            <w:r>
              <w:instrText xml:space="preserve"> REF _Ref91152810 \h </w:instrText>
            </w:r>
            <w:r>
              <w:fldChar w:fldCharType="separate"/>
            </w:r>
            <w:r w:rsidR="009E3A92">
              <w:rPr>
                <w:szCs w:val="44"/>
              </w:rPr>
              <w:t>Appendix C: Examples of compliance at the geographic boundary</w:t>
            </w:r>
            <w:r>
              <w:fldChar w:fldCharType="end"/>
            </w:r>
          </w:p>
        </w:tc>
      </w:tr>
      <w:tr w:rsidR="0066755C" w14:paraId="0D9FD3AF" w14:textId="77777777" w:rsidTr="00015C71">
        <w:tc>
          <w:tcPr>
            <w:tcW w:w="824" w:type="dxa"/>
            <w:vMerge/>
          </w:tcPr>
          <w:p w14:paraId="40580330" w14:textId="77777777" w:rsidR="00FE67CB" w:rsidRDefault="00FE67CB" w:rsidP="00AE45E0">
            <w:pPr>
              <w:pStyle w:val="ListBullet"/>
              <w:keepNext/>
              <w:keepLines/>
              <w:numPr>
                <w:ilvl w:val="0"/>
                <w:numId w:val="0"/>
              </w:numPr>
            </w:pPr>
          </w:p>
        </w:tc>
        <w:tc>
          <w:tcPr>
            <w:tcW w:w="3999" w:type="dxa"/>
          </w:tcPr>
          <w:p w14:paraId="0B7F1B63" w14:textId="4BABEEAC" w:rsidR="00FE67CB" w:rsidRDefault="00FE67CB" w:rsidP="00AE45E0">
            <w:pPr>
              <w:pStyle w:val="ListBullet"/>
              <w:keepNext/>
              <w:keepLines/>
              <w:numPr>
                <w:ilvl w:val="0"/>
                <w:numId w:val="0"/>
              </w:numPr>
            </w:pPr>
            <w:r>
              <w:t>Protection criteria for fixed link receivers (including supporting information)</w:t>
            </w:r>
          </w:p>
        </w:tc>
        <w:tc>
          <w:tcPr>
            <w:tcW w:w="2815" w:type="dxa"/>
          </w:tcPr>
          <w:p w14:paraId="264A5B5D" w14:textId="210EA471" w:rsidR="00FE67CB" w:rsidRDefault="00D130F6" w:rsidP="00AE45E0">
            <w:pPr>
              <w:pStyle w:val="ListBullet"/>
              <w:keepNext/>
              <w:keepLines/>
              <w:numPr>
                <w:ilvl w:val="0"/>
                <w:numId w:val="0"/>
              </w:numPr>
            </w:pPr>
            <w:r>
              <w:fldChar w:fldCharType="begin"/>
            </w:r>
            <w:r>
              <w:instrText xml:space="preserve"> REF _Ref91152854 \h </w:instrText>
            </w:r>
            <w:r w:rsidR="00015C71">
              <w:instrText xml:space="preserve"> \* MERGEFORMAT </w:instrText>
            </w:r>
            <w:r>
              <w:fldChar w:fldCharType="separate"/>
            </w:r>
            <w:r w:rsidR="009E3A92" w:rsidRPr="00AF06C8">
              <w:rPr>
                <w:szCs w:val="44"/>
              </w:rPr>
              <w:t xml:space="preserve">Appendix </w:t>
            </w:r>
            <w:r w:rsidR="009E3A92">
              <w:rPr>
                <w:szCs w:val="44"/>
              </w:rPr>
              <w:t>D</w:t>
            </w:r>
            <w:r w:rsidR="009E3A92" w:rsidRPr="00AF06C8">
              <w:rPr>
                <w:szCs w:val="44"/>
              </w:rPr>
              <w:t xml:space="preserve">: </w:t>
            </w:r>
            <w:r w:rsidR="009E3A92">
              <w:rPr>
                <w:szCs w:val="44"/>
              </w:rPr>
              <w:t>Protection criteria for fixed link receivers</w:t>
            </w:r>
            <w:r>
              <w:fldChar w:fldCharType="end"/>
            </w:r>
            <w:r>
              <w:t xml:space="preserve">, </w:t>
            </w:r>
            <w:r w:rsidR="00F2752E">
              <w:fldChar w:fldCharType="begin"/>
            </w:r>
            <w:r w:rsidR="00F2752E">
              <w:instrText xml:space="preserve"> REF _Ref94007925 \h </w:instrText>
            </w:r>
            <w:r w:rsidR="00015C71">
              <w:instrText xml:space="preserve"> \* MERGEFORMAT </w:instrText>
            </w:r>
            <w:r w:rsidR="00F2752E">
              <w:fldChar w:fldCharType="separate"/>
            </w:r>
            <w:r w:rsidR="009E3A92" w:rsidRPr="00701ADF">
              <w:t xml:space="preserve">Appendix </w:t>
            </w:r>
            <w:r w:rsidR="009E3A92">
              <w:t>E</w:t>
            </w:r>
            <w:r w:rsidR="009E3A92" w:rsidRPr="00701ADF">
              <w:t>: Calculating antenna off-axis angle in two dimensions</w:t>
            </w:r>
            <w:r w:rsidR="00F2752E">
              <w:fldChar w:fldCharType="end"/>
            </w:r>
            <w:r>
              <w:t xml:space="preserve">, </w:t>
            </w:r>
            <w:r w:rsidR="00F2752E">
              <w:fldChar w:fldCharType="begin"/>
            </w:r>
            <w:r w:rsidR="00F2752E">
              <w:instrText xml:space="preserve"> REF _Ref94008033 \h </w:instrText>
            </w:r>
            <w:r w:rsidR="00015C71">
              <w:instrText xml:space="preserve"> \* MERGEFORMAT </w:instrText>
            </w:r>
            <w:r w:rsidR="00F2752E">
              <w:fldChar w:fldCharType="separate"/>
            </w:r>
            <w:r w:rsidR="009E3A92">
              <w:t>Appendix F: Calculating antenna off-axis angle in three dimensions</w:t>
            </w:r>
            <w:r w:rsidR="00F2752E">
              <w:fldChar w:fldCharType="end"/>
            </w:r>
            <w:r w:rsidR="00F2752E">
              <w:t xml:space="preserve"> </w:t>
            </w:r>
            <w:r>
              <w:t xml:space="preserve">and </w:t>
            </w:r>
            <w:r w:rsidR="00577CDE">
              <w:fldChar w:fldCharType="begin"/>
            </w:r>
            <w:r w:rsidR="00577CDE">
              <w:instrText xml:space="preserve"> REF _Ref94008084 \h </w:instrText>
            </w:r>
            <w:r w:rsidR="00015C71">
              <w:instrText xml:space="preserve"> \* MERGEFORMAT </w:instrText>
            </w:r>
            <w:r w:rsidR="00577CDE">
              <w:fldChar w:fldCharType="separate"/>
            </w:r>
            <w:r w:rsidR="009E3A92">
              <w:t>Appendix G: On-tune rejection</w:t>
            </w:r>
            <w:r w:rsidR="00577CDE">
              <w:fldChar w:fldCharType="end"/>
            </w:r>
          </w:p>
        </w:tc>
      </w:tr>
      <w:tr w:rsidR="0066755C" w14:paraId="7289A5D7" w14:textId="77777777" w:rsidTr="00015C71">
        <w:tc>
          <w:tcPr>
            <w:tcW w:w="824" w:type="dxa"/>
            <w:vMerge/>
          </w:tcPr>
          <w:p w14:paraId="1A5E8216" w14:textId="77777777" w:rsidR="00FE67CB" w:rsidRDefault="00FE67CB" w:rsidP="00AE45E0">
            <w:pPr>
              <w:pStyle w:val="ListBullet"/>
              <w:keepNext/>
              <w:keepLines/>
              <w:numPr>
                <w:ilvl w:val="0"/>
                <w:numId w:val="0"/>
              </w:numPr>
            </w:pPr>
          </w:p>
        </w:tc>
        <w:tc>
          <w:tcPr>
            <w:tcW w:w="3999" w:type="dxa"/>
          </w:tcPr>
          <w:p w14:paraId="36B13845" w14:textId="302D8711" w:rsidR="00FE67CB" w:rsidRDefault="00FE67CB" w:rsidP="00AE45E0">
            <w:pPr>
              <w:pStyle w:val="ListBullet"/>
              <w:keepNext/>
              <w:keepLines/>
              <w:numPr>
                <w:ilvl w:val="0"/>
                <w:numId w:val="0"/>
              </w:numPr>
            </w:pPr>
            <w:r>
              <w:t xml:space="preserve">Summary of arrangements to safeguard coexistence with space receive stations </w:t>
            </w:r>
          </w:p>
        </w:tc>
        <w:tc>
          <w:tcPr>
            <w:tcW w:w="2815" w:type="dxa"/>
          </w:tcPr>
          <w:p w14:paraId="47C88456" w14:textId="56ECD159" w:rsidR="00FE67CB" w:rsidRDefault="00D130F6" w:rsidP="00AE45E0">
            <w:pPr>
              <w:pStyle w:val="ListBullet"/>
              <w:keepNext/>
              <w:keepLines/>
              <w:numPr>
                <w:ilvl w:val="0"/>
                <w:numId w:val="0"/>
              </w:numPr>
            </w:pPr>
            <w:r>
              <w:fldChar w:fldCharType="begin"/>
            </w:r>
            <w:r>
              <w:instrText xml:space="preserve"> REF _Ref91152959 \h </w:instrText>
            </w:r>
            <w:r>
              <w:fldChar w:fldCharType="separate"/>
            </w:r>
            <w:r w:rsidR="009E3A92">
              <w:t>Appendix H: Coexistence with space-receive stations</w:t>
            </w:r>
            <w:r>
              <w:fldChar w:fldCharType="end"/>
            </w:r>
          </w:p>
        </w:tc>
      </w:tr>
    </w:tbl>
    <w:p w14:paraId="0F2C467A" w14:textId="799590AA" w:rsidR="009C1C54" w:rsidRPr="00103034" w:rsidRDefault="009C1C54" w:rsidP="00103034">
      <w:pPr>
        <w:rPr>
          <w:i/>
          <w:iCs/>
        </w:rPr>
      </w:pPr>
      <w:bookmarkStart w:id="29" w:name="_Toc6298713"/>
      <w:bookmarkStart w:id="30" w:name="_Toc8983850"/>
      <w:bookmarkStart w:id="31" w:name="_Toc8986374"/>
    </w:p>
    <w:p w14:paraId="7A776A2E" w14:textId="77777777" w:rsidR="00FF13CF" w:rsidRPr="008C3D36" w:rsidRDefault="00FF13CF" w:rsidP="00FF13CF">
      <w:pPr>
        <w:pStyle w:val="Heading1"/>
      </w:pPr>
      <w:bookmarkStart w:id="32" w:name="_Toc92368800"/>
      <w:bookmarkStart w:id="33" w:name="_Toc92368801"/>
      <w:bookmarkStart w:id="34" w:name="_Toc92368802"/>
      <w:bookmarkStart w:id="35" w:name="_Toc92368803"/>
      <w:bookmarkStart w:id="36" w:name="_Toc92368804"/>
      <w:bookmarkStart w:id="37" w:name="_Toc92368805"/>
      <w:bookmarkStart w:id="38" w:name="_Toc92368806"/>
      <w:bookmarkStart w:id="39" w:name="_Toc92368807"/>
      <w:bookmarkStart w:id="40" w:name="_Toc92368808"/>
      <w:bookmarkStart w:id="41" w:name="_Toc92368809"/>
      <w:bookmarkStart w:id="42" w:name="_Toc92368810"/>
      <w:bookmarkStart w:id="43" w:name="_Toc92368811"/>
      <w:bookmarkStart w:id="44" w:name="_Toc92368812"/>
      <w:bookmarkStart w:id="45" w:name="_Toc92368813"/>
      <w:bookmarkStart w:id="46" w:name="_Toc92368814"/>
      <w:bookmarkStart w:id="47" w:name="_Toc92368815"/>
      <w:bookmarkStart w:id="48" w:name="_Toc92368816"/>
      <w:bookmarkStart w:id="49" w:name="_Toc92368817"/>
      <w:bookmarkStart w:id="50" w:name="_Toc92368818"/>
      <w:bookmarkStart w:id="51" w:name="_Toc92368819"/>
      <w:bookmarkStart w:id="52" w:name="_Toc92368820"/>
      <w:bookmarkStart w:id="53" w:name="_Toc92368821"/>
      <w:bookmarkStart w:id="54" w:name="_Toc92368822"/>
      <w:bookmarkStart w:id="55" w:name="_Toc92368823"/>
      <w:bookmarkStart w:id="56" w:name="_Toc92368824"/>
      <w:bookmarkStart w:id="57" w:name="_Toc92368825"/>
      <w:bookmarkStart w:id="58" w:name="_Toc92368826"/>
      <w:bookmarkStart w:id="59" w:name="_Toc92368827"/>
      <w:bookmarkStart w:id="60" w:name="_Toc92368828"/>
      <w:bookmarkStart w:id="61" w:name="_Toc92368829"/>
      <w:bookmarkStart w:id="62" w:name="_Toc92368830"/>
      <w:bookmarkStart w:id="63" w:name="_Toc92368831"/>
      <w:bookmarkStart w:id="64" w:name="_Toc92368832"/>
      <w:bookmarkStart w:id="65" w:name="_Toc92368833"/>
      <w:bookmarkStart w:id="66" w:name="_Toc92368834"/>
      <w:bookmarkStart w:id="67" w:name="_Toc92368835"/>
      <w:bookmarkStart w:id="68" w:name="_Toc92368836"/>
      <w:bookmarkStart w:id="69" w:name="_Toc92368837"/>
      <w:bookmarkStart w:id="70" w:name="_Toc92368838"/>
      <w:bookmarkStart w:id="71" w:name="_Toc92368839"/>
      <w:bookmarkStart w:id="72" w:name="_Toc92368840"/>
      <w:bookmarkStart w:id="73" w:name="_Toc92368841"/>
      <w:bookmarkStart w:id="74" w:name="_Toc92368842"/>
      <w:bookmarkStart w:id="75" w:name="_Toc92368843"/>
      <w:bookmarkStart w:id="76" w:name="_Toc92368844"/>
      <w:bookmarkStart w:id="77" w:name="_Toc92368845"/>
      <w:bookmarkStart w:id="78" w:name="_Toc92368846"/>
      <w:bookmarkStart w:id="79" w:name="_Toc92368847"/>
      <w:bookmarkStart w:id="80" w:name="_Toc92368853"/>
      <w:bookmarkStart w:id="81" w:name="_Toc92368854"/>
      <w:bookmarkStart w:id="82" w:name="_Toc92368855"/>
      <w:bookmarkStart w:id="83" w:name="_Toc92368856"/>
      <w:bookmarkStart w:id="84" w:name="_Toc92368857"/>
      <w:bookmarkStart w:id="85" w:name="_Toc92368858"/>
      <w:bookmarkStart w:id="86" w:name="_Toc92368859"/>
      <w:bookmarkStart w:id="87" w:name="_Toc92368860"/>
      <w:bookmarkStart w:id="88" w:name="_Toc92368861"/>
      <w:bookmarkStart w:id="89" w:name="_Toc92368862"/>
      <w:bookmarkStart w:id="90" w:name="_Toc92368863"/>
      <w:bookmarkStart w:id="91" w:name="_Toc92368864"/>
      <w:bookmarkStart w:id="92" w:name="_Toc92368865"/>
      <w:bookmarkStart w:id="93" w:name="_Toc92368866"/>
      <w:bookmarkStart w:id="94" w:name="_Toc92368867"/>
      <w:bookmarkStart w:id="95" w:name="_Toc92368868"/>
      <w:bookmarkStart w:id="96" w:name="_Toc92368869"/>
      <w:bookmarkStart w:id="97" w:name="_Toc92368870"/>
      <w:bookmarkStart w:id="98" w:name="_Toc92368871"/>
      <w:bookmarkStart w:id="99" w:name="_Toc92368872"/>
      <w:bookmarkStart w:id="100" w:name="_Toc92368873"/>
      <w:bookmarkStart w:id="101" w:name="_Toc92368874"/>
      <w:bookmarkStart w:id="102" w:name="_Toc92368875"/>
      <w:bookmarkStart w:id="103" w:name="_Toc92368876"/>
      <w:bookmarkStart w:id="104" w:name="_Toc92368877"/>
      <w:bookmarkStart w:id="105" w:name="_Toc92368878"/>
      <w:bookmarkStart w:id="106" w:name="_Toc92368879"/>
      <w:bookmarkStart w:id="107" w:name="_Toc92368880"/>
      <w:bookmarkStart w:id="108" w:name="_Toc92368881"/>
      <w:bookmarkStart w:id="109" w:name="_Toc92368882"/>
      <w:bookmarkStart w:id="110" w:name="_Toc92368883"/>
      <w:bookmarkStart w:id="111" w:name="_Toc92368884"/>
      <w:bookmarkStart w:id="112" w:name="_Toc92368885"/>
      <w:bookmarkStart w:id="113" w:name="_Toc92368886"/>
      <w:bookmarkStart w:id="114" w:name="_Toc92368887"/>
      <w:bookmarkStart w:id="115" w:name="_Toc92368888"/>
      <w:bookmarkStart w:id="116" w:name="_Toc92368889"/>
      <w:bookmarkStart w:id="117" w:name="_Toc92368890"/>
      <w:bookmarkStart w:id="118" w:name="_Toc92368891"/>
      <w:bookmarkStart w:id="119" w:name="_Toc92368892"/>
      <w:bookmarkStart w:id="120" w:name="_Toc92368893"/>
      <w:bookmarkStart w:id="121" w:name="_Toc92368894"/>
      <w:bookmarkStart w:id="122" w:name="_Toc92368895"/>
      <w:bookmarkStart w:id="123" w:name="_Toc92368896"/>
      <w:bookmarkStart w:id="124" w:name="_Toc92368897"/>
      <w:bookmarkStart w:id="125" w:name="_Toc92368898"/>
      <w:bookmarkStart w:id="126" w:name="_Toc92368899"/>
      <w:bookmarkStart w:id="127" w:name="_Toc92368900"/>
      <w:bookmarkStart w:id="128" w:name="_Toc92368901"/>
      <w:bookmarkStart w:id="129" w:name="_Toc92368902"/>
      <w:bookmarkStart w:id="130" w:name="_Toc92368903"/>
      <w:bookmarkStart w:id="131" w:name="_Toc92368904"/>
      <w:bookmarkStart w:id="132" w:name="_Toc92368945"/>
      <w:bookmarkStart w:id="133" w:name="_Toc92368946"/>
      <w:bookmarkStart w:id="134" w:name="_Toc92368947"/>
      <w:bookmarkStart w:id="135" w:name="_Toc92368948"/>
      <w:bookmarkStart w:id="136" w:name="_Toc92368949"/>
      <w:bookmarkStart w:id="137" w:name="_Toc92368984"/>
      <w:bookmarkStart w:id="138" w:name="_Toc92368985"/>
      <w:bookmarkStart w:id="139" w:name="_Toc92369003"/>
      <w:bookmarkStart w:id="140" w:name="_Toc42178129"/>
      <w:bookmarkStart w:id="141" w:name="_Toc42178130"/>
      <w:bookmarkStart w:id="142" w:name="_Toc42178131"/>
      <w:bookmarkStart w:id="143" w:name="_Toc42178132"/>
      <w:bookmarkStart w:id="144" w:name="_Toc42178133"/>
      <w:bookmarkStart w:id="145" w:name="_Toc42178134"/>
      <w:bookmarkStart w:id="146" w:name="_Toc92369004"/>
      <w:bookmarkStart w:id="147" w:name="_Toc92369005"/>
      <w:bookmarkStart w:id="148" w:name="_Toc92369006"/>
      <w:bookmarkStart w:id="149" w:name="_Toc92369007"/>
      <w:bookmarkStart w:id="150" w:name="_Toc92369008"/>
      <w:bookmarkStart w:id="151" w:name="_Toc92369009"/>
      <w:bookmarkStart w:id="152" w:name="_Toc92369010"/>
      <w:bookmarkStart w:id="153" w:name="_Toc92369011"/>
      <w:bookmarkStart w:id="154" w:name="_Toc92369012"/>
      <w:bookmarkStart w:id="155" w:name="_Toc92369013"/>
      <w:bookmarkStart w:id="156" w:name="_Toc92369014"/>
      <w:bookmarkStart w:id="157" w:name="_Toc92369015"/>
      <w:bookmarkStart w:id="158" w:name="_Toc92369016"/>
      <w:bookmarkStart w:id="159" w:name="_Toc92369017"/>
      <w:bookmarkStart w:id="160" w:name="_Toc92369018"/>
      <w:bookmarkStart w:id="161" w:name="_Toc92369019"/>
      <w:bookmarkStart w:id="162" w:name="_Toc92369020"/>
      <w:bookmarkStart w:id="163" w:name="_Toc92369021"/>
      <w:bookmarkStart w:id="164" w:name="_Toc92369022"/>
      <w:bookmarkStart w:id="165" w:name="_Toc92369023"/>
      <w:bookmarkStart w:id="166" w:name="_Toc92369024"/>
      <w:bookmarkStart w:id="167" w:name="_Toc92369025"/>
      <w:bookmarkStart w:id="168" w:name="_Toc92369026"/>
      <w:bookmarkStart w:id="169" w:name="_Toc92369027"/>
      <w:bookmarkStart w:id="170" w:name="_Toc92369028"/>
      <w:bookmarkStart w:id="171" w:name="_Toc92369029"/>
      <w:bookmarkStart w:id="172" w:name="_Toc92369030"/>
      <w:bookmarkStart w:id="173" w:name="_Toc92369031"/>
      <w:bookmarkStart w:id="174" w:name="_Toc92369032"/>
      <w:bookmarkStart w:id="175" w:name="_Toc92369033"/>
      <w:bookmarkStart w:id="176" w:name="_Toc92369034"/>
      <w:bookmarkStart w:id="177" w:name="_Toc92369035"/>
      <w:bookmarkStart w:id="178" w:name="_Toc92369036"/>
      <w:bookmarkStart w:id="179" w:name="_Toc92369037"/>
      <w:bookmarkStart w:id="180" w:name="_Toc92369038"/>
      <w:bookmarkStart w:id="181" w:name="_Toc8983856"/>
      <w:bookmarkStart w:id="182" w:name="_Toc8986380"/>
      <w:bookmarkStart w:id="183" w:name="_Ref19691526"/>
      <w:bookmarkStart w:id="184" w:name="_Ref83896721"/>
      <w:bookmarkStart w:id="185" w:name="_Ref83896944"/>
      <w:bookmarkStart w:id="186" w:name="_Ref83898040"/>
      <w:bookmarkStart w:id="187" w:name="_Ref91151371"/>
      <w:bookmarkStart w:id="188" w:name="_Ref91151604"/>
      <w:bookmarkStart w:id="189" w:name="_Ref91152119"/>
      <w:bookmarkStart w:id="190" w:name="_Ref91152153"/>
      <w:bookmarkStart w:id="191" w:name="_Ref91152154"/>
      <w:bookmarkStart w:id="192" w:name="_Toc94773067"/>
      <w:bookmarkStart w:id="193" w:name="_Toc8983853"/>
      <w:bookmarkStart w:id="194" w:name="_Toc8986377"/>
      <w:bookmarkStart w:id="195" w:name="_Ref2212120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923D7A">
        <w:lastRenderedPageBreak/>
        <w:t>Licensing</w:t>
      </w:r>
      <w:bookmarkEnd w:id="181"/>
      <w:bookmarkEnd w:id="182"/>
      <w:bookmarkEnd w:id="183"/>
      <w:bookmarkEnd w:id="184"/>
      <w:bookmarkEnd w:id="185"/>
      <w:bookmarkEnd w:id="186"/>
      <w:bookmarkEnd w:id="187"/>
      <w:bookmarkEnd w:id="188"/>
      <w:bookmarkEnd w:id="189"/>
      <w:bookmarkEnd w:id="190"/>
      <w:bookmarkEnd w:id="191"/>
      <w:bookmarkEnd w:id="192"/>
    </w:p>
    <w:p w14:paraId="52317034" w14:textId="00EAC5F8" w:rsidR="00FF13CF" w:rsidRPr="00D506F8" w:rsidRDefault="00FF13CF" w:rsidP="00FF13CF">
      <w:r>
        <w:t>This chapter provides an overview of the</w:t>
      </w:r>
      <w:r w:rsidR="00A92903">
        <w:t xml:space="preserve"> apparatus</w:t>
      </w:r>
      <w:r>
        <w:t xml:space="preserve"> licensing arrangements in the 26/28 GHz band and sets out the rules for issuing AWLs. </w:t>
      </w:r>
      <w:r w:rsidR="00D65439">
        <w:t>Additional</w:t>
      </w:r>
      <w:r>
        <w:t xml:space="preserve"> information regarding the licence application process </w:t>
      </w:r>
      <w:r w:rsidR="00D65439">
        <w:t xml:space="preserve">is available on the </w:t>
      </w:r>
      <w:hyperlink r:id="rId38" w:history="1">
        <w:r w:rsidR="00D65439" w:rsidRPr="00D65439">
          <w:rPr>
            <w:rStyle w:val="Hyperlink"/>
          </w:rPr>
          <w:t>ACMA website</w:t>
        </w:r>
      </w:hyperlink>
      <w:r>
        <w:t>.</w:t>
      </w:r>
    </w:p>
    <w:p w14:paraId="4DAA60B8" w14:textId="77777777" w:rsidR="00FF13CF" w:rsidRDefault="00FF13CF" w:rsidP="00FF13CF">
      <w:pPr>
        <w:pStyle w:val="Heading2"/>
      </w:pPr>
      <w:bookmarkStart w:id="196" w:name="_Toc94773068"/>
      <w:r>
        <w:t>Overview of Licensing</w:t>
      </w:r>
      <w:bookmarkEnd w:id="196"/>
    </w:p>
    <w:p w14:paraId="11F8D36F" w14:textId="5ABD8AFB" w:rsidR="006549B5" w:rsidRDefault="00FF13CF" w:rsidP="00FF13CF">
      <w:r w:rsidDel="008217FE">
        <w:t xml:space="preserve">An AWL authorises the operation of radiocommunications devices within a frequency range and geographic area specified on the licence. </w:t>
      </w:r>
    </w:p>
    <w:p w14:paraId="16861BB3" w14:textId="08089695" w:rsidR="00FF13CF" w:rsidRDefault="00FF13CF" w:rsidP="00FF13CF">
      <w:r>
        <w:t>Only AWLs and space receive apparatus licences are to be issued in</w:t>
      </w:r>
      <w:r w:rsidRPr="0093563D">
        <w:rPr>
          <w:lang w:val="en-GB"/>
        </w:rPr>
        <w:t xml:space="preserve"> the frequency range</w:t>
      </w:r>
      <w:r w:rsidRPr="0093563D" w:rsidDel="00CC4355">
        <w:rPr>
          <w:lang w:val="en-GB"/>
        </w:rPr>
        <w:t xml:space="preserve"> </w:t>
      </w:r>
      <w:r w:rsidRPr="0093563D">
        <w:rPr>
          <w:lang w:val="en-GB"/>
        </w:rPr>
        <w:t xml:space="preserve">in 25.1-27.5 GHz outside </w:t>
      </w:r>
      <w:r w:rsidR="00B1238B">
        <w:rPr>
          <w:lang w:val="en-GB"/>
        </w:rPr>
        <w:t>defined areas</w:t>
      </w:r>
      <w:r w:rsidR="00B1238B">
        <w:rPr>
          <w:rStyle w:val="FootnoteReference"/>
          <w:lang w:val="en-GB"/>
        </w:rPr>
        <w:footnoteReference w:id="5"/>
      </w:r>
      <w:r>
        <w:rPr>
          <w:lang w:val="en-GB"/>
        </w:rPr>
        <w:t xml:space="preserve"> or in 24.7-25.1 GHz and 27.5-30</w:t>
      </w:r>
      <w:r w:rsidRPr="0093563D">
        <w:rPr>
          <w:lang w:val="en-GB"/>
        </w:rPr>
        <w:t xml:space="preserve"> GHz Australia</w:t>
      </w:r>
      <w:r>
        <w:rPr>
          <w:lang w:val="en-GB"/>
        </w:rPr>
        <w:t xml:space="preserve"> wide. All existing apparatus licences are permitted to continue to operate and be renewed.</w:t>
      </w:r>
    </w:p>
    <w:p w14:paraId="31E15368" w14:textId="7BB463C8" w:rsidR="00FF13CF" w:rsidRPr="0093563D" w:rsidRDefault="00FF13CF" w:rsidP="00FF13CF">
      <w:r w:rsidRPr="0093563D">
        <w:t>Any applications for case-by-case exemptions</w:t>
      </w:r>
      <w:bookmarkStart w:id="197" w:name="_Hlk43708297"/>
      <w:r w:rsidRPr="0093563D">
        <w:t xml:space="preserve"> </w:t>
      </w:r>
      <w:bookmarkEnd w:id="197"/>
      <w:r w:rsidRPr="0093563D">
        <w:t>are to be referred to the Manager, Spectrum Planning Section</w:t>
      </w:r>
      <w:r w:rsidR="00D3017D">
        <w:t>, ACMA</w:t>
      </w:r>
      <w:r w:rsidRPr="0093563D">
        <w:t xml:space="preserve"> for consideration. </w:t>
      </w:r>
    </w:p>
    <w:p w14:paraId="1C6C5739" w14:textId="77777777" w:rsidR="00FF13CF" w:rsidRDefault="00FF13CF" w:rsidP="00FF13CF">
      <w:pPr>
        <w:pStyle w:val="Heading2"/>
      </w:pPr>
      <w:bookmarkStart w:id="198" w:name="_Toc84583918"/>
      <w:bookmarkStart w:id="199" w:name="_Toc92369041"/>
      <w:bookmarkStart w:id="200" w:name="_Toc94773069"/>
      <w:bookmarkEnd w:id="198"/>
      <w:bookmarkEnd w:id="199"/>
      <w:r>
        <w:t>Licence conditions</w:t>
      </w:r>
      <w:bookmarkEnd w:id="200"/>
    </w:p>
    <w:p w14:paraId="035AE972" w14:textId="77777777" w:rsidR="00FF13CF" w:rsidRDefault="00FF13CF" w:rsidP="00FF13CF">
      <w:pPr>
        <w:spacing w:after="120"/>
      </w:pPr>
      <w:r>
        <w:t>The operation of radiocommunications devices authorised by an AWL in the 26/28 GHz bands is subject to:</w:t>
      </w:r>
    </w:p>
    <w:p w14:paraId="51BA75AE" w14:textId="77777777" w:rsidR="00FF13CF" w:rsidRDefault="00FF13CF" w:rsidP="00FF13CF">
      <w:pPr>
        <w:pStyle w:val="ListBullet"/>
      </w:pPr>
      <w:r>
        <w:t xml:space="preserve">Conditions specified in the </w:t>
      </w:r>
      <w:r w:rsidRPr="004776B7">
        <w:rPr>
          <w:i/>
          <w:iCs/>
        </w:rPr>
        <w:t>Radiocommunications Act 1992</w:t>
      </w:r>
      <w:r>
        <w:t xml:space="preserve"> (the Act), including an obligation to comply with the Act;</w:t>
      </w:r>
    </w:p>
    <w:p w14:paraId="7941880C" w14:textId="2EF1244A" w:rsidR="00FF13CF" w:rsidRDefault="003A7F61" w:rsidP="00FF13CF">
      <w:pPr>
        <w:pStyle w:val="ListBullet"/>
      </w:pPr>
      <w:hyperlink r:id="rId39" w:history="1">
        <w:r w:rsidR="00FF13CF" w:rsidRPr="009412FD">
          <w:rPr>
            <w:rStyle w:val="Hyperlink"/>
          </w:rPr>
          <w:t>Conditions specified in the Radiocommunications Licence Conditions (Apparatus Licence) Determination 2015</w:t>
        </w:r>
      </w:hyperlink>
      <w:r w:rsidR="00FF13CF">
        <w:t xml:space="preserve"> (as is force from time to time), the </w:t>
      </w:r>
      <w:hyperlink r:id="rId40" w:history="1">
        <w:r w:rsidR="00FF13CF" w:rsidRPr="009412FD">
          <w:rPr>
            <w:rStyle w:val="Hyperlink"/>
          </w:rPr>
          <w:t>Radiocommunications Licence Conditions (Area-Wide Licence) Determination 2020</w:t>
        </w:r>
      </w:hyperlink>
      <w:r w:rsidR="00FF13CF">
        <w:t xml:space="preserve"> (as in force from time to time), and any other applicable determinations made by the ACMA under section 107(1)(f) of the Act;</w:t>
      </w:r>
    </w:p>
    <w:p w14:paraId="2E981638" w14:textId="77777777" w:rsidR="00FF13CF" w:rsidRDefault="00FF13CF" w:rsidP="00FF13CF">
      <w:pPr>
        <w:pStyle w:val="ListBullet"/>
      </w:pPr>
      <w:r>
        <w:t>Conditions specified in the licence; and</w:t>
      </w:r>
    </w:p>
    <w:p w14:paraId="0AB3B0D4" w14:textId="4462CE97" w:rsidR="009412FD" w:rsidRDefault="009412FD" w:rsidP="009412FD">
      <w:pPr>
        <w:pStyle w:val="ListBullet"/>
      </w:pPr>
      <w:r>
        <w:t>Conditions specified in this RALI.</w:t>
      </w:r>
    </w:p>
    <w:p w14:paraId="5C70B93E" w14:textId="29C5A51F" w:rsidR="00FF13CF" w:rsidRDefault="009412FD" w:rsidP="00FF13CF">
      <w:pPr>
        <w:pStyle w:val="Heading2"/>
      </w:pPr>
      <w:bookmarkStart w:id="201" w:name="_Ref91152227"/>
      <w:bookmarkStart w:id="202" w:name="_Toc94773070"/>
      <w:r>
        <w:t>AWL issue process</w:t>
      </w:r>
      <w:bookmarkEnd w:id="201"/>
      <w:bookmarkEnd w:id="202"/>
    </w:p>
    <w:p w14:paraId="6B7F63C6" w14:textId="589C25C4" w:rsidR="00FF13CF" w:rsidRDefault="00FF13CF" w:rsidP="00FF13CF">
      <w:r>
        <w:t>This section outlines the rules for administratively issuing an AWL in the 26/28 GHz bands. An AWL in the 26/28 GHz bands can be issued, subject to the rules in this section, prior to device coordination requirements detailed in Chapter</w:t>
      </w:r>
      <w:r w:rsidR="006549B5">
        <w:t xml:space="preserve"> </w:t>
      </w:r>
      <w:r w:rsidR="004D3266">
        <w:fldChar w:fldCharType="begin"/>
      </w:r>
      <w:r w:rsidR="004D3266">
        <w:instrText xml:space="preserve"> REF _Ref83896996 \r \h </w:instrText>
      </w:r>
      <w:r w:rsidR="004D3266">
        <w:fldChar w:fldCharType="separate"/>
      </w:r>
      <w:r w:rsidR="009E3A92">
        <w:t>3</w:t>
      </w:r>
      <w:r w:rsidR="004D3266">
        <w:fldChar w:fldCharType="end"/>
      </w:r>
      <w:r>
        <w:t xml:space="preserve">. </w:t>
      </w:r>
    </w:p>
    <w:p w14:paraId="1123A47C" w14:textId="7961BB33" w:rsidR="00FF13CF" w:rsidRDefault="009412FD" w:rsidP="00FF13CF">
      <w:pPr>
        <w:pStyle w:val="Heading3"/>
      </w:pPr>
      <w:bookmarkStart w:id="203" w:name="_Toc47601499"/>
      <w:bookmarkStart w:id="204" w:name="_Toc47601500"/>
      <w:bookmarkStart w:id="205" w:name="_Toc47601501"/>
      <w:bookmarkStart w:id="206" w:name="_Toc47601502"/>
      <w:bookmarkStart w:id="207" w:name="_Ref22126455"/>
      <w:bookmarkStart w:id="208" w:name="_Ref46220240"/>
      <w:bookmarkStart w:id="209" w:name="_Toc94773071"/>
      <w:bookmarkStart w:id="210" w:name="_Ref20988148"/>
      <w:bookmarkEnd w:id="203"/>
      <w:bookmarkEnd w:id="204"/>
      <w:bookmarkEnd w:id="205"/>
      <w:bookmarkEnd w:id="206"/>
      <w:r>
        <w:t>Issuing</w:t>
      </w:r>
      <w:r w:rsidR="00FF13CF">
        <w:t xml:space="preserve"> instructions</w:t>
      </w:r>
      <w:bookmarkEnd w:id="207"/>
      <w:bookmarkEnd w:id="208"/>
      <w:bookmarkEnd w:id="209"/>
    </w:p>
    <w:p w14:paraId="1F69DEC6" w14:textId="783EE78B" w:rsidR="00FF13CF" w:rsidRDefault="00D85875" w:rsidP="00FF13CF">
      <w:pPr>
        <w:spacing w:after="120"/>
      </w:pPr>
      <w:r w:rsidRPr="00D85875">
        <w:t xml:space="preserve">The ACMA’s standard operational practice is to consider an application for the issue of an AWL </w:t>
      </w:r>
      <w:r w:rsidR="00FF13CF">
        <w:t>in the 26/28 GHz bands in accordance with the following instructions:</w:t>
      </w:r>
    </w:p>
    <w:p w14:paraId="3B940E79" w14:textId="77777777" w:rsidR="00FF13CF" w:rsidRDefault="00FF13CF" w:rsidP="00FF13CF">
      <w:pPr>
        <w:pStyle w:val="ListBullet"/>
      </w:pPr>
      <w:r>
        <w:t xml:space="preserve">An </w:t>
      </w:r>
      <w:r>
        <w:rPr>
          <w:rFonts w:cs="Arial"/>
        </w:rPr>
        <w:t xml:space="preserve">AWL </w:t>
      </w:r>
      <w:r>
        <w:t>can be issued to authorise access:</w:t>
      </w:r>
    </w:p>
    <w:p w14:paraId="39FC08CE" w14:textId="77777777" w:rsidR="00FF13CF" w:rsidRDefault="00FF13CF" w:rsidP="00FF13CF">
      <w:pPr>
        <w:pStyle w:val="ListBullet"/>
        <w:tabs>
          <w:tab w:val="clear" w:pos="295"/>
          <w:tab w:val="num" w:pos="579"/>
        </w:tabs>
        <w:ind w:left="579"/>
      </w:pPr>
      <w:r>
        <w:lastRenderedPageBreak/>
        <w:t>In any area within the ranges 24.7-25.1 GHz and 27.5-30 GHz</w:t>
      </w:r>
      <w:r>
        <w:rPr>
          <w:rStyle w:val="FootnoteReference"/>
        </w:rPr>
        <w:footnoteReference w:id="6"/>
      </w:r>
    </w:p>
    <w:p w14:paraId="14EAA04E" w14:textId="2EB8EF0C" w:rsidR="00FF13CF" w:rsidRDefault="00FF13CF" w:rsidP="00FF13CF">
      <w:pPr>
        <w:pStyle w:val="ListBullet"/>
        <w:tabs>
          <w:tab w:val="clear" w:pos="295"/>
          <w:tab w:val="num" w:pos="579"/>
        </w:tabs>
        <w:ind w:left="579"/>
      </w:pPr>
      <w:r>
        <w:t xml:space="preserve">In the range 25.1-27.5 GHz outside </w:t>
      </w:r>
      <w:r w:rsidR="00DA2B08">
        <w:t>of a defined area</w:t>
      </w:r>
      <w:r>
        <w:t xml:space="preserve">. </w:t>
      </w:r>
    </w:p>
    <w:p w14:paraId="08147F2B" w14:textId="77777777" w:rsidR="00FF13CF" w:rsidRDefault="00FF13CF" w:rsidP="00FF13CF">
      <w:pPr>
        <w:pStyle w:val="ListBullet"/>
      </w:pPr>
      <w:r>
        <w:t>Standard-AWLs may only be issued in the frequency range 24.7-29.5 GHz</w:t>
      </w:r>
    </w:p>
    <w:p w14:paraId="155F5C41" w14:textId="77777777" w:rsidR="00FF13CF" w:rsidRDefault="00FF13CF" w:rsidP="00FF13CF">
      <w:pPr>
        <w:pStyle w:val="ListBullet"/>
      </w:pPr>
      <w:r>
        <w:t>FSS-only AWLs may only be issued in the frequency range 27-30 GHz.</w:t>
      </w:r>
    </w:p>
    <w:p w14:paraId="1D82E218" w14:textId="2EF11803" w:rsidR="00FF13CF" w:rsidRDefault="00FF13CF" w:rsidP="00FF13CF">
      <w:pPr>
        <w:pStyle w:val="ListBullet"/>
      </w:pPr>
      <w:r>
        <w:t>The upper and lower frequency limits authorised by the licence must align with the channel raster in section</w:t>
      </w:r>
      <w:r w:rsidR="002D17B4">
        <w:t xml:space="preserve"> </w:t>
      </w:r>
      <w:r w:rsidR="004D3266">
        <w:fldChar w:fldCharType="begin"/>
      </w:r>
      <w:r w:rsidR="004D3266">
        <w:instrText xml:space="preserve"> REF _Ref20989312 \r \h </w:instrText>
      </w:r>
      <w:r w:rsidR="004D3266">
        <w:fldChar w:fldCharType="separate"/>
      </w:r>
      <w:r w:rsidR="009E3A92">
        <w:t>2.3.2</w:t>
      </w:r>
      <w:r w:rsidR="004D3266">
        <w:fldChar w:fldCharType="end"/>
      </w:r>
      <w:r>
        <w:t xml:space="preserve">, except for FSS-only AWLs which will authorise operation only in sole-primary frequencies/areas </w:t>
      </w:r>
      <w:r w:rsidR="00872051">
        <w:t>or</w:t>
      </w:r>
      <w:r>
        <w:t xml:space="preserve"> in 29.5-30 GHz. </w:t>
      </w:r>
    </w:p>
    <w:p w14:paraId="47C2885E" w14:textId="0833B8C5" w:rsidR="00FF13CF" w:rsidRDefault="00FF13CF" w:rsidP="00FF13CF">
      <w:pPr>
        <w:pStyle w:val="ListBullet"/>
        <w:tabs>
          <w:tab w:val="clear" w:pos="295"/>
          <w:tab w:val="num" w:pos="579"/>
        </w:tabs>
      </w:pPr>
      <w:r>
        <w:t>An AWL cannot be issued if its frequency range would overlap with the frequency range authorised by an existing AWL in the same HCIS</w:t>
      </w:r>
      <w:r w:rsidR="00566A46">
        <w:rPr>
          <w:rStyle w:val="FootnoteReference"/>
        </w:rPr>
        <w:footnoteReference w:id="7"/>
      </w:r>
      <w:r>
        <w:t xml:space="preserve"> cell, except when either:</w:t>
      </w:r>
    </w:p>
    <w:p w14:paraId="0CF65DFC" w14:textId="4D177F03" w:rsidR="00FF13CF" w:rsidRDefault="00FF13CF" w:rsidP="00FF13CF">
      <w:pPr>
        <w:pStyle w:val="ListBullet"/>
        <w:tabs>
          <w:tab w:val="clear" w:pos="295"/>
          <w:tab w:val="num" w:pos="863"/>
        </w:tabs>
        <w:ind w:left="579"/>
      </w:pPr>
      <w:r>
        <w:t>the proposed licence is an FSS-only AWL, or</w:t>
      </w:r>
    </w:p>
    <w:p w14:paraId="62804C3C" w14:textId="19706BA9" w:rsidR="00FF13CF" w:rsidRDefault="00FF13CF" w:rsidP="00FF13CF">
      <w:pPr>
        <w:pStyle w:val="ListBullet"/>
        <w:tabs>
          <w:tab w:val="clear" w:pos="295"/>
          <w:tab w:val="num" w:pos="579"/>
        </w:tabs>
        <w:ind w:left="579"/>
      </w:pPr>
      <w:r>
        <w:t>the proposed licence overlaps existing AWL(s) which are all FSS-only AWLs.</w:t>
      </w:r>
    </w:p>
    <w:p w14:paraId="291A577F" w14:textId="6CA390F9" w:rsidR="00CA1C1F" w:rsidRDefault="00CA1C1F" w:rsidP="00103034">
      <w:pPr>
        <w:pStyle w:val="ListBullet"/>
        <w:numPr>
          <w:ilvl w:val="0"/>
          <w:numId w:val="0"/>
        </w:numPr>
        <w:ind w:left="284"/>
      </w:pPr>
      <w:r>
        <w:t xml:space="preserve">Sections </w:t>
      </w:r>
      <w:r w:rsidR="004D3266">
        <w:fldChar w:fldCharType="begin"/>
      </w:r>
      <w:r w:rsidR="004D3266">
        <w:instrText xml:space="preserve"> REF _Ref52367438 \r \h </w:instrText>
      </w:r>
      <w:r w:rsidR="004D3266">
        <w:fldChar w:fldCharType="separate"/>
      </w:r>
      <w:r w:rsidR="009E3A92">
        <w:t>2.3.4</w:t>
      </w:r>
      <w:r w:rsidR="004D3266">
        <w:fldChar w:fldCharType="end"/>
      </w:r>
      <w:r>
        <w:t xml:space="preserve"> and </w:t>
      </w:r>
      <w:r w:rsidR="004D3266">
        <w:fldChar w:fldCharType="begin"/>
      </w:r>
      <w:r w:rsidR="004D3266">
        <w:instrText xml:space="preserve"> REF _Ref91153200 \r \h </w:instrText>
      </w:r>
      <w:r w:rsidR="004D3266">
        <w:fldChar w:fldCharType="separate"/>
      </w:r>
      <w:r w:rsidR="009E3A92">
        <w:t>2.4.3</w:t>
      </w:r>
      <w:r w:rsidR="004D3266">
        <w:fldChar w:fldCharType="end"/>
      </w:r>
      <w:r>
        <w:t xml:space="preserve"> contain provisions related to overlapping AWLs which are included on issued AWLs. </w:t>
      </w:r>
      <w:r w:rsidR="004D3266">
        <w:t>Further</w:t>
      </w:r>
      <w:r>
        <w:t xml:space="preserve"> information about overlapping AWLs is contained in </w:t>
      </w:r>
      <w:r w:rsidR="004D3266">
        <w:fldChar w:fldCharType="begin"/>
      </w:r>
      <w:r w:rsidR="004D3266">
        <w:instrText xml:space="preserve"> REF _Ref91151426 \h </w:instrText>
      </w:r>
      <w:r w:rsidR="004D3266">
        <w:fldChar w:fldCharType="separate"/>
      </w:r>
      <w:r w:rsidR="009E3A92">
        <w:rPr>
          <w:szCs w:val="44"/>
        </w:rPr>
        <w:t>Coexistence between AWL devices operating in the same frequency and area (overlapping AWLs)</w:t>
      </w:r>
      <w:r w:rsidR="004D3266">
        <w:fldChar w:fldCharType="end"/>
      </w:r>
      <w:r>
        <w:t>.</w:t>
      </w:r>
    </w:p>
    <w:p w14:paraId="6EF982C5" w14:textId="77777777" w:rsidR="00FF13CF" w:rsidRDefault="00FF13CF" w:rsidP="00FF13CF">
      <w:pPr>
        <w:pStyle w:val="ListBullet"/>
      </w:pPr>
      <w:r>
        <w:t xml:space="preserve">The geographic area authorised by an AWL will consist of only whole HCIS cells. The smallest geographic area authorised by an AWL is a single HCIS level 00 cell comprising an area of 20x15 seconds (approximately 500m x 500m). </w:t>
      </w:r>
    </w:p>
    <w:p w14:paraId="751AABC3" w14:textId="77777777" w:rsidR="00FF13CF" w:rsidRDefault="00FF13CF" w:rsidP="00FF13CF">
      <w:pPr>
        <w:pStyle w:val="ListBullet"/>
      </w:pPr>
      <w:r>
        <w:t>An AWL will not be issued if it would include frequencies in the range 25.5-27 GHz and it:</w:t>
      </w:r>
    </w:p>
    <w:p w14:paraId="1B3C3CC5" w14:textId="77777777" w:rsidR="00FF13CF" w:rsidRDefault="00FF13CF" w:rsidP="00FF13CF">
      <w:pPr>
        <w:pStyle w:val="ListBullet"/>
        <w:tabs>
          <w:tab w:val="clear" w:pos="295"/>
          <w:tab w:val="num" w:pos="579"/>
        </w:tabs>
        <w:ind w:left="579"/>
      </w:pPr>
      <w:r>
        <w:t>Contains either of the following HCIS: MW4H6 or BV2A3, or</w:t>
      </w:r>
    </w:p>
    <w:p w14:paraId="70F41ED1" w14:textId="5FA8568B" w:rsidR="00FF13CF" w:rsidRDefault="00FF13CF" w:rsidP="00FF13CF">
      <w:pPr>
        <w:pStyle w:val="ListBullet"/>
        <w:tabs>
          <w:tab w:val="clear" w:pos="295"/>
          <w:tab w:val="num" w:pos="579"/>
        </w:tabs>
        <w:ind w:left="579"/>
      </w:pPr>
      <w:r>
        <w:t xml:space="preserve">Only contains one or more of the HCIS listed in </w:t>
      </w:r>
      <w:r w:rsidRPr="00793EB8">
        <w:t xml:space="preserve">Table </w:t>
      </w:r>
      <w:r w:rsidR="003918D4">
        <w:t>2</w:t>
      </w:r>
      <w:r w:rsidRPr="00793EB8">
        <w:t>.</w:t>
      </w:r>
    </w:p>
    <w:p w14:paraId="604F1C2E" w14:textId="77777777" w:rsidR="00FF13CF" w:rsidRDefault="00FF13CF" w:rsidP="00FF13CF">
      <w:pPr>
        <w:pStyle w:val="ListBullet"/>
        <w:spacing w:after="240"/>
      </w:pPr>
      <w:r>
        <w:t>The allocation must comply with any Spectrum Embargo issued by the ACMA</w:t>
      </w:r>
      <w:r>
        <w:rPr>
          <w:rStyle w:val="FootnoteReference"/>
        </w:rPr>
        <w:footnoteReference w:id="8"/>
      </w:r>
      <w:r>
        <w:t xml:space="preserve"> </w:t>
      </w:r>
    </w:p>
    <w:p w14:paraId="55F8EC0C" w14:textId="580CF7B9" w:rsidR="00FF13CF" w:rsidRDefault="00FF13CF" w:rsidP="00FF13CF">
      <w:pPr>
        <w:pStyle w:val="ACMATableHeader"/>
      </w:pPr>
      <w:r>
        <w:t>Exclusion zones around SRS earth receive stations</w:t>
      </w:r>
    </w:p>
    <w:tbl>
      <w:tblPr>
        <w:tblStyle w:val="TableGrid"/>
        <w:tblW w:w="8547" w:type="dxa"/>
        <w:tblLayout w:type="fixed"/>
        <w:tblLook w:val="04A0" w:firstRow="1" w:lastRow="0" w:firstColumn="1" w:lastColumn="0" w:noHBand="0" w:noVBand="1"/>
      </w:tblPr>
      <w:tblGrid>
        <w:gridCol w:w="1460"/>
        <w:gridCol w:w="7087"/>
      </w:tblGrid>
      <w:tr w:rsidR="00FF13CF" w:rsidRPr="007074ED" w14:paraId="2B753C69" w14:textId="77777777" w:rsidTr="00577A4C">
        <w:trPr>
          <w:cantSplit/>
          <w:tblHeader/>
        </w:trPr>
        <w:tc>
          <w:tcPr>
            <w:tcW w:w="1460" w:type="dxa"/>
            <w:shd w:val="clear" w:color="auto" w:fill="404040" w:themeFill="text1" w:themeFillTint="BF"/>
            <w:vAlign w:val="center"/>
          </w:tcPr>
          <w:p w14:paraId="4984724F" w14:textId="77777777" w:rsidR="00FF13CF" w:rsidRPr="007074ED" w:rsidRDefault="00FF13CF" w:rsidP="00577A4C">
            <w:pPr>
              <w:pStyle w:val="TableHeading"/>
              <w:keepNext/>
              <w:keepLines/>
              <w:spacing w:before="120" w:after="120" w:line="240" w:lineRule="auto"/>
              <w:rPr>
                <w:color w:val="FFFFFF" w:themeColor="background1"/>
              </w:rPr>
            </w:pPr>
            <w:r w:rsidRPr="007074ED">
              <w:rPr>
                <w:color w:val="FFFFFF" w:themeColor="background1"/>
              </w:rPr>
              <w:t>Area name</w:t>
            </w:r>
          </w:p>
        </w:tc>
        <w:tc>
          <w:tcPr>
            <w:tcW w:w="7087" w:type="dxa"/>
            <w:shd w:val="clear" w:color="auto" w:fill="404040" w:themeFill="text1" w:themeFillTint="BF"/>
            <w:vAlign w:val="center"/>
          </w:tcPr>
          <w:p w14:paraId="79221464" w14:textId="77777777" w:rsidR="00FF13CF" w:rsidRPr="007074ED" w:rsidRDefault="00FF13CF" w:rsidP="00577A4C">
            <w:pPr>
              <w:pStyle w:val="TableHeading"/>
              <w:keepNext/>
              <w:keepLines/>
              <w:spacing w:before="120" w:after="120" w:line="240" w:lineRule="auto"/>
              <w:rPr>
                <w:color w:val="FFFFFF" w:themeColor="background1"/>
              </w:rPr>
            </w:pPr>
            <w:r w:rsidRPr="007074ED">
              <w:rPr>
                <w:color w:val="FFFFFF" w:themeColor="background1"/>
              </w:rPr>
              <w:t>HCIS</w:t>
            </w:r>
          </w:p>
        </w:tc>
      </w:tr>
      <w:tr w:rsidR="00FF13CF" w:rsidRPr="007074ED" w14:paraId="2494831B" w14:textId="77777777" w:rsidTr="00577A4C">
        <w:trPr>
          <w:cantSplit/>
        </w:trPr>
        <w:tc>
          <w:tcPr>
            <w:tcW w:w="1460" w:type="dxa"/>
          </w:tcPr>
          <w:p w14:paraId="4B9B5A31" w14:textId="77777777" w:rsidR="00FF13CF" w:rsidRPr="007074ED" w:rsidRDefault="00FF13CF" w:rsidP="00577A4C">
            <w:pPr>
              <w:pStyle w:val="TableBody"/>
              <w:keepNext/>
              <w:keepLines/>
              <w:spacing w:before="120" w:after="120"/>
            </w:pPr>
            <w:r>
              <w:t>New Norcia</w:t>
            </w:r>
          </w:p>
        </w:tc>
        <w:tc>
          <w:tcPr>
            <w:tcW w:w="7087" w:type="dxa"/>
            <w:vAlign w:val="center"/>
          </w:tcPr>
          <w:p w14:paraId="21DFDFAC" w14:textId="77777777" w:rsidR="00FF13CF" w:rsidRPr="007074ED" w:rsidRDefault="00FF13CF" w:rsidP="00577A4C">
            <w:pPr>
              <w:pStyle w:val="TableBody"/>
              <w:keepNext/>
              <w:keepLines/>
              <w:spacing w:before="120" w:after="120"/>
            </w:pPr>
            <w:r>
              <w:t xml:space="preserve">BU7K, BU7L, BU7O, BU7P, BU8E, BU8F, BU8G, BU8I, BU8J, BU8K, BU8L, BU8M, BU8N, BU8O, BU8P, BV2A, BV2B </w:t>
            </w:r>
          </w:p>
        </w:tc>
      </w:tr>
      <w:tr w:rsidR="00FF13CF" w:rsidRPr="007074ED" w14:paraId="23E78D1C" w14:textId="77777777" w:rsidTr="00577A4C">
        <w:trPr>
          <w:cantSplit/>
        </w:trPr>
        <w:tc>
          <w:tcPr>
            <w:tcW w:w="1460" w:type="dxa"/>
          </w:tcPr>
          <w:p w14:paraId="7076706F" w14:textId="77777777" w:rsidR="00FF13CF" w:rsidRPr="007074ED" w:rsidRDefault="00FF13CF" w:rsidP="00577A4C">
            <w:pPr>
              <w:pStyle w:val="TableBody"/>
              <w:keepNext/>
              <w:keepLines/>
              <w:spacing w:before="120" w:after="120"/>
            </w:pPr>
            <w:r>
              <w:t>Tidbinbilla</w:t>
            </w:r>
          </w:p>
        </w:tc>
        <w:tc>
          <w:tcPr>
            <w:tcW w:w="7087" w:type="dxa"/>
            <w:vAlign w:val="center"/>
          </w:tcPr>
          <w:p w14:paraId="0AC4330F" w14:textId="77777777" w:rsidR="00FF13CF" w:rsidRPr="007074ED" w:rsidRDefault="00FF13CF" w:rsidP="00577A4C">
            <w:pPr>
              <w:pStyle w:val="TableBody"/>
              <w:keepNext/>
              <w:keepLines/>
              <w:spacing w:before="120" w:after="120"/>
            </w:pPr>
            <w:r>
              <w:t>MW4H1, MW4H2, MW4H4, MW4H5, MW4H6, MW4H7, MW4H8, MW4D7, MW4L2</w:t>
            </w:r>
          </w:p>
        </w:tc>
      </w:tr>
    </w:tbl>
    <w:p w14:paraId="051D29AA" w14:textId="77777777" w:rsidR="00FF13CF" w:rsidRPr="004B08E4" w:rsidRDefault="00FF13CF" w:rsidP="00FF13CF"/>
    <w:p w14:paraId="4AD424F7" w14:textId="77777777" w:rsidR="00FF13CF" w:rsidRDefault="00FF13CF" w:rsidP="00FF13CF">
      <w:pPr>
        <w:pStyle w:val="Heading3"/>
      </w:pPr>
      <w:bookmarkStart w:id="211" w:name="_Ref20989312"/>
      <w:bookmarkStart w:id="212" w:name="_Toc94773072"/>
      <w:r>
        <w:t xml:space="preserve">Channel </w:t>
      </w:r>
      <w:r w:rsidRPr="00914383">
        <w:t>raster</w:t>
      </w:r>
      <w:bookmarkEnd w:id="210"/>
      <w:bookmarkEnd w:id="211"/>
      <w:bookmarkEnd w:id="212"/>
    </w:p>
    <w:p w14:paraId="479AF923" w14:textId="77777777" w:rsidR="00FF13CF" w:rsidRDefault="00FF13CF" w:rsidP="00FF13CF">
      <w:r>
        <w:t xml:space="preserve">Channelling arrangements in 26/28 GHz bands provide for a total of 96 x 50 MHz channels across the frequency range 24.7-29.5 GHz. The upper and </w:t>
      </w:r>
      <w:r>
        <w:lastRenderedPageBreak/>
        <w:t>lower frequency limits of the 50 MHz channels are calculated using the following formula:</w:t>
      </w:r>
    </w:p>
    <w:p w14:paraId="1F5492A7" w14:textId="77777777" w:rsidR="00FF13CF" w:rsidRDefault="00FF13CF" w:rsidP="00FF13CF">
      <w:r>
        <w:t>Lower frequency limit = [24.65 + n(0.05)] MHz</w:t>
      </w:r>
    </w:p>
    <w:p w14:paraId="0A8AC978" w14:textId="77777777" w:rsidR="00FF13CF" w:rsidRDefault="00FF13CF" w:rsidP="00FF13CF">
      <w:r>
        <w:t>Upper frequency limit = [24.7 + n(0.05)] MHz</w:t>
      </w:r>
    </w:p>
    <w:p w14:paraId="095FA7EF" w14:textId="77777777" w:rsidR="00FF13CF" w:rsidRDefault="00FF13CF" w:rsidP="00FF13CF">
      <w:r>
        <w:t>Where:</w:t>
      </w:r>
    </w:p>
    <w:p w14:paraId="35BA3D2A" w14:textId="77777777" w:rsidR="00FF13CF" w:rsidRDefault="00FF13CF" w:rsidP="00FF13CF">
      <w:r>
        <w:tab/>
        <w:t>n = channel number (integer range is between 1 to 96).</w:t>
      </w:r>
    </w:p>
    <w:p w14:paraId="44C936B8" w14:textId="77777777" w:rsidR="00FF13CF" w:rsidRPr="006A68FA" w:rsidRDefault="00FF13CF" w:rsidP="00FF13CF">
      <w:r>
        <w:t>A licence can be issued which authorises operation over multiple aggregated 50 MHz channels.</w:t>
      </w:r>
    </w:p>
    <w:p w14:paraId="76450F1A" w14:textId="77777777" w:rsidR="00FF13CF" w:rsidRDefault="00FF13CF" w:rsidP="00FF13CF">
      <w:pPr>
        <w:pStyle w:val="Heading3"/>
      </w:pPr>
      <w:bookmarkStart w:id="213" w:name="_Ref46736588"/>
      <w:bookmarkStart w:id="214" w:name="_Ref46823765"/>
      <w:bookmarkStart w:id="215" w:name="_Toc94773073"/>
      <w:r>
        <w:t>Assignment priority</w:t>
      </w:r>
      <w:bookmarkEnd w:id="213"/>
      <w:bookmarkEnd w:id="214"/>
      <w:bookmarkEnd w:id="215"/>
    </w:p>
    <w:p w14:paraId="5261459D" w14:textId="6B37BAFE" w:rsidR="00FF13CF" w:rsidRDefault="00E300E7" w:rsidP="00FF13CF">
      <w:pPr>
        <w:spacing w:after="120"/>
      </w:pPr>
      <w:r>
        <w:t>T</w:t>
      </w:r>
      <w:r w:rsidR="00FF13CF">
        <w:t xml:space="preserve">he </w:t>
      </w:r>
      <w:r>
        <w:t xml:space="preserve">ACMA’s standard operating practice will be to assign a </w:t>
      </w:r>
      <w:r w:rsidR="00FF13CF">
        <w:t>frequency range to a licence</w:t>
      </w:r>
      <w:r>
        <w:t xml:space="preserve"> so that the range </w:t>
      </w:r>
      <w:r w:rsidR="00FF13CF">
        <w:t>either:</w:t>
      </w:r>
    </w:p>
    <w:p w14:paraId="78B88AE6" w14:textId="73597815" w:rsidR="00FF13CF" w:rsidRDefault="00FF13CF" w:rsidP="00FF13CF">
      <w:pPr>
        <w:pStyle w:val="ListBullet"/>
      </w:pPr>
      <w:r>
        <w:t>align</w:t>
      </w:r>
      <w:r w:rsidR="00E300E7">
        <w:t>s</w:t>
      </w:r>
      <w:r>
        <w:t xml:space="preserve"> with any existing 26/28 GHz band licences held by the licensee (either apparatus or spectrum) in a directly or near-adjacent geographic area, if that frequency range is available; or</w:t>
      </w:r>
    </w:p>
    <w:p w14:paraId="5AB584DA" w14:textId="2A1EF412" w:rsidR="00FF13CF" w:rsidRDefault="00FF13CF" w:rsidP="00FF13CF">
      <w:pPr>
        <w:pStyle w:val="ListBullet"/>
        <w:spacing w:after="240"/>
      </w:pPr>
      <w:r>
        <w:t>if the licensee does not already hold licences in the 26/28 GHz bands,</w:t>
      </w:r>
      <w:r w:rsidR="00E300E7">
        <w:t xml:space="preserve"> is</w:t>
      </w:r>
      <w:r>
        <w:t xml:space="preserve"> the first frequency range available in the desired geographic area following the assignment priority in Table </w:t>
      </w:r>
      <w:r w:rsidR="003918D4">
        <w:t>3</w:t>
      </w:r>
      <w:r>
        <w:t xml:space="preserve">. Where possible, this should avoid the 25.1-27.5 GHz range unless alternative spectrum is either unavailable or unsuitable. </w:t>
      </w:r>
    </w:p>
    <w:p w14:paraId="00B67D3C" w14:textId="0086108A" w:rsidR="00FF13CF" w:rsidRDefault="00FF13CF" w:rsidP="00FF13CF">
      <w:pPr>
        <w:pStyle w:val="ListBullet"/>
        <w:numPr>
          <w:ilvl w:val="0"/>
          <w:numId w:val="0"/>
        </w:numPr>
      </w:pPr>
      <w:r>
        <w:t xml:space="preserve">Other than the specific measures set out in the above dot points, the frequency ranges in Table </w:t>
      </w:r>
      <w:r w:rsidR="003918D4">
        <w:t>3</w:t>
      </w:r>
      <w:r>
        <w:t xml:space="preserve"> have equal priority (</w:t>
      </w:r>
      <w:proofErr w:type="gramStart"/>
      <w:r>
        <w:t>i.e.</w:t>
      </w:r>
      <w:proofErr w:type="gramEnd"/>
      <w:r>
        <w:t xml:space="preserve"> a licence may be assigned in the frequency segment of the licensee preference).</w:t>
      </w:r>
    </w:p>
    <w:p w14:paraId="73EF18B2" w14:textId="60AC8540" w:rsidR="00FF13CF" w:rsidRDefault="00FF13CF" w:rsidP="00FF13CF">
      <w:pPr>
        <w:pStyle w:val="ListBullet"/>
        <w:numPr>
          <w:ilvl w:val="0"/>
          <w:numId w:val="0"/>
        </w:numPr>
        <w:spacing w:after="240"/>
      </w:pPr>
      <w:r w:rsidRPr="00153810">
        <w:rPr>
          <w:bCs/>
        </w:rPr>
        <w:t>The assig</w:t>
      </w:r>
      <w:r w:rsidRPr="00DD3204">
        <w:rPr>
          <w:bCs/>
        </w:rPr>
        <w:t xml:space="preserve">nment priority in Table </w:t>
      </w:r>
      <w:r w:rsidR="003918D4">
        <w:rPr>
          <w:bCs/>
        </w:rPr>
        <w:t>3</w:t>
      </w:r>
      <w:r w:rsidRPr="00DD3204">
        <w:rPr>
          <w:bCs/>
        </w:rPr>
        <w:t xml:space="preserve"> does not apply for </w:t>
      </w:r>
      <w:r>
        <w:t>FSS-only AWLs which authorise operation in the frequency range 27-27.5 GHz.</w:t>
      </w:r>
    </w:p>
    <w:p w14:paraId="369363D2" w14:textId="77777777" w:rsidR="00FF13CF" w:rsidRDefault="00FF13CF" w:rsidP="00FF13CF">
      <w:pPr>
        <w:pStyle w:val="ACMATableHeader"/>
      </w:pPr>
      <w:r>
        <w:t>Assignment priority</w:t>
      </w:r>
    </w:p>
    <w:tbl>
      <w:tblPr>
        <w:tblStyle w:val="TableGrid"/>
        <w:tblW w:w="0" w:type="auto"/>
        <w:tblInd w:w="295" w:type="dxa"/>
        <w:tblLook w:val="04A0" w:firstRow="1" w:lastRow="0" w:firstColumn="1" w:lastColumn="0" w:noHBand="0" w:noVBand="1"/>
      </w:tblPr>
      <w:tblGrid>
        <w:gridCol w:w="3679"/>
        <w:gridCol w:w="3687"/>
      </w:tblGrid>
      <w:tr w:rsidR="00FF13CF" w14:paraId="2F4B5E27" w14:textId="77777777" w:rsidTr="00577A4C">
        <w:tc>
          <w:tcPr>
            <w:tcW w:w="3679" w:type="dxa"/>
          </w:tcPr>
          <w:p w14:paraId="4F6937BE" w14:textId="77777777" w:rsidR="00FF13CF" w:rsidRPr="00247A96" w:rsidRDefault="00FF13CF" w:rsidP="00577A4C">
            <w:pPr>
              <w:pStyle w:val="ListBullet"/>
              <w:numPr>
                <w:ilvl w:val="0"/>
                <w:numId w:val="0"/>
              </w:numPr>
              <w:rPr>
                <w:b/>
                <w:bCs/>
              </w:rPr>
            </w:pPr>
            <w:r w:rsidRPr="00247A96">
              <w:rPr>
                <w:b/>
                <w:bCs/>
              </w:rPr>
              <w:t>Frequency range (GHz)</w:t>
            </w:r>
          </w:p>
        </w:tc>
        <w:tc>
          <w:tcPr>
            <w:tcW w:w="3687" w:type="dxa"/>
          </w:tcPr>
          <w:p w14:paraId="128C66AB" w14:textId="77777777" w:rsidR="00FF13CF" w:rsidRPr="00247A96" w:rsidRDefault="00FF13CF" w:rsidP="00577A4C">
            <w:pPr>
              <w:pStyle w:val="ListBullet"/>
              <w:numPr>
                <w:ilvl w:val="0"/>
                <w:numId w:val="0"/>
              </w:numPr>
              <w:rPr>
                <w:b/>
                <w:bCs/>
              </w:rPr>
            </w:pPr>
            <w:r w:rsidRPr="00247A96">
              <w:rPr>
                <w:b/>
                <w:bCs/>
              </w:rPr>
              <w:t>Channel assignment direction</w:t>
            </w:r>
          </w:p>
        </w:tc>
      </w:tr>
      <w:tr w:rsidR="00FF13CF" w14:paraId="2C4A4256" w14:textId="77777777" w:rsidTr="00577A4C">
        <w:tc>
          <w:tcPr>
            <w:tcW w:w="3679" w:type="dxa"/>
          </w:tcPr>
          <w:p w14:paraId="7967C233" w14:textId="77777777" w:rsidR="00FF13CF" w:rsidRDefault="00FF13CF" w:rsidP="00577A4C">
            <w:pPr>
              <w:pStyle w:val="ListBullet"/>
              <w:numPr>
                <w:ilvl w:val="0"/>
                <w:numId w:val="0"/>
              </w:numPr>
            </w:pPr>
            <w:r>
              <w:t>24.7-25.1</w:t>
            </w:r>
          </w:p>
        </w:tc>
        <w:tc>
          <w:tcPr>
            <w:tcW w:w="3687" w:type="dxa"/>
          </w:tcPr>
          <w:p w14:paraId="1C921C09" w14:textId="77777777" w:rsidR="00FF13CF" w:rsidRDefault="00FF13CF" w:rsidP="00577A4C">
            <w:pPr>
              <w:pStyle w:val="ListBullet"/>
              <w:numPr>
                <w:ilvl w:val="0"/>
                <w:numId w:val="0"/>
              </w:numPr>
            </w:pPr>
            <w:r>
              <w:t>Descending order</w:t>
            </w:r>
          </w:p>
        </w:tc>
      </w:tr>
      <w:tr w:rsidR="00FF13CF" w14:paraId="0F8AA94A" w14:textId="77777777" w:rsidTr="00577A4C">
        <w:tc>
          <w:tcPr>
            <w:tcW w:w="3679" w:type="dxa"/>
          </w:tcPr>
          <w:p w14:paraId="37DFB881" w14:textId="77777777" w:rsidR="00FF13CF" w:rsidRDefault="00FF13CF" w:rsidP="00577A4C">
            <w:pPr>
              <w:pStyle w:val="ListBullet"/>
              <w:numPr>
                <w:ilvl w:val="0"/>
                <w:numId w:val="0"/>
              </w:numPr>
            </w:pPr>
            <w:r>
              <w:t>25.1-27.5</w:t>
            </w:r>
          </w:p>
        </w:tc>
        <w:tc>
          <w:tcPr>
            <w:tcW w:w="3687" w:type="dxa"/>
          </w:tcPr>
          <w:p w14:paraId="1CB60FD9" w14:textId="77777777" w:rsidR="00FF13CF" w:rsidRDefault="00FF13CF" w:rsidP="00577A4C">
            <w:pPr>
              <w:pStyle w:val="ListBullet"/>
              <w:numPr>
                <w:ilvl w:val="0"/>
                <w:numId w:val="0"/>
              </w:numPr>
            </w:pPr>
            <w:r>
              <w:t>Ascending order</w:t>
            </w:r>
          </w:p>
        </w:tc>
      </w:tr>
      <w:tr w:rsidR="00FF13CF" w14:paraId="06C8D6AC" w14:textId="77777777" w:rsidTr="00577A4C">
        <w:tc>
          <w:tcPr>
            <w:tcW w:w="3679" w:type="dxa"/>
            <w:vMerge w:val="restart"/>
          </w:tcPr>
          <w:p w14:paraId="558D2ADD" w14:textId="77777777" w:rsidR="00FF13CF" w:rsidRDefault="00FF13CF" w:rsidP="00577A4C">
            <w:pPr>
              <w:pStyle w:val="ListBullet"/>
              <w:numPr>
                <w:ilvl w:val="0"/>
                <w:numId w:val="0"/>
              </w:numPr>
            </w:pPr>
            <w:r>
              <w:t>27.5-30 (operation in 29.5-30 GHz limited to earth stations only)</w:t>
            </w:r>
          </w:p>
        </w:tc>
        <w:tc>
          <w:tcPr>
            <w:tcW w:w="3687" w:type="dxa"/>
          </w:tcPr>
          <w:p w14:paraId="23B235DB" w14:textId="5580D5B8" w:rsidR="00FF13CF" w:rsidRDefault="00FF13CF" w:rsidP="00577A4C">
            <w:pPr>
              <w:pStyle w:val="ListBullet"/>
              <w:numPr>
                <w:ilvl w:val="0"/>
                <w:numId w:val="0"/>
              </w:numPr>
            </w:pPr>
            <w:r>
              <w:t>Ascending order for standard-AWLs</w:t>
            </w:r>
          </w:p>
        </w:tc>
      </w:tr>
      <w:tr w:rsidR="00FF13CF" w14:paraId="5468AECA" w14:textId="77777777" w:rsidTr="00577A4C">
        <w:tc>
          <w:tcPr>
            <w:tcW w:w="3679" w:type="dxa"/>
            <w:vMerge/>
          </w:tcPr>
          <w:p w14:paraId="61E03C3B" w14:textId="77777777" w:rsidR="00FF13CF" w:rsidRDefault="00FF13CF" w:rsidP="00577A4C">
            <w:pPr>
              <w:pStyle w:val="ListBullet"/>
              <w:numPr>
                <w:ilvl w:val="0"/>
                <w:numId w:val="0"/>
              </w:numPr>
            </w:pPr>
          </w:p>
        </w:tc>
        <w:tc>
          <w:tcPr>
            <w:tcW w:w="3687" w:type="dxa"/>
          </w:tcPr>
          <w:p w14:paraId="727382AA" w14:textId="4A93DC25" w:rsidR="00FF13CF" w:rsidRDefault="00FF13CF" w:rsidP="00577A4C">
            <w:pPr>
              <w:pStyle w:val="ListBullet"/>
              <w:numPr>
                <w:ilvl w:val="0"/>
                <w:numId w:val="0"/>
              </w:numPr>
            </w:pPr>
            <w:r>
              <w:t>Descending order for FSS-only AWLs</w:t>
            </w:r>
          </w:p>
        </w:tc>
      </w:tr>
    </w:tbl>
    <w:p w14:paraId="4F065F1D" w14:textId="6044D458" w:rsidR="00FF13CF" w:rsidRDefault="00FF13CF" w:rsidP="00FF13CF">
      <w:bookmarkStart w:id="216" w:name="_Ref19623100"/>
      <w:bookmarkStart w:id="217" w:name="_Ref46219184"/>
    </w:p>
    <w:p w14:paraId="32AF9F04" w14:textId="77777777" w:rsidR="00CA1126" w:rsidRPr="00977ED9" w:rsidRDefault="00CA1126" w:rsidP="00CA1126">
      <w:pPr>
        <w:pStyle w:val="Heading3"/>
      </w:pPr>
      <w:bookmarkStart w:id="218" w:name="_Ref52367438"/>
      <w:bookmarkStart w:id="219" w:name="_Ref83204172"/>
      <w:bookmarkStart w:id="220" w:name="_Toc94773074"/>
      <w:r w:rsidRPr="00977ED9">
        <w:t xml:space="preserve">FSS-only </w:t>
      </w:r>
      <w:r>
        <w:t xml:space="preserve">licence </w:t>
      </w:r>
      <w:r w:rsidRPr="00977ED9">
        <w:t>condition</w:t>
      </w:r>
      <w:bookmarkEnd w:id="218"/>
      <w:bookmarkEnd w:id="219"/>
      <w:bookmarkEnd w:id="220"/>
    </w:p>
    <w:p w14:paraId="16742908" w14:textId="3A0AADA6" w:rsidR="00CA1126" w:rsidRDefault="00CA1126" w:rsidP="00CA1126">
      <w:r>
        <w:t xml:space="preserve">FSS-only AWLs will contain the ‘FSS-only licence condition’ detailed below. FSS-only AWLs will be able to overlap, or be overlapped, in frequency and </w:t>
      </w:r>
      <w:r>
        <w:lastRenderedPageBreak/>
        <w:t>area by other AWLs (</w:t>
      </w:r>
      <w:r w:rsidR="00285717">
        <w:t xml:space="preserve">also </w:t>
      </w:r>
      <w:r>
        <w:t xml:space="preserve">see section </w:t>
      </w:r>
      <w:r w:rsidR="00490ABA">
        <w:fldChar w:fldCharType="begin"/>
      </w:r>
      <w:r w:rsidR="00490ABA">
        <w:instrText xml:space="preserve"> REF _Ref22126455 \r \h </w:instrText>
      </w:r>
      <w:r w:rsidR="00490ABA">
        <w:fldChar w:fldCharType="separate"/>
      </w:r>
      <w:r w:rsidR="009E3A92">
        <w:t>2.3.1</w:t>
      </w:r>
      <w:r w:rsidR="00490ABA">
        <w:fldChar w:fldCharType="end"/>
      </w:r>
      <w:r w:rsidR="00285717">
        <w:t xml:space="preserve"> and </w:t>
      </w:r>
      <w:r w:rsidR="00321D2E">
        <w:t>Appendix B</w:t>
      </w:r>
      <w:r>
        <w:t>).</w:t>
      </w:r>
      <w:r w:rsidR="00367AC2">
        <w:t xml:space="preserve"> This condition is included on all FSS-only AWLs in the 26/28 GHz bands</w:t>
      </w:r>
      <w:r w:rsidR="006C63F1">
        <w:t xml:space="preserve"> at licence issu</w:t>
      </w:r>
      <w:r w:rsidR="001A1BED">
        <w:t>e</w:t>
      </w:r>
      <w:r w:rsidR="00367AC2">
        <w:t>.</w:t>
      </w:r>
      <w:r w:rsidR="001A1BED">
        <w:rPr>
          <w:rStyle w:val="FootnoteReference"/>
        </w:rPr>
        <w:footnoteReference w:id="9"/>
      </w:r>
    </w:p>
    <w:p w14:paraId="0156E3D0" w14:textId="77777777" w:rsidR="00CA1126" w:rsidRDefault="00CA1126" w:rsidP="00CA1126">
      <w:pPr>
        <w:spacing w:after="120"/>
        <w:ind w:left="284"/>
        <w:rPr>
          <w:i/>
          <w:iCs/>
        </w:rPr>
      </w:pPr>
      <w:r>
        <w:rPr>
          <w:i/>
          <w:iCs/>
        </w:rPr>
        <w:t xml:space="preserve">(1) The licensee must not operate a radiocommunications device under this licence that is not an earth station. </w:t>
      </w:r>
    </w:p>
    <w:p w14:paraId="7D6E561C" w14:textId="1A82CDD8" w:rsidR="00CA1126" w:rsidRDefault="00CA1126" w:rsidP="00CA1126">
      <w:pPr>
        <w:spacing w:after="120"/>
        <w:ind w:left="284"/>
        <w:rPr>
          <w:i/>
          <w:iCs/>
        </w:rPr>
      </w:pPr>
      <w:r>
        <w:rPr>
          <w:i/>
          <w:iCs/>
        </w:rPr>
        <w:t xml:space="preserve">(2) The licensee must not cause harmful interference to an existing or future radiocommunications receiver communicating with a transmitter operated under another area-wide licence (termed “the other licence” for these purposes) which was first issued before this licence and authorises operation in a frequency range and geographic area which is also authorised by this licence, if that </w:t>
      </w:r>
      <w:r w:rsidRPr="002A5E33">
        <w:rPr>
          <w:i/>
          <w:iCs/>
        </w:rPr>
        <w:t xml:space="preserve">receiver is located within </w:t>
      </w:r>
      <w:r w:rsidRPr="00977ED9">
        <w:rPr>
          <w:i/>
          <w:iCs/>
        </w:rPr>
        <w:t>an area authorised by the other licence</w:t>
      </w:r>
      <w:r w:rsidRPr="002A5E33">
        <w:rPr>
          <w:i/>
          <w:iCs/>
        </w:rPr>
        <w:t xml:space="preserve"> and is operating in the frequency</w:t>
      </w:r>
      <w:r>
        <w:rPr>
          <w:i/>
          <w:iCs/>
        </w:rPr>
        <w:t xml:space="preserve"> range:</w:t>
      </w:r>
    </w:p>
    <w:p w14:paraId="0CEA6F2E" w14:textId="77777777" w:rsidR="00CA1126" w:rsidRDefault="00CA1126" w:rsidP="00CA1126">
      <w:pPr>
        <w:pStyle w:val="ListParagraph"/>
        <w:numPr>
          <w:ilvl w:val="0"/>
          <w:numId w:val="46"/>
        </w:numPr>
        <w:rPr>
          <w:i/>
          <w:iCs/>
        </w:rPr>
      </w:pPr>
      <w:r w:rsidRPr="0086367D">
        <w:rPr>
          <w:i/>
          <w:iCs/>
        </w:rPr>
        <w:t>24.7-27.5 GHz</w:t>
      </w:r>
      <w:r>
        <w:rPr>
          <w:i/>
          <w:iCs/>
        </w:rPr>
        <w:t>, or</w:t>
      </w:r>
    </w:p>
    <w:p w14:paraId="18B7F23C" w14:textId="77777777" w:rsidR="00CA1126" w:rsidRDefault="00CA1126" w:rsidP="00CA1126">
      <w:pPr>
        <w:pStyle w:val="ListParagraph"/>
        <w:numPr>
          <w:ilvl w:val="0"/>
          <w:numId w:val="46"/>
        </w:numPr>
        <w:rPr>
          <w:i/>
          <w:iCs/>
        </w:rPr>
      </w:pPr>
      <w:r>
        <w:rPr>
          <w:i/>
          <w:iCs/>
        </w:rPr>
        <w:t xml:space="preserve">27.5-28.1 inside an area subject to the </w:t>
      </w:r>
      <w:hyperlink r:id="rId41" w:history="1">
        <w:r w:rsidRPr="00857E41">
          <w:rPr>
            <w:rStyle w:val="Hyperlink"/>
            <w:i/>
            <w:iCs/>
          </w:rPr>
          <w:t>Radiocommunications (Spectrum Re-allocation—26 GHz band) Declaration 2019</w:t>
        </w:r>
      </w:hyperlink>
    </w:p>
    <w:p w14:paraId="63D495F3" w14:textId="77777777" w:rsidR="00CA1126" w:rsidRPr="00577A4C" w:rsidRDefault="00CA1126" w:rsidP="00CA1126">
      <w:pPr>
        <w:pStyle w:val="ListBullet"/>
        <w:numPr>
          <w:ilvl w:val="0"/>
          <w:numId w:val="0"/>
        </w:numPr>
        <w:ind w:left="284"/>
        <w:rPr>
          <w:i/>
          <w:iCs/>
        </w:rPr>
      </w:pPr>
      <w:r w:rsidRPr="00577A4C">
        <w:rPr>
          <w:i/>
          <w:iCs/>
        </w:rPr>
        <w:t>This applies for interference from:</w:t>
      </w:r>
    </w:p>
    <w:p w14:paraId="6D898748" w14:textId="77777777" w:rsidR="00CA1126" w:rsidRPr="00577A4C" w:rsidRDefault="00CA1126" w:rsidP="00CA1126">
      <w:pPr>
        <w:pStyle w:val="ListParagraph"/>
        <w:numPr>
          <w:ilvl w:val="0"/>
          <w:numId w:val="46"/>
        </w:numPr>
        <w:rPr>
          <w:i/>
          <w:iCs/>
        </w:rPr>
      </w:pPr>
      <w:r w:rsidRPr="00577A4C">
        <w:rPr>
          <w:i/>
          <w:iCs/>
        </w:rPr>
        <w:t>A</w:t>
      </w:r>
      <w:r>
        <w:rPr>
          <w:i/>
          <w:iCs/>
        </w:rPr>
        <w:t xml:space="preserve"> transmitter located</w:t>
      </w:r>
      <w:r w:rsidRPr="00577A4C">
        <w:rPr>
          <w:i/>
          <w:iCs/>
        </w:rPr>
        <w:t xml:space="preserve"> in</w:t>
      </w:r>
      <w:r>
        <w:rPr>
          <w:i/>
          <w:iCs/>
        </w:rPr>
        <w:t>side</w:t>
      </w:r>
      <w:r w:rsidRPr="00577A4C">
        <w:rPr>
          <w:i/>
          <w:iCs/>
        </w:rPr>
        <w:t xml:space="preserve"> the overlapped area to:</w:t>
      </w:r>
    </w:p>
    <w:p w14:paraId="5017C699" w14:textId="77777777" w:rsidR="00CA1126" w:rsidRPr="00577A4C" w:rsidRDefault="00CA1126" w:rsidP="00CA1126">
      <w:pPr>
        <w:pStyle w:val="ListParagraph"/>
        <w:numPr>
          <w:ilvl w:val="1"/>
          <w:numId w:val="46"/>
        </w:numPr>
        <w:rPr>
          <w:i/>
          <w:iCs/>
        </w:rPr>
      </w:pPr>
      <w:r w:rsidRPr="00577A4C">
        <w:rPr>
          <w:i/>
          <w:iCs/>
        </w:rPr>
        <w:t xml:space="preserve">A co-channel receiver located </w:t>
      </w:r>
      <w:r>
        <w:rPr>
          <w:i/>
          <w:iCs/>
        </w:rPr>
        <w:t xml:space="preserve">inside or </w:t>
      </w:r>
      <w:r w:rsidRPr="00577A4C">
        <w:rPr>
          <w:i/>
          <w:iCs/>
        </w:rPr>
        <w:t>outside the overlapped area.</w:t>
      </w:r>
    </w:p>
    <w:p w14:paraId="3B2AB5B9" w14:textId="77777777" w:rsidR="00CA1126" w:rsidRPr="00577A4C" w:rsidRDefault="00CA1126" w:rsidP="00CA1126">
      <w:pPr>
        <w:pStyle w:val="ListParagraph"/>
        <w:numPr>
          <w:ilvl w:val="1"/>
          <w:numId w:val="46"/>
        </w:numPr>
        <w:rPr>
          <w:i/>
          <w:iCs/>
        </w:rPr>
      </w:pPr>
      <w:r w:rsidRPr="00577A4C">
        <w:rPr>
          <w:i/>
          <w:iCs/>
        </w:rPr>
        <w:t>An adjacent-channel receiver located in</w:t>
      </w:r>
      <w:r>
        <w:rPr>
          <w:i/>
          <w:iCs/>
        </w:rPr>
        <w:t>side</w:t>
      </w:r>
      <w:r w:rsidRPr="00577A4C">
        <w:rPr>
          <w:i/>
          <w:iCs/>
        </w:rPr>
        <w:t xml:space="preserve"> the overlapped area</w:t>
      </w:r>
      <w:r>
        <w:rPr>
          <w:i/>
          <w:iCs/>
        </w:rPr>
        <w:t>.</w:t>
      </w:r>
    </w:p>
    <w:p w14:paraId="708A4163" w14:textId="77777777" w:rsidR="00CA1126" w:rsidRPr="00577A4C" w:rsidRDefault="00CA1126" w:rsidP="00CA1126">
      <w:pPr>
        <w:pStyle w:val="ListParagraph"/>
        <w:numPr>
          <w:ilvl w:val="0"/>
          <w:numId w:val="46"/>
        </w:numPr>
        <w:rPr>
          <w:i/>
          <w:iCs/>
        </w:rPr>
      </w:pPr>
      <w:r w:rsidRPr="00577A4C">
        <w:rPr>
          <w:i/>
          <w:iCs/>
        </w:rPr>
        <w:t>A</w:t>
      </w:r>
      <w:r>
        <w:rPr>
          <w:i/>
          <w:iCs/>
        </w:rPr>
        <w:t xml:space="preserve"> transmitter</w:t>
      </w:r>
      <w:r w:rsidRPr="00577A4C">
        <w:rPr>
          <w:i/>
          <w:iCs/>
        </w:rPr>
        <w:t xml:space="preserve"> located outside the overlapped area to a co-channel receiver located in</w:t>
      </w:r>
      <w:r>
        <w:rPr>
          <w:i/>
          <w:iCs/>
        </w:rPr>
        <w:t>side</w:t>
      </w:r>
      <w:r w:rsidRPr="00577A4C">
        <w:rPr>
          <w:i/>
          <w:iCs/>
        </w:rPr>
        <w:t xml:space="preserve"> the overlapped area</w:t>
      </w:r>
      <w:r>
        <w:rPr>
          <w:i/>
          <w:iCs/>
        </w:rPr>
        <w:t>.</w:t>
      </w:r>
    </w:p>
    <w:p w14:paraId="02FB623D" w14:textId="77777777" w:rsidR="00CA1126" w:rsidRDefault="00CA1126" w:rsidP="00103034">
      <w:pPr>
        <w:ind w:left="284"/>
        <w:rPr>
          <w:i/>
          <w:iCs/>
        </w:rPr>
      </w:pPr>
      <w:bookmarkStart w:id="221" w:name="_Hlk83640363"/>
      <w:r>
        <w:rPr>
          <w:i/>
          <w:iCs/>
        </w:rPr>
        <w:t>Overlapped area means the geographic area in which both this licence and the other licence authorise the operation of transmitters in the same frequency range.</w:t>
      </w:r>
    </w:p>
    <w:p w14:paraId="427BAC4F" w14:textId="18F6B160" w:rsidR="00FF13CF" w:rsidRDefault="00232719" w:rsidP="00CD5760">
      <w:pPr>
        <w:pStyle w:val="Heading2"/>
      </w:pPr>
      <w:bookmarkStart w:id="222" w:name="_Toc92369049"/>
      <w:bookmarkStart w:id="223" w:name="_Toc94773075"/>
      <w:bookmarkEnd w:id="221"/>
      <w:bookmarkEnd w:id="222"/>
      <w:r>
        <w:t>Coexistence arrangements and a</w:t>
      </w:r>
      <w:bookmarkStart w:id="224" w:name="_Ref47005093"/>
      <w:bookmarkStart w:id="225" w:name="_Ref83204140"/>
      <w:r w:rsidR="00FF13CF">
        <w:t>dvisory notes</w:t>
      </w:r>
      <w:bookmarkEnd w:id="216"/>
      <w:bookmarkEnd w:id="217"/>
      <w:bookmarkEnd w:id="223"/>
      <w:bookmarkEnd w:id="224"/>
      <w:bookmarkEnd w:id="225"/>
    </w:p>
    <w:p w14:paraId="1D8E2533" w14:textId="012025AC" w:rsidR="00FF13CF" w:rsidRDefault="0050426B" w:rsidP="00FF13CF">
      <w:r>
        <w:t>Advisory notes are used to codify the coexistence arrangements between devices in particular scenarios. This section outlines these coexistence arrangements and describes the</w:t>
      </w:r>
      <w:r w:rsidR="00516EEB">
        <w:t xml:space="preserve"> relevant</w:t>
      </w:r>
      <w:r>
        <w:t xml:space="preserve"> advisory notes</w:t>
      </w:r>
      <w:r w:rsidR="00367AC2">
        <w:t>. All advisory notes detailed in this section</w:t>
      </w:r>
      <w:r w:rsidR="00516EEB">
        <w:t xml:space="preserve"> are included</w:t>
      </w:r>
      <w:r>
        <w:t xml:space="preserve"> </w:t>
      </w:r>
      <w:r w:rsidR="00FF13CF">
        <w:t>on all standard-AWLs in the 26/28 GHz bands</w:t>
      </w:r>
      <w:r w:rsidR="006C63F1">
        <w:t xml:space="preserve"> at licence issue</w:t>
      </w:r>
      <w:r w:rsidR="00FF13CF">
        <w:t>.</w:t>
      </w:r>
      <w:r w:rsidR="001A1BED">
        <w:rPr>
          <w:rStyle w:val="FootnoteReference"/>
        </w:rPr>
        <w:footnoteReference w:id="10"/>
      </w:r>
    </w:p>
    <w:p w14:paraId="4C8AB03A" w14:textId="04A1017A" w:rsidR="00400265" w:rsidRDefault="00400265" w:rsidP="00400265">
      <w:pPr>
        <w:pStyle w:val="Heading3"/>
      </w:pPr>
      <w:bookmarkStart w:id="226" w:name="_Toc94773076"/>
      <w:r>
        <w:t>Coexistence with existing earth stations</w:t>
      </w:r>
      <w:bookmarkEnd w:id="226"/>
    </w:p>
    <w:p w14:paraId="2FC25307" w14:textId="313FC6FE" w:rsidR="00400265" w:rsidRDefault="00400265" w:rsidP="00400265">
      <w:r>
        <w:t>The potential for interference from earth stations to AWL receivers will depend on a number of factors, in particular the earth station transmit power and unwanted emission limits, geographical separation between the earth station and AWL receivers and any antenna discrimination.</w:t>
      </w:r>
    </w:p>
    <w:p w14:paraId="27DC253D" w14:textId="534C1A5F" w:rsidR="00400265" w:rsidRDefault="00400265" w:rsidP="00400265">
      <w:r>
        <w:t>Given that apparatus licensed earth stations</w:t>
      </w:r>
      <w:r w:rsidR="001415E5">
        <w:t xml:space="preserve"> </w:t>
      </w:r>
      <w:r>
        <w:t xml:space="preserve">operate at known (registered) locations, and that the interference potential will likely be limited to only short distances from the site, the onus is on other </w:t>
      </w:r>
      <w:r>
        <w:rPr>
          <w:rFonts w:cs="Arial"/>
        </w:rPr>
        <w:t xml:space="preserve">AWL </w:t>
      </w:r>
      <w:r>
        <w:t xml:space="preserve">licensees to ensure their devices do not receive harmful interference from existing registered earth </w:t>
      </w:r>
      <w:r>
        <w:lastRenderedPageBreak/>
        <w:t>stations. No protection will be afforded to AWL receivers from interference caused by an existing FSS earth station licensed under an AWL or a fixed earth apparatus licence (</w:t>
      </w:r>
      <w:proofErr w:type="gramStart"/>
      <w:r>
        <w:t>i.e.</w:t>
      </w:r>
      <w:proofErr w:type="gramEnd"/>
      <w:r>
        <w:t xml:space="preserve"> where an earth station which was licensed and had its device details recorded in the RRL before the AWL receiver had its details recorded in the RRL) – the exception is when AWLs are overlapping in frequency and area, see </w:t>
      </w:r>
      <w:r w:rsidR="009908CD">
        <w:t>Appendix B</w:t>
      </w:r>
      <w:r>
        <w:t xml:space="preserve">. Where an earth station was originally authorised using a fixed earth licence but was subsequently authorised using an AWL, the date that the earth station was first licensed would apply. </w:t>
      </w:r>
    </w:p>
    <w:p w14:paraId="027943AF" w14:textId="47EE5D28" w:rsidR="008C5676" w:rsidRDefault="008C5676" w:rsidP="00400265">
      <w:r>
        <w:t xml:space="preserve">AWL licensees </w:t>
      </w:r>
      <w:r w:rsidRPr="00E31B8E">
        <w:t>should take account of the</w:t>
      </w:r>
      <w:r w:rsidR="00104F92">
        <w:t>se</w:t>
      </w:r>
      <w:r w:rsidRPr="00E31B8E">
        <w:t xml:space="preserve"> arrangements and plan their services accordingly.</w:t>
      </w:r>
      <w:r>
        <w:t xml:space="preserve"> </w:t>
      </w:r>
    </w:p>
    <w:p w14:paraId="76C1BA10" w14:textId="7862D459" w:rsidR="00400265" w:rsidRPr="00400265" w:rsidRDefault="00400265" w:rsidP="00400265">
      <w:r>
        <w:t xml:space="preserve">The following advisory </w:t>
      </w:r>
      <w:r w:rsidRPr="00E31B8E">
        <w:t xml:space="preserve">note is included on </w:t>
      </w:r>
      <w:r>
        <w:t>standard-</w:t>
      </w:r>
      <w:r w:rsidRPr="00E31B8E">
        <w:rPr>
          <w:rFonts w:cs="Arial"/>
        </w:rPr>
        <w:t>AWLs</w:t>
      </w:r>
      <w:r w:rsidRPr="00E31B8E">
        <w:t xml:space="preserve"> issued in the 26/28 GHz bands</w:t>
      </w:r>
      <w:r>
        <w:t>:</w:t>
      </w:r>
    </w:p>
    <w:p w14:paraId="7135C87A" w14:textId="77777777" w:rsidR="00FF13CF" w:rsidRPr="00103034" w:rsidRDefault="00FF13CF" w:rsidP="00FF13CF">
      <w:pPr>
        <w:pStyle w:val="paragraph0"/>
        <w:spacing w:before="0" w:beforeAutospacing="0" w:after="0" w:afterAutospacing="0"/>
        <w:textAlignment w:val="baseline"/>
        <w:rPr>
          <w:rFonts w:ascii="Segoe UI" w:hAnsi="Segoe UI" w:cs="Segoe UI"/>
          <w:i/>
          <w:iCs/>
          <w:color w:val="000000" w:themeColor="text1"/>
          <w:sz w:val="18"/>
          <w:szCs w:val="18"/>
        </w:rPr>
      </w:pPr>
      <w:r w:rsidRPr="000309C1">
        <w:rPr>
          <w:rStyle w:val="normaltextrun"/>
          <w:rFonts w:ascii="Arial" w:hAnsi="Arial" w:cs="Arial"/>
          <w:b/>
          <w:bCs/>
          <w:i/>
          <w:iCs/>
          <w:color w:val="000000" w:themeColor="text1"/>
          <w:sz w:val="20"/>
          <w:szCs w:val="20"/>
          <w:u w:val="single"/>
        </w:rPr>
        <w:t>Coexistence with existing earth stations</w:t>
      </w:r>
      <w:r w:rsidRPr="00103034">
        <w:rPr>
          <w:rStyle w:val="eop"/>
          <w:rFonts w:ascii="Arial" w:hAnsi="Arial" w:cs="Arial"/>
          <w:i/>
          <w:iCs/>
          <w:color w:val="000000" w:themeColor="text1"/>
          <w:sz w:val="20"/>
          <w:szCs w:val="20"/>
        </w:rPr>
        <w:t> </w:t>
      </w:r>
    </w:p>
    <w:p w14:paraId="3758DDF1" w14:textId="77777777" w:rsidR="00FF13CF" w:rsidRPr="00103034" w:rsidRDefault="00FF13CF" w:rsidP="00FF13CF">
      <w:pPr>
        <w:rPr>
          <w:i/>
          <w:iCs/>
        </w:rPr>
      </w:pPr>
      <w:r w:rsidRPr="00103034">
        <w:rPr>
          <w:i/>
          <w:iCs/>
        </w:rPr>
        <w:t>A radiocommunications receiver, that is:</w:t>
      </w:r>
    </w:p>
    <w:p w14:paraId="6747367F" w14:textId="77777777" w:rsidR="00FF13CF" w:rsidRPr="00103034" w:rsidRDefault="00FF13CF" w:rsidP="00FF13CF">
      <w:pPr>
        <w:pStyle w:val="ListParagraph"/>
        <w:numPr>
          <w:ilvl w:val="0"/>
          <w:numId w:val="53"/>
        </w:numPr>
        <w:rPr>
          <w:i/>
          <w:iCs/>
        </w:rPr>
      </w:pPr>
      <w:r w:rsidRPr="00103034">
        <w:rPr>
          <w:i/>
          <w:iCs/>
        </w:rPr>
        <w:t>receiving radio emissions from a radiocommunications transmitter that is operated under this licence; and</w:t>
      </w:r>
    </w:p>
    <w:p w14:paraId="32029F12" w14:textId="77777777" w:rsidR="00FF13CF" w:rsidRPr="00103034" w:rsidRDefault="00FF13CF" w:rsidP="00FF13CF">
      <w:pPr>
        <w:pStyle w:val="ListParagraph"/>
        <w:numPr>
          <w:ilvl w:val="0"/>
          <w:numId w:val="53"/>
        </w:numPr>
        <w:rPr>
          <w:i/>
          <w:iCs/>
        </w:rPr>
      </w:pPr>
      <w:bookmarkStart w:id="227" w:name="_Hlk52456771"/>
      <w:r w:rsidRPr="00103034">
        <w:rPr>
          <w:i/>
          <w:iCs/>
        </w:rPr>
        <w:t>located within an area authorised by this licence;</w:t>
      </w:r>
    </w:p>
    <w:bookmarkEnd w:id="227"/>
    <w:p w14:paraId="299D55D3" w14:textId="6CCA8282" w:rsidR="00FF13CF" w:rsidRDefault="00FF13CF" w:rsidP="00FF13CF">
      <w:pPr>
        <w:ind w:left="60"/>
      </w:pPr>
      <w:r w:rsidRPr="00103034">
        <w:rPr>
          <w:i/>
          <w:iCs/>
        </w:rPr>
        <w:t>is not afforded protection from interference caused by an earth station operated under an apparatus licence if the details of the earth station were included in the Register of Radiocommunications Licences (RRL) before details of the receiver were included in the RRL</w:t>
      </w:r>
      <w:r w:rsidRPr="00977ED9">
        <w:t>.  </w:t>
      </w:r>
    </w:p>
    <w:p w14:paraId="2FFDAC4A" w14:textId="020F5987" w:rsidR="00152F29" w:rsidRDefault="00152F29" w:rsidP="00152F29">
      <w:pPr>
        <w:pStyle w:val="Heading3"/>
      </w:pPr>
      <w:bookmarkStart w:id="228" w:name="_Ref91159366"/>
      <w:bookmarkStart w:id="229" w:name="_Toc94773077"/>
      <w:r>
        <w:t>Coexistence with existing apparatus licensed services</w:t>
      </w:r>
      <w:bookmarkEnd w:id="228"/>
      <w:bookmarkEnd w:id="229"/>
    </w:p>
    <w:p w14:paraId="0F0ED756" w14:textId="39BCFD9D" w:rsidR="000309C1" w:rsidRDefault="000309C1" w:rsidP="000309C1">
      <w:r>
        <w:t xml:space="preserve">AWL receivers are not afforded protection from interference </w:t>
      </w:r>
      <w:r w:rsidR="005922A1">
        <w:t>caused by</w:t>
      </w:r>
      <w:r>
        <w:t xml:space="preserve"> existing apparatus-licensed transmitters. AWL licensees </w:t>
      </w:r>
      <w:r w:rsidRPr="00E31B8E">
        <w:t>should take account of the</w:t>
      </w:r>
      <w:r>
        <w:t>se</w:t>
      </w:r>
      <w:r w:rsidRPr="00E31B8E">
        <w:t xml:space="preserve"> arrangements and plan their services accordingly.</w:t>
      </w:r>
      <w:r>
        <w:t xml:space="preserve"> </w:t>
      </w:r>
    </w:p>
    <w:p w14:paraId="4767BE28" w14:textId="77777777" w:rsidR="000309C1" w:rsidRPr="00400265" w:rsidRDefault="000309C1" w:rsidP="000309C1">
      <w:r>
        <w:t xml:space="preserve">The following advisory </w:t>
      </w:r>
      <w:r w:rsidRPr="00E31B8E">
        <w:t xml:space="preserve">note is included on </w:t>
      </w:r>
      <w:r>
        <w:t>standard-</w:t>
      </w:r>
      <w:r w:rsidRPr="00E31B8E">
        <w:rPr>
          <w:rFonts w:cs="Arial"/>
        </w:rPr>
        <w:t>AWLs</w:t>
      </w:r>
      <w:r w:rsidRPr="00E31B8E">
        <w:t xml:space="preserve"> issued in the 26/28 GHz bands</w:t>
      </w:r>
      <w:r>
        <w:t>:</w:t>
      </w:r>
    </w:p>
    <w:p w14:paraId="13F242CB" w14:textId="77777777" w:rsidR="00FF13CF" w:rsidRPr="00103034" w:rsidRDefault="00FF13CF" w:rsidP="00FF13CF">
      <w:pPr>
        <w:pStyle w:val="paragraph0"/>
        <w:spacing w:before="0" w:beforeAutospacing="0" w:after="0" w:afterAutospacing="0"/>
        <w:textAlignment w:val="baseline"/>
        <w:rPr>
          <w:rFonts w:ascii="Segoe UI" w:hAnsi="Segoe UI" w:cs="Segoe UI"/>
          <w:i/>
          <w:iCs/>
          <w:color w:val="000000" w:themeColor="text1"/>
          <w:sz w:val="18"/>
          <w:szCs w:val="18"/>
        </w:rPr>
      </w:pPr>
      <w:r w:rsidRPr="000309C1">
        <w:rPr>
          <w:rStyle w:val="normaltextrun"/>
          <w:rFonts w:ascii="Arial" w:hAnsi="Arial" w:cs="Arial"/>
          <w:b/>
          <w:bCs/>
          <w:i/>
          <w:iCs/>
          <w:color w:val="000000" w:themeColor="text1"/>
          <w:sz w:val="20"/>
          <w:szCs w:val="20"/>
          <w:u w:val="single"/>
        </w:rPr>
        <w:t>Coexistence with existing apparatus licensed services</w:t>
      </w:r>
      <w:r w:rsidRPr="00103034">
        <w:rPr>
          <w:rStyle w:val="eop"/>
          <w:rFonts w:ascii="Arial" w:hAnsi="Arial" w:cs="Arial"/>
          <w:i/>
          <w:iCs/>
          <w:color w:val="000000" w:themeColor="text1"/>
          <w:sz w:val="20"/>
          <w:szCs w:val="20"/>
        </w:rPr>
        <w:t> </w:t>
      </w:r>
    </w:p>
    <w:p w14:paraId="4FF90FA1" w14:textId="77777777" w:rsidR="00FF13CF" w:rsidRPr="00103034" w:rsidRDefault="00FF13CF" w:rsidP="00FF13CF">
      <w:pPr>
        <w:rPr>
          <w:i/>
          <w:iCs/>
          <w:color w:val="000000" w:themeColor="text1"/>
        </w:rPr>
      </w:pPr>
      <w:r w:rsidRPr="00103034">
        <w:rPr>
          <w:i/>
          <w:iCs/>
          <w:color w:val="000000" w:themeColor="text1"/>
        </w:rPr>
        <w:t>A radiocommunications receiver, that is:</w:t>
      </w:r>
    </w:p>
    <w:p w14:paraId="20D981EF" w14:textId="77777777" w:rsidR="00FF13CF" w:rsidRPr="00103034" w:rsidRDefault="00FF13CF" w:rsidP="00FF13CF">
      <w:pPr>
        <w:pStyle w:val="ListParagraph"/>
        <w:numPr>
          <w:ilvl w:val="0"/>
          <w:numId w:val="54"/>
        </w:numPr>
        <w:rPr>
          <w:i/>
          <w:iCs/>
        </w:rPr>
      </w:pPr>
      <w:r w:rsidRPr="00103034">
        <w:rPr>
          <w:i/>
          <w:iCs/>
        </w:rPr>
        <w:t>receiving radio emissions from a radiocommunications transmitter that is operated under this licence; and</w:t>
      </w:r>
    </w:p>
    <w:p w14:paraId="535A7D9F" w14:textId="77777777" w:rsidR="00FF13CF" w:rsidRPr="00103034" w:rsidRDefault="00FF13CF" w:rsidP="00FF13CF">
      <w:pPr>
        <w:pStyle w:val="ListParagraph"/>
        <w:numPr>
          <w:ilvl w:val="0"/>
          <w:numId w:val="54"/>
        </w:numPr>
        <w:rPr>
          <w:i/>
          <w:iCs/>
        </w:rPr>
      </w:pPr>
      <w:r w:rsidRPr="00103034">
        <w:rPr>
          <w:i/>
          <w:iCs/>
        </w:rPr>
        <w:t>located within an area authorised by this licence;</w:t>
      </w:r>
    </w:p>
    <w:p w14:paraId="519227C2" w14:textId="77777777" w:rsidR="00FF13CF" w:rsidRPr="00103034" w:rsidRDefault="00FF13CF" w:rsidP="00FF13CF">
      <w:pPr>
        <w:ind w:left="60"/>
        <w:rPr>
          <w:i/>
          <w:iCs/>
        </w:rPr>
      </w:pPr>
      <w:r w:rsidRPr="00103034">
        <w:rPr>
          <w:i/>
          <w:iCs/>
        </w:rPr>
        <w:t>is not afforded protection from interference caused by a radiocommunications transmitter operated under an apparatus licence which was first issued before the commencement for this licence. This provision does not apply if the transmitter is operated under an area-wide licence.  </w:t>
      </w:r>
    </w:p>
    <w:p w14:paraId="6F0C2600" w14:textId="6D405E3E" w:rsidR="00FF13CF" w:rsidRPr="00103034" w:rsidRDefault="00FF13CF" w:rsidP="00FF13CF">
      <w:pPr>
        <w:rPr>
          <w:i/>
          <w:iCs/>
        </w:rPr>
      </w:pPr>
      <w:r w:rsidRPr="00103034">
        <w:rPr>
          <w:i/>
          <w:iCs/>
        </w:rPr>
        <w:t>In planning deployments under this licence, the licensee should take account of existing apparatus licensed services and plan their services accordingly. </w:t>
      </w:r>
    </w:p>
    <w:p w14:paraId="596C5633" w14:textId="000BEBD6" w:rsidR="00152F29" w:rsidRDefault="00152F29" w:rsidP="00152F29">
      <w:pPr>
        <w:pStyle w:val="Heading3"/>
      </w:pPr>
      <w:bookmarkStart w:id="230" w:name="_Ref91153200"/>
      <w:bookmarkStart w:id="231" w:name="_Toc94773078"/>
      <w:r>
        <w:lastRenderedPageBreak/>
        <w:t>Coexistence between earth stations and receivers operating in sole-primary frequency and areas</w:t>
      </w:r>
      <w:bookmarkEnd w:id="230"/>
      <w:bookmarkEnd w:id="231"/>
    </w:p>
    <w:p w14:paraId="1391DC02" w14:textId="5078C12C" w:rsidR="00152F29" w:rsidRDefault="00152F29" w:rsidP="00152F29">
      <w:r w:rsidRPr="00E31B8E">
        <w:rPr>
          <w:rFonts w:cs="Arial"/>
        </w:rPr>
        <w:t>AWL</w:t>
      </w:r>
      <w:r w:rsidR="00D0477D">
        <w:rPr>
          <w:rFonts w:cs="Arial"/>
        </w:rPr>
        <w:t xml:space="preserve"> receivers</w:t>
      </w:r>
      <w:r w:rsidRPr="00E31B8E">
        <w:t xml:space="preserve"> in </w:t>
      </w:r>
      <w:r>
        <w:t>sole-primary frequencies/areas</w:t>
      </w:r>
      <w:r w:rsidRPr="00E31B8E">
        <w:t xml:space="preserve"> are secondary in relation to FSS services</w:t>
      </w:r>
      <w:r>
        <w:t xml:space="preserve"> and</w:t>
      </w:r>
      <w:r w:rsidRPr="00E31B8E">
        <w:t xml:space="preserve"> will not be </w:t>
      </w:r>
      <w:r>
        <w:t>afforded</w:t>
      </w:r>
      <w:r w:rsidRPr="00E31B8E">
        <w:t xml:space="preserve"> protection from existing or future earth stations</w:t>
      </w:r>
      <w:r>
        <w:t xml:space="preserve"> operated under either an apparatus or class licence</w:t>
      </w:r>
      <w:r w:rsidR="00104F92">
        <w:rPr>
          <w:rStyle w:val="FootnoteReference"/>
        </w:rPr>
        <w:footnoteReference w:id="11"/>
      </w:r>
      <w:r w:rsidRPr="00E31B8E">
        <w:t xml:space="preserve">. </w:t>
      </w:r>
      <w:r w:rsidR="008C5676">
        <w:t xml:space="preserve">AWL licensees </w:t>
      </w:r>
      <w:r w:rsidR="008C5676" w:rsidRPr="00E31B8E">
        <w:t>should take account of th</w:t>
      </w:r>
      <w:r w:rsidR="00104F92">
        <w:t>is</w:t>
      </w:r>
      <w:r w:rsidR="008C5676" w:rsidRPr="00E31B8E">
        <w:t xml:space="preserve"> arrangement and plan their services accordingly.</w:t>
      </w:r>
    </w:p>
    <w:p w14:paraId="19BCDFCA" w14:textId="675B1B9E" w:rsidR="00152F29" w:rsidRPr="00E31B8E" w:rsidRDefault="00152F29" w:rsidP="00152F29">
      <w:r>
        <w:t>The following a</w:t>
      </w:r>
      <w:r w:rsidRPr="00E31B8E">
        <w:t xml:space="preserve">dvisory note is included on all </w:t>
      </w:r>
      <w:r>
        <w:t>standard-</w:t>
      </w:r>
      <w:r w:rsidRPr="00E31B8E">
        <w:rPr>
          <w:rFonts w:cs="Arial"/>
        </w:rPr>
        <w:t>AWLs</w:t>
      </w:r>
      <w:r w:rsidR="000309C1">
        <w:rPr>
          <w:rFonts w:cs="Arial"/>
        </w:rPr>
        <w:t xml:space="preserve"> issued in the 26/28 GHz bands</w:t>
      </w:r>
      <w:r>
        <w:rPr>
          <w:rFonts w:cs="Arial"/>
        </w:rPr>
        <w:t>:</w:t>
      </w:r>
    </w:p>
    <w:p w14:paraId="401AB6C0" w14:textId="77777777" w:rsidR="00FF13CF" w:rsidRPr="00103034" w:rsidRDefault="00FF13CF" w:rsidP="00FF13CF">
      <w:pPr>
        <w:pStyle w:val="paragraph0"/>
        <w:spacing w:before="0" w:beforeAutospacing="0" w:after="0" w:afterAutospacing="0"/>
        <w:textAlignment w:val="baseline"/>
        <w:rPr>
          <w:rFonts w:ascii="Segoe UI" w:hAnsi="Segoe UI" w:cs="Segoe UI"/>
          <w:i/>
          <w:iCs/>
          <w:color w:val="000000" w:themeColor="text1"/>
          <w:sz w:val="18"/>
          <w:szCs w:val="18"/>
        </w:rPr>
      </w:pPr>
      <w:r w:rsidRPr="000309C1">
        <w:rPr>
          <w:rStyle w:val="normaltextrun"/>
          <w:rFonts w:ascii="Arial" w:hAnsi="Arial" w:cs="Arial"/>
          <w:b/>
          <w:bCs/>
          <w:i/>
          <w:iCs/>
          <w:color w:val="000000" w:themeColor="text1"/>
          <w:sz w:val="20"/>
          <w:szCs w:val="20"/>
          <w:u w:val="single"/>
        </w:rPr>
        <w:t>Coexistence between earth stations and receivers operating in sole-primary frequencies and areas</w:t>
      </w:r>
      <w:r w:rsidRPr="00103034">
        <w:rPr>
          <w:rStyle w:val="eop"/>
          <w:rFonts w:ascii="Arial" w:hAnsi="Arial" w:cs="Arial"/>
          <w:i/>
          <w:iCs/>
          <w:color w:val="000000" w:themeColor="text1"/>
          <w:sz w:val="20"/>
          <w:szCs w:val="20"/>
        </w:rPr>
        <w:t> </w:t>
      </w:r>
    </w:p>
    <w:p w14:paraId="5BE1BB31" w14:textId="77777777" w:rsidR="00FF13CF" w:rsidRPr="00103034" w:rsidRDefault="00FF13CF" w:rsidP="00FF13CF">
      <w:pPr>
        <w:rPr>
          <w:i/>
          <w:iCs/>
        </w:rPr>
      </w:pPr>
      <w:r w:rsidRPr="00103034">
        <w:rPr>
          <w:i/>
          <w:iCs/>
        </w:rPr>
        <w:t>A radiocommunications receiver that is: </w:t>
      </w:r>
    </w:p>
    <w:p w14:paraId="7DD71FAA" w14:textId="77777777" w:rsidR="00FF13CF" w:rsidRPr="00103034" w:rsidRDefault="00FF13CF" w:rsidP="00FF13CF">
      <w:pPr>
        <w:pStyle w:val="ListParagraph"/>
        <w:numPr>
          <w:ilvl w:val="0"/>
          <w:numId w:val="52"/>
        </w:numPr>
        <w:rPr>
          <w:i/>
          <w:iCs/>
        </w:rPr>
      </w:pPr>
      <w:r w:rsidRPr="00103034">
        <w:rPr>
          <w:i/>
          <w:iCs/>
        </w:rPr>
        <w:t>receiving radio emissions from a radiocommunications transmitter that is operated under this licence; and </w:t>
      </w:r>
    </w:p>
    <w:p w14:paraId="40E6A6EE" w14:textId="77777777" w:rsidR="00FF13CF" w:rsidRPr="00103034" w:rsidRDefault="00FF13CF" w:rsidP="00FF13CF">
      <w:pPr>
        <w:pStyle w:val="ListParagraph"/>
        <w:numPr>
          <w:ilvl w:val="0"/>
          <w:numId w:val="52"/>
        </w:numPr>
        <w:rPr>
          <w:i/>
          <w:iCs/>
        </w:rPr>
      </w:pPr>
      <w:r w:rsidRPr="00103034">
        <w:rPr>
          <w:i/>
          <w:iCs/>
        </w:rPr>
        <w:t>operating in the range 27.5-28.1 GHz and located outside the areas subject to the Radiocommunications (Spectrum Re-allocation—26 GHz band) Declaration 2019, or in the range 28.1-29.5 GHz; </w:t>
      </w:r>
    </w:p>
    <w:p w14:paraId="6B9EE122" w14:textId="77777777" w:rsidR="00FF13CF" w:rsidRPr="00977ED9" w:rsidRDefault="00FF13CF" w:rsidP="00FF13CF">
      <w:r w:rsidRPr="00103034">
        <w:rPr>
          <w:i/>
          <w:iCs/>
        </w:rPr>
        <w:t>is not afforded protection from interference caused by an earth station operated under an apparatus licence or under the Radiocommunications (Communication with Space Object) Class Licence 2015, as in force from time to time.</w:t>
      </w:r>
      <w:r w:rsidRPr="00977ED9">
        <w:t>  </w:t>
      </w:r>
    </w:p>
    <w:p w14:paraId="014A6C31" w14:textId="5886647C" w:rsidR="008C5676" w:rsidRDefault="008C5676" w:rsidP="008C5676">
      <w:pPr>
        <w:pStyle w:val="Heading3"/>
      </w:pPr>
      <w:bookmarkStart w:id="232" w:name="_Ref91078312"/>
      <w:bookmarkStart w:id="233" w:name="_Toc94773079"/>
      <w:r>
        <w:t xml:space="preserve">Coexistence </w:t>
      </w:r>
      <w:r w:rsidR="0023321F">
        <w:t>between AWL devices operating in the same frequency and area (</w:t>
      </w:r>
      <w:r>
        <w:t>overlapping AWLs</w:t>
      </w:r>
      <w:r w:rsidR="0023321F">
        <w:t>)</w:t>
      </w:r>
      <w:bookmarkEnd w:id="232"/>
      <w:bookmarkEnd w:id="233"/>
    </w:p>
    <w:p w14:paraId="21115150" w14:textId="45AEC3E7" w:rsidR="00AE3701" w:rsidRPr="00AE3701" w:rsidRDefault="000204A3" w:rsidP="00AE3701">
      <w:r>
        <w:t>The following advisory note, included on all standard-AWLs, codifies the coexistence arrangements when a standard-AWL overlaps with an existing FSS-only AWL (</w:t>
      </w:r>
      <w:r w:rsidR="003402CA">
        <w:t xml:space="preserve">also see section </w:t>
      </w:r>
      <w:r w:rsidR="003402CA">
        <w:fldChar w:fldCharType="begin"/>
      </w:r>
      <w:r w:rsidR="003402CA">
        <w:instrText xml:space="preserve"> REF _Ref22126455 \r \h </w:instrText>
      </w:r>
      <w:r w:rsidR="003402CA">
        <w:fldChar w:fldCharType="separate"/>
      </w:r>
      <w:r w:rsidR="009E3A92">
        <w:t>2.3.1</w:t>
      </w:r>
      <w:r w:rsidR="003402CA">
        <w:fldChar w:fldCharType="end"/>
      </w:r>
      <w:r w:rsidR="003402CA">
        <w:t xml:space="preserve"> and</w:t>
      </w:r>
      <w:r>
        <w:t xml:space="preserve"> </w:t>
      </w:r>
      <w:r w:rsidR="00C77819">
        <w:t>Appendix B</w:t>
      </w:r>
      <w:r>
        <w:t>).</w:t>
      </w:r>
    </w:p>
    <w:p w14:paraId="3DEF67CB" w14:textId="77777777" w:rsidR="00FF13CF" w:rsidRPr="00103034" w:rsidRDefault="00FF13CF" w:rsidP="00FF13CF">
      <w:pPr>
        <w:pStyle w:val="paragraph0"/>
        <w:spacing w:before="0" w:beforeAutospacing="0" w:after="0" w:afterAutospacing="0"/>
        <w:textAlignment w:val="baseline"/>
        <w:rPr>
          <w:rFonts w:ascii="Segoe UI" w:hAnsi="Segoe UI" w:cs="Segoe UI"/>
          <w:i/>
          <w:iCs/>
          <w:color w:val="000000" w:themeColor="text1"/>
          <w:sz w:val="18"/>
          <w:szCs w:val="18"/>
        </w:rPr>
      </w:pPr>
      <w:r w:rsidRPr="000309C1">
        <w:rPr>
          <w:rStyle w:val="normaltextrun"/>
          <w:rFonts w:ascii="Arial" w:hAnsi="Arial" w:cs="Arial"/>
          <w:b/>
          <w:bCs/>
          <w:i/>
          <w:iCs/>
          <w:color w:val="000000" w:themeColor="text1"/>
          <w:sz w:val="20"/>
          <w:szCs w:val="20"/>
          <w:u w:val="single"/>
        </w:rPr>
        <w:t>Coexistence with transmitters operating under another AWL authorising operation in the same frequency and area</w:t>
      </w:r>
      <w:r w:rsidRPr="00103034">
        <w:rPr>
          <w:rStyle w:val="eop"/>
          <w:rFonts w:ascii="Arial" w:hAnsi="Arial" w:cs="Arial"/>
          <w:i/>
          <w:iCs/>
          <w:color w:val="000000" w:themeColor="text1"/>
          <w:sz w:val="20"/>
          <w:szCs w:val="20"/>
        </w:rPr>
        <w:t> </w:t>
      </w:r>
    </w:p>
    <w:p w14:paraId="246DB741" w14:textId="77777777" w:rsidR="00FF13CF" w:rsidRPr="00103034" w:rsidRDefault="00FF13CF" w:rsidP="00FF13CF">
      <w:pPr>
        <w:rPr>
          <w:i/>
          <w:iCs/>
        </w:rPr>
      </w:pPr>
      <w:r w:rsidRPr="00103034">
        <w:rPr>
          <w:i/>
          <w:iCs/>
        </w:rPr>
        <w:t>Radiocommunications receivers, that are:</w:t>
      </w:r>
    </w:p>
    <w:p w14:paraId="201C10A8" w14:textId="77777777" w:rsidR="00FF13CF" w:rsidRPr="00103034" w:rsidRDefault="00FF13CF" w:rsidP="00FF13CF">
      <w:pPr>
        <w:pStyle w:val="ListParagraph"/>
        <w:numPr>
          <w:ilvl w:val="0"/>
          <w:numId w:val="55"/>
        </w:numPr>
        <w:rPr>
          <w:i/>
          <w:iCs/>
        </w:rPr>
      </w:pPr>
      <w:r w:rsidRPr="00103034">
        <w:rPr>
          <w:i/>
          <w:iCs/>
        </w:rPr>
        <w:t>receiving radio emissions from radiocommunications transmitters that are operated under this licence; and</w:t>
      </w:r>
    </w:p>
    <w:p w14:paraId="6FB7C0EA" w14:textId="77777777" w:rsidR="00FF13CF" w:rsidRPr="00103034" w:rsidRDefault="00FF13CF" w:rsidP="00FF13CF">
      <w:pPr>
        <w:pStyle w:val="ListParagraph"/>
        <w:numPr>
          <w:ilvl w:val="0"/>
          <w:numId w:val="55"/>
        </w:numPr>
        <w:rPr>
          <w:i/>
          <w:iCs/>
        </w:rPr>
      </w:pPr>
      <w:r w:rsidRPr="00103034">
        <w:rPr>
          <w:i/>
          <w:iCs/>
        </w:rPr>
        <w:t>located within an area authorised by this licence;</w:t>
      </w:r>
    </w:p>
    <w:p w14:paraId="7770C093" w14:textId="239F8F92" w:rsidR="00FF13CF" w:rsidRPr="00103034" w:rsidRDefault="00FF13CF" w:rsidP="00FF13CF">
      <w:pPr>
        <w:ind w:left="60"/>
        <w:rPr>
          <w:i/>
          <w:iCs/>
        </w:rPr>
      </w:pPr>
      <w:r w:rsidRPr="00103034">
        <w:rPr>
          <w:i/>
          <w:iCs/>
        </w:rPr>
        <w:t>will not be afforded protection from an existing or future transmitter which is operating in the same frequency range authorised by this licence, if that transmitter is operating under another area-wide licence (</w:t>
      </w:r>
      <w:r w:rsidR="00D3017D" w:rsidRPr="00103034">
        <w:rPr>
          <w:i/>
          <w:iCs/>
        </w:rPr>
        <w:t>termed “</w:t>
      </w:r>
      <w:r w:rsidRPr="00103034">
        <w:rPr>
          <w:i/>
          <w:iCs/>
        </w:rPr>
        <w:t>the other licence</w:t>
      </w:r>
      <w:r w:rsidR="00D3017D" w:rsidRPr="00103034">
        <w:rPr>
          <w:i/>
          <w:iCs/>
        </w:rPr>
        <w:t>” for these purposes</w:t>
      </w:r>
      <w:r w:rsidRPr="00103034">
        <w:rPr>
          <w:i/>
          <w:iCs/>
        </w:rPr>
        <w:t>) which was first issued before this licence and authorises operation in a frequency range and geographic area</w:t>
      </w:r>
      <w:r w:rsidR="00852673" w:rsidRPr="00103034">
        <w:rPr>
          <w:i/>
          <w:iCs/>
        </w:rPr>
        <w:t xml:space="preserve"> which is also</w:t>
      </w:r>
      <w:r w:rsidRPr="00103034">
        <w:rPr>
          <w:i/>
          <w:iCs/>
        </w:rPr>
        <w:t xml:space="preserve"> authorised by this licence. This applies for interference to:</w:t>
      </w:r>
    </w:p>
    <w:p w14:paraId="3B98B313" w14:textId="2A3D5231" w:rsidR="00FF13CF" w:rsidRPr="00103034" w:rsidRDefault="00FF13CF" w:rsidP="00103034">
      <w:pPr>
        <w:pStyle w:val="ListParagraph"/>
        <w:numPr>
          <w:ilvl w:val="0"/>
          <w:numId w:val="46"/>
        </w:numPr>
        <w:rPr>
          <w:i/>
          <w:iCs/>
        </w:rPr>
      </w:pPr>
      <w:r w:rsidRPr="00103034">
        <w:rPr>
          <w:i/>
          <w:iCs/>
        </w:rPr>
        <w:t>A receiver located in</w:t>
      </w:r>
      <w:r w:rsidR="00E374A5" w:rsidRPr="00103034">
        <w:rPr>
          <w:i/>
          <w:iCs/>
        </w:rPr>
        <w:t>side</w:t>
      </w:r>
      <w:r w:rsidRPr="00103034">
        <w:rPr>
          <w:i/>
          <w:iCs/>
        </w:rPr>
        <w:t xml:space="preserve"> the overlapped area from:</w:t>
      </w:r>
    </w:p>
    <w:p w14:paraId="6C1ABA7D" w14:textId="66FF65A3" w:rsidR="00FF13CF" w:rsidRPr="00103034" w:rsidRDefault="00FF13CF" w:rsidP="00103034">
      <w:pPr>
        <w:pStyle w:val="ListParagraph"/>
        <w:numPr>
          <w:ilvl w:val="1"/>
          <w:numId w:val="46"/>
        </w:numPr>
        <w:rPr>
          <w:i/>
          <w:iCs/>
        </w:rPr>
      </w:pPr>
      <w:r w:rsidRPr="00103034">
        <w:rPr>
          <w:i/>
          <w:iCs/>
        </w:rPr>
        <w:t xml:space="preserve">A co-channel transmitter located </w:t>
      </w:r>
      <w:r w:rsidR="005E1B4C" w:rsidRPr="00103034">
        <w:rPr>
          <w:i/>
          <w:iCs/>
        </w:rPr>
        <w:t xml:space="preserve">inside or </w:t>
      </w:r>
      <w:r w:rsidRPr="00103034">
        <w:rPr>
          <w:i/>
          <w:iCs/>
        </w:rPr>
        <w:t>outside the overlapped area.</w:t>
      </w:r>
    </w:p>
    <w:p w14:paraId="58713E67" w14:textId="77777777" w:rsidR="00FF13CF" w:rsidRPr="00103034" w:rsidRDefault="00FF13CF" w:rsidP="00103034">
      <w:pPr>
        <w:pStyle w:val="ListParagraph"/>
        <w:numPr>
          <w:ilvl w:val="1"/>
          <w:numId w:val="46"/>
        </w:numPr>
        <w:rPr>
          <w:i/>
          <w:iCs/>
        </w:rPr>
      </w:pPr>
      <w:r w:rsidRPr="00103034">
        <w:rPr>
          <w:i/>
          <w:iCs/>
        </w:rPr>
        <w:lastRenderedPageBreak/>
        <w:t>An adjacent-channel transmitter located inside the overlapped area.</w:t>
      </w:r>
    </w:p>
    <w:p w14:paraId="0B73CBF7" w14:textId="6E88F06E" w:rsidR="00FF13CF" w:rsidRPr="00103034" w:rsidRDefault="00FF13CF" w:rsidP="00103034">
      <w:pPr>
        <w:pStyle w:val="ListParagraph"/>
        <w:numPr>
          <w:ilvl w:val="0"/>
          <w:numId w:val="46"/>
        </w:numPr>
        <w:rPr>
          <w:i/>
          <w:iCs/>
        </w:rPr>
      </w:pPr>
      <w:r w:rsidRPr="00103034">
        <w:rPr>
          <w:i/>
          <w:iCs/>
        </w:rPr>
        <w:t>A receiver located outside the overlapped area from a co-channel transmitter located in</w:t>
      </w:r>
      <w:r w:rsidR="00E374A5" w:rsidRPr="00103034">
        <w:rPr>
          <w:i/>
          <w:iCs/>
        </w:rPr>
        <w:t>side</w:t>
      </w:r>
      <w:r w:rsidRPr="00103034">
        <w:rPr>
          <w:i/>
          <w:iCs/>
        </w:rPr>
        <w:t xml:space="preserve"> the overlapped area.</w:t>
      </w:r>
    </w:p>
    <w:p w14:paraId="63A40F0A" w14:textId="77777777" w:rsidR="00FF13CF" w:rsidRPr="00E374A5" w:rsidRDefault="00FF13CF" w:rsidP="00103034">
      <w:pPr>
        <w:ind w:left="360"/>
      </w:pPr>
      <w:r w:rsidRPr="00103034">
        <w:rPr>
          <w:i/>
          <w:iCs/>
        </w:rPr>
        <w:t>Overlapped area means the geographic area in which both this licence and the other licence authorise the operation of transmitters in the same frequency range.</w:t>
      </w:r>
    </w:p>
    <w:p w14:paraId="47DE7638" w14:textId="066EDB17" w:rsidR="001D3257" w:rsidRDefault="001D3257" w:rsidP="001D3257">
      <w:pPr>
        <w:pStyle w:val="Heading3"/>
      </w:pPr>
      <w:bookmarkStart w:id="234" w:name="_Toc92369055"/>
      <w:bookmarkStart w:id="235" w:name="_Toc94773080"/>
      <w:bookmarkEnd w:id="234"/>
      <w:r>
        <w:t>Coexistence with class licensed devices</w:t>
      </w:r>
      <w:bookmarkEnd w:id="235"/>
    </w:p>
    <w:p w14:paraId="24C4CB7E" w14:textId="77777777" w:rsidR="001D3257" w:rsidRDefault="001D3257" w:rsidP="001D3257">
      <w:pPr>
        <w:spacing w:after="120"/>
        <w:rPr>
          <w:rFonts w:cs="Arial"/>
        </w:rPr>
      </w:pPr>
      <w:r>
        <w:rPr>
          <w:rFonts w:cs="Arial"/>
        </w:rPr>
        <w:t>Various class licensed devices currently operate in the 24.25-29.5 GHz range, including:</w:t>
      </w:r>
    </w:p>
    <w:p w14:paraId="2CBF5C91" w14:textId="77777777" w:rsidR="001D3257" w:rsidRDefault="001D3257" w:rsidP="001D3257">
      <w:pPr>
        <w:pStyle w:val="ListBullet"/>
      </w:pPr>
      <w:r>
        <w:t xml:space="preserve">Aviation security body scanning devices operating in the frequency range 24.25-30 GHz, authorised under the </w:t>
      </w:r>
      <w:hyperlink r:id="rId42" w:history="1">
        <w:r w:rsidRPr="00C27D15">
          <w:rPr>
            <w:rStyle w:val="Hyperlink"/>
          </w:rPr>
          <w:t>Radiocommunications (Body Scanning – Aviation Security) Class Licence 2018</w:t>
        </w:r>
      </w:hyperlink>
    </w:p>
    <w:p w14:paraId="444EFE91" w14:textId="77777777" w:rsidR="001D3257" w:rsidRDefault="001D3257" w:rsidP="001D3257">
      <w:pPr>
        <w:pStyle w:val="ListBullet"/>
      </w:pPr>
      <w:r>
        <w:t xml:space="preserve">Devices authorised under the </w:t>
      </w:r>
      <w:hyperlink r:id="rId43" w:history="1">
        <w:r w:rsidRPr="00DF6BBC">
          <w:rPr>
            <w:rStyle w:val="Hyperlink"/>
          </w:rPr>
          <w:t>Radiocommunications (Low Interference Potential Devices) Class Licence 2015</w:t>
        </w:r>
      </w:hyperlink>
      <w:r>
        <w:t xml:space="preserve"> (the LIPD class licence) including:</w:t>
      </w:r>
    </w:p>
    <w:p w14:paraId="2588DCFD" w14:textId="77777777" w:rsidR="001D3257" w:rsidRDefault="001D3257" w:rsidP="001D3257">
      <w:pPr>
        <w:pStyle w:val="ListBullet2"/>
      </w:pPr>
      <w:r>
        <w:t>Data communications transmitters operating in the frequency range 24.25-25.1 GHz</w:t>
      </w:r>
    </w:p>
    <w:p w14:paraId="0E92A75C" w14:textId="77777777" w:rsidR="001D3257" w:rsidRDefault="001D3257" w:rsidP="001D3257">
      <w:pPr>
        <w:pStyle w:val="ListBullet2"/>
      </w:pPr>
      <w:r>
        <w:t>Radiofrequency identification transmitters operated in the frequency range 24.1-26.5 GHz</w:t>
      </w:r>
    </w:p>
    <w:p w14:paraId="2B2B38E8" w14:textId="77777777" w:rsidR="001D3257" w:rsidRDefault="001D3257" w:rsidP="001D3257">
      <w:pPr>
        <w:pStyle w:val="ListBullet2"/>
      </w:pPr>
      <w:r>
        <w:t>Radiodetermination transmitters operating in the frequency range 24.05-26.5 GHz</w:t>
      </w:r>
    </w:p>
    <w:p w14:paraId="3432F6DF" w14:textId="77777777" w:rsidR="001D3257" w:rsidRDefault="001D3257" w:rsidP="001D3257">
      <w:pPr>
        <w:pStyle w:val="ListBullet2"/>
        <w:spacing w:after="240"/>
      </w:pPr>
      <w:r>
        <w:t>Ultra-wideband short-range vehicle radar systems operating in the range 22-26.5 GHz</w:t>
      </w:r>
    </w:p>
    <w:p w14:paraId="223593A4" w14:textId="77777777" w:rsidR="001D3257" w:rsidRDefault="001D3257" w:rsidP="001D3257">
      <w:pPr>
        <w:spacing w:after="120"/>
      </w:pPr>
      <w:r>
        <w:t xml:space="preserve">The risk of interference between </w:t>
      </w:r>
      <w:r>
        <w:rPr>
          <w:rFonts w:cs="Arial"/>
        </w:rPr>
        <w:t xml:space="preserve">AWL </w:t>
      </w:r>
      <w:r>
        <w:t>services and class licensed systems is low; however, in the unlikely event there is interference between these services the following arrangements apply:</w:t>
      </w:r>
    </w:p>
    <w:p w14:paraId="7C6DD11E" w14:textId="1D560E14" w:rsidR="001D3257" w:rsidRDefault="001D3257" w:rsidP="001D3257">
      <w:pPr>
        <w:pStyle w:val="ListBullet"/>
      </w:pPr>
      <w:r>
        <w:t xml:space="preserve">LIPD class licensed devices operate on a no-interference, no-protection basis with respect to other radiocommunications devices, including </w:t>
      </w:r>
      <w:r>
        <w:rPr>
          <w:rFonts w:cs="Arial"/>
        </w:rPr>
        <w:t xml:space="preserve">AWL </w:t>
      </w:r>
      <w:r>
        <w:t>services in the 26/28 GHz bands. However, it is expected that</w:t>
      </w:r>
      <w:r w:rsidRPr="00E04226">
        <w:t xml:space="preserve"> </w:t>
      </w:r>
      <w:r>
        <w:t>facility owners will assist in the management of interference between AWL and LIPD class licensed services which are both operating within the boundary of their property. Furthermore, AWL receivers</w:t>
      </w:r>
      <w:r w:rsidRPr="00977ED9">
        <w:t xml:space="preserve"> that are located </w:t>
      </w:r>
      <w:r>
        <w:t>with</w:t>
      </w:r>
      <w:r w:rsidRPr="00977ED9">
        <w:t>in a </w:t>
      </w:r>
      <w:r>
        <w:t xml:space="preserve">facility </w:t>
      </w:r>
      <w:proofErr w:type="gramStart"/>
      <w:r>
        <w:t>owners</w:t>
      </w:r>
      <w:proofErr w:type="gramEnd"/>
      <w:r w:rsidRPr="008715EF">
        <w:t xml:space="preserve"> </w:t>
      </w:r>
      <w:r w:rsidRPr="00977ED9">
        <w:t>premises and are</w:t>
      </w:r>
      <w:r>
        <w:t xml:space="preserve"> operating in</w:t>
      </w:r>
      <w:r w:rsidRPr="00977ED9">
        <w:t xml:space="preserve"> the range 24.7-25.1 GHz, will not be afforded protection from data communications transmitter</w:t>
      </w:r>
      <w:r>
        <w:t>s</w:t>
      </w:r>
      <w:r w:rsidRPr="00977ED9">
        <w:t> operating under the LIPD class licence which</w:t>
      </w:r>
      <w:r>
        <w:t xml:space="preserve"> are</w:t>
      </w:r>
      <w:r w:rsidRPr="00977ED9">
        <w:t xml:space="preserve"> operating on the same frequency </w:t>
      </w:r>
      <w:r>
        <w:t xml:space="preserve">as the receiver </w:t>
      </w:r>
      <w:r w:rsidRPr="00977ED9">
        <w:t>and located </w:t>
      </w:r>
      <w:r>
        <w:t xml:space="preserve">within those </w:t>
      </w:r>
      <w:r w:rsidRPr="00305D36">
        <w:t>premises</w:t>
      </w:r>
      <w:r>
        <w:t xml:space="preserve">. </w:t>
      </w:r>
    </w:p>
    <w:p w14:paraId="65D7A804" w14:textId="6752317D" w:rsidR="001D3257" w:rsidRDefault="001D3257" w:rsidP="001D3257">
      <w:pPr>
        <w:pStyle w:val="ListBulletLast"/>
      </w:pPr>
      <w:r>
        <w:t xml:space="preserve">A device operated under an AWL must not cause interference to, nor is it provided protection from, a device operated under the </w:t>
      </w:r>
      <w:hyperlink r:id="rId44" w:history="1">
        <w:r w:rsidRPr="00DB3317">
          <w:rPr>
            <w:rStyle w:val="Hyperlink"/>
          </w:rPr>
          <w:t>Radiocommunications (Body Scanning – Aviation Security) Class Licence 2018</w:t>
        </w:r>
      </w:hyperlink>
      <w:r>
        <w:t xml:space="preserve">, as in force from time to time (see the AWL LCD). </w:t>
      </w:r>
    </w:p>
    <w:p w14:paraId="603781FF" w14:textId="369CE873" w:rsidR="001D3257" w:rsidRPr="001D3257" w:rsidRDefault="001D3257" w:rsidP="00103034">
      <w:r>
        <w:t xml:space="preserve">Given the above, the following advisory notes are </w:t>
      </w:r>
      <w:r w:rsidRPr="00E31B8E">
        <w:t xml:space="preserve">included on all </w:t>
      </w:r>
      <w:r>
        <w:t>standard-</w:t>
      </w:r>
      <w:r w:rsidRPr="00E31B8E">
        <w:rPr>
          <w:rFonts w:cs="Arial"/>
        </w:rPr>
        <w:t>AWLs</w:t>
      </w:r>
      <w:r w:rsidR="00CD4F25">
        <w:rPr>
          <w:rFonts w:cs="Arial"/>
        </w:rPr>
        <w:t xml:space="preserve"> in the 26/28 GHz bands</w:t>
      </w:r>
      <w:r>
        <w:rPr>
          <w:rFonts w:cs="Arial"/>
        </w:rPr>
        <w:t>:</w:t>
      </w:r>
    </w:p>
    <w:p w14:paraId="158EABB5" w14:textId="77777777" w:rsidR="00F32A06" w:rsidRDefault="00F32A06" w:rsidP="00FF13CF">
      <w:pPr>
        <w:pStyle w:val="paragraph0"/>
        <w:spacing w:before="0" w:beforeAutospacing="0" w:after="0" w:afterAutospacing="0"/>
        <w:textAlignment w:val="baseline"/>
        <w:rPr>
          <w:rStyle w:val="normaltextrun"/>
          <w:rFonts w:ascii="Arial" w:hAnsi="Arial" w:cs="Arial"/>
          <w:b/>
          <w:bCs/>
          <w:i/>
          <w:iCs/>
          <w:color w:val="000000" w:themeColor="text1"/>
          <w:sz w:val="20"/>
          <w:szCs w:val="20"/>
          <w:u w:val="single"/>
        </w:rPr>
      </w:pPr>
    </w:p>
    <w:p w14:paraId="2156371E" w14:textId="26AB52A8" w:rsidR="00FF13CF" w:rsidRPr="000309C1" w:rsidRDefault="00FF13CF" w:rsidP="00FF13CF">
      <w:pPr>
        <w:pStyle w:val="paragraph0"/>
        <w:spacing w:before="0" w:beforeAutospacing="0" w:after="0" w:afterAutospacing="0"/>
        <w:textAlignment w:val="baseline"/>
        <w:rPr>
          <w:rStyle w:val="normaltextrun"/>
          <w:rFonts w:cs="Arial"/>
          <w:b/>
          <w:bCs/>
          <w:i/>
          <w:iCs/>
          <w:color w:val="000000" w:themeColor="text1"/>
          <w:sz w:val="20"/>
          <w:szCs w:val="20"/>
          <w:u w:val="single"/>
        </w:rPr>
      </w:pPr>
      <w:r w:rsidRPr="000309C1">
        <w:rPr>
          <w:rStyle w:val="normaltextrun"/>
          <w:rFonts w:ascii="Arial" w:hAnsi="Arial" w:cs="Arial"/>
          <w:b/>
          <w:bCs/>
          <w:i/>
          <w:iCs/>
          <w:color w:val="000000" w:themeColor="text1"/>
          <w:sz w:val="20"/>
          <w:szCs w:val="20"/>
          <w:u w:val="single"/>
        </w:rPr>
        <w:t>Coexistence with devices operated under the LIPD class licence</w:t>
      </w:r>
      <w:r w:rsidRPr="000309C1">
        <w:rPr>
          <w:rStyle w:val="normaltextrun"/>
          <w:b/>
          <w:bCs/>
          <w:i/>
          <w:iCs/>
          <w:color w:val="000000" w:themeColor="text1"/>
          <w:u w:val="single"/>
        </w:rPr>
        <w:t> </w:t>
      </w:r>
    </w:p>
    <w:p w14:paraId="038D2F1A" w14:textId="77777777" w:rsidR="00FF13CF" w:rsidRPr="00103034" w:rsidRDefault="00FF13CF" w:rsidP="00FF13CF">
      <w:pPr>
        <w:rPr>
          <w:i/>
          <w:iCs/>
        </w:rPr>
      </w:pPr>
      <w:r w:rsidRPr="00103034">
        <w:rPr>
          <w:i/>
          <w:iCs/>
        </w:rPr>
        <w:lastRenderedPageBreak/>
        <w:t>The Radiocommunications (Low Interference Potential Devices) Class Licence 2015 (the LIPD class licence) authorises the operation of data communications transmitters on controlled premises in the frequency range 24.25-25.1 GHz. Radiocommunications receivers, that are located in a controlled premises and are receiving radio emissions in the range 24.7-25.1 GHz from radiocommunications transmitters that are operated under this licence, will not be afforded protection from a data communications transmitter operating under the LIPD class licence which is operating on the same frequency and located on the same controlled premises as the receiver. </w:t>
      </w:r>
    </w:p>
    <w:p w14:paraId="5A54AA92" w14:textId="77777777" w:rsidR="00FF13CF" w:rsidRPr="000309C1" w:rsidRDefault="00FF13CF" w:rsidP="00FF13CF">
      <w:pPr>
        <w:pStyle w:val="paragraph0"/>
        <w:spacing w:before="0" w:beforeAutospacing="0" w:after="0" w:afterAutospacing="0"/>
        <w:textAlignment w:val="baseline"/>
        <w:rPr>
          <w:rStyle w:val="normaltextrun"/>
          <w:rFonts w:ascii="Arial" w:hAnsi="Arial" w:cs="Arial"/>
          <w:b/>
          <w:bCs/>
          <w:i/>
          <w:iCs/>
          <w:color w:val="000000" w:themeColor="text1"/>
          <w:sz w:val="20"/>
          <w:szCs w:val="20"/>
          <w:u w:val="single"/>
        </w:rPr>
      </w:pPr>
      <w:r w:rsidRPr="000309C1">
        <w:rPr>
          <w:rStyle w:val="normaltextrun"/>
          <w:rFonts w:ascii="Arial" w:hAnsi="Arial" w:cs="Arial"/>
          <w:b/>
          <w:bCs/>
          <w:i/>
          <w:iCs/>
          <w:color w:val="000000" w:themeColor="text1"/>
          <w:sz w:val="20"/>
          <w:szCs w:val="20"/>
          <w:u w:val="single"/>
        </w:rPr>
        <w:t>Coexistence with class licensed body scanners</w:t>
      </w:r>
    </w:p>
    <w:p w14:paraId="7D2090BB" w14:textId="77777777" w:rsidR="00FF13CF" w:rsidRPr="00103034" w:rsidRDefault="00FF13CF" w:rsidP="00FF13CF">
      <w:pPr>
        <w:rPr>
          <w:i/>
          <w:iCs/>
          <w:color w:val="000000" w:themeColor="text1"/>
        </w:rPr>
      </w:pPr>
      <w:r w:rsidRPr="00103034">
        <w:rPr>
          <w:i/>
          <w:iCs/>
          <w:color w:val="000000" w:themeColor="text1"/>
        </w:rPr>
        <w:t>Radiocommunications receivers, that are:</w:t>
      </w:r>
    </w:p>
    <w:p w14:paraId="655D5323" w14:textId="77777777" w:rsidR="00FF13CF" w:rsidRPr="00103034" w:rsidRDefault="00FF13CF" w:rsidP="00FF13CF">
      <w:pPr>
        <w:pStyle w:val="ListParagraph"/>
        <w:numPr>
          <w:ilvl w:val="0"/>
          <w:numId w:val="56"/>
        </w:numPr>
        <w:rPr>
          <w:i/>
          <w:iCs/>
        </w:rPr>
      </w:pPr>
      <w:r w:rsidRPr="00103034">
        <w:rPr>
          <w:i/>
          <w:iCs/>
        </w:rPr>
        <w:t>receiving radio emissions from radiocommunications transmitters that are operated under this licence; and</w:t>
      </w:r>
    </w:p>
    <w:p w14:paraId="484B53A2" w14:textId="77777777" w:rsidR="00FF13CF" w:rsidRPr="00103034" w:rsidRDefault="00FF13CF" w:rsidP="00FF13CF">
      <w:pPr>
        <w:pStyle w:val="ListParagraph"/>
        <w:numPr>
          <w:ilvl w:val="0"/>
          <w:numId w:val="56"/>
        </w:numPr>
        <w:rPr>
          <w:i/>
          <w:iCs/>
        </w:rPr>
      </w:pPr>
      <w:r w:rsidRPr="00103034">
        <w:rPr>
          <w:i/>
          <w:iCs/>
        </w:rPr>
        <w:t>located within an area authorised by this licence;</w:t>
      </w:r>
    </w:p>
    <w:p w14:paraId="0CD4599A" w14:textId="4334EA03" w:rsidR="00FF13CF" w:rsidRPr="00103034" w:rsidRDefault="00FF13CF" w:rsidP="00FF13CF">
      <w:pPr>
        <w:pStyle w:val="paragraph0"/>
        <w:spacing w:before="0" w:beforeAutospacing="0" w:after="240" w:afterAutospacing="0"/>
        <w:textAlignment w:val="baseline"/>
        <w:rPr>
          <w:rFonts w:ascii="Arial" w:hAnsi="Arial"/>
          <w:i/>
          <w:iCs/>
          <w:sz w:val="22"/>
        </w:rPr>
      </w:pPr>
      <w:r w:rsidRPr="00103034">
        <w:rPr>
          <w:rFonts w:ascii="Arial" w:hAnsi="Arial"/>
          <w:i/>
          <w:iCs/>
          <w:sz w:val="22"/>
        </w:rPr>
        <w:t>will not be afforded protection from</w:t>
      </w:r>
      <w:r w:rsidRPr="00103034">
        <w:rPr>
          <w:i/>
          <w:iCs/>
        </w:rPr>
        <w:t xml:space="preserve"> </w:t>
      </w:r>
      <w:r w:rsidRPr="00103034">
        <w:rPr>
          <w:rFonts w:ascii="Arial" w:hAnsi="Arial"/>
          <w:i/>
          <w:iCs/>
          <w:sz w:val="22"/>
        </w:rPr>
        <w:t>interference caused by a radiocommunications device operated under the Radiocommunications (Body Scanning – Aviation Security) Class Licence 2018.</w:t>
      </w:r>
    </w:p>
    <w:p w14:paraId="6C067251" w14:textId="17852FA6" w:rsidR="005075E2" w:rsidRDefault="005075E2" w:rsidP="005075E2">
      <w:pPr>
        <w:pStyle w:val="Heading3"/>
      </w:pPr>
      <w:bookmarkStart w:id="236" w:name="_Toc94773081"/>
      <w:r>
        <w:t>Notional receiver and compatibility requirement</w:t>
      </w:r>
      <w:bookmarkEnd w:id="236"/>
    </w:p>
    <w:p w14:paraId="2EF71E87" w14:textId="5EFF4CE0" w:rsidR="007F39C2" w:rsidRDefault="005075E2" w:rsidP="007F39C2">
      <w:pPr>
        <w:spacing w:after="120"/>
      </w:pPr>
      <w:r>
        <w:t xml:space="preserve">A notional receiver and compatibility requirement is established to </w:t>
      </w:r>
      <w:r w:rsidR="007F39C2">
        <w:t xml:space="preserve">facilitate coordination with registered AWL receivers and to </w:t>
      </w:r>
      <w:r>
        <w:t xml:space="preserve">aid in the resolution of interference. </w:t>
      </w:r>
      <w:r w:rsidR="007F39C2">
        <w:t>Unless otherwise stated</w:t>
      </w:r>
      <w:r w:rsidR="007F39C2" w:rsidRPr="00314218">
        <w:t xml:space="preserve"> </w:t>
      </w:r>
      <w:r w:rsidR="007F39C2">
        <w:t xml:space="preserve">in this RALI or another document published by the ACMA, AWL receivers will be afforded protection from apparatus and spectrum licensed transmitters to the level specified in the </w:t>
      </w:r>
      <w:hyperlink r:id="rId45" w:history="1">
        <w:r w:rsidR="007F39C2" w:rsidRPr="00DB3317">
          <w:rPr>
            <w:rStyle w:val="Hyperlink"/>
          </w:rPr>
          <w:t>Radiocommunications Advisory Guidelines (Managing Interference to Spectrum Licensed Receivers — 26 GHz Band) 2020</w:t>
        </w:r>
      </w:hyperlink>
      <w:r w:rsidR="007F39C2">
        <w:t xml:space="preserve"> (RAG Rx), if the receiver:</w:t>
      </w:r>
    </w:p>
    <w:p w14:paraId="595AFEC7" w14:textId="77777777" w:rsidR="007F39C2" w:rsidRDefault="007F39C2" w:rsidP="007F39C2">
      <w:pPr>
        <w:pStyle w:val="ListBullet"/>
      </w:pPr>
      <w:r>
        <w:t xml:space="preserve">has at least the notional level of receiver performance set out in Schedule 1 of the RAG Rx; </w:t>
      </w:r>
      <w:proofErr w:type="gramStart"/>
      <w:r>
        <w:t>and</w:t>
      </w:r>
      <w:proofErr w:type="gramEnd"/>
    </w:p>
    <w:p w14:paraId="12ECFB0D" w14:textId="77777777" w:rsidR="007F39C2" w:rsidRDefault="007F39C2" w:rsidP="007F39C2">
      <w:pPr>
        <w:pStyle w:val="ListBulletLast"/>
      </w:pPr>
      <w:r>
        <w:t>was included in the RRL prior to registration of the transmitter with which compatibility is sought has its details recorded in the Register.</w:t>
      </w:r>
    </w:p>
    <w:p w14:paraId="20130D92" w14:textId="17E59292" w:rsidR="00C330D5" w:rsidRPr="00E31B8E" w:rsidRDefault="00C330D5" w:rsidP="00103034">
      <w:r>
        <w:t>The following a</w:t>
      </w:r>
      <w:r w:rsidRPr="00E31B8E">
        <w:t xml:space="preserve">dvisory note is included on all </w:t>
      </w:r>
      <w:r>
        <w:t>standard-</w:t>
      </w:r>
      <w:r w:rsidRPr="00E31B8E">
        <w:rPr>
          <w:rFonts w:cs="Arial"/>
        </w:rPr>
        <w:t>AWLs</w:t>
      </w:r>
      <w:r w:rsidR="00186271">
        <w:rPr>
          <w:rFonts w:cs="Arial"/>
        </w:rPr>
        <w:t xml:space="preserve"> in the 26/28 GHz bands</w:t>
      </w:r>
      <w:r>
        <w:rPr>
          <w:rFonts w:cs="Arial"/>
        </w:rPr>
        <w:t>:</w:t>
      </w:r>
    </w:p>
    <w:p w14:paraId="77335EF8" w14:textId="77777777" w:rsidR="005075E2" w:rsidRPr="00103034" w:rsidRDefault="005075E2" w:rsidP="005075E2">
      <w:pPr>
        <w:pStyle w:val="paragraph0"/>
        <w:spacing w:before="0" w:beforeAutospacing="0" w:after="0" w:afterAutospacing="0"/>
        <w:textAlignment w:val="baseline"/>
        <w:rPr>
          <w:rFonts w:ascii="Segoe UI" w:hAnsi="Segoe UI" w:cs="Segoe UI"/>
          <w:i/>
          <w:iCs/>
          <w:color w:val="000000" w:themeColor="text1"/>
          <w:sz w:val="18"/>
          <w:szCs w:val="18"/>
        </w:rPr>
      </w:pPr>
      <w:r w:rsidRPr="000309C1">
        <w:rPr>
          <w:rStyle w:val="normaltextrun"/>
          <w:rFonts w:ascii="Arial" w:hAnsi="Arial" w:cs="Arial"/>
          <w:b/>
          <w:bCs/>
          <w:i/>
          <w:iCs/>
          <w:color w:val="000000" w:themeColor="text1"/>
          <w:sz w:val="20"/>
          <w:szCs w:val="20"/>
          <w:u w:val="single"/>
        </w:rPr>
        <w:t>Notional level of receiver performance</w:t>
      </w:r>
      <w:r w:rsidRPr="00103034">
        <w:rPr>
          <w:rStyle w:val="eop"/>
          <w:rFonts w:ascii="Arial" w:hAnsi="Arial" w:cs="Arial"/>
          <w:i/>
          <w:iCs/>
          <w:color w:val="000000" w:themeColor="text1"/>
          <w:sz w:val="20"/>
          <w:szCs w:val="20"/>
        </w:rPr>
        <w:t> </w:t>
      </w:r>
    </w:p>
    <w:p w14:paraId="08CF3A59" w14:textId="77777777" w:rsidR="005075E2" w:rsidRPr="00103034" w:rsidRDefault="005075E2" w:rsidP="005075E2">
      <w:pPr>
        <w:rPr>
          <w:i/>
          <w:iCs/>
        </w:rPr>
      </w:pPr>
      <w:r w:rsidRPr="00103034">
        <w:rPr>
          <w:i/>
          <w:iCs/>
        </w:rPr>
        <w:t>The notional receiver performance level and compatibility requirement detailed in schedules 1 and 2 of the Radiocommunications Advisory Guidelines (Managing Interference to Spectrum Licensed Receivers — 26 GHz Band) 2020, as in force from time to time, applies for radiocommunications receivers that:</w:t>
      </w:r>
    </w:p>
    <w:p w14:paraId="10FE0B54" w14:textId="77777777" w:rsidR="005075E2" w:rsidRPr="00103034" w:rsidRDefault="005075E2" w:rsidP="005075E2">
      <w:pPr>
        <w:pStyle w:val="ListParagraph"/>
        <w:numPr>
          <w:ilvl w:val="0"/>
          <w:numId w:val="62"/>
        </w:numPr>
        <w:rPr>
          <w:i/>
          <w:iCs/>
        </w:rPr>
      </w:pPr>
      <w:r w:rsidRPr="00103034">
        <w:rPr>
          <w:i/>
          <w:iCs/>
        </w:rPr>
        <w:t>are recorded in the RRL;</w:t>
      </w:r>
    </w:p>
    <w:p w14:paraId="7D054252" w14:textId="77777777" w:rsidR="005075E2" w:rsidRPr="00103034" w:rsidRDefault="005075E2" w:rsidP="005075E2">
      <w:pPr>
        <w:pStyle w:val="ListParagraph"/>
        <w:numPr>
          <w:ilvl w:val="0"/>
          <w:numId w:val="62"/>
        </w:numPr>
        <w:rPr>
          <w:i/>
          <w:iCs/>
        </w:rPr>
      </w:pPr>
      <w:r w:rsidRPr="00103034">
        <w:rPr>
          <w:i/>
          <w:iCs/>
        </w:rPr>
        <w:t>receive radio emissions from radiocommunications transmitters that are operated under this licence; and</w:t>
      </w:r>
    </w:p>
    <w:p w14:paraId="4DCE3574" w14:textId="77777777" w:rsidR="005075E2" w:rsidRPr="00103034" w:rsidRDefault="005075E2" w:rsidP="005075E2">
      <w:pPr>
        <w:pStyle w:val="ListParagraph"/>
        <w:numPr>
          <w:ilvl w:val="0"/>
          <w:numId w:val="62"/>
        </w:numPr>
        <w:rPr>
          <w:i/>
          <w:iCs/>
        </w:rPr>
      </w:pPr>
      <w:r w:rsidRPr="00103034">
        <w:rPr>
          <w:i/>
          <w:iCs/>
        </w:rPr>
        <w:t>are located within an area authorised by this licence. </w:t>
      </w:r>
    </w:p>
    <w:p w14:paraId="7AE5921B" w14:textId="77777777" w:rsidR="005075E2" w:rsidRDefault="005075E2" w:rsidP="005075E2">
      <w:r w:rsidRPr="00103034">
        <w:rPr>
          <w:i/>
          <w:iCs/>
        </w:rPr>
        <w:lastRenderedPageBreak/>
        <w:t>Compliance with these provisions is not mandatory however the ACMA will take these provisions into account in determining whether interference has occurred.</w:t>
      </w:r>
      <w:r w:rsidRPr="00977ED9">
        <w:t> </w:t>
      </w:r>
    </w:p>
    <w:p w14:paraId="28D8EDC2" w14:textId="77777777" w:rsidR="005075E2" w:rsidRPr="00EE3B60" w:rsidRDefault="005075E2" w:rsidP="00FF13CF">
      <w:pPr>
        <w:pStyle w:val="paragraph0"/>
        <w:spacing w:before="0" w:beforeAutospacing="0" w:after="240" w:afterAutospacing="0"/>
        <w:textAlignment w:val="baseline"/>
        <w:rPr>
          <w:rStyle w:val="normaltextrun"/>
          <w:rFonts w:cs="Arial"/>
          <w:b/>
          <w:bCs/>
          <w:i/>
          <w:iCs/>
          <w:color w:val="D13438"/>
          <w:sz w:val="20"/>
          <w:szCs w:val="20"/>
          <w:u w:val="single"/>
        </w:rPr>
      </w:pPr>
    </w:p>
    <w:p w14:paraId="3EC14452" w14:textId="77777777" w:rsidR="00FF13CF" w:rsidRDefault="00FF13CF" w:rsidP="00FF13CF">
      <w:pPr>
        <w:ind w:left="431"/>
      </w:pPr>
      <w:bookmarkStart w:id="237" w:name="_Toc53151244"/>
      <w:bookmarkStart w:id="238" w:name="_Toc53489485"/>
      <w:bookmarkStart w:id="239" w:name="_Toc53151245"/>
      <w:bookmarkStart w:id="240" w:name="_Toc53489486"/>
      <w:bookmarkStart w:id="241" w:name="_Toc53151246"/>
      <w:bookmarkStart w:id="242" w:name="_Toc53489487"/>
      <w:bookmarkStart w:id="243" w:name="_Toc53151247"/>
      <w:bookmarkStart w:id="244" w:name="_Toc53489488"/>
      <w:bookmarkStart w:id="245" w:name="_Toc53151248"/>
      <w:bookmarkStart w:id="246" w:name="_Toc53489489"/>
      <w:bookmarkStart w:id="247" w:name="_Toc53151249"/>
      <w:bookmarkStart w:id="248" w:name="_Toc53489490"/>
      <w:bookmarkStart w:id="249" w:name="_Toc53151250"/>
      <w:bookmarkStart w:id="250" w:name="_Toc53489491"/>
      <w:bookmarkStart w:id="251" w:name="_Toc53151251"/>
      <w:bookmarkStart w:id="252" w:name="_Toc53489492"/>
      <w:bookmarkStart w:id="253" w:name="_Toc53151252"/>
      <w:bookmarkStart w:id="254" w:name="_Toc53489493"/>
      <w:bookmarkStart w:id="255" w:name="_Toc53151253"/>
      <w:bookmarkStart w:id="256" w:name="_Toc53489494"/>
      <w:bookmarkStart w:id="257" w:name="_Toc53151254"/>
      <w:bookmarkStart w:id="258" w:name="_Toc53489495"/>
      <w:bookmarkStart w:id="259" w:name="_Toc53151255"/>
      <w:bookmarkStart w:id="260" w:name="_Toc53489496"/>
      <w:bookmarkStart w:id="261" w:name="_Toc53151256"/>
      <w:bookmarkStart w:id="262" w:name="_Toc53489497"/>
      <w:bookmarkStart w:id="263" w:name="_Toc53151257"/>
      <w:bookmarkStart w:id="264" w:name="_Toc53489498"/>
      <w:bookmarkStart w:id="265" w:name="_Toc53151258"/>
      <w:bookmarkStart w:id="266" w:name="_Toc53489499"/>
      <w:bookmarkStart w:id="267" w:name="_Toc53646613"/>
      <w:bookmarkStart w:id="268" w:name="_Toc53646627"/>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07DA581D" w14:textId="23C2E706" w:rsidR="004A13A7" w:rsidRDefault="00C076D4" w:rsidP="000B27C0">
      <w:pPr>
        <w:pStyle w:val="Heading1"/>
      </w:pPr>
      <w:bookmarkStart w:id="269" w:name="_Ref83896996"/>
      <w:bookmarkStart w:id="270" w:name="_Toc94773082"/>
      <w:r>
        <w:lastRenderedPageBreak/>
        <w:t>Coordination procedures</w:t>
      </w:r>
      <w:bookmarkEnd w:id="193"/>
      <w:bookmarkEnd w:id="194"/>
      <w:bookmarkEnd w:id="195"/>
      <w:r w:rsidR="00CD7947">
        <w:t xml:space="preserve"> and pre-registration requirements</w:t>
      </w:r>
      <w:bookmarkEnd w:id="269"/>
      <w:bookmarkEnd w:id="270"/>
    </w:p>
    <w:p w14:paraId="14E94F5F" w14:textId="6FD4CECB" w:rsidR="00CD7947" w:rsidRDefault="00CD7947">
      <w:r>
        <w:t xml:space="preserve">This </w:t>
      </w:r>
      <w:r w:rsidR="00B12978">
        <w:t>chapter</w:t>
      </w:r>
      <w:r>
        <w:t xml:space="preserve"> details the coordination procedures and requirements which must be met before a radiocommunications transmitter</w:t>
      </w:r>
      <w:r w:rsidR="003F30D5">
        <w:t xml:space="preserve"> or receiver</w:t>
      </w:r>
      <w:r>
        <w:t xml:space="preserve"> can be </w:t>
      </w:r>
      <w:r w:rsidR="002E6094">
        <w:t>registered</w:t>
      </w:r>
      <w:r>
        <w:t xml:space="preserve"> in the RRL. As required by the AWL LCD, a transmitter must not be operated under a 26/28 GHz band AWL if </w:t>
      </w:r>
      <w:r w:rsidR="00F90F27">
        <w:t>its</w:t>
      </w:r>
      <w:r>
        <w:t xml:space="preserve"> details are not included in the RRL, except for transmitters which are specifically exempt. </w:t>
      </w:r>
    </w:p>
    <w:p w14:paraId="03215546" w14:textId="43E650AD" w:rsidR="00AD39AD" w:rsidRPr="00103034" w:rsidRDefault="00AD39AD">
      <w:pPr>
        <w:rPr>
          <w:u w:val="single"/>
        </w:rPr>
      </w:pPr>
      <w:r>
        <w:rPr>
          <w:u w:val="single"/>
        </w:rPr>
        <w:t>Registration exempt transmitters</w:t>
      </w:r>
    </w:p>
    <w:p w14:paraId="69CEEB15" w14:textId="7A7B0F0E" w:rsidR="00E60803" w:rsidRDefault="00E60803">
      <w:r>
        <w:t>Unless otherwise stated</w:t>
      </w:r>
      <w:r w:rsidR="00E403D0">
        <w:rPr>
          <w:rStyle w:val="FootnoteReference"/>
        </w:rPr>
        <w:footnoteReference w:id="12"/>
      </w:r>
      <w:r>
        <w:t xml:space="preserve">, transmitters that are exempt from registration are not required to be coordinated with other devices. Although these transmitters have a low risk of causing interference, licensees should use </w:t>
      </w:r>
      <w:r w:rsidR="00004D26">
        <w:t xml:space="preserve">their </w:t>
      </w:r>
      <w:r>
        <w:t xml:space="preserve">judgement to assess transmitters that have a high potential to cause interference such as those </w:t>
      </w:r>
      <w:r w:rsidR="00672605">
        <w:t xml:space="preserve">located </w:t>
      </w:r>
      <w:r>
        <w:t xml:space="preserve">on </w:t>
      </w:r>
      <w:r w:rsidR="00004D26">
        <w:t>high sites</w:t>
      </w:r>
      <w:r>
        <w:t>.  In the event that interference</w:t>
      </w:r>
      <w:r w:rsidR="00A850C0">
        <w:t xml:space="preserve"> from unregistered transmitters</w:t>
      </w:r>
      <w:r>
        <w:t xml:space="preserve"> occurs</w:t>
      </w:r>
      <w:r w:rsidR="00004D26">
        <w:t>,</w:t>
      </w:r>
      <w:r>
        <w:t xml:space="preserve"> the AWL LCD contains a condition that transmitters exempt from registration must not cause interference</w:t>
      </w:r>
      <w:r w:rsidRPr="00E60803">
        <w:t xml:space="preserve"> </w:t>
      </w:r>
      <w:r>
        <w:t>to apparatus</w:t>
      </w:r>
      <w:r w:rsidR="00A916D3">
        <w:t xml:space="preserve"> or spectrum</w:t>
      </w:r>
      <w:r>
        <w:t xml:space="preserve"> licen</w:t>
      </w:r>
      <w:r w:rsidR="00A916D3">
        <w:t>sed services</w:t>
      </w:r>
      <w:r>
        <w:t>.</w:t>
      </w:r>
    </w:p>
    <w:p w14:paraId="453210D4" w14:textId="14E621CD" w:rsidR="00AD39AD" w:rsidRPr="00103034" w:rsidRDefault="00AD39AD" w:rsidP="008A3DF9">
      <w:pPr>
        <w:rPr>
          <w:u w:val="single"/>
        </w:rPr>
      </w:pPr>
      <w:r>
        <w:rPr>
          <w:u w:val="single"/>
        </w:rPr>
        <w:t xml:space="preserve">Receiver </w:t>
      </w:r>
      <w:r w:rsidR="00A30EA8">
        <w:rPr>
          <w:u w:val="single"/>
        </w:rPr>
        <w:t xml:space="preserve">coordination and </w:t>
      </w:r>
      <w:r>
        <w:rPr>
          <w:u w:val="single"/>
        </w:rPr>
        <w:t>registration</w:t>
      </w:r>
      <w:r w:rsidR="00A30EA8">
        <w:rPr>
          <w:u w:val="single"/>
        </w:rPr>
        <w:t xml:space="preserve"> </w:t>
      </w:r>
    </w:p>
    <w:p w14:paraId="60EB37B3" w14:textId="19DD550B" w:rsidR="008A3DF9" w:rsidRDefault="008A3DF9" w:rsidP="008A3DF9">
      <w:r>
        <w:t>AWL receivers are not required to be registered before operation; however, registration of fixed receivers is encouraged as only registered receivers will be afforded protection. Receivers must comply with the coordination requirements contained in other applicable RALIs before registration – see section</w:t>
      </w:r>
      <w:r w:rsidR="00013CBF">
        <w:t xml:space="preserve"> </w:t>
      </w:r>
      <w:r w:rsidR="00013CBF">
        <w:fldChar w:fldCharType="begin"/>
      </w:r>
      <w:r w:rsidR="00013CBF">
        <w:instrText xml:space="preserve"> REF _Ref46470743 \r \h </w:instrText>
      </w:r>
      <w:r w:rsidR="00013CBF">
        <w:fldChar w:fldCharType="separate"/>
      </w:r>
      <w:r w:rsidR="009E3A92">
        <w:t>3.8</w:t>
      </w:r>
      <w:r w:rsidR="00013CBF">
        <w:fldChar w:fldCharType="end"/>
      </w:r>
      <w:r>
        <w:t>.</w:t>
      </w:r>
    </w:p>
    <w:p w14:paraId="2C9EBDFC" w14:textId="520E41A6" w:rsidR="008A3DF9" w:rsidRPr="00CD7947" w:rsidRDefault="008A3DF9" w:rsidP="008A3DF9">
      <w:r>
        <w:t xml:space="preserve">Except for the requirements detailed in section </w:t>
      </w:r>
      <w:r w:rsidR="00013CBF">
        <w:fldChar w:fldCharType="begin"/>
      </w:r>
      <w:r w:rsidR="00013CBF">
        <w:instrText xml:space="preserve"> REF _Ref83649553 \r \h </w:instrText>
      </w:r>
      <w:r w:rsidR="00013CBF">
        <w:fldChar w:fldCharType="separate"/>
      </w:r>
      <w:r w:rsidR="009E3A92">
        <w:t>3.1</w:t>
      </w:r>
      <w:r w:rsidR="00013CBF">
        <w:fldChar w:fldCharType="end"/>
      </w:r>
      <w:r>
        <w:t xml:space="preserve"> and in other applicable RALIs (see section</w:t>
      </w:r>
      <w:r w:rsidR="00013CBF">
        <w:t xml:space="preserve"> </w:t>
      </w:r>
      <w:r w:rsidR="00013CBF">
        <w:fldChar w:fldCharType="begin"/>
      </w:r>
      <w:r w:rsidR="00013CBF">
        <w:instrText xml:space="preserve"> REF _Ref46470743 \r \h </w:instrText>
      </w:r>
      <w:r w:rsidR="00013CBF">
        <w:fldChar w:fldCharType="separate"/>
      </w:r>
      <w:r w:rsidR="009E3A92">
        <w:t>3.8</w:t>
      </w:r>
      <w:r w:rsidR="00013CBF">
        <w:fldChar w:fldCharType="end"/>
      </w:r>
      <w:r>
        <w:t xml:space="preserve">), there are </w:t>
      </w:r>
      <w:r w:rsidRPr="003912D7">
        <w:t>no</w:t>
      </w:r>
      <w:r>
        <w:t xml:space="preserve"> coordination </w:t>
      </w:r>
      <w:r w:rsidRPr="003912D7">
        <w:t>procedure</w:t>
      </w:r>
      <w:r>
        <w:t>s defined</w:t>
      </w:r>
      <w:r w:rsidRPr="003912D7">
        <w:t xml:space="preserve"> for the protection </w:t>
      </w:r>
      <w:r w:rsidR="00A850C0">
        <w:t>of</w:t>
      </w:r>
      <w:r w:rsidRPr="003912D7">
        <w:t xml:space="preserve"> AWL receivers</w:t>
      </w:r>
      <w:r>
        <w:t xml:space="preserve"> from existing services.</w:t>
      </w:r>
      <w:r w:rsidRPr="003912D7">
        <w:t xml:space="preserve"> Prospective licensees should assess the risk of interference from existing services before deploying services</w:t>
      </w:r>
      <w:r>
        <w:t xml:space="preserve"> – also see the advisory notes detailed in section</w:t>
      </w:r>
      <w:r w:rsidR="00013CBF">
        <w:t xml:space="preserve"> </w:t>
      </w:r>
      <w:r w:rsidR="00013CBF">
        <w:fldChar w:fldCharType="begin"/>
      </w:r>
      <w:r w:rsidR="00013CBF">
        <w:instrText xml:space="preserve"> REF _Ref83204140 \r \h </w:instrText>
      </w:r>
      <w:r w:rsidR="00013CBF">
        <w:fldChar w:fldCharType="separate"/>
      </w:r>
      <w:r w:rsidR="009E3A92">
        <w:t>2.4</w:t>
      </w:r>
      <w:r w:rsidR="00013CBF">
        <w:fldChar w:fldCharType="end"/>
      </w:r>
      <w:r w:rsidRPr="003912D7">
        <w:t>.</w:t>
      </w:r>
    </w:p>
    <w:p w14:paraId="5E72FE8A" w14:textId="3458866D" w:rsidR="004A13A7" w:rsidRDefault="00A10375" w:rsidP="003115AF">
      <w:pPr>
        <w:pStyle w:val="Heading2"/>
      </w:pPr>
      <w:bookmarkStart w:id="271" w:name="_Ref83649553"/>
      <w:bookmarkStart w:id="272" w:name="_Ref19707093"/>
      <w:bookmarkStart w:id="273" w:name="_Ref40960255"/>
      <w:bookmarkStart w:id="274" w:name="_Toc94773083"/>
      <w:r>
        <w:t>Coexistence with AWL and spectrum licensed receivers</w:t>
      </w:r>
      <w:bookmarkEnd w:id="271"/>
      <w:bookmarkEnd w:id="272"/>
      <w:bookmarkEnd w:id="273"/>
      <w:bookmarkEnd w:id="274"/>
    </w:p>
    <w:p w14:paraId="0C3934F1" w14:textId="4553CAF6" w:rsidR="00B17955" w:rsidRDefault="00FB4459" w:rsidP="004458FE">
      <w:r>
        <w:t>L</w:t>
      </w:r>
      <w:r w:rsidR="00B17955">
        <w:t>icensees planning to deploy radiocommunications transmitters in the 26</w:t>
      </w:r>
      <w:r>
        <w:t>/</w:t>
      </w:r>
      <w:r w:rsidR="00F2643F">
        <w:t>28</w:t>
      </w:r>
      <w:r w:rsidR="00B17955">
        <w:t xml:space="preserve"> GHz band</w:t>
      </w:r>
      <w:r>
        <w:t>s</w:t>
      </w:r>
      <w:r w:rsidR="00B17955">
        <w:t xml:space="preserve"> </w:t>
      </w:r>
      <w:r>
        <w:t xml:space="preserve">under an </w:t>
      </w:r>
      <w:r w:rsidR="002E2917">
        <w:rPr>
          <w:rFonts w:cs="Arial"/>
        </w:rPr>
        <w:t xml:space="preserve">AWL </w:t>
      </w:r>
      <w:r w:rsidR="00B505B4">
        <w:t>m</w:t>
      </w:r>
      <w:r w:rsidR="004C618A">
        <w:t>u</w:t>
      </w:r>
      <w:r w:rsidR="00B505B4">
        <w:t>st</w:t>
      </w:r>
      <w:r w:rsidR="00B17955">
        <w:t xml:space="preserve"> have regard to </w:t>
      </w:r>
      <w:r w:rsidR="00E00E4D">
        <w:t xml:space="preserve">AWL and spectrum licensed </w:t>
      </w:r>
      <w:r w:rsidR="00B17955">
        <w:t xml:space="preserve">receivers </w:t>
      </w:r>
      <w:r w:rsidR="00E00E4D">
        <w:t xml:space="preserve">that are </w:t>
      </w:r>
      <w:r w:rsidR="00B17955">
        <w:t>re</w:t>
      </w:r>
      <w:r w:rsidR="002E6094">
        <w:t>gistered</w:t>
      </w:r>
      <w:r w:rsidR="00B17955">
        <w:t xml:space="preserve"> in the R</w:t>
      </w:r>
      <w:r w:rsidR="006B4497">
        <w:t>RL</w:t>
      </w:r>
      <w:r w:rsidR="00E00E4D">
        <w:t xml:space="preserve">. </w:t>
      </w:r>
      <w:r w:rsidR="00897E5D">
        <w:t xml:space="preserve">The only exception to this is when the planned transmitter is operated under the fixed satellite service and the subject </w:t>
      </w:r>
      <w:r w:rsidR="004173C5">
        <w:t>AWL</w:t>
      </w:r>
      <w:r w:rsidR="00016759">
        <w:t xml:space="preserve"> </w:t>
      </w:r>
      <w:r w:rsidR="00897E5D">
        <w:t xml:space="preserve">receiver is </w:t>
      </w:r>
      <w:r w:rsidR="009D7820">
        <w:t xml:space="preserve">operating in a </w:t>
      </w:r>
      <w:r w:rsidR="009D7820" w:rsidRPr="003F30D5">
        <w:t>sole-primary</w:t>
      </w:r>
      <w:r w:rsidR="009D7820">
        <w:t xml:space="preserve"> frequency/area</w:t>
      </w:r>
      <w:r w:rsidR="00897E5D">
        <w:t xml:space="preserve">. </w:t>
      </w:r>
    </w:p>
    <w:p w14:paraId="09B0ABD0" w14:textId="5FC68614" w:rsidR="00B17955" w:rsidRDefault="00D43BF8" w:rsidP="003C6FC5">
      <w:pPr>
        <w:spacing w:after="120"/>
      </w:pPr>
      <w:r>
        <w:t xml:space="preserve">In planning for the operation of </w:t>
      </w:r>
      <w:r w:rsidR="00E84473">
        <w:t>fixed transmitters under a</w:t>
      </w:r>
      <w:r w:rsidR="004B3FA5">
        <w:t>n</w:t>
      </w:r>
      <w:r w:rsidR="00E84473">
        <w:t xml:space="preserve"> </w:t>
      </w:r>
      <w:r w:rsidR="002E2917">
        <w:rPr>
          <w:rFonts w:cs="Arial"/>
        </w:rPr>
        <w:t>AWL</w:t>
      </w:r>
      <w:r w:rsidR="00E84473">
        <w:t xml:space="preserve">, the licensee </w:t>
      </w:r>
      <w:r w:rsidR="004C618A">
        <w:t>must</w:t>
      </w:r>
      <w:r w:rsidR="00997B94">
        <w:t xml:space="preserve"> coordinate with any radiocommunications receivers r</w:t>
      </w:r>
      <w:r w:rsidR="002E6094">
        <w:t>egistered</w:t>
      </w:r>
      <w:r w:rsidR="008013EF">
        <w:t xml:space="preserve"> in the RRL. The coordination performed </w:t>
      </w:r>
      <w:r w:rsidR="004C618A">
        <w:t>must</w:t>
      </w:r>
      <w:r w:rsidR="00F96BFE">
        <w:t>:</w:t>
      </w:r>
      <w:r w:rsidR="004B1739">
        <w:t xml:space="preserve"> </w:t>
      </w:r>
    </w:p>
    <w:p w14:paraId="59BC0F1F" w14:textId="77777777" w:rsidR="00B17955" w:rsidRDefault="00B17955" w:rsidP="00135432">
      <w:pPr>
        <w:pStyle w:val="ListBullet"/>
      </w:pPr>
      <w:r>
        <w:t xml:space="preserve">use the </w:t>
      </w:r>
      <w:r w:rsidRPr="00615A1B">
        <w:t>param</w:t>
      </w:r>
      <w:r>
        <w:t>e</w:t>
      </w:r>
      <w:r w:rsidRPr="00615A1B">
        <w:t>ters</w:t>
      </w:r>
      <w:r>
        <w:t xml:space="preserve"> of the radiocommunications receivers as recorded in the Register;</w:t>
      </w:r>
    </w:p>
    <w:p w14:paraId="1E9CF9D2" w14:textId="6D8732F0" w:rsidR="00B17955" w:rsidRPr="005028A5" w:rsidRDefault="00B17955" w:rsidP="00135432">
      <w:pPr>
        <w:pStyle w:val="ListBullet"/>
      </w:pPr>
      <w:r>
        <w:lastRenderedPageBreak/>
        <w:t xml:space="preserve">use the </w:t>
      </w:r>
      <w:r w:rsidR="001150A3">
        <w:t>compatibility requirement set out in</w:t>
      </w:r>
      <w:r w:rsidR="009472CC">
        <w:t xml:space="preserve"> Schedule 2 of</w:t>
      </w:r>
      <w:r w:rsidR="001150A3">
        <w:t xml:space="preserve"> the </w:t>
      </w:r>
      <w:hyperlink r:id="rId46" w:history="1">
        <w:r w:rsidR="001150A3" w:rsidRPr="00F06B94">
          <w:rPr>
            <w:rStyle w:val="Hyperlink"/>
            <w:i/>
            <w:szCs w:val="22"/>
          </w:rPr>
          <w:t>Radiocommunications Advisory Guidelines (Managing Interference to Spectrum Licensed Receivers — 26 GHz Band) 2020</w:t>
        </w:r>
      </w:hyperlink>
      <w:r w:rsidR="00F06B94">
        <w:rPr>
          <w:i/>
          <w:szCs w:val="22"/>
        </w:rPr>
        <w:t xml:space="preserve"> </w:t>
      </w:r>
      <w:r w:rsidR="00F06B94">
        <w:rPr>
          <w:iCs/>
          <w:szCs w:val="22"/>
        </w:rPr>
        <w:t>(RAG Rx)</w:t>
      </w:r>
      <w:r w:rsidR="001150A3" w:rsidRPr="005028A5">
        <w:rPr>
          <w:szCs w:val="22"/>
        </w:rPr>
        <w:t xml:space="preserve"> as in force from time to time;</w:t>
      </w:r>
    </w:p>
    <w:p w14:paraId="15DDCFDB" w14:textId="5A624829" w:rsidR="005028A5" w:rsidRDefault="00D8260E" w:rsidP="00135432">
      <w:pPr>
        <w:pStyle w:val="ListBullet"/>
      </w:pPr>
      <w:r>
        <w:rPr>
          <w:szCs w:val="22"/>
        </w:rPr>
        <w:t>a</w:t>
      </w:r>
      <w:r w:rsidR="00C96465">
        <w:rPr>
          <w:szCs w:val="22"/>
        </w:rPr>
        <w:t xml:space="preserve">lthough there are no receiver performance requirements, </w:t>
      </w:r>
      <w:r w:rsidR="00D2001A">
        <w:rPr>
          <w:szCs w:val="22"/>
        </w:rPr>
        <w:t xml:space="preserve">the notional receiver performance level </w:t>
      </w:r>
      <w:r w:rsidR="00781D5F">
        <w:rPr>
          <w:szCs w:val="22"/>
        </w:rPr>
        <w:t>set out in Schedule 1</w:t>
      </w:r>
      <w:r w:rsidR="004C618A">
        <w:rPr>
          <w:szCs w:val="22"/>
        </w:rPr>
        <w:t xml:space="preserve"> </w:t>
      </w:r>
      <w:r w:rsidR="00781D5F">
        <w:rPr>
          <w:szCs w:val="22"/>
        </w:rPr>
        <w:t xml:space="preserve">of </w:t>
      </w:r>
      <w:r w:rsidR="00F06B94">
        <w:rPr>
          <w:szCs w:val="22"/>
        </w:rPr>
        <w:t xml:space="preserve">RAG Rx </w:t>
      </w:r>
      <w:r w:rsidR="00781D5F">
        <w:rPr>
          <w:szCs w:val="22"/>
        </w:rPr>
        <w:t xml:space="preserve"> is to be used </w:t>
      </w:r>
      <w:r w:rsidR="00C96465">
        <w:rPr>
          <w:szCs w:val="22"/>
        </w:rPr>
        <w:t xml:space="preserve">for coordination </w:t>
      </w:r>
      <w:r w:rsidR="005C3B4C">
        <w:rPr>
          <w:szCs w:val="22"/>
        </w:rPr>
        <w:t>purposes</w:t>
      </w:r>
      <w:r w:rsidR="00781D5F">
        <w:rPr>
          <w:szCs w:val="22"/>
        </w:rPr>
        <w:t>.</w:t>
      </w:r>
    </w:p>
    <w:p w14:paraId="0728B3CD" w14:textId="65A69F5C" w:rsidR="00B17955" w:rsidRDefault="00B17955" w:rsidP="00135432">
      <w:pPr>
        <w:pStyle w:val="ListBullet"/>
      </w:pPr>
      <w:r>
        <w:t>make use of a suitable propagation model to model path loss between the fixed transmitters and radiocommunications receivers;</w:t>
      </w:r>
      <w:r w:rsidR="00504550">
        <w:rPr>
          <w:rStyle w:val="FootnoteReference"/>
        </w:rPr>
        <w:footnoteReference w:id="13"/>
      </w:r>
    </w:p>
    <w:p w14:paraId="3F867007" w14:textId="1B820DEB" w:rsidR="00B17955" w:rsidRDefault="00B17955" w:rsidP="009E6EAC">
      <w:pPr>
        <w:pStyle w:val="ListBullet"/>
      </w:pPr>
      <w:proofErr w:type="gramStart"/>
      <w:r>
        <w:t>take into account</w:t>
      </w:r>
      <w:proofErr w:type="gramEnd"/>
      <w:r>
        <w:t xml:space="preserve"> terrain and any other relevant factors</w:t>
      </w:r>
      <w:r w:rsidR="001E59D2">
        <w:t xml:space="preserve"> (</w:t>
      </w:r>
      <w:r w:rsidR="007F6769">
        <w:t xml:space="preserve">using a </w:t>
      </w:r>
      <w:r w:rsidR="001E59D2">
        <w:t>3 second digital elevation model or better)</w:t>
      </w:r>
      <w:r w:rsidR="008F4552">
        <w:t>; and</w:t>
      </w:r>
    </w:p>
    <w:p w14:paraId="37D5ACCD" w14:textId="6D82276B" w:rsidR="008F4552" w:rsidRDefault="008F4552" w:rsidP="00135432">
      <w:pPr>
        <w:pStyle w:val="ListBulletLast"/>
      </w:pPr>
      <w:r>
        <w:t>consider any special conditions and/or advisory notes which are included on the relevant licences.</w:t>
      </w:r>
    </w:p>
    <w:p w14:paraId="2ED512EF" w14:textId="2FE34E79" w:rsidR="00B17955" w:rsidRDefault="00B17955" w:rsidP="003C6FC5">
      <w:pPr>
        <w:spacing w:after="120"/>
      </w:pPr>
      <w:r>
        <w:t xml:space="preserve">In the event that </w:t>
      </w:r>
      <w:r w:rsidR="00852DC9">
        <w:t xml:space="preserve">the above </w:t>
      </w:r>
      <w:r>
        <w:t>coordination indicates</w:t>
      </w:r>
      <w:r w:rsidR="00CF16CB">
        <w:t xml:space="preserve"> that</w:t>
      </w:r>
      <w:r>
        <w:t xml:space="preserve"> interference may occur, </w:t>
      </w:r>
      <w:r w:rsidR="00EA4622">
        <w:t xml:space="preserve">the </w:t>
      </w:r>
      <w:r w:rsidR="002E2917">
        <w:rPr>
          <w:rFonts w:cs="Arial"/>
        </w:rPr>
        <w:t xml:space="preserve">AWL </w:t>
      </w:r>
      <w:r>
        <w:t xml:space="preserve">licensees should consider: </w:t>
      </w:r>
    </w:p>
    <w:p w14:paraId="3F441A70" w14:textId="77777777" w:rsidR="00B17955" w:rsidRDefault="00B17955" w:rsidP="00135432">
      <w:pPr>
        <w:pStyle w:val="ListBullet"/>
      </w:pPr>
      <w:r>
        <w:rPr>
          <w:lang w:eastAsia="en-US"/>
        </w:rPr>
        <w:t xml:space="preserve">replanning the deployment of the </w:t>
      </w:r>
      <w:r>
        <w:t>fixed transmitters</w:t>
      </w:r>
      <w:r>
        <w:rPr>
          <w:lang w:eastAsia="en-US"/>
        </w:rPr>
        <w:t xml:space="preserve"> to avoid causing harmful interference; or</w:t>
      </w:r>
    </w:p>
    <w:p w14:paraId="32B71CB2" w14:textId="152B72E6" w:rsidR="00B17955" w:rsidRDefault="00B17955" w:rsidP="00C81C0D">
      <w:pPr>
        <w:pStyle w:val="ListBulletLast"/>
      </w:pPr>
      <w:r>
        <w:rPr>
          <w:lang w:eastAsia="en-US"/>
        </w:rPr>
        <w:t xml:space="preserve">negotiating with the </w:t>
      </w:r>
      <w:r w:rsidR="00EA4622">
        <w:rPr>
          <w:lang w:eastAsia="en-US"/>
        </w:rPr>
        <w:t xml:space="preserve">licensee of the </w:t>
      </w:r>
      <w:r>
        <w:rPr>
          <w:lang w:eastAsia="en-US"/>
        </w:rPr>
        <w:t xml:space="preserve">affected </w:t>
      </w:r>
      <w:r w:rsidR="00EA4622">
        <w:rPr>
          <w:lang w:eastAsia="en-US"/>
        </w:rPr>
        <w:t>receiver</w:t>
      </w:r>
      <w:r>
        <w:rPr>
          <w:lang w:eastAsia="en-US"/>
        </w:rPr>
        <w:t xml:space="preserve"> to find a resolution. </w:t>
      </w:r>
    </w:p>
    <w:p w14:paraId="770DDEC9" w14:textId="3E463686" w:rsidR="00AD25E5" w:rsidRDefault="00B17955" w:rsidP="003C6FC5">
      <w:pPr>
        <w:spacing w:after="120"/>
      </w:pPr>
      <w:r w:rsidRPr="00D90692">
        <w:t xml:space="preserve">In the event </w:t>
      </w:r>
      <w:r w:rsidR="006B4776">
        <w:t>that</w:t>
      </w:r>
      <w:r w:rsidRPr="00D90692">
        <w:t xml:space="preserve"> </w:t>
      </w:r>
      <w:r w:rsidR="0008037D">
        <w:t xml:space="preserve">replanning the deployment </w:t>
      </w:r>
      <w:r w:rsidRPr="00D90692">
        <w:t>is not possible</w:t>
      </w:r>
      <w:r w:rsidR="0008037D">
        <w:t xml:space="preserve"> and </w:t>
      </w:r>
      <w:r w:rsidR="00D31975">
        <w:t xml:space="preserve">a negotiated resolution </w:t>
      </w:r>
      <w:r w:rsidR="00CF16CB">
        <w:t>can</w:t>
      </w:r>
      <w:r w:rsidR="00D31975">
        <w:t>not be reached</w:t>
      </w:r>
      <w:r w:rsidR="00AD25E5">
        <w:t>:</w:t>
      </w:r>
    </w:p>
    <w:p w14:paraId="35D4A29F" w14:textId="477E9895" w:rsidR="00B17955" w:rsidRDefault="00AD25E5" w:rsidP="00AD25E5">
      <w:pPr>
        <w:pStyle w:val="ListBullet"/>
      </w:pPr>
      <w:r>
        <w:t>for transmitters other than earth stations</w:t>
      </w:r>
      <w:r w:rsidR="00711AA1">
        <w:t>,</w:t>
      </w:r>
      <w:r>
        <w:t xml:space="preserve"> </w:t>
      </w:r>
      <w:r w:rsidR="008228F2">
        <w:t>at both the frequency a</w:t>
      </w:r>
      <w:r w:rsidR="00CB1AE0">
        <w:t>nd</w:t>
      </w:r>
      <w:r w:rsidR="008228F2">
        <w:t xml:space="preserve"> area boundaries </w:t>
      </w:r>
      <w:r w:rsidR="00B17955" w:rsidRPr="00D90692">
        <w:t xml:space="preserve">interference is managed in accordance with </w:t>
      </w:r>
      <w:r w:rsidR="006C11B9">
        <w:t>the</w:t>
      </w:r>
      <w:r w:rsidR="00B17955" w:rsidRPr="00D90692">
        <w:t xml:space="preserve"> </w:t>
      </w:r>
      <w:r w:rsidR="00B17955" w:rsidRPr="00CC5EB6">
        <w:t>synchronisation requirement</w:t>
      </w:r>
      <w:r w:rsidR="00B17955" w:rsidRPr="00A04EC1">
        <w:rPr>
          <w:i/>
        </w:rPr>
        <w:t xml:space="preserve"> </w:t>
      </w:r>
      <w:r w:rsidR="00B17955" w:rsidRPr="00C704CA">
        <w:t xml:space="preserve">condition included in the </w:t>
      </w:r>
      <w:r w:rsidR="000B2168">
        <w:t>AWL LCD</w:t>
      </w:r>
      <w:r w:rsidR="00B17955" w:rsidRPr="00C704CA">
        <w:t xml:space="preserve">, unless other arrangements are agreed to by </w:t>
      </w:r>
      <w:r w:rsidR="00B17955">
        <w:t xml:space="preserve">the affected </w:t>
      </w:r>
      <w:r w:rsidR="00B17955" w:rsidRPr="00C704CA">
        <w:t>licensees</w:t>
      </w:r>
      <w:r w:rsidR="00B17955" w:rsidRPr="00C058E8">
        <w:t>.</w:t>
      </w:r>
      <w:r w:rsidR="008F4D74">
        <w:rPr>
          <w:rStyle w:val="FootnoteReference"/>
        </w:rPr>
        <w:footnoteReference w:id="14"/>
      </w:r>
    </w:p>
    <w:p w14:paraId="5DE7EE65" w14:textId="5C83D1D8" w:rsidR="008162AC" w:rsidRDefault="00AD25E5" w:rsidP="00AD25E5">
      <w:pPr>
        <w:pStyle w:val="ListBullet"/>
      </w:pPr>
      <w:r>
        <w:t>For earth station transmitters</w:t>
      </w:r>
      <w:r w:rsidR="00711AA1">
        <w:t>:</w:t>
      </w:r>
    </w:p>
    <w:p w14:paraId="5C84AE96" w14:textId="00A2D125" w:rsidR="00AD25E5" w:rsidRPr="00763989" w:rsidRDefault="008162AC" w:rsidP="00763989">
      <w:pPr>
        <w:pStyle w:val="ListBullet"/>
        <w:tabs>
          <w:tab w:val="clear" w:pos="295"/>
          <w:tab w:val="num" w:pos="579"/>
        </w:tabs>
        <w:ind w:left="579"/>
      </w:pPr>
      <w:r>
        <w:t>If the receiver</w:t>
      </w:r>
      <w:r w:rsidR="004C2522">
        <w:t xml:space="preserve"> is </w:t>
      </w:r>
      <w:r w:rsidR="0059217C">
        <w:t>an AWL</w:t>
      </w:r>
      <w:r w:rsidR="00016759">
        <w:t xml:space="preserve"> </w:t>
      </w:r>
      <w:r w:rsidR="0059217C">
        <w:t>receiver</w:t>
      </w:r>
      <w:r w:rsidR="004C2522">
        <w:t xml:space="preserve"> and</w:t>
      </w:r>
      <w:r>
        <w:t xml:space="preserve"> </w:t>
      </w:r>
      <w:r w:rsidR="0059217C">
        <w:t xml:space="preserve">it </w:t>
      </w:r>
      <w:r>
        <w:t>is operating in</w:t>
      </w:r>
      <w:r w:rsidR="00A12839">
        <w:t xml:space="preserve"> </w:t>
      </w:r>
      <w:r w:rsidR="006D339E">
        <w:t>a sole-primary frequency/area</w:t>
      </w:r>
      <w:r w:rsidR="0070182C">
        <w:t>,</w:t>
      </w:r>
      <w:r>
        <w:t xml:space="preserve"> </w:t>
      </w:r>
      <w:r w:rsidR="00AD25E5">
        <w:t xml:space="preserve">the proposed transmitter </w:t>
      </w:r>
      <w:r w:rsidR="00AE60F8">
        <w:t xml:space="preserve">may be </w:t>
      </w:r>
      <w:r w:rsidR="00AD2C7F">
        <w:t>registered</w:t>
      </w:r>
      <w:r w:rsidR="00AE60F8">
        <w:t xml:space="preserve"> </w:t>
      </w:r>
      <w:r w:rsidR="00AD25E5">
        <w:t>in the RRL</w:t>
      </w:r>
      <w:r w:rsidR="00AE60F8">
        <w:t>;</w:t>
      </w:r>
      <w:r w:rsidR="00EA481D">
        <w:t xml:space="preserve"> </w:t>
      </w:r>
      <w:r w:rsidR="00EA481D" w:rsidRPr="00763989">
        <w:t>or</w:t>
      </w:r>
    </w:p>
    <w:p w14:paraId="60C5FBAD" w14:textId="4ACB552A" w:rsidR="00AE60F8" w:rsidRPr="001C43C3" w:rsidRDefault="00AE60F8" w:rsidP="003C6FC5">
      <w:pPr>
        <w:pStyle w:val="ListBullet"/>
        <w:tabs>
          <w:tab w:val="clear" w:pos="295"/>
          <w:tab w:val="num" w:pos="579"/>
        </w:tabs>
        <w:spacing w:after="240"/>
        <w:ind w:left="579"/>
      </w:pPr>
      <w:r>
        <w:t>For other receivers</w:t>
      </w:r>
      <w:r w:rsidR="0070182C">
        <w:t>,</w:t>
      </w:r>
      <w:r>
        <w:t xml:space="preserve"> the proposed transmitter must not be </w:t>
      </w:r>
      <w:r w:rsidR="00AD2C7F">
        <w:t xml:space="preserve">registered </w:t>
      </w:r>
      <w:r>
        <w:t>in the RRL</w:t>
      </w:r>
    </w:p>
    <w:p w14:paraId="47AFBB3C" w14:textId="00A8F723" w:rsidR="003002A8" w:rsidRDefault="00B17955" w:rsidP="00B17955">
      <w:pPr>
        <w:rPr>
          <w:sz w:val="20"/>
          <w:szCs w:val="20"/>
        </w:rPr>
      </w:pPr>
      <w:r w:rsidRPr="000B762D">
        <w:rPr>
          <w:i/>
          <w:sz w:val="20"/>
          <w:szCs w:val="20"/>
        </w:rPr>
        <w:t>Note:</w:t>
      </w:r>
      <w:r w:rsidRPr="000B762D">
        <w:rPr>
          <w:i/>
          <w:sz w:val="20"/>
          <w:szCs w:val="20"/>
        </w:rPr>
        <w:tab/>
      </w:r>
      <w:r w:rsidRPr="000B762D">
        <w:rPr>
          <w:sz w:val="20"/>
          <w:szCs w:val="20"/>
        </w:rPr>
        <w:t xml:space="preserve">For a device with an active antenna system, the radiated power in the direction of a receiver operated under another licence is defined as the sum of the gain of the antenna in the direction of the receiver (accounting for azimuth and elevation) and the Total Radiated Power (dBm). This allowance </w:t>
      </w:r>
      <w:proofErr w:type="gramStart"/>
      <w:r w:rsidRPr="000B762D">
        <w:rPr>
          <w:sz w:val="20"/>
          <w:szCs w:val="20"/>
        </w:rPr>
        <w:t>is based on the assumption</w:t>
      </w:r>
      <w:proofErr w:type="gramEnd"/>
      <w:r w:rsidRPr="000B762D">
        <w:rPr>
          <w:sz w:val="20"/>
          <w:szCs w:val="20"/>
        </w:rPr>
        <w:t xml:space="preserve"> that beam pointing angles and/or power can be controlled dynamically to ensure a defined level of radiated power in a specific direction is not exceeded.</w:t>
      </w:r>
    </w:p>
    <w:p w14:paraId="1BB87FBD" w14:textId="695D4DD2" w:rsidR="00D104B0" w:rsidRDefault="00D104B0" w:rsidP="00AF52D4">
      <w:bookmarkStart w:id="275" w:name="_Hlk35344932"/>
      <w:r>
        <w:lastRenderedPageBreak/>
        <w:t xml:space="preserve">The above procedure does not apply to transmitters that are not required to be </w:t>
      </w:r>
      <w:r w:rsidR="00AD2C7F">
        <w:t>registered</w:t>
      </w:r>
      <w:r>
        <w:t xml:space="preserve"> in the RRL, noting that these transmitters operate on the condition that no interference is </w:t>
      </w:r>
      <w:r w:rsidR="00A850C0">
        <w:t xml:space="preserve">to be </w:t>
      </w:r>
      <w:r>
        <w:t>caused to other services – see the AWL LCD.</w:t>
      </w:r>
    </w:p>
    <w:p w14:paraId="52DDE237" w14:textId="436C2B7C" w:rsidR="004624C0" w:rsidRDefault="000B2168" w:rsidP="00AF52D4">
      <w:r>
        <w:t xml:space="preserve">The ACMA will take these coordination procedures into account when resolving an interference dispute. </w:t>
      </w:r>
    </w:p>
    <w:p w14:paraId="36423F8B" w14:textId="37E3F098" w:rsidR="00EA5496" w:rsidRDefault="00350D19" w:rsidP="00103034">
      <w:r>
        <w:t>When using the notional receiver in the RAG Rx to coordinate proposed transmitters, it may be necessary use the relative adjacent channel selectivity (ACS) and in-band blocking requirements to determine the maximum absolute interference levels. In making this conversion,</w:t>
      </w:r>
      <w:r w:rsidR="00EA5496">
        <w:t xml:space="preserve"> a reference bandwidth of 50 MHz is to be used. For example:</w:t>
      </w:r>
    </w:p>
    <w:p w14:paraId="268C91C9" w14:textId="77777777" w:rsidR="00EA5496" w:rsidRDefault="00EA5496" w:rsidP="00EA5496">
      <w:pPr>
        <w:pStyle w:val="ListBullet"/>
      </w:pPr>
      <w:r>
        <w:t>the maximum interference level within the 50 MHz adjacent to the receiver is calculated as:</w:t>
      </w:r>
    </w:p>
    <w:p w14:paraId="79C1A123" w14:textId="77777777" w:rsidR="00EA5496" w:rsidRDefault="00EA5496" w:rsidP="00EA5496">
      <w:pPr>
        <w:jc w:val="center"/>
      </w:pPr>
      <w:r>
        <w:t xml:space="preserve">minimum wanted signal level </w:t>
      </w:r>
      <w:r>
        <w:rPr>
          <w:rFonts w:cs="Arial"/>
        </w:rPr>
        <w:t xml:space="preserve">(from the RAG Rx) </w:t>
      </w:r>
      <w:r>
        <w:t>+ ACS – Rx antenna gain in the direction of the transmitter (from the RRL)</w:t>
      </w:r>
    </w:p>
    <w:p w14:paraId="144FA2BF" w14:textId="77777777" w:rsidR="00EA5496" w:rsidRDefault="00EA5496" w:rsidP="00EA5496">
      <w:pPr>
        <w:jc w:val="center"/>
      </w:pPr>
      <w:r>
        <w:t>=-85 dBm/50 MHz +21.7 dB – Rx antenna gain in the direction of the transmitter (from the RRL)</w:t>
      </w:r>
    </w:p>
    <w:p w14:paraId="4E232392" w14:textId="77777777" w:rsidR="00EA5496" w:rsidRDefault="00EA5496" w:rsidP="00EA5496">
      <w:pPr>
        <w:pStyle w:val="ListBullet"/>
      </w:pPr>
      <w:r>
        <w:t>the maximum interference level at a frequency offset of greater than 50 MHz is:</w:t>
      </w:r>
    </w:p>
    <w:p w14:paraId="35187BFF" w14:textId="77777777" w:rsidR="00EA5496" w:rsidRDefault="00EA5496" w:rsidP="00EA5496">
      <w:pPr>
        <w:jc w:val="center"/>
        <w:rPr>
          <w:rFonts w:cs="Arial"/>
        </w:rPr>
      </w:pPr>
      <w:r>
        <w:rPr>
          <w:rFonts w:cs="Arial"/>
        </w:rPr>
        <w:t>minimum wanted signal level (from the RAG Rx) + in-band blocking – antenna gain in the direction for the transmitter (from the RRL)</w:t>
      </w:r>
    </w:p>
    <w:p w14:paraId="0759A4F4" w14:textId="77777777" w:rsidR="00EA5496" w:rsidRPr="007B40A0" w:rsidRDefault="00EA5496" w:rsidP="00EA5496">
      <w:pPr>
        <w:jc w:val="center"/>
      </w:pPr>
      <w:r>
        <w:rPr>
          <w:rFonts w:cs="Arial"/>
        </w:rPr>
        <w:t>= -85 dBm/50 MHz + 27 dB – antenna gain in the direction for the transmitter                                                                                                                                                                                                                                                                                                                                                            (from the RRL)</w:t>
      </w:r>
    </w:p>
    <w:p w14:paraId="27CD1AA0" w14:textId="77777777" w:rsidR="00EA5496" w:rsidRDefault="00EA5496" w:rsidP="00AF52D4"/>
    <w:p w14:paraId="7125C4C6" w14:textId="26864089" w:rsidR="00134412" w:rsidRDefault="00134412" w:rsidP="00134412">
      <w:pPr>
        <w:pStyle w:val="Heading2"/>
      </w:pPr>
      <w:bookmarkStart w:id="276" w:name="_Ref45893953"/>
      <w:bookmarkStart w:id="277" w:name="_Ref46470784"/>
      <w:bookmarkStart w:id="278" w:name="_Ref46736383"/>
      <w:bookmarkStart w:id="279" w:name="_Toc94773084"/>
      <w:r>
        <w:t xml:space="preserve">Registration of </w:t>
      </w:r>
      <w:r w:rsidR="00853104">
        <w:t xml:space="preserve">FSS </w:t>
      </w:r>
      <w:r>
        <w:t>earth stations</w:t>
      </w:r>
      <w:bookmarkEnd w:id="276"/>
      <w:bookmarkEnd w:id="277"/>
      <w:bookmarkEnd w:id="278"/>
      <w:bookmarkEnd w:id="279"/>
    </w:p>
    <w:p w14:paraId="7BC5220B" w14:textId="0624005C" w:rsidR="00F87628" w:rsidRDefault="00F87628" w:rsidP="00134412">
      <w:pPr>
        <w:rPr>
          <w:rStyle w:val="Hyperlink"/>
          <w:lang w:val="en"/>
        </w:rPr>
      </w:pPr>
      <w:r>
        <w:t xml:space="preserve">This RALI does not cover all matters relevant to coordination and licensing for earth stations. It should be read in conjunction with other applicable documentation including earth station licensing procedures as outlined the ACMA </w:t>
      </w:r>
      <w:r w:rsidRPr="006C5937">
        <w:rPr>
          <w:lang w:val="en"/>
        </w:rPr>
        <w:t>Business Operating Procedure</w:t>
      </w:r>
      <w:r w:rsidR="005468A9">
        <w:rPr>
          <w:lang w:val="en"/>
        </w:rPr>
        <w:t>:</w:t>
      </w:r>
      <w:r w:rsidRPr="006C5937">
        <w:rPr>
          <w:lang w:val="en"/>
        </w:rPr>
        <w:t xml:space="preserve"> </w:t>
      </w:r>
      <w:hyperlink r:id="rId47" w:history="1">
        <w:r w:rsidR="00CF5D05" w:rsidRPr="00614870">
          <w:rPr>
            <w:rStyle w:val="Hyperlink"/>
          </w:rPr>
          <w:t>Submission and processing of applications for earth, earth receive apparatus licences and device registrations under area-wide apparatus licences for fixed earth stations</w:t>
        </w:r>
      </w:hyperlink>
      <w:r>
        <w:rPr>
          <w:rStyle w:val="Hyperlink"/>
          <w:lang w:val="en"/>
        </w:rPr>
        <w:t xml:space="preserve"> </w:t>
      </w:r>
      <w:r w:rsidR="0064604D" w:rsidRPr="00977ED9">
        <w:t xml:space="preserve">(the </w:t>
      </w:r>
      <w:r w:rsidR="006B048C">
        <w:t>earth station B</w:t>
      </w:r>
      <w:r w:rsidR="00EA526B">
        <w:t>O</w:t>
      </w:r>
      <w:r w:rsidR="006B048C">
        <w:t>P).</w:t>
      </w:r>
    </w:p>
    <w:p w14:paraId="7F4C0FC1" w14:textId="2342A83D" w:rsidR="00F87628" w:rsidRDefault="00F87628" w:rsidP="00F87628">
      <w:pPr>
        <w:keepNext/>
        <w:keepLines/>
      </w:pPr>
      <w:r>
        <w:t xml:space="preserve">Additional coordination </w:t>
      </w:r>
      <w:r w:rsidR="004C2522">
        <w:t xml:space="preserve">may be </w:t>
      </w:r>
      <w:r>
        <w:t>require</w:t>
      </w:r>
      <w:r w:rsidR="0070182C">
        <w:t>d</w:t>
      </w:r>
      <w:r w:rsidR="004C2522">
        <w:t xml:space="preserve"> for earth stations located near</w:t>
      </w:r>
      <w:r>
        <w:t xml:space="preserve"> the territory of </w:t>
      </w:r>
      <w:r w:rsidRPr="008E5389">
        <w:t>neighbouring countries (mainly applicable for sites in northern Australia due to proximity to Papua New Guinea)</w:t>
      </w:r>
      <w:r>
        <w:t>.</w:t>
      </w:r>
    </w:p>
    <w:p w14:paraId="24648E09" w14:textId="2E2E8969" w:rsidR="00134412" w:rsidRDefault="00F027E7" w:rsidP="00134412">
      <w:bookmarkStart w:id="280" w:name="_Hlk54161169"/>
      <w:r>
        <w:t xml:space="preserve">An earth station must not be operated, </w:t>
      </w:r>
      <w:r w:rsidR="004F4CF2">
        <w:t>n</w:t>
      </w:r>
      <w:r>
        <w:t>or its</w:t>
      </w:r>
      <w:r w:rsidR="00134412">
        <w:t xml:space="preserve"> details </w:t>
      </w:r>
      <w:r w:rsidR="00AD2C7F">
        <w:t xml:space="preserve">registered </w:t>
      </w:r>
      <w:r w:rsidR="00134412">
        <w:t>in the RRL</w:t>
      </w:r>
      <w:r>
        <w:t>,</w:t>
      </w:r>
      <w:r w:rsidR="00F87628">
        <w:t xml:space="preserve"> until all relevant </w:t>
      </w:r>
      <w:r w:rsidR="003337D0">
        <w:t>coordination requirements and procedures have been completed</w:t>
      </w:r>
      <w:r w:rsidR="00FF1CD0">
        <w:t xml:space="preserve">, including </w:t>
      </w:r>
      <w:r w:rsidR="0021089F">
        <w:t>obtaining</w:t>
      </w:r>
      <w:r w:rsidR="00FF1CD0">
        <w:t xml:space="preserve"> ACMA </w:t>
      </w:r>
      <w:r w:rsidR="00FB67F1">
        <w:t>support</w:t>
      </w:r>
      <w:r w:rsidR="00FF1CD0">
        <w:t xml:space="preserve"> to </w:t>
      </w:r>
      <w:r w:rsidR="00441637">
        <w:t xml:space="preserve">operate and </w:t>
      </w:r>
      <w:r w:rsidR="00FF1CD0">
        <w:t xml:space="preserve">register an earth station as detailed in </w:t>
      </w:r>
      <w:r w:rsidR="0064604D">
        <w:t>the earth station B</w:t>
      </w:r>
      <w:r w:rsidR="00EA526B">
        <w:t>O</w:t>
      </w:r>
      <w:r w:rsidR="0064604D">
        <w:t>P</w:t>
      </w:r>
      <w:r w:rsidR="003337D0">
        <w:t>.</w:t>
      </w:r>
    </w:p>
    <w:p w14:paraId="3FEE4A80" w14:textId="4B2FFF2D" w:rsidR="00B660B8" w:rsidRDefault="00B660B8" w:rsidP="00B660B8">
      <w:pPr>
        <w:pStyle w:val="Heading3"/>
      </w:pPr>
      <w:bookmarkStart w:id="281" w:name="_Ref83823347"/>
      <w:bookmarkStart w:id="282" w:name="_Toc94773085"/>
      <w:bookmarkEnd w:id="280"/>
      <w:r>
        <w:t>Earth station antennas</w:t>
      </w:r>
      <w:bookmarkEnd w:id="281"/>
      <w:bookmarkEnd w:id="282"/>
    </w:p>
    <w:p w14:paraId="50C4D8DD" w14:textId="1A0A2BB3" w:rsidR="00B660B8" w:rsidDel="0029194E" w:rsidRDefault="00B660B8" w:rsidP="00B660B8">
      <w:r>
        <w:t>For</w:t>
      </w:r>
      <w:r w:rsidDel="0029194E">
        <w:t xml:space="preserve"> any </w:t>
      </w:r>
      <w:r w:rsidR="00853104" w:rsidDel="0029194E">
        <w:t xml:space="preserve">earth </w:t>
      </w:r>
      <w:r w:rsidDel="0029194E">
        <w:t>station being registered under an area-wide licence in the range 27-</w:t>
      </w:r>
      <w:r w:rsidR="004B5B9F" w:rsidDel="0029194E">
        <w:t>29.5</w:t>
      </w:r>
      <w:r w:rsidDel="0029194E">
        <w:t xml:space="preserve"> GHz, its antenna must have an off-axis gain (for all off-axis angles between </w:t>
      </w:r>
      <w:proofErr w:type="spellStart"/>
      <w:r w:rsidRPr="00E72550" w:rsidDel="0029194E">
        <w:rPr>
          <w:i/>
        </w:rPr>
        <w:t>φ</w:t>
      </w:r>
      <w:r w:rsidRPr="00E72550" w:rsidDel="0029194E">
        <w:rPr>
          <w:i/>
          <w:vertAlign w:val="subscript"/>
        </w:rPr>
        <w:t>min</w:t>
      </w:r>
      <w:proofErr w:type="spellEnd"/>
      <w:r w:rsidRPr="006C06C5" w:rsidDel="0029194E">
        <w:rPr>
          <w:i/>
        </w:rPr>
        <w:t xml:space="preserve"> </w:t>
      </w:r>
      <w:r w:rsidDel="0029194E">
        <w:t xml:space="preserve">and 180°) that is </w:t>
      </w:r>
      <w:r w:rsidR="00853104" w:rsidDel="0029194E">
        <w:t xml:space="preserve">lower </w:t>
      </w:r>
      <w:r w:rsidDel="0029194E">
        <w:t xml:space="preserve">than the off-axis gain that would be </w:t>
      </w:r>
      <w:r w:rsidDel="0029194E">
        <w:lastRenderedPageBreak/>
        <w:t xml:space="preserve">calculated using Recommendation ITU-R S.1855 </w:t>
      </w:r>
      <w:r w:rsidR="007E28FF">
        <w:t xml:space="preserve">(for GSO) or </w:t>
      </w:r>
      <w:r w:rsidR="007E28FF" w:rsidRPr="009E723E">
        <w:t>Recommendation ITU</w:t>
      </w:r>
      <w:r w:rsidR="007E28FF" w:rsidRPr="009E723E">
        <w:noBreakHyphen/>
        <w:t>R S.</w:t>
      </w:r>
      <w:r w:rsidR="007E28FF">
        <w:t>1428 (for NGSO),</w:t>
      </w:r>
      <w:r>
        <w:t xml:space="preserve"> </w:t>
      </w:r>
      <w:r w:rsidDel="0029194E">
        <w:t>for a circular antenna (</w:t>
      </w:r>
      <w:r w:rsidRPr="006C06C5" w:rsidDel="0029194E">
        <w:rPr>
          <w:i/>
        </w:rPr>
        <w:t>θ</w:t>
      </w:r>
      <w:r w:rsidDel="0029194E">
        <w:t xml:space="preserve"> = 0°) with the same </w:t>
      </w:r>
      <w:r w:rsidDel="0029194E">
        <w:rPr>
          <w:i/>
        </w:rPr>
        <w:t>D</w:t>
      </w:r>
      <w:r w:rsidDel="0029194E">
        <w:t>/</w:t>
      </w:r>
      <w:r w:rsidDel="0029194E">
        <w:rPr>
          <w:i/>
        </w:rPr>
        <w:t>λ</w:t>
      </w:r>
      <w:r w:rsidDel="0029194E">
        <w:t xml:space="preserve"> ratio.</w:t>
      </w:r>
    </w:p>
    <w:p w14:paraId="08326794" w14:textId="1914E816" w:rsidR="00F56AFA" w:rsidRDefault="00F56AFA" w:rsidP="00F56AFA">
      <w:r>
        <w:t xml:space="preserve">For the purposes of this RALI, the gain of an </w:t>
      </w:r>
      <w:r w:rsidR="002D491D">
        <w:t>e</w:t>
      </w:r>
      <w:r>
        <w:t xml:space="preserve">arth station </w:t>
      </w:r>
      <w:r w:rsidR="00DA452D">
        <w:t xml:space="preserve">antenna </w:t>
      </w:r>
      <w:r>
        <w:t xml:space="preserve">in any direction is to be calculated using the information in Table </w:t>
      </w:r>
      <w:r w:rsidR="005F3911">
        <w:t>4</w:t>
      </w:r>
      <w:r>
        <w:t xml:space="preserve"> and the procedures defined in </w:t>
      </w:r>
      <w:r w:rsidRPr="00965A38">
        <w:t xml:space="preserve">Appendices </w:t>
      </w:r>
      <w:r w:rsidR="005F3911">
        <w:t xml:space="preserve">F </w:t>
      </w:r>
      <w:r w:rsidRPr="00965A38">
        <w:t xml:space="preserve">and </w:t>
      </w:r>
      <w:r w:rsidR="005F3911">
        <w:t>G</w:t>
      </w:r>
      <w:r w:rsidR="006C274F" w:rsidRPr="00103034">
        <w:t>.</w:t>
      </w:r>
      <w:r w:rsidRPr="00965A38">
        <w:rPr>
          <w:rStyle w:val="FootnoteReference"/>
        </w:rPr>
        <w:footnoteReference w:id="15"/>
      </w:r>
    </w:p>
    <w:p w14:paraId="10BC420E" w14:textId="77777777" w:rsidR="00F56AFA" w:rsidRDefault="00F56AFA" w:rsidP="00F56AFA">
      <w:pPr>
        <w:pStyle w:val="ACMATableHeader"/>
      </w:pPr>
      <w:r w:rsidRPr="00C37202">
        <w:t>Earth Station antenna parameters to be used for coordination</w:t>
      </w:r>
    </w:p>
    <w:tbl>
      <w:tblPr>
        <w:tblStyle w:val="TableGrid"/>
        <w:tblW w:w="0" w:type="auto"/>
        <w:tblLook w:val="04A0" w:firstRow="1" w:lastRow="0" w:firstColumn="1" w:lastColumn="0" w:noHBand="0" w:noVBand="1"/>
      </w:tblPr>
      <w:tblGrid>
        <w:gridCol w:w="1105"/>
        <w:gridCol w:w="1941"/>
        <w:gridCol w:w="1485"/>
        <w:gridCol w:w="3130"/>
      </w:tblGrid>
      <w:tr w:rsidR="00F56AFA" w14:paraId="7E091521" w14:textId="77777777" w:rsidTr="00F56AFA">
        <w:tc>
          <w:tcPr>
            <w:tcW w:w="1105" w:type="dxa"/>
            <w:vMerge w:val="restart"/>
          </w:tcPr>
          <w:p w14:paraId="213EC9C9" w14:textId="77777777" w:rsidR="00F56AFA" w:rsidRPr="00696AB7" w:rsidRDefault="00F56AFA" w:rsidP="00F56AFA">
            <w:pPr>
              <w:rPr>
                <w:b/>
              </w:rPr>
            </w:pPr>
            <w:r>
              <w:rPr>
                <w:b/>
              </w:rPr>
              <w:t>Satellite type</w:t>
            </w:r>
          </w:p>
        </w:tc>
        <w:tc>
          <w:tcPr>
            <w:tcW w:w="1941" w:type="dxa"/>
            <w:vMerge w:val="restart"/>
          </w:tcPr>
          <w:p w14:paraId="00CFEE6D" w14:textId="77777777" w:rsidR="00F56AFA" w:rsidRPr="00696AB7" w:rsidRDefault="00F56AFA" w:rsidP="00F56AFA">
            <w:pPr>
              <w:rPr>
                <w:b/>
              </w:rPr>
            </w:pPr>
            <w:r>
              <w:rPr>
                <w:b/>
              </w:rPr>
              <w:t>Radiation pattern envelope</w:t>
            </w:r>
          </w:p>
        </w:tc>
        <w:tc>
          <w:tcPr>
            <w:tcW w:w="4615" w:type="dxa"/>
            <w:gridSpan w:val="2"/>
          </w:tcPr>
          <w:p w14:paraId="43FA8D3C" w14:textId="0A4C4352" w:rsidR="00F56AFA" w:rsidRPr="00696AB7" w:rsidRDefault="00F56AFA" w:rsidP="00F56AFA">
            <w:pPr>
              <w:rPr>
                <w:b/>
              </w:rPr>
            </w:pPr>
            <w:r>
              <w:rPr>
                <w:b/>
              </w:rPr>
              <w:t xml:space="preserve">Off-axis angle (Appendix </w:t>
            </w:r>
            <w:r w:rsidR="00C61B27">
              <w:rPr>
                <w:b/>
              </w:rPr>
              <w:t>F</w:t>
            </w:r>
            <w:r>
              <w:rPr>
                <w:b/>
              </w:rPr>
              <w:t>)</w:t>
            </w:r>
          </w:p>
        </w:tc>
      </w:tr>
      <w:tr w:rsidR="00F56AFA" w14:paraId="572C85B1" w14:textId="77777777" w:rsidTr="00F56AFA">
        <w:tc>
          <w:tcPr>
            <w:tcW w:w="1105" w:type="dxa"/>
            <w:vMerge/>
          </w:tcPr>
          <w:p w14:paraId="3D7C9297" w14:textId="77777777" w:rsidR="00F56AFA" w:rsidRPr="00696AB7" w:rsidRDefault="00F56AFA" w:rsidP="00F56AFA">
            <w:pPr>
              <w:rPr>
                <w:b/>
              </w:rPr>
            </w:pPr>
          </w:p>
        </w:tc>
        <w:tc>
          <w:tcPr>
            <w:tcW w:w="1941" w:type="dxa"/>
            <w:vMerge/>
          </w:tcPr>
          <w:p w14:paraId="6F109194" w14:textId="77777777" w:rsidR="00F56AFA" w:rsidRPr="00696AB7" w:rsidRDefault="00F56AFA" w:rsidP="00F56AFA">
            <w:pPr>
              <w:rPr>
                <w:b/>
              </w:rPr>
            </w:pPr>
          </w:p>
        </w:tc>
        <w:tc>
          <w:tcPr>
            <w:tcW w:w="1485" w:type="dxa"/>
          </w:tcPr>
          <w:p w14:paraId="69ADDC17" w14:textId="77777777" w:rsidR="00F56AFA" w:rsidRPr="00696AB7" w:rsidRDefault="00F56AFA" w:rsidP="00F56AFA">
            <w:pPr>
              <w:rPr>
                <w:b/>
              </w:rPr>
            </w:pPr>
            <w:r>
              <w:rPr>
                <w:b/>
              </w:rPr>
              <w:t xml:space="preserve">Horizontal component, </w:t>
            </w:r>
            <w:proofErr w:type="spellStart"/>
            <w:r w:rsidRPr="003C2E7B">
              <w:rPr>
                <w:b/>
                <w:i/>
              </w:rPr>
              <w:t>θ</w:t>
            </w:r>
            <w:r w:rsidRPr="003C2E7B">
              <w:rPr>
                <w:b/>
                <w:i/>
                <w:vertAlign w:val="subscript"/>
              </w:rPr>
              <w:t>h</w:t>
            </w:r>
            <w:proofErr w:type="spellEnd"/>
          </w:p>
        </w:tc>
        <w:tc>
          <w:tcPr>
            <w:tcW w:w="3130" w:type="dxa"/>
          </w:tcPr>
          <w:p w14:paraId="4DE14BFA" w14:textId="77777777" w:rsidR="00F56AFA" w:rsidRPr="00696AB7" w:rsidRDefault="00F56AFA" w:rsidP="00F56AFA">
            <w:pPr>
              <w:rPr>
                <w:b/>
              </w:rPr>
            </w:pPr>
            <w:r>
              <w:rPr>
                <w:b/>
              </w:rPr>
              <w:t xml:space="preserve">Vertical component, </w:t>
            </w:r>
            <w:proofErr w:type="spellStart"/>
            <w:r w:rsidRPr="003C2E7B">
              <w:rPr>
                <w:b/>
                <w:i/>
              </w:rPr>
              <w:t>ε</w:t>
            </w:r>
            <w:r w:rsidRPr="003C2E7B">
              <w:rPr>
                <w:b/>
                <w:i/>
                <w:vertAlign w:val="subscript"/>
              </w:rPr>
              <w:t>s</w:t>
            </w:r>
            <w:proofErr w:type="spellEnd"/>
          </w:p>
        </w:tc>
      </w:tr>
      <w:tr w:rsidR="00F56AFA" w14:paraId="3BDA4E0E" w14:textId="77777777" w:rsidTr="00F56AFA">
        <w:tc>
          <w:tcPr>
            <w:tcW w:w="1105" w:type="dxa"/>
          </w:tcPr>
          <w:p w14:paraId="6211C944" w14:textId="77777777" w:rsidR="00F56AFA" w:rsidRDefault="00F56AFA" w:rsidP="00F56AFA">
            <w:r>
              <w:t>GSO</w:t>
            </w:r>
          </w:p>
        </w:tc>
        <w:tc>
          <w:tcPr>
            <w:tcW w:w="1941" w:type="dxa"/>
          </w:tcPr>
          <w:p w14:paraId="5F631A1B" w14:textId="77777777" w:rsidR="00F56AFA" w:rsidRDefault="00F56AFA" w:rsidP="00F56AFA">
            <w:r w:rsidRPr="003C2E7B">
              <w:t xml:space="preserve">Actual if known, otherwise use </w:t>
            </w:r>
            <w:r w:rsidRPr="009E723E">
              <w:t>Recommendation ITU</w:t>
            </w:r>
            <w:r w:rsidRPr="009E723E">
              <w:noBreakHyphen/>
              <w:t>R S.1855</w:t>
            </w:r>
          </w:p>
        </w:tc>
        <w:tc>
          <w:tcPr>
            <w:tcW w:w="1485" w:type="dxa"/>
          </w:tcPr>
          <w:p w14:paraId="77ED66EE" w14:textId="77777777" w:rsidR="00F56AFA" w:rsidRDefault="00F56AFA" w:rsidP="00F56AFA">
            <w:r w:rsidRPr="0070431F">
              <w:t>As defined for the Earth station</w:t>
            </w:r>
            <w:r w:rsidRPr="0070431F">
              <w:br/>
            </w:r>
            <w:r w:rsidRPr="00C76719">
              <w:rPr>
                <w:sz w:val="20"/>
              </w:rPr>
              <w:t>[Notes 1, 2]</w:t>
            </w:r>
          </w:p>
        </w:tc>
        <w:tc>
          <w:tcPr>
            <w:tcW w:w="3130" w:type="dxa"/>
          </w:tcPr>
          <w:p w14:paraId="6992B298" w14:textId="77777777" w:rsidR="00F56AFA" w:rsidRDefault="00F56AFA" w:rsidP="00F56AFA">
            <w:r w:rsidRPr="0070431F">
              <w:t>As defined for the Earth station</w:t>
            </w:r>
            <w:r w:rsidRPr="0070431F">
              <w:br/>
            </w:r>
            <w:r w:rsidRPr="00C76719">
              <w:rPr>
                <w:sz w:val="20"/>
              </w:rPr>
              <w:t>[Notes 1, 2]</w:t>
            </w:r>
          </w:p>
        </w:tc>
      </w:tr>
      <w:tr w:rsidR="00F56AFA" w14:paraId="38BEEA26" w14:textId="77777777" w:rsidTr="00F56AFA">
        <w:tc>
          <w:tcPr>
            <w:tcW w:w="1105" w:type="dxa"/>
          </w:tcPr>
          <w:p w14:paraId="40F14AF3" w14:textId="77777777" w:rsidR="00F56AFA" w:rsidRDefault="00F56AFA" w:rsidP="00F56AFA">
            <w:r>
              <w:t>NGSO</w:t>
            </w:r>
          </w:p>
        </w:tc>
        <w:tc>
          <w:tcPr>
            <w:tcW w:w="1941" w:type="dxa"/>
          </w:tcPr>
          <w:p w14:paraId="03D51A48" w14:textId="77777777" w:rsidR="00F56AFA" w:rsidRDefault="00F56AFA" w:rsidP="00F56AFA">
            <w:r w:rsidRPr="003C2E7B">
              <w:t xml:space="preserve">Actual if known, otherwise use </w:t>
            </w:r>
            <w:r w:rsidRPr="009E723E">
              <w:t>Recommendation ITU</w:t>
            </w:r>
            <w:r w:rsidRPr="009E723E">
              <w:noBreakHyphen/>
              <w:t>R S.</w:t>
            </w:r>
            <w:r>
              <w:t xml:space="preserve">1428 </w:t>
            </w:r>
          </w:p>
        </w:tc>
        <w:tc>
          <w:tcPr>
            <w:tcW w:w="1485" w:type="dxa"/>
          </w:tcPr>
          <w:p w14:paraId="215DF302" w14:textId="77777777" w:rsidR="00F56AFA" w:rsidRDefault="00F56AFA" w:rsidP="00F56AFA">
            <w:proofErr w:type="spellStart"/>
            <w:r w:rsidRPr="0070431F">
              <w:rPr>
                <w:i/>
              </w:rPr>
              <w:t>θ</w:t>
            </w:r>
            <w:r w:rsidRPr="0070431F">
              <w:rPr>
                <w:i/>
                <w:vertAlign w:val="subscript"/>
              </w:rPr>
              <w:t>h</w:t>
            </w:r>
            <w:proofErr w:type="spellEnd"/>
            <w:r w:rsidRPr="0070431F">
              <w:t xml:space="preserve"> = 0</w:t>
            </w:r>
            <w:r>
              <w:t>°</w:t>
            </w:r>
          </w:p>
        </w:tc>
        <w:tc>
          <w:tcPr>
            <w:tcW w:w="3130" w:type="dxa"/>
          </w:tcPr>
          <w:p w14:paraId="2C4045B5" w14:textId="77777777" w:rsidR="00F56AFA" w:rsidRDefault="00F56AFA" w:rsidP="00F56AFA">
            <w:proofErr w:type="spellStart"/>
            <w:r w:rsidRPr="0070431F">
              <w:rPr>
                <w:rFonts w:cs="Calibri"/>
                <w:i/>
              </w:rPr>
              <w:t>ε</w:t>
            </w:r>
            <w:r w:rsidRPr="0070431F">
              <w:rPr>
                <w:i/>
                <w:vertAlign w:val="subscript"/>
              </w:rPr>
              <w:t>s</w:t>
            </w:r>
            <w:proofErr w:type="spellEnd"/>
            <w:r w:rsidRPr="0070431F">
              <w:t xml:space="preserve"> = max(0, [</w:t>
            </w:r>
            <w:proofErr w:type="spellStart"/>
            <w:r w:rsidRPr="0070431F">
              <w:rPr>
                <w:rFonts w:cs="Calibri"/>
                <w:i/>
              </w:rPr>
              <w:t>ε</w:t>
            </w:r>
            <w:r w:rsidRPr="0070431F">
              <w:rPr>
                <w:i/>
                <w:vertAlign w:val="subscript"/>
              </w:rPr>
              <w:t>min</w:t>
            </w:r>
            <w:proofErr w:type="spellEnd"/>
            <w:r w:rsidRPr="0070431F">
              <w:t xml:space="preserve"> –</w:t>
            </w:r>
            <w:r>
              <w:t xml:space="preserve"> </w:t>
            </w:r>
            <w:proofErr w:type="spellStart"/>
            <w:r w:rsidRPr="0070431F">
              <w:rPr>
                <w:rFonts w:cs="Calibri"/>
                <w:i/>
              </w:rPr>
              <w:t>ε</w:t>
            </w:r>
            <w:r w:rsidRPr="0070431F">
              <w:rPr>
                <w:i/>
                <w:vertAlign w:val="subscript"/>
              </w:rPr>
              <w:t>h</w:t>
            </w:r>
            <w:proofErr w:type="spellEnd"/>
            <w:r w:rsidRPr="0070431F">
              <w:t>(</w:t>
            </w:r>
            <w:r w:rsidRPr="0070431F">
              <w:rPr>
                <w:rFonts w:cs="Calibri"/>
              </w:rPr>
              <w:t>Θ</w:t>
            </w:r>
            <w:r w:rsidRPr="0070431F">
              <w:rPr>
                <w:i/>
                <w:vertAlign w:val="subscript"/>
              </w:rPr>
              <w:t>S</w:t>
            </w:r>
            <w:r w:rsidRPr="0070431F">
              <w:rPr>
                <w:vertAlign w:val="subscript"/>
              </w:rPr>
              <w:t>1,</w:t>
            </w:r>
            <w:r w:rsidRPr="0070431F">
              <w:rPr>
                <w:i/>
                <w:vertAlign w:val="subscript"/>
              </w:rPr>
              <w:t>S</w:t>
            </w:r>
            <w:r w:rsidRPr="0070431F">
              <w:rPr>
                <w:vertAlign w:val="subscript"/>
              </w:rPr>
              <w:t>2</w:t>
            </w:r>
            <w:r w:rsidRPr="0070431F">
              <w:t>)])</w:t>
            </w:r>
            <w:r>
              <w:t>°</w:t>
            </w:r>
            <w:r w:rsidRPr="0070431F">
              <w:br/>
            </w:r>
            <w:r w:rsidRPr="00C76719">
              <w:rPr>
                <w:sz w:val="20"/>
              </w:rPr>
              <w:t>[Note 3]</w:t>
            </w:r>
          </w:p>
        </w:tc>
      </w:tr>
    </w:tbl>
    <w:p w14:paraId="0F2992E4" w14:textId="2ABF4462" w:rsidR="00F56AFA" w:rsidRPr="000A7C15" w:rsidRDefault="00F56AFA" w:rsidP="003C6FC5">
      <w:pPr>
        <w:spacing w:before="120"/>
        <w:rPr>
          <w:sz w:val="20"/>
          <w:szCs w:val="20"/>
        </w:rPr>
      </w:pPr>
      <w:r w:rsidRPr="000A7C15">
        <w:rPr>
          <w:sz w:val="20"/>
          <w:szCs w:val="20"/>
        </w:rPr>
        <w:t xml:space="preserve">Note 1: If the longitude of the GSO satellite’s orbital position is known, the azimuth and elevation angle, as seen from the </w:t>
      </w:r>
      <w:r w:rsidR="00774F37">
        <w:rPr>
          <w:sz w:val="20"/>
          <w:szCs w:val="20"/>
        </w:rPr>
        <w:t>e</w:t>
      </w:r>
      <w:r w:rsidRPr="000A7C15">
        <w:rPr>
          <w:sz w:val="20"/>
          <w:szCs w:val="20"/>
        </w:rPr>
        <w:t>arth station (</w:t>
      </w:r>
      <w:proofErr w:type="gramStart"/>
      <w:r w:rsidRPr="000A7C15">
        <w:rPr>
          <w:sz w:val="20"/>
          <w:szCs w:val="20"/>
        </w:rPr>
        <w:t>i.e.</w:t>
      </w:r>
      <w:proofErr w:type="gramEnd"/>
      <w:r w:rsidRPr="000A7C15">
        <w:rPr>
          <w:sz w:val="20"/>
          <w:szCs w:val="20"/>
        </w:rPr>
        <w:t xml:space="preserve"> the off-axis horizontal and vertical components), can be calculated according to Annex 3 to Appendix 7 of the ITU-R Radio Regulations. Note that the GSO satellite’s orbital position can be determined from ITU information on the satellite network.</w:t>
      </w:r>
    </w:p>
    <w:p w14:paraId="48F4FB8F" w14:textId="02618DFC" w:rsidR="00F56AFA" w:rsidRPr="000A7C15" w:rsidRDefault="00F56AFA" w:rsidP="00F56AFA">
      <w:pPr>
        <w:rPr>
          <w:sz w:val="20"/>
          <w:szCs w:val="20"/>
        </w:rPr>
      </w:pPr>
      <w:r w:rsidRPr="000A7C15">
        <w:rPr>
          <w:sz w:val="20"/>
          <w:szCs w:val="20"/>
        </w:rPr>
        <w:t>Note 2: If neither the azimuth and elevation angle, nor the longitude of the GSO satellite’s orbital location are known, then coordination should be performed as if the earth station is communicating with an NGSO</w:t>
      </w:r>
      <w:r w:rsidR="00C832FB">
        <w:rPr>
          <w:sz w:val="20"/>
          <w:szCs w:val="20"/>
        </w:rPr>
        <w:t xml:space="preserve"> satellite</w:t>
      </w:r>
      <w:r w:rsidRPr="000A7C15">
        <w:rPr>
          <w:sz w:val="20"/>
          <w:szCs w:val="20"/>
        </w:rPr>
        <w:t xml:space="preserve">. </w:t>
      </w:r>
    </w:p>
    <w:p w14:paraId="35213BB6" w14:textId="0EBD1BFD" w:rsidR="00B660B8" w:rsidRDefault="00F56AFA" w:rsidP="00B660B8">
      <w:r w:rsidRPr="000A7C15">
        <w:rPr>
          <w:sz w:val="20"/>
          <w:szCs w:val="20"/>
        </w:rPr>
        <w:t xml:space="preserve">Note 3: </w:t>
      </w:r>
      <w:proofErr w:type="spellStart"/>
      <w:r w:rsidRPr="000A7C15">
        <w:rPr>
          <w:i/>
          <w:sz w:val="20"/>
          <w:szCs w:val="20"/>
        </w:rPr>
        <w:t>ε</w:t>
      </w:r>
      <w:r w:rsidRPr="000A7C15">
        <w:rPr>
          <w:i/>
          <w:sz w:val="20"/>
          <w:szCs w:val="20"/>
          <w:vertAlign w:val="subscript"/>
        </w:rPr>
        <w:t>min</w:t>
      </w:r>
      <w:proofErr w:type="spellEnd"/>
      <w:r w:rsidRPr="000A7C15">
        <w:rPr>
          <w:sz w:val="20"/>
          <w:szCs w:val="20"/>
        </w:rPr>
        <w:t xml:space="preserve"> is the minimum elevation angle permitted for an </w:t>
      </w:r>
      <w:r w:rsidR="00C832FB">
        <w:rPr>
          <w:sz w:val="20"/>
          <w:szCs w:val="20"/>
        </w:rPr>
        <w:t>e</w:t>
      </w:r>
      <w:r w:rsidRPr="000A7C15">
        <w:rPr>
          <w:sz w:val="20"/>
          <w:szCs w:val="20"/>
        </w:rPr>
        <w:t xml:space="preserve">arth station. Article 21.14 of the ITU-R Radio Regulations defines a minimum elevation angle of 3° for transmitting earth stations. </w:t>
      </w:r>
      <w:proofErr w:type="spellStart"/>
      <w:r w:rsidRPr="000A7C15">
        <w:rPr>
          <w:i/>
          <w:sz w:val="20"/>
          <w:szCs w:val="20"/>
        </w:rPr>
        <w:t>ε</w:t>
      </w:r>
      <w:r w:rsidRPr="000A7C15">
        <w:rPr>
          <w:i/>
          <w:sz w:val="20"/>
          <w:szCs w:val="20"/>
          <w:vertAlign w:val="subscript"/>
        </w:rPr>
        <w:t>s</w:t>
      </w:r>
      <w:proofErr w:type="spellEnd"/>
      <w:r w:rsidRPr="000A7C15">
        <w:rPr>
          <w:sz w:val="20"/>
          <w:szCs w:val="20"/>
        </w:rPr>
        <w:t xml:space="preserve">, </w:t>
      </w:r>
      <w:proofErr w:type="spellStart"/>
      <w:r w:rsidRPr="000A7C15">
        <w:rPr>
          <w:i/>
          <w:sz w:val="20"/>
          <w:szCs w:val="20"/>
        </w:rPr>
        <w:t>ε</w:t>
      </w:r>
      <w:r w:rsidRPr="000A7C15">
        <w:rPr>
          <w:i/>
          <w:sz w:val="20"/>
          <w:szCs w:val="20"/>
          <w:vertAlign w:val="subscript"/>
        </w:rPr>
        <w:t>h</w:t>
      </w:r>
      <w:proofErr w:type="spellEnd"/>
      <w:r w:rsidRPr="000A7C15">
        <w:rPr>
          <w:sz w:val="20"/>
          <w:szCs w:val="20"/>
        </w:rPr>
        <w:t xml:space="preserve"> and Θ</w:t>
      </w:r>
      <w:r w:rsidRPr="000A7C15">
        <w:rPr>
          <w:sz w:val="20"/>
          <w:szCs w:val="20"/>
          <w:vertAlign w:val="subscript"/>
        </w:rPr>
        <w:t>S1,S2</w:t>
      </w:r>
      <w:r w:rsidRPr="000A7C15">
        <w:rPr>
          <w:sz w:val="20"/>
          <w:szCs w:val="20"/>
        </w:rPr>
        <w:t xml:space="preserve"> are all defined in </w:t>
      </w:r>
      <w:r w:rsidRPr="00965A38">
        <w:rPr>
          <w:sz w:val="20"/>
          <w:szCs w:val="20"/>
        </w:rPr>
        <w:t xml:space="preserve">Appendix </w:t>
      </w:r>
      <w:r w:rsidR="00C61B27">
        <w:rPr>
          <w:sz w:val="20"/>
          <w:szCs w:val="20"/>
        </w:rPr>
        <w:t>F</w:t>
      </w:r>
      <w:r w:rsidR="006C274F" w:rsidRPr="00103034">
        <w:rPr>
          <w:sz w:val="20"/>
          <w:szCs w:val="20"/>
        </w:rPr>
        <w:t>.</w:t>
      </w:r>
      <w:r w:rsidR="006C274F" w:rsidRPr="00103034">
        <w:rPr>
          <w:sz w:val="20"/>
          <w:szCs w:val="20"/>
          <w:highlight w:val="yellow"/>
        </w:rPr>
        <w:t xml:space="preserve"> </w:t>
      </w:r>
      <w:r w:rsidR="00B660B8" w:rsidDel="0029194E">
        <w:t xml:space="preserve"> </w:t>
      </w:r>
    </w:p>
    <w:p w14:paraId="35679335" w14:textId="013538DA" w:rsidR="000D24CB" w:rsidRDefault="00742CC5" w:rsidP="003115AF">
      <w:pPr>
        <w:pStyle w:val="Heading2"/>
      </w:pPr>
      <w:bookmarkStart w:id="283" w:name="_Ref19697702"/>
      <w:bookmarkStart w:id="284" w:name="_Toc94773086"/>
      <w:bookmarkEnd w:id="275"/>
      <w:r w:rsidRPr="002E09DB">
        <w:t>Coordination</w:t>
      </w:r>
      <w:r>
        <w:t xml:space="preserve"> at the </w:t>
      </w:r>
      <w:r w:rsidR="00595645">
        <w:t>geographic boundary</w:t>
      </w:r>
      <w:bookmarkEnd w:id="283"/>
      <w:bookmarkEnd w:id="284"/>
    </w:p>
    <w:p w14:paraId="1BA8410F" w14:textId="5E0A07B6" w:rsidR="00410C58" w:rsidRDefault="00410C58" w:rsidP="002E09DB">
      <w:pPr>
        <w:pStyle w:val="Heading3"/>
      </w:pPr>
      <w:bookmarkStart w:id="285" w:name="_Ref30660549"/>
      <w:bookmarkStart w:id="286" w:name="_Toc94773087"/>
      <w:r>
        <w:t xml:space="preserve">Coordination at the </w:t>
      </w:r>
      <w:r w:rsidR="002E2917">
        <w:t xml:space="preserve">AWL </w:t>
      </w:r>
      <w:r>
        <w:t>boundary</w:t>
      </w:r>
      <w:bookmarkEnd w:id="285"/>
      <w:bookmarkEnd w:id="286"/>
    </w:p>
    <w:p w14:paraId="78BF412C" w14:textId="0B5DD2CC" w:rsidR="00452465" w:rsidRDefault="00452465" w:rsidP="00452465">
      <w:r>
        <w:t xml:space="preserve">Co-channel interference between area-adjacent AWL services is managed through coordination </w:t>
      </w:r>
      <w:r w:rsidR="00D327D7">
        <w:t>at</w:t>
      </w:r>
      <w:r>
        <w:t xml:space="preserve"> the geographic boundary (detailed in this section) and the coordination requirements detailed in section </w:t>
      </w:r>
      <w:r>
        <w:fldChar w:fldCharType="begin"/>
      </w:r>
      <w:r>
        <w:instrText xml:space="preserve"> REF _Ref83649553 \r \h </w:instrText>
      </w:r>
      <w:r>
        <w:fldChar w:fldCharType="separate"/>
      </w:r>
      <w:r w:rsidR="009E3A92">
        <w:t>3.1</w:t>
      </w:r>
      <w:r>
        <w:fldChar w:fldCharType="end"/>
      </w:r>
      <w:r>
        <w:t xml:space="preserve">. </w:t>
      </w:r>
    </w:p>
    <w:p w14:paraId="14569183" w14:textId="77777777" w:rsidR="00452465" w:rsidRDefault="00452465" w:rsidP="00410C58"/>
    <w:p w14:paraId="3F581081" w14:textId="2435F0C4" w:rsidR="00F23E1B" w:rsidRDefault="00AD2C7F" w:rsidP="00410C58">
      <w:r>
        <w:lastRenderedPageBreak/>
        <w:t>A</w:t>
      </w:r>
      <w:r w:rsidR="00410C58">
        <w:t xml:space="preserve">n </w:t>
      </w:r>
      <w:r w:rsidR="002E2917">
        <w:rPr>
          <w:rFonts w:cs="Arial"/>
        </w:rPr>
        <w:t xml:space="preserve">AWL </w:t>
      </w:r>
      <w:r w:rsidR="00410C58">
        <w:t xml:space="preserve">transmitter must not be </w:t>
      </w:r>
      <w:r>
        <w:t xml:space="preserve">registered </w:t>
      </w:r>
      <w:r w:rsidR="00410C58">
        <w:t xml:space="preserve">in the RRL if the </w:t>
      </w:r>
      <w:r w:rsidR="0001395E">
        <w:t>pfd</w:t>
      </w:r>
      <w:r w:rsidR="00410C58">
        <w:t xml:space="preserve"> </w:t>
      </w:r>
      <w:r w:rsidR="003071C2">
        <w:t xml:space="preserve">at </w:t>
      </w:r>
      <w:r w:rsidR="00604FDD">
        <w:t>the</w:t>
      </w:r>
      <w:r w:rsidR="00645555">
        <w:t xml:space="preserve"> boundary of the</w:t>
      </w:r>
      <w:r w:rsidR="00604FDD">
        <w:t xml:space="preserve"> geographic area authorise</w:t>
      </w:r>
      <w:r w:rsidR="00826AB5">
        <w:t>d</w:t>
      </w:r>
      <w:r w:rsidR="00604FDD">
        <w:t xml:space="preserve"> by the licence, caused by</w:t>
      </w:r>
      <w:r w:rsidR="00CD1581">
        <w:t xml:space="preserve"> the proposed transmitter</w:t>
      </w:r>
      <w:r w:rsidR="00604FDD">
        <w:t>, would</w:t>
      </w:r>
      <w:r w:rsidR="00410C58">
        <w:t xml:space="preserve"> exceed</w:t>
      </w:r>
      <w:r w:rsidR="00604FDD">
        <w:t xml:space="preserve"> </w:t>
      </w:r>
      <w:r w:rsidR="00410C58">
        <w:t>t</w:t>
      </w:r>
      <w:r w:rsidR="00604FDD">
        <w:t>he</w:t>
      </w:r>
      <w:r w:rsidR="00410C58">
        <w:t xml:space="preserve"> levels</w:t>
      </w:r>
      <w:r w:rsidR="00604FDD">
        <w:t xml:space="preserve"> detailed</w:t>
      </w:r>
      <w:r w:rsidR="00410C58">
        <w:t xml:space="preserve"> in Table </w:t>
      </w:r>
      <w:r w:rsidR="005F3911">
        <w:t>5</w:t>
      </w:r>
      <w:r w:rsidR="00CD1581">
        <w:t xml:space="preserve">. </w:t>
      </w:r>
      <w:r w:rsidR="00731D70">
        <w:t xml:space="preserve">The pfd limits in Table </w:t>
      </w:r>
      <w:r w:rsidR="005F3911">
        <w:t>5</w:t>
      </w:r>
      <w:r w:rsidR="00731D70">
        <w:t xml:space="preserve"> are designed to provide adequate protection to user devices (which are not included in the RRL) without placing overly onerous restrictions on where base stations could be deployed.</w:t>
      </w:r>
    </w:p>
    <w:p w14:paraId="6EAC2D8C" w14:textId="4462557C" w:rsidR="009704B5" w:rsidRDefault="00276B2A" w:rsidP="00410C58">
      <w:r>
        <w:t xml:space="preserve">In Table </w:t>
      </w:r>
      <w:r w:rsidR="005F3911">
        <w:t>5</w:t>
      </w:r>
      <w:r>
        <w:t>, t</w:t>
      </w:r>
      <w:r w:rsidR="00F23E1B">
        <w:t xml:space="preserve">he limits for transmitters in 24.7-27.5 GHz allow pfd emissions </w:t>
      </w:r>
      <w:r w:rsidR="00E6054C">
        <w:t xml:space="preserve">at the geographic boundary </w:t>
      </w:r>
      <w:r w:rsidR="00F23E1B">
        <w:t>to be 8 dB higher for transmitters using an active antenna system</w:t>
      </w:r>
      <w:r w:rsidR="00C72DFC">
        <w:t xml:space="preserve"> (AAS)</w:t>
      </w:r>
      <w:r w:rsidR="00F23E1B">
        <w:rPr>
          <w:rStyle w:val="FootnoteReference"/>
        </w:rPr>
        <w:footnoteReference w:id="16"/>
      </w:r>
      <w:r w:rsidR="00E6054C">
        <w:t>.</w:t>
      </w:r>
      <w:r w:rsidR="00F23E1B">
        <w:t xml:space="preserve"> </w:t>
      </w:r>
      <w:r w:rsidR="00E6054C">
        <w:t xml:space="preserve">This provision is </w:t>
      </w:r>
      <w:r w:rsidR="00F23E1B">
        <w:t xml:space="preserve">based on the </w:t>
      </w:r>
      <w:r w:rsidR="00C72DFC">
        <w:t xml:space="preserve">dynamic behaviour of AAS beams when serving mobile traffic and the </w:t>
      </w:r>
      <w:r w:rsidR="009704B5">
        <w:t>non-deterministic nature of the interference environment (in particular the likelihood of an AAS beam dwelling on a specific azimuth/elevation for a protracted period of time)</w:t>
      </w:r>
      <w:r w:rsidR="000873A9">
        <w:t xml:space="preserve">. </w:t>
      </w:r>
    </w:p>
    <w:p w14:paraId="6DFA018A" w14:textId="0B765E6D" w:rsidR="00F23E1B" w:rsidRDefault="009704B5" w:rsidP="009704B5">
      <w:r>
        <w:t>However, t</w:t>
      </w:r>
      <w:r w:rsidR="000873A9">
        <w:t xml:space="preserve">his rationale </w:t>
      </w:r>
      <w:r w:rsidR="00485017">
        <w:t>does</w:t>
      </w:r>
      <w:r w:rsidR="000873A9">
        <w:t xml:space="preserve"> not directly </w:t>
      </w:r>
      <w:r>
        <w:t>apply</w:t>
      </w:r>
      <w:r w:rsidR="000873A9">
        <w:t xml:space="preserve"> for transmitters above 27.5 GHz given no mobile operation is permitted</w:t>
      </w:r>
      <w:r w:rsidR="00276B2A">
        <w:t xml:space="preserve"> (fixed user terminals will mean base station beam steering will be less </w:t>
      </w:r>
      <w:r>
        <w:t>dynamic even when AAS are employed</w:t>
      </w:r>
      <w:r w:rsidR="00276B2A">
        <w:t xml:space="preserve">). </w:t>
      </w:r>
      <w:r>
        <w:t>That said</w:t>
      </w:r>
      <w:r w:rsidR="000873A9">
        <w:t xml:space="preserve">, </w:t>
      </w:r>
      <w:r>
        <w:t xml:space="preserve">given the expected deployment of NGSO and FWA (base stations) </w:t>
      </w:r>
      <w:r w:rsidR="00485017">
        <w:t xml:space="preserve">which </w:t>
      </w:r>
      <w:r>
        <w:t>will have some time variance in terms of antenna steering (albeit less dynamic than a mobile scenario), it has been determined that specifying a</w:t>
      </w:r>
      <w:r w:rsidR="00276B2A">
        <w:t xml:space="preserve"> percent</w:t>
      </w:r>
      <w:r>
        <w:t>age</w:t>
      </w:r>
      <w:r w:rsidR="00276B2A">
        <w:t xml:space="preserve"> of time that </w:t>
      </w:r>
      <w:r w:rsidR="000873A9">
        <w:t>the pfd limit</w:t>
      </w:r>
      <w:r w:rsidR="00276B2A">
        <w:t xml:space="preserve"> can be exceed</w:t>
      </w:r>
      <w:r>
        <w:t>ed</w:t>
      </w:r>
      <w:r w:rsidR="00276B2A">
        <w:t xml:space="preserve"> for </w:t>
      </w:r>
      <w:r>
        <w:t>will provide</w:t>
      </w:r>
      <w:r w:rsidR="00276B2A">
        <w:t xml:space="preserve"> a more balanced approach </w:t>
      </w:r>
      <w:r w:rsidR="00E6054C">
        <w:t>for</w:t>
      </w:r>
      <w:r>
        <w:t xml:space="preserve"> these types of</w:t>
      </w:r>
      <w:r w:rsidR="00E6054C">
        <w:t xml:space="preserve"> transmitters</w:t>
      </w:r>
      <w:r>
        <w:t>.</w:t>
      </w:r>
    </w:p>
    <w:p w14:paraId="2E8AE359" w14:textId="79D3EA5E" w:rsidR="00410C58" w:rsidRDefault="00604FDD" w:rsidP="00410C58">
      <w:r>
        <w:t xml:space="preserve">The limits in Table </w:t>
      </w:r>
      <w:r w:rsidR="005F3911">
        <w:t>5</w:t>
      </w:r>
      <w:r>
        <w:t xml:space="preserve"> only need to be met </w:t>
      </w:r>
      <w:r w:rsidR="00B060B1">
        <w:t>at the licence</w:t>
      </w:r>
      <w:r w:rsidR="009704B5">
        <w:t xml:space="preserve"> area</w:t>
      </w:r>
      <w:r w:rsidR="00B060B1">
        <w:t xml:space="preserve"> boundary, higher </w:t>
      </w:r>
      <w:r w:rsidR="0001395E">
        <w:t>pfd</w:t>
      </w:r>
      <w:r w:rsidR="00B060B1">
        <w:t xml:space="preserve"> level</w:t>
      </w:r>
      <w:r w:rsidR="000B2168">
        <w:t>s</w:t>
      </w:r>
      <w:r w:rsidR="00B060B1">
        <w:t xml:space="preserve"> beyond the boundary can be ignored.</w:t>
      </w:r>
      <w:r w:rsidR="00F326D2">
        <w:t xml:space="preserve"> Further examples are contained in </w:t>
      </w:r>
      <w:r w:rsidR="007040AE">
        <w:t xml:space="preserve">Appendix </w:t>
      </w:r>
      <w:r w:rsidR="00C61B27">
        <w:t>C</w:t>
      </w:r>
      <w:r w:rsidR="007040AE">
        <w:t>.</w:t>
      </w:r>
      <w:r w:rsidR="001E32E9">
        <w:t xml:space="preserve"> The limits in Table </w:t>
      </w:r>
      <w:r w:rsidR="005F3911">
        <w:t>5</w:t>
      </w:r>
      <w:r w:rsidR="001E32E9">
        <w:t xml:space="preserve"> apply at all frequencies authorised by the licence.</w:t>
      </w:r>
    </w:p>
    <w:p w14:paraId="3AE74493" w14:textId="26FA7317" w:rsidR="004B5B9F" w:rsidRDefault="004B5B9F" w:rsidP="00E874BC">
      <w:pPr>
        <w:pStyle w:val="ACMATableHeader"/>
      </w:pPr>
      <w:r>
        <w:t>P</w:t>
      </w:r>
      <w:r w:rsidR="0001395E">
        <w:t>fd</w:t>
      </w:r>
      <w:r>
        <w:t xml:space="preserve"> limits at the geographic boundary</w:t>
      </w:r>
    </w:p>
    <w:tbl>
      <w:tblPr>
        <w:tblStyle w:val="TableGrid"/>
        <w:tblW w:w="0" w:type="auto"/>
        <w:tblLook w:val="04A0" w:firstRow="1" w:lastRow="0" w:firstColumn="1" w:lastColumn="0" w:noHBand="0" w:noVBand="1"/>
      </w:tblPr>
      <w:tblGrid>
        <w:gridCol w:w="3114"/>
        <w:gridCol w:w="4547"/>
      </w:tblGrid>
      <w:tr w:rsidR="00410C58" w14:paraId="4970B277" w14:textId="77777777" w:rsidTr="00977ED9">
        <w:tc>
          <w:tcPr>
            <w:tcW w:w="3114" w:type="dxa"/>
          </w:tcPr>
          <w:p w14:paraId="149FABC0" w14:textId="53DB2E01" w:rsidR="00410C58" w:rsidRPr="00977ED9" w:rsidRDefault="00F23E1B" w:rsidP="00410C58">
            <w:pPr>
              <w:rPr>
                <w:b/>
                <w:bCs/>
              </w:rPr>
            </w:pPr>
            <w:r w:rsidRPr="00977ED9">
              <w:rPr>
                <w:b/>
                <w:bCs/>
              </w:rPr>
              <w:t>Transmitter operating range</w:t>
            </w:r>
            <w:r w:rsidR="00707150" w:rsidRPr="00977ED9">
              <w:rPr>
                <w:rStyle w:val="FootnoteReference"/>
                <w:b/>
                <w:bCs/>
              </w:rPr>
              <w:footnoteReference w:id="17"/>
            </w:r>
          </w:p>
        </w:tc>
        <w:tc>
          <w:tcPr>
            <w:tcW w:w="4547" w:type="dxa"/>
          </w:tcPr>
          <w:p w14:paraId="4C8C9D05" w14:textId="711E11EB" w:rsidR="00410C58" w:rsidRPr="00977ED9" w:rsidRDefault="0001395E" w:rsidP="00410C58">
            <w:pPr>
              <w:rPr>
                <w:b/>
                <w:bCs/>
              </w:rPr>
            </w:pPr>
            <w:r w:rsidRPr="00977ED9">
              <w:rPr>
                <w:b/>
                <w:bCs/>
              </w:rPr>
              <w:t>pfd</w:t>
            </w:r>
            <w:r w:rsidR="00410C58" w:rsidRPr="00977ED9">
              <w:rPr>
                <w:b/>
                <w:bCs/>
              </w:rPr>
              <w:t xml:space="preserve"> limit (dBW/m</w:t>
            </w:r>
            <w:r w:rsidR="00410C58" w:rsidRPr="00977ED9">
              <w:rPr>
                <w:rFonts w:cs="Arial"/>
                <w:b/>
                <w:bCs/>
              </w:rPr>
              <w:t>²</w:t>
            </w:r>
            <w:r w:rsidR="00410C58" w:rsidRPr="00977ED9">
              <w:rPr>
                <w:b/>
                <w:bCs/>
              </w:rPr>
              <w:t>/MHz measured at a height of 5 metres above the ground)</w:t>
            </w:r>
          </w:p>
        </w:tc>
      </w:tr>
      <w:tr w:rsidR="00F23E1B" w14:paraId="6CD1C3AA" w14:textId="77777777" w:rsidTr="00977ED9">
        <w:tc>
          <w:tcPr>
            <w:tcW w:w="3114" w:type="dxa"/>
            <w:vMerge w:val="restart"/>
          </w:tcPr>
          <w:p w14:paraId="0EAA01D1" w14:textId="39A8D474" w:rsidR="00F23E1B" w:rsidRDefault="00F23E1B" w:rsidP="00410C58">
            <w:r>
              <w:t xml:space="preserve">24.7-27.5 GHz </w:t>
            </w:r>
          </w:p>
          <w:p w14:paraId="037B5D6B" w14:textId="04E615AF" w:rsidR="00F23E1B" w:rsidRDefault="00F23E1B" w:rsidP="00410C58"/>
        </w:tc>
        <w:tc>
          <w:tcPr>
            <w:tcW w:w="4547" w:type="dxa"/>
          </w:tcPr>
          <w:p w14:paraId="2EBB91B6" w14:textId="09DA843D" w:rsidR="00F23E1B" w:rsidRDefault="00F23E1B" w:rsidP="00236379">
            <w:pPr>
              <w:jc w:val="center"/>
            </w:pPr>
            <w:r>
              <w:t>For transmitter</w:t>
            </w:r>
            <w:r w:rsidR="00AC6A19">
              <w:t xml:space="preserve">s incorporating </w:t>
            </w:r>
            <w:r>
              <w:t>an active antenna system: -83</w:t>
            </w:r>
          </w:p>
        </w:tc>
      </w:tr>
      <w:tr w:rsidR="00F23E1B" w14:paraId="2F638AFC" w14:textId="77777777" w:rsidTr="00977ED9">
        <w:tc>
          <w:tcPr>
            <w:tcW w:w="3114" w:type="dxa"/>
            <w:vMerge/>
          </w:tcPr>
          <w:p w14:paraId="464C34B6" w14:textId="0C59DBF8" w:rsidR="00F23E1B" w:rsidRDefault="00F23E1B" w:rsidP="00410C58"/>
        </w:tc>
        <w:tc>
          <w:tcPr>
            <w:tcW w:w="4547" w:type="dxa"/>
          </w:tcPr>
          <w:p w14:paraId="748F0FF1" w14:textId="59F853EE" w:rsidR="00F23E1B" w:rsidRDefault="00F23E1B" w:rsidP="00236379">
            <w:pPr>
              <w:jc w:val="center"/>
            </w:pPr>
            <w:r>
              <w:t>For transmitters without an active antenna system: -91</w:t>
            </w:r>
          </w:p>
        </w:tc>
      </w:tr>
      <w:tr w:rsidR="00F23E1B" w14:paraId="39395016" w14:textId="77777777" w:rsidTr="00977ED9">
        <w:tc>
          <w:tcPr>
            <w:tcW w:w="3114" w:type="dxa"/>
          </w:tcPr>
          <w:p w14:paraId="1992210E" w14:textId="7AC9BC7C" w:rsidR="00F23E1B" w:rsidDel="00F23E1B" w:rsidRDefault="00F23E1B" w:rsidP="00410C58">
            <w:r>
              <w:t>27.5-29.5 GHz</w:t>
            </w:r>
          </w:p>
        </w:tc>
        <w:tc>
          <w:tcPr>
            <w:tcW w:w="4547" w:type="dxa"/>
          </w:tcPr>
          <w:p w14:paraId="160AD926" w14:textId="1C7541C7" w:rsidR="00F23E1B" w:rsidRDefault="00F23E1B" w:rsidP="00236379">
            <w:pPr>
              <w:jc w:val="center"/>
            </w:pPr>
            <w:r>
              <w:t>-91, not to be exceeded for more tha</w:t>
            </w:r>
            <w:r w:rsidR="00276B2A">
              <w:t>n</w:t>
            </w:r>
            <w:r>
              <w:t xml:space="preserve"> 5% of time</w:t>
            </w:r>
            <w:r w:rsidR="00AC6A19">
              <w:t xml:space="preserve"> within a 24 hour window</w:t>
            </w:r>
          </w:p>
        </w:tc>
      </w:tr>
    </w:tbl>
    <w:p w14:paraId="56BDC58E" w14:textId="77777777" w:rsidR="00200F2E" w:rsidRDefault="00200F2E" w:rsidP="00155221">
      <w:pPr>
        <w:pStyle w:val="ListBullet"/>
        <w:numPr>
          <w:ilvl w:val="0"/>
          <w:numId w:val="0"/>
        </w:numPr>
      </w:pPr>
    </w:p>
    <w:p w14:paraId="7DC763F1" w14:textId="15F4C340" w:rsidR="00410C58" w:rsidRDefault="00E82391" w:rsidP="003C6FC5">
      <w:pPr>
        <w:pStyle w:val="ListBullet"/>
        <w:numPr>
          <w:ilvl w:val="0"/>
          <w:numId w:val="0"/>
        </w:numPr>
        <w:spacing w:after="120"/>
      </w:pPr>
      <w:r>
        <w:t>The p</w:t>
      </w:r>
      <w:r w:rsidR="0001395E">
        <w:t>fd</w:t>
      </w:r>
      <w:r>
        <w:t xml:space="preserve"> limits in Table </w:t>
      </w:r>
      <w:r w:rsidR="005F3911">
        <w:t>5</w:t>
      </w:r>
      <w:r>
        <w:t xml:space="preserve"> do not apply</w:t>
      </w:r>
      <w:r w:rsidR="007A6A0A">
        <w:t>:</w:t>
      </w:r>
    </w:p>
    <w:p w14:paraId="0B9A557F" w14:textId="69F33CFF" w:rsidR="007A6A0A" w:rsidRDefault="007A6A0A" w:rsidP="007A6A0A">
      <w:pPr>
        <w:pStyle w:val="ListBullet"/>
      </w:pPr>
      <w:r>
        <w:t xml:space="preserve">In the range 25.1-27.5 GHz and at parts of the geographic boundary authorised by the </w:t>
      </w:r>
      <w:r w:rsidR="002E2917">
        <w:rPr>
          <w:rFonts w:cs="Arial"/>
        </w:rPr>
        <w:t xml:space="preserve">AWL </w:t>
      </w:r>
      <w:r>
        <w:t xml:space="preserve">which are directly adjacent to the geographic areas listed in the Radiocommunications (Spectrum Re-allocation—26 GHz Band) </w:t>
      </w:r>
      <w:r>
        <w:lastRenderedPageBreak/>
        <w:t xml:space="preserve">Declaration 2019 (the 26 GHz reallocation declaration). See subsection </w:t>
      </w:r>
      <w:r w:rsidR="005F3911">
        <w:fldChar w:fldCharType="begin"/>
      </w:r>
      <w:r w:rsidR="005F3911">
        <w:instrText xml:space="preserve"> REF _Ref30081529 \r \h </w:instrText>
      </w:r>
      <w:r w:rsidR="005F3911">
        <w:fldChar w:fldCharType="separate"/>
      </w:r>
      <w:r w:rsidR="009E3A92">
        <w:t>3.3.2</w:t>
      </w:r>
      <w:r w:rsidR="005F3911">
        <w:fldChar w:fldCharType="end"/>
      </w:r>
      <w:r>
        <w:t xml:space="preserve"> for coordination at the spectrum licence boundary.</w:t>
      </w:r>
    </w:p>
    <w:p w14:paraId="1DEF314B" w14:textId="2EFFD1E8" w:rsidR="00BD74D6" w:rsidRDefault="00BD74D6" w:rsidP="007A6A0A">
      <w:pPr>
        <w:pStyle w:val="ListBullet"/>
      </w:pPr>
      <w:r>
        <w:t xml:space="preserve">At parts of the geographic boundary authorised by the </w:t>
      </w:r>
      <w:r>
        <w:rPr>
          <w:rFonts w:cs="Arial"/>
        </w:rPr>
        <w:t xml:space="preserve">AWL </w:t>
      </w:r>
      <w:r>
        <w:t>which are directly adjacent to the geographic area</w:t>
      </w:r>
      <w:r w:rsidR="006A5004">
        <w:t xml:space="preserve"> of one or more</w:t>
      </w:r>
      <w:r>
        <w:t xml:space="preserve"> AWL</w:t>
      </w:r>
      <w:r w:rsidR="006A5004">
        <w:t>s</w:t>
      </w:r>
      <w:r>
        <w:t xml:space="preserve"> (which also authorises operation in the </w:t>
      </w:r>
      <w:r w:rsidR="00E01B59">
        <w:t>frequency</w:t>
      </w:r>
      <w:r>
        <w:t xml:space="preserve"> range of the </w:t>
      </w:r>
      <w:r w:rsidR="00E01B59">
        <w:t>proposed</w:t>
      </w:r>
      <w:r>
        <w:t xml:space="preserve"> transmitter), and there is an active agreement in place with the other licensee(s).</w:t>
      </w:r>
      <w:r w:rsidR="00E01B59">
        <w:t xml:space="preserve"> </w:t>
      </w:r>
      <w:r w:rsidR="009F56AF">
        <w:t>Under this exemption,</w:t>
      </w:r>
      <w:r w:rsidR="00E01B59">
        <w:t xml:space="preserve"> the limits in Table </w:t>
      </w:r>
      <w:r w:rsidR="007C0222">
        <w:t>5</w:t>
      </w:r>
      <w:r w:rsidR="00E01B59">
        <w:t xml:space="preserve"> would still need to be met at the geographic boundary of the other AWL(s).</w:t>
      </w:r>
      <w:r>
        <w:t xml:space="preserve"> This exemption would no longer apply if any relevant AWL </w:t>
      </w:r>
      <w:proofErr w:type="gramStart"/>
      <w:r>
        <w:t>is</w:t>
      </w:r>
      <w:proofErr w:type="gramEnd"/>
      <w:r>
        <w:t xml:space="preserve"> no longer effective in the future (e.g. they have expired or were cancelled).</w:t>
      </w:r>
    </w:p>
    <w:p w14:paraId="763DFDF6" w14:textId="1D84EA1E" w:rsidR="00200F2E" w:rsidRDefault="007A6A0A" w:rsidP="00977ED9">
      <w:pPr>
        <w:pStyle w:val="ListBullet"/>
      </w:pPr>
      <w:r>
        <w:t xml:space="preserve">In the range 25.5-27 GHz and at parts of the geographic boundary authorised by the </w:t>
      </w:r>
      <w:r w:rsidR="002E2917">
        <w:t xml:space="preserve">AWL </w:t>
      </w:r>
      <w:r>
        <w:t>which are directly adjacent to HCIS cells MW4H6 or BV2A3</w:t>
      </w:r>
      <w:r w:rsidR="004B5B9F">
        <w:t xml:space="preserve"> (requirements to protect SRS earth stations in these cells are detailed in section</w:t>
      </w:r>
      <w:r w:rsidR="00C90570">
        <w:t xml:space="preserve"> </w:t>
      </w:r>
      <w:r w:rsidR="007C0222">
        <w:fldChar w:fldCharType="begin"/>
      </w:r>
      <w:r w:rsidR="007C0222">
        <w:instrText xml:space="preserve"> REF _Ref16690549 \r \h </w:instrText>
      </w:r>
      <w:r w:rsidR="007C0222">
        <w:fldChar w:fldCharType="separate"/>
      </w:r>
      <w:r w:rsidR="009E3A92">
        <w:t>3.4</w:t>
      </w:r>
      <w:r w:rsidR="007C0222">
        <w:fldChar w:fldCharType="end"/>
      </w:r>
      <w:r w:rsidR="00A71F8E">
        <w:t>)</w:t>
      </w:r>
      <w:r>
        <w:t>.</w:t>
      </w:r>
      <w:r w:rsidR="00200F2E" w:rsidRPr="00200F2E">
        <w:t xml:space="preserve"> </w:t>
      </w:r>
    </w:p>
    <w:p w14:paraId="5DAE9FD5" w14:textId="4107BC64" w:rsidR="007B1D28" w:rsidRDefault="007B1D28" w:rsidP="00103034">
      <w:pPr>
        <w:pStyle w:val="ListBullet"/>
      </w:pPr>
      <w:r>
        <w:t>For earth station transmitters</w:t>
      </w:r>
      <w:r w:rsidR="003751A9">
        <w:t xml:space="preserve"> in sole-primary frequencies/areas</w:t>
      </w:r>
      <w:r>
        <w:t>,</w:t>
      </w:r>
      <w:r w:rsidR="003751A9">
        <w:t xml:space="preserve"> </w:t>
      </w:r>
      <w:r w:rsidR="003751A9" w:rsidRPr="004B5B9F">
        <w:t>except at a boundary of a defined area.</w:t>
      </w:r>
      <w:r w:rsidR="00F8153B">
        <w:rPr>
          <w:rStyle w:val="FootnoteReference"/>
        </w:rPr>
        <w:footnoteReference w:id="18"/>
      </w:r>
      <w:r>
        <w:t xml:space="preserve"> </w:t>
      </w:r>
      <w:r w:rsidR="003751A9">
        <w:t xml:space="preserve">If the </w:t>
      </w:r>
      <w:r w:rsidR="003751A9" w:rsidRPr="00820CCF">
        <w:t>pfd</w:t>
      </w:r>
      <w:r w:rsidR="003751A9">
        <w:t xml:space="preserve"> limit is exceeded at a defined area boundary then additional area within the defined area can be included on the licence (subject to availability).</w:t>
      </w:r>
    </w:p>
    <w:p w14:paraId="60D31DAB" w14:textId="7AEE8B33" w:rsidR="004C5BFB" w:rsidRDefault="004C5BFB" w:rsidP="00977ED9">
      <w:pPr>
        <w:pStyle w:val="ListBulletLast"/>
      </w:pPr>
      <w:r>
        <w:t>For e</w:t>
      </w:r>
      <w:r w:rsidR="00203445">
        <w:t xml:space="preserve">missions in the </w:t>
      </w:r>
      <w:r>
        <w:t>frequency range 29.5-30 GHz</w:t>
      </w:r>
      <w:r w:rsidR="008E049A">
        <w:t>.</w:t>
      </w:r>
      <w:r w:rsidR="0001000E" w:rsidRPr="0001000E">
        <w:rPr>
          <w:vertAlign w:val="superscript"/>
        </w:rPr>
        <w:t>17</w:t>
      </w:r>
    </w:p>
    <w:p w14:paraId="700CDE2B" w14:textId="6356E7DD" w:rsidR="00783DDA" w:rsidRDefault="00200F2E" w:rsidP="007A6A0A">
      <w:bookmarkStart w:id="287" w:name="_Hlk51569298"/>
      <w:r>
        <w:t xml:space="preserve">Calculation of the </w:t>
      </w:r>
      <w:r w:rsidR="0001395E">
        <w:t>pfd</w:t>
      </w:r>
      <w:r>
        <w:t xml:space="preserve"> at the area boundary is </w:t>
      </w:r>
      <w:r w:rsidR="004F6938">
        <w:t>not</w:t>
      </w:r>
      <w:r>
        <w:t xml:space="preserve"> required when the distance from the proposed transmitter to the licence boundary exceeds the minimum distances</w:t>
      </w:r>
      <w:bookmarkEnd w:id="287"/>
      <w:r>
        <w:t xml:space="preserve"> shown in Figure</w:t>
      </w:r>
      <w:r w:rsidR="0029320B">
        <w:t>s</w:t>
      </w:r>
      <w:r>
        <w:t xml:space="preserve"> </w:t>
      </w:r>
      <w:r w:rsidR="007C0222">
        <w:t>3</w:t>
      </w:r>
      <w:r w:rsidR="0029320B">
        <w:t xml:space="preserve"> and </w:t>
      </w:r>
      <w:r w:rsidR="007C0222">
        <w:t>4</w:t>
      </w:r>
      <w:r w:rsidR="0029320B">
        <w:t>, for the maximum EIRP level of the transmitter</w:t>
      </w:r>
      <w:r>
        <w:t>.</w:t>
      </w:r>
      <w:r w:rsidR="00935FB0">
        <w:rPr>
          <w:rStyle w:val="FootnoteReference"/>
        </w:rPr>
        <w:footnoteReference w:id="19"/>
      </w:r>
      <w:r>
        <w:t xml:space="preserve">  </w:t>
      </w:r>
    </w:p>
    <w:p w14:paraId="192CD6DD" w14:textId="6DFEABC3" w:rsidR="00912CC2" w:rsidRDefault="00912CC2" w:rsidP="007A6A0A"/>
    <w:p w14:paraId="5E104F46" w14:textId="55898B1D" w:rsidR="00912CC2" w:rsidRDefault="00912CC2" w:rsidP="007A6A0A"/>
    <w:p w14:paraId="18AACE13" w14:textId="1C58C012" w:rsidR="00912CC2" w:rsidRDefault="00912CC2" w:rsidP="007A6A0A"/>
    <w:p w14:paraId="13CD238C" w14:textId="0F4EEBF0" w:rsidR="00912CC2" w:rsidRDefault="00912CC2" w:rsidP="007A6A0A"/>
    <w:p w14:paraId="61BE1D5E" w14:textId="116E2E77" w:rsidR="00912CC2" w:rsidRDefault="00912CC2" w:rsidP="007A6A0A"/>
    <w:p w14:paraId="4AF95329" w14:textId="190204F0" w:rsidR="00912CC2" w:rsidRDefault="00912CC2" w:rsidP="007A6A0A"/>
    <w:p w14:paraId="7D8418D1" w14:textId="7D2C4338" w:rsidR="00912CC2" w:rsidRDefault="00912CC2" w:rsidP="007A6A0A"/>
    <w:p w14:paraId="261BAFEF" w14:textId="6A3A8722" w:rsidR="00912CC2" w:rsidRDefault="00912CC2" w:rsidP="007A6A0A"/>
    <w:p w14:paraId="625F140B" w14:textId="1366AB59" w:rsidR="00912CC2" w:rsidRDefault="00912CC2" w:rsidP="007A6A0A"/>
    <w:p w14:paraId="64C842BB" w14:textId="77777777" w:rsidR="00912CC2" w:rsidRDefault="00912CC2" w:rsidP="007A6A0A"/>
    <w:p w14:paraId="27DD295C" w14:textId="6D742E14" w:rsidR="0029320B" w:rsidRDefault="0029320B" w:rsidP="0029320B">
      <w:pPr>
        <w:pStyle w:val="ACMAFigureHeader"/>
      </w:pPr>
      <w:r>
        <w:lastRenderedPageBreak/>
        <w:t>Minimum distance from licence boundary where the pfd limits do not need to be calculated – for distances less than 50km</w:t>
      </w:r>
    </w:p>
    <w:p w14:paraId="0BA08363" w14:textId="63595BB5" w:rsidR="0029320B" w:rsidRDefault="0029320B" w:rsidP="007A6A0A">
      <w:r>
        <w:rPr>
          <w:noProof/>
        </w:rPr>
        <w:drawing>
          <wp:inline distT="0" distB="0" distL="0" distR="0" wp14:anchorId="2A4F0C47" wp14:editId="2B5B1968">
            <wp:extent cx="4871085" cy="3086100"/>
            <wp:effectExtent l="0" t="0" r="5715" b="0"/>
            <wp:docPr id="11" name="Chart 11" descr="If you have problems reading or accessing this document, please phone ACMA on 1300 850 115 or email info@acma.gov.au">
              <a:extLst xmlns:a="http://schemas.openxmlformats.org/drawingml/2006/main">
                <a:ext uri="{FF2B5EF4-FFF2-40B4-BE49-F238E27FC236}">
                  <a16:creationId xmlns:a16="http://schemas.microsoft.com/office/drawing/2014/main" id="{8EE97D48-4CA4-47D8-BC8C-9295DA37C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1FCD0A3" w14:textId="7434E71E" w:rsidR="0029320B" w:rsidRDefault="0029320B" w:rsidP="003C6FC5">
      <w:pPr>
        <w:pStyle w:val="ACMAFigureHeader"/>
        <w:keepNext/>
        <w:keepLines/>
      </w:pPr>
      <w:r>
        <w:t>Minimum distance from licence boundary where the pfd limits do not need to be calculated – for distances greater than 50km</w:t>
      </w:r>
    </w:p>
    <w:p w14:paraId="5915F1CF" w14:textId="395F1453" w:rsidR="0029320B" w:rsidRDefault="0029320B" w:rsidP="007A6A0A">
      <w:r>
        <w:rPr>
          <w:noProof/>
        </w:rPr>
        <w:drawing>
          <wp:inline distT="0" distB="0" distL="0" distR="0" wp14:anchorId="70E5BCAF" wp14:editId="31C5D5C7">
            <wp:extent cx="4871085" cy="3076575"/>
            <wp:effectExtent l="0" t="0" r="5715" b="9525"/>
            <wp:docPr id="12" name="Chart 12" descr="If you have problems reading or accessing this document, please phone ACMA on 1300 850 115 or email info@acma.gov.au">
              <a:extLst xmlns:a="http://schemas.openxmlformats.org/drawingml/2006/main">
                <a:ext uri="{FF2B5EF4-FFF2-40B4-BE49-F238E27FC236}">
                  <a16:creationId xmlns:a16="http://schemas.microsoft.com/office/drawing/2014/main" id="{8EE97D48-4CA4-47D8-BC8C-9295DA37C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DE6E8BE" w14:textId="56820002" w:rsidR="007A6A0A" w:rsidRDefault="00CD1581" w:rsidP="003C6FC5">
      <w:pPr>
        <w:spacing w:after="120"/>
      </w:pPr>
      <w:r>
        <w:t>When</w:t>
      </w:r>
      <w:r w:rsidR="007A6A0A">
        <w:t xml:space="preserve"> calculating the p</w:t>
      </w:r>
      <w:r w:rsidR="0001395E">
        <w:t>fd</w:t>
      </w:r>
      <w:r>
        <w:t xml:space="preserve"> at the boundary the assigner should apply good engineering practice and consider all factors which may impact the actual pfd level for the proposed transmitter. These factors may include, but are not limited to</w:t>
      </w:r>
      <w:r w:rsidR="007A6A0A">
        <w:t>, the following</w:t>
      </w:r>
      <w:r>
        <w:t>:</w:t>
      </w:r>
    </w:p>
    <w:p w14:paraId="749CCDC6" w14:textId="3296ED94" w:rsidR="007A6A0A" w:rsidRDefault="00A64F64" w:rsidP="007A6A0A">
      <w:pPr>
        <w:pStyle w:val="ListBullet"/>
      </w:pPr>
      <w:r>
        <w:t>Transmitter parameters including:</w:t>
      </w:r>
    </w:p>
    <w:p w14:paraId="5B20AB07" w14:textId="544731E1" w:rsidR="00A64F64" w:rsidRDefault="00A64F64" w:rsidP="00A64F64">
      <w:pPr>
        <w:pStyle w:val="ListBullet"/>
        <w:tabs>
          <w:tab w:val="clear" w:pos="295"/>
          <w:tab w:val="num" w:pos="579"/>
        </w:tabs>
        <w:ind w:left="579"/>
      </w:pPr>
      <w:r>
        <w:t>Tr</w:t>
      </w:r>
      <w:r w:rsidR="00456CEF">
        <w:t>ansmi</w:t>
      </w:r>
      <w:r w:rsidR="00D40A3A">
        <w:t>ssion power</w:t>
      </w:r>
      <w:r>
        <w:t xml:space="preserve"> and feeder losses</w:t>
      </w:r>
    </w:p>
    <w:p w14:paraId="37ABC4AC" w14:textId="7E90A254" w:rsidR="00A64F64" w:rsidRDefault="00A64F64" w:rsidP="00A64F64">
      <w:pPr>
        <w:pStyle w:val="ListBullet"/>
        <w:tabs>
          <w:tab w:val="clear" w:pos="295"/>
          <w:tab w:val="num" w:pos="579"/>
        </w:tabs>
        <w:ind w:left="579"/>
      </w:pPr>
      <w:r>
        <w:lastRenderedPageBreak/>
        <w:t xml:space="preserve">Antenna </w:t>
      </w:r>
      <w:r w:rsidR="00456CEF">
        <w:t xml:space="preserve">gain and directivity. For transmitters with an active antenna system, the radiated power at a particular bearing can be defined as the sum of the gain of the antenna in the bearing and the total radiated power. This allowance </w:t>
      </w:r>
      <w:proofErr w:type="gramStart"/>
      <w:r w:rsidR="00456CEF">
        <w:t>is based on the assumption</w:t>
      </w:r>
      <w:proofErr w:type="gramEnd"/>
      <w:r w:rsidR="00456CEF">
        <w:t xml:space="preserve"> that beam pointing angles and/or power can be controlled dynamically.</w:t>
      </w:r>
    </w:p>
    <w:p w14:paraId="0DB05E24" w14:textId="1809E826" w:rsidR="00C17752" w:rsidRDefault="00C17752" w:rsidP="00A64F64">
      <w:pPr>
        <w:pStyle w:val="ListBullet"/>
        <w:tabs>
          <w:tab w:val="clear" w:pos="295"/>
          <w:tab w:val="num" w:pos="579"/>
        </w:tabs>
        <w:ind w:left="579"/>
      </w:pPr>
      <w:r>
        <w:t xml:space="preserve">The limits in Table </w:t>
      </w:r>
      <w:r w:rsidR="00452465">
        <w:t>5</w:t>
      </w:r>
      <w:r>
        <w:t xml:space="preserve"> apply to the entire radiated emission from a parabolic dish or antenna array, so for dual-polarised systems, the total power for both polarisations combined is to be used.</w:t>
      </w:r>
    </w:p>
    <w:p w14:paraId="015F2F76" w14:textId="2C21BE00" w:rsidR="00456CEF" w:rsidRDefault="00456CEF" w:rsidP="00456CEF">
      <w:pPr>
        <w:pStyle w:val="ListBullet"/>
      </w:pPr>
      <w:r>
        <w:t>Propagation losses including losses from:</w:t>
      </w:r>
    </w:p>
    <w:p w14:paraId="13AF1D98" w14:textId="2FE25737" w:rsidR="00456CEF" w:rsidRDefault="00456CEF" w:rsidP="00456CEF">
      <w:pPr>
        <w:pStyle w:val="ListBullet"/>
        <w:tabs>
          <w:tab w:val="clear" w:pos="295"/>
          <w:tab w:val="num" w:pos="579"/>
        </w:tabs>
        <w:ind w:left="579"/>
      </w:pPr>
      <w:r>
        <w:t>Terrain</w:t>
      </w:r>
      <w:r w:rsidR="00CD1581">
        <w:t xml:space="preserve"> – all modelling must use a </w:t>
      </w:r>
      <w:r w:rsidR="001227F3">
        <w:t>3</w:t>
      </w:r>
      <w:r w:rsidR="00CD1581">
        <w:t xml:space="preserve"> second digital elevation mod</w:t>
      </w:r>
      <w:r w:rsidR="00DE7793">
        <w:t>e</w:t>
      </w:r>
      <w:r w:rsidR="00CD1581">
        <w:t>l or better</w:t>
      </w:r>
    </w:p>
    <w:p w14:paraId="7F785E61" w14:textId="1AF9B648" w:rsidR="00456CEF" w:rsidRDefault="00456CEF" w:rsidP="00456CEF">
      <w:pPr>
        <w:pStyle w:val="ListBullet"/>
        <w:tabs>
          <w:tab w:val="clear" w:pos="295"/>
          <w:tab w:val="num" w:pos="579"/>
        </w:tabs>
        <w:ind w:left="579"/>
      </w:pPr>
      <w:r>
        <w:t>Clutter/shielding from structure/vegetation etc</w:t>
      </w:r>
    </w:p>
    <w:p w14:paraId="78D29A0E" w14:textId="38B40910" w:rsidR="00456CEF" w:rsidRDefault="00456CEF" w:rsidP="003C6FC5">
      <w:pPr>
        <w:pStyle w:val="ListBullet"/>
        <w:tabs>
          <w:tab w:val="clear" w:pos="295"/>
          <w:tab w:val="num" w:pos="579"/>
        </w:tabs>
        <w:spacing w:after="240"/>
        <w:ind w:left="579"/>
      </w:pPr>
      <w:r>
        <w:t>Building penetration loss (for transmitter</w:t>
      </w:r>
      <w:r w:rsidR="00783DDA">
        <w:t>s</w:t>
      </w:r>
      <w:r>
        <w:t xml:space="preserve"> located indoors).</w:t>
      </w:r>
    </w:p>
    <w:p w14:paraId="63DF8098" w14:textId="739437AC" w:rsidR="00456CEF" w:rsidRDefault="00CD1581" w:rsidP="00236379">
      <w:r>
        <w:t xml:space="preserve">As radio waves propagate in different ways because of factors such as frequency, terrain, atmospheric conditions and topography, there are </w:t>
      </w:r>
      <w:r w:rsidR="00D40A3A">
        <w:t>several</w:t>
      </w:r>
      <w:r>
        <w:t xml:space="preserve"> ways to predict path loss.</w:t>
      </w:r>
      <w:r w:rsidRPr="005E4D37">
        <w:t xml:space="preserve"> </w:t>
      </w:r>
      <w:r w:rsidRPr="00073F4B">
        <w:t xml:space="preserve"> </w:t>
      </w:r>
      <w:r>
        <w:t>ITU-R</w:t>
      </w:r>
      <w:r w:rsidRPr="005E4D37">
        <w:t xml:space="preserve"> </w:t>
      </w:r>
      <w:r w:rsidRPr="007C1BE5">
        <w:t>Recommendation P.1144</w:t>
      </w:r>
      <w:r>
        <w:t xml:space="preserve"> </w:t>
      </w:r>
      <w:r w:rsidRPr="00977ED9">
        <w:rPr>
          <w:i/>
        </w:rPr>
        <w:t>Guide to the application of the propagation methods of Radiocommunications Study Group 3</w:t>
      </w:r>
      <w:r w:rsidRPr="007C1BE5">
        <w:t xml:space="preserve"> </w:t>
      </w:r>
      <w:r>
        <w:t>provides a guide on the application</w:t>
      </w:r>
      <w:r w:rsidRPr="007C1BE5">
        <w:t xml:space="preserve"> of various propagation methods developed internationally by the ITU</w:t>
      </w:r>
      <w:r>
        <w:noBreakHyphen/>
      </w:r>
      <w:r w:rsidRPr="007C1BE5">
        <w:t>R.  It advises users on the most appropriate methods for particular applications as well as the limits, required input information, and output for each of these methods. It is recommended that the most recent version of propagation models defined by the ITU</w:t>
      </w:r>
      <w:r w:rsidRPr="00F144A9">
        <w:t xml:space="preserve">-R should be </w:t>
      </w:r>
      <w:r w:rsidR="00DE7793">
        <w:t>used</w:t>
      </w:r>
      <w:r w:rsidRPr="00F144A9">
        <w:t>.</w:t>
      </w:r>
    </w:p>
    <w:p w14:paraId="5F07B112" w14:textId="0E59E59B" w:rsidR="00410C58" w:rsidRDefault="00410C58" w:rsidP="00236379">
      <w:pPr>
        <w:pStyle w:val="Heading3"/>
      </w:pPr>
      <w:bookmarkStart w:id="288" w:name="_Toc53151213"/>
      <w:bookmarkStart w:id="289" w:name="_Toc53489454"/>
      <w:bookmarkStart w:id="290" w:name="_Toc53151214"/>
      <w:bookmarkStart w:id="291" w:name="_Toc53489455"/>
      <w:bookmarkStart w:id="292" w:name="_Toc53151215"/>
      <w:bookmarkStart w:id="293" w:name="_Toc53489456"/>
      <w:bookmarkStart w:id="294" w:name="_Toc53151216"/>
      <w:bookmarkStart w:id="295" w:name="_Toc53489457"/>
      <w:bookmarkStart w:id="296" w:name="_Toc53151217"/>
      <w:bookmarkStart w:id="297" w:name="_Toc53489458"/>
      <w:bookmarkStart w:id="298" w:name="_Toc53151218"/>
      <w:bookmarkStart w:id="299" w:name="_Toc53489459"/>
      <w:bookmarkStart w:id="300" w:name="_Ref30081529"/>
      <w:bookmarkStart w:id="301" w:name="_Toc94773088"/>
      <w:bookmarkEnd w:id="288"/>
      <w:bookmarkEnd w:id="289"/>
      <w:bookmarkEnd w:id="290"/>
      <w:bookmarkEnd w:id="291"/>
      <w:bookmarkEnd w:id="292"/>
      <w:bookmarkEnd w:id="293"/>
      <w:bookmarkEnd w:id="294"/>
      <w:bookmarkEnd w:id="295"/>
      <w:bookmarkEnd w:id="296"/>
      <w:bookmarkEnd w:id="297"/>
      <w:bookmarkEnd w:id="298"/>
      <w:bookmarkEnd w:id="299"/>
      <w:r>
        <w:t>Coordination at the boundary of a 26 GHz band spectrum licence</w:t>
      </w:r>
      <w:bookmarkEnd w:id="300"/>
      <w:bookmarkEnd w:id="301"/>
    </w:p>
    <w:p w14:paraId="1AF2243D" w14:textId="23031644" w:rsidR="000B73C4" w:rsidRDefault="000B73C4" w:rsidP="00E36C78">
      <w:r>
        <w:t xml:space="preserve">Co-channel interference to spectrum licensed services is managed through coordination with the spectrum licensed area (detailed in this section) and the </w:t>
      </w:r>
      <w:r w:rsidR="00B062F0">
        <w:t>coordination requirements d</w:t>
      </w:r>
      <w:r>
        <w:t>etailed in section</w:t>
      </w:r>
      <w:r w:rsidR="00452465">
        <w:t xml:space="preserve"> </w:t>
      </w:r>
      <w:r w:rsidR="00452465">
        <w:fldChar w:fldCharType="begin"/>
      </w:r>
      <w:r w:rsidR="00452465">
        <w:instrText xml:space="preserve"> REF _Ref83649553 \r \h </w:instrText>
      </w:r>
      <w:r w:rsidR="00452465">
        <w:fldChar w:fldCharType="separate"/>
      </w:r>
      <w:r w:rsidR="009E3A92">
        <w:t>3.1</w:t>
      </w:r>
      <w:r w:rsidR="00452465">
        <w:fldChar w:fldCharType="end"/>
      </w:r>
      <w:r>
        <w:t xml:space="preserve">. </w:t>
      </w:r>
    </w:p>
    <w:p w14:paraId="700949C8" w14:textId="53D51C3B" w:rsidR="00680EA2" w:rsidRDefault="00C64A28" w:rsidP="00E36C78">
      <w:r>
        <w:t>An</w:t>
      </w:r>
      <w:r w:rsidR="00B76579">
        <w:t xml:space="preserve"> </w:t>
      </w:r>
      <w:r w:rsidR="00A20AD1">
        <w:rPr>
          <w:rFonts w:cs="Arial"/>
        </w:rPr>
        <w:t xml:space="preserve">AWL </w:t>
      </w:r>
      <w:r w:rsidR="000A0DDB">
        <w:t xml:space="preserve">transmitter </w:t>
      </w:r>
      <w:r w:rsidR="00B76579">
        <w:t xml:space="preserve">must not be </w:t>
      </w:r>
      <w:r>
        <w:t xml:space="preserve">registered </w:t>
      </w:r>
      <w:r w:rsidR="00B76579">
        <w:t xml:space="preserve">in the RRL </w:t>
      </w:r>
      <w:r w:rsidR="00E36C78">
        <w:t>i</w:t>
      </w:r>
      <w:r w:rsidR="001C6011">
        <w:t xml:space="preserve">f </w:t>
      </w:r>
      <w:r w:rsidR="000A0DDB">
        <w:t xml:space="preserve">it would operate in the range 25.1-27.5 GHz and </w:t>
      </w:r>
      <w:r w:rsidR="001C6011">
        <w:t xml:space="preserve">any part of </w:t>
      </w:r>
      <w:r w:rsidR="00E36C78">
        <w:t xml:space="preserve">the device boundary of the transmitter lies inside </w:t>
      </w:r>
      <w:r w:rsidR="000A0DDB">
        <w:t xml:space="preserve">a </w:t>
      </w:r>
      <w:r w:rsidR="00E36C78">
        <w:t xml:space="preserve">geographic area </w:t>
      </w:r>
      <w:r w:rsidR="000A0DDB">
        <w:t xml:space="preserve">subject to the </w:t>
      </w:r>
      <w:r w:rsidR="00E36C78">
        <w:t>26 GHz</w:t>
      </w:r>
      <w:r w:rsidR="000A0DDB">
        <w:t xml:space="preserve"> reallocation declaration</w:t>
      </w:r>
      <w:r w:rsidR="005468A9">
        <w:t>,</w:t>
      </w:r>
      <w:r w:rsidR="00680EA2">
        <w:t xml:space="preserve"> except in situations a</w:t>
      </w:r>
      <w:r w:rsidR="00AB0709">
        <w:t>s</w:t>
      </w:r>
      <w:r w:rsidR="00680EA2">
        <w:t xml:space="preserve"> described in subsection 9(4) of </w:t>
      </w:r>
      <w:r w:rsidR="00680EA2">
        <w:rPr>
          <w:i/>
          <w:iCs/>
        </w:rPr>
        <w:t xml:space="preserve">Radiocommunications (Unacceptable Levels of Interference — 26 GHz band) Determination </w:t>
      </w:r>
      <w:r w:rsidR="00680EA2" w:rsidRPr="000A0DDB">
        <w:rPr>
          <w:i/>
          <w:iCs/>
        </w:rPr>
        <w:t>2020</w:t>
      </w:r>
      <w:r w:rsidR="00680EA2">
        <w:t>, as in force from time to time</w:t>
      </w:r>
      <w:r w:rsidR="00E36C78">
        <w:t xml:space="preserve">. </w:t>
      </w:r>
    </w:p>
    <w:p w14:paraId="7AB63512" w14:textId="268E7D80" w:rsidR="001C6011" w:rsidRDefault="00625DF5" w:rsidP="00E36C78">
      <w:pPr>
        <w:rPr>
          <w:i/>
          <w:iCs/>
        </w:rPr>
      </w:pPr>
      <w:r>
        <w:t xml:space="preserve">The device boundary is to be calculated in accordance with Part 1 of Schedule 2 of </w:t>
      </w:r>
      <w:r w:rsidR="00D3264E">
        <w:rPr>
          <w:i/>
          <w:iCs/>
        </w:rPr>
        <w:t xml:space="preserve">Radiocommunications (Unacceptable Levels of Interference </w:t>
      </w:r>
      <w:r w:rsidR="00B074CE">
        <w:rPr>
          <w:i/>
          <w:iCs/>
        </w:rPr>
        <w:t xml:space="preserve">— 26 GHz band) Determination </w:t>
      </w:r>
      <w:r w:rsidR="00B074CE" w:rsidRPr="000A0DDB">
        <w:rPr>
          <w:i/>
          <w:iCs/>
        </w:rPr>
        <w:t>2020</w:t>
      </w:r>
      <w:r w:rsidR="00570330">
        <w:t>, as in force from time to time</w:t>
      </w:r>
      <w:r w:rsidR="00B074CE">
        <w:rPr>
          <w:i/>
          <w:iCs/>
        </w:rPr>
        <w:t>.</w:t>
      </w:r>
    </w:p>
    <w:p w14:paraId="623BEA66" w14:textId="77777777" w:rsidR="00C26852" w:rsidRDefault="00C26852" w:rsidP="00C26852">
      <w:pPr>
        <w:ind w:left="11"/>
      </w:pPr>
      <w:r>
        <w:t xml:space="preserve">The above requirement does not apply if the non-compliant part of the device boundary falls entirely within an area authorised by a spectrum licence (which authorises operation in the frequency range of the proposed transmitter), and there is an active agreement in place with the spectrum licensee. This exception would no longer apply if any relevant spectrum licence </w:t>
      </w:r>
      <w:proofErr w:type="gramStart"/>
      <w:r>
        <w:t>is</w:t>
      </w:r>
      <w:proofErr w:type="gramEnd"/>
      <w:r>
        <w:t xml:space="preserve"> no longer effective in the future (e.g. they have expired or were cancelled).</w:t>
      </w:r>
    </w:p>
    <w:p w14:paraId="2CFEDBFC" w14:textId="3DFC6F97" w:rsidR="00A36246" w:rsidRDefault="009724A0" w:rsidP="00FF7E5F">
      <w:pPr>
        <w:pStyle w:val="Heading2"/>
      </w:pPr>
      <w:bookmarkStart w:id="302" w:name="_Toc92369065"/>
      <w:bookmarkStart w:id="303" w:name="_Toc41470706"/>
      <w:bookmarkStart w:id="304" w:name="_Toc41470752"/>
      <w:bookmarkStart w:id="305" w:name="_Toc41470707"/>
      <w:bookmarkStart w:id="306" w:name="_Toc41470753"/>
      <w:bookmarkStart w:id="307" w:name="_Toc41470708"/>
      <w:bookmarkStart w:id="308" w:name="_Toc41470754"/>
      <w:bookmarkStart w:id="309" w:name="_Toc41470709"/>
      <w:bookmarkStart w:id="310" w:name="_Toc41470755"/>
      <w:bookmarkStart w:id="311" w:name="_Toc41470710"/>
      <w:bookmarkStart w:id="312" w:name="_Toc41470756"/>
      <w:bookmarkStart w:id="313" w:name="_Toc41470711"/>
      <w:bookmarkStart w:id="314" w:name="_Toc41470757"/>
      <w:bookmarkStart w:id="315" w:name="_Toc53151220"/>
      <w:bookmarkStart w:id="316" w:name="_Toc53489461"/>
      <w:bookmarkStart w:id="317" w:name="_Toc53151221"/>
      <w:bookmarkStart w:id="318" w:name="_Toc53489462"/>
      <w:bookmarkStart w:id="319" w:name="_Toc53151222"/>
      <w:bookmarkStart w:id="320" w:name="_Toc53489463"/>
      <w:bookmarkStart w:id="321" w:name="_Toc53151223"/>
      <w:bookmarkStart w:id="322" w:name="_Toc53489464"/>
      <w:bookmarkStart w:id="323" w:name="_Toc53151224"/>
      <w:bookmarkStart w:id="324" w:name="_Toc53489465"/>
      <w:bookmarkStart w:id="325" w:name="_Toc53151225"/>
      <w:bookmarkStart w:id="326" w:name="_Toc53489466"/>
      <w:bookmarkStart w:id="327" w:name="_Toc53151226"/>
      <w:bookmarkStart w:id="328" w:name="_Toc53489467"/>
      <w:bookmarkStart w:id="329" w:name="_Toc53151227"/>
      <w:bookmarkStart w:id="330" w:name="_Toc53489468"/>
      <w:bookmarkStart w:id="331" w:name="_Toc53151228"/>
      <w:bookmarkStart w:id="332" w:name="_Toc53489469"/>
      <w:bookmarkStart w:id="333" w:name="_Toc53151229"/>
      <w:bookmarkStart w:id="334" w:name="_Toc53489470"/>
      <w:bookmarkStart w:id="335" w:name="_Toc53151230"/>
      <w:bookmarkStart w:id="336" w:name="_Toc53489471"/>
      <w:bookmarkStart w:id="337" w:name="_Toc53151231"/>
      <w:bookmarkStart w:id="338" w:name="_Toc53489472"/>
      <w:bookmarkStart w:id="339" w:name="_Toc47601490"/>
      <w:bookmarkStart w:id="340" w:name="_Ref16690549"/>
      <w:bookmarkStart w:id="341" w:name="_Ref46220218"/>
      <w:bookmarkStart w:id="342" w:name="_Ref46221241"/>
      <w:bookmarkStart w:id="343" w:name="_Ref46736434"/>
      <w:bookmarkStart w:id="344" w:name="_Ref51314364"/>
      <w:bookmarkStart w:id="345" w:name="_Toc94773089"/>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lastRenderedPageBreak/>
        <w:t>Coordination requirements with</w:t>
      </w:r>
      <w:r w:rsidR="005050B4">
        <w:t xml:space="preserve"> </w:t>
      </w:r>
      <w:r w:rsidR="00A66667">
        <w:t>space research service (</w:t>
      </w:r>
      <w:r w:rsidR="00A36246">
        <w:t>SRS</w:t>
      </w:r>
      <w:r w:rsidR="00A66667">
        <w:t>)</w:t>
      </w:r>
      <w:r w:rsidR="00A36246">
        <w:t xml:space="preserve"> earth</w:t>
      </w:r>
      <w:r w:rsidR="00A66667">
        <w:t xml:space="preserve"> receive</w:t>
      </w:r>
      <w:r w:rsidR="00A36246">
        <w:t xml:space="preserve"> stations</w:t>
      </w:r>
      <w:bookmarkEnd w:id="340"/>
      <w:bookmarkEnd w:id="341"/>
      <w:bookmarkEnd w:id="342"/>
      <w:bookmarkEnd w:id="343"/>
      <w:bookmarkEnd w:id="344"/>
      <w:bookmarkEnd w:id="345"/>
    </w:p>
    <w:p w14:paraId="140F6EB6" w14:textId="77777777" w:rsidR="00485937" w:rsidRDefault="00485937" w:rsidP="00485937">
      <w:pPr>
        <w:spacing w:after="120"/>
      </w:pPr>
      <w:r>
        <w:t>Earth receive stations su</w:t>
      </w:r>
      <w:r w:rsidRPr="00A05EC9">
        <w:t xml:space="preserve">pport </w:t>
      </w:r>
      <w:r>
        <w:t>SRS</w:t>
      </w:r>
      <w:r w:rsidRPr="00A05EC9">
        <w:t xml:space="preserve"> activities </w:t>
      </w:r>
      <w:r>
        <w:t xml:space="preserve">in the range 25.5-27 GHz </w:t>
      </w:r>
      <w:r w:rsidRPr="00A05EC9">
        <w:t xml:space="preserve">and are currently </w:t>
      </w:r>
      <w:r>
        <w:t>limited</w:t>
      </w:r>
      <w:r w:rsidRPr="00A05EC9">
        <w:t xml:space="preserve"> to space communications facilities at New Norcia, WA, and Tidbinbilla, ACT. </w:t>
      </w:r>
      <w:r>
        <w:t xml:space="preserve">Coexistence of </w:t>
      </w:r>
      <w:r>
        <w:rPr>
          <w:rFonts w:cs="Arial"/>
        </w:rPr>
        <w:t xml:space="preserve">AWL </w:t>
      </w:r>
      <w:r>
        <w:t>devices with these SRS earth receive stations is managed via:</w:t>
      </w:r>
    </w:p>
    <w:p w14:paraId="2F16EBC6" w14:textId="77777777" w:rsidR="00485937" w:rsidRDefault="00485937" w:rsidP="00485937">
      <w:pPr>
        <w:pStyle w:val="ListBullet2"/>
      </w:pPr>
      <w:r>
        <w:t xml:space="preserve">Exclusion zones around SRS earth receive stations where </w:t>
      </w:r>
      <w:r>
        <w:rPr>
          <w:rFonts w:cs="Arial"/>
        </w:rPr>
        <w:t>AWL</w:t>
      </w:r>
      <w:r>
        <w:t xml:space="preserve"> transmitters in the range 25.5-27 GHz cannot be operated. These exclusion zones are included as a condition in the AWL LCD.</w:t>
      </w:r>
    </w:p>
    <w:p w14:paraId="1D5FD27D" w14:textId="77777777" w:rsidR="00485937" w:rsidRDefault="00485937" w:rsidP="00485937">
      <w:pPr>
        <w:pStyle w:val="ListBullet2"/>
      </w:pPr>
      <w:r>
        <w:t xml:space="preserve">A requirement that all outdoor </w:t>
      </w:r>
      <w:r>
        <w:rPr>
          <w:rFonts w:cs="Arial"/>
        </w:rPr>
        <w:t xml:space="preserve">AWL </w:t>
      </w:r>
      <w:r>
        <w:t>transmitters that:</w:t>
      </w:r>
    </w:p>
    <w:p w14:paraId="001ACACC" w14:textId="77777777" w:rsidR="00485937" w:rsidRDefault="00485937" w:rsidP="00485937">
      <w:pPr>
        <w:pStyle w:val="ListBullet2"/>
        <w:tabs>
          <w:tab w:val="clear" w:pos="845"/>
          <w:tab w:val="num" w:pos="1112"/>
        </w:tabs>
        <w:ind w:left="1112"/>
      </w:pPr>
      <w:r>
        <w:t xml:space="preserve">have a TRP greater than 23 dBm per occupied bandwidth; and </w:t>
      </w:r>
    </w:p>
    <w:p w14:paraId="1EE2AF3B" w14:textId="77777777" w:rsidR="00485937" w:rsidRDefault="00485937" w:rsidP="00485937">
      <w:pPr>
        <w:pStyle w:val="ListBullet2"/>
        <w:tabs>
          <w:tab w:val="clear" w:pos="845"/>
          <w:tab w:val="num" w:pos="1112"/>
        </w:tabs>
        <w:ind w:left="1112"/>
      </w:pPr>
      <w:r>
        <w:t xml:space="preserve">are located within 200 km of an SRS earth receive station; </w:t>
      </w:r>
    </w:p>
    <w:p w14:paraId="796929F9" w14:textId="0AC963A4" w:rsidR="00485937" w:rsidRDefault="00485937" w:rsidP="00485937">
      <w:pPr>
        <w:pStyle w:val="ListBullet2"/>
        <w:numPr>
          <w:ilvl w:val="0"/>
          <w:numId w:val="0"/>
        </w:numPr>
        <w:ind w:left="845"/>
      </w:pPr>
      <w:r>
        <w:t>do not exceed a defined maximum aggregate interference level at the receiver input of these SRS earth receive stations. Coordination requirements are contained in section</w:t>
      </w:r>
      <w:r w:rsidR="00566A46">
        <w:t xml:space="preserve"> </w:t>
      </w:r>
      <w:r w:rsidR="00566A46">
        <w:fldChar w:fldCharType="begin"/>
      </w:r>
      <w:r w:rsidR="00566A46">
        <w:instrText xml:space="preserve"> REF _Ref91056673 \r \h </w:instrText>
      </w:r>
      <w:r w:rsidR="00566A46">
        <w:fldChar w:fldCharType="separate"/>
      </w:r>
      <w:r w:rsidR="009E3A92">
        <w:t>3.4.1</w:t>
      </w:r>
      <w:r w:rsidR="00566A46">
        <w:fldChar w:fldCharType="end"/>
      </w:r>
      <w:r>
        <w:t>.</w:t>
      </w:r>
    </w:p>
    <w:p w14:paraId="527C1EE1" w14:textId="0250FCA9" w:rsidR="00485937" w:rsidRDefault="00485937" w:rsidP="00485937">
      <w:pPr>
        <w:pStyle w:val="ListBullet2"/>
        <w:spacing w:after="240"/>
      </w:pPr>
      <w:r>
        <w:t xml:space="preserve">A policy restricting the issue of </w:t>
      </w:r>
      <w:r>
        <w:rPr>
          <w:rFonts w:cs="Arial"/>
        </w:rPr>
        <w:t xml:space="preserve">AWLs </w:t>
      </w:r>
      <w:r>
        <w:t>in the HCIS level 1 cells which contain these SRS earth receive stations – see section</w:t>
      </w:r>
      <w:r w:rsidR="00566A46">
        <w:t xml:space="preserve"> </w:t>
      </w:r>
      <w:r w:rsidR="00566A46">
        <w:fldChar w:fldCharType="begin"/>
      </w:r>
      <w:r w:rsidR="00566A46">
        <w:instrText xml:space="preserve"> REF _Ref22126455 \r \h </w:instrText>
      </w:r>
      <w:r w:rsidR="00566A46">
        <w:fldChar w:fldCharType="separate"/>
      </w:r>
      <w:r w:rsidR="009E3A92">
        <w:t>2.3.1</w:t>
      </w:r>
      <w:r w:rsidR="00566A46">
        <w:fldChar w:fldCharType="end"/>
      </w:r>
      <w:r>
        <w:t>.</w:t>
      </w:r>
    </w:p>
    <w:p w14:paraId="0AF1F21B" w14:textId="72BD4CBF" w:rsidR="00485937" w:rsidRDefault="003A7F61" w:rsidP="00485937">
      <w:pPr>
        <w:spacing w:after="120"/>
      </w:pPr>
      <w:hyperlink r:id="rId50" w:history="1">
        <w:r w:rsidR="00485937" w:rsidRPr="00A81EC7">
          <w:rPr>
            <w:rStyle w:val="Hyperlink"/>
          </w:rPr>
          <w:t>RALI MS43</w:t>
        </w:r>
      </w:hyperlink>
      <w:r w:rsidR="00485937">
        <w:t xml:space="preserve"> contains further information on SRS earth receive stations arrangements in other bands.</w:t>
      </w:r>
    </w:p>
    <w:p w14:paraId="63362D6D" w14:textId="731EDD11" w:rsidR="00485937" w:rsidRDefault="00485937" w:rsidP="00103034">
      <w:pPr>
        <w:pStyle w:val="Heading3"/>
        <w:ind w:left="680" w:hanging="680"/>
      </w:pPr>
      <w:bookmarkStart w:id="346" w:name="_Ref91056673"/>
      <w:bookmarkStart w:id="347" w:name="_Toc94773090"/>
      <w:r>
        <w:t>Coordination requirements</w:t>
      </w:r>
      <w:bookmarkEnd w:id="346"/>
      <w:bookmarkEnd w:id="347"/>
    </w:p>
    <w:p w14:paraId="6166E026" w14:textId="7CB659F3" w:rsidR="00876ACC" w:rsidRDefault="00876ACC" w:rsidP="003C6FC5">
      <w:pPr>
        <w:spacing w:after="120"/>
      </w:pPr>
      <w:r>
        <w:t>Th</w:t>
      </w:r>
      <w:r w:rsidR="00CF168C">
        <w:t>is</w:t>
      </w:r>
      <w:r>
        <w:t xml:space="preserve"> section details the </w:t>
      </w:r>
      <w:r w:rsidR="00C20C1F">
        <w:t>r</w:t>
      </w:r>
      <w:r>
        <w:t>equirements for</w:t>
      </w:r>
      <w:r w:rsidR="00C20C1F">
        <w:t xml:space="preserve"> coordinating</w:t>
      </w:r>
      <w:r>
        <w:t xml:space="preserve"> relevant transmitters with SRS earth stations. ‘Relevant transmitters’ are</w:t>
      </w:r>
      <w:r w:rsidRPr="00876ACC">
        <w:t xml:space="preserve"> </w:t>
      </w:r>
      <w:r>
        <w:t>transmitters which are</w:t>
      </w:r>
      <w:r w:rsidRPr="00D64E29">
        <w:t xml:space="preserve"> </w:t>
      </w:r>
      <w:r>
        <w:t xml:space="preserve">operated under the licensee’s 26/28 GHz AWLs </w:t>
      </w:r>
      <w:r w:rsidR="00A14CA3">
        <w:t>that are</w:t>
      </w:r>
      <w:r w:rsidR="00A32DB2">
        <w:t xml:space="preserve"> located within 200 km of either earth station detailed in Table </w:t>
      </w:r>
      <w:r w:rsidR="00466ABD">
        <w:t>6</w:t>
      </w:r>
      <w:r w:rsidR="00A32DB2">
        <w:t>,</w:t>
      </w:r>
      <w:r>
        <w:t xml:space="preserve"> and:</w:t>
      </w:r>
    </w:p>
    <w:p w14:paraId="42B1F04A" w14:textId="4367C6BD" w:rsidR="00876ACC" w:rsidRDefault="00337569" w:rsidP="00876ACC">
      <w:pPr>
        <w:pStyle w:val="ListBullet"/>
      </w:pPr>
      <w:r>
        <w:t>a</w:t>
      </w:r>
      <w:r w:rsidR="00876ACC">
        <w:t xml:space="preserve">re required to be </w:t>
      </w:r>
      <w:r w:rsidR="00594335">
        <w:t xml:space="preserve">registered </w:t>
      </w:r>
      <w:r w:rsidR="00876ACC">
        <w:t>in the RRL; or</w:t>
      </w:r>
    </w:p>
    <w:p w14:paraId="77BCCEBC" w14:textId="7F401BFF" w:rsidR="00842EDB" w:rsidRDefault="00337569" w:rsidP="00247A96">
      <w:pPr>
        <w:pStyle w:val="ListBulletLast"/>
      </w:pPr>
      <w:r>
        <w:t>a</w:t>
      </w:r>
      <w:r w:rsidR="00876ACC">
        <w:t xml:space="preserve">re exempt from registration under subsection </w:t>
      </w:r>
      <w:r w:rsidR="005567C3">
        <w:t>4</w:t>
      </w:r>
      <w:r w:rsidR="00E042E5">
        <w:t>(2)</w:t>
      </w:r>
      <w:r w:rsidR="00876ACC">
        <w:t>(c) of Schedule 1 of the AWL LCD.</w:t>
      </w:r>
      <w:r w:rsidR="005567C3">
        <w:rPr>
          <w:rStyle w:val="FootnoteReference"/>
        </w:rPr>
        <w:footnoteReference w:id="20"/>
      </w:r>
    </w:p>
    <w:p w14:paraId="4C9E43AC" w14:textId="009DC3E7" w:rsidR="00D64E29" w:rsidRDefault="00594335" w:rsidP="00247A96">
      <w:r>
        <w:t>A</w:t>
      </w:r>
      <w:r w:rsidR="000A0DDB">
        <w:t xml:space="preserve">n </w:t>
      </w:r>
      <w:r w:rsidR="00A20AD1">
        <w:t>AWL</w:t>
      </w:r>
      <w:r w:rsidR="00AE6D1B">
        <w:t xml:space="preserve"> transmitter must not be </w:t>
      </w:r>
      <w:r>
        <w:t xml:space="preserve">registered </w:t>
      </w:r>
      <w:r w:rsidR="00AE6D1B">
        <w:t>in the RRL if</w:t>
      </w:r>
      <w:r w:rsidR="00140EEC">
        <w:t xml:space="preserve"> </w:t>
      </w:r>
      <w:r w:rsidR="0044533A">
        <w:t xml:space="preserve">the </w:t>
      </w:r>
      <w:r w:rsidR="00827BF2">
        <w:t>aggregate interference level</w:t>
      </w:r>
      <w:r w:rsidR="005939B4">
        <w:t xml:space="preserve"> </w:t>
      </w:r>
      <w:r w:rsidR="00AE1D08">
        <w:t>of</w:t>
      </w:r>
      <w:r w:rsidR="005939B4">
        <w:t xml:space="preserve"> the proposed transmitter and</w:t>
      </w:r>
      <w:r w:rsidR="00A01B9C">
        <w:t xml:space="preserve"> all </w:t>
      </w:r>
      <w:r w:rsidR="00D64E29">
        <w:t>other relevant transmitters</w:t>
      </w:r>
      <w:r w:rsidR="00A01B9C">
        <w:t xml:space="preserve"> </w:t>
      </w:r>
      <w:r w:rsidR="00D40A3A">
        <w:t>would</w:t>
      </w:r>
      <w:r w:rsidR="00A01B9C">
        <w:t xml:space="preserve"> </w:t>
      </w:r>
      <w:r w:rsidR="005939B4">
        <w:t xml:space="preserve">exceed the limit </w:t>
      </w:r>
      <w:r w:rsidR="00133F7D">
        <w:t xml:space="preserve">detailed in Table </w:t>
      </w:r>
      <w:r w:rsidR="00466ABD">
        <w:t>6</w:t>
      </w:r>
      <w:r w:rsidR="00133F7D">
        <w:t>.</w:t>
      </w:r>
    </w:p>
    <w:p w14:paraId="563C6AC2" w14:textId="3F711882" w:rsidR="00D64E29" w:rsidRDefault="00D11BF0" w:rsidP="00D11BF0">
      <w:r>
        <w:t xml:space="preserve">A transmitter </w:t>
      </w:r>
      <w:r w:rsidR="003A2235">
        <w:t xml:space="preserve">which is </w:t>
      </w:r>
      <w:r>
        <w:t xml:space="preserve">exempt from registration under </w:t>
      </w:r>
      <w:r w:rsidR="007D7E6D">
        <w:t>paragraph</w:t>
      </w:r>
      <w:r>
        <w:t xml:space="preserve"> </w:t>
      </w:r>
      <w:r w:rsidR="00EB5641">
        <w:t>4</w:t>
      </w:r>
      <w:r w:rsidR="00E042E5">
        <w:t>(2)</w:t>
      </w:r>
      <w:r>
        <w:t xml:space="preserve">(c) of Schedule 1 of the AWL LCD </w:t>
      </w:r>
      <w:r w:rsidR="00775FEC">
        <w:t xml:space="preserve">must not </w:t>
      </w:r>
      <w:r>
        <w:t>be operate</w:t>
      </w:r>
      <w:r w:rsidR="00775FEC">
        <w:t>d if the aggregate interference level of th</w:t>
      </w:r>
      <w:r w:rsidR="00554D1A">
        <w:t xml:space="preserve">at </w:t>
      </w:r>
      <w:r w:rsidR="00775FEC">
        <w:t xml:space="preserve">transmitter and all other relevant transmitters exceeds the limit detailed in Table </w:t>
      </w:r>
      <w:r w:rsidR="00466ABD">
        <w:t>6</w:t>
      </w:r>
      <w:r w:rsidR="00775FEC">
        <w:t>.</w:t>
      </w:r>
    </w:p>
    <w:p w14:paraId="2ACB8F9D" w14:textId="70C617C7" w:rsidR="007F1776" w:rsidRDefault="00BA6162" w:rsidP="00A36246">
      <w:r>
        <w:t xml:space="preserve">In undertaking </w:t>
      </w:r>
      <w:r w:rsidR="00BC17EF">
        <w:t>assessment</w:t>
      </w:r>
      <w:r w:rsidR="00D40A3A">
        <w:t>s</w:t>
      </w:r>
      <w:r w:rsidR="00BC17EF">
        <w:t xml:space="preserve"> against the </w:t>
      </w:r>
      <w:r w:rsidR="00E620B2">
        <w:t>maximum interference level</w:t>
      </w:r>
      <w:r w:rsidR="00CB7362">
        <w:t>,</w:t>
      </w:r>
      <w:r w:rsidR="00256207">
        <w:t xml:space="preserve"> the SRS earth station </w:t>
      </w:r>
      <w:r w:rsidR="00BC17EF">
        <w:t xml:space="preserve">operating </w:t>
      </w:r>
      <w:r w:rsidR="00256207">
        <w:t>parame</w:t>
      </w:r>
      <w:r w:rsidR="00090EC2">
        <w:t xml:space="preserve">ters </w:t>
      </w:r>
      <w:r w:rsidR="00BC17EF">
        <w:t xml:space="preserve">as recorded </w:t>
      </w:r>
      <w:r w:rsidR="00090EC2">
        <w:t>in the RRL</w:t>
      </w:r>
      <w:r>
        <w:t>,</w:t>
      </w:r>
      <w:r w:rsidR="00090EC2">
        <w:t xml:space="preserve"> in addition</w:t>
      </w:r>
      <w:r w:rsidR="00783DDA">
        <w:t xml:space="preserve"> to</w:t>
      </w:r>
      <w:r w:rsidR="001428B0">
        <w:t xml:space="preserve"> those included in Table </w:t>
      </w:r>
      <w:r w:rsidR="00466ABD">
        <w:t>6</w:t>
      </w:r>
      <w:r w:rsidR="001428B0">
        <w:t>, are to be used.</w:t>
      </w:r>
      <w:r>
        <w:t xml:space="preserve"> </w:t>
      </w:r>
      <w:r w:rsidR="00943F8B">
        <w:t>When coordinating transmitters operating outside the range 25.5-27 GHz, the unwanted emission levels from the transmitter in the range 25.5-27 GHz should be considered.</w:t>
      </w:r>
    </w:p>
    <w:p w14:paraId="29F38C8F" w14:textId="7CC283C0" w:rsidR="00E042E5" w:rsidRDefault="00E042E5" w:rsidP="003C6FC5">
      <w:pPr>
        <w:pStyle w:val="ACMATableHeader"/>
        <w:keepNext/>
        <w:keepLines/>
      </w:pPr>
      <w:r>
        <w:lastRenderedPageBreak/>
        <w:t>Additional parameters to be used in coordination</w:t>
      </w:r>
    </w:p>
    <w:tbl>
      <w:tblPr>
        <w:tblStyle w:val="TableGrid"/>
        <w:tblW w:w="7792" w:type="dxa"/>
        <w:tblLook w:val="04A0" w:firstRow="1" w:lastRow="0" w:firstColumn="1" w:lastColumn="0" w:noHBand="0" w:noVBand="1"/>
      </w:tblPr>
      <w:tblGrid>
        <w:gridCol w:w="2122"/>
        <w:gridCol w:w="2835"/>
        <w:gridCol w:w="2835"/>
      </w:tblGrid>
      <w:tr w:rsidR="001A63D7" w14:paraId="132960C3" w14:textId="77777777" w:rsidTr="001A63D7">
        <w:tc>
          <w:tcPr>
            <w:tcW w:w="2122" w:type="dxa"/>
          </w:tcPr>
          <w:p w14:paraId="601F077A" w14:textId="77777777" w:rsidR="001A63D7" w:rsidRDefault="001A63D7" w:rsidP="003C6FC5">
            <w:pPr>
              <w:keepNext/>
              <w:keepLines/>
            </w:pPr>
          </w:p>
        </w:tc>
        <w:tc>
          <w:tcPr>
            <w:tcW w:w="2835" w:type="dxa"/>
          </w:tcPr>
          <w:p w14:paraId="216EBC72" w14:textId="284EBF84" w:rsidR="001A63D7" w:rsidRPr="00103034" w:rsidRDefault="001A63D7" w:rsidP="003C6FC5">
            <w:pPr>
              <w:keepNext/>
              <w:keepLines/>
              <w:rPr>
                <w:b/>
                <w:bCs/>
              </w:rPr>
            </w:pPr>
            <w:r w:rsidRPr="00103034">
              <w:rPr>
                <w:b/>
                <w:bCs/>
              </w:rPr>
              <w:t>Canberra Deep Space Communications Complex</w:t>
            </w:r>
          </w:p>
        </w:tc>
        <w:tc>
          <w:tcPr>
            <w:tcW w:w="2835" w:type="dxa"/>
          </w:tcPr>
          <w:p w14:paraId="3040352F" w14:textId="24A4E36B" w:rsidR="001A63D7" w:rsidRPr="00103034" w:rsidRDefault="001A63D7" w:rsidP="003C6FC5">
            <w:pPr>
              <w:keepNext/>
              <w:keepLines/>
              <w:rPr>
                <w:b/>
                <w:bCs/>
              </w:rPr>
            </w:pPr>
            <w:r w:rsidRPr="00103034">
              <w:rPr>
                <w:b/>
                <w:bCs/>
              </w:rPr>
              <w:t>New Norcia Deep Space Ground Station</w:t>
            </w:r>
          </w:p>
        </w:tc>
      </w:tr>
      <w:tr w:rsidR="008A16B1" w14:paraId="29C30C78" w14:textId="77777777" w:rsidTr="008D40C1">
        <w:tc>
          <w:tcPr>
            <w:tcW w:w="2122" w:type="dxa"/>
          </w:tcPr>
          <w:p w14:paraId="1A93C8F9" w14:textId="4B1EBAB7" w:rsidR="008A16B1" w:rsidRPr="00103034" w:rsidRDefault="00525493" w:rsidP="003C6FC5">
            <w:pPr>
              <w:keepNext/>
              <w:keepLines/>
              <w:rPr>
                <w:b/>
                <w:bCs/>
              </w:rPr>
            </w:pPr>
            <w:r w:rsidRPr="00103034">
              <w:rPr>
                <w:b/>
                <w:bCs/>
              </w:rPr>
              <w:t xml:space="preserve">Maximum </w:t>
            </w:r>
            <w:r w:rsidR="000E6DF6" w:rsidRPr="00103034">
              <w:rPr>
                <w:b/>
                <w:bCs/>
              </w:rPr>
              <w:t>co-channel aggregate interference level</w:t>
            </w:r>
            <w:r w:rsidR="008E08FD" w:rsidRPr="00103034">
              <w:rPr>
                <w:rStyle w:val="FootnoteReference"/>
                <w:b/>
                <w:bCs/>
              </w:rPr>
              <w:footnoteReference w:id="21"/>
            </w:r>
          </w:p>
        </w:tc>
        <w:tc>
          <w:tcPr>
            <w:tcW w:w="5670" w:type="dxa"/>
            <w:gridSpan w:val="2"/>
          </w:tcPr>
          <w:p w14:paraId="1A86359A" w14:textId="05E070A0" w:rsidR="008A16B1" w:rsidRDefault="00525493" w:rsidP="003C6FC5">
            <w:pPr>
              <w:keepNext/>
              <w:keepLines/>
            </w:pPr>
            <w:r>
              <w:t>-156 dBW/MHz at the input of the receiver</w:t>
            </w:r>
            <w:r w:rsidR="00A32DB2">
              <w:t xml:space="preserve"> </w:t>
            </w:r>
          </w:p>
        </w:tc>
      </w:tr>
      <w:tr w:rsidR="00EB5641" w14:paraId="34936802" w14:textId="77777777" w:rsidTr="008D40C1">
        <w:tc>
          <w:tcPr>
            <w:tcW w:w="2122" w:type="dxa"/>
          </w:tcPr>
          <w:p w14:paraId="064A0F89" w14:textId="5385FA36" w:rsidR="00EB5641" w:rsidRPr="00103034" w:rsidRDefault="00EB5641" w:rsidP="003C6FC5">
            <w:pPr>
              <w:keepNext/>
              <w:keepLines/>
              <w:rPr>
                <w:b/>
                <w:bCs/>
              </w:rPr>
            </w:pPr>
            <w:r w:rsidRPr="00103034">
              <w:rPr>
                <w:b/>
                <w:bCs/>
              </w:rPr>
              <w:t>Propagation model</w:t>
            </w:r>
          </w:p>
        </w:tc>
        <w:tc>
          <w:tcPr>
            <w:tcW w:w="5670" w:type="dxa"/>
            <w:gridSpan w:val="2"/>
          </w:tcPr>
          <w:p w14:paraId="0B3F61F8" w14:textId="77777777" w:rsidR="0032135B" w:rsidRDefault="00EB5641" w:rsidP="00103034">
            <w:pPr>
              <w:keepNext/>
              <w:keepLines/>
              <w:spacing w:after="0"/>
            </w:pPr>
            <w:r>
              <w:t>Recommendation ITU-R P.452</w:t>
            </w:r>
            <w:r w:rsidR="6C2E0F84">
              <w:t xml:space="preserve"> (as existing from time to time)</w:t>
            </w:r>
            <w:r w:rsidR="00AD6FA2">
              <w:t>, using</w:t>
            </w:r>
            <w:r w:rsidR="0032135B">
              <w:t>:</w:t>
            </w:r>
          </w:p>
          <w:p w14:paraId="265510BE" w14:textId="17CF67D3" w:rsidR="0032135B" w:rsidRDefault="00B01FE0" w:rsidP="0032135B">
            <w:pPr>
              <w:pStyle w:val="ListParagraph"/>
              <w:keepNext/>
              <w:keepLines/>
              <w:numPr>
                <w:ilvl w:val="0"/>
                <w:numId w:val="141"/>
              </w:numPr>
            </w:pPr>
            <w:r>
              <w:rPr>
                <w:iCs/>
                <w:lang w:val="en-US"/>
              </w:rPr>
              <w:t>p</w:t>
            </w:r>
            <w:r w:rsidR="0032135B">
              <w:rPr>
                <w:iCs/>
                <w:lang w:val="en-US"/>
              </w:rPr>
              <w:t xml:space="preserve">ercent of time </w:t>
            </w:r>
            <w:r w:rsidR="00010BAD">
              <w:rPr>
                <w:iCs/>
                <w:lang w:val="en-US"/>
              </w:rPr>
              <w:t>propagation loss not exceeded (</w:t>
            </w:r>
            <w:r w:rsidR="0032135B">
              <w:rPr>
                <w:i/>
                <w:lang w:val="en-US"/>
              </w:rPr>
              <w:t>p</w:t>
            </w:r>
            <w:r w:rsidR="00010BAD">
              <w:rPr>
                <w:i/>
                <w:lang w:val="en-US"/>
              </w:rPr>
              <w:t>)</w:t>
            </w:r>
            <w:r w:rsidR="0032135B">
              <w:rPr>
                <w:lang w:val="en-US"/>
              </w:rPr>
              <w:t> </w:t>
            </w:r>
            <w:r w:rsidR="00C53811">
              <w:rPr>
                <w:lang w:val="en-US"/>
              </w:rPr>
              <w:t>=</w:t>
            </w:r>
            <w:r w:rsidR="0032135B">
              <w:rPr>
                <w:lang w:val="en-US"/>
              </w:rPr>
              <w:t xml:space="preserve"> 0.001%</w:t>
            </w:r>
            <w:r w:rsidR="00010BAD">
              <w:rPr>
                <w:rStyle w:val="FootnoteReference"/>
                <w:lang w:val="en-US"/>
              </w:rPr>
              <w:footnoteReference w:id="22"/>
            </w:r>
          </w:p>
          <w:p w14:paraId="6242B7D6" w14:textId="0E4D4B9F" w:rsidR="00EB5641" w:rsidRDefault="00AD6FA2" w:rsidP="00103034">
            <w:pPr>
              <w:pStyle w:val="ListParagraph"/>
              <w:keepNext/>
              <w:keepLines/>
              <w:numPr>
                <w:ilvl w:val="0"/>
                <w:numId w:val="141"/>
              </w:numPr>
            </w:pPr>
            <w:r>
              <w:t>a 3 second digital elevation model or better</w:t>
            </w:r>
          </w:p>
        </w:tc>
      </w:tr>
      <w:tr w:rsidR="001A63D7" w14:paraId="33CB7993" w14:textId="77777777" w:rsidTr="001A63D7">
        <w:tc>
          <w:tcPr>
            <w:tcW w:w="2122" w:type="dxa"/>
          </w:tcPr>
          <w:p w14:paraId="3571D515" w14:textId="2D2D4AAB" w:rsidR="001A63D7" w:rsidRPr="00103034" w:rsidRDefault="001A63D7" w:rsidP="003C6FC5">
            <w:pPr>
              <w:keepNext/>
              <w:keepLines/>
              <w:rPr>
                <w:b/>
                <w:bCs/>
              </w:rPr>
            </w:pPr>
            <w:r w:rsidRPr="00103034">
              <w:rPr>
                <w:b/>
                <w:bCs/>
              </w:rPr>
              <w:t>Location</w:t>
            </w:r>
          </w:p>
        </w:tc>
        <w:tc>
          <w:tcPr>
            <w:tcW w:w="2835" w:type="dxa"/>
          </w:tcPr>
          <w:p w14:paraId="684EF44F" w14:textId="61EA3F2C" w:rsidR="001A63D7" w:rsidRDefault="002124BE" w:rsidP="003C6FC5">
            <w:pPr>
              <w:keepNext/>
              <w:keepLines/>
            </w:pPr>
            <w:r>
              <w:t>Latitude: -35.39</w:t>
            </w:r>
            <w:r w:rsidR="000A762C">
              <w:t>8335</w:t>
            </w:r>
            <w:r>
              <w:rPr>
                <w:rFonts w:cs="Arial"/>
              </w:rPr>
              <w:t>°</w:t>
            </w:r>
            <w:r>
              <w:t>N</w:t>
            </w:r>
          </w:p>
          <w:p w14:paraId="6B0861F7" w14:textId="7286592B" w:rsidR="00CA55DC" w:rsidRDefault="00CA55DC" w:rsidP="003C6FC5">
            <w:pPr>
              <w:keepNext/>
              <w:keepLines/>
            </w:pPr>
            <w:r>
              <w:t>Longitude: 148.9</w:t>
            </w:r>
            <w:r w:rsidR="000A762C">
              <w:t>81942</w:t>
            </w:r>
            <w:r>
              <w:rPr>
                <w:rFonts w:cs="Arial"/>
              </w:rPr>
              <w:t>°</w:t>
            </w:r>
            <w:r>
              <w:t>E</w:t>
            </w:r>
          </w:p>
        </w:tc>
        <w:tc>
          <w:tcPr>
            <w:tcW w:w="2835" w:type="dxa"/>
          </w:tcPr>
          <w:p w14:paraId="096A414D" w14:textId="2717B84A" w:rsidR="00F91EC4" w:rsidRDefault="00F91EC4" w:rsidP="003C6FC5">
            <w:pPr>
              <w:keepNext/>
              <w:keepLines/>
            </w:pPr>
            <w:r>
              <w:t>Latitude: -31.048</w:t>
            </w:r>
            <w:r w:rsidR="000A762C">
              <w:t>236</w:t>
            </w:r>
            <w:r>
              <w:rPr>
                <w:rFonts w:cs="Arial"/>
              </w:rPr>
              <w:t>°</w:t>
            </w:r>
            <w:r>
              <w:t>N</w:t>
            </w:r>
          </w:p>
          <w:p w14:paraId="3BA32AAE" w14:textId="50E386E2" w:rsidR="001A63D7" w:rsidRDefault="00F91EC4" w:rsidP="003C6FC5">
            <w:pPr>
              <w:keepNext/>
              <w:keepLines/>
            </w:pPr>
            <w:r>
              <w:t>Longitude: 116.19</w:t>
            </w:r>
            <w:r w:rsidR="000A762C">
              <w:t>15</w:t>
            </w:r>
            <w:r>
              <w:t>14</w:t>
            </w:r>
            <w:r>
              <w:rPr>
                <w:rFonts w:cs="Arial"/>
              </w:rPr>
              <w:t>°</w:t>
            </w:r>
            <w:r>
              <w:t>E</w:t>
            </w:r>
          </w:p>
        </w:tc>
      </w:tr>
      <w:tr w:rsidR="00F91EC4" w14:paraId="35ABDE2E" w14:textId="77777777" w:rsidTr="008D40C1">
        <w:tc>
          <w:tcPr>
            <w:tcW w:w="2122" w:type="dxa"/>
          </w:tcPr>
          <w:p w14:paraId="2003C7EF" w14:textId="12B108EB" w:rsidR="00F91EC4" w:rsidRPr="00103034" w:rsidRDefault="00F91EC4" w:rsidP="003C6FC5">
            <w:pPr>
              <w:keepNext/>
              <w:keepLines/>
              <w:rPr>
                <w:b/>
                <w:bCs/>
              </w:rPr>
            </w:pPr>
            <w:r w:rsidRPr="00103034">
              <w:rPr>
                <w:b/>
                <w:bCs/>
              </w:rPr>
              <w:t>Antenna pattern</w:t>
            </w:r>
          </w:p>
        </w:tc>
        <w:tc>
          <w:tcPr>
            <w:tcW w:w="5670" w:type="dxa"/>
            <w:gridSpan w:val="2"/>
          </w:tcPr>
          <w:p w14:paraId="15BC8871" w14:textId="5405B77D" w:rsidR="00F91EC4" w:rsidRDefault="00A32DB2" w:rsidP="003C6FC5">
            <w:pPr>
              <w:keepNext/>
              <w:keepLines/>
            </w:pPr>
            <w:r>
              <w:t>The ‘multiple entry interference’ pattern d</w:t>
            </w:r>
            <w:r w:rsidR="005C710B">
              <w:t>efined in ITU-R Recommendation SA.509</w:t>
            </w:r>
            <w:r w:rsidR="000A762C">
              <w:t xml:space="preserve"> (as existing from time to time)</w:t>
            </w:r>
          </w:p>
        </w:tc>
      </w:tr>
      <w:tr w:rsidR="001A63D7" w14:paraId="75EF2BA9" w14:textId="77777777" w:rsidTr="001A63D7">
        <w:tc>
          <w:tcPr>
            <w:tcW w:w="2122" w:type="dxa"/>
          </w:tcPr>
          <w:p w14:paraId="1D775E09" w14:textId="3ADAA281" w:rsidR="001A63D7" w:rsidRPr="00103034" w:rsidRDefault="005C710B" w:rsidP="003C6FC5">
            <w:pPr>
              <w:keepNext/>
              <w:keepLines/>
              <w:rPr>
                <w:b/>
                <w:bCs/>
              </w:rPr>
            </w:pPr>
            <w:r w:rsidRPr="00103034">
              <w:rPr>
                <w:b/>
                <w:bCs/>
              </w:rPr>
              <w:t>Minimum a</w:t>
            </w:r>
            <w:r w:rsidR="001A63D7" w:rsidRPr="00103034">
              <w:rPr>
                <w:b/>
                <w:bCs/>
              </w:rPr>
              <w:t>ntenna elevation angle above horizon</w:t>
            </w:r>
          </w:p>
        </w:tc>
        <w:tc>
          <w:tcPr>
            <w:tcW w:w="2835" w:type="dxa"/>
          </w:tcPr>
          <w:p w14:paraId="688B9EC0" w14:textId="77777777" w:rsidR="00AE1D08" w:rsidRDefault="00AE1D08" w:rsidP="003C6FC5">
            <w:pPr>
              <w:keepNext/>
              <w:keepLines/>
            </w:pPr>
            <w:r>
              <w:t>Maximum of:</w:t>
            </w:r>
          </w:p>
          <w:p w14:paraId="02695268" w14:textId="6F3E96D4" w:rsidR="001A63D7" w:rsidRDefault="00AE1D08" w:rsidP="003C6FC5">
            <w:pPr>
              <w:pStyle w:val="ListParagraph"/>
              <w:keepNext/>
              <w:keepLines/>
              <w:numPr>
                <w:ilvl w:val="0"/>
                <w:numId w:val="39"/>
              </w:numPr>
            </w:pPr>
            <w:r>
              <w:t xml:space="preserve">6 </w:t>
            </w:r>
            <w:r w:rsidR="005C710B">
              <w:t>degrees</w:t>
            </w:r>
            <w:r>
              <w:t>, or</w:t>
            </w:r>
          </w:p>
          <w:p w14:paraId="075F3226" w14:textId="6E51928E" w:rsidR="00AE1D08" w:rsidRDefault="00EB5641" w:rsidP="003C6FC5">
            <w:pPr>
              <w:pStyle w:val="ListParagraph"/>
              <w:keepNext/>
              <w:keepLines/>
              <w:numPr>
                <w:ilvl w:val="0"/>
                <w:numId w:val="39"/>
              </w:numPr>
            </w:pPr>
            <w:r w:rsidRPr="009A1DFB">
              <w:t>the angle</w:t>
            </w:r>
            <w:r>
              <w:t xml:space="preserve"> between the horizontal plane and the line-of-sight to the highest terrain in the direction of</w:t>
            </w:r>
            <w:r w:rsidRPr="009A1DFB">
              <w:t xml:space="preserve"> </w:t>
            </w:r>
            <w:r>
              <w:t xml:space="preserve">each relevant </w:t>
            </w:r>
            <w:r w:rsidRPr="009A1DFB">
              <w:t>transmitter plus 0.5 degrees</w:t>
            </w:r>
          </w:p>
        </w:tc>
        <w:tc>
          <w:tcPr>
            <w:tcW w:w="2835" w:type="dxa"/>
          </w:tcPr>
          <w:p w14:paraId="40568651" w14:textId="77777777" w:rsidR="00AE1D08" w:rsidRDefault="00AE1D08" w:rsidP="003C6FC5">
            <w:pPr>
              <w:keepNext/>
              <w:keepLines/>
            </w:pPr>
            <w:r>
              <w:t>Maximum of:</w:t>
            </w:r>
          </w:p>
          <w:p w14:paraId="5F1FEC10" w14:textId="4F2D3BA6" w:rsidR="001A63D7" w:rsidRDefault="00AE1D08" w:rsidP="003C6FC5">
            <w:pPr>
              <w:pStyle w:val="ListParagraph"/>
              <w:keepNext/>
              <w:keepLines/>
              <w:numPr>
                <w:ilvl w:val="0"/>
                <w:numId w:val="40"/>
              </w:numPr>
            </w:pPr>
            <w:r>
              <w:t xml:space="preserve">5 </w:t>
            </w:r>
            <w:r w:rsidR="005C710B">
              <w:t>degrees</w:t>
            </w:r>
            <w:r>
              <w:t>, or</w:t>
            </w:r>
          </w:p>
          <w:p w14:paraId="6A139C17" w14:textId="51520BE3" w:rsidR="00AE1D08" w:rsidRDefault="00EB5641" w:rsidP="003C6FC5">
            <w:pPr>
              <w:pStyle w:val="ListParagraph"/>
              <w:keepNext/>
              <w:keepLines/>
              <w:numPr>
                <w:ilvl w:val="0"/>
                <w:numId w:val="40"/>
              </w:numPr>
            </w:pPr>
            <w:r w:rsidRPr="009A1DFB">
              <w:t>the angle</w:t>
            </w:r>
            <w:r>
              <w:t xml:space="preserve"> between the horizontal plane and the line-of-sight to the highest terrain in the direction of</w:t>
            </w:r>
            <w:r w:rsidRPr="009A1DFB">
              <w:t xml:space="preserve"> </w:t>
            </w:r>
            <w:r>
              <w:t xml:space="preserve">each relevant </w:t>
            </w:r>
            <w:r w:rsidRPr="009A1DFB">
              <w:t>transmitter plus 0.5 degrees</w:t>
            </w:r>
          </w:p>
        </w:tc>
      </w:tr>
    </w:tbl>
    <w:p w14:paraId="0618774C" w14:textId="77777777" w:rsidR="00135432" w:rsidRDefault="00135432" w:rsidP="00135432">
      <w:pPr>
        <w:pStyle w:val="ACMATableHeader"/>
        <w:numPr>
          <w:ilvl w:val="0"/>
          <w:numId w:val="0"/>
        </w:numPr>
        <w:ind w:left="964"/>
      </w:pPr>
    </w:p>
    <w:p w14:paraId="03F75741" w14:textId="4C75CC06" w:rsidR="007616B1" w:rsidRPr="007616B1" w:rsidRDefault="005050B4" w:rsidP="00FF7E5F">
      <w:pPr>
        <w:pStyle w:val="Heading2"/>
      </w:pPr>
      <w:bookmarkStart w:id="348" w:name="_Ref16690482"/>
      <w:bookmarkStart w:id="349" w:name="_Toc94773091"/>
      <w:r w:rsidRPr="00D063F4">
        <w:t>Coexistence</w:t>
      </w:r>
      <w:r>
        <w:t xml:space="preserve"> with p</w:t>
      </w:r>
      <w:r w:rsidR="007616B1" w:rsidRPr="007616B1">
        <w:t>assive EESS</w:t>
      </w:r>
      <w:bookmarkEnd w:id="348"/>
      <w:bookmarkEnd w:id="349"/>
    </w:p>
    <w:p w14:paraId="3130D6DA" w14:textId="001D1DE7" w:rsidR="0048739F" w:rsidRDefault="00C645AA" w:rsidP="00ED39AC">
      <w:r w:rsidRPr="00ED39AC">
        <w:t xml:space="preserve">Space-borne passive sensing EESS services operate in the 23.6-24 GHz band. Coexistence between AWL devices and passive EESS is managed through imposing </w:t>
      </w:r>
      <w:r w:rsidR="0048739F">
        <w:t xml:space="preserve">additional measures to limit </w:t>
      </w:r>
      <w:r w:rsidR="00ED39AC">
        <w:t xml:space="preserve">aggregate </w:t>
      </w:r>
      <w:r w:rsidR="0048739F">
        <w:t>unwanted emission levels into the frequency range 23.6-24 GHz. These measures are:</w:t>
      </w:r>
    </w:p>
    <w:p w14:paraId="2DA76511" w14:textId="0B1B7C09" w:rsidR="00ED39AC" w:rsidRDefault="00ED39AC" w:rsidP="0048739F">
      <w:pPr>
        <w:pStyle w:val="ListBullet"/>
      </w:pPr>
      <w:r>
        <w:rPr>
          <w:bCs/>
        </w:rPr>
        <w:t xml:space="preserve">Placing </w:t>
      </w:r>
      <w:r w:rsidR="00C645AA" w:rsidRPr="0048739F">
        <w:rPr>
          <w:bCs/>
        </w:rPr>
        <w:t>more restrictive</w:t>
      </w:r>
      <w:r w:rsidR="00C645AA" w:rsidRPr="0048739F">
        <w:t xml:space="preserve"> </w:t>
      </w:r>
      <w:r w:rsidR="00782DA1">
        <w:t xml:space="preserve">limits on </w:t>
      </w:r>
      <w:r w:rsidR="00C645AA" w:rsidRPr="0048739F">
        <w:t xml:space="preserve">unwanted emission </w:t>
      </w:r>
      <w:r w:rsidRPr="0048739F">
        <w:t xml:space="preserve">in the frequency range 23.6-24 GHz </w:t>
      </w:r>
      <w:r w:rsidR="00C645AA" w:rsidRPr="0048739F">
        <w:t xml:space="preserve">from </w:t>
      </w:r>
      <w:r w:rsidR="004B215E">
        <w:t xml:space="preserve">AWL </w:t>
      </w:r>
      <w:r w:rsidR="00C645AA" w:rsidRPr="0048739F">
        <w:t xml:space="preserve">devices </w:t>
      </w:r>
      <w:r>
        <w:t>operating in the range 24.7-27.5 GHz</w:t>
      </w:r>
      <w:r w:rsidR="00C645AA" w:rsidRPr="0048739F">
        <w:t xml:space="preserve"> </w:t>
      </w:r>
      <w:r w:rsidR="00C645AA" w:rsidRPr="0048739F">
        <w:lastRenderedPageBreak/>
        <w:t>(other than earth stations)</w:t>
      </w:r>
      <w:r w:rsidR="00782DA1">
        <w:t>. U</w:t>
      </w:r>
      <w:r>
        <w:t>nwanted emission limits are detai</w:t>
      </w:r>
      <w:r w:rsidR="00327BD2">
        <w:t>l</w:t>
      </w:r>
      <w:r>
        <w:t>ed in the AWL LCD</w:t>
      </w:r>
      <w:r w:rsidR="0048739F">
        <w:t>, and</w:t>
      </w:r>
    </w:p>
    <w:p w14:paraId="0EA12CD4" w14:textId="3BCC4EF7" w:rsidR="00C645AA" w:rsidRPr="0048739F" w:rsidRDefault="00ED39AC" w:rsidP="00103034">
      <w:pPr>
        <w:pStyle w:val="ListBulletLast"/>
      </w:pPr>
      <w:r>
        <w:t xml:space="preserve">Mandating density limits for AWL base stations operating in the range 24.7-25.1 GHz – density limits are described in section </w:t>
      </w:r>
      <w:r>
        <w:fldChar w:fldCharType="begin"/>
      </w:r>
      <w:r>
        <w:instrText xml:space="preserve"> REF _Ref92371718 \r \h </w:instrText>
      </w:r>
      <w:r>
        <w:fldChar w:fldCharType="separate"/>
      </w:r>
      <w:r w:rsidR="009E3A92">
        <w:t>3.5.1</w:t>
      </w:r>
      <w:r>
        <w:fldChar w:fldCharType="end"/>
      </w:r>
      <w:r w:rsidR="00C645AA" w:rsidRPr="0048739F">
        <w:t>.</w:t>
      </w:r>
    </w:p>
    <w:p w14:paraId="0742C4DF" w14:textId="311964FB" w:rsidR="00ED39AC" w:rsidRDefault="00ED39AC" w:rsidP="00103034">
      <w:pPr>
        <w:pStyle w:val="Heading3"/>
        <w:ind w:left="680" w:hanging="680"/>
      </w:pPr>
      <w:bookmarkStart w:id="350" w:name="_Ref92371718"/>
      <w:bookmarkStart w:id="351" w:name="_Toc94773092"/>
      <w:r>
        <w:t>Density limits</w:t>
      </w:r>
      <w:bookmarkEnd w:id="350"/>
      <w:bookmarkEnd w:id="351"/>
    </w:p>
    <w:p w14:paraId="188A534F" w14:textId="12B93FEA" w:rsidR="000111F9" w:rsidRDefault="002D5E98" w:rsidP="00103034">
      <w:r>
        <w:t xml:space="preserve">Table </w:t>
      </w:r>
      <w:r w:rsidR="004E4A04">
        <w:t>7</w:t>
      </w:r>
      <w:r w:rsidR="000C073C">
        <w:t xml:space="preserve"> </w:t>
      </w:r>
      <w:r>
        <w:t>provide</w:t>
      </w:r>
      <w:r w:rsidR="009F6059">
        <w:t>s</w:t>
      </w:r>
      <w:r>
        <w:t xml:space="preserve"> the maximum number of </w:t>
      </w:r>
      <w:r w:rsidR="00EC04B1">
        <w:t>transmitters</w:t>
      </w:r>
      <w:r w:rsidR="00C348E7">
        <w:t xml:space="preserve"> in the range 24.7-25.1 GHz</w:t>
      </w:r>
      <w:r w:rsidR="00EC04B1">
        <w:t xml:space="preserve"> (which are required to be </w:t>
      </w:r>
      <w:r w:rsidR="00594335">
        <w:t xml:space="preserve">registered </w:t>
      </w:r>
      <w:r w:rsidR="00EC04B1">
        <w:t>in the RRL) which can be</w:t>
      </w:r>
      <w:r w:rsidR="00851AE4">
        <w:t xml:space="preserve"> deployed within a </w:t>
      </w:r>
      <w:r w:rsidR="009532A8">
        <w:t>9km radius.</w:t>
      </w:r>
      <w:r w:rsidR="009F6059">
        <w:t xml:space="preserve"> </w:t>
      </w:r>
      <w:r w:rsidR="00594335">
        <w:t>A</w:t>
      </w:r>
      <w:r w:rsidR="00C824D7">
        <w:t xml:space="preserve">n </w:t>
      </w:r>
      <w:r w:rsidR="00A20AD1">
        <w:t xml:space="preserve">AWL </w:t>
      </w:r>
      <w:r w:rsidR="009532A8">
        <w:t xml:space="preserve">transmitter must not be </w:t>
      </w:r>
      <w:r w:rsidR="00594335">
        <w:t>registered</w:t>
      </w:r>
      <w:r w:rsidR="009532A8">
        <w:t xml:space="preserve"> in the RRL </w:t>
      </w:r>
      <w:r w:rsidR="00811A31">
        <w:t xml:space="preserve">if </w:t>
      </w:r>
      <w:r w:rsidR="00C824D7">
        <w:t>it would operate in the range 24</w:t>
      </w:r>
      <w:r w:rsidR="00EC04B1">
        <w:t xml:space="preserve">.7-25.1 GHz and </w:t>
      </w:r>
      <w:r w:rsidR="00E301BC">
        <w:t xml:space="preserve">the number of existing </w:t>
      </w:r>
      <w:r w:rsidR="00A20AD1">
        <w:t xml:space="preserve">AWL </w:t>
      </w:r>
      <w:r w:rsidR="00EC04B1">
        <w:t>transmitters</w:t>
      </w:r>
      <w:r w:rsidR="00E301BC">
        <w:t xml:space="preserve"> in the RRL </w:t>
      </w:r>
      <w:r w:rsidR="00EC04B1">
        <w:t xml:space="preserve">is equal to or </w:t>
      </w:r>
      <w:r w:rsidR="00E301BC">
        <w:t>ex</w:t>
      </w:r>
      <w:r w:rsidR="00995280">
        <w:t xml:space="preserve">ceeds the limit in Table </w:t>
      </w:r>
      <w:r w:rsidR="00913FF3">
        <w:t>7</w:t>
      </w:r>
      <w:r w:rsidR="00995280">
        <w:t xml:space="preserve"> for the operating range of the proposed </w:t>
      </w:r>
      <w:r w:rsidR="00C348E7">
        <w:t>transmitter</w:t>
      </w:r>
      <w:r w:rsidR="00995280">
        <w:t>.</w:t>
      </w:r>
    </w:p>
    <w:p w14:paraId="2F4041FA" w14:textId="0DFC69E4" w:rsidR="00E042E5" w:rsidRDefault="009D6D5C" w:rsidP="00103034">
      <w:r>
        <w:t xml:space="preserve">In </w:t>
      </w:r>
      <w:r w:rsidR="00212855">
        <w:t xml:space="preserve">assessing compliance with Table </w:t>
      </w:r>
      <w:r w:rsidR="00913FF3">
        <w:t>7</w:t>
      </w:r>
      <w:r w:rsidR="00212855">
        <w:t xml:space="preserve">, </w:t>
      </w:r>
      <w:r w:rsidR="00BC7D05">
        <w:t xml:space="preserve">a transmitter (either </w:t>
      </w:r>
      <w:r w:rsidR="00B84448">
        <w:t xml:space="preserve">existing or proposed) with emissions overlapping </w:t>
      </w:r>
      <w:r w:rsidR="00F5488C">
        <w:t xml:space="preserve">more than one frequency </w:t>
      </w:r>
      <w:r w:rsidR="00881511">
        <w:t>segment</w:t>
      </w:r>
      <w:r w:rsidR="00F5488C">
        <w:t xml:space="preserve"> in Table </w:t>
      </w:r>
      <w:r w:rsidR="00913FF3">
        <w:t>7</w:t>
      </w:r>
      <w:r w:rsidR="00F5488C">
        <w:t xml:space="preserve"> is to be counted </w:t>
      </w:r>
      <w:r w:rsidR="006C3877">
        <w:t xml:space="preserve">as a service in </w:t>
      </w:r>
      <w:r w:rsidR="006A5FA2">
        <w:t>each of the overlapping</w:t>
      </w:r>
      <w:r w:rsidR="006C3877">
        <w:t xml:space="preserve"> frequency ranges.</w:t>
      </w:r>
      <w:r w:rsidR="000111F9">
        <w:t xml:space="preserve"> </w:t>
      </w:r>
      <w:r w:rsidR="00147CE4">
        <w:t xml:space="preserve">There is no deployment limit </w:t>
      </w:r>
      <w:r>
        <w:t>in the frequency range 25.1-</w:t>
      </w:r>
      <w:r w:rsidR="004F687A">
        <w:t>30</w:t>
      </w:r>
      <w:r>
        <w:t xml:space="preserve"> GHz.</w:t>
      </w:r>
    </w:p>
    <w:p w14:paraId="3461E5C4" w14:textId="2776FF8F" w:rsidR="00E042E5" w:rsidRDefault="00E042E5" w:rsidP="00E042E5">
      <w:pPr>
        <w:pStyle w:val="ACMATableHeader"/>
        <w:keepNext/>
        <w:keepLines/>
      </w:pPr>
      <w:r>
        <w:t>Deployment limits for AWL transmitters (which are required to be re</w:t>
      </w:r>
      <w:r w:rsidR="00594335">
        <w:t>gistered</w:t>
      </w:r>
      <w:r>
        <w:t xml:space="preserve"> in the RRL) in the frequency range 24.7–25.1 GHz</w:t>
      </w:r>
    </w:p>
    <w:tbl>
      <w:tblPr>
        <w:tblStyle w:val="TableGrid"/>
        <w:tblW w:w="0" w:type="auto"/>
        <w:tblCellMar>
          <w:top w:w="108" w:type="dxa"/>
          <w:bottom w:w="108" w:type="dxa"/>
        </w:tblCellMar>
        <w:tblLook w:val="04A0" w:firstRow="1" w:lastRow="0" w:firstColumn="1" w:lastColumn="0" w:noHBand="0" w:noVBand="1"/>
      </w:tblPr>
      <w:tblGrid>
        <w:gridCol w:w="1980"/>
        <w:gridCol w:w="5528"/>
      </w:tblGrid>
      <w:tr w:rsidR="00502AFB" w14:paraId="16B1438A" w14:textId="77777777" w:rsidTr="00247A96">
        <w:tc>
          <w:tcPr>
            <w:tcW w:w="1980" w:type="dxa"/>
          </w:tcPr>
          <w:p w14:paraId="50FB6CCD" w14:textId="7CF0EA7B" w:rsidR="00502AFB" w:rsidRPr="00746EE7" w:rsidRDefault="00502AFB" w:rsidP="008D40C1">
            <w:pPr>
              <w:pStyle w:val="TableHeading"/>
              <w:keepNext/>
              <w:keepLines/>
            </w:pPr>
            <w:r w:rsidRPr="00746EE7">
              <w:t>Wireless broadband operating frequency range</w:t>
            </w:r>
          </w:p>
        </w:tc>
        <w:tc>
          <w:tcPr>
            <w:tcW w:w="5528" w:type="dxa"/>
          </w:tcPr>
          <w:p w14:paraId="3B99CF44" w14:textId="23280C96" w:rsidR="00502AFB" w:rsidRPr="00746EE7" w:rsidRDefault="00502AFB" w:rsidP="008D40C1">
            <w:pPr>
              <w:pStyle w:val="TableHeading"/>
              <w:keepNext/>
              <w:keepLines/>
            </w:pPr>
            <w:r w:rsidRPr="00746EE7">
              <w:t xml:space="preserve">Maximum number of </w:t>
            </w:r>
            <w:r w:rsidR="00A20AD1">
              <w:t xml:space="preserve">AWLs </w:t>
            </w:r>
            <w:r>
              <w:t>transmitters (which are required to be re</w:t>
            </w:r>
            <w:r w:rsidR="00594335">
              <w:t>gistered</w:t>
            </w:r>
            <w:r>
              <w:t xml:space="preserve"> in the RRL)</w:t>
            </w:r>
            <w:r w:rsidRPr="00746EE7">
              <w:t xml:space="preserve"> within a 9km radius</w:t>
            </w:r>
          </w:p>
        </w:tc>
      </w:tr>
      <w:tr w:rsidR="00502AFB" w14:paraId="713DC438" w14:textId="77777777" w:rsidTr="00247A96">
        <w:tc>
          <w:tcPr>
            <w:tcW w:w="1980" w:type="dxa"/>
          </w:tcPr>
          <w:p w14:paraId="0CB4C2E6" w14:textId="0F5999BA" w:rsidR="00502AFB" w:rsidRPr="00746EE7" w:rsidRDefault="00502AFB" w:rsidP="008D40C1">
            <w:pPr>
              <w:pStyle w:val="TableBody"/>
              <w:keepNext/>
              <w:keepLines/>
            </w:pPr>
            <w:r w:rsidRPr="00746EE7">
              <w:t>24</w:t>
            </w:r>
            <w:r>
              <w:t>.7</w:t>
            </w:r>
            <w:r w:rsidRPr="00746EE7">
              <w:t>–2</w:t>
            </w:r>
            <w:r>
              <w:t>4.9</w:t>
            </w:r>
            <w:r w:rsidRPr="00746EE7">
              <w:t xml:space="preserve"> GHz</w:t>
            </w:r>
          </w:p>
        </w:tc>
        <w:tc>
          <w:tcPr>
            <w:tcW w:w="5528" w:type="dxa"/>
          </w:tcPr>
          <w:p w14:paraId="74C97FEE" w14:textId="7B6B1E27" w:rsidR="00502AFB" w:rsidRPr="00746EE7" w:rsidRDefault="00502AFB" w:rsidP="008D40C1">
            <w:pPr>
              <w:pStyle w:val="TableBody"/>
              <w:keepNext/>
              <w:keepLines/>
            </w:pPr>
            <w:r>
              <w:t>4</w:t>
            </w:r>
            <w:r w:rsidR="000E76E2">
              <w:t>4</w:t>
            </w:r>
          </w:p>
        </w:tc>
      </w:tr>
      <w:tr w:rsidR="00502AFB" w14:paraId="71C06CBF" w14:textId="77777777" w:rsidTr="00247A96">
        <w:tc>
          <w:tcPr>
            <w:tcW w:w="1980" w:type="dxa"/>
          </w:tcPr>
          <w:p w14:paraId="699D94CC" w14:textId="5770B71A" w:rsidR="00502AFB" w:rsidRPr="00746EE7" w:rsidRDefault="00502AFB" w:rsidP="008D40C1">
            <w:pPr>
              <w:pStyle w:val="TableBody"/>
              <w:keepNext/>
              <w:keepLines/>
            </w:pPr>
            <w:r w:rsidRPr="00746EE7">
              <w:t>2</w:t>
            </w:r>
            <w:r>
              <w:t>4.9</w:t>
            </w:r>
            <w:r w:rsidRPr="00746EE7">
              <w:softHyphen/>
            </w:r>
            <w:r w:rsidRPr="00746EE7">
              <w:softHyphen/>
              <w:t>–25.1 GHz</w:t>
            </w:r>
          </w:p>
        </w:tc>
        <w:tc>
          <w:tcPr>
            <w:tcW w:w="5528" w:type="dxa"/>
          </w:tcPr>
          <w:p w14:paraId="1A315617" w14:textId="1A2D40E1" w:rsidR="00502AFB" w:rsidRPr="00746EE7" w:rsidRDefault="00502AFB" w:rsidP="008D40C1">
            <w:pPr>
              <w:pStyle w:val="TableBody"/>
              <w:keepNext/>
              <w:keepLines/>
            </w:pPr>
            <w:r w:rsidRPr="00746EE7">
              <w:t>4</w:t>
            </w:r>
            <w:r w:rsidR="000E76E2">
              <w:t>4</w:t>
            </w:r>
          </w:p>
        </w:tc>
      </w:tr>
    </w:tbl>
    <w:p w14:paraId="2B7C842B" w14:textId="77777777" w:rsidR="00321CA0" w:rsidRDefault="00321CA0" w:rsidP="00321CA0"/>
    <w:p w14:paraId="19B4B447" w14:textId="2A39F1BF" w:rsidR="00A00920" w:rsidRDefault="00321CA0" w:rsidP="00FF7E5F">
      <w:pPr>
        <w:pStyle w:val="Heading2"/>
      </w:pPr>
      <w:bookmarkStart w:id="352" w:name="_Ref22128670"/>
      <w:bookmarkStart w:id="353" w:name="_Toc94773093"/>
      <w:r>
        <w:t xml:space="preserve">Coordination with </w:t>
      </w:r>
      <w:r w:rsidR="003D53A7">
        <w:t xml:space="preserve">legacy point-to-point </w:t>
      </w:r>
      <w:r>
        <w:t>fixed links</w:t>
      </w:r>
      <w:bookmarkEnd w:id="352"/>
      <w:bookmarkEnd w:id="353"/>
    </w:p>
    <w:p w14:paraId="59B5B0B0" w14:textId="1FE89A80" w:rsidR="002C1C22" w:rsidRDefault="001A0F13" w:rsidP="002C1C22">
      <w:r>
        <w:t>This section outlines the requirements for coordinating AWL transmitters with legacy point-to-point links.</w:t>
      </w:r>
      <w:r w:rsidR="00E37CAC">
        <w:rPr>
          <w:rStyle w:val="FootnoteReference"/>
        </w:rPr>
        <w:footnoteReference w:id="23"/>
      </w:r>
      <w:r>
        <w:t xml:space="preserve"> </w:t>
      </w:r>
      <w:r w:rsidR="002C1C22">
        <w:t>No new point-to-point links are to be permitted in the 28 GHz band.</w:t>
      </w:r>
      <w:r w:rsidR="002C1C22">
        <w:rPr>
          <w:rStyle w:val="FootnoteReference"/>
        </w:rPr>
        <w:footnoteReference w:id="24"/>
      </w:r>
      <w:r w:rsidR="002C1C22">
        <w:t xml:space="preserve"> Legacy point-to-point services will be able to continue to operate for a minimum of 7 years </w:t>
      </w:r>
      <w:r w:rsidR="005238BC">
        <w:t>from September 2019,</w:t>
      </w:r>
      <w:r w:rsidR="007376E9">
        <w:t xml:space="preserve"> </w:t>
      </w:r>
      <w:r w:rsidR="002C1C22">
        <w:t>with a possibility of continued operation beyond this timeframe (subject to further review).</w:t>
      </w:r>
      <w:r w:rsidR="002C1C22">
        <w:rPr>
          <w:rStyle w:val="FootnoteReference"/>
        </w:rPr>
        <w:footnoteReference w:id="25"/>
      </w:r>
      <w:r w:rsidR="002C1C22">
        <w:t xml:space="preserve"> During this time, </w:t>
      </w:r>
      <w:r w:rsidR="002C1C22">
        <w:rPr>
          <w:rFonts w:cs="Arial"/>
        </w:rPr>
        <w:t>AWL</w:t>
      </w:r>
      <w:r w:rsidR="002C1C22">
        <w:t xml:space="preserve"> services will need to coexist with existing point-to-point services.</w:t>
      </w:r>
    </w:p>
    <w:p w14:paraId="35BE92BC" w14:textId="1A245111" w:rsidR="00B626A3" w:rsidRDefault="002C1C22" w:rsidP="00321CA0">
      <w:r w:rsidRPr="00A77E1A">
        <w:t xml:space="preserve">Interference from a proposed </w:t>
      </w:r>
      <w:r>
        <w:t xml:space="preserve">AWL </w:t>
      </w:r>
      <w:r w:rsidRPr="00A77E1A">
        <w:t xml:space="preserve">transmitter into a </w:t>
      </w:r>
      <w:r w:rsidRPr="00FE5CD8">
        <w:t xml:space="preserve">fixed link receiver is assessed using the </w:t>
      </w:r>
      <w:r>
        <w:t>s</w:t>
      </w:r>
      <w:r w:rsidRPr="00FE5CD8">
        <w:t xml:space="preserve">teps described </w:t>
      </w:r>
      <w:r w:rsidR="0057516B">
        <w:t xml:space="preserve">in section </w:t>
      </w:r>
      <w:r w:rsidR="0057516B">
        <w:fldChar w:fldCharType="begin"/>
      </w:r>
      <w:r w:rsidR="0057516B">
        <w:instrText xml:space="preserve"> REF _Ref93323261 \r \h </w:instrText>
      </w:r>
      <w:r w:rsidR="0057516B">
        <w:fldChar w:fldCharType="separate"/>
      </w:r>
      <w:r w:rsidR="009E3A92">
        <w:t>3.6.1</w:t>
      </w:r>
      <w:r w:rsidR="0057516B">
        <w:fldChar w:fldCharType="end"/>
      </w:r>
      <w:r w:rsidR="0057516B">
        <w:t xml:space="preserve">. </w:t>
      </w:r>
      <w:r w:rsidR="00594335">
        <w:t>An</w:t>
      </w:r>
      <w:r w:rsidR="00BF230B">
        <w:t xml:space="preserve"> AWL transmitter </w:t>
      </w:r>
      <w:r w:rsidR="00594335">
        <w:t>must</w:t>
      </w:r>
      <w:r w:rsidR="00BF230B">
        <w:t xml:space="preserve"> not to be </w:t>
      </w:r>
      <w:r w:rsidR="00594335">
        <w:t>registered</w:t>
      </w:r>
      <w:r w:rsidR="00BF230B">
        <w:t xml:space="preserve"> in the RRL </w:t>
      </w:r>
      <w:r w:rsidR="000F01A9">
        <w:t>i</w:t>
      </w:r>
      <w:r w:rsidR="00BF230B">
        <w:t xml:space="preserve">f the </w:t>
      </w:r>
      <w:r w:rsidR="000F01A9">
        <w:t>relevant coordination requirements detailed in this section</w:t>
      </w:r>
      <w:r w:rsidR="00BF230B">
        <w:t xml:space="preserve"> </w:t>
      </w:r>
      <w:r w:rsidR="000F01A9">
        <w:t>are</w:t>
      </w:r>
      <w:r w:rsidR="00BF230B">
        <w:t xml:space="preserve"> not met</w:t>
      </w:r>
      <w:r w:rsidR="000F01A9">
        <w:t>.</w:t>
      </w:r>
      <w:r w:rsidR="00BF230B">
        <w:t xml:space="preserve"> </w:t>
      </w:r>
    </w:p>
    <w:p w14:paraId="319D3DB7" w14:textId="7D8208BC" w:rsidR="00321CA0" w:rsidRPr="00A77E1A" w:rsidRDefault="00AA210D" w:rsidP="00321CA0">
      <w:r>
        <w:t>AWL receivers will not be afforded protection from interference from existing point-to-point links, therefore t</w:t>
      </w:r>
      <w:r w:rsidR="003D53A7">
        <w:t xml:space="preserve">here is no </w:t>
      </w:r>
      <w:r>
        <w:t xml:space="preserve">defined procedure </w:t>
      </w:r>
      <w:r w:rsidR="003D53A7">
        <w:t xml:space="preserve">to assess </w:t>
      </w:r>
      <w:r w:rsidR="003D53A7">
        <w:lastRenderedPageBreak/>
        <w:t>interference from a point-to-point transmitter to a</w:t>
      </w:r>
      <w:r w:rsidR="00BA0DC9">
        <w:t>n AWL</w:t>
      </w:r>
      <w:r w:rsidR="00016759">
        <w:t xml:space="preserve"> </w:t>
      </w:r>
      <w:r w:rsidR="003D53A7">
        <w:t>receiver</w:t>
      </w:r>
      <w:r>
        <w:t xml:space="preserve">. A relevant advisory </w:t>
      </w:r>
      <w:r w:rsidRPr="00E31B8E">
        <w:t>note</w:t>
      </w:r>
      <w:r>
        <w:t xml:space="preserve"> is </w:t>
      </w:r>
      <w:r w:rsidRPr="00E31B8E">
        <w:t xml:space="preserve">included on all </w:t>
      </w:r>
      <w:r>
        <w:t>standard-</w:t>
      </w:r>
      <w:r w:rsidRPr="00E31B8E">
        <w:rPr>
          <w:rFonts w:cs="Arial"/>
        </w:rPr>
        <w:t>AWLs</w:t>
      </w:r>
      <w:r>
        <w:t xml:space="preserve"> – see section</w:t>
      </w:r>
      <w:r w:rsidR="008074D3">
        <w:t xml:space="preserve"> </w:t>
      </w:r>
      <w:r w:rsidR="008074D3">
        <w:fldChar w:fldCharType="begin"/>
      </w:r>
      <w:r w:rsidR="008074D3">
        <w:instrText xml:space="preserve"> REF _Ref91159366 \r \h </w:instrText>
      </w:r>
      <w:r w:rsidR="008074D3">
        <w:fldChar w:fldCharType="separate"/>
      </w:r>
      <w:r w:rsidR="009E3A92">
        <w:t>2.4.2</w:t>
      </w:r>
      <w:r w:rsidR="008074D3">
        <w:fldChar w:fldCharType="end"/>
      </w:r>
      <w:r>
        <w:t xml:space="preserve">. In planning deployments under an </w:t>
      </w:r>
      <w:r>
        <w:rPr>
          <w:rFonts w:cs="Arial"/>
        </w:rPr>
        <w:t xml:space="preserve">AWL, </w:t>
      </w:r>
      <w:r>
        <w:t>the licensee should take account of existing point-to-point transmitters and plan their services accordingly.</w:t>
      </w:r>
      <w:r w:rsidR="00713AA2">
        <w:t xml:space="preserve"> </w:t>
      </w:r>
    </w:p>
    <w:p w14:paraId="4F0599CE" w14:textId="19495C24" w:rsidR="0057516B" w:rsidRDefault="0057516B" w:rsidP="0057516B">
      <w:pPr>
        <w:pStyle w:val="Heading3"/>
        <w:ind w:left="680" w:hanging="680"/>
      </w:pPr>
      <w:bookmarkStart w:id="354" w:name="_Ref93323261"/>
      <w:bookmarkStart w:id="355" w:name="_Toc94773094"/>
      <w:r>
        <w:t xml:space="preserve">Coordination </w:t>
      </w:r>
      <w:r w:rsidR="007D6042">
        <w:t>process</w:t>
      </w:r>
      <w:bookmarkEnd w:id="354"/>
      <w:bookmarkEnd w:id="355"/>
    </w:p>
    <w:p w14:paraId="7D869C11" w14:textId="163B1961" w:rsidR="00FE5CD8" w:rsidRDefault="00321CA0" w:rsidP="00571EFB">
      <w:r w:rsidRPr="00A77E1A">
        <w:t xml:space="preserve">The coordination process calculates a wanted-to-unwanted signal level ratio at the fixed link </w:t>
      </w:r>
      <w:r w:rsidRPr="0073033E">
        <w:t xml:space="preserve">receiver input and compares it against the relevant protection </w:t>
      </w:r>
      <w:r w:rsidR="00783DDA">
        <w:t>criteria</w:t>
      </w:r>
      <w:r w:rsidRPr="0073033E">
        <w:t xml:space="preserve"> in </w:t>
      </w:r>
      <w:r w:rsidR="008074D3">
        <w:fldChar w:fldCharType="begin"/>
      </w:r>
      <w:r w:rsidR="008074D3">
        <w:instrText xml:space="preserve"> REF _Ref91159411 \h </w:instrText>
      </w:r>
      <w:r w:rsidR="008074D3">
        <w:fldChar w:fldCharType="separate"/>
      </w:r>
      <w:r w:rsidR="009E3A92" w:rsidRPr="00AF06C8">
        <w:rPr>
          <w:szCs w:val="44"/>
        </w:rPr>
        <w:t xml:space="preserve">Appendix </w:t>
      </w:r>
      <w:r w:rsidR="009E3A92">
        <w:rPr>
          <w:szCs w:val="44"/>
        </w:rPr>
        <w:t>D</w:t>
      </w:r>
      <w:r w:rsidR="009E3A92" w:rsidRPr="00AF06C8">
        <w:rPr>
          <w:szCs w:val="44"/>
        </w:rPr>
        <w:t xml:space="preserve">: </w:t>
      </w:r>
      <w:r w:rsidR="009E3A92">
        <w:rPr>
          <w:szCs w:val="44"/>
        </w:rPr>
        <w:t>Protection criteria for fixed link receivers</w:t>
      </w:r>
      <w:r w:rsidR="008074D3">
        <w:fldChar w:fldCharType="end"/>
      </w:r>
      <w:r w:rsidRPr="0073033E">
        <w:t>.</w:t>
      </w:r>
      <w:r w:rsidR="00A945F0">
        <w:t xml:space="preserve"> An appropriate propagation model</w:t>
      </w:r>
      <w:r w:rsidR="00034EC8">
        <w:rPr>
          <w:rStyle w:val="FootnoteReference"/>
        </w:rPr>
        <w:footnoteReference w:id="26"/>
      </w:r>
      <w:r w:rsidR="00A945F0">
        <w:t xml:space="preserve"> </w:t>
      </w:r>
      <w:r w:rsidR="00227506">
        <w:t xml:space="preserve">and a </w:t>
      </w:r>
      <w:r w:rsidR="0002098E">
        <w:t xml:space="preserve">3 second digital elevation model or better </w:t>
      </w:r>
      <w:r w:rsidR="00A945F0">
        <w:t>is</w:t>
      </w:r>
      <w:r w:rsidR="00227506">
        <w:t xml:space="preserve"> to be used.</w:t>
      </w:r>
      <w:r w:rsidR="00A945F0">
        <w:t xml:space="preserve"> </w:t>
      </w:r>
    </w:p>
    <w:p w14:paraId="709230C9" w14:textId="0E6E7BB6" w:rsidR="0054766C" w:rsidRPr="00A77E1A" w:rsidRDefault="0054766C" w:rsidP="00571EFB">
      <w:r>
        <w:t>A</w:t>
      </w:r>
      <w:r w:rsidR="00594335">
        <w:t>n</w:t>
      </w:r>
      <w:r>
        <w:t xml:space="preserve"> </w:t>
      </w:r>
      <w:r w:rsidR="00A20AD1">
        <w:t xml:space="preserve">AWL </w:t>
      </w:r>
      <w:r>
        <w:t xml:space="preserve">transmitter </w:t>
      </w:r>
      <w:r w:rsidR="00594335">
        <w:t>must</w:t>
      </w:r>
      <w:r>
        <w:t xml:space="preserve"> not to be</w:t>
      </w:r>
      <w:r w:rsidR="00594335">
        <w:t xml:space="preserve"> registered</w:t>
      </w:r>
      <w:r>
        <w:t xml:space="preserve"> in the RRL if it fails this coordination process.</w:t>
      </w:r>
    </w:p>
    <w:p w14:paraId="71E202BA" w14:textId="68C59E63" w:rsidR="00A12579" w:rsidRDefault="00321CA0" w:rsidP="00321CA0">
      <w:r w:rsidRPr="00A77E1A">
        <w:rPr>
          <w:b/>
        </w:rPr>
        <w:t>Step 1</w:t>
      </w:r>
      <w:r w:rsidRPr="00A77E1A">
        <w:t xml:space="preserve">: </w:t>
      </w:r>
      <w:r w:rsidR="00F07FC5">
        <w:t xml:space="preserve">The first step is to identify all fixed </w:t>
      </w:r>
      <w:r w:rsidR="003D53A7">
        <w:t>link</w:t>
      </w:r>
      <w:r w:rsidR="00F07FC5">
        <w:t xml:space="preserve"> receivers that may be affected by the operation of the proposed </w:t>
      </w:r>
      <w:r w:rsidR="00A20AD1">
        <w:t xml:space="preserve">AWL </w:t>
      </w:r>
      <w:r w:rsidR="00F07FC5">
        <w:t xml:space="preserve">transmitter. </w:t>
      </w:r>
      <w:r w:rsidRPr="00A77E1A">
        <w:t xml:space="preserve">To identify potentially affected fixed link receivers, </w:t>
      </w:r>
      <w:r w:rsidR="000F408E">
        <w:t xml:space="preserve">apply </w:t>
      </w:r>
      <w:r w:rsidRPr="00A77E1A">
        <w:t>a minimum distance cull around the site of the proposed transmitter of</w:t>
      </w:r>
      <w:r w:rsidR="00A12579">
        <w:t>:</w:t>
      </w:r>
    </w:p>
    <w:p w14:paraId="7E4E40D0" w14:textId="13AECF74" w:rsidR="00321CA0" w:rsidRDefault="00571EFB" w:rsidP="00A12579">
      <w:pPr>
        <w:pStyle w:val="ListBullet"/>
      </w:pPr>
      <w:r>
        <w:t>1</w:t>
      </w:r>
      <w:r w:rsidR="00321CA0" w:rsidRPr="00A77E1A">
        <w:t>00 km</w:t>
      </w:r>
      <w:r w:rsidR="00A12579">
        <w:t xml:space="preserve"> for transmitters other than earth stations</w:t>
      </w:r>
      <w:r w:rsidR="00321CA0" w:rsidRPr="00A77E1A">
        <w:t xml:space="preserve"> </w:t>
      </w:r>
    </w:p>
    <w:p w14:paraId="0654E462" w14:textId="7F4D5B85" w:rsidR="00A12579" w:rsidRPr="00A77E1A" w:rsidRDefault="00A12579" w:rsidP="00103034">
      <w:pPr>
        <w:pStyle w:val="ListBulletLast"/>
      </w:pPr>
      <w:r>
        <w:t>300 km for earth stations</w:t>
      </w:r>
    </w:p>
    <w:p w14:paraId="4B378D04" w14:textId="1F7AAF7C" w:rsidR="00A12579" w:rsidRDefault="00321CA0" w:rsidP="00321CA0">
      <w:r w:rsidRPr="00A77E1A">
        <w:t>A frequency cull is then applied to further reduce the number of cases requiring coordination calculations</w:t>
      </w:r>
      <w:r w:rsidR="00763E65">
        <w:t xml:space="preserve">. </w:t>
      </w:r>
    </w:p>
    <w:p w14:paraId="2D265E46" w14:textId="75E87839" w:rsidR="00763E65" w:rsidRDefault="00A12579" w:rsidP="00A12579">
      <w:pPr>
        <w:pStyle w:val="ListBullet"/>
      </w:pPr>
      <w:r>
        <w:t xml:space="preserve">For transmitters other than earth stations: </w:t>
      </w:r>
      <w:r w:rsidR="00D360E0">
        <w:t>Assuming a maximum transmit channel bandwidth of 400 MHz</w:t>
      </w:r>
      <w:r w:rsidR="00710585">
        <w:rPr>
          <w:rStyle w:val="FootnoteReference"/>
        </w:rPr>
        <w:footnoteReference w:id="27"/>
      </w:r>
      <w:r w:rsidR="00763E65">
        <w:t xml:space="preserve">, all fixed links with a centre frequency within </w:t>
      </w:r>
      <w:r w:rsidR="00D360E0">
        <w:t>10</w:t>
      </w:r>
      <w:r w:rsidR="00B53B50">
        <w:t>56</w:t>
      </w:r>
      <w:r w:rsidR="00763E65">
        <w:t xml:space="preserve"> MHz of the</w:t>
      </w:r>
      <w:r w:rsidR="00D360E0">
        <w:t xml:space="preserve"> proposed transmitter centre frequency</w:t>
      </w:r>
      <w:r w:rsidR="00887949">
        <w:t xml:space="preserve"> </w:t>
      </w:r>
      <w:r w:rsidR="000425F2">
        <w:t>are</w:t>
      </w:r>
      <w:r w:rsidR="00763E65">
        <w:t xml:space="preserve"> to be included in the detailed coordination calculations.</w:t>
      </w:r>
    </w:p>
    <w:p w14:paraId="725922E8" w14:textId="5174D244" w:rsidR="00A12579" w:rsidRDefault="00A12579" w:rsidP="00103034">
      <w:pPr>
        <w:pStyle w:val="ListBulletLast"/>
      </w:pPr>
      <w:r>
        <w:t>For earth stations: Limit the selection of fixed service stations to those operating within 224 MHz of the upper or lower band edge of the FSS transmitter station’s channel bandwidth (</w:t>
      </w:r>
      <w:proofErr w:type="gramStart"/>
      <w:r>
        <w:t>i.e.</w:t>
      </w:r>
      <w:proofErr w:type="gramEnd"/>
      <w:r>
        <w:t xml:space="preserve"> ∆f – BWES/2 – BWFS/2 &lt; 224 MHz—more guidance on this is provided </w:t>
      </w:r>
      <w:r w:rsidR="00C74ADB">
        <w:t>in section</w:t>
      </w:r>
      <w:r w:rsidR="009D00F9">
        <w:t xml:space="preserve"> </w:t>
      </w:r>
      <w:r w:rsidR="009D00F9">
        <w:fldChar w:fldCharType="begin"/>
      </w:r>
      <w:r w:rsidR="009D00F9">
        <w:instrText xml:space="preserve"> REF _Ref83888835 \r \h </w:instrText>
      </w:r>
      <w:r w:rsidR="009D00F9">
        <w:fldChar w:fldCharType="separate"/>
      </w:r>
      <w:r w:rsidR="009E3A92">
        <w:t>3.6.2</w:t>
      </w:r>
      <w:r w:rsidR="009D00F9">
        <w:fldChar w:fldCharType="end"/>
      </w:r>
      <w:r>
        <w:t>).</w:t>
      </w:r>
    </w:p>
    <w:p w14:paraId="04B25AA5" w14:textId="3303E552" w:rsidR="006C0297" w:rsidRDefault="006C0297" w:rsidP="00321CA0">
      <w:r>
        <w:rPr>
          <w:b/>
          <w:bCs/>
        </w:rPr>
        <w:t>Step 2</w:t>
      </w:r>
      <w:r>
        <w:t xml:space="preserve">: </w:t>
      </w:r>
      <w:r w:rsidR="00F07FC5">
        <w:t>Calculate the level of wanted power at each receiver identified in step 1.</w:t>
      </w:r>
    </w:p>
    <w:p w14:paraId="3DD986F3" w14:textId="3E0E790F" w:rsidR="00F07FC5" w:rsidRDefault="00F07FC5" w:rsidP="00321CA0">
      <w:r>
        <w:rPr>
          <w:b/>
          <w:bCs/>
        </w:rPr>
        <w:t>Step 3</w:t>
      </w:r>
      <w:r>
        <w:t>: Calculate the level of unwanted power at each receiver identified in step 1. Two separate cases exist</w:t>
      </w:r>
      <w:r w:rsidR="0055412E">
        <w:t xml:space="preserve"> </w:t>
      </w:r>
      <w:r w:rsidR="00E042E5">
        <w:t xml:space="preserve">– </w:t>
      </w:r>
      <w:r w:rsidR="0055412E">
        <w:t>unwanted levels are to be calculated for both cases</w:t>
      </w:r>
      <w:r w:rsidR="00571EFB">
        <w:t>)</w:t>
      </w:r>
      <w:r>
        <w:t>:</w:t>
      </w:r>
    </w:p>
    <w:p w14:paraId="3FD7F064" w14:textId="78DF10E1" w:rsidR="00F07FC5" w:rsidRDefault="00F07FC5" w:rsidP="00103034">
      <w:pPr>
        <w:pStyle w:val="ListBullet"/>
      </w:pPr>
      <w:r w:rsidRPr="00103034">
        <w:rPr>
          <w:u w:val="single"/>
        </w:rPr>
        <w:t xml:space="preserve">Case 1 – </w:t>
      </w:r>
      <w:bookmarkStart w:id="356" w:name="_Hlk82424748"/>
      <w:r w:rsidR="0055412E" w:rsidRPr="00103034">
        <w:rPr>
          <w:u w:val="single"/>
        </w:rPr>
        <w:t>applies to</w:t>
      </w:r>
      <w:r w:rsidR="003D53A7" w:rsidRPr="00103034">
        <w:rPr>
          <w:u w:val="single"/>
        </w:rPr>
        <w:t xml:space="preserve"> </w:t>
      </w:r>
      <w:r w:rsidR="00A20AD1" w:rsidRPr="00103034">
        <w:rPr>
          <w:u w:val="single"/>
        </w:rPr>
        <w:t xml:space="preserve">AWL </w:t>
      </w:r>
      <w:r w:rsidRPr="00103034">
        <w:rPr>
          <w:u w:val="single"/>
        </w:rPr>
        <w:t xml:space="preserve">transmitters which are required to be </w:t>
      </w:r>
      <w:r w:rsidR="00C57F3D">
        <w:rPr>
          <w:u w:val="single"/>
        </w:rPr>
        <w:t>registered</w:t>
      </w:r>
      <w:r w:rsidRPr="00103034">
        <w:rPr>
          <w:u w:val="single"/>
        </w:rPr>
        <w:t xml:space="preserve"> in the RRL</w:t>
      </w:r>
      <w:bookmarkEnd w:id="356"/>
      <w:r w:rsidR="0055412E" w:rsidRPr="00103034">
        <w:rPr>
          <w:u w:val="single"/>
        </w:rPr>
        <w:t>.</w:t>
      </w:r>
      <w:r w:rsidR="0055412E">
        <w:t xml:space="preserve"> C</w:t>
      </w:r>
      <w:r>
        <w:t xml:space="preserve">alculate the unwanted power level on the basis of the application details for the </w:t>
      </w:r>
      <w:r w:rsidR="00A20AD1">
        <w:t xml:space="preserve">AWL </w:t>
      </w:r>
      <w:r>
        <w:t>transmitter</w:t>
      </w:r>
      <w:r w:rsidR="003D53A7">
        <w:t>,</w:t>
      </w:r>
      <w:r>
        <w:t xml:space="preserve"> using transmit power and antenna gain </w:t>
      </w:r>
      <w:r w:rsidR="003D53A7">
        <w:t>(</w:t>
      </w:r>
      <w:r>
        <w:t xml:space="preserve">with any discrimination </w:t>
      </w:r>
      <w:proofErr w:type="gramStart"/>
      <w:r>
        <w:t>taken into account</w:t>
      </w:r>
      <w:proofErr w:type="gramEnd"/>
      <w:r>
        <w:t>), the licensed fixed</w:t>
      </w:r>
      <w:r w:rsidR="00AA5FFA">
        <w:t xml:space="preserve"> link</w:t>
      </w:r>
      <w:r>
        <w:t xml:space="preserve"> receiver gain (with any discrimination taken into account), and propagation loss fr</w:t>
      </w:r>
      <w:r w:rsidR="0054766C">
        <w:t>o</w:t>
      </w:r>
      <w:r>
        <w:t xml:space="preserve">m </w:t>
      </w:r>
      <w:r w:rsidR="0054766C">
        <w:lastRenderedPageBreak/>
        <w:t>an</w:t>
      </w:r>
      <w:r>
        <w:t xml:space="preserve"> appropriate propagation model.</w:t>
      </w:r>
      <w:r w:rsidR="006348C6">
        <w:t xml:space="preserve"> Additional information about the transmit power and antenna gain for earth stations is in sections </w:t>
      </w:r>
      <w:r w:rsidR="009D00F9">
        <w:fldChar w:fldCharType="begin"/>
      </w:r>
      <w:r w:rsidR="009D00F9">
        <w:instrText xml:space="preserve"> REF _Ref83888847 \r \h </w:instrText>
      </w:r>
      <w:r w:rsidR="009D00F9">
        <w:fldChar w:fldCharType="separate"/>
      </w:r>
      <w:r w:rsidR="009E3A92">
        <w:t>3.6.3</w:t>
      </w:r>
      <w:r w:rsidR="009D00F9">
        <w:fldChar w:fldCharType="end"/>
      </w:r>
      <w:r w:rsidR="006348C6">
        <w:t xml:space="preserve"> and </w:t>
      </w:r>
      <w:r w:rsidR="009D00F9">
        <w:rPr>
          <w:highlight w:val="yellow"/>
        </w:rPr>
        <w:fldChar w:fldCharType="begin"/>
      </w:r>
      <w:r w:rsidR="009D00F9">
        <w:instrText xml:space="preserve"> REF _Ref83888858 \r \h </w:instrText>
      </w:r>
      <w:r w:rsidR="009D00F9">
        <w:rPr>
          <w:highlight w:val="yellow"/>
        </w:rPr>
      </w:r>
      <w:r w:rsidR="009D00F9">
        <w:rPr>
          <w:highlight w:val="yellow"/>
        </w:rPr>
        <w:fldChar w:fldCharType="separate"/>
      </w:r>
      <w:r w:rsidR="009E3A92">
        <w:t>3.6.4</w:t>
      </w:r>
      <w:r w:rsidR="009D00F9">
        <w:rPr>
          <w:highlight w:val="yellow"/>
        </w:rPr>
        <w:fldChar w:fldCharType="end"/>
      </w:r>
      <w:r w:rsidR="006348C6">
        <w:t xml:space="preserve"> respectively.</w:t>
      </w:r>
    </w:p>
    <w:p w14:paraId="2743C3FD" w14:textId="0A021864" w:rsidR="006348C6" w:rsidRPr="00103034" w:rsidRDefault="0055412E" w:rsidP="006348C6">
      <w:pPr>
        <w:pStyle w:val="ListBullet"/>
        <w:rPr>
          <w:u w:val="single"/>
        </w:rPr>
      </w:pPr>
      <w:r w:rsidRPr="00103034">
        <w:rPr>
          <w:u w:val="single"/>
        </w:rPr>
        <w:t xml:space="preserve">Case 2 – </w:t>
      </w:r>
      <w:r w:rsidR="00A30BE5" w:rsidRPr="00103034">
        <w:rPr>
          <w:u w:val="single"/>
        </w:rPr>
        <w:t xml:space="preserve">assessment of interference potential from </w:t>
      </w:r>
      <w:r w:rsidR="00A20AD1" w:rsidRPr="00103034">
        <w:rPr>
          <w:u w:val="single"/>
        </w:rPr>
        <w:t xml:space="preserve">AWL </w:t>
      </w:r>
      <w:r w:rsidRPr="00103034">
        <w:rPr>
          <w:u w:val="single"/>
        </w:rPr>
        <w:t>transmitters which are not required to be in the RRL</w:t>
      </w:r>
      <w:r w:rsidR="007538D9" w:rsidRPr="00103034">
        <w:rPr>
          <w:u w:val="single"/>
        </w:rPr>
        <w:t xml:space="preserve"> (</w:t>
      </w:r>
      <w:proofErr w:type="gramStart"/>
      <w:r w:rsidR="007538D9" w:rsidRPr="00103034">
        <w:rPr>
          <w:u w:val="single"/>
        </w:rPr>
        <w:t>e</w:t>
      </w:r>
      <w:r w:rsidR="003175BE" w:rsidRPr="00103034">
        <w:rPr>
          <w:u w:val="single"/>
        </w:rPr>
        <w:t>.</w:t>
      </w:r>
      <w:r w:rsidR="007538D9" w:rsidRPr="00103034">
        <w:rPr>
          <w:u w:val="single"/>
        </w:rPr>
        <w:t>g.</w:t>
      </w:r>
      <w:proofErr w:type="gramEnd"/>
      <w:r w:rsidR="007538D9" w:rsidRPr="00103034">
        <w:rPr>
          <w:u w:val="single"/>
        </w:rPr>
        <w:t xml:space="preserve"> user equipment)</w:t>
      </w:r>
      <w:r w:rsidRPr="00103034">
        <w:rPr>
          <w:u w:val="single"/>
        </w:rPr>
        <w:t>.</w:t>
      </w:r>
      <w:r w:rsidR="0077573C">
        <w:rPr>
          <w:u w:val="single"/>
        </w:rPr>
        <w:t xml:space="preserve"> (Not applicable for the registration of earth stations).</w:t>
      </w:r>
      <w:r w:rsidRPr="00103034">
        <w:rPr>
          <w:u w:val="single"/>
        </w:rPr>
        <w:t xml:space="preserve"> </w:t>
      </w:r>
      <w:bookmarkStart w:id="357" w:name="_Hlk82424924"/>
    </w:p>
    <w:p w14:paraId="10AB1964" w14:textId="4643ED5C" w:rsidR="006348C6" w:rsidRDefault="0055412E" w:rsidP="006348C6">
      <w:pPr>
        <w:pStyle w:val="ListBullet2"/>
      </w:pPr>
      <w:r>
        <w:t xml:space="preserve">If the geographical location of the transmitter in case 1 is within </w:t>
      </w:r>
      <w:r w:rsidR="00C549B4">
        <w:t>20</w:t>
      </w:r>
      <w:r>
        <w:t xml:space="preserve"> km</w:t>
      </w:r>
      <w:r w:rsidR="00FE5CD8">
        <w:rPr>
          <w:rStyle w:val="FootnoteReference"/>
        </w:rPr>
        <w:footnoteReference w:id="28"/>
      </w:r>
      <w:r>
        <w:t xml:space="preserve"> of the fixed link receiver, coordination is deemed to fail. </w:t>
      </w:r>
      <w:r w:rsidR="0054766C">
        <w:t xml:space="preserve">However, an </w:t>
      </w:r>
      <w:r w:rsidR="00F95C02">
        <w:t xml:space="preserve">AWL </w:t>
      </w:r>
      <w:r w:rsidR="0054766C">
        <w:t xml:space="preserve">transmitter may still be </w:t>
      </w:r>
      <w:r w:rsidR="00C57F3D">
        <w:t>registered</w:t>
      </w:r>
      <w:r w:rsidR="0054766C">
        <w:t xml:space="preserve"> in the RRL</w:t>
      </w:r>
      <w:r>
        <w:t xml:space="preserve"> </w:t>
      </w:r>
      <w:r w:rsidR="00BE4DC7">
        <w:t xml:space="preserve">if </w:t>
      </w:r>
      <w:r>
        <w:t>it can be show</w:t>
      </w:r>
      <w:r w:rsidR="0054766C">
        <w:t>n</w:t>
      </w:r>
      <w:r>
        <w:t xml:space="preserve"> that the coverage area of the case 2 transmitter does not overlap the interference zone of the fixed link receiver</w:t>
      </w:r>
      <w:bookmarkEnd w:id="357"/>
      <w:r w:rsidR="0054766C">
        <w:t>,</w:t>
      </w:r>
      <w:r>
        <w:t xml:space="preserve"> </w:t>
      </w:r>
      <w:r w:rsidR="0054766C">
        <w:t xml:space="preserve">assuming the </w:t>
      </w:r>
      <w:r>
        <w:t>notional transmitter characteristics</w:t>
      </w:r>
      <w:r w:rsidR="00160744">
        <w:t xml:space="preserve"> in Table </w:t>
      </w:r>
      <w:r w:rsidR="00A30BE5">
        <w:t>8</w:t>
      </w:r>
      <w:r>
        <w:t>.</w:t>
      </w:r>
      <w:r w:rsidR="006348C6" w:rsidRPr="006348C6">
        <w:t xml:space="preserve"> </w:t>
      </w:r>
    </w:p>
    <w:p w14:paraId="691EDD4E" w14:textId="70EFF32A" w:rsidR="006348C6" w:rsidRDefault="006348C6" w:rsidP="00103034">
      <w:pPr>
        <w:pStyle w:val="ListBullet2"/>
      </w:pPr>
      <w:r>
        <w:t xml:space="preserve">If the fixed link receiver is </w:t>
      </w:r>
      <w:r w:rsidR="00157998">
        <w:t xml:space="preserve">located further </w:t>
      </w:r>
      <w:r>
        <w:t xml:space="preserve">than 20 km from the case 1 transmitter, calculate the unwanted power level at the fixed link receiver assuming a transmitter located at the same coordinates as the case 1 transmitter and operating with the notional parameters in Table </w:t>
      </w:r>
      <w:r w:rsidR="00A30BE5">
        <w:t>8</w:t>
      </w:r>
      <w:r>
        <w:t xml:space="preserve">, the licensed fixed link receiver gain (with any discrimination </w:t>
      </w:r>
      <w:proofErr w:type="gramStart"/>
      <w:r>
        <w:t>taken into account</w:t>
      </w:r>
      <w:proofErr w:type="gramEnd"/>
      <w:r>
        <w:t>), and propagation loss from an appropriate propagation model.</w:t>
      </w:r>
    </w:p>
    <w:p w14:paraId="067DC8FE" w14:textId="77777777" w:rsidR="00546781" w:rsidRDefault="00546781" w:rsidP="00321CA0"/>
    <w:p w14:paraId="69B8D85F" w14:textId="40509443" w:rsidR="00CD1C2D" w:rsidRDefault="00CD1C2D" w:rsidP="00CD1C2D">
      <w:pPr>
        <w:pStyle w:val="ACMATableHeader"/>
      </w:pPr>
      <w:r>
        <w:t xml:space="preserve">Notional parameters for transmitters not required to be </w:t>
      </w:r>
      <w:r w:rsidR="00C57F3D">
        <w:t>registered</w:t>
      </w:r>
      <w:r>
        <w:t xml:space="preserve"> in the RRL</w:t>
      </w:r>
    </w:p>
    <w:tbl>
      <w:tblPr>
        <w:tblStyle w:val="TableGrid"/>
        <w:tblW w:w="0" w:type="auto"/>
        <w:tblLook w:val="04A0" w:firstRow="1" w:lastRow="0" w:firstColumn="1" w:lastColumn="0" w:noHBand="0" w:noVBand="1"/>
      </w:tblPr>
      <w:tblGrid>
        <w:gridCol w:w="1555"/>
        <w:gridCol w:w="4394"/>
        <w:gridCol w:w="1712"/>
      </w:tblGrid>
      <w:tr w:rsidR="00160744" w14:paraId="4591A7E0" w14:textId="77777777" w:rsidTr="00247A96">
        <w:tc>
          <w:tcPr>
            <w:tcW w:w="1555" w:type="dxa"/>
          </w:tcPr>
          <w:p w14:paraId="23CC66B3" w14:textId="0675C373" w:rsidR="00160744" w:rsidRPr="0054766C" w:rsidRDefault="00160744" w:rsidP="00321CA0">
            <w:pPr>
              <w:rPr>
                <w:b/>
                <w:bCs/>
              </w:rPr>
            </w:pPr>
            <w:r w:rsidRPr="0054766C">
              <w:rPr>
                <w:b/>
                <w:bCs/>
              </w:rPr>
              <w:t>Parameter</w:t>
            </w:r>
          </w:p>
        </w:tc>
        <w:tc>
          <w:tcPr>
            <w:tcW w:w="4394" w:type="dxa"/>
          </w:tcPr>
          <w:p w14:paraId="738C982C" w14:textId="4E89C68E" w:rsidR="00160744" w:rsidRPr="0054766C" w:rsidRDefault="00160744" w:rsidP="00321CA0">
            <w:pPr>
              <w:rPr>
                <w:b/>
                <w:bCs/>
              </w:rPr>
            </w:pPr>
            <w:r w:rsidRPr="0054766C">
              <w:rPr>
                <w:b/>
                <w:bCs/>
              </w:rPr>
              <w:t>Value</w:t>
            </w:r>
          </w:p>
        </w:tc>
        <w:tc>
          <w:tcPr>
            <w:tcW w:w="1712" w:type="dxa"/>
          </w:tcPr>
          <w:p w14:paraId="73B6C432" w14:textId="336C2B2B" w:rsidR="00160744" w:rsidRPr="0054766C" w:rsidRDefault="00160744" w:rsidP="00321CA0">
            <w:pPr>
              <w:rPr>
                <w:b/>
                <w:bCs/>
              </w:rPr>
            </w:pPr>
            <w:r w:rsidRPr="0054766C">
              <w:rPr>
                <w:b/>
                <w:bCs/>
              </w:rPr>
              <w:t>Unit</w:t>
            </w:r>
          </w:p>
        </w:tc>
      </w:tr>
      <w:tr w:rsidR="00160744" w14:paraId="392707BA" w14:textId="77777777" w:rsidTr="00247A96">
        <w:tc>
          <w:tcPr>
            <w:tcW w:w="1555" w:type="dxa"/>
          </w:tcPr>
          <w:p w14:paraId="7FE223FF" w14:textId="5F265713" w:rsidR="00160744" w:rsidRDefault="00160744" w:rsidP="00321CA0">
            <w:r>
              <w:t>TRP</w:t>
            </w:r>
          </w:p>
        </w:tc>
        <w:tc>
          <w:tcPr>
            <w:tcW w:w="4394" w:type="dxa"/>
          </w:tcPr>
          <w:p w14:paraId="311F7049" w14:textId="3D8D2D95" w:rsidR="00844255" w:rsidRDefault="00844255" w:rsidP="00321CA0">
            <w:r>
              <w:t xml:space="preserve">35 (for transmitters operating in the </w:t>
            </w:r>
            <w:r w:rsidR="002357EA">
              <w:t>range 24.7</w:t>
            </w:r>
            <w:r w:rsidR="0001374B">
              <w:t>-27</w:t>
            </w:r>
            <w:r>
              <w:t xml:space="preserve"> GHz</w:t>
            </w:r>
            <w:r w:rsidR="00552663">
              <w:t>,</w:t>
            </w:r>
            <w:r w:rsidR="00410B5E">
              <w:t xml:space="preserve"> and in</w:t>
            </w:r>
            <w:r w:rsidR="000D23B4">
              <w:t xml:space="preserve"> the range 27-27.5</w:t>
            </w:r>
            <w:r w:rsidR="00552663">
              <w:t xml:space="preserve"> GHz</w:t>
            </w:r>
            <w:r>
              <w:t xml:space="preserve"> in areas outside those defined in Schedule </w:t>
            </w:r>
            <w:r w:rsidR="00CD1C2D">
              <w:t>2</w:t>
            </w:r>
            <w:r>
              <w:t xml:space="preserve"> of </w:t>
            </w:r>
            <w:r w:rsidR="00CD1C2D">
              <w:t>the AWL LCD</w:t>
            </w:r>
          </w:p>
          <w:p w14:paraId="218BF5DC" w14:textId="70BB4628" w:rsidR="00160744" w:rsidRDefault="00160744" w:rsidP="00321CA0">
            <w:r>
              <w:t>23</w:t>
            </w:r>
            <w:r w:rsidR="00844255">
              <w:t xml:space="preserve"> (for all other transmitters)</w:t>
            </w:r>
          </w:p>
        </w:tc>
        <w:tc>
          <w:tcPr>
            <w:tcW w:w="1712" w:type="dxa"/>
          </w:tcPr>
          <w:p w14:paraId="1163B518" w14:textId="0769ECDB" w:rsidR="00160744" w:rsidRDefault="00160744" w:rsidP="00321CA0">
            <w:r>
              <w:t>dBm/occupied bandwidth</w:t>
            </w:r>
          </w:p>
        </w:tc>
      </w:tr>
      <w:tr w:rsidR="00160744" w14:paraId="0AE7C896" w14:textId="77777777" w:rsidTr="00247A96">
        <w:tc>
          <w:tcPr>
            <w:tcW w:w="1555" w:type="dxa"/>
          </w:tcPr>
          <w:p w14:paraId="29603247" w14:textId="59552480" w:rsidR="00160744" w:rsidRDefault="00160744" w:rsidP="00321CA0">
            <w:r>
              <w:t>Antenna gain</w:t>
            </w:r>
          </w:p>
        </w:tc>
        <w:tc>
          <w:tcPr>
            <w:tcW w:w="4394" w:type="dxa"/>
          </w:tcPr>
          <w:p w14:paraId="6A75A11C" w14:textId="0B775F8E" w:rsidR="00160744" w:rsidRDefault="00160744" w:rsidP="00321CA0">
            <w:r>
              <w:t xml:space="preserve">17 (in the direction of </w:t>
            </w:r>
            <w:r w:rsidR="007F2FBF">
              <w:t>the case 1 transmitter for calculation of coverage area and in the direction of the</w:t>
            </w:r>
            <w:r>
              <w:t xml:space="preserve"> fixed link receiver</w:t>
            </w:r>
            <w:r w:rsidR="007F2FBF">
              <w:t xml:space="preserve"> for unwanted level calculations</w:t>
            </w:r>
            <w:r>
              <w:t xml:space="preserve">) </w:t>
            </w:r>
          </w:p>
        </w:tc>
        <w:tc>
          <w:tcPr>
            <w:tcW w:w="1712" w:type="dxa"/>
          </w:tcPr>
          <w:p w14:paraId="3DB2AEC6" w14:textId="123CB346" w:rsidR="00160744" w:rsidRDefault="00160744" w:rsidP="00321CA0">
            <w:r>
              <w:t>dBi</w:t>
            </w:r>
          </w:p>
        </w:tc>
      </w:tr>
      <w:tr w:rsidR="00160744" w14:paraId="04A0B9A2" w14:textId="77777777" w:rsidTr="00247A96">
        <w:tc>
          <w:tcPr>
            <w:tcW w:w="1555" w:type="dxa"/>
          </w:tcPr>
          <w:p w14:paraId="7906D01F" w14:textId="56FD53B8" w:rsidR="00160744" w:rsidRDefault="00160744" w:rsidP="00321CA0">
            <w:r>
              <w:t>Antenna height</w:t>
            </w:r>
          </w:p>
        </w:tc>
        <w:tc>
          <w:tcPr>
            <w:tcW w:w="4394" w:type="dxa"/>
          </w:tcPr>
          <w:p w14:paraId="156B26DB" w14:textId="2EC1E29D" w:rsidR="00160744" w:rsidRDefault="00160744" w:rsidP="00321CA0">
            <w:r>
              <w:t xml:space="preserve">5 </w:t>
            </w:r>
          </w:p>
        </w:tc>
        <w:tc>
          <w:tcPr>
            <w:tcW w:w="1712" w:type="dxa"/>
          </w:tcPr>
          <w:p w14:paraId="4ABE611F" w14:textId="5F1F6E36" w:rsidR="00160744" w:rsidRDefault="00160744" w:rsidP="00321CA0">
            <w:r>
              <w:t>metres</w:t>
            </w:r>
          </w:p>
        </w:tc>
      </w:tr>
    </w:tbl>
    <w:p w14:paraId="6A4A7A89" w14:textId="77777777" w:rsidR="000111F9" w:rsidRDefault="000111F9" w:rsidP="0054766C"/>
    <w:p w14:paraId="37B7AFCA" w14:textId="7A111374" w:rsidR="004A7502" w:rsidRDefault="004A7502" w:rsidP="00321CA0">
      <w:r>
        <w:rPr>
          <w:b/>
          <w:bCs/>
        </w:rPr>
        <w:t>Step 4</w:t>
      </w:r>
      <w:r>
        <w:t xml:space="preserve">: Determine the applicable protection criteria for each victim receiver identified in step 1. To protect receivers from unacceptable interference, the unwanted power levels at a victim receiver must not exceed the required </w:t>
      </w:r>
      <w:r>
        <w:lastRenderedPageBreak/>
        <w:t>protection criteria for that receiver</w:t>
      </w:r>
      <w:r w:rsidR="000F408E">
        <w:t xml:space="preserve"> as detailed in </w:t>
      </w:r>
      <w:r w:rsidR="00B97D43">
        <w:fldChar w:fldCharType="begin"/>
      </w:r>
      <w:r w:rsidR="00B97D43">
        <w:instrText xml:space="preserve"> REF _Ref91159411 \h </w:instrText>
      </w:r>
      <w:r w:rsidR="00B97D43">
        <w:fldChar w:fldCharType="separate"/>
      </w:r>
      <w:r w:rsidR="009E3A92" w:rsidRPr="00AF06C8">
        <w:rPr>
          <w:szCs w:val="44"/>
        </w:rPr>
        <w:t xml:space="preserve">Appendix </w:t>
      </w:r>
      <w:r w:rsidR="009E3A92">
        <w:rPr>
          <w:szCs w:val="44"/>
        </w:rPr>
        <w:t>D</w:t>
      </w:r>
      <w:r w:rsidR="009E3A92" w:rsidRPr="00AF06C8">
        <w:rPr>
          <w:szCs w:val="44"/>
        </w:rPr>
        <w:t xml:space="preserve">: </w:t>
      </w:r>
      <w:r w:rsidR="009E3A92">
        <w:rPr>
          <w:szCs w:val="44"/>
        </w:rPr>
        <w:t>Protection criteria for fixed link receivers</w:t>
      </w:r>
      <w:r w:rsidR="00B97D43">
        <w:fldChar w:fldCharType="end"/>
      </w:r>
      <w:r>
        <w:t>.</w:t>
      </w:r>
    </w:p>
    <w:p w14:paraId="5CDE2213" w14:textId="4BD4B377" w:rsidR="004A7502" w:rsidRDefault="004A7502" w:rsidP="00321CA0">
      <w:r>
        <w:rPr>
          <w:b/>
          <w:bCs/>
        </w:rPr>
        <w:t>Step 5</w:t>
      </w:r>
      <w:r>
        <w:t xml:space="preserve">: </w:t>
      </w:r>
      <w:r w:rsidR="00F921DD">
        <w:t>C</w:t>
      </w:r>
      <w:r>
        <w:t>ompar</w:t>
      </w:r>
      <w:r w:rsidR="00F921DD">
        <w:t>e</w:t>
      </w:r>
      <w:r>
        <w:t xml:space="preserve"> the calculated wanted-to-unwanted ratios from steps 2 and 3 </w:t>
      </w:r>
      <w:r w:rsidR="00F921DD">
        <w:t>to</w:t>
      </w:r>
      <w:r>
        <w:t xml:space="preserve"> determine if the </w:t>
      </w:r>
      <w:r w:rsidR="00F921DD">
        <w:t xml:space="preserve">required </w:t>
      </w:r>
      <w:r>
        <w:t xml:space="preserve">protection criteria at the victim fixed link receiver is achieved. </w:t>
      </w:r>
      <w:r w:rsidR="006F5957">
        <w:t xml:space="preserve">If the required protection ratio is not met, the coordination is deemed to </w:t>
      </w:r>
      <w:proofErr w:type="gramStart"/>
      <w:r w:rsidR="006F5957">
        <w:t>fail</w:t>
      </w:r>
      <w:proofErr w:type="gramEnd"/>
      <w:r w:rsidR="006F5957">
        <w:t xml:space="preserve"> and the prospective </w:t>
      </w:r>
      <w:r w:rsidR="00F95C02">
        <w:t xml:space="preserve">AWL </w:t>
      </w:r>
      <w:r w:rsidR="006F5957">
        <w:t xml:space="preserve">transmitter is not to be </w:t>
      </w:r>
      <w:r w:rsidR="00C57F3D">
        <w:t xml:space="preserve">registered </w:t>
      </w:r>
      <w:r w:rsidR="006F5957">
        <w:t>in the RRL.</w:t>
      </w:r>
    </w:p>
    <w:p w14:paraId="2F9A735A" w14:textId="2CE54E96" w:rsidR="00C74ADB" w:rsidRDefault="00AC5689" w:rsidP="005D70ED">
      <w:pPr>
        <w:pStyle w:val="Heading3"/>
      </w:pPr>
      <w:bookmarkStart w:id="358" w:name="_Ref83888835"/>
      <w:bookmarkStart w:id="359" w:name="_Toc94773095"/>
      <w:bookmarkStart w:id="360" w:name="_Ref83818425"/>
      <w:r>
        <w:t>Determination</w:t>
      </w:r>
      <w:r w:rsidR="00C74ADB">
        <w:t xml:space="preserve"> of co-channel or adjacent-channel configuration for earth stations</w:t>
      </w:r>
      <w:bookmarkEnd w:id="358"/>
      <w:bookmarkEnd w:id="359"/>
    </w:p>
    <w:p w14:paraId="6FFC21C7" w14:textId="1A3E4F99" w:rsidR="00C74ADB" w:rsidRDefault="00C74ADB" w:rsidP="00C74ADB">
      <w:r>
        <w:t xml:space="preserve">This section specifies </w:t>
      </w:r>
      <w:r w:rsidR="00C62443">
        <w:t xml:space="preserve">how to determine </w:t>
      </w:r>
      <w:r>
        <w:t xml:space="preserve">whether the </w:t>
      </w:r>
      <w:r w:rsidR="00546781">
        <w:t>e</w:t>
      </w:r>
      <w:r>
        <w:t>arth station transmitter and the fixed service receiver being coordinated are co-channel or adjacent-channel.</w:t>
      </w:r>
    </w:p>
    <w:p w14:paraId="36A8BB91" w14:textId="5AB7EEEB" w:rsidR="00C74ADB" w:rsidRDefault="00C74ADB" w:rsidP="00C74ADB">
      <w:r>
        <w:t>Frequency offset (∆</w:t>
      </w:r>
      <w:r w:rsidRPr="00EF48F7">
        <w:rPr>
          <w:i/>
        </w:rPr>
        <w:t>f</w:t>
      </w:r>
      <w:r>
        <w:t xml:space="preserve">) is the absolute value of the difference between the centre frequencies of the </w:t>
      </w:r>
      <w:r w:rsidR="00546781">
        <w:t>e</w:t>
      </w:r>
      <w:r>
        <w:t>arth station transmitter and the fixed service receiver being coordinated.</w:t>
      </w:r>
    </w:p>
    <w:p w14:paraId="02306F4A" w14:textId="77777777" w:rsidR="00C74ADB" w:rsidRDefault="00C74ADB" w:rsidP="00C74ADB">
      <w:pPr>
        <w:ind w:left="720"/>
      </w:pPr>
      <w:r>
        <w:t>Co-channel:</w:t>
      </w:r>
    </w:p>
    <w:p w14:paraId="172A138C" w14:textId="77777777" w:rsidR="00C74ADB" w:rsidRDefault="00C74ADB" w:rsidP="00C74ADB">
      <w:pPr>
        <w:ind w:left="720" w:firstLine="720"/>
      </w:pPr>
      <w:r>
        <w:t>0 ≤ ∆</w:t>
      </w:r>
      <w:r w:rsidRPr="00C47E1C">
        <w:rPr>
          <w:i/>
        </w:rPr>
        <w:t>f</w:t>
      </w:r>
      <w:r>
        <w:t xml:space="preserve"> &lt; (</w:t>
      </w:r>
      <w:r w:rsidRPr="00C47E1C">
        <w:rPr>
          <w:i/>
        </w:rPr>
        <w:t>BW</w:t>
      </w:r>
      <w:r w:rsidRPr="00C47E1C">
        <w:rPr>
          <w:i/>
          <w:vertAlign w:val="subscript"/>
        </w:rPr>
        <w:t>ES</w:t>
      </w:r>
      <w:r w:rsidRPr="00C47E1C">
        <w:rPr>
          <w:i/>
        </w:rPr>
        <w:t xml:space="preserve"> </w:t>
      </w:r>
      <w:r w:rsidRPr="00C47E1C">
        <w:t>+</w:t>
      </w:r>
      <w:r w:rsidRPr="00C47E1C">
        <w:rPr>
          <w:i/>
        </w:rPr>
        <w:t xml:space="preserve"> BW</w:t>
      </w:r>
      <w:r w:rsidRPr="00C47E1C">
        <w:rPr>
          <w:i/>
          <w:vertAlign w:val="subscript"/>
        </w:rPr>
        <w:t>FS</w:t>
      </w:r>
      <w:r>
        <w:t>)/2</w:t>
      </w:r>
    </w:p>
    <w:p w14:paraId="443C950A" w14:textId="77777777" w:rsidR="00C74ADB" w:rsidRDefault="00C74ADB" w:rsidP="00C74ADB">
      <w:pPr>
        <w:ind w:left="720"/>
      </w:pPr>
      <w:r>
        <w:t xml:space="preserve">First adjacent-channel: </w:t>
      </w:r>
      <w:r>
        <w:tab/>
      </w:r>
    </w:p>
    <w:p w14:paraId="632E6D6F" w14:textId="77777777" w:rsidR="00C74ADB" w:rsidRDefault="00C74ADB" w:rsidP="00C74ADB">
      <w:pPr>
        <w:ind w:left="720" w:firstLine="720"/>
      </w:pPr>
      <w:r>
        <w:t>(</w:t>
      </w:r>
      <w:r w:rsidRPr="00C47E1C">
        <w:rPr>
          <w:i/>
        </w:rPr>
        <w:t>BW</w:t>
      </w:r>
      <w:r w:rsidRPr="00C47E1C">
        <w:rPr>
          <w:i/>
          <w:vertAlign w:val="subscript"/>
        </w:rPr>
        <w:t>ES</w:t>
      </w:r>
      <w:r>
        <w:t xml:space="preserve"> + </w:t>
      </w:r>
      <w:r w:rsidRPr="00C47E1C">
        <w:rPr>
          <w:i/>
        </w:rPr>
        <w:t>BW</w:t>
      </w:r>
      <w:r w:rsidRPr="00C47E1C">
        <w:rPr>
          <w:i/>
          <w:vertAlign w:val="subscript"/>
        </w:rPr>
        <w:t>FS</w:t>
      </w:r>
      <w:r>
        <w:t>)/2 ≤ ∆</w:t>
      </w:r>
      <w:r w:rsidRPr="00B27DE4">
        <w:rPr>
          <w:i/>
        </w:rPr>
        <w:t>f</w:t>
      </w:r>
      <w:r>
        <w:t xml:space="preserve"> &lt; [</w:t>
      </w:r>
      <w:r w:rsidRPr="009A17AA">
        <w:rPr>
          <w:i/>
        </w:rPr>
        <w:t>max</w:t>
      </w:r>
      <w:r>
        <w:t>(</w:t>
      </w:r>
      <w:r w:rsidRPr="00C47E1C">
        <w:rPr>
          <w:i/>
        </w:rPr>
        <w:t>BW</w:t>
      </w:r>
      <w:r w:rsidRPr="00C47E1C">
        <w:rPr>
          <w:i/>
          <w:vertAlign w:val="subscript"/>
        </w:rPr>
        <w:t>ES</w:t>
      </w:r>
      <w:r>
        <w:t xml:space="preserve">, </w:t>
      </w:r>
      <w:r w:rsidRPr="00C47E1C">
        <w:rPr>
          <w:i/>
        </w:rPr>
        <w:t>BW</w:t>
      </w:r>
      <w:r w:rsidRPr="00C47E1C">
        <w:rPr>
          <w:i/>
          <w:vertAlign w:val="subscript"/>
        </w:rPr>
        <w:t>FS</w:t>
      </w:r>
      <w:r>
        <w:t>) + (</w:t>
      </w:r>
      <w:r w:rsidRPr="00C47E1C">
        <w:rPr>
          <w:i/>
        </w:rPr>
        <w:t>BW</w:t>
      </w:r>
      <w:r w:rsidRPr="00C47E1C">
        <w:rPr>
          <w:i/>
          <w:vertAlign w:val="subscript"/>
        </w:rPr>
        <w:t>ES</w:t>
      </w:r>
      <w:r>
        <w:t xml:space="preserve"> + </w:t>
      </w:r>
      <w:r w:rsidRPr="00C47E1C">
        <w:rPr>
          <w:i/>
        </w:rPr>
        <w:t>BW</w:t>
      </w:r>
      <w:r w:rsidRPr="00C47E1C">
        <w:rPr>
          <w:i/>
          <w:vertAlign w:val="subscript"/>
        </w:rPr>
        <w:t>FS</w:t>
      </w:r>
      <w:r>
        <w:t xml:space="preserve">)/2] </w:t>
      </w:r>
    </w:p>
    <w:p w14:paraId="07291C23" w14:textId="77777777" w:rsidR="00C74ADB" w:rsidRDefault="00C74ADB" w:rsidP="00C74ADB">
      <w:pPr>
        <w:ind w:left="720"/>
      </w:pPr>
      <w:r>
        <w:t xml:space="preserve">Second adjacent-channel: </w:t>
      </w:r>
    </w:p>
    <w:p w14:paraId="4F2911E7" w14:textId="77777777" w:rsidR="00C74ADB" w:rsidRDefault="00C74ADB" w:rsidP="00C74ADB">
      <w:pPr>
        <w:spacing w:after="0"/>
        <w:ind w:left="720" w:firstLine="720"/>
      </w:pPr>
      <w:r>
        <w:t>[</w:t>
      </w:r>
      <w:r w:rsidRPr="009A17AA">
        <w:rPr>
          <w:i/>
        </w:rPr>
        <w:t>max</w:t>
      </w:r>
      <w:r>
        <w:t xml:space="preserve"> (</w:t>
      </w:r>
      <w:r w:rsidRPr="00C47E1C">
        <w:rPr>
          <w:i/>
        </w:rPr>
        <w:t>BW</w:t>
      </w:r>
      <w:r w:rsidRPr="00C47E1C">
        <w:rPr>
          <w:i/>
          <w:vertAlign w:val="subscript"/>
        </w:rPr>
        <w:t>ES</w:t>
      </w:r>
      <w:r>
        <w:t xml:space="preserve">, </w:t>
      </w:r>
      <w:r w:rsidRPr="00C47E1C">
        <w:rPr>
          <w:i/>
        </w:rPr>
        <w:t>BW</w:t>
      </w:r>
      <w:r w:rsidRPr="00C47E1C">
        <w:rPr>
          <w:i/>
          <w:vertAlign w:val="subscript"/>
        </w:rPr>
        <w:t>FS</w:t>
      </w:r>
      <w:r>
        <w:t>) + (</w:t>
      </w:r>
      <w:r w:rsidRPr="00C47E1C">
        <w:rPr>
          <w:i/>
        </w:rPr>
        <w:t>BW</w:t>
      </w:r>
      <w:r w:rsidRPr="00C47E1C">
        <w:rPr>
          <w:i/>
          <w:vertAlign w:val="subscript"/>
        </w:rPr>
        <w:t>ES</w:t>
      </w:r>
      <w:r>
        <w:t xml:space="preserve"> + </w:t>
      </w:r>
      <w:r w:rsidRPr="00C47E1C">
        <w:rPr>
          <w:i/>
        </w:rPr>
        <w:t>BW</w:t>
      </w:r>
      <w:r w:rsidRPr="00C47E1C">
        <w:rPr>
          <w:i/>
          <w:vertAlign w:val="subscript"/>
        </w:rPr>
        <w:t>FS</w:t>
      </w:r>
      <w:r>
        <w:t>)/2] ≤ ∆</w:t>
      </w:r>
      <w:r w:rsidRPr="009A17AA">
        <w:rPr>
          <w:i/>
        </w:rPr>
        <w:t>f</w:t>
      </w:r>
      <w:r>
        <w:t xml:space="preserve"> &lt; </w:t>
      </w:r>
    </w:p>
    <w:p w14:paraId="75A0A4AE" w14:textId="77777777" w:rsidR="00C74ADB" w:rsidRDefault="00C74ADB" w:rsidP="00C74ADB">
      <w:pPr>
        <w:ind w:left="720" w:firstLine="720"/>
        <w:jc w:val="right"/>
      </w:pPr>
      <w:r>
        <w:t>[2∙</w:t>
      </w:r>
      <w:r w:rsidRPr="009A17AA">
        <w:rPr>
          <w:i/>
        </w:rPr>
        <w:t xml:space="preserve"> max</w:t>
      </w:r>
      <w:r>
        <w:t xml:space="preserve"> (</w:t>
      </w:r>
      <w:r w:rsidRPr="00C47E1C">
        <w:rPr>
          <w:i/>
        </w:rPr>
        <w:t>BW</w:t>
      </w:r>
      <w:r w:rsidRPr="00C47E1C">
        <w:rPr>
          <w:i/>
          <w:vertAlign w:val="subscript"/>
        </w:rPr>
        <w:t>ES</w:t>
      </w:r>
      <w:r>
        <w:t xml:space="preserve">, </w:t>
      </w:r>
      <w:r w:rsidRPr="00C47E1C">
        <w:rPr>
          <w:i/>
        </w:rPr>
        <w:t>BW</w:t>
      </w:r>
      <w:r w:rsidRPr="00C47E1C">
        <w:rPr>
          <w:i/>
          <w:vertAlign w:val="subscript"/>
        </w:rPr>
        <w:t>FS</w:t>
      </w:r>
      <w:r>
        <w:t>) + (</w:t>
      </w:r>
      <w:r w:rsidRPr="00C47E1C">
        <w:rPr>
          <w:i/>
        </w:rPr>
        <w:t>BW</w:t>
      </w:r>
      <w:r w:rsidRPr="00C47E1C">
        <w:rPr>
          <w:i/>
          <w:vertAlign w:val="subscript"/>
        </w:rPr>
        <w:t>ES</w:t>
      </w:r>
      <w:r>
        <w:t xml:space="preserve"> + </w:t>
      </w:r>
      <w:r w:rsidRPr="00C47E1C">
        <w:rPr>
          <w:i/>
        </w:rPr>
        <w:t>BW</w:t>
      </w:r>
      <w:r w:rsidRPr="00C47E1C">
        <w:rPr>
          <w:i/>
          <w:vertAlign w:val="subscript"/>
        </w:rPr>
        <w:t>FS</w:t>
      </w:r>
      <w:r>
        <w:t>)/2]</w:t>
      </w:r>
    </w:p>
    <w:p w14:paraId="2EDA9847" w14:textId="77777777" w:rsidR="00C74ADB" w:rsidRDefault="00C74ADB" w:rsidP="00C74ADB">
      <w:pPr>
        <w:ind w:left="720"/>
      </w:pPr>
      <w:r>
        <w:t>Third adjacent-channel and beyond:</w:t>
      </w:r>
    </w:p>
    <w:p w14:paraId="1310B962" w14:textId="77777777" w:rsidR="00C74ADB" w:rsidRDefault="00C74ADB" w:rsidP="00C74ADB">
      <w:pPr>
        <w:ind w:left="720" w:firstLine="720"/>
      </w:pPr>
      <w:r>
        <w:t>∆</w:t>
      </w:r>
      <w:r w:rsidRPr="009A17AA">
        <w:rPr>
          <w:i/>
        </w:rPr>
        <w:t>f</w:t>
      </w:r>
      <w:r>
        <w:t xml:space="preserve"> ≥ [2∙</w:t>
      </w:r>
      <w:r w:rsidRPr="009A17AA">
        <w:rPr>
          <w:i/>
        </w:rPr>
        <w:t xml:space="preserve"> max</w:t>
      </w:r>
      <w:r>
        <w:t xml:space="preserve"> (</w:t>
      </w:r>
      <w:r w:rsidRPr="00C47E1C">
        <w:rPr>
          <w:i/>
        </w:rPr>
        <w:t>BW</w:t>
      </w:r>
      <w:r w:rsidRPr="00C47E1C">
        <w:rPr>
          <w:i/>
          <w:vertAlign w:val="subscript"/>
        </w:rPr>
        <w:t>ES</w:t>
      </w:r>
      <w:r>
        <w:t xml:space="preserve">, </w:t>
      </w:r>
      <w:r w:rsidRPr="00C47E1C">
        <w:rPr>
          <w:i/>
        </w:rPr>
        <w:t>BW</w:t>
      </w:r>
      <w:r w:rsidRPr="00C47E1C">
        <w:rPr>
          <w:i/>
          <w:vertAlign w:val="subscript"/>
        </w:rPr>
        <w:t>FS</w:t>
      </w:r>
      <w:r>
        <w:t>) + (</w:t>
      </w:r>
      <w:r w:rsidRPr="00C47E1C">
        <w:rPr>
          <w:i/>
        </w:rPr>
        <w:t>BW</w:t>
      </w:r>
      <w:r w:rsidRPr="00C47E1C">
        <w:rPr>
          <w:i/>
          <w:vertAlign w:val="subscript"/>
        </w:rPr>
        <w:t>ES</w:t>
      </w:r>
      <w:r>
        <w:t xml:space="preserve"> + </w:t>
      </w:r>
      <w:r w:rsidRPr="00C47E1C">
        <w:rPr>
          <w:i/>
        </w:rPr>
        <w:t>BW</w:t>
      </w:r>
      <w:r w:rsidRPr="00C47E1C">
        <w:rPr>
          <w:i/>
          <w:vertAlign w:val="subscript"/>
        </w:rPr>
        <w:t>FS</w:t>
      </w:r>
      <w:r>
        <w:t>)/2]</w:t>
      </w:r>
    </w:p>
    <w:p w14:paraId="78D4E8AC" w14:textId="03A49310" w:rsidR="00C74ADB" w:rsidRPr="00C74ADB" w:rsidRDefault="00C74ADB" w:rsidP="00103034">
      <w:r>
        <w:t xml:space="preserve">where </w:t>
      </w:r>
      <w:r w:rsidRPr="004F009D">
        <w:rPr>
          <w:i/>
        </w:rPr>
        <w:t>BW</w:t>
      </w:r>
      <w:r w:rsidRPr="004F009D">
        <w:rPr>
          <w:i/>
          <w:vertAlign w:val="subscript"/>
        </w:rPr>
        <w:t>ES</w:t>
      </w:r>
      <w:r>
        <w:t xml:space="preserve"> is the channel (transponder) bandwidth of the earth station transmitter and </w:t>
      </w:r>
      <w:r w:rsidRPr="004F009D">
        <w:rPr>
          <w:i/>
        </w:rPr>
        <w:t>BW</w:t>
      </w:r>
      <w:r w:rsidRPr="004F009D">
        <w:rPr>
          <w:i/>
          <w:vertAlign w:val="subscript"/>
        </w:rPr>
        <w:t>FS</w:t>
      </w:r>
      <w:r>
        <w:t xml:space="preserve"> is the channel bandwidth of the fixed service receiver.</w:t>
      </w:r>
    </w:p>
    <w:p w14:paraId="23DDE8D1" w14:textId="393489E2" w:rsidR="00F32262" w:rsidRDefault="00F32262" w:rsidP="005D70ED">
      <w:pPr>
        <w:pStyle w:val="Heading3"/>
      </w:pPr>
      <w:bookmarkStart w:id="361" w:name="_Ref83888847"/>
      <w:bookmarkStart w:id="362" w:name="_Toc94773096"/>
      <w:r>
        <w:t>Earth station transmit power</w:t>
      </w:r>
      <w:bookmarkEnd w:id="361"/>
      <w:bookmarkEnd w:id="362"/>
    </w:p>
    <w:p w14:paraId="13840822" w14:textId="39F5ACEE" w:rsidR="00F32262" w:rsidRDefault="00F32262" w:rsidP="00F32262">
      <w:r w:rsidRPr="003C2E7B">
        <w:t xml:space="preserve">The value of </w:t>
      </w:r>
      <w:r w:rsidR="00546781">
        <w:t>e</w:t>
      </w:r>
      <w:r w:rsidRPr="003C2E7B">
        <w:t xml:space="preserve">arth station transmit power to be used when calculating the unwanted received power at the fixed service receiver should be assumed to be the total power transmitted by the </w:t>
      </w:r>
      <w:r w:rsidR="00546781">
        <w:t>e</w:t>
      </w:r>
      <w:r w:rsidRPr="003C2E7B">
        <w:t xml:space="preserve">arth station. In co-channel scenarios (as determined in </w:t>
      </w:r>
      <w:r w:rsidR="00B97D43">
        <w:t>s</w:t>
      </w:r>
      <w:r w:rsidRPr="003C2E7B">
        <w:t>ection</w:t>
      </w:r>
      <w:r w:rsidR="0036504E">
        <w:t xml:space="preserve"> </w:t>
      </w:r>
      <w:r w:rsidR="0036504E">
        <w:fldChar w:fldCharType="begin"/>
      </w:r>
      <w:r w:rsidR="0036504E">
        <w:instrText xml:space="preserve"> REF _Ref83888835 \r \h </w:instrText>
      </w:r>
      <w:r w:rsidR="0036504E">
        <w:fldChar w:fldCharType="separate"/>
      </w:r>
      <w:r w:rsidR="009E3A92">
        <w:t>3.6.2</w:t>
      </w:r>
      <w:r w:rsidR="0036504E">
        <w:fldChar w:fldCharType="end"/>
      </w:r>
      <w:r w:rsidRPr="003C2E7B">
        <w:t>),</w:t>
      </w:r>
      <w:r w:rsidR="00546781">
        <w:t xml:space="preserve"> the transmit power</w:t>
      </w:r>
      <w:r w:rsidRPr="003C2E7B">
        <w:t xml:space="preserve"> can be reduced by the on-tune rejection (</w:t>
      </w:r>
      <w:r w:rsidRPr="003C2E7B">
        <w:rPr>
          <w:i/>
        </w:rPr>
        <w:t>OTR</w:t>
      </w:r>
      <w:r w:rsidRPr="003C2E7B">
        <w:t xml:space="preserve">) calculated as </w:t>
      </w:r>
      <w:r w:rsidR="00157998">
        <w:t>per the procedure in</w:t>
      </w:r>
      <w:r w:rsidRPr="003C2E7B">
        <w:t xml:space="preserve"> Appendix </w:t>
      </w:r>
      <w:r w:rsidR="00F32A06">
        <w:t>G</w:t>
      </w:r>
      <w:r w:rsidRPr="003C2E7B">
        <w:t>.</w:t>
      </w:r>
      <w:r w:rsidR="00546781">
        <w:rPr>
          <w:rStyle w:val="FootnoteReference"/>
        </w:rPr>
        <w:footnoteReference w:id="29"/>
      </w:r>
    </w:p>
    <w:p w14:paraId="67BAA07E" w14:textId="329076E1" w:rsidR="00F32262" w:rsidRDefault="00F32262" w:rsidP="005D70ED">
      <w:pPr>
        <w:pStyle w:val="Heading3"/>
      </w:pPr>
      <w:bookmarkStart w:id="363" w:name="_Ref83888858"/>
      <w:bookmarkStart w:id="364" w:name="_Toc94773097"/>
      <w:r>
        <w:t>Earth station antenna gain</w:t>
      </w:r>
      <w:bookmarkEnd w:id="363"/>
      <w:bookmarkEnd w:id="364"/>
    </w:p>
    <w:p w14:paraId="7262E53A" w14:textId="4545A5E1" w:rsidR="00CC5869" w:rsidRPr="000420A4" w:rsidRDefault="00157998" w:rsidP="000420A4">
      <w:r>
        <w:t xml:space="preserve">Appendices </w:t>
      </w:r>
      <w:r w:rsidR="00B97D43">
        <w:t>F</w:t>
      </w:r>
      <w:r>
        <w:t xml:space="preserve"> and </w:t>
      </w:r>
      <w:r w:rsidR="00B97D43">
        <w:t>G</w:t>
      </w:r>
      <w:r>
        <w:t xml:space="preserve"> provide details on calculating the antenna off-axis angle in two and three dimensions respectively. T</w:t>
      </w:r>
      <w:r w:rsidR="00F32262">
        <w:t xml:space="preserve">o calculate the </w:t>
      </w:r>
      <w:r>
        <w:t xml:space="preserve">off-axis </w:t>
      </w:r>
      <w:r w:rsidR="00F32262">
        <w:t xml:space="preserve">gain of an earth station </w:t>
      </w:r>
      <w:r>
        <w:t xml:space="preserve">antenna </w:t>
      </w:r>
      <w:r w:rsidR="00F32262">
        <w:t xml:space="preserve">in the direction of a fixed service receiver, the </w:t>
      </w:r>
      <w:r w:rsidR="00F32262">
        <w:lastRenderedPageBreak/>
        <w:t xml:space="preserve">information in Table </w:t>
      </w:r>
      <w:r w:rsidR="00B97D43">
        <w:t>4</w:t>
      </w:r>
      <w:r w:rsidR="00F32262">
        <w:t xml:space="preserve"> (in section</w:t>
      </w:r>
      <w:r w:rsidR="00B97D43">
        <w:t xml:space="preserve"> </w:t>
      </w:r>
      <w:r w:rsidR="00B97D43">
        <w:fldChar w:fldCharType="begin"/>
      </w:r>
      <w:r w:rsidR="00B97D43">
        <w:instrText xml:space="preserve"> REF _Ref83823347 \r \h </w:instrText>
      </w:r>
      <w:r w:rsidR="00B97D43">
        <w:fldChar w:fldCharType="separate"/>
      </w:r>
      <w:r w:rsidR="009E3A92">
        <w:t>3.2.1</w:t>
      </w:r>
      <w:r w:rsidR="00B97D43">
        <w:fldChar w:fldCharType="end"/>
      </w:r>
      <w:r w:rsidR="00F32262">
        <w:t xml:space="preserve">) and the procedures defined in Appendices </w:t>
      </w:r>
      <w:r w:rsidR="00B97D43">
        <w:t>F</w:t>
      </w:r>
      <w:r w:rsidR="007A2B4A">
        <w:t xml:space="preserve"> and </w:t>
      </w:r>
      <w:r w:rsidR="00B97D43">
        <w:t>G</w:t>
      </w:r>
      <w:r w:rsidR="00F32262">
        <w:t xml:space="preserve"> of this document should be used. </w:t>
      </w:r>
      <w:bookmarkEnd w:id="360"/>
    </w:p>
    <w:p w14:paraId="03A08E29" w14:textId="60D3D877" w:rsidR="0054001D" w:rsidRDefault="0054001D" w:rsidP="00724E19">
      <w:pPr>
        <w:pStyle w:val="Heading2"/>
      </w:pPr>
      <w:r>
        <w:t xml:space="preserve"> </w:t>
      </w:r>
      <w:bookmarkStart w:id="365" w:name="_Ref83649694"/>
      <w:bookmarkStart w:id="366" w:name="_Ref91151769"/>
      <w:bookmarkStart w:id="367" w:name="_Toc94773098"/>
      <w:r>
        <w:t xml:space="preserve">Coordination with </w:t>
      </w:r>
      <w:r w:rsidR="00072EAC">
        <w:t xml:space="preserve">the </w:t>
      </w:r>
      <w:r>
        <w:t>Mingenew</w:t>
      </w:r>
      <w:bookmarkEnd w:id="365"/>
      <w:r w:rsidR="00072EAC">
        <w:t xml:space="preserve"> earth station protection zone</w:t>
      </w:r>
      <w:bookmarkEnd w:id="366"/>
      <w:bookmarkEnd w:id="367"/>
    </w:p>
    <w:p w14:paraId="37D22282" w14:textId="021B4227" w:rsidR="008F1433" w:rsidRDefault="008F1433" w:rsidP="008F1433">
      <w:r>
        <w:t xml:space="preserve">This section outlines the </w:t>
      </w:r>
      <w:r w:rsidR="00C15F7A">
        <w:t xml:space="preserve">coordination </w:t>
      </w:r>
      <w:r>
        <w:t>requirement</w:t>
      </w:r>
      <w:r w:rsidR="00C15F7A">
        <w:t>s</w:t>
      </w:r>
      <w:r>
        <w:t xml:space="preserve"> </w:t>
      </w:r>
      <w:r w:rsidR="00C15F7A">
        <w:t xml:space="preserve">which </w:t>
      </w:r>
      <w:r w:rsidR="00E74FE9">
        <w:t xml:space="preserve">support the development of space communications facilities in the general area of </w:t>
      </w:r>
      <w:r w:rsidR="00C15F7A">
        <w:t>M</w:t>
      </w:r>
      <w:r w:rsidR="00E74FE9">
        <w:t>ingenew</w:t>
      </w:r>
      <w:r w:rsidR="00072EAC">
        <w:t>,</w:t>
      </w:r>
      <w:r w:rsidR="00C15F7A">
        <w:t xml:space="preserve"> WA</w:t>
      </w:r>
      <w:r w:rsidR="00E74FE9">
        <w:t>. These arrangements</w:t>
      </w:r>
      <w:r w:rsidR="00996C9A">
        <w:t xml:space="preserve"> replace restrictions</w:t>
      </w:r>
      <w:r w:rsidR="00C15F7A">
        <w:t xml:space="preserve"> relevant to the 26/28 GHz bands</w:t>
      </w:r>
      <w:r w:rsidR="00E74FE9">
        <w:t xml:space="preserve"> </w:t>
      </w:r>
      <w:r w:rsidR="00486812">
        <w:t xml:space="preserve">that were </w:t>
      </w:r>
      <w:r w:rsidR="00E74FE9">
        <w:t xml:space="preserve">previously contained in </w:t>
      </w:r>
      <w:hyperlink r:id="rId51" w:history="1">
        <w:r w:rsidR="00E74FE9" w:rsidRPr="00A15FDC">
          <w:rPr>
            <w:rStyle w:val="Hyperlink"/>
          </w:rPr>
          <w:t>Spectrum Embargo 49</w:t>
        </w:r>
      </w:hyperlink>
      <w:r w:rsidR="00E74FE9">
        <w:t>.</w:t>
      </w:r>
    </w:p>
    <w:p w14:paraId="1BF9B6A3" w14:textId="388852A9" w:rsidR="00E74FE9" w:rsidRDefault="00E74FE9">
      <w:r>
        <w:t xml:space="preserve">Coordination requirements for transmitters operating in the frequency range 25.5-27 GHz are detailed in section </w:t>
      </w:r>
      <w:r w:rsidR="00A15FDC">
        <w:fldChar w:fldCharType="begin"/>
      </w:r>
      <w:r w:rsidR="00A15FDC">
        <w:instrText xml:space="preserve"> REF _Ref91161389 \r \h </w:instrText>
      </w:r>
      <w:r w:rsidR="00A15FDC">
        <w:fldChar w:fldCharType="separate"/>
      </w:r>
      <w:r w:rsidR="009E3A92">
        <w:t>3.7.1</w:t>
      </w:r>
      <w:r w:rsidR="00A15FDC">
        <w:fldChar w:fldCharType="end"/>
      </w:r>
      <w:r>
        <w:t xml:space="preserve">. </w:t>
      </w:r>
      <w:r w:rsidR="00CB2146">
        <w:t xml:space="preserve">Requirements for the coordination of AWL receivers, before they can be registered, are contained in </w:t>
      </w:r>
      <w:hyperlink r:id="rId52" w:history="1">
        <w:r w:rsidR="00CB2146" w:rsidRPr="00A15FDC">
          <w:rPr>
            <w:rStyle w:val="Hyperlink"/>
          </w:rPr>
          <w:t>RALI MS44</w:t>
        </w:r>
      </w:hyperlink>
      <w:r w:rsidR="001C5BE1">
        <w:t xml:space="preserve"> (also see section</w:t>
      </w:r>
      <w:r w:rsidR="00A15FDC">
        <w:t xml:space="preserve"> </w:t>
      </w:r>
      <w:r w:rsidR="00A15FDC">
        <w:fldChar w:fldCharType="begin"/>
      </w:r>
      <w:r w:rsidR="00A15FDC">
        <w:instrText xml:space="preserve"> REF _Ref46470743 \r \h </w:instrText>
      </w:r>
      <w:r w:rsidR="00A15FDC">
        <w:fldChar w:fldCharType="separate"/>
      </w:r>
      <w:r w:rsidR="009E3A92">
        <w:t>3.8</w:t>
      </w:r>
      <w:r w:rsidR="00A15FDC">
        <w:fldChar w:fldCharType="end"/>
      </w:r>
      <w:r w:rsidR="001C5BE1">
        <w:t>)</w:t>
      </w:r>
      <w:r w:rsidR="00CB2146">
        <w:t>.</w:t>
      </w:r>
    </w:p>
    <w:p w14:paraId="66835CFB" w14:textId="543AF840" w:rsidR="009C618F" w:rsidRPr="00CD7947" w:rsidRDefault="009C618F" w:rsidP="009C618F">
      <w:r>
        <w:t>Transmitters that are exempt from registration are not required to be coordinate as per section</w:t>
      </w:r>
      <w:r w:rsidR="00A15FDC">
        <w:t xml:space="preserve"> </w:t>
      </w:r>
      <w:r w:rsidR="00A15FDC">
        <w:fldChar w:fldCharType="begin"/>
      </w:r>
      <w:r w:rsidR="00A15FDC">
        <w:instrText xml:space="preserve"> REF _Ref91161467 \r \h </w:instrText>
      </w:r>
      <w:r w:rsidR="00A15FDC">
        <w:fldChar w:fldCharType="separate"/>
      </w:r>
      <w:r w:rsidR="009E3A92">
        <w:t>3.7.1</w:t>
      </w:r>
      <w:r w:rsidR="00A15FDC">
        <w:fldChar w:fldCharType="end"/>
      </w:r>
      <w:r>
        <w:t>, however,</w:t>
      </w:r>
      <w:r w:rsidRPr="009C618F">
        <w:t xml:space="preserve"> </w:t>
      </w:r>
      <w:r w:rsidR="00325A98">
        <w:t xml:space="preserve">the </w:t>
      </w:r>
      <w:r>
        <w:t>AWL LCD contains a condition that transmitters exempt from registration must not cause interference</w:t>
      </w:r>
      <w:r w:rsidRPr="00E60803">
        <w:t xml:space="preserve"> </w:t>
      </w:r>
      <w:r>
        <w:t xml:space="preserve">to apparatus or spectrum licensed services. This condition will apply to </w:t>
      </w:r>
      <w:r w:rsidR="00072EAC">
        <w:t xml:space="preserve">any </w:t>
      </w:r>
      <w:r>
        <w:t>interference caused to future receivers located at Mingenew.</w:t>
      </w:r>
    </w:p>
    <w:p w14:paraId="6E687331" w14:textId="3F86C110" w:rsidR="00006F2B" w:rsidRDefault="00566894" w:rsidP="00103034">
      <w:pPr>
        <w:pStyle w:val="Heading3"/>
      </w:pPr>
      <w:bookmarkStart w:id="368" w:name="_Ref84585771"/>
      <w:bookmarkStart w:id="369" w:name="_Ref91161389"/>
      <w:bookmarkStart w:id="370" w:name="_Ref91161467"/>
      <w:bookmarkStart w:id="371" w:name="_Toc94773099"/>
      <w:r>
        <w:t>C</w:t>
      </w:r>
      <w:r w:rsidR="00832274">
        <w:t>oordination requirements</w:t>
      </w:r>
      <w:bookmarkEnd w:id="368"/>
      <w:bookmarkEnd w:id="369"/>
      <w:bookmarkEnd w:id="370"/>
      <w:r>
        <w:t xml:space="preserve"> for AWL transmitters near Mingenew</w:t>
      </w:r>
      <w:bookmarkEnd w:id="371"/>
    </w:p>
    <w:p w14:paraId="339E285D" w14:textId="01B6780A" w:rsidR="0054001D" w:rsidRDefault="00083BEF" w:rsidP="0054001D">
      <w:r>
        <w:t>A</w:t>
      </w:r>
      <w:r w:rsidR="0054001D">
        <w:t xml:space="preserve">n </w:t>
      </w:r>
      <w:r w:rsidR="0054001D">
        <w:rPr>
          <w:rFonts w:cs="Arial"/>
        </w:rPr>
        <w:t xml:space="preserve">AWL </w:t>
      </w:r>
      <w:r w:rsidR="0054001D">
        <w:t>transmitter must not be</w:t>
      </w:r>
      <w:r>
        <w:t xml:space="preserve"> registered</w:t>
      </w:r>
      <w:r w:rsidR="0054001D">
        <w:t xml:space="preserve"> in the RRL if the coordination requirements defined in this section are not met</w:t>
      </w:r>
      <w:r w:rsidR="000E5E1A">
        <w:t>.</w:t>
      </w:r>
      <w:r w:rsidR="00A334AD">
        <w:t xml:space="preserve"> </w:t>
      </w:r>
    </w:p>
    <w:p w14:paraId="6D1D334C" w14:textId="7CF52CD1" w:rsidR="0015386D" w:rsidRDefault="008F1433" w:rsidP="0054001D">
      <w:r>
        <w:t>Coordination is required for transmitter</w:t>
      </w:r>
      <w:r w:rsidR="002843B9">
        <w:t xml:space="preserve">s that </w:t>
      </w:r>
      <w:r>
        <w:t>operat</w:t>
      </w:r>
      <w:r w:rsidR="002843B9">
        <w:t>e</w:t>
      </w:r>
      <w:r>
        <w:t xml:space="preserve"> in the range 25.5-27 GHz and </w:t>
      </w:r>
      <w:r w:rsidR="002843B9">
        <w:t xml:space="preserve">are </w:t>
      </w:r>
      <w:r>
        <w:t xml:space="preserve">located within 100km of </w:t>
      </w:r>
      <w:r w:rsidRPr="0015386D">
        <w:t>-29.046389°</w:t>
      </w:r>
      <w:r>
        <w:t xml:space="preserve">N, </w:t>
      </w:r>
      <w:r w:rsidRPr="0015386D">
        <w:t>115.343056°</w:t>
      </w:r>
      <w:r>
        <w:t xml:space="preserve">E. </w:t>
      </w:r>
      <w:r w:rsidR="00006F2B">
        <w:t xml:space="preserve">For a successful </w:t>
      </w:r>
      <w:r>
        <w:t xml:space="preserve">coordination of proposed transmitters, the level of co-channel interference to a notional earth receive station must not exceed the level at each point listed in Table </w:t>
      </w:r>
      <w:r w:rsidR="00A15FDC">
        <w:t>9</w:t>
      </w:r>
      <w:r>
        <w:t xml:space="preserve">. </w:t>
      </w:r>
      <w:r w:rsidR="00864FC8">
        <w:t>Notional earth receive station parameters to be used in coordination are also defi</w:t>
      </w:r>
      <w:r w:rsidR="002B4B52">
        <w:t>ne</w:t>
      </w:r>
      <w:r w:rsidR="00864FC8">
        <w:t>d in Table</w:t>
      </w:r>
      <w:r w:rsidR="002B4B52">
        <w:t xml:space="preserve"> </w:t>
      </w:r>
      <w:r w:rsidR="00A15FDC">
        <w:t>9</w:t>
      </w:r>
      <w:r w:rsidR="00864FC8">
        <w:t>.</w:t>
      </w:r>
      <w:r w:rsidR="0015386D">
        <w:t xml:space="preserve"> </w:t>
      </w:r>
    </w:p>
    <w:p w14:paraId="4AC0BD58" w14:textId="306BF0DC" w:rsidR="000E5E1A" w:rsidRDefault="0015386D" w:rsidP="000E5E1A">
      <w:pPr>
        <w:pStyle w:val="ACMATableHeader"/>
        <w:keepNext/>
        <w:keepLines/>
      </w:pPr>
      <w:r>
        <w:lastRenderedPageBreak/>
        <w:t>Earth receive</w:t>
      </w:r>
      <w:r w:rsidR="000E5E1A">
        <w:t xml:space="preserve"> parameters to be used in coordination</w:t>
      </w:r>
    </w:p>
    <w:tbl>
      <w:tblPr>
        <w:tblStyle w:val="TableGrid"/>
        <w:tblW w:w="7650" w:type="dxa"/>
        <w:tblLook w:val="04A0" w:firstRow="1" w:lastRow="0" w:firstColumn="1" w:lastColumn="0" w:noHBand="0" w:noVBand="1"/>
      </w:tblPr>
      <w:tblGrid>
        <w:gridCol w:w="2830"/>
        <w:gridCol w:w="4820"/>
      </w:tblGrid>
      <w:tr w:rsidR="00006F2B" w14:paraId="75A8AB93" w14:textId="32002729" w:rsidTr="00103034">
        <w:tc>
          <w:tcPr>
            <w:tcW w:w="2830" w:type="dxa"/>
          </w:tcPr>
          <w:p w14:paraId="0875456D" w14:textId="3DACA6ED" w:rsidR="00006F2B" w:rsidRDefault="00006F2B" w:rsidP="001D20F5">
            <w:pPr>
              <w:keepNext/>
              <w:keepLines/>
            </w:pPr>
            <w:r>
              <w:t xml:space="preserve">Acceptable level of </w:t>
            </w:r>
            <w:r w:rsidR="008F1433">
              <w:t xml:space="preserve">co-channel </w:t>
            </w:r>
            <w:r>
              <w:t>interference</w:t>
            </w:r>
            <w:r w:rsidR="00B01FE0">
              <w:rPr>
                <w:rStyle w:val="FootnoteReference"/>
              </w:rPr>
              <w:footnoteReference w:id="30"/>
            </w:r>
          </w:p>
        </w:tc>
        <w:tc>
          <w:tcPr>
            <w:tcW w:w="4820" w:type="dxa"/>
          </w:tcPr>
          <w:p w14:paraId="3AF8376D" w14:textId="3636636A" w:rsidR="00006F2B" w:rsidRDefault="00006F2B" w:rsidP="001D20F5">
            <w:pPr>
              <w:keepNext/>
              <w:keepLines/>
            </w:pPr>
            <w:r>
              <w:t>-156 dBW/MHz at the input of the receiver.</w:t>
            </w:r>
          </w:p>
        </w:tc>
      </w:tr>
      <w:tr w:rsidR="00006F2B" w14:paraId="3DED8647" w14:textId="23A7EAB6" w:rsidTr="00103034">
        <w:tc>
          <w:tcPr>
            <w:tcW w:w="2830" w:type="dxa"/>
          </w:tcPr>
          <w:p w14:paraId="62CB1179" w14:textId="77777777" w:rsidR="00006F2B" w:rsidRDefault="00006F2B" w:rsidP="001D20F5">
            <w:pPr>
              <w:keepNext/>
              <w:keepLines/>
            </w:pPr>
            <w:r>
              <w:t>Propagation model</w:t>
            </w:r>
          </w:p>
        </w:tc>
        <w:tc>
          <w:tcPr>
            <w:tcW w:w="4820" w:type="dxa"/>
          </w:tcPr>
          <w:p w14:paraId="14104DF4" w14:textId="76EBBCB9" w:rsidR="00B01FE0" w:rsidRDefault="00006F2B" w:rsidP="00B01FE0">
            <w:pPr>
              <w:keepNext/>
              <w:keepLines/>
              <w:spacing w:after="0"/>
            </w:pPr>
            <w:r>
              <w:t>Recommendation ITU-R P.452 (as existing from time to time), using</w:t>
            </w:r>
            <w:r w:rsidR="00B01FE0">
              <w:t>:</w:t>
            </w:r>
          </w:p>
          <w:p w14:paraId="4CB406FB" w14:textId="60782627" w:rsidR="00B01FE0" w:rsidRDefault="00B01FE0" w:rsidP="00103034">
            <w:pPr>
              <w:pStyle w:val="ListParagraph"/>
              <w:keepNext/>
              <w:keepLines/>
              <w:numPr>
                <w:ilvl w:val="0"/>
                <w:numId w:val="144"/>
              </w:numPr>
              <w:spacing w:after="0"/>
            </w:pPr>
            <w:r>
              <w:t xml:space="preserve">percent of time propagation loss not exceeded </w:t>
            </w:r>
            <w:r>
              <w:rPr>
                <w:iCs/>
                <w:lang w:val="en-US"/>
              </w:rPr>
              <w:t>(</w:t>
            </w:r>
            <w:r>
              <w:rPr>
                <w:i/>
                <w:lang w:val="en-US"/>
              </w:rPr>
              <w:t>p)</w:t>
            </w:r>
            <w:r>
              <w:rPr>
                <w:lang w:val="en-US"/>
              </w:rPr>
              <w:t> </w:t>
            </w:r>
            <w:r w:rsidR="00632335">
              <w:rPr>
                <w:lang w:val="en-US"/>
              </w:rPr>
              <w:t>=</w:t>
            </w:r>
            <w:r>
              <w:rPr>
                <w:lang w:val="en-US"/>
              </w:rPr>
              <w:t xml:space="preserve"> 0.001%</w:t>
            </w:r>
            <w:r>
              <w:rPr>
                <w:rStyle w:val="FootnoteReference"/>
                <w:lang w:val="en-US"/>
              </w:rPr>
              <w:footnoteReference w:id="31"/>
            </w:r>
          </w:p>
          <w:p w14:paraId="2ED1814E" w14:textId="72E3340D" w:rsidR="00006F2B" w:rsidRDefault="00006F2B" w:rsidP="00103034">
            <w:pPr>
              <w:pStyle w:val="ListParagraph"/>
              <w:keepNext/>
              <w:keepLines/>
              <w:numPr>
                <w:ilvl w:val="0"/>
                <w:numId w:val="143"/>
              </w:numPr>
            </w:pPr>
            <w:r>
              <w:t>a 3 second digital elevation model or better</w:t>
            </w:r>
          </w:p>
        </w:tc>
      </w:tr>
      <w:tr w:rsidR="00006F2B" w14:paraId="1DFE5DD8" w14:textId="2CDFDA54" w:rsidTr="00103034">
        <w:tc>
          <w:tcPr>
            <w:tcW w:w="2830" w:type="dxa"/>
          </w:tcPr>
          <w:p w14:paraId="5C452556" w14:textId="55F64744" w:rsidR="00006F2B" w:rsidRDefault="00006F2B" w:rsidP="001D20F5">
            <w:pPr>
              <w:keepNext/>
              <w:keepLines/>
            </w:pPr>
            <w:r>
              <w:t>Location</w:t>
            </w:r>
            <w:r w:rsidR="00EB264F">
              <w:t>s</w:t>
            </w:r>
            <w:r>
              <w:t xml:space="preserve"> (GDA94)</w:t>
            </w:r>
          </w:p>
        </w:tc>
        <w:tc>
          <w:tcPr>
            <w:tcW w:w="4820" w:type="dxa"/>
          </w:tcPr>
          <w:p w14:paraId="78456F63" w14:textId="4E2AD3CD" w:rsidR="00006F2B" w:rsidRDefault="00006F2B" w:rsidP="000E5E1A">
            <w:pPr>
              <w:keepNext/>
              <w:keepLines/>
            </w:pPr>
            <w:r>
              <w:t>1.</w:t>
            </w:r>
            <w:r>
              <w:tab/>
              <w:t>-29.045905</w:t>
            </w:r>
            <w:r>
              <w:rPr>
                <w:rFonts w:cs="Arial"/>
              </w:rPr>
              <w:t>°N,</w:t>
            </w:r>
            <w:r>
              <w:tab/>
              <w:t>115.350437</w:t>
            </w:r>
            <w:r>
              <w:rPr>
                <w:rFonts w:cs="Arial"/>
              </w:rPr>
              <w:t>°</w:t>
            </w:r>
            <w:r>
              <w:t>E</w:t>
            </w:r>
          </w:p>
          <w:p w14:paraId="1ACF2D11" w14:textId="5C0C2E25" w:rsidR="00006F2B" w:rsidRDefault="00006F2B" w:rsidP="000E5E1A">
            <w:pPr>
              <w:keepNext/>
              <w:keepLines/>
            </w:pPr>
            <w:r>
              <w:t>2.</w:t>
            </w:r>
            <w:r>
              <w:tab/>
              <w:t>-29.078611</w:t>
            </w:r>
            <w:r>
              <w:rPr>
                <w:rFonts w:cs="Arial"/>
              </w:rPr>
              <w:t>°N,</w:t>
            </w:r>
            <w:r>
              <w:tab/>
              <w:t>115.233333</w:t>
            </w:r>
            <w:r>
              <w:rPr>
                <w:rFonts w:cs="Arial"/>
              </w:rPr>
              <w:t>°</w:t>
            </w:r>
            <w:r>
              <w:t>E</w:t>
            </w:r>
          </w:p>
          <w:p w14:paraId="1900A1A5" w14:textId="5A533701" w:rsidR="00006F2B" w:rsidRDefault="00006F2B" w:rsidP="000E5E1A">
            <w:pPr>
              <w:keepNext/>
              <w:keepLines/>
            </w:pPr>
            <w:r>
              <w:t>3.</w:t>
            </w:r>
            <w:r>
              <w:tab/>
              <w:t>-29.078611</w:t>
            </w:r>
            <w:r>
              <w:tab/>
            </w:r>
            <w:r>
              <w:rPr>
                <w:rFonts w:cs="Arial"/>
              </w:rPr>
              <w:t xml:space="preserve">°N,    </w:t>
            </w:r>
            <w:r>
              <w:t>115.457778</w:t>
            </w:r>
            <w:r>
              <w:rPr>
                <w:rFonts w:cs="Arial"/>
              </w:rPr>
              <w:t>°</w:t>
            </w:r>
            <w:r>
              <w:t>E</w:t>
            </w:r>
          </w:p>
          <w:p w14:paraId="484600D2" w14:textId="4571FAFA" w:rsidR="00006F2B" w:rsidRDefault="00006F2B" w:rsidP="000E5E1A">
            <w:pPr>
              <w:keepNext/>
              <w:keepLines/>
            </w:pPr>
            <w:r>
              <w:t>4.</w:t>
            </w:r>
            <w:r>
              <w:tab/>
              <w:t>-28.9</w:t>
            </w:r>
            <w:r>
              <w:rPr>
                <w:rFonts w:cs="Arial"/>
              </w:rPr>
              <w:t xml:space="preserve">°N, </w:t>
            </w:r>
            <w:r>
              <w:tab/>
              <w:t>115.457778</w:t>
            </w:r>
            <w:r>
              <w:rPr>
                <w:rFonts w:cs="Arial"/>
              </w:rPr>
              <w:t>°</w:t>
            </w:r>
            <w:r>
              <w:t>E</w:t>
            </w:r>
          </w:p>
          <w:p w14:paraId="621DAA40" w14:textId="40B62BF3" w:rsidR="00006F2B" w:rsidRDefault="00006F2B" w:rsidP="000E5E1A">
            <w:pPr>
              <w:keepNext/>
              <w:keepLines/>
            </w:pPr>
            <w:r>
              <w:t>5.</w:t>
            </w:r>
            <w:r>
              <w:tab/>
              <w:t>-28.9</w:t>
            </w:r>
            <w:r>
              <w:rPr>
                <w:rFonts w:cs="Arial"/>
              </w:rPr>
              <w:t xml:space="preserve">°N, </w:t>
            </w:r>
            <w:r>
              <w:tab/>
              <w:t>115.233333</w:t>
            </w:r>
            <w:r>
              <w:rPr>
                <w:rFonts w:cs="Arial"/>
              </w:rPr>
              <w:t>°</w:t>
            </w:r>
            <w:r>
              <w:t>E</w:t>
            </w:r>
          </w:p>
        </w:tc>
      </w:tr>
      <w:tr w:rsidR="002B4B52" w14:paraId="39F209B9" w14:textId="77777777" w:rsidTr="00006F2B">
        <w:tc>
          <w:tcPr>
            <w:tcW w:w="2830" w:type="dxa"/>
          </w:tcPr>
          <w:p w14:paraId="115839FB" w14:textId="79108950" w:rsidR="002B4B52" w:rsidRDefault="002B4B52" w:rsidP="002B4B52">
            <w:pPr>
              <w:keepNext/>
              <w:keepLines/>
            </w:pPr>
            <w:r>
              <w:t>Antenna gain (dBi)</w:t>
            </w:r>
          </w:p>
        </w:tc>
        <w:tc>
          <w:tcPr>
            <w:tcW w:w="4820" w:type="dxa"/>
          </w:tcPr>
          <w:p w14:paraId="00B4FA46" w14:textId="1F705439" w:rsidR="002B4B52" w:rsidRDefault="002B4B52" w:rsidP="002B4B52">
            <w:pPr>
              <w:keepNext/>
              <w:keepLines/>
            </w:pPr>
            <w:r>
              <w:t>76.6</w:t>
            </w:r>
          </w:p>
        </w:tc>
      </w:tr>
      <w:tr w:rsidR="002B4B52" w14:paraId="1D327E4B" w14:textId="71277666" w:rsidTr="00103034">
        <w:tc>
          <w:tcPr>
            <w:tcW w:w="2830" w:type="dxa"/>
          </w:tcPr>
          <w:p w14:paraId="4262DE17" w14:textId="77777777" w:rsidR="002B4B52" w:rsidRDefault="002B4B52" w:rsidP="002B4B52">
            <w:pPr>
              <w:keepNext/>
              <w:keepLines/>
            </w:pPr>
            <w:r>
              <w:t>Antenna pattern</w:t>
            </w:r>
          </w:p>
        </w:tc>
        <w:tc>
          <w:tcPr>
            <w:tcW w:w="4820" w:type="dxa"/>
          </w:tcPr>
          <w:p w14:paraId="345B3437" w14:textId="77777777" w:rsidR="002B4B52" w:rsidRDefault="002B4B52" w:rsidP="002B4B52">
            <w:pPr>
              <w:keepNext/>
              <w:keepLines/>
            </w:pPr>
            <w:r>
              <w:t>The ‘multiple entry interference’ pattern defined in ITU-R Recommendation SA.509 (as existing from time to time)</w:t>
            </w:r>
          </w:p>
        </w:tc>
      </w:tr>
      <w:tr w:rsidR="002B4B52" w14:paraId="6AF1EDE6" w14:textId="097A3989" w:rsidTr="00103034">
        <w:tc>
          <w:tcPr>
            <w:tcW w:w="2830" w:type="dxa"/>
          </w:tcPr>
          <w:p w14:paraId="49E09A3C" w14:textId="77DC9098" w:rsidR="002B4B52" w:rsidRDefault="002B4B52" w:rsidP="002B4B52">
            <w:pPr>
              <w:keepNext/>
              <w:keepLines/>
            </w:pPr>
            <w:r>
              <w:t>Antenna -3dB beamwidth (</w:t>
            </w:r>
            <w:r>
              <w:rPr>
                <w:rFonts w:cs="Arial"/>
              </w:rPr>
              <w:t>°</w:t>
            </w:r>
            <w:r>
              <w:t>)</w:t>
            </w:r>
          </w:p>
        </w:tc>
        <w:tc>
          <w:tcPr>
            <w:tcW w:w="4820" w:type="dxa"/>
          </w:tcPr>
          <w:p w14:paraId="4889D660" w14:textId="602B280B" w:rsidR="002B4B52" w:rsidRDefault="002B4B52" w:rsidP="002B4B52">
            <w:pPr>
              <w:keepNext/>
              <w:keepLines/>
            </w:pPr>
            <w:r>
              <w:t>0.03</w:t>
            </w:r>
          </w:p>
        </w:tc>
      </w:tr>
      <w:tr w:rsidR="002B4B52" w14:paraId="591F685A" w14:textId="5F9DE8D9" w:rsidTr="00103034">
        <w:tc>
          <w:tcPr>
            <w:tcW w:w="2830" w:type="dxa"/>
          </w:tcPr>
          <w:p w14:paraId="3523BAD8" w14:textId="77777777" w:rsidR="002B4B52" w:rsidRDefault="002B4B52" w:rsidP="002B4B52">
            <w:pPr>
              <w:keepNext/>
              <w:keepLines/>
            </w:pPr>
            <w:r>
              <w:t>Minimum antenna elevation angle above horizon</w:t>
            </w:r>
          </w:p>
        </w:tc>
        <w:tc>
          <w:tcPr>
            <w:tcW w:w="4820" w:type="dxa"/>
          </w:tcPr>
          <w:p w14:paraId="4280905E" w14:textId="1123C604" w:rsidR="002B4B52" w:rsidRDefault="002B4B52" w:rsidP="00103034">
            <w:pPr>
              <w:keepNext/>
              <w:keepLines/>
            </w:pPr>
            <w:r>
              <w:t>5 degrees</w:t>
            </w:r>
          </w:p>
        </w:tc>
      </w:tr>
      <w:tr w:rsidR="002B4B52" w14:paraId="6329A5C7" w14:textId="7BF51C42" w:rsidTr="00103034">
        <w:tc>
          <w:tcPr>
            <w:tcW w:w="2830" w:type="dxa"/>
          </w:tcPr>
          <w:p w14:paraId="36A2C2D4" w14:textId="6E8B0F67" w:rsidR="002B4B52" w:rsidRDefault="002B4B52" w:rsidP="002B4B52">
            <w:pPr>
              <w:keepNext/>
              <w:keepLines/>
            </w:pPr>
            <w:r>
              <w:t xml:space="preserve">Antenna height (m </w:t>
            </w:r>
            <w:proofErr w:type="spellStart"/>
            <w:r>
              <w:t>a.g.l</w:t>
            </w:r>
            <w:proofErr w:type="spellEnd"/>
            <w:r>
              <w:t>)</w:t>
            </w:r>
          </w:p>
        </w:tc>
        <w:tc>
          <w:tcPr>
            <w:tcW w:w="4820" w:type="dxa"/>
          </w:tcPr>
          <w:p w14:paraId="1D190035" w14:textId="03878B7B" w:rsidR="002B4B52" w:rsidRDefault="002B4B52" w:rsidP="002B4B52">
            <w:pPr>
              <w:keepNext/>
              <w:keepLines/>
            </w:pPr>
            <w:r>
              <w:t>19</w:t>
            </w:r>
          </w:p>
        </w:tc>
      </w:tr>
    </w:tbl>
    <w:p w14:paraId="5D02AD57" w14:textId="77777777" w:rsidR="000E5E1A" w:rsidRDefault="000E5E1A" w:rsidP="0054001D"/>
    <w:p w14:paraId="1EF2F7E3" w14:textId="77777777" w:rsidR="0054001D" w:rsidRPr="0054001D" w:rsidRDefault="0054001D" w:rsidP="00103034"/>
    <w:p w14:paraId="1B195C1B" w14:textId="4D885E90" w:rsidR="00321CA0" w:rsidRDefault="00763E65" w:rsidP="00724E19">
      <w:pPr>
        <w:pStyle w:val="Heading2"/>
      </w:pPr>
      <w:r>
        <w:t xml:space="preserve"> </w:t>
      </w:r>
      <w:bookmarkStart w:id="372" w:name="_Ref46470743"/>
      <w:bookmarkStart w:id="373" w:name="_Toc94773100"/>
      <w:r w:rsidR="009E36B5">
        <w:t xml:space="preserve">Requirements contained </w:t>
      </w:r>
      <w:r w:rsidR="00724E19">
        <w:t>in other RALIs</w:t>
      </w:r>
      <w:r w:rsidR="00845966">
        <w:t xml:space="preserve"> and </w:t>
      </w:r>
      <w:r w:rsidR="00A711CC">
        <w:t>business operating procedures (B</w:t>
      </w:r>
      <w:r w:rsidR="00EA526B">
        <w:t>O</w:t>
      </w:r>
      <w:r w:rsidR="00A711CC">
        <w:t>P</w:t>
      </w:r>
      <w:r w:rsidR="00845966">
        <w:t>s</w:t>
      </w:r>
      <w:r w:rsidR="00A711CC">
        <w:t>)</w:t>
      </w:r>
      <w:bookmarkEnd w:id="372"/>
      <w:bookmarkEnd w:id="373"/>
    </w:p>
    <w:p w14:paraId="7D369929" w14:textId="0FF10FC2" w:rsidR="00724E19" w:rsidRDefault="00BC0E16" w:rsidP="00724E19">
      <w:bookmarkStart w:id="374" w:name="_Hlk46471690"/>
      <w:r>
        <w:t xml:space="preserve">This RALI does not cover all matters relevant to </w:t>
      </w:r>
      <w:r w:rsidR="008414A0">
        <w:t xml:space="preserve">the </w:t>
      </w:r>
      <w:r>
        <w:t xml:space="preserve">coordination of AWL transmitters </w:t>
      </w:r>
      <w:r w:rsidR="00B40F59">
        <w:t xml:space="preserve">and receivers </w:t>
      </w:r>
      <w:r>
        <w:t>with other services and it should be read in conjunction with other applicable RALIs</w:t>
      </w:r>
      <w:r w:rsidR="00845966">
        <w:t xml:space="preserve"> and </w:t>
      </w:r>
      <w:r w:rsidR="00A711CC">
        <w:t>B</w:t>
      </w:r>
      <w:r w:rsidR="00EA526B">
        <w:t>O</w:t>
      </w:r>
      <w:r w:rsidR="00A711CC">
        <w:t>Ps</w:t>
      </w:r>
      <w:r>
        <w:t>.</w:t>
      </w:r>
    </w:p>
    <w:p w14:paraId="1F3C2959" w14:textId="01646DC3" w:rsidR="00171FC8" w:rsidRDefault="00083BEF" w:rsidP="003C6FC5">
      <w:pPr>
        <w:spacing w:after="120"/>
      </w:pPr>
      <w:r>
        <w:lastRenderedPageBreak/>
        <w:t>A</w:t>
      </w:r>
      <w:r w:rsidR="00BC0E16">
        <w:t xml:space="preserve">n </w:t>
      </w:r>
      <w:r w:rsidR="00BC0E16">
        <w:rPr>
          <w:rFonts w:cs="Arial"/>
        </w:rPr>
        <w:t xml:space="preserve">AWL </w:t>
      </w:r>
      <w:r w:rsidR="00BC0E16">
        <w:t>transmitter</w:t>
      </w:r>
      <w:r w:rsidR="0072549B">
        <w:t xml:space="preserve"> or receiver</w:t>
      </w:r>
      <w:r w:rsidR="00BC0E16">
        <w:t xml:space="preserve"> must not be </w:t>
      </w:r>
      <w:r>
        <w:t xml:space="preserve">registered </w:t>
      </w:r>
      <w:r w:rsidR="00BC0E16">
        <w:t>in the RRL if it does not comply with the requirements in</w:t>
      </w:r>
      <w:r w:rsidR="000C58CC">
        <w:t xml:space="preserve"> any</w:t>
      </w:r>
      <w:r w:rsidR="00BC0E16">
        <w:t xml:space="preserve"> other applicable RALI</w:t>
      </w:r>
      <w:r w:rsidR="009E36B5">
        <w:t xml:space="preserve"> and B</w:t>
      </w:r>
      <w:r w:rsidR="00EA526B">
        <w:t>O</w:t>
      </w:r>
      <w:r w:rsidR="009E36B5">
        <w:t>P</w:t>
      </w:r>
      <w:r w:rsidR="00896622">
        <w:t xml:space="preserve">. </w:t>
      </w:r>
    </w:p>
    <w:p w14:paraId="1614B2F5" w14:textId="4146CAC1" w:rsidR="00BC0E16" w:rsidRDefault="00896622" w:rsidP="003C6FC5">
      <w:pPr>
        <w:spacing w:after="120"/>
      </w:pPr>
      <w:r>
        <w:t xml:space="preserve">Applicable RALIs and BOPs </w:t>
      </w:r>
      <w:r w:rsidR="00BC0E16">
        <w:t>includ</w:t>
      </w:r>
      <w:r w:rsidR="00171FC8">
        <w:t>e</w:t>
      </w:r>
      <w:r w:rsidR="00427FBC">
        <w:t xml:space="preserve"> (but are not limited to)</w:t>
      </w:r>
      <w:r w:rsidR="00BC0E16">
        <w:t>:</w:t>
      </w:r>
      <w:r w:rsidR="00BC0E16">
        <w:rPr>
          <w:rStyle w:val="FootnoteReference"/>
        </w:rPr>
        <w:footnoteReference w:id="32"/>
      </w:r>
    </w:p>
    <w:p w14:paraId="5A844CDC" w14:textId="59E9460E" w:rsidR="00BC0E16" w:rsidRDefault="00AA7653" w:rsidP="00BC0E16">
      <w:pPr>
        <w:pStyle w:val="ListBullet"/>
      </w:pPr>
      <w:r>
        <w:t>RALI MS31 – Notification zones for apparatus licensed services around radio astronomy facilities.</w:t>
      </w:r>
    </w:p>
    <w:p w14:paraId="40FFA99A" w14:textId="046B09C0" w:rsidR="008526CF" w:rsidRDefault="00AA7653" w:rsidP="00896622">
      <w:pPr>
        <w:pStyle w:val="ListBullet"/>
      </w:pPr>
      <w:r>
        <w:t>RALI MS32 – Coordination of apparatus licensed services within the ARQZWA.</w:t>
      </w:r>
      <w:r w:rsidR="00EB0FBD">
        <w:t xml:space="preserve"> Fixed outdoor transmitters that are exempt from registrations must not be operated if they cannot be successfully coordinated according to RALI MS32.</w:t>
      </w:r>
    </w:p>
    <w:p w14:paraId="717B3595" w14:textId="47235997" w:rsidR="00AA7653" w:rsidRDefault="00AA7653" w:rsidP="00BC0E16">
      <w:pPr>
        <w:pStyle w:val="ListBullet"/>
      </w:pPr>
      <w:r>
        <w:t>RALI MS44 – Frequency coordination procedures for the earth station protection zones.</w:t>
      </w:r>
    </w:p>
    <w:p w14:paraId="3230DA09" w14:textId="6542CC82" w:rsidR="00A711CC" w:rsidRPr="00E874BC" w:rsidRDefault="009E36B5" w:rsidP="00BC0E16">
      <w:pPr>
        <w:pStyle w:val="ListBullet"/>
      </w:pPr>
      <w:r>
        <w:t xml:space="preserve">Business Operating Procedure – </w:t>
      </w:r>
      <w:r w:rsidR="00A91DE4" w:rsidRPr="00327518">
        <w:rPr>
          <w:lang w:val="en"/>
        </w:rPr>
        <w:t>Submission and processing of applications for earth, earth receive apparatus licences and device registrations under area-wide apparatus licences for fixed earth stations</w:t>
      </w:r>
      <w:hyperlink r:id="rId53" w:history="1">
        <w:r w:rsidRPr="009E36B5">
          <w:rPr>
            <w:rStyle w:val="Hyperlink"/>
            <w:lang w:val="en"/>
          </w:rPr>
          <w:t>.</w:t>
        </w:r>
      </w:hyperlink>
      <w:bookmarkEnd w:id="374"/>
    </w:p>
    <w:p w14:paraId="7291F9F7" w14:textId="7EE0E7CA" w:rsidR="00321CA0" w:rsidRDefault="00CB5F38" w:rsidP="00321CA0">
      <w:pPr>
        <w:pStyle w:val="ListBullet"/>
        <w:spacing w:after="240"/>
      </w:pPr>
      <w:r>
        <w:t>Business Operating Procedure –</w:t>
      </w:r>
      <w:r w:rsidR="00861ED8">
        <w:t xml:space="preserve"> </w:t>
      </w:r>
      <w:hyperlink r:id="rId54" w:history="1">
        <w:r w:rsidR="00861ED8" w:rsidRPr="00861ED8">
          <w:rPr>
            <w:rStyle w:val="Hyperlink"/>
          </w:rPr>
          <w:t>Restriction on earth station licensing near Alice Springs</w:t>
        </w:r>
      </w:hyperlink>
      <w:r w:rsidR="00861ED8">
        <w:t>.</w:t>
      </w:r>
    </w:p>
    <w:p w14:paraId="33400AB1" w14:textId="4250E9EF" w:rsidR="007B7699" w:rsidRDefault="007B7699" w:rsidP="00103034">
      <w:pPr>
        <w:pStyle w:val="ACMANormalTabbed"/>
      </w:pPr>
      <w:bookmarkStart w:id="375" w:name="_Toc84583942"/>
      <w:bookmarkEnd w:id="375"/>
    </w:p>
    <w:p w14:paraId="681C3AB5" w14:textId="43BD5E4C" w:rsidR="00052267" w:rsidRPr="00C14CC0" w:rsidRDefault="00052267" w:rsidP="00052267"/>
    <w:p w14:paraId="32AE26CA" w14:textId="77777777" w:rsidR="00052267" w:rsidRPr="00052267" w:rsidRDefault="00052267" w:rsidP="00052267"/>
    <w:p w14:paraId="507D68B8" w14:textId="77777777" w:rsidR="004A13A7" w:rsidRPr="000B27C0" w:rsidRDefault="004A13A7" w:rsidP="000B27C0">
      <w:pPr>
        <w:pStyle w:val="Heading1"/>
      </w:pPr>
      <w:bookmarkStart w:id="376" w:name="_Toc513476332"/>
      <w:bookmarkStart w:id="377" w:name="_Toc8983859"/>
      <w:bookmarkStart w:id="378" w:name="_Toc8986383"/>
      <w:bookmarkStart w:id="379" w:name="_Toc94773101"/>
      <w:r w:rsidRPr="000B27C0">
        <w:lastRenderedPageBreak/>
        <w:t>Exceptions</w:t>
      </w:r>
      <w:bookmarkEnd w:id="376"/>
      <w:bookmarkEnd w:id="377"/>
      <w:bookmarkEnd w:id="378"/>
      <w:bookmarkEnd w:id="379"/>
    </w:p>
    <w:p w14:paraId="76274923" w14:textId="69C0F9C6" w:rsidR="004A13A7" w:rsidRPr="00AF06C8" w:rsidRDefault="004A13A7" w:rsidP="004A13A7">
      <w:pPr>
        <w:rPr>
          <w:rFonts w:cstheme="minorBidi"/>
          <w:szCs w:val="22"/>
        </w:rPr>
      </w:pPr>
      <w:r w:rsidRPr="00AF06C8">
        <w:rPr>
          <w:szCs w:val="22"/>
        </w:rPr>
        <w:t xml:space="preserve">Exceptions to the requirements of this RALI for prospective assignments </w:t>
      </w:r>
      <w:r w:rsidR="00D37144">
        <w:rPr>
          <w:szCs w:val="22"/>
        </w:rPr>
        <w:t xml:space="preserve">and device registrations </w:t>
      </w:r>
      <w:r w:rsidRPr="00AF06C8">
        <w:rPr>
          <w:szCs w:val="22"/>
        </w:rPr>
        <w:t xml:space="preserve">require case-by-case consideration by the Manager, Spectrum </w:t>
      </w:r>
      <w:r w:rsidR="00A1481A">
        <w:rPr>
          <w:szCs w:val="22"/>
        </w:rPr>
        <w:t>Planning Section</w:t>
      </w:r>
      <w:r w:rsidRPr="00AF06C8">
        <w:rPr>
          <w:szCs w:val="22"/>
        </w:rPr>
        <w:t>.</w:t>
      </w:r>
    </w:p>
    <w:p w14:paraId="5C2DABF0" w14:textId="77777777" w:rsidR="004A13A7" w:rsidRPr="00AF06C8" w:rsidRDefault="004A13A7" w:rsidP="004A13A7">
      <w:pPr>
        <w:rPr>
          <w:szCs w:val="22"/>
        </w:rPr>
      </w:pPr>
      <w:r w:rsidRPr="00AF06C8">
        <w:rPr>
          <w:szCs w:val="22"/>
        </w:rPr>
        <w:t>A request for exemption from the requirements of this RALI would need to be accompanied by evidence to support the request.</w:t>
      </w:r>
    </w:p>
    <w:p w14:paraId="5F2A0980" w14:textId="77777777" w:rsidR="000B27C0" w:rsidRPr="000B27C0" w:rsidRDefault="004A13A7" w:rsidP="000B27C0">
      <w:pPr>
        <w:rPr>
          <w:rFonts w:cs="Arial"/>
          <w:szCs w:val="22"/>
        </w:rPr>
      </w:pPr>
      <w:r w:rsidRPr="00AF06C8">
        <w:rPr>
          <w:rFonts w:cs="Arial"/>
          <w:szCs w:val="22"/>
        </w:rPr>
        <w:t xml:space="preserve">All requests for exemptions should be submitted to </w:t>
      </w:r>
      <w:hyperlink r:id="rId55" w:history="1">
        <w:r w:rsidR="00746A68" w:rsidRPr="00AD1617">
          <w:rPr>
            <w:rStyle w:val="Hyperlink"/>
            <w:rFonts w:cs="Arial"/>
            <w:szCs w:val="22"/>
          </w:rPr>
          <w:t>freqplan@acma.gov.au</w:t>
        </w:r>
      </w:hyperlink>
      <w:r w:rsidR="00746A68">
        <w:rPr>
          <w:rFonts w:cs="Arial"/>
          <w:szCs w:val="22"/>
        </w:rPr>
        <w:t xml:space="preserve">. </w:t>
      </w:r>
    </w:p>
    <w:p w14:paraId="6ABB623E" w14:textId="77777777" w:rsidR="004A13A7" w:rsidRPr="008C3D36" w:rsidRDefault="004A13A7" w:rsidP="00923D7A">
      <w:pPr>
        <w:pStyle w:val="Heading1"/>
      </w:pPr>
      <w:bookmarkStart w:id="380" w:name="_Toc8983860"/>
      <w:bookmarkStart w:id="381" w:name="_Toc8986384"/>
      <w:bookmarkStart w:id="382" w:name="_Toc94773102"/>
      <w:r w:rsidRPr="008C3D36">
        <w:lastRenderedPageBreak/>
        <w:t>RALI Authorisation</w:t>
      </w:r>
      <w:bookmarkEnd w:id="380"/>
      <w:bookmarkEnd w:id="381"/>
      <w:bookmarkEnd w:id="382"/>
    </w:p>
    <w:p w14:paraId="31B4D032" w14:textId="6A4ECDCE" w:rsidR="004A13A7" w:rsidRPr="00AF06C8" w:rsidRDefault="0063755E" w:rsidP="004A13A7">
      <w:pPr>
        <w:rPr>
          <w:szCs w:val="22"/>
        </w:rPr>
      </w:pPr>
      <w:r w:rsidRPr="00632335">
        <w:rPr>
          <w:szCs w:val="22"/>
        </w:rPr>
        <w:t>Not a</w:t>
      </w:r>
      <w:r w:rsidR="004A13A7" w:rsidRPr="00632335">
        <w:rPr>
          <w:szCs w:val="22"/>
        </w:rPr>
        <w:t xml:space="preserve">pproved     </w:t>
      </w:r>
      <w:r w:rsidR="004A13A7" w:rsidRPr="00632335">
        <w:rPr>
          <w:szCs w:val="22"/>
        </w:rPr>
        <w:tab/>
      </w:r>
      <w:r w:rsidR="008314B2" w:rsidRPr="00632335">
        <w:rPr>
          <w:szCs w:val="22"/>
        </w:rPr>
        <w:t>[Insert date when approved]</w:t>
      </w:r>
      <w:r w:rsidR="00427E54" w:rsidRPr="00632335">
        <w:rPr>
          <w:szCs w:val="22"/>
        </w:rPr>
        <w:t xml:space="preserve"> </w:t>
      </w:r>
    </w:p>
    <w:p w14:paraId="00A3E8AE" w14:textId="77777777" w:rsidR="004A13A7" w:rsidRPr="00AF06C8" w:rsidRDefault="004A13A7" w:rsidP="004A13A7">
      <w:pPr>
        <w:rPr>
          <w:szCs w:val="22"/>
        </w:rPr>
      </w:pPr>
      <w:r w:rsidRPr="00AF06C8">
        <w:rPr>
          <w:szCs w:val="22"/>
        </w:rPr>
        <w:br/>
        <w:t>Manager</w:t>
      </w:r>
      <w:r w:rsidRPr="00AF06C8">
        <w:rPr>
          <w:szCs w:val="22"/>
        </w:rPr>
        <w:br/>
        <w:t xml:space="preserve">Spectrum </w:t>
      </w:r>
      <w:r w:rsidR="00746A68">
        <w:rPr>
          <w:szCs w:val="22"/>
        </w:rPr>
        <w:t>Planning Section</w:t>
      </w:r>
      <w:r w:rsidRPr="00AF06C8">
        <w:rPr>
          <w:szCs w:val="22"/>
        </w:rPr>
        <w:br/>
        <w:t>Spectrum Planning and Engineering Branch</w:t>
      </w:r>
    </w:p>
    <w:p w14:paraId="2B221EDF" w14:textId="77777777" w:rsidR="004A13A7" w:rsidRPr="00AF06C8" w:rsidRDefault="004A13A7" w:rsidP="004A13A7">
      <w:pPr>
        <w:rPr>
          <w:szCs w:val="22"/>
        </w:rPr>
      </w:pPr>
      <w:r w:rsidRPr="00AF06C8">
        <w:rPr>
          <w:szCs w:val="22"/>
        </w:rPr>
        <w:t>Communications Infrastructure Division</w:t>
      </w:r>
      <w:r w:rsidRPr="00AF06C8">
        <w:rPr>
          <w:szCs w:val="22"/>
        </w:rPr>
        <w:br/>
        <w:t>Australian Communications and Media Authority</w:t>
      </w:r>
    </w:p>
    <w:p w14:paraId="12C8C8B0" w14:textId="77777777" w:rsidR="00FF074E" w:rsidRPr="00FF074E" w:rsidRDefault="00FF074E" w:rsidP="00FF074E">
      <w:bookmarkStart w:id="383" w:name="_Toc8983861"/>
      <w:bookmarkStart w:id="384" w:name="_Toc8986385"/>
    </w:p>
    <w:p w14:paraId="70CD4E1C" w14:textId="16D98652" w:rsidR="00103F94" w:rsidRDefault="00103F94" w:rsidP="00887949">
      <w:pPr>
        <w:pStyle w:val="Heading1"/>
        <w:numPr>
          <w:ilvl w:val="0"/>
          <w:numId w:val="0"/>
        </w:numPr>
        <w:rPr>
          <w:szCs w:val="44"/>
        </w:rPr>
      </w:pPr>
      <w:bookmarkStart w:id="385" w:name="_Ref91152683"/>
      <w:bookmarkStart w:id="386" w:name="_Toc94773103"/>
      <w:bookmarkEnd w:id="383"/>
      <w:bookmarkEnd w:id="384"/>
      <w:r>
        <w:rPr>
          <w:szCs w:val="44"/>
        </w:rPr>
        <w:lastRenderedPageBreak/>
        <w:t>Appendix A: Fallback synchronisation uplink-downlink configuration</w:t>
      </w:r>
      <w:bookmarkEnd w:id="385"/>
      <w:bookmarkEnd w:id="386"/>
    </w:p>
    <w:p w14:paraId="31F8A3C7" w14:textId="2AE47E15" w:rsidR="00561D4F" w:rsidRDefault="00103F94" w:rsidP="00103F94">
      <w:r>
        <w:t>Spectrum licences in the 26 GHz band and the AWL LCD (for AWLs in the 26/28 GHz bands) include a synchronisation requirement which may be invoked to resolve interference if negotiation between affected parties to resolve the interference fails (also see section</w:t>
      </w:r>
      <w:r w:rsidR="001A45DB">
        <w:t xml:space="preserve"> </w:t>
      </w:r>
      <w:r w:rsidR="001A45DB">
        <w:fldChar w:fldCharType="begin"/>
      </w:r>
      <w:r w:rsidR="001A45DB">
        <w:instrText xml:space="preserve"> REF _Ref83649553 \r \h </w:instrText>
      </w:r>
      <w:r w:rsidR="001A45DB">
        <w:fldChar w:fldCharType="separate"/>
      </w:r>
      <w:r w:rsidR="009E3A92">
        <w:t>3.1</w:t>
      </w:r>
      <w:r w:rsidR="001A45DB">
        <w:fldChar w:fldCharType="end"/>
      </w:r>
      <w:r>
        <w:t>).</w:t>
      </w:r>
      <w:r>
        <w:rPr>
          <w:rStyle w:val="FootnoteReference"/>
        </w:rPr>
        <w:footnoteReference w:id="33"/>
      </w:r>
      <w:r>
        <w:t xml:space="preserve">  </w:t>
      </w:r>
    </w:p>
    <w:p w14:paraId="2C42A896" w14:textId="500D806E" w:rsidR="00103F94" w:rsidRDefault="00561D4F" w:rsidP="00103F94">
      <w:r>
        <w:t xml:space="preserve">There are two </w:t>
      </w:r>
      <w:r w:rsidR="00103F94">
        <w:t>uplink-downlink configuration</w:t>
      </w:r>
      <w:r w:rsidR="005531D8">
        <w:t>s</w:t>
      </w:r>
      <w:r w:rsidR="00103F94">
        <w:t xml:space="preserve"> to be used when the synchronisation requirement is invoked</w:t>
      </w:r>
      <w:r>
        <w:t xml:space="preserve">, depending on the frequency range of </w:t>
      </w:r>
      <w:r w:rsidR="005531D8">
        <w:t>operation</w:t>
      </w:r>
      <w:r w:rsidR="00103F94">
        <w:t xml:space="preserve">: </w:t>
      </w:r>
    </w:p>
    <w:p w14:paraId="144A3EF6" w14:textId="6F45DEE7" w:rsidR="00103F94" w:rsidRDefault="0091340E" w:rsidP="00754AC4">
      <w:pPr>
        <w:pStyle w:val="ListBullet"/>
      </w:pPr>
      <w:r w:rsidRPr="00977ED9">
        <w:rPr>
          <w:u w:val="single"/>
        </w:rPr>
        <w:t>For inter</w:t>
      </w:r>
      <w:r w:rsidR="00754AC4" w:rsidRPr="00977ED9">
        <w:rPr>
          <w:u w:val="single"/>
        </w:rPr>
        <w:t xml:space="preserve">ference between devices </w:t>
      </w:r>
      <w:r w:rsidR="00754AC4">
        <w:rPr>
          <w:u w:val="single"/>
        </w:rPr>
        <w:t>operating in the frequency range 24.7-27.5 GHz</w:t>
      </w:r>
      <w:r w:rsidR="00561D4F">
        <w:rPr>
          <w:u w:val="single"/>
        </w:rPr>
        <w:t xml:space="preserve">, or for interference across the 27.5 GHz </w:t>
      </w:r>
      <w:r w:rsidR="006E19AC">
        <w:rPr>
          <w:u w:val="single"/>
        </w:rPr>
        <w:t>boundary</w:t>
      </w:r>
      <w:r w:rsidR="00754AC4">
        <w:t xml:space="preserve"> – </w:t>
      </w:r>
      <w:r w:rsidR="00103F94">
        <w:t>An uplink-downlink configuration which is consistent with the FR2.120-1 UL-DL pattern described in Table A.1.3-2 of 3GPP TS 38.101-4 V15.4.0</w:t>
      </w:r>
      <w:r w:rsidR="00103F94">
        <w:rPr>
          <w:rStyle w:val="FootnoteReference"/>
        </w:rPr>
        <w:footnoteReference w:id="34"/>
      </w:r>
      <w:r w:rsidR="00103F94">
        <w:t>, where:</w:t>
      </w:r>
    </w:p>
    <w:p w14:paraId="7F5E2D3E" w14:textId="77777777" w:rsidR="00103F94" w:rsidRDefault="00103F94" w:rsidP="00103F94">
      <w:pPr>
        <w:pStyle w:val="ListBullet"/>
        <w:tabs>
          <w:tab w:val="clear" w:pos="295"/>
          <w:tab w:val="num" w:pos="579"/>
        </w:tabs>
        <w:ind w:left="579"/>
      </w:pPr>
      <w:r>
        <w:t xml:space="preserve">The period of the slot configuration pattern is 0.625 </w:t>
      </w:r>
      <w:proofErr w:type="spellStart"/>
      <w:r>
        <w:t>ms</w:t>
      </w:r>
      <w:proofErr w:type="spellEnd"/>
      <w:r>
        <w:t>;</w:t>
      </w:r>
    </w:p>
    <w:p w14:paraId="5AFAA779" w14:textId="77777777" w:rsidR="00103F94" w:rsidRDefault="00103F94" w:rsidP="00103F94">
      <w:pPr>
        <w:pStyle w:val="ListBullet"/>
        <w:tabs>
          <w:tab w:val="clear" w:pos="295"/>
          <w:tab w:val="num" w:pos="579"/>
        </w:tabs>
        <w:ind w:left="579"/>
      </w:pPr>
      <w:r>
        <w:t xml:space="preserve">The period of a slot is 0.125 </w:t>
      </w:r>
      <w:proofErr w:type="spellStart"/>
      <w:r>
        <w:t>ms</w:t>
      </w:r>
      <w:proofErr w:type="spellEnd"/>
      <w:r>
        <w:t>; and</w:t>
      </w:r>
    </w:p>
    <w:p w14:paraId="5CF7A1D9" w14:textId="04003ECD" w:rsidR="00103F94" w:rsidRDefault="00103F94" w:rsidP="00103F94">
      <w:pPr>
        <w:pStyle w:val="ListBullet"/>
        <w:tabs>
          <w:tab w:val="clear" w:pos="295"/>
          <w:tab w:val="num" w:pos="579"/>
        </w:tabs>
        <w:ind w:left="579"/>
      </w:pPr>
      <w:r>
        <w:t>There are 14 symbols within a slot.</w:t>
      </w:r>
    </w:p>
    <w:p w14:paraId="4540D092" w14:textId="0390913D" w:rsidR="00754AC4" w:rsidRDefault="00754AC4" w:rsidP="00754AC4">
      <w:pPr>
        <w:pStyle w:val="ListBullet"/>
      </w:pPr>
      <w:r w:rsidRPr="000419E8">
        <w:rPr>
          <w:u w:val="single"/>
        </w:rPr>
        <w:t xml:space="preserve">For interference between devices </w:t>
      </w:r>
      <w:r>
        <w:rPr>
          <w:u w:val="single"/>
        </w:rPr>
        <w:t xml:space="preserve">operating in the frequency range 27.5-29.5 GHz – </w:t>
      </w:r>
      <w:r>
        <w:t>An uplink-downlink configuration which is consistent with the FR2.120-2 UL-DL pattern described in Table A.1.3-2 of 3GPP TS 38.101-4 V15.4.0</w:t>
      </w:r>
      <w:r>
        <w:rPr>
          <w:rStyle w:val="FootnoteReference"/>
        </w:rPr>
        <w:footnoteReference w:id="35"/>
      </w:r>
      <w:r>
        <w:t>, where:</w:t>
      </w:r>
    </w:p>
    <w:p w14:paraId="628E46FB" w14:textId="77777777" w:rsidR="00754AC4" w:rsidRDefault="00754AC4" w:rsidP="00754AC4">
      <w:pPr>
        <w:pStyle w:val="ListBullet"/>
        <w:tabs>
          <w:tab w:val="clear" w:pos="295"/>
          <w:tab w:val="num" w:pos="579"/>
        </w:tabs>
        <w:ind w:left="579"/>
      </w:pPr>
      <w:r>
        <w:t xml:space="preserve">The period of the slot configuration pattern is 0.5 </w:t>
      </w:r>
      <w:proofErr w:type="spellStart"/>
      <w:r>
        <w:t>ms</w:t>
      </w:r>
      <w:proofErr w:type="spellEnd"/>
      <w:r>
        <w:t>;</w:t>
      </w:r>
    </w:p>
    <w:p w14:paraId="0745F224" w14:textId="77777777" w:rsidR="00754AC4" w:rsidRDefault="00754AC4" w:rsidP="00754AC4">
      <w:pPr>
        <w:pStyle w:val="ListBullet"/>
        <w:tabs>
          <w:tab w:val="clear" w:pos="295"/>
          <w:tab w:val="num" w:pos="579"/>
        </w:tabs>
        <w:ind w:left="579"/>
      </w:pPr>
      <w:r>
        <w:t xml:space="preserve">The period of a slot is 0.125 </w:t>
      </w:r>
      <w:proofErr w:type="spellStart"/>
      <w:r>
        <w:t>ms</w:t>
      </w:r>
      <w:proofErr w:type="spellEnd"/>
      <w:r>
        <w:t>; and</w:t>
      </w:r>
    </w:p>
    <w:p w14:paraId="1875EEF4" w14:textId="692ECAD7" w:rsidR="00754AC4" w:rsidRDefault="00754AC4" w:rsidP="003C6FC5">
      <w:pPr>
        <w:pStyle w:val="ListBullet"/>
        <w:tabs>
          <w:tab w:val="clear" w:pos="295"/>
          <w:tab w:val="num" w:pos="579"/>
        </w:tabs>
        <w:spacing w:after="240"/>
        <w:ind w:left="579"/>
      </w:pPr>
      <w:r>
        <w:t>There are 14 symbols within a slot</w:t>
      </w:r>
    </w:p>
    <w:p w14:paraId="65964B84" w14:textId="2284FFE5" w:rsidR="00561D4F" w:rsidRDefault="00561D4F" w:rsidP="00977ED9">
      <w:r>
        <w:t>In cases</w:t>
      </w:r>
      <w:r w:rsidR="00A5652E">
        <w:t xml:space="preserve"> of a device causing/receiving interference where both configurations above apply (</w:t>
      </w:r>
      <w:proofErr w:type="gramStart"/>
      <w:r w:rsidR="00A5652E">
        <w:t>e.g.</w:t>
      </w:r>
      <w:proofErr w:type="gramEnd"/>
      <w:r w:rsidR="00A5652E">
        <w:t xml:space="preserve"> a device is receiving interference from two transmitters, one operating above 27.5 GHz and the other operating below 27.5 GHz), the</w:t>
      </w:r>
      <w:r w:rsidR="00A5652E" w:rsidRPr="00A5652E">
        <w:t xml:space="preserve"> </w:t>
      </w:r>
      <w:r w:rsidR="00A5652E">
        <w:t xml:space="preserve">FR2.120-1 UL-DL pattern is </w:t>
      </w:r>
      <w:r w:rsidR="00B0395E">
        <w:t>to be used</w:t>
      </w:r>
      <w:r w:rsidR="00A5652E">
        <w:t>.</w:t>
      </w:r>
      <w:r w:rsidR="00DA2F9E">
        <w:t xml:space="preserve"> For example, if device ‘A’ is operating above 27.5 GHz and needs to resolve interference between both device ‘B’ which is also operating above 27.5 GHz and device ‘C’ which is operating below 27.5 GHz, all three devices would need to apply the &lt;27.5 GHz fallback synchronisation frame structure, even though there is no contention between devices B and C.</w:t>
      </w:r>
    </w:p>
    <w:p w14:paraId="49CF7BBA" w14:textId="29334321" w:rsidR="00103F94" w:rsidRPr="00103F94" w:rsidRDefault="00103F94" w:rsidP="00977ED9">
      <w:r>
        <w:t>The uplink-downlink configuration</w:t>
      </w:r>
      <w:r w:rsidR="00754AC4">
        <w:t>s</w:t>
      </w:r>
      <w:r>
        <w:t xml:space="preserve"> detailed above </w:t>
      </w:r>
      <w:r w:rsidR="005531D8">
        <w:t>are</w:t>
      </w:r>
      <w:r>
        <w:t xml:space="preserve"> incorporated by reference by 26 GHz band spectrum licences and in the AWL LCD. The ACMA will not make any amendment to the uplink-downlink configuration</w:t>
      </w:r>
      <w:r w:rsidR="00C412F5">
        <w:t>s</w:t>
      </w:r>
      <w:r>
        <w:t xml:space="preserve"> detailed in this section without consulting with </w:t>
      </w:r>
      <w:r w:rsidR="00DA2F9E">
        <w:t>all affected parties</w:t>
      </w:r>
      <w:r>
        <w:t>.</w:t>
      </w:r>
    </w:p>
    <w:p w14:paraId="5EA35D8F" w14:textId="62025DF6" w:rsidR="00CA1C1F" w:rsidRDefault="00F326D2" w:rsidP="00887949">
      <w:pPr>
        <w:pStyle w:val="Heading1"/>
        <w:numPr>
          <w:ilvl w:val="0"/>
          <w:numId w:val="0"/>
        </w:numPr>
        <w:rPr>
          <w:szCs w:val="44"/>
        </w:rPr>
      </w:pPr>
      <w:bookmarkStart w:id="387" w:name="_Ref91152743"/>
      <w:bookmarkStart w:id="388" w:name="_Ref91153040"/>
      <w:bookmarkStart w:id="389" w:name="_Toc94773104"/>
      <w:r>
        <w:rPr>
          <w:szCs w:val="44"/>
        </w:rPr>
        <w:lastRenderedPageBreak/>
        <w:t xml:space="preserve">Appendix </w:t>
      </w:r>
      <w:r w:rsidR="00103F94">
        <w:rPr>
          <w:szCs w:val="44"/>
        </w:rPr>
        <w:t>B</w:t>
      </w:r>
      <w:r>
        <w:rPr>
          <w:szCs w:val="44"/>
        </w:rPr>
        <w:t xml:space="preserve">: </w:t>
      </w:r>
      <w:bookmarkStart w:id="390" w:name="_Ref91151426"/>
      <w:bookmarkEnd w:id="387"/>
      <w:bookmarkEnd w:id="388"/>
      <w:r w:rsidR="00902F82">
        <w:rPr>
          <w:szCs w:val="44"/>
        </w:rPr>
        <w:t>Coexistence</w:t>
      </w:r>
      <w:r w:rsidR="00CA1C1F">
        <w:rPr>
          <w:szCs w:val="44"/>
        </w:rPr>
        <w:t xml:space="preserve"> </w:t>
      </w:r>
      <w:r w:rsidR="00902F82">
        <w:rPr>
          <w:szCs w:val="44"/>
        </w:rPr>
        <w:t>between</w:t>
      </w:r>
      <w:r w:rsidR="00CA1C1F">
        <w:rPr>
          <w:szCs w:val="44"/>
        </w:rPr>
        <w:t xml:space="preserve"> AWL devices operating in the same frequency and area (overlapping AWLs)</w:t>
      </w:r>
      <w:bookmarkEnd w:id="390"/>
      <w:bookmarkEnd w:id="389"/>
    </w:p>
    <w:p w14:paraId="07A2C0F8" w14:textId="77777777" w:rsidR="00CC6778" w:rsidRDefault="00CC6778" w:rsidP="00CC6778">
      <w:r>
        <w:t>In general, a new AWL will not be issued if it would overlap with an existing AWL in both frequency and area. This arrangement provides a degree of exclusive spectrum access to a single licensee which minimises the need for direct device-to-device coordination.</w:t>
      </w:r>
    </w:p>
    <w:p w14:paraId="09D1A3CB" w14:textId="4841227D" w:rsidR="00CC6778" w:rsidRDefault="00CC6778" w:rsidP="00CC6778">
      <w:r>
        <w:t xml:space="preserve">However, in some scenarios, this arrangement may act to unnecessarily restrict spectrum access to a new licensee where there is minimal or no risk of interference. For example, two earth stations can be operated on the same frequency and in the same area without causing interference between the two satellite networks (assuming international coordination has, or is being, completed – see </w:t>
      </w:r>
      <w:r w:rsidRPr="00E31B8E">
        <w:t xml:space="preserve">section </w:t>
      </w:r>
      <w:r w:rsidRPr="00E31B8E">
        <w:fldChar w:fldCharType="begin"/>
      </w:r>
      <w:r w:rsidRPr="00E31B8E">
        <w:instrText xml:space="preserve"> REF _Ref45893953 \r \h </w:instrText>
      </w:r>
      <w:r>
        <w:instrText xml:space="preserve"> \* MERGEFORMAT </w:instrText>
      </w:r>
      <w:r w:rsidRPr="00E31B8E">
        <w:fldChar w:fldCharType="separate"/>
      </w:r>
      <w:r w:rsidR="009E3A92">
        <w:t>3.2</w:t>
      </w:r>
      <w:r w:rsidRPr="00E31B8E">
        <w:fldChar w:fldCharType="end"/>
      </w:r>
      <w:r>
        <w:t>). Similarly, FWA networks might be able to operate with stations in proximity to transmitting earth stations, if they are sited/planned in such a way that avoids interference from the earth station (</w:t>
      </w:r>
      <w:proofErr w:type="gramStart"/>
      <w:r>
        <w:t>i.e.</w:t>
      </w:r>
      <w:proofErr w:type="gramEnd"/>
      <w:r>
        <w:t xml:space="preserve"> ‘work around’ the earth station while still providing a service).</w:t>
      </w:r>
    </w:p>
    <w:p w14:paraId="4A8550FA" w14:textId="77777777" w:rsidR="00CC6778" w:rsidRDefault="00CC6778" w:rsidP="00CC6778">
      <w:pPr>
        <w:spacing w:after="120"/>
      </w:pPr>
      <w:r>
        <w:t>To avoid such unnecessary restrictions, a new AWL may be issued which has a frequency and area that overlaps those of existing AWL(s) for the following scenarios:</w:t>
      </w:r>
    </w:p>
    <w:p w14:paraId="7780636E" w14:textId="5EE5F24C" w:rsidR="00CC6778" w:rsidRDefault="00CC6778" w:rsidP="00CC6778">
      <w:pPr>
        <w:pStyle w:val="ListBullet"/>
      </w:pPr>
      <w:r>
        <w:t>When the proposed licence is an FSS-only AWL – a licence condition is included on the licence which states that the licensee must not cause interference to receivers operating under the AWL being overlapped (further guidance is detailed below).</w:t>
      </w:r>
    </w:p>
    <w:p w14:paraId="13736049" w14:textId="0A268CC3" w:rsidR="00CC6778" w:rsidRDefault="00CC6778" w:rsidP="00CC6778">
      <w:pPr>
        <w:pStyle w:val="ListBullet"/>
        <w:spacing w:after="240"/>
      </w:pPr>
      <w:r>
        <w:t>When the proposed licence overlaps existing AWL(s) which are all FSS-only AWLs – an advisory note is included on all standard-AWLs which details that AWL receivers will be required to accept interference from transmitters operated under the AWL being overlapped (further guidance is detailed below).</w:t>
      </w:r>
    </w:p>
    <w:p w14:paraId="4C418498" w14:textId="4BFCD69F" w:rsidR="00CC6778" w:rsidRDefault="00CC6778" w:rsidP="00CC6778">
      <w:r>
        <w:t xml:space="preserve">This means that </w:t>
      </w:r>
      <w:r w:rsidR="003413B6">
        <w:t xml:space="preserve">the </w:t>
      </w:r>
      <w:r>
        <w:t>ACMA will not issue two (or more) AWLs which authorise wireless broadband services and which overlap in frequency and area, owing to the increased risk of interference between co-frequency wireless broadband services in the same area.</w:t>
      </w:r>
    </w:p>
    <w:p w14:paraId="08889E47" w14:textId="77777777" w:rsidR="00CC6778" w:rsidRDefault="00CC6778" w:rsidP="00CC6778">
      <w:pPr>
        <w:keepNext/>
        <w:keepLines/>
        <w:spacing w:after="120"/>
      </w:pPr>
      <w:r>
        <w:lastRenderedPageBreak/>
        <w:t>This arrangement will:</w:t>
      </w:r>
    </w:p>
    <w:p w14:paraId="7C2CC236" w14:textId="77777777" w:rsidR="00CC6778" w:rsidRDefault="00CC6778" w:rsidP="00CC6778">
      <w:pPr>
        <w:pStyle w:val="ListBullet"/>
        <w:keepNext/>
        <w:keepLines/>
      </w:pPr>
      <w:r>
        <w:t>Allow co-frequency earth stations, which are operated by different licensees, to operate at the same location without impacting terrestrial services operated by an existing licensee.</w:t>
      </w:r>
    </w:p>
    <w:p w14:paraId="5C238934" w14:textId="03F2BC7B" w:rsidR="00CC6778" w:rsidRDefault="00CC6778" w:rsidP="00CC6778">
      <w:pPr>
        <w:pStyle w:val="ListBullet"/>
        <w:keepNext/>
        <w:keepLines/>
      </w:pPr>
      <w:r>
        <w:t>Ensure that access to spectrum by a prospective earth station operator will not be impeded by an AWL used to operate lower-priority services.</w:t>
      </w:r>
    </w:p>
    <w:p w14:paraId="5A5365D5" w14:textId="275146C0" w:rsidR="00CC6778" w:rsidRDefault="00CC6778" w:rsidP="00CC6778">
      <w:pPr>
        <w:pStyle w:val="ListBullet"/>
        <w:keepNext/>
        <w:keepLines/>
      </w:pPr>
      <w:r>
        <w:t xml:space="preserve">Allow FSS-only AWLs to be issued for a frequency range which does not comply with the channel raster, limited to AWLs that authorise operation in sole-primary frequencies/areas and in 29.5-30 GHz. </w:t>
      </w:r>
    </w:p>
    <w:p w14:paraId="4C768354" w14:textId="77777777" w:rsidR="00CC6778" w:rsidRDefault="00CC6778" w:rsidP="00CC6778">
      <w:pPr>
        <w:pStyle w:val="ListBulletLast"/>
        <w:keepNext/>
        <w:keepLines/>
      </w:pPr>
      <w:r>
        <w:t>Allow a new wireless broadband service to be deployed on a ‘best-efforts’ basis by accepting (and/or planning around) any potential interference from earth stations operating under an existing AWL which is being overlapped.</w:t>
      </w:r>
    </w:p>
    <w:p w14:paraId="79991D61" w14:textId="54C54B17" w:rsidR="00CC6778" w:rsidRDefault="00CC6778" w:rsidP="00CC6778">
      <w:r>
        <w:t xml:space="preserve">These arrangements are enacted through the licence assignment instructions in section </w:t>
      </w:r>
      <w:r w:rsidR="001A2713">
        <w:fldChar w:fldCharType="begin"/>
      </w:r>
      <w:r w:rsidR="001A2713">
        <w:instrText xml:space="preserve"> REF _Ref22126455 \r \h </w:instrText>
      </w:r>
      <w:r w:rsidR="001A2713">
        <w:fldChar w:fldCharType="separate"/>
      </w:r>
      <w:r w:rsidR="009E3A92">
        <w:t>2.3.1</w:t>
      </w:r>
      <w:r w:rsidR="001A2713">
        <w:fldChar w:fldCharType="end"/>
      </w:r>
      <w:r>
        <w:t xml:space="preserve"> and the application of the ‘FSS-only licence condition’ and the relevant advisory note (detailed in sections </w:t>
      </w:r>
      <w:r w:rsidR="001A2713">
        <w:fldChar w:fldCharType="begin"/>
      </w:r>
      <w:r w:rsidR="001A2713">
        <w:instrText xml:space="preserve"> REF _Ref52367438 \r \h </w:instrText>
      </w:r>
      <w:r w:rsidR="001A2713">
        <w:fldChar w:fldCharType="separate"/>
      </w:r>
      <w:r w:rsidR="009E3A92">
        <w:t>2.3.4</w:t>
      </w:r>
      <w:r w:rsidR="001A2713">
        <w:fldChar w:fldCharType="end"/>
      </w:r>
      <w:r>
        <w:t xml:space="preserve"> and </w:t>
      </w:r>
      <w:r w:rsidR="001A2713">
        <w:fldChar w:fldCharType="begin"/>
      </w:r>
      <w:r w:rsidR="001A2713">
        <w:instrText xml:space="preserve"> REF _Ref91078312 \r \h </w:instrText>
      </w:r>
      <w:r w:rsidR="001A2713">
        <w:fldChar w:fldCharType="separate"/>
      </w:r>
      <w:r w:rsidR="009E3A92">
        <w:t>2.4.4</w:t>
      </w:r>
      <w:r w:rsidR="001A2713">
        <w:fldChar w:fldCharType="end"/>
      </w:r>
      <w:r>
        <w:t xml:space="preserve"> respectively). An overview of these arrangements is provided in Figure </w:t>
      </w:r>
      <w:r w:rsidR="001A2713">
        <w:t>5</w:t>
      </w:r>
      <w:r>
        <w:t>, including the notes which outline requirements for devices operating under overlapping AWL, including devices located outside of the frequency and area being overlapped.</w:t>
      </w:r>
    </w:p>
    <w:p w14:paraId="25EF7465" w14:textId="77777777" w:rsidR="00CC6778" w:rsidRDefault="00CC6778" w:rsidP="00CC6778"/>
    <w:p w14:paraId="6E50FF43" w14:textId="77777777" w:rsidR="00CC6778" w:rsidRDefault="00CC6778" w:rsidP="00CC6778"/>
    <w:p w14:paraId="345D8C80" w14:textId="77777777" w:rsidR="00CC6778" w:rsidRDefault="00CC6778" w:rsidP="00CC6778"/>
    <w:p w14:paraId="03E3D85B" w14:textId="77777777" w:rsidR="00CC6778" w:rsidRDefault="00CC6778" w:rsidP="00CC6778"/>
    <w:p w14:paraId="56EFC3F8" w14:textId="77777777" w:rsidR="00CC6778" w:rsidRDefault="00CC6778" w:rsidP="00CC6778"/>
    <w:p w14:paraId="473DE1AD" w14:textId="77777777" w:rsidR="00CC6778" w:rsidRDefault="00CC6778" w:rsidP="00CC6778"/>
    <w:p w14:paraId="2FCCADD9" w14:textId="77777777" w:rsidR="00CC6778" w:rsidRDefault="00CC6778" w:rsidP="00CC6778">
      <w:pPr>
        <w:pStyle w:val="ACMAFigureHeader"/>
        <w:keepNext/>
        <w:keepLines/>
      </w:pPr>
      <w:r>
        <w:lastRenderedPageBreak/>
        <w:t>Arrangements for overlapping AWL (see notes)</w:t>
      </w:r>
    </w:p>
    <w:p w14:paraId="5A36277C" w14:textId="3586C354" w:rsidR="00CC6778" w:rsidRDefault="00CC6778" w:rsidP="00CC6778">
      <w:pPr>
        <w:pStyle w:val="Captionfigure"/>
        <w:keepLines/>
        <w:numPr>
          <w:ilvl w:val="0"/>
          <w:numId w:val="0"/>
        </w:numPr>
        <w:ind w:left="1021" w:hanging="1021"/>
      </w:pPr>
      <w:r w:rsidRPr="005447BE">
        <w:t xml:space="preserve"> </w:t>
      </w:r>
      <w:r w:rsidR="00C54589">
        <w:rPr>
          <w:noProof/>
        </w:rPr>
        <w:drawing>
          <wp:inline distT="0" distB="0" distL="0" distR="0" wp14:anchorId="1DD852FC" wp14:editId="41D83266">
            <wp:extent cx="4871085" cy="5737225"/>
            <wp:effectExtent l="0" t="0" r="5715"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1085" cy="5737225"/>
                    </a:xfrm>
                    <a:prstGeom prst="rect">
                      <a:avLst/>
                    </a:prstGeom>
                    <a:noFill/>
                    <a:ln>
                      <a:noFill/>
                    </a:ln>
                  </pic:spPr>
                </pic:pic>
              </a:graphicData>
            </a:graphic>
          </wp:inline>
        </w:drawing>
      </w:r>
    </w:p>
    <w:p w14:paraId="6A95AF17" w14:textId="77777777" w:rsidR="00CC6778" w:rsidRDefault="00CC6778" w:rsidP="00CC6778">
      <w:pPr>
        <w:pStyle w:val="Captionfigure"/>
        <w:numPr>
          <w:ilvl w:val="0"/>
          <w:numId w:val="0"/>
        </w:numPr>
        <w:ind w:left="851" w:hanging="851"/>
        <w:rPr>
          <w:b w:val="0"/>
          <w:bCs w:val="0"/>
        </w:rPr>
      </w:pPr>
    </w:p>
    <w:p w14:paraId="0B6AE68A" w14:textId="7BA54E7E" w:rsidR="00CC6778" w:rsidRDefault="00CC6778" w:rsidP="00CC6778">
      <w:pPr>
        <w:pStyle w:val="ListBullet"/>
        <w:numPr>
          <w:ilvl w:val="0"/>
          <w:numId w:val="0"/>
        </w:numPr>
        <w:ind w:left="284"/>
      </w:pPr>
      <w:r w:rsidRPr="00A21EB4">
        <w:t>Note 1</w:t>
      </w:r>
      <w:r>
        <w:t>:</w:t>
      </w:r>
      <w:r>
        <w:rPr>
          <w:b/>
          <w:bCs/>
        </w:rPr>
        <w:tab/>
      </w:r>
      <w:r w:rsidRPr="00E905F5">
        <w:t>The licensee</w:t>
      </w:r>
      <w:r>
        <w:t xml:space="preserve"> of the FSS-only AWL must not cause harmful interference to existing and future AWL receivers (in a co-primary frequency/area) operating under an existing AWL which is being overlapped.</w:t>
      </w:r>
      <w:r>
        <w:rPr>
          <w:b/>
          <w:bCs/>
        </w:rPr>
        <w:t xml:space="preserve"> </w:t>
      </w:r>
      <w:r w:rsidRPr="00E905F5">
        <w:t>This applies</w:t>
      </w:r>
      <w:r>
        <w:t xml:space="preserve"> for interference from:</w:t>
      </w:r>
    </w:p>
    <w:p w14:paraId="1F1B062A" w14:textId="77777777" w:rsidR="00CC6778" w:rsidRDefault="00CC6778" w:rsidP="00CC6778">
      <w:pPr>
        <w:pStyle w:val="ListBullet"/>
        <w:tabs>
          <w:tab w:val="clear" w:pos="295"/>
          <w:tab w:val="num" w:pos="579"/>
        </w:tabs>
        <w:ind w:left="579"/>
      </w:pPr>
      <w:r>
        <w:t>A transmitter located inside the overlapped area</w:t>
      </w:r>
      <w:r>
        <w:rPr>
          <w:rStyle w:val="FootnoteReference"/>
        </w:rPr>
        <w:footnoteReference w:id="36"/>
      </w:r>
      <w:r>
        <w:t xml:space="preserve"> to:</w:t>
      </w:r>
    </w:p>
    <w:p w14:paraId="6AC83E6A" w14:textId="77777777" w:rsidR="00CC6778" w:rsidRDefault="00CC6778" w:rsidP="00CC6778">
      <w:pPr>
        <w:pStyle w:val="ListBullet"/>
        <w:tabs>
          <w:tab w:val="clear" w:pos="295"/>
          <w:tab w:val="num" w:pos="863"/>
        </w:tabs>
        <w:ind w:left="863"/>
      </w:pPr>
      <w:r>
        <w:t>A co-channel receiver located inside or outside the overlapped area.</w:t>
      </w:r>
    </w:p>
    <w:p w14:paraId="1F0F5B73" w14:textId="77777777" w:rsidR="00CC6778" w:rsidRDefault="00CC6778" w:rsidP="00103034">
      <w:pPr>
        <w:pStyle w:val="ListBullet"/>
        <w:tabs>
          <w:tab w:val="clear" w:pos="295"/>
          <w:tab w:val="num" w:pos="863"/>
        </w:tabs>
        <w:ind w:left="863"/>
      </w:pPr>
      <w:r>
        <w:t>An adjacent-channel receiver located inside the overlapped area</w:t>
      </w:r>
    </w:p>
    <w:p w14:paraId="2B3416D5" w14:textId="77777777" w:rsidR="00CC6778" w:rsidRDefault="00CC6778" w:rsidP="00103034">
      <w:pPr>
        <w:pStyle w:val="ListBullet"/>
        <w:tabs>
          <w:tab w:val="num" w:pos="863"/>
        </w:tabs>
        <w:ind w:left="579"/>
      </w:pPr>
      <w:r>
        <w:t>A transmitter located outside the overlapped area to a co-channel receiver located inside the overlapped area</w:t>
      </w:r>
    </w:p>
    <w:p w14:paraId="085CAADF" w14:textId="2F02F1F7" w:rsidR="00CC6778" w:rsidRDefault="00CC6778" w:rsidP="00103034">
      <w:pPr>
        <w:pStyle w:val="ListBullet"/>
        <w:numPr>
          <w:ilvl w:val="0"/>
          <w:numId w:val="0"/>
        </w:numPr>
        <w:ind w:left="295" w:hanging="11"/>
      </w:pPr>
      <w:r>
        <w:lastRenderedPageBreak/>
        <w:t xml:space="preserve">Coexistence between transmitters and receivers not listed above is managed via the first-in-time device registration process detailed in chapter </w:t>
      </w:r>
      <w:r w:rsidR="00476E59">
        <w:fldChar w:fldCharType="begin"/>
      </w:r>
      <w:r w:rsidR="00476E59">
        <w:instrText xml:space="preserve"> REF _Ref83896996 \r \h </w:instrText>
      </w:r>
      <w:r w:rsidR="00476E59">
        <w:fldChar w:fldCharType="separate"/>
      </w:r>
      <w:r w:rsidR="009E3A92">
        <w:t>3</w:t>
      </w:r>
      <w:r w:rsidR="00476E59">
        <w:fldChar w:fldCharType="end"/>
      </w:r>
      <w:r>
        <w:t>.</w:t>
      </w:r>
    </w:p>
    <w:p w14:paraId="6613D70B" w14:textId="77777777" w:rsidR="00CC6778" w:rsidRDefault="00CC6778" w:rsidP="00CC6778">
      <w:pPr>
        <w:pStyle w:val="Captionfigure"/>
        <w:numPr>
          <w:ilvl w:val="0"/>
          <w:numId w:val="0"/>
        </w:numPr>
        <w:ind w:left="851" w:hanging="851"/>
        <w:rPr>
          <w:b w:val="0"/>
        </w:rPr>
      </w:pPr>
    </w:p>
    <w:p w14:paraId="222DBD61" w14:textId="01A18E2D" w:rsidR="00CC6778" w:rsidRDefault="00CC6778" w:rsidP="00103034">
      <w:pPr>
        <w:pStyle w:val="ListBullet"/>
        <w:numPr>
          <w:ilvl w:val="0"/>
          <w:numId w:val="0"/>
        </w:numPr>
        <w:ind w:left="284"/>
      </w:pPr>
      <w:r>
        <w:t>Note 2:  Standard-AWLs have an advisory note which states that AWL receivers communicating with transmitters operating under the licence will not be afforded protection from existing and future transmitters operating under an existing AWL which is being overlapped.</w:t>
      </w:r>
      <w:r>
        <w:rPr>
          <w:b/>
          <w:bCs/>
        </w:rPr>
        <w:t xml:space="preserve"> </w:t>
      </w:r>
      <w:r w:rsidRPr="00557F9B">
        <w:t xml:space="preserve">This applies for interference </w:t>
      </w:r>
      <w:r>
        <w:t>to</w:t>
      </w:r>
      <w:r w:rsidRPr="00557F9B">
        <w:t>:</w:t>
      </w:r>
    </w:p>
    <w:p w14:paraId="4FC6F9CB" w14:textId="77777777" w:rsidR="00CC6778" w:rsidRDefault="00CC6778" w:rsidP="00CC6778">
      <w:pPr>
        <w:pStyle w:val="ListBullet"/>
        <w:tabs>
          <w:tab w:val="clear" w:pos="295"/>
          <w:tab w:val="num" w:pos="579"/>
        </w:tabs>
        <w:ind w:left="579"/>
      </w:pPr>
      <w:r>
        <w:t>A receiver located inside the overlapped area from:</w:t>
      </w:r>
    </w:p>
    <w:p w14:paraId="1F69CC7F" w14:textId="77777777" w:rsidR="00CC6778" w:rsidRDefault="00CC6778" w:rsidP="00CC6778">
      <w:pPr>
        <w:pStyle w:val="ListBullet"/>
        <w:tabs>
          <w:tab w:val="clear" w:pos="295"/>
          <w:tab w:val="num" w:pos="863"/>
        </w:tabs>
        <w:ind w:left="863"/>
      </w:pPr>
      <w:r>
        <w:t>A co-channel transmitter located inside or outside the overlapped area</w:t>
      </w:r>
    </w:p>
    <w:p w14:paraId="38D6DF42" w14:textId="77777777" w:rsidR="00CC6778" w:rsidRDefault="00CC6778" w:rsidP="00103034">
      <w:pPr>
        <w:pStyle w:val="ListBullet"/>
        <w:tabs>
          <w:tab w:val="clear" w:pos="295"/>
          <w:tab w:val="num" w:pos="863"/>
        </w:tabs>
        <w:ind w:left="863"/>
      </w:pPr>
      <w:r>
        <w:t>An adjacent-channel transmitter located inside the overlapped area</w:t>
      </w:r>
    </w:p>
    <w:p w14:paraId="263FA685" w14:textId="77777777" w:rsidR="00CC6778" w:rsidRDefault="00CC6778" w:rsidP="00103034">
      <w:pPr>
        <w:pStyle w:val="ListBullet"/>
        <w:tabs>
          <w:tab w:val="num" w:pos="863"/>
        </w:tabs>
        <w:ind w:left="579"/>
      </w:pPr>
      <w:r>
        <w:t>A receiver located outside the overlapped area from a co-channel transmitter located inside the overlapped area.</w:t>
      </w:r>
    </w:p>
    <w:p w14:paraId="72E3F0FD" w14:textId="42A70A1F" w:rsidR="00CC6778" w:rsidRDefault="00CC6778" w:rsidP="00CC6778">
      <w:pPr>
        <w:pStyle w:val="ListBullet"/>
        <w:numPr>
          <w:ilvl w:val="0"/>
          <w:numId w:val="0"/>
        </w:numPr>
        <w:ind w:left="284"/>
      </w:pPr>
      <w:r>
        <w:t>Coexistence between transmitters and receivers not listed above is managed via the first-in-time device registration process detailed in chapter</w:t>
      </w:r>
      <w:r w:rsidR="00476E59">
        <w:t xml:space="preserve"> </w:t>
      </w:r>
      <w:r w:rsidR="00476E59">
        <w:fldChar w:fldCharType="begin"/>
      </w:r>
      <w:r w:rsidR="00476E59">
        <w:instrText xml:space="preserve"> REF _Ref83896996 \r \h </w:instrText>
      </w:r>
      <w:r w:rsidR="00476E59">
        <w:fldChar w:fldCharType="separate"/>
      </w:r>
      <w:r w:rsidR="009E3A92">
        <w:t>3</w:t>
      </w:r>
      <w:r w:rsidR="00476E59">
        <w:fldChar w:fldCharType="end"/>
      </w:r>
      <w:r>
        <w:t>.</w:t>
      </w:r>
    </w:p>
    <w:p w14:paraId="2DA10E5A" w14:textId="77777777" w:rsidR="00CC6778" w:rsidRDefault="00CC6778" w:rsidP="00103034">
      <w:pPr>
        <w:pStyle w:val="ListBullet"/>
        <w:numPr>
          <w:ilvl w:val="0"/>
          <w:numId w:val="0"/>
        </w:numPr>
        <w:ind w:left="284"/>
      </w:pPr>
    </w:p>
    <w:p w14:paraId="16B050AA" w14:textId="77777777" w:rsidR="00CC6778" w:rsidRDefault="00CC6778" w:rsidP="00CC6778">
      <w:pPr>
        <w:pStyle w:val="ACMAFigureHeader"/>
      </w:pPr>
      <w:r>
        <w:t>Example of ‘overlapped area’</w:t>
      </w:r>
    </w:p>
    <w:p w14:paraId="0513458E" w14:textId="1DD0DA24" w:rsidR="00CC6778" w:rsidRDefault="00632335" w:rsidP="00CC6778">
      <w:pPr>
        <w:pStyle w:val="Paragraph"/>
      </w:pPr>
      <w:r>
        <w:rPr>
          <w:noProof/>
        </w:rPr>
        <mc:AlternateContent>
          <mc:Choice Requires="wps">
            <w:drawing>
              <wp:anchor distT="0" distB="0" distL="114300" distR="114300" simplePos="0" relativeHeight="251671562" behindDoc="0" locked="0" layoutInCell="1" allowOverlap="1" wp14:anchorId="31D123E4" wp14:editId="565571FE">
                <wp:simplePos x="0" y="0"/>
                <wp:positionH relativeFrom="column">
                  <wp:posOffset>441960</wp:posOffset>
                </wp:positionH>
                <wp:positionV relativeFrom="paragraph">
                  <wp:posOffset>92075</wp:posOffset>
                </wp:positionV>
                <wp:extent cx="2876550" cy="304800"/>
                <wp:effectExtent l="0" t="0" r="19050" b="19050"/>
                <wp:wrapNone/>
                <wp:docPr id="61" name="Text Box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76550" cy="304800"/>
                        </a:xfrm>
                        <a:prstGeom prst="rect">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7A5F56CA" w14:textId="704D5BEF" w:rsidR="00CC6778" w:rsidRDefault="00CC6778" w:rsidP="00CC6778">
                            <w:r>
                              <w:t xml:space="preserve">Geographic area authorised by </w:t>
                            </w:r>
                            <w:r w:rsidR="002A7FDC">
                              <w:t>L</w:t>
                            </w:r>
                            <w:r>
                              <w:t xml:space="preserve">icence </w:t>
                            </w:r>
                            <w:r w:rsidR="00632335">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123E4" id="_x0000_t202" coordsize="21600,21600" o:spt="202" path="m,l,21600r21600,l21600,xe">
                <v:stroke joinstyle="miter"/>
                <v:path gradientshapeok="t" o:connecttype="rect"/>
              </v:shapetype>
              <v:shape id="Text Box 61" o:spid="_x0000_s1030" type="#_x0000_t202" alt="&quot;&quot;" style="position:absolute;margin-left:34.8pt;margin-top:7.25pt;width:226.5pt;height:24pt;z-index:251671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" fillcolor="white [3201]" strokecolor="#00b0f0" strokeweight="2pt">
                <v:textbox>
                  <w:txbxContent>
                    <w:p w14:paraId="7A5F56CA" w14:textId="704D5BEF" w:rsidR="00CC6778" w:rsidRDefault="00CC6778" w:rsidP="00CC6778">
                      <w:r>
                        <w:t xml:space="preserve">Geographic area authorised by </w:t>
                      </w:r>
                      <w:r w:rsidR="002A7FDC">
                        <w:t>L</w:t>
                      </w:r>
                      <w:r>
                        <w:t xml:space="preserve">icence </w:t>
                      </w:r>
                      <w:r w:rsidR="00632335">
                        <w:t>1</w:t>
                      </w:r>
                    </w:p>
                  </w:txbxContent>
                </v:textbox>
              </v:shape>
            </w:pict>
          </mc:Fallback>
        </mc:AlternateContent>
      </w:r>
      <w:r w:rsidR="00CC6778">
        <w:rPr>
          <w:noProof/>
        </w:rPr>
        <mc:AlternateContent>
          <mc:Choice Requires="wps">
            <w:drawing>
              <wp:anchor distT="0" distB="0" distL="114300" distR="114300" simplePos="0" relativeHeight="251668490" behindDoc="0" locked="0" layoutInCell="1" allowOverlap="1" wp14:anchorId="3E10D507" wp14:editId="505B186A">
                <wp:simplePos x="0" y="0"/>
                <wp:positionH relativeFrom="column">
                  <wp:posOffset>1889760</wp:posOffset>
                </wp:positionH>
                <wp:positionV relativeFrom="paragraph">
                  <wp:posOffset>895986</wp:posOffset>
                </wp:positionV>
                <wp:extent cx="1724025" cy="1009650"/>
                <wp:effectExtent l="0" t="0" r="9525" b="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4025" cy="1009650"/>
                        </a:xfrm>
                        <a:prstGeom prst="rect">
                          <a:avLst/>
                        </a:prstGeom>
                        <a:pattFill prst="dashUpDiag">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984D3" id="Rectangle 56" o:spid="_x0000_s1026" alt="&quot;&quot;" style="position:absolute;margin-left:148.8pt;margin-top:70.55pt;width:135.75pt;height:79.5pt;z-index:25166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" fillcolor="#4f81bd [3204]" stroked="f" strokeweight="2pt">
                <v:fill r:id="rId57" o:title="" color2="white [3212]" type="pattern"/>
              </v:rect>
            </w:pict>
          </mc:Fallback>
        </mc:AlternateContent>
      </w:r>
      <w:r w:rsidR="00CC6778">
        <w:rPr>
          <w:noProof/>
        </w:rPr>
        <mc:AlternateContent>
          <mc:Choice Requires="wps">
            <w:drawing>
              <wp:anchor distT="0" distB="0" distL="114300" distR="114300" simplePos="0" relativeHeight="251672586" behindDoc="0" locked="0" layoutInCell="1" allowOverlap="1" wp14:anchorId="130F08EA" wp14:editId="27030893">
                <wp:simplePos x="0" y="0"/>
                <wp:positionH relativeFrom="column">
                  <wp:posOffset>2156460</wp:posOffset>
                </wp:positionH>
                <wp:positionV relativeFrom="paragraph">
                  <wp:posOffset>2384425</wp:posOffset>
                </wp:positionV>
                <wp:extent cx="2800350" cy="304800"/>
                <wp:effectExtent l="0" t="0" r="19050" b="19050"/>
                <wp:wrapNone/>
                <wp:docPr id="57" name="Text 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00350" cy="304800"/>
                        </a:xfrm>
                        <a:prstGeom prst="rect">
                          <a:avLst/>
                        </a:prstGeom>
                        <a:ln>
                          <a:solidFill>
                            <a:srgbClr val="FF0000"/>
                          </a:solidFill>
                        </a:ln>
                      </wps:spPr>
                      <wps:style>
                        <a:lnRef idx="2">
                          <a:schemeClr val="accent5"/>
                        </a:lnRef>
                        <a:fillRef idx="1">
                          <a:schemeClr val="lt1"/>
                        </a:fillRef>
                        <a:effectRef idx="0">
                          <a:schemeClr val="accent5"/>
                        </a:effectRef>
                        <a:fontRef idx="minor">
                          <a:schemeClr val="dk1"/>
                        </a:fontRef>
                      </wps:style>
                      <wps:txbx>
                        <w:txbxContent>
                          <w:p w14:paraId="497F1F83" w14:textId="77777777" w:rsidR="00CC6778" w:rsidRDefault="00CC6778" w:rsidP="00CC6778">
                            <w:r>
                              <w:t>Geographic area authorised by licence 2</w:t>
                            </w:r>
                          </w:p>
                          <w:p w14:paraId="2CE8CF24" w14:textId="77777777" w:rsidR="00CC6778" w:rsidRDefault="00CC6778" w:rsidP="00CC67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F08EA" id="Text Box 57" o:spid="_x0000_s1031" type="#_x0000_t202" alt="&quot;&quot;" style="position:absolute;margin-left:169.8pt;margin-top:187.75pt;width:220.5pt;height:24pt;z-index:251672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" fillcolor="white [3201]" strokecolor="red" strokeweight="2pt">
                <v:textbox>
                  <w:txbxContent>
                    <w:p w14:paraId="497F1F83" w14:textId="77777777" w:rsidR="00CC6778" w:rsidRDefault="00CC6778" w:rsidP="00CC6778">
                      <w:r>
                        <w:t>Geographic area authorised by licence 2</w:t>
                      </w:r>
                    </w:p>
                    <w:p w14:paraId="2CE8CF24" w14:textId="77777777" w:rsidR="00CC6778" w:rsidRDefault="00CC6778" w:rsidP="00CC6778"/>
                  </w:txbxContent>
                </v:textbox>
              </v:shape>
            </w:pict>
          </mc:Fallback>
        </mc:AlternateContent>
      </w:r>
      <w:r w:rsidR="00CC6778">
        <w:rPr>
          <w:noProof/>
        </w:rPr>
        <mc:AlternateContent>
          <mc:Choice Requires="wps">
            <w:drawing>
              <wp:anchor distT="0" distB="0" distL="114300" distR="114300" simplePos="0" relativeHeight="251670538" behindDoc="0" locked="0" layoutInCell="1" allowOverlap="1" wp14:anchorId="1B6655CA" wp14:editId="51C48426">
                <wp:simplePos x="0" y="0"/>
                <wp:positionH relativeFrom="column">
                  <wp:posOffset>1889760</wp:posOffset>
                </wp:positionH>
                <wp:positionV relativeFrom="paragraph">
                  <wp:posOffset>895985</wp:posOffset>
                </wp:positionV>
                <wp:extent cx="3219450" cy="1647825"/>
                <wp:effectExtent l="0" t="0" r="19050" b="28575"/>
                <wp:wrapTopAndBottom/>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9450" cy="1647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EE280" id="Rectangle 58" o:spid="_x0000_s1026" alt="&quot;&quot;" style="position:absolute;margin-left:148.8pt;margin-top:70.55pt;width:253.5pt;height:129.75pt;z-index:251670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" filled="f" strokecolor="red" strokeweight="2pt">
                <w10:wrap type="topAndBottom"/>
              </v:rect>
            </w:pict>
          </mc:Fallback>
        </mc:AlternateContent>
      </w:r>
      <w:r w:rsidR="00CC6778">
        <w:rPr>
          <w:noProof/>
        </w:rPr>
        <mc:AlternateContent>
          <mc:Choice Requires="wps">
            <w:drawing>
              <wp:anchor distT="0" distB="0" distL="114300" distR="114300" simplePos="0" relativeHeight="251669514" behindDoc="0" locked="0" layoutInCell="1" allowOverlap="1" wp14:anchorId="571DCE4C" wp14:editId="7B0E973E">
                <wp:simplePos x="0" y="0"/>
                <wp:positionH relativeFrom="column">
                  <wp:posOffset>165735</wp:posOffset>
                </wp:positionH>
                <wp:positionV relativeFrom="paragraph">
                  <wp:posOffset>229235</wp:posOffset>
                </wp:positionV>
                <wp:extent cx="3448050" cy="1676400"/>
                <wp:effectExtent l="0" t="0" r="19050" b="19050"/>
                <wp:wrapTopAndBottom/>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48050" cy="16764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10C4" id="Rectangle 59" o:spid="_x0000_s1026" alt="&quot;&quot;" style="position:absolute;margin-left:13.05pt;margin-top:18.05pt;width:271.5pt;height:132pt;z-index:251669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" filled="f" strokecolor="#00b0f0" strokeweight="2pt">
                <w10:wrap type="topAndBottom"/>
              </v:rect>
            </w:pict>
          </mc:Fallback>
        </mc:AlternateContent>
      </w:r>
      <w:r w:rsidR="00CC6778">
        <w:rPr>
          <w:noProof/>
        </w:rPr>
        <mc:AlternateContent>
          <mc:Choice Requires="wps">
            <w:drawing>
              <wp:anchor distT="0" distB="0" distL="114300" distR="114300" simplePos="0" relativeHeight="251674634" behindDoc="0" locked="0" layoutInCell="1" allowOverlap="1" wp14:anchorId="2811D673" wp14:editId="79CD25DF">
                <wp:simplePos x="0" y="0"/>
                <wp:positionH relativeFrom="column">
                  <wp:posOffset>3404235</wp:posOffset>
                </wp:positionH>
                <wp:positionV relativeFrom="paragraph">
                  <wp:posOffset>803911</wp:posOffset>
                </wp:positionV>
                <wp:extent cx="723900" cy="438150"/>
                <wp:effectExtent l="38100" t="0" r="19050" b="57150"/>
                <wp:wrapNone/>
                <wp:docPr id="60" name="Straight Arrow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23900" cy="43815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9B6528" id="_x0000_t32" coordsize="21600,21600" o:spt="32" o:oned="t" path="m,l21600,21600e" filled="f">
                <v:path arrowok="t" fillok="f" o:connecttype="none"/>
                <o:lock v:ext="edit" shapetype="t"/>
              </v:shapetype>
              <v:shape id="Straight Arrow Connector 60" o:spid="_x0000_s1026" type="#_x0000_t32" alt="&quot;&quot;" style="position:absolute;margin-left:268.05pt;margin-top:63.3pt;width:57pt;height:34.5pt;flip:x;z-index:251674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" strokecolor="black [3040]" strokeweight="2pt">
                <v:stroke endarrow="block"/>
              </v:shape>
            </w:pict>
          </mc:Fallback>
        </mc:AlternateContent>
      </w:r>
      <w:r w:rsidR="00CC6778">
        <w:rPr>
          <w:noProof/>
        </w:rPr>
        <mc:AlternateContent>
          <mc:Choice Requires="wps">
            <w:drawing>
              <wp:anchor distT="0" distB="0" distL="114300" distR="114300" simplePos="0" relativeHeight="251673610" behindDoc="0" locked="0" layoutInCell="1" allowOverlap="1" wp14:anchorId="130D0CC4" wp14:editId="3A6CA713">
                <wp:simplePos x="0" y="0"/>
                <wp:positionH relativeFrom="column">
                  <wp:posOffset>4128135</wp:posOffset>
                </wp:positionH>
                <wp:positionV relativeFrom="paragraph">
                  <wp:posOffset>497840</wp:posOffset>
                </wp:positionV>
                <wp:extent cx="1419225" cy="304800"/>
                <wp:effectExtent l="0" t="0" r="28575" b="19050"/>
                <wp:wrapNone/>
                <wp:docPr id="62" name="Text Box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9225" cy="304800"/>
                        </a:xfrm>
                        <a:prstGeom prst="rect">
                          <a:avLst/>
                        </a:prstGeom>
                        <a:solidFill>
                          <a:schemeClr val="lt1"/>
                        </a:solidFill>
                        <a:ln w="6350">
                          <a:solidFill>
                            <a:prstClr val="black"/>
                          </a:solidFill>
                        </a:ln>
                      </wps:spPr>
                      <wps:txbx>
                        <w:txbxContent>
                          <w:p w14:paraId="369184DC" w14:textId="77777777" w:rsidR="00CC6778" w:rsidRDefault="00CC6778" w:rsidP="00CC6778">
                            <w:r>
                              <w:t>Overlapped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D0CC4" id="Text Box 62" o:spid="_x0000_s1032" type="#_x0000_t202" alt="&quot;&quot;" style="position:absolute;margin-left:325.05pt;margin-top:39.2pt;width:111.75pt;height:24pt;z-index:251673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" fillcolor="white [3201]" strokeweight=".5pt">
                <v:textbox>
                  <w:txbxContent>
                    <w:p w14:paraId="369184DC" w14:textId="77777777" w:rsidR="00CC6778" w:rsidRDefault="00CC6778" w:rsidP="00CC6778">
                      <w:r>
                        <w:t>Overlapped area</w:t>
                      </w:r>
                    </w:p>
                  </w:txbxContent>
                </v:textbox>
              </v:shape>
            </w:pict>
          </mc:Fallback>
        </mc:AlternateContent>
      </w:r>
    </w:p>
    <w:p w14:paraId="4F600A1D" w14:textId="77777777" w:rsidR="00CC6778" w:rsidRDefault="00CC6778" w:rsidP="00CC6778">
      <w:pPr>
        <w:keepNext/>
        <w:keepLines/>
        <w:spacing w:after="120"/>
      </w:pPr>
    </w:p>
    <w:p w14:paraId="3270D6D9" w14:textId="77777777" w:rsidR="00CC6778" w:rsidRPr="00AE3701" w:rsidRDefault="00CC6778" w:rsidP="00CC6778"/>
    <w:p w14:paraId="203624DC" w14:textId="16F8AA34" w:rsidR="002A7FDC" w:rsidRDefault="00F51A34">
      <w:r>
        <w:t>As evident in note</w:t>
      </w:r>
      <w:r w:rsidR="00E813A7">
        <w:t>s</w:t>
      </w:r>
      <w:r>
        <w:t xml:space="preserve"> 1 and 2 above, in some cases</w:t>
      </w:r>
      <w:r w:rsidR="00E813A7">
        <w:t xml:space="preserve"> the</w:t>
      </w:r>
      <w:r>
        <w:t xml:space="preserve"> coexistence arrangements </w:t>
      </w:r>
      <w:r w:rsidR="00E813A7">
        <w:t xml:space="preserve">for overlapping AWLs </w:t>
      </w:r>
      <w:r>
        <w:t xml:space="preserve">also </w:t>
      </w:r>
      <w:r w:rsidR="00E813A7">
        <w:t>appl</w:t>
      </w:r>
      <w:r w:rsidR="00632335">
        <w:t>ies</w:t>
      </w:r>
      <w:r w:rsidR="00E813A7">
        <w:t xml:space="preserve"> to</w:t>
      </w:r>
      <w:r>
        <w:t xml:space="preserve"> devices which are not located in an overlapped area. These devices </w:t>
      </w:r>
      <w:r w:rsidR="00E813A7">
        <w:t>have been included as</w:t>
      </w:r>
      <w:r>
        <w:t xml:space="preserve"> some coexistence arrangements which would apply to non-overlapping AWLs, </w:t>
      </w:r>
      <w:r w:rsidR="0081109A">
        <w:t>do not afford an adequate level of protection</w:t>
      </w:r>
      <w:r>
        <w:t xml:space="preserve"> when licen</w:t>
      </w:r>
      <w:r w:rsidR="00E813A7">
        <w:t>ce</w:t>
      </w:r>
      <w:r>
        <w:t xml:space="preserve">s are overlapped. </w:t>
      </w:r>
    </w:p>
    <w:p w14:paraId="7BEA92CC" w14:textId="3798E5CF" w:rsidR="00F51A34" w:rsidRPr="00CA1C1F" w:rsidRDefault="00F51A34" w:rsidP="00103034">
      <w:r>
        <w:t xml:space="preserve">For example, </w:t>
      </w:r>
      <w:r w:rsidR="002A7FDC">
        <w:t>referring to Figure 6,</w:t>
      </w:r>
      <w:r w:rsidR="0081109A">
        <w:t xml:space="preserve"> services operating in the overlapped area under Licence 1 are not provided adjacent-area</w:t>
      </w:r>
      <w:r w:rsidR="002A7FDC">
        <w:t xml:space="preserve"> protection</w:t>
      </w:r>
      <w:r w:rsidR="0081109A">
        <w:t xml:space="preserve"> (as detailed in</w:t>
      </w:r>
      <w:r w:rsidR="0081109A" w:rsidRPr="0081109A">
        <w:t xml:space="preserve"> </w:t>
      </w:r>
      <w:r w:rsidR="0081109A">
        <w:t xml:space="preserve">section </w:t>
      </w:r>
      <w:r w:rsidR="0081109A">
        <w:fldChar w:fldCharType="begin"/>
      </w:r>
      <w:r w:rsidR="0081109A">
        <w:instrText xml:space="preserve"> REF _Ref30660549 \r \h </w:instrText>
      </w:r>
      <w:r w:rsidR="0081109A">
        <w:fldChar w:fldCharType="separate"/>
      </w:r>
      <w:r w:rsidR="009E3A92">
        <w:t>3.3.1</w:t>
      </w:r>
      <w:r w:rsidR="0081109A">
        <w:fldChar w:fldCharType="end"/>
      </w:r>
      <w:r w:rsidR="0081109A">
        <w:t>)</w:t>
      </w:r>
      <w:r w:rsidR="002A7FDC">
        <w:t xml:space="preserve"> from a transmitter</w:t>
      </w:r>
      <w:r w:rsidR="0081109A" w:rsidRPr="0081109A">
        <w:t xml:space="preserve"> </w:t>
      </w:r>
      <w:r w:rsidR="0081109A">
        <w:t>which is located outside the overlapped area and</w:t>
      </w:r>
      <w:r w:rsidR="002A7FDC">
        <w:t xml:space="preserve"> operated under </w:t>
      </w:r>
      <w:r w:rsidR="00D85341">
        <w:t>Licence</w:t>
      </w:r>
      <w:r w:rsidR="002A7FDC">
        <w:t xml:space="preserve"> 2 (i.e. the area-boundary requirements in </w:t>
      </w:r>
      <w:r w:rsidR="0081109A">
        <w:t xml:space="preserve">section </w:t>
      </w:r>
      <w:r w:rsidR="0081109A">
        <w:lastRenderedPageBreak/>
        <w:fldChar w:fldCharType="begin"/>
      </w:r>
      <w:r w:rsidR="0081109A">
        <w:instrText xml:space="preserve"> REF _Ref30660549 \r \h </w:instrText>
      </w:r>
      <w:r w:rsidR="0081109A">
        <w:fldChar w:fldCharType="separate"/>
      </w:r>
      <w:r w:rsidR="009E3A92">
        <w:t>3.3.1</w:t>
      </w:r>
      <w:r w:rsidR="0081109A">
        <w:fldChar w:fldCharType="end"/>
      </w:r>
      <w:r w:rsidR="0081109A">
        <w:t xml:space="preserve"> </w:t>
      </w:r>
      <w:r w:rsidR="002A7FDC">
        <w:t>apply at the boundary of Lice</w:t>
      </w:r>
      <w:r w:rsidR="00D85341">
        <w:t>n</w:t>
      </w:r>
      <w:r w:rsidR="002A7FDC">
        <w:t>ce 2 (red) and not at the boundary of Licence 1 (blue)</w:t>
      </w:r>
      <w:r w:rsidR="00D85341">
        <w:t>)</w:t>
      </w:r>
      <w:r w:rsidR="002A7FDC">
        <w:t xml:space="preserve">. Therefore, </w:t>
      </w:r>
      <w:r w:rsidR="00983782">
        <w:t>to ensure that the utility of Licence 1 is not degraded by an overlapping AWL (</w:t>
      </w:r>
      <w:r w:rsidR="002A7FDC">
        <w:t>assuming Licence 1 was issued first</w:t>
      </w:r>
      <w:r w:rsidR="0081109A">
        <w:t>)</w:t>
      </w:r>
      <w:r w:rsidR="002A7FDC">
        <w:t xml:space="preserve">, </w:t>
      </w:r>
      <w:r w:rsidR="00983782">
        <w:t>the FSS-only condition applies to co-channel transmitters located outside the overlapped area.</w:t>
      </w:r>
      <w:r w:rsidR="002A7FDC">
        <w:t xml:space="preserve"> </w:t>
      </w:r>
    </w:p>
    <w:p w14:paraId="1ED8A89B" w14:textId="49160C48" w:rsidR="00F326D2" w:rsidRDefault="00330CA7" w:rsidP="00887949">
      <w:pPr>
        <w:pStyle w:val="Heading1"/>
        <w:numPr>
          <w:ilvl w:val="0"/>
          <w:numId w:val="0"/>
        </w:numPr>
        <w:rPr>
          <w:szCs w:val="44"/>
        </w:rPr>
      </w:pPr>
      <w:bookmarkStart w:id="391" w:name="_Ref91152810"/>
      <w:bookmarkStart w:id="392" w:name="_Toc94773105"/>
      <w:r>
        <w:rPr>
          <w:szCs w:val="44"/>
        </w:rPr>
        <w:lastRenderedPageBreak/>
        <w:t xml:space="preserve">Appendix </w:t>
      </w:r>
      <w:r w:rsidR="00362FB0">
        <w:rPr>
          <w:szCs w:val="44"/>
        </w:rPr>
        <w:t>C</w:t>
      </w:r>
      <w:r>
        <w:rPr>
          <w:szCs w:val="44"/>
        </w:rPr>
        <w:t xml:space="preserve">: </w:t>
      </w:r>
      <w:r w:rsidR="00F326D2">
        <w:rPr>
          <w:szCs w:val="44"/>
        </w:rPr>
        <w:t>Examples of compliance at the geographic boundary</w:t>
      </w:r>
      <w:bookmarkEnd w:id="391"/>
      <w:bookmarkEnd w:id="392"/>
    </w:p>
    <w:p w14:paraId="407BEEC3" w14:textId="3BBFAAFA" w:rsidR="00F326D2" w:rsidRDefault="00F326D2" w:rsidP="00F326D2">
      <w:r>
        <w:t>As detailed in section</w:t>
      </w:r>
      <w:r w:rsidR="00BA1D1C">
        <w:t xml:space="preserve"> </w:t>
      </w:r>
      <w:r w:rsidR="004547BB">
        <w:fldChar w:fldCharType="begin"/>
      </w:r>
      <w:r w:rsidR="004547BB">
        <w:instrText xml:space="preserve"> REF _Ref30660549 \r \h </w:instrText>
      </w:r>
      <w:r w:rsidR="004547BB">
        <w:fldChar w:fldCharType="separate"/>
      </w:r>
      <w:r w:rsidR="009E3A92">
        <w:t>3.3.1</w:t>
      </w:r>
      <w:r w:rsidR="004547BB">
        <w:fldChar w:fldCharType="end"/>
      </w:r>
      <w:r>
        <w:t xml:space="preserve">, the prescribed </w:t>
      </w:r>
      <w:proofErr w:type="spellStart"/>
      <w:r>
        <w:t>p</w:t>
      </w:r>
      <w:r w:rsidR="0001395E">
        <w:t>fd</w:t>
      </w:r>
      <w:proofErr w:type="spellEnd"/>
      <w:r>
        <w:t xml:space="preserve"> limits in Table </w:t>
      </w:r>
      <w:r w:rsidR="004547BB">
        <w:t>5</w:t>
      </w:r>
      <w:r>
        <w:t xml:space="preserve"> are to be met at the boundary of the geographic area authorised by the </w:t>
      </w:r>
      <w:r w:rsidR="00F95C02">
        <w:t>AWL</w:t>
      </w:r>
      <w:r>
        <w:t>. The follow</w:t>
      </w:r>
      <w:r w:rsidR="00AA717C">
        <w:t>ing</w:t>
      </w:r>
      <w:r>
        <w:t xml:space="preserve"> figures provide examples of when a transmitter would pass or fail </w:t>
      </w:r>
      <w:r w:rsidR="00972BCD">
        <w:t>this criterion</w:t>
      </w:r>
      <w:r>
        <w:t>.</w:t>
      </w:r>
    </w:p>
    <w:p w14:paraId="5A641434" w14:textId="430F1D26" w:rsidR="009B57E3" w:rsidRDefault="00F326D2" w:rsidP="00F326D2">
      <w:r>
        <w:t xml:space="preserve">In Figure </w:t>
      </w:r>
      <w:r w:rsidR="00BA1D1C">
        <w:t>7</w:t>
      </w:r>
      <w:r>
        <w:t>, the calculated pfd limit (red)</w:t>
      </w:r>
      <w:r w:rsidR="0040577C">
        <w:t xml:space="preserve"> from a proposed AWL transmitter</w:t>
      </w:r>
      <w:r>
        <w:t xml:space="preserve"> is fully contained within the </w:t>
      </w:r>
      <w:r w:rsidR="0040577C">
        <w:t xml:space="preserve">AWL </w:t>
      </w:r>
      <w:r>
        <w:t>licence area (black square)</w:t>
      </w:r>
      <w:r w:rsidR="009B57E3">
        <w:t>, there</w:t>
      </w:r>
      <w:r w:rsidR="0040577C">
        <w:t>fore</w:t>
      </w:r>
      <w:r w:rsidR="009B57E3">
        <w:t xml:space="preserve"> this transmitter will comply with the boundary criteria</w:t>
      </w:r>
      <w:r>
        <w:t>.</w:t>
      </w:r>
    </w:p>
    <w:p w14:paraId="0BF596C5" w14:textId="35DE1CF6" w:rsidR="00F326D2" w:rsidRDefault="00F326D2" w:rsidP="00F326D2">
      <w:r>
        <w:t xml:space="preserve">In Figure </w:t>
      </w:r>
      <w:r w:rsidR="00BA1D1C">
        <w:t>8</w:t>
      </w:r>
      <w:r>
        <w:t xml:space="preserve">, the calculated pfd limit </w:t>
      </w:r>
      <w:r w:rsidR="00602ACD">
        <w:t xml:space="preserve">is not exceeded at the licence boundary, therefore this transmitter would </w:t>
      </w:r>
      <w:r w:rsidR="009B57E3">
        <w:t>comply with the boundary criteria</w:t>
      </w:r>
      <w:r w:rsidR="00602ACD">
        <w:t xml:space="preserve"> even though there are locations beyond the boundary where the pfd limit is exceeded.</w:t>
      </w:r>
    </w:p>
    <w:p w14:paraId="4E956FBD" w14:textId="2509E143" w:rsidR="00602ACD" w:rsidRDefault="00602ACD" w:rsidP="00F326D2">
      <w:r>
        <w:t xml:space="preserve">In Figure </w:t>
      </w:r>
      <w:r w:rsidR="00BA1D1C">
        <w:t>9</w:t>
      </w:r>
      <w:r>
        <w:t xml:space="preserve">, the calculated pfd level (red) exceeds the </w:t>
      </w:r>
      <w:r w:rsidR="009C5159">
        <w:t xml:space="preserve">limit at the licence boundary, therefore this transmitter would </w:t>
      </w:r>
      <w:r w:rsidR="009B57E3">
        <w:t>not comply with the boundary criteria</w:t>
      </w:r>
      <w:r w:rsidR="009C5159">
        <w:t>.</w:t>
      </w:r>
    </w:p>
    <w:p w14:paraId="02EDC79C" w14:textId="07137D4B" w:rsidR="004B08E4" w:rsidRDefault="004B08E4" w:rsidP="004D1262">
      <w:pPr>
        <w:pStyle w:val="ACMAFigureHeader"/>
        <w:keepNext/>
        <w:keepLines/>
      </w:pPr>
      <w:r w:rsidRPr="00972BCD">
        <w:t>Example</w:t>
      </w:r>
      <w:r>
        <w:t xml:space="preserve"> of pass</w:t>
      </w:r>
      <w:r w:rsidR="00696D64">
        <w:t xml:space="preserve"> (</w:t>
      </w:r>
      <w:r w:rsidR="009E1683">
        <w:t>black = geo</w:t>
      </w:r>
      <w:r w:rsidR="006D59F2">
        <w:t xml:space="preserve">graphic </w:t>
      </w:r>
      <w:r w:rsidR="00D02585">
        <w:t>boundary</w:t>
      </w:r>
      <w:r w:rsidR="006D59F2">
        <w:t xml:space="preserve"> of licence, </w:t>
      </w:r>
      <w:r w:rsidR="00965472">
        <w:t xml:space="preserve">red = </w:t>
      </w:r>
      <w:r w:rsidR="00696D64">
        <w:t xml:space="preserve">locations </w:t>
      </w:r>
      <w:r w:rsidR="00965472">
        <w:t xml:space="preserve">where pfd exceeds the Table </w:t>
      </w:r>
      <w:r w:rsidR="004547BB">
        <w:t>5</w:t>
      </w:r>
      <w:r w:rsidR="00965472">
        <w:t xml:space="preserve"> limits)</w:t>
      </w:r>
    </w:p>
    <w:p w14:paraId="295F299C" w14:textId="47CB4B8F" w:rsidR="00602ACD" w:rsidRDefault="00161B71" w:rsidP="004D1262">
      <w:pPr>
        <w:keepNext/>
        <w:keepLines/>
      </w:pPr>
      <w:r>
        <w:rPr>
          <w:noProof/>
        </w:rPr>
        <w:drawing>
          <wp:inline distT="0" distB="0" distL="0" distR="0" wp14:anchorId="6C314698" wp14:editId="77C5FF5F">
            <wp:extent cx="4217195" cy="4210050"/>
            <wp:effectExtent l="0" t="0" r="0" b="0"/>
            <wp:docPr id="5" name="Picture 5" descr="If you have problems reading or accessing this document, please phone ACMA on 1300 850 115 or email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f you have problems reading or accessing this document, please phone ACMA on 1300 850 115 or email info@acma.gov.au"/>
                    <pic:cNvPicPr/>
                  </pic:nvPicPr>
                  <pic:blipFill>
                    <a:blip r:embed="rId58">
                      <a:extLst>
                        <a:ext uri="{28A0092B-C50C-407E-A947-70E740481C1C}">
                          <a14:useLocalDpi xmlns:a14="http://schemas.microsoft.com/office/drawing/2010/main" val="0"/>
                        </a:ext>
                      </a:extLst>
                    </a:blip>
                    <a:stretch>
                      <a:fillRect/>
                    </a:stretch>
                  </pic:blipFill>
                  <pic:spPr>
                    <a:xfrm>
                      <a:off x="0" y="0"/>
                      <a:ext cx="4217195" cy="4210050"/>
                    </a:xfrm>
                    <a:prstGeom prst="rect">
                      <a:avLst/>
                    </a:prstGeom>
                  </pic:spPr>
                </pic:pic>
              </a:graphicData>
            </a:graphic>
          </wp:inline>
        </w:drawing>
      </w:r>
    </w:p>
    <w:p w14:paraId="7F7BEF92" w14:textId="77777777" w:rsidR="00672F96" w:rsidRDefault="00672F96" w:rsidP="00361442"/>
    <w:p w14:paraId="0F22A6AB" w14:textId="77777777" w:rsidR="00672F96" w:rsidRDefault="00672F96" w:rsidP="00361442"/>
    <w:p w14:paraId="651757C3" w14:textId="11BA5155" w:rsidR="00672F96" w:rsidRDefault="00672F96" w:rsidP="004D1262">
      <w:pPr>
        <w:pStyle w:val="ACMAFigureHeader"/>
        <w:keepNext/>
        <w:keepLines/>
      </w:pPr>
      <w:r w:rsidRPr="00972BCD">
        <w:t>Example</w:t>
      </w:r>
      <w:r>
        <w:t xml:space="preserve"> of pass</w:t>
      </w:r>
      <w:r w:rsidR="006D59F2">
        <w:t xml:space="preserve"> (black = geographic </w:t>
      </w:r>
      <w:r w:rsidR="00D02585">
        <w:t>boundary</w:t>
      </w:r>
      <w:r w:rsidR="006D59F2">
        <w:t xml:space="preserve"> of licence, red = locations where pfd exceeds the Table </w:t>
      </w:r>
      <w:r w:rsidR="004547BB">
        <w:t>5</w:t>
      </w:r>
      <w:r w:rsidR="006D59F2">
        <w:t xml:space="preserve"> limits)</w:t>
      </w:r>
    </w:p>
    <w:p w14:paraId="63B68435" w14:textId="6E81548B" w:rsidR="00602ACD" w:rsidRDefault="00161B71" w:rsidP="004D1262">
      <w:pPr>
        <w:pStyle w:val="Captionfigure"/>
        <w:keepLines/>
        <w:numPr>
          <w:ilvl w:val="0"/>
          <w:numId w:val="0"/>
        </w:numPr>
        <w:ind w:left="1021" w:hanging="1021"/>
      </w:pPr>
      <w:r>
        <w:rPr>
          <w:noProof/>
        </w:rPr>
        <w:drawing>
          <wp:inline distT="0" distB="0" distL="0" distR="0" wp14:anchorId="7B2909D6" wp14:editId="76658FF8">
            <wp:extent cx="4438650" cy="4625072"/>
            <wp:effectExtent l="0" t="0" r="0" b="4445"/>
            <wp:docPr id="9" name="Picture 9" descr="If you have problems reading or accessing this document, please phone ACMA on 1300 850 115 or email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f you have problems reading or accessing this document, please phone ACMA on 1300 850 115 or email info@acma.gov.au"/>
                    <pic:cNvPicPr/>
                  </pic:nvPicPr>
                  <pic:blipFill>
                    <a:blip r:embed="rId59">
                      <a:extLst>
                        <a:ext uri="{28A0092B-C50C-407E-A947-70E740481C1C}">
                          <a14:useLocalDpi xmlns:a14="http://schemas.microsoft.com/office/drawing/2010/main" val="0"/>
                        </a:ext>
                      </a:extLst>
                    </a:blip>
                    <a:stretch>
                      <a:fillRect/>
                    </a:stretch>
                  </pic:blipFill>
                  <pic:spPr>
                    <a:xfrm>
                      <a:off x="0" y="0"/>
                      <a:ext cx="4438650" cy="4625072"/>
                    </a:xfrm>
                    <a:prstGeom prst="rect">
                      <a:avLst/>
                    </a:prstGeom>
                  </pic:spPr>
                </pic:pic>
              </a:graphicData>
            </a:graphic>
          </wp:inline>
        </w:drawing>
      </w:r>
    </w:p>
    <w:p w14:paraId="107E1167" w14:textId="4F6E598F" w:rsidR="007F2FC3" w:rsidRDefault="007F2FC3" w:rsidP="004D1262">
      <w:pPr>
        <w:pStyle w:val="ACMAFigureHeader"/>
        <w:keepNext/>
        <w:keepLines/>
        <w:numPr>
          <w:ilvl w:val="0"/>
          <w:numId w:val="0"/>
        </w:numPr>
        <w:ind w:left="1021" w:hanging="1021"/>
        <w:rPr>
          <w:b w:val="0"/>
          <w:bCs w:val="0"/>
          <w:color w:val="auto"/>
          <w:szCs w:val="24"/>
        </w:rPr>
      </w:pPr>
    </w:p>
    <w:p w14:paraId="576EA52E" w14:textId="5755CEF0" w:rsidR="007F2FC3" w:rsidRDefault="007F2FC3" w:rsidP="007F2FC3">
      <w:pPr>
        <w:pStyle w:val="ACMAFigureHeader"/>
        <w:numPr>
          <w:ilvl w:val="0"/>
          <w:numId w:val="0"/>
        </w:numPr>
        <w:ind w:left="1021" w:hanging="1021"/>
        <w:rPr>
          <w:b w:val="0"/>
          <w:bCs w:val="0"/>
          <w:color w:val="auto"/>
          <w:szCs w:val="24"/>
        </w:rPr>
      </w:pPr>
    </w:p>
    <w:p w14:paraId="06A2D84B" w14:textId="77777777" w:rsidR="007F2FC3" w:rsidRDefault="007F2FC3" w:rsidP="007F2FC3">
      <w:pPr>
        <w:pStyle w:val="ACMAFigureHeader"/>
        <w:numPr>
          <w:ilvl w:val="0"/>
          <w:numId w:val="0"/>
        </w:numPr>
        <w:ind w:left="1021" w:hanging="1021"/>
        <w:rPr>
          <w:b w:val="0"/>
          <w:bCs w:val="0"/>
          <w:color w:val="auto"/>
          <w:szCs w:val="24"/>
        </w:rPr>
      </w:pPr>
    </w:p>
    <w:p w14:paraId="19B53242" w14:textId="33CEEE5D" w:rsidR="007F2FC3" w:rsidRPr="00F326D2" w:rsidRDefault="007F2FC3" w:rsidP="004D1262">
      <w:pPr>
        <w:pStyle w:val="ACMAFigureHeader"/>
        <w:keepNext/>
        <w:keepLines/>
      </w:pPr>
      <w:r>
        <w:lastRenderedPageBreak/>
        <w:t>Example of fail</w:t>
      </w:r>
      <w:r w:rsidR="006D59F2">
        <w:t xml:space="preserve"> (black = geographic </w:t>
      </w:r>
      <w:r w:rsidR="00D02585">
        <w:t>boundary</w:t>
      </w:r>
      <w:r w:rsidR="006D59F2">
        <w:t xml:space="preserve"> of licence, red = locations where pfd exceeds the Table </w:t>
      </w:r>
      <w:r w:rsidR="004547BB">
        <w:t xml:space="preserve">5 </w:t>
      </w:r>
      <w:r w:rsidR="006D59F2">
        <w:t>limits)</w:t>
      </w:r>
    </w:p>
    <w:p w14:paraId="326AE02E" w14:textId="29598578" w:rsidR="009C5159" w:rsidRDefault="00161B71" w:rsidP="004D1262">
      <w:pPr>
        <w:keepNext/>
        <w:keepLines/>
      </w:pPr>
      <w:r>
        <w:rPr>
          <w:noProof/>
        </w:rPr>
        <w:drawing>
          <wp:inline distT="0" distB="0" distL="0" distR="0" wp14:anchorId="1AF95FC4" wp14:editId="0C825C08">
            <wp:extent cx="4048125" cy="5629275"/>
            <wp:effectExtent l="0" t="0" r="9525" b="9525"/>
            <wp:docPr id="10" name="Picture 10" descr="If you have problems reading or accessing this document, please phone ACMA on 1300 850 115 or email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f you have problems reading or accessing this document, please phone ACMA on 1300 850 115 or email info@acma.gov.au"/>
                    <pic:cNvPicPr/>
                  </pic:nvPicPr>
                  <pic:blipFill>
                    <a:blip r:embed="rId60">
                      <a:extLst>
                        <a:ext uri="{28A0092B-C50C-407E-A947-70E740481C1C}">
                          <a14:useLocalDpi xmlns:a14="http://schemas.microsoft.com/office/drawing/2010/main" val="0"/>
                        </a:ext>
                      </a:extLst>
                    </a:blip>
                    <a:stretch>
                      <a:fillRect/>
                    </a:stretch>
                  </pic:blipFill>
                  <pic:spPr>
                    <a:xfrm>
                      <a:off x="0" y="0"/>
                      <a:ext cx="4048125" cy="5629275"/>
                    </a:xfrm>
                    <a:prstGeom prst="rect">
                      <a:avLst/>
                    </a:prstGeom>
                  </pic:spPr>
                </pic:pic>
              </a:graphicData>
            </a:graphic>
          </wp:inline>
        </w:drawing>
      </w:r>
    </w:p>
    <w:p w14:paraId="46DADCC1" w14:textId="7DCBE305" w:rsidR="00E971CB" w:rsidRDefault="00E971CB" w:rsidP="00141686"/>
    <w:p w14:paraId="796E3F50" w14:textId="249B4060" w:rsidR="00887949" w:rsidRDefault="00887949" w:rsidP="00887949">
      <w:pPr>
        <w:pStyle w:val="Heading1"/>
        <w:numPr>
          <w:ilvl w:val="0"/>
          <w:numId w:val="0"/>
        </w:numPr>
        <w:rPr>
          <w:szCs w:val="44"/>
        </w:rPr>
      </w:pPr>
      <w:bookmarkStart w:id="393" w:name="_Ref91152854"/>
      <w:bookmarkStart w:id="394" w:name="_Ref91159411"/>
      <w:bookmarkStart w:id="395" w:name="_Toc94773106"/>
      <w:r w:rsidRPr="00AF06C8">
        <w:rPr>
          <w:szCs w:val="44"/>
        </w:rPr>
        <w:lastRenderedPageBreak/>
        <w:t xml:space="preserve">Appendix </w:t>
      </w:r>
      <w:r w:rsidR="00362FB0">
        <w:rPr>
          <w:szCs w:val="44"/>
        </w:rPr>
        <w:t>D</w:t>
      </w:r>
      <w:r w:rsidRPr="00AF06C8">
        <w:rPr>
          <w:szCs w:val="44"/>
        </w:rPr>
        <w:t xml:space="preserve">: </w:t>
      </w:r>
      <w:r>
        <w:rPr>
          <w:szCs w:val="44"/>
        </w:rPr>
        <w:t>Protection criteria for fixed link receivers</w:t>
      </w:r>
      <w:bookmarkEnd w:id="393"/>
      <w:bookmarkEnd w:id="394"/>
      <w:bookmarkEnd w:id="395"/>
    </w:p>
    <w:p w14:paraId="0AAF9E7D" w14:textId="6BE89156" w:rsidR="00A0169C" w:rsidRDefault="00D84970" w:rsidP="00D84970">
      <w:r>
        <w:t xml:space="preserve">This appendix outlines the protection </w:t>
      </w:r>
      <w:r w:rsidR="00A0169C">
        <w:t>ratios</w:t>
      </w:r>
      <w:r>
        <w:t xml:space="preserve"> to be used when coordinating AWL transmitters with fixed link receivers. </w:t>
      </w:r>
      <w:r w:rsidR="008F3898">
        <w:t xml:space="preserve">In some </w:t>
      </w:r>
      <w:r w:rsidR="006D67D6">
        <w:t>cases,</w:t>
      </w:r>
      <w:r w:rsidR="008F3898">
        <w:t xml:space="preserve"> the </w:t>
      </w:r>
      <w:r w:rsidR="00014804">
        <w:t>specified</w:t>
      </w:r>
      <w:r w:rsidR="008F3898">
        <w:t xml:space="preserve"> protection ratios may produce an overly conservative coordination result. </w:t>
      </w:r>
      <w:r w:rsidR="006D67D6">
        <w:t>In these cases, a more detailed approach may be used</w:t>
      </w:r>
      <w:r w:rsidR="00014804">
        <w:t xml:space="preserve"> using engineering judgement that</w:t>
      </w:r>
      <w:r w:rsidR="006D67D6">
        <w:t xml:space="preserve"> </w:t>
      </w:r>
      <w:r w:rsidR="006D67D6" w:rsidRPr="004F3AB1">
        <w:t>involves the application of equipment-specific transmitter and receiver characteristics (</w:t>
      </w:r>
      <w:proofErr w:type="gramStart"/>
      <w:r w:rsidR="006D67D6" w:rsidRPr="004F3AB1">
        <w:t>i</w:t>
      </w:r>
      <w:r w:rsidR="006D67D6">
        <w:t>.</w:t>
      </w:r>
      <w:r w:rsidR="006D67D6" w:rsidRPr="004F3AB1">
        <w:t>e.</w:t>
      </w:r>
      <w:proofErr w:type="gramEnd"/>
      <w:r w:rsidR="006D67D6" w:rsidRPr="004F3AB1">
        <w:t xml:space="preserve"> emission and selectivity masks) and the FDR calculation procedure</w:t>
      </w:r>
      <w:r w:rsidR="00091525">
        <w:t>.</w:t>
      </w:r>
      <w:r w:rsidR="006D67D6" w:rsidRPr="004F3AB1">
        <w:rPr>
          <w:vertAlign w:val="superscript"/>
        </w:rPr>
        <w:footnoteReference w:id="37"/>
      </w:r>
      <w:r w:rsidR="006D67D6">
        <w:t xml:space="preserve"> </w:t>
      </w:r>
    </w:p>
    <w:p w14:paraId="28924036" w14:textId="7AB75928" w:rsidR="00140249" w:rsidRPr="00545CB2" w:rsidRDefault="00362FB0" w:rsidP="00103034">
      <w:pPr>
        <w:pStyle w:val="Heading2"/>
        <w:numPr>
          <w:ilvl w:val="0"/>
          <w:numId w:val="0"/>
        </w:numPr>
      </w:pPr>
      <w:bookmarkStart w:id="396" w:name="_Toc94773107"/>
      <w:r>
        <w:t>D</w:t>
      </w:r>
      <w:r w:rsidR="00140249" w:rsidRPr="00545CB2">
        <w:t>.1</w:t>
      </w:r>
      <w:r w:rsidR="00140249">
        <w:t xml:space="preserve"> Protection from </w:t>
      </w:r>
      <w:r w:rsidR="00014804">
        <w:t xml:space="preserve">AWL-authorised </w:t>
      </w:r>
      <w:r w:rsidR="00140249">
        <w:t>transmitters other than earth stations</w:t>
      </w:r>
      <w:bookmarkEnd w:id="396"/>
    </w:p>
    <w:p w14:paraId="7F4F0706" w14:textId="6CFB57B0" w:rsidR="00952A28" w:rsidRDefault="009353E6" w:rsidP="004A13A7">
      <w:pPr>
        <w:rPr>
          <w:szCs w:val="22"/>
        </w:rPr>
      </w:pPr>
      <w:r>
        <w:rPr>
          <w:szCs w:val="22"/>
        </w:rPr>
        <w:t>This section provides the p</w:t>
      </w:r>
      <w:r w:rsidR="00952A28">
        <w:rPr>
          <w:szCs w:val="22"/>
        </w:rPr>
        <w:t>rotection ratios for</w:t>
      </w:r>
      <w:r>
        <w:rPr>
          <w:szCs w:val="22"/>
        </w:rPr>
        <w:t xml:space="preserve"> </w:t>
      </w:r>
      <w:r w:rsidR="00C80104">
        <w:rPr>
          <w:szCs w:val="22"/>
        </w:rPr>
        <w:t xml:space="preserve">the </w:t>
      </w:r>
      <w:r>
        <w:rPr>
          <w:szCs w:val="22"/>
        </w:rPr>
        <w:t xml:space="preserve">coordination of AWL transmitters (other than earth stations) </w:t>
      </w:r>
      <w:r w:rsidR="00C80104">
        <w:rPr>
          <w:szCs w:val="22"/>
        </w:rPr>
        <w:t>with</w:t>
      </w:r>
      <w:r>
        <w:rPr>
          <w:szCs w:val="22"/>
        </w:rPr>
        <w:t xml:space="preserve"> </w:t>
      </w:r>
      <w:r w:rsidR="00952A28">
        <w:rPr>
          <w:szCs w:val="22"/>
        </w:rPr>
        <w:t>28 GHz band fixed services.</w:t>
      </w:r>
      <w:r w:rsidR="00375142">
        <w:rPr>
          <w:szCs w:val="22"/>
        </w:rPr>
        <w:t xml:space="preserve"> Protection ratios apply </w:t>
      </w:r>
      <w:r w:rsidR="00AB5C60">
        <w:rPr>
          <w:szCs w:val="22"/>
        </w:rPr>
        <w:t xml:space="preserve">at </w:t>
      </w:r>
      <w:r w:rsidR="00375142">
        <w:rPr>
          <w:szCs w:val="22"/>
        </w:rPr>
        <w:t>frequency offsets</w:t>
      </w:r>
      <w:r w:rsidR="0015215D">
        <w:rPr>
          <w:szCs w:val="22"/>
        </w:rPr>
        <w:t xml:space="preserve"> </w:t>
      </w:r>
      <w:r w:rsidR="009D28F9">
        <w:rPr>
          <w:szCs w:val="22"/>
        </w:rPr>
        <w:t>(</w:t>
      </w:r>
      <w:r w:rsidR="0015215D" w:rsidRPr="00FC03C5">
        <w:rPr>
          <w:szCs w:val="22"/>
        </w:rPr>
        <w:t>between the channel edge of the receiver and the edge of the transmitter</w:t>
      </w:r>
      <w:r w:rsidR="00135432">
        <w:rPr>
          <w:szCs w:val="22"/>
        </w:rPr>
        <w:t>’</w:t>
      </w:r>
      <w:r w:rsidR="0015215D" w:rsidRPr="00FC03C5">
        <w:rPr>
          <w:szCs w:val="22"/>
        </w:rPr>
        <w:t>s occupied bandwidth</w:t>
      </w:r>
      <w:r w:rsidR="009D28F9">
        <w:rPr>
          <w:szCs w:val="22"/>
        </w:rPr>
        <w:t>)</w:t>
      </w:r>
      <w:r w:rsidR="0015215D">
        <w:rPr>
          <w:szCs w:val="22"/>
        </w:rPr>
        <w:t xml:space="preserve"> of up to and including two-times the transmitter</w:t>
      </w:r>
      <w:r w:rsidR="009D28F9">
        <w:rPr>
          <w:szCs w:val="22"/>
        </w:rPr>
        <w:t>s</w:t>
      </w:r>
      <w:r w:rsidR="0015215D">
        <w:rPr>
          <w:szCs w:val="22"/>
        </w:rPr>
        <w:t xml:space="preserve"> occupied channel bandwidth</w:t>
      </w:r>
      <w:r w:rsidR="00AB5C60">
        <w:rPr>
          <w:szCs w:val="22"/>
        </w:rPr>
        <w:t>.</w:t>
      </w:r>
    </w:p>
    <w:p w14:paraId="2F840B35" w14:textId="62D8F31A" w:rsidR="00881BB5" w:rsidRDefault="00520881" w:rsidP="00103034">
      <w:pPr>
        <w:pStyle w:val="ACMATableHeader"/>
      </w:pPr>
      <w:r>
        <w:t>Protection ratios for v</w:t>
      </w:r>
      <w:r w:rsidR="00881BB5">
        <w:t xml:space="preserve">ictim 28 </w:t>
      </w:r>
      <w:r>
        <w:t>M</w:t>
      </w:r>
      <w:r w:rsidR="00881BB5">
        <w:t xml:space="preserve">Hz </w:t>
      </w:r>
      <w:r>
        <w:t>channel</w:t>
      </w:r>
      <w:r w:rsidR="00881BB5">
        <w:t xml:space="preserve"> </w:t>
      </w:r>
      <w:r w:rsidR="00B00E05">
        <w:t xml:space="preserve">fixed link </w:t>
      </w:r>
      <w:r w:rsidR="00881BB5">
        <w:t xml:space="preserve">receiver and interfering </w:t>
      </w:r>
      <w:r w:rsidR="00F95C02">
        <w:t xml:space="preserve">AWL </w:t>
      </w:r>
      <w:r w:rsidR="00881BB5">
        <w:t>transmitter</w:t>
      </w:r>
    </w:p>
    <w:tbl>
      <w:tblPr>
        <w:tblStyle w:val="TableGrid"/>
        <w:tblW w:w="0" w:type="auto"/>
        <w:tblLook w:val="04A0" w:firstRow="1" w:lastRow="0" w:firstColumn="1" w:lastColumn="0" w:noHBand="0" w:noVBand="1"/>
      </w:tblPr>
      <w:tblGrid>
        <w:gridCol w:w="1980"/>
        <w:gridCol w:w="1276"/>
        <w:gridCol w:w="1417"/>
        <w:gridCol w:w="1701"/>
        <w:gridCol w:w="1287"/>
      </w:tblGrid>
      <w:tr w:rsidR="001C0657" w14:paraId="2BB5C6E5" w14:textId="08B0B590" w:rsidTr="001C0657">
        <w:tc>
          <w:tcPr>
            <w:tcW w:w="1980" w:type="dxa"/>
          </w:tcPr>
          <w:p w14:paraId="3B03D64A" w14:textId="77777777" w:rsidR="00520881" w:rsidRDefault="00520881" w:rsidP="00881BB5">
            <w:pPr>
              <w:jc w:val="center"/>
              <w:rPr>
                <w:szCs w:val="22"/>
              </w:rPr>
            </w:pPr>
            <w:r>
              <w:rPr>
                <w:szCs w:val="22"/>
              </w:rPr>
              <w:t xml:space="preserve">Frequency offset </w:t>
            </w:r>
            <w:r w:rsidR="00526778">
              <w:rPr>
                <w:szCs w:val="22"/>
              </w:rPr>
              <w:t>(</w:t>
            </w:r>
            <w:proofErr w:type="spellStart"/>
            <w:r w:rsidR="00526778" w:rsidRPr="00C863CE">
              <w:rPr>
                <w:rFonts w:cs="Arial"/>
                <w:szCs w:val="22"/>
              </w:rPr>
              <w:t>f</w:t>
            </w:r>
            <w:r w:rsidR="00526778" w:rsidRPr="00C863CE">
              <w:rPr>
                <w:rFonts w:cs="Arial"/>
                <w:szCs w:val="22"/>
                <w:vertAlign w:val="subscript"/>
              </w:rPr>
              <w:t>offset</w:t>
            </w:r>
            <w:proofErr w:type="spellEnd"/>
            <w:r>
              <w:rPr>
                <w:szCs w:val="22"/>
              </w:rPr>
              <w:t>)</w:t>
            </w:r>
          </w:p>
          <w:p w14:paraId="4AF28657" w14:textId="226F7FBB" w:rsidR="00526778" w:rsidRDefault="00526778" w:rsidP="00881BB5">
            <w:pPr>
              <w:jc w:val="center"/>
              <w:rPr>
                <w:szCs w:val="22"/>
              </w:rPr>
            </w:pPr>
            <w:r>
              <w:rPr>
                <w:szCs w:val="22"/>
              </w:rPr>
              <w:t>(</w:t>
            </w:r>
            <w:proofErr w:type="gramStart"/>
            <w:r>
              <w:rPr>
                <w:szCs w:val="22"/>
              </w:rPr>
              <w:t>note</w:t>
            </w:r>
            <w:proofErr w:type="gramEnd"/>
            <w:r>
              <w:rPr>
                <w:szCs w:val="22"/>
              </w:rPr>
              <w:t xml:space="preserve"> 1)</w:t>
            </w:r>
          </w:p>
        </w:tc>
        <w:tc>
          <w:tcPr>
            <w:tcW w:w="1276" w:type="dxa"/>
          </w:tcPr>
          <w:p w14:paraId="55189916" w14:textId="2C61E0A0" w:rsidR="00520881" w:rsidRDefault="00520881" w:rsidP="00520881">
            <w:pPr>
              <w:jc w:val="center"/>
              <w:rPr>
                <w:szCs w:val="22"/>
              </w:rPr>
            </w:pPr>
            <w:r>
              <w:rPr>
                <w:szCs w:val="22"/>
              </w:rPr>
              <w:t xml:space="preserve">BW </w:t>
            </w:r>
            <w:r w:rsidR="00414BE2">
              <w:rPr>
                <w:szCs w:val="22"/>
              </w:rPr>
              <w:t>&lt;</w:t>
            </w:r>
            <w:r>
              <w:rPr>
                <w:szCs w:val="22"/>
              </w:rPr>
              <w:t xml:space="preserve"> </w:t>
            </w:r>
            <w:r w:rsidR="00414BE2">
              <w:rPr>
                <w:szCs w:val="22"/>
              </w:rPr>
              <w:t>100</w:t>
            </w:r>
            <w:r>
              <w:rPr>
                <w:szCs w:val="22"/>
              </w:rPr>
              <w:t xml:space="preserve"> MHz</w:t>
            </w:r>
          </w:p>
        </w:tc>
        <w:tc>
          <w:tcPr>
            <w:tcW w:w="1417" w:type="dxa"/>
          </w:tcPr>
          <w:p w14:paraId="12531242" w14:textId="3BFA3E15" w:rsidR="00520881" w:rsidRDefault="00520881" w:rsidP="00881BB5">
            <w:pPr>
              <w:jc w:val="center"/>
              <w:rPr>
                <w:szCs w:val="22"/>
              </w:rPr>
            </w:pPr>
            <w:r>
              <w:rPr>
                <w:szCs w:val="22"/>
              </w:rPr>
              <w:t xml:space="preserve"> </w:t>
            </w:r>
            <w:r w:rsidR="00414BE2">
              <w:rPr>
                <w:szCs w:val="22"/>
              </w:rPr>
              <w:t>10</w:t>
            </w:r>
            <w:r>
              <w:rPr>
                <w:szCs w:val="22"/>
              </w:rPr>
              <w:t xml:space="preserve">0 MHz </w:t>
            </w:r>
            <w:r w:rsidR="00414BE2">
              <w:rPr>
                <w:rFonts w:cs="Arial"/>
                <w:szCs w:val="22"/>
              </w:rPr>
              <w:t>≤</w:t>
            </w:r>
            <w:r>
              <w:rPr>
                <w:szCs w:val="22"/>
              </w:rPr>
              <w:t xml:space="preserve"> BW </w:t>
            </w:r>
            <w:r w:rsidR="00414BE2">
              <w:rPr>
                <w:szCs w:val="22"/>
              </w:rPr>
              <w:t>&lt;</w:t>
            </w:r>
            <w:r>
              <w:rPr>
                <w:rFonts w:cs="Arial"/>
                <w:szCs w:val="22"/>
              </w:rPr>
              <w:t xml:space="preserve"> </w:t>
            </w:r>
            <w:r w:rsidR="00414BE2">
              <w:rPr>
                <w:rFonts w:cs="Arial"/>
                <w:szCs w:val="22"/>
              </w:rPr>
              <w:t>2</w:t>
            </w:r>
            <w:r>
              <w:rPr>
                <w:szCs w:val="22"/>
              </w:rPr>
              <w:t>00 MHz</w:t>
            </w:r>
          </w:p>
        </w:tc>
        <w:tc>
          <w:tcPr>
            <w:tcW w:w="1701" w:type="dxa"/>
          </w:tcPr>
          <w:p w14:paraId="6EAFDF2F" w14:textId="0B6F961C" w:rsidR="00520881" w:rsidRDefault="00414BE2" w:rsidP="00881BB5">
            <w:pPr>
              <w:jc w:val="center"/>
              <w:rPr>
                <w:szCs w:val="22"/>
              </w:rPr>
            </w:pPr>
            <w:r>
              <w:rPr>
                <w:szCs w:val="22"/>
              </w:rPr>
              <w:t>2</w:t>
            </w:r>
            <w:r w:rsidR="00520881">
              <w:rPr>
                <w:szCs w:val="22"/>
              </w:rPr>
              <w:t xml:space="preserve">00 MHz </w:t>
            </w:r>
            <w:r>
              <w:rPr>
                <w:rFonts w:cs="Arial"/>
                <w:szCs w:val="22"/>
              </w:rPr>
              <w:t>≤</w:t>
            </w:r>
            <w:r w:rsidR="00520881">
              <w:rPr>
                <w:szCs w:val="22"/>
              </w:rPr>
              <w:t xml:space="preserve"> BW </w:t>
            </w:r>
            <w:r>
              <w:rPr>
                <w:szCs w:val="22"/>
              </w:rPr>
              <w:t>&lt;</w:t>
            </w:r>
            <w:r w:rsidR="00520881">
              <w:rPr>
                <w:rFonts w:cs="Arial"/>
                <w:szCs w:val="22"/>
              </w:rPr>
              <w:t xml:space="preserve"> </w:t>
            </w:r>
            <w:r>
              <w:rPr>
                <w:rFonts w:cs="Arial"/>
                <w:szCs w:val="22"/>
              </w:rPr>
              <w:t>4</w:t>
            </w:r>
            <w:r w:rsidR="00520881">
              <w:rPr>
                <w:szCs w:val="22"/>
              </w:rPr>
              <w:t>00 MHz</w:t>
            </w:r>
          </w:p>
        </w:tc>
        <w:tc>
          <w:tcPr>
            <w:tcW w:w="1287" w:type="dxa"/>
          </w:tcPr>
          <w:p w14:paraId="7E321872" w14:textId="3993A2E1" w:rsidR="00520881" w:rsidRDefault="00520881" w:rsidP="00881BB5">
            <w:pPr>
              <w:jc w:val="center"/>
              <w:rPr>
                <w:szCs w:val="22"/>
              </w:rPr>
            </w:pPr>
            <w:r>
              <w:rPr>
                <w:szCs w:val="22"/>
              </w:rPr>
              <w:t xml:space="preserve">BW </w:t>
            </w:r>
            <w:r w:rsidR="00414BE2">
              <w:rPr>
                <w:rFonts w:cs="Arial"/>
                <w:szCs w:val="22"/>
              </w:rPr>
              <w:t>≥</w:t>
            </w:r>
            <w:r>
              <w:rPr>
                <w:rFonts w:cs="Arial"/>
                <w:szCs w:val="22"/>
              </w:rPr>
              <w:t xml:space="preserve"> 4</w:t>
            </w:r>
            <w:r>
              <w:rPr>
                <w:szCs w:val="22"/>
              </w:rPr>
              <w:t>00 MHz</w:t>
            </w:r>
          </w:p>
        </w:tc>
      </w:tr>
      <w:tr w:rsidR="001C0657" w:rsidRPr="00D9504D" w14:paraId="373DBA8E" w14:textId="4BD391CB" w:rsidTr="001C0657">
        <w:tc>
          <w:tcPr>
            <w:tcW w:w="1980" w:type="dxa"/>
          </w:tcPr>
          <w:p w14:paraId="779C1A3A" w14:textId="79B7465A" w:rsidR="00520881" w:rsidRPr="00C863CE" w:rsidRDefault="00C863CE" w:rsidP="00881BB5">
            <w:pPr>
              <w:jc w:val="center"/>
              <w:rPr>
                <w:szCs w:val="22"/>
              </w:rPr>
            </w:pPr>
            <w:proofErr w:type="spellStart"/>
            <w:r w:rsidRPr="00C863CE">
              <w:rPr>
                <w:rFonts w:cs="Arial"/>
                <w:szCs w:val="22"/>
              </w:rPr>
              <w:t>f</w:t>
            </w:r>
            <w:r w:rsidRPr="00C863CE">
              <w:rPr>
                <w:rFonts w:cs="Arial"/>
                <w:szCs w:val="22"/>
                <w:vertAlign w:val="subscript"/>
              </w:rPr>
              <w:t>offset</w:t>
            </w:r>
            <w:proofErr w:type="spellEnd"/>
            <w:r w:rsidRPr="00C863CE">
              <w:rPr>
                <w:rFonts w:cs="Arial"/>
                <w:szCs w:val="22"/>
              </w:rPr>
              <w:t xml:space="preserve"> </w:t>
            </w:r>
            <w:r w:rsidR="001C0657">
              <w:rPr>
                <w:rFonts w:cs="Arial"/>
                <w:szCs w:val="22"/>
              </w:rPr>
              <w:t>&lt;</w:t>
            </w:r>
            <w:r w:rsidRPr="00C863CE">
              <w:rPr>
                <w:rFonts w:cs="Arial"/>
                <w:szCs w:val="22"/>
              </w:rPr>
              <w:t xml:space="preserve"> </w:t>
            </w:r>
            <w:r w:rsidR="00526778">
              <w:rPr>
                <w:rFonts w:cs="Arial"/>
                <w:szCs w:val="22"/>
              </w:rPr>
              <w:t>0 MHz (note 2)</w:t>
            </w:r>
          </w:p>
        </w:tc>
        <w:tc>
          <w:tcPr>
            <w:tcW w:w="1276" w:type="dxa"/>
          </w:tcPr>
          <w:p w14:paraId="3AA71782" w14:textId="51E889A1" w:rsidR="00520881" w:rsidRPr="00D9504D" w:rsidRDefault="00520881" w:rsidP="00881BB5">
            <w:pPr>
              <w:jc w:val="center"/>
              <w:rPr>
                <w:szCs w:val="22"/>
              </w:rPr>
            </w:pPr>
            <w:r w:rsidRPr="00D9504D">
              <w:rPr>
                <w:szCs w:val="22"/>
              </w:rPr>
              <w:t>62</w:t>
            </w:r>
          </w:p>
        </w:tc>
        <w:tc>
          <w:tcPr>
            <w:tcW w:w="1417" w:type="dxa"/>
          </w:tcPr>
          <w:p w14:paraId="3EFF094E" w14:textId="1B3B3F1B" w:rsidR="00520881" w:rsidRPr="00D9504D" w:rsidRDefault="00414BE2" w:rsidP="00881BB5">
            <w:pPr>
              <w:jc w:val="center"/>
              <w:rPr>
                <w:szCs w:val="22"/>
              </w:rPr>
            </w:pPr>
            <w:r w:rsidRPr="00D9504D">
              <w:rPr>
                <w:szCs w:val="22"/>
              </w:rPr>
              <w:t>59</w:t>
            </w:r>
          </w:p>
        </w:tc>
        <w:tc>
          <w:tcPr>
            <w:tcW w:w="1701" w:type="dxa"/>
          </w:tcPr>
          <w:p w14:paraId="2F3637B3" w14:textId="46238CA5" w:rsidR="00414BE2" w:rsidRPr="00D9504D" w:rsidRDefault="00414BE2" w:rsidP="00414BE2">
            <w:pPr>
              <w:jc w:val="center"/>
              <w:rPr>
                <w:szCs w:val="22"/>
              </w:rPr>
            </w:pPr>
            <w:r w:rsidRPr="00D9504D">
              <w:rPr>
                <w:szCs w:val="22"/>
              </w:rPr>
              <w:t>56</w:t>
            </w:r>
          </w:p>
        </w:tc>
        <w:tc>
          <w:tcPr>
            <w:tcW w:w="1287" w:type="dxa"/>
          </w:tcPr>
          <w:p w14:paraId="0E8CFFA0" w14:textId="479F2B7D" w:rsidR="00520881" w:rsidRPr="00D9504D" w:rsidRDefault="00946080" w:rsidP="00881BB5">
            <w:pPr>
              <w:jc w:val="center"/>
              <w:rPr>
                <w:szCs w:val="22"/>
              </w:rPr>
            </w:pPr>
            <w:r>
              <w:rPr>
                <w:szCs w:val="22"/>
              </w:rPr>
              <w:t>53</w:t>
            </w:r>
          </w:p>
        </w:tc>
      </w:tr>
      <w:tr w:rsidR="001C0657" w:rsidRPr="00D9504D" w14:paraId="53ADD052" w14:textId="73F3ABCF" w:rsidTr="001C0657">
        <w:tc>
          <w:tcPr>
            <w:tcW w:w="1980" w:type="dxa"/>
          </w:tcPr>
          <w:p w14:paraId="562ABBBE" w14:textId="6BC65744" w:rsidR="00520881" w:rsidRPr="00D9504D" w:rsidRDefault="00526778" w:rsidP="00881BB5">
            <w:pPr>
              <w:jc w:val="center"/>
              <w:rPr>
                <w:szCs w:val="22"/>
              </w:rPr>
            </w:pPr>
            <w:r>
              <w:rPr>
                <w:rFonts w:cs="Arial"/>
                <w:szCs w:val="22"/>
              </w:rPr>
              <w:t xml:space="preserve">0 MHz </w:t>
            </w:r>
            <w:r w:rsidR="001C0657" w:rsidRPr="00C863CE">
              <w:rPr>
                <w:rFonts w:cs="Arial"/>
                <w:szCs w:val="22"/>
              </w:rPr>
              <w:t xml:space="preserve">≤ </w:t>
            </w:r>
            <w:proofErr w:type="spellStart"/>
            <w:r w:rsidR="001C0657" w:rsidRPr="00C863CE">
              <w:rPr>
                <w:rFonts w:cs="Arial"/>
                <w:szCs w:val="22"/>
              </w:rPr>
              <w:t>f</w:t>
            </w:r>
            <w:r w:rsidR="001C0657" w:rsidRPr="00C863CE">
              <w:rPr>
                <w:rFonts w:cs="Arial"/>
                <w:szCs w:val="22"/>
                <w:vertAlign w:val="subscript"/>
              </w:rPr>
              <w:t>offset</w:t>
            </w:r>
            <w:proofErr w:type="spellEnd"/>
            <w:r w:rsidR="001C0657" w:rsidRPr="00C863CE">
              <w:rPr>
                <w:rFonts w:cs="Arial"/>
                <w:szCs w:val="22"/>
              </w:rPr>
              <w:t xml:space="preserve"> </w:t>
            </w:r>
            <w:r w:rsidR="001C0657">
              <w:rPr>
                <w:rFonts w:cs="Arial"/>
                <w:szCs w:val="22"/>
              </w:rPr>
              <w:t>&lt;</w:t>
            </w:r>
            <w:r>
              <w:rPr>
                <w:rFonts w:cs="Arial"/>
                <w:szCs w:val="22"/>
              </w:rPr>
              <w:t xml:space="preserve"> BW</w:t>
            </w:r>
          </w:p>
        </w:tc>
        <w:tc>
          <w:tcPr>
            <w:tcW w:w="1276" w:type="dxa"/>
          </w:tcPr>
          <w:p w14:paraId="40713FEA" w14:textId="406E0EC4" w:rsidR="00520881" w:rsidRPr="00D9504D" w:rsidRDefault="00520881" w:rsidP="00881BB5">
            <w:pPr>
              <w:jc w:val="center"/>
              <w:rPr>
                <w:szCs w:val="22"/>
              </w:rPr>
            </w:pPr>
            <w:r w:rsidRPr="00D9504D">
              <w:rPr>
                <w:szCs w:val="22"/>
              </w:rPr>
              <w:t>5</w:t>
            </w:r>
            <w:r w:rsidR="00A8514F">
              <w:rPr>
                <w:szCs w:val="22"/>
              </w:rPr>
              <w:t>0</w:t>
            </w:r>
          </w:p>
        </w:tc>
        <w:tc>
          <w:tcPr>
            <w:tcW w:w="1417" w:type="dxa"/>
          </w:tcPr>
          <w:p w14:paraId="0972CD6B" w14:textId="058BF6D4" w:rsidR="00520881" w:rsidRPr="00D9504D" w:rsidRDefault="00A8514F" w:rsidP="00881BB5">
            <w:pPr>
              <w:jc w:val="center"/>
              <w:rPr>
                <w:szCs w:val="22"/>
              </w:rPr>
            </w:pPr>
            <w:r>
              <w:rPr>
                <w:szCs w:val="22"/>
              </w:rPr>
              <w:t>47</w:t>
            </w:r>
          </w:p>
        </w:tc>
        <w:tc>
          <w:tcPr>
            <w:tcW w:w="1701" w:type="dxa"/>
          </w:tcPr>
          <w:p w14:paraId="24899697" w14:textId="4E17EBC1" w:rsidR="00520881" w:rsidRPr="00D9504D" w:rsidRDefault="00BB4B0E" w:rsidP="00881BB5">
            <w:pPr>
              <w:jc w:val="center"/>
              <w:rPr>
                <w:szCs w:val="22"/>
              </w:rPr>
            </w:pPr>
            <w:r>
              <w:rPr>
                <w:szCs w:val="22"/>
              </w:rPr>
              <w:t>4</w:t>
            </w:r>
            <w:r w:rsidR="00A8514F">
              <w:rPr>
                <w:szCs w:val="22"/>
              </w:rPr>
              <w:t>4</w:t>
            </w:r>
          </w:p>
        </w:tc>
        <w:tc>
          <w:tcPr>
            <w:tcW w:w="1287" w:type="dxa"/>
          </w:tcPr>
          <w:p w14:paraId="6613175D" w14:textId="06BC2EFF" w:rsidR="00520881" w:rsidRPr="00D9504D" w:rsidRDefault="00946080" w:rsidP="00881BB5">
            <w:pPr>
              <w:jc w:val="center"/>
              <w:rPr>
                <w:szCs w:val="22"/>
              </w:rPr>
            </w:pPr>
            <w:r>
              <w:rPr>
                <w:szCs w:val="22"/>
              </w:rPr>
              <w:t>4</w:t>
            </w:r>
            <w:r w:rsidR="00A8514F">
              <w:rPr>
                <w:szCs w:val="22"/>
              </w:rPr>
              <w:t>1</w:t>
            </w:r>
          </w:p>
        </w:tc>
      </w:tr>
      <w:tr w:rsidR="001C0657" w:rsidRPr="00D9504D" w14:paraId="04151F89" w14:textId="4E4A5038" w:rsidTr="001C0657">
        <w:tc>
          <w:tcPr>
            <w:tcW w:w="1980" w:type="dxa"/>
          </w:tcPr>
          <w:p w14:paraId="4E1DAB3C" w14:textId="5EC36459" w:rsidR="00520881" w:rsidRPr="00D9504D" w:rsidRDefault="00526778" w:rsidP="00881BB5">
            <w:pPr>
              <w:jc w:val="center"/>
              <w:rPr>
                <w:szCs w:val="22"/>
              </w:rPr>
            </w:pPr>
            <w:r>
              <w:rPr>
                <w:rFonts w:cs="Arial"/>
                <w:szCs w:val="22"/>
              </w:rPr>
              <w:t xml:space="preserve">BW </w:t>
            </w:r>
            <w:r w:rsidRPr="00C863CE">
              <w:rPr>
                <w:rFonts w:cs="Arial"/>
                <w:szCs w:val="22"/>
              </w:rPr>
              <w:t xml:space="preserve">≤ </w:t>
            </w:r>
            <w:proofErr w:type="spellStart"/>
            <w:r w:rsidRPr="00C863CE">
              <w:rPr>
                <w:rFonts w:cs="Arial"/>
                <w:szCs w:val="22"/>
              </w:rPr>
              <w:t>f</w:t>
            </w:r>
            <w:r w:rsidRPr="00C863CE">
              <w:rPr>
                <w:rFonts w:cs="Arial"/>
                <w:szCs w:val="22"/>
                <w:vertAlign w:val="subscript"/>
              </w:rPr>
              <w:t>offset</w:t>
            </w:r>
            <w:proofErr w:type="spellEnd"/>
            <w:r w:rsidRPr="00C863CE">
              <w:rPr>
                <w:rFonts w:cs="Arial"/>
                <w:szCs w:val="22"/>
              </w:rPr>
              <w:t xml:space="preserve"> </w:t>
            </w:r>
            <w:r>
              <w:rPr>
                <w:rFonts w:cs="Arial"/>
                <w:szCs w:val="22"/>
              </w:rPr>
              <w:t>&lt; 2xBW</w:t>
            </w:r>
          </w:p>
        </w:tc>
        <w:tc>
          <w:tcPr>
            <w:tcW w:w="1276" w:type="dxa"/>
          </w:tcPr>
          <w:p w14:paraId="633F07A5" w14:textId="13C68F9D" w:rsidR="00520881" w:rsidRPr="00D9504D" w:rsidRDefault="00BB4B0E" w:rsidP="00881BB5">
            <w:pPr>
              <w:jc w:val="center"/>
              <w:rPr>
                <w:szCs w:val="22"/>
              </w:rPr>
            </w:pPr>
            <w:r>
              <w:rPr>
                <w:szCs w:val="22"/>
              </w:rPr>
              <w:t>4</w:t>
            </w:r>
            <w:r w:rsidR="00A8514F">
              <w:rPr>
                <w:szCs w:val="22"/>
              </w:rPr>
              <w:t>2</w:t>
            </w:r>
          </w:p>
        </w:tc>
        <w:tc>
          <w:tcPr>
            <w:tcW w:w="1417" w:type="dxa"/>
          </w:tcPr>
          <w:p w14:paraId="1DCA9405" w14:textId="2A52CA40" w:rsidR="00520881" w:rsidRPr="00D9504D" w:rsidRDefault="00A8514F" w:rsidP="00881BB5">
            <w:pPr>
              <w:jc w:val="center"/>
              <w:rPr>
                <w:szCs w:val="22"/>
              </w:rPr>
            </w:pPr>
            <w:r>
              <w:rPr>
                <w:szCs w:val="22"/>
              </w:rPr>
              <w:t>39</w:t>
            </w:r>
          </w:p>
        </w:tc>
        <w:tc>
          <w:tcPr>
            <w:tcW w:w="1701" w:type="dxa"/>
          </w:tcPr>
          <w:p w14:paraId="393B6BE9" w14:textId="559BDC7C" w:rsidR="00520881" w:rsidRPr="00D9504D" w:rsidRDefault="00A8514F" w:rsidP="00881BB5">
            <w:pPr>
              <w:jc w:val="center"/>
              <w:rPr>
                <w:szCs w:val="22"/>
              </w:rPr>
            </w:pPr>
            <w:r>
              <w:rPr>
                <w:szCs w:val="22"/>
              </w:rPr>
              <w:t>36</w:t>
            </w:r>
          </w:p>
        </w:tc>
        <w:tc>
          <w:tcPr>
            <w:tcW w:w="1287" w:type="dxa"/>
          </w:tcPr>
          <w:p w14:paraId="13F465CA" w14:textId="0F8B07AE" w:rsidR="00520881" w:rsidRPr="00D9504D" w:rsidRDefault="00BB4B0E" w:rsidP="00881BB5">
            <w:pPr>
              <w:jc w:val="center"/>
              <w:rPr>
                <w:szCs w:val="22"/>
              </w:rPr>
            </w:pPr>
            <w:r>
              <w:rPr>
                <w:szCs w:val="22"/>
              </w:rPr>
              <w:t>3</w:t>
            </w:r>
            <w:r w:rsidR="00A8514F">
              <w:rPr>
                <w:szCs w:val="22"/>
              </w:rPr>
              <w:t>3</w:t>
            </w:r>
          </w:p>
        </w:tc>
      </w:tr>
    </w:tbl>
    <w:p w14:paraId="4B1AB2EB" w14:textId="7369DEB6" w:rsidR="00881BB5" w:rsidRDefault="00881BB5" w:rsidP="00881BB5">
      <w:pPr>
        <w:rPr>
          <w:szCs w:val="22"/>
        </w:rPr>
      </w:pPr>
    </w:p>
    <w:p w14:paraId="3F91DD8F" w14:textId="59ED9116" w:rsidR="006D67D6" w:rsidRDefault="006D67D6" w:rsidP="00881BB5">
      <w:pPr>
        <w:rPr>
          <w:szCs w:val="22"/>
        </w:rPr>
      </w:pPr>
    </w:p>
    <w:p w14:paraId="09E3E68A" w14:textId="0710050B" w:rsidR="006D67D6" w:rsidRDefault="006D67D6" w:rsidP="00881BB5">
      <w:pPr>
        <w:rPr>
          <w:szCs w:val="22"/>
        </w:rPr>
      </w:pPr>
    </w:p>
    <w:p w14:paraId="0C9E205C" w14:textId="294C2717" w:rsidR="006D67D6" w:rsidRDefault="006D67D6" w:rsidP="00881BB5">
      <w:pPr>
        <w:rPr>
          <w:szCs w:val="22"/>
        </w:rPr>
      </w:pPr>
    </w:p>
    <w:p w14:paraId="698463A3" w14:textId="77777777" w:rsidR="006D67D6" w:rsidRDefault="006D67D6" w:rsidP="00881BB5">
      <w:pPr>
        <w:rPr>
          <w:szCs w:val="22"/>
        </w:rPr>
      </w:pPr>
    </w:p>
    <w:p w14:paraId="1A656594" w14:textId="15419C1E" w:rsidR="00F21934" w:rsidRPr="00D9504D" w:rsidRDefault="00F21934" w:rsidP="00312643">
      <w:pPr>
        <w:pStyle w:val="ACMATableHeader"/>
      </w:pPr>
      <w:r w:rsidRPr="00F21934">
        <w:t>Protection ratios for victim 56 MHz channel fixed link receiver and interfering AWL transmitter</w:t>
      </w:r>
    </w:p>
    <w:tbl>
      <w:tblPr>
        <w:tblStyle w:val="TableGrid"/>
        <w:tblW w:w="0" w:type="auto"/>
        <w:tblLook w:val="04A0" w:firstRow="1" w:lastRow="0" w:firstColumn="1" w:lastColumn="0" w:noHBand="0" w:noVBand="1"/>
      </w:tblPr>
      <w:tblGrid>
        <w:gridCol w:w="1980"/>
        <w:gridCol w:w="1276"/>
        <w:gridCol w:w="1417"/>
        <w:gridCol w:w="1701"/>
        <w:gridCol w:w="1287"/>
      </w:tblGrid>
      <w:tr w:rsidR="00414BE2" w:rsidRPr="00D9504D" w14:paraId="0408F788" w14:textId="77777777" w:rsidTr="00952A28">
        <w:tc>
          <w:tcPr>
            <w:tcW w:w="1980" w:type="dxa"/>
          </w:tcPr>
          <w:p w14:paraId="46BE0177" w14:textId="77777777" w:rsidR="00414BE2" w:rsidRDefault="00414BE2" w:rsidP="00414BE2">
            <w:pPr>
              <w:jc w:val="center"/>
              <w:rPr>
                <w:szCs w:val="22"/>
              </w:rPr>
            </w:pPr>
            <w:r w:rsidRPr="00D9504D">
              <w:rPr>
                <w:szCs w:val="22"/>
              </w:rPr>
              <w:t xml:space="preserve">Frequency </w:t>
            </w:r>
            <w:r w:rsidR="00952A28">
              <w:rPr>
                <w:szCs w:val="22"/>
              </w:rPr>
              <w:t xml:space="preserve">offset </w:t>
            </w:r>
            <w:r w:rsidRPr="00D9504D">
              <w:rPr>
                <w:szCs w:val="22"/>
              </w:rPr>
              <w:t>(</w:t>
            </w:r>
            <w:proofErr w:type="spellStart"/>
            <w:r w:rsidR="00526778" w:rsidRPr="00C863CE">
              <w:rPr>
                <w:rFonts w:cs="Arial"/>
                <w:szCs w:val="22"/>
              </w:rPr>
              <w:t>f</w:t>
            </w:r>
            <w:r w:rsidR="00526778" w:rsidRPr="00C863CE">
              <w:rPr>
                <w:rFonts w:cs="Arial"/>
                <w:szCs w:val="22"/>
                <w:vertAlign w:val="subscript"/>
              </w:rPr>
              <w:t>offset</w:t>
            </w:r>
            <w:proofErr w:type="spellEnd"/>
            <w:r w:rsidRPr="00D9504D">
              <w:rPr>
                <w:szCs w:val="22"/>
              </w:rPr>
              <w:t>)</w:t>
            </w:r>
          </w:p>
          <w:p w14:paraId="40F19D0D" w14:textId="024B1E35" w:rsidR="00526778" w:rsidRPr="00D9504D" w:rsidRDefault="00526778" w:rsidP="00414BE2">
            <w:pPr>
              <w:jc w:val="center"/>
              <w:rPr>
                <w:szCs w:val="22"/>
              </w:rPr>
            </w:pPr>
            <w:r>
              <w:rPr>
                <w:szCs w:val="22"/>
              </w:rPr>
              <w:t>(</w:t>
            </w:r>
            <w:proofErr w:type="gramStart"/>
            <w:r>
              <w:rPr>
                <w:szCs w:val="22"/>
              </w:rPr>
              <w:t>note</w:t>
            </w:r>
            <w:proofErr w:type="gramEnd"/>
            <w:r>
              <w:rPr>
                <w:szCs w:val="22"/>
              </w:rPr>
              <w:t xml:space="preserve"> 1)</w:t>
            </w:r>
          </w:p>
        </w:tc>
        <w:tc>
          <w:tcPr>
            <w:tcW w:w="1276" w:type="dxa"/>
          </w:tcPr>
          <w:p w14:paraId="20FAE2EC" w14:textId="0F0D2D5E" w:rsidR="00414BE2" w:rsidRPr="00D9504D" w:rsidRDefault="00414BE2" w:rsidP="00414BE2">
            <w:pPr>
              <w:jc w:val="center"/>
              <w:rPr>
                <w:szCs w:val="22"/>
              </w:rPr>
            </w:pPr>
            <w:r w:rsidRPr="00D9504D">
              <w:rPr>
                <w:szCs w:val="22"/>
              </w:rPr>
              <w:t>BW &lt; 100 MHz</w:t>
            </w:r>
          </w:p>
        </w:tc>
        <w:tc>
          <w:tcPr>
            <w:tcW w:w="1417" w:type="dxa"/>
          </w:tcPr>
          <w:p w14:paraId="53E0328D" w14:textId="0F60821B" w:rsidR="00414BE2" w:rsidRPr="00D9504D" w:rsidRDefault="00414BE2" w:rsidP="00414BE2">
            <w:pPr>
              <w:jc w:val="center"/>
              <w:rPr>
                <w:szCs w:val="22"/>
              </w:rPr>
            </w:pPr>
            <w:r w:rsidRPr="00D9504D">
              <w:rPr>
                <w:szCs w:val="22"/>
              </w:rPr>
              <w:t xml:space="preserve"> 100 MHz </w:t>
            </w:r>
            <w:r w:rsidRPr="00D9504D">
              <w:rPr>
                <w:rFonts w:cs="Arial"/>
                <w:szCs w:val="22"/>
              </w:rPr>
              <w:t>≤</w:t>
            </w:r>
            <w:r w:rsidRPr="00D9504D">
              <w:rPr>
                <w:szCs w:val="22"/>
              </w:rPr>
              <w:t xml:space="preserve"> BW &lt;</w:t>
            </w:r>
            <w:r w:rsidRPr="00D9504D">
              <w:rPr>
                <w:rFonts w:cs="Arial"/>
                <w:szCs w:val="22"/>
              </w:rPr>
              <w:t xml:space="preserve"> 2</w:t>
            </w:r>
            <w:r w:rsidRPr="00D9504D">
              <w:rPr>
                <w:szCs w:val="22"/>
              </w:rPr>
              <w:t>00 MHz</w:t>
            </w:r>
          </w:p>
        </w:tc>
        <w:tc>
          <w:tcPr>
            <w:tcW w:w="1701" w:type="dxa"/>
          </w:tcPr>
          <w:p w14:paraId="5B003B9D" w14:textId="3F3B60B0" w:rsidR="00414BE2" w:rsidRPr="00D9504D" w:rsidRDefault="00414BE2" w:rsidP="00414BE2">
            <w:pPr>
              <w:jc w:val="center"/>
              <w:rPr>
                <w:szCs w:val="22"/>
              </w:rPr>
            </w:pPr>
            <w:r w:rsidRPr="00D9504D">
              <w:rPr>
                <w:szCs w:val="22"/>
              </w:rPr>
              <w:t xml:space="preserve">200 MHz </w:t>
            </w:r>
            <w:r w:rsidRPr="00D9504D">
              <w:rPr>
                <w:rFonts w:cs="Arial"/>
                <w:szCs w:val="22"/>
              </w:rPr>
              <w:t>≤</w:t>
            </w:r>
            <w:r w:rsidRPr="00D9504D">
              <w:rPr>
                <w:szCs w:val="22"/>
              </w:rPr>
              <w:t xml:space="preserve"> BW &lt;</w:t>
            </w:r>
            <w:r w:rsidRPr="00D9504D">
              <w:rPr>
                <w:rFonts w:cs="Arial"/>
                <w:szCs w:val="22"/>
              </w:rPr>
              <w:t xml:space="preserve"> 4</w:t>
            </w:r>
            <w:r w:rsidRPr="00D9504D">
              <w:rPr>
                <w:szCs w:val="22"/>
              </w:rPr>
              <w:t>00 MHz</w:t>
            </w:r>
          </w:p>
        </w:tc>
        <w:tc>
          <w:tcPr>
            <w:tcW w:w="1287" w:type="dxa"/>
          </w:tcPr>
          <w:p w14:paraId="32FBE18F" w14:textId="6813A54E" w:rsidR="00414BE2" w:rsidRPr="00D9504D" w:rsidRDefault="00414BE2" w:rsidP="00414BE2">
            <w:pPr>
              <w:jc w:val="center"/>
              <w:rPr>
                <w:szCs w:val="22"/>
              </w:rPr>
            </w:pPr>
            <w:r w:rsidRPr="00D9504D">
              <w:rPr>
                <w:szCs w:val="22"/>
              </w:rPr>
              <w:t xml:space="preserve">BW </w:t>
            </w:r>
            <w:r w:rsidRPr="00D9504D">
              <w:rPr>
                <w:rFonts w:cs="Arial"/>
                <w:szCs w:val="22"/>
              </w:rPr>
              <w:t>≥ 4</w:t>
            </w:r>
            <w:r w:rsidRPr="00D9504D">
              <w:rPr>
                <w:szCs w:val="22"/>
              </w:rPr>
              <w:t>00 MHz</w:t>
            </w:r>
          </w:p>
        </w:tc>
      </w:tr>
      <w:tr w:rsidR="00526778" w:rsidRPr="00D9504D" w14:paraId="2E782E86" w14:textId="77777777" w:rsidTr="00952A28">
        <w:tc>
          <w:tcPr>
            <w:tcW w:w="1980" w:type="dxa"/>
          </w:tcPr>
          <w:p w14:paraId="670CC1F1" w14:textId="43134B7B" w:rsidR="00526778" w:rsidRPr="00D9504D" w:rsidRDefault="00526778" w:rsidP="00526778">
            <w:pPr>
              <w:jc w:val="center"/>
              <w:rPr>
                <w:szCs w:val="22"/>
              </w:rPr>
            </w:pPr>
            <w:proofErr w:type="spellStart"/>
            <w:r w:rsidRPr="00C863CE">
              <w:rPr>
                <w:rFonts w:cs="Arial"/>
                <w:szCs w:val="22"/>
              </w:rPr>
              <w:t>f</w:t>
            </w:r>
            <w:r w:rsidRPr="00C863CE">
              <w:rPr>
                <w:rFonts w:cs="Arial"/>
                <w:szCs w:val="22"/>
                <w:vertAlign w:val="subscript"/>
              </w:rPr>
              <w:t>offset</w:t>
            </w:r>
            <w:proofErr w:type="spellEnd"/>
            <w:r w:rsidRPr="00C863CE">
              <w:rPr>
                <w:rFonts w:cs="Arial"/>
                <w:szCs w:val="22"/>
              </w:rPr>
              <w:t xml:space="preserve"> </w:t>
            </w:r>
            <w:r>
              <w:rPr>
                <w:rFonts w:cs="Arial"/>
                <w:szCs w:val="22"/>
              </w:rPr>
              <w:t>&lt;</w:t>
            </w:r>
            <w:r w:rsidRPr="00C863CE">
              <w:rPr>
                <w:rFonts w:cs="Arial"/>
                <w:szCs w:val="22"/>
              </w:rPr>
              <w:t xml:space="preserve"> </w:t>
            </w:r>
            <w:r>
              <w:rPr>
                <w:rFonts w:cs="Arial"/>
                <w:szCs w:val="22"/>
              </w:rPr>
              <w:t>0 MHz (note 2)</w:t>
            </w:r>
          </w:p>
        </w:tc>
        <w:tc>
          <w:tcPr>
            <w:tcW w:w="1276" w:type="dxa"/>
          </w:tcPr>
          <w:p w14:paraId="6F793AD3" w14:textId="67D590B7" w:rsidR="00526778" w:rsidRPr="00D9504D" w:rsidRDefault="00526778" w:rsidP="00526778">
            <w:pPr>
              <w:jc w:val="center"/>
              <w:rPr>
                <w:szCs w:val="22"/>
              </w:rPr>
            </w:pPr>
            <w:r w:rsidRPr="00D9504D">
              <w:rPr>
                <w:szCs w:val="22"/>
              </w:rPr>
              <w:t>64</w:t>
            </w:r>
          </w:p>
        </w:tc>
        <w:tc>
          <w:tcPr>
            <w:tcW w:w="1417" w:type="dxa"/>
          </w:tcPr>
          <w:p w14:paraId="18D2AFA9" w14:textId="33241DB4" w:rsidR="00526778" w:rsidRPr="00D9504D" w:rsidRDefault="00526778" w:rsidP="00526778">
            <w:pPr>
              <w:jc w:val="center"/>
              <w:rPr>
                <w:szCs w:val="22"/>
              </w:rPr>
            </w:pPr>
            <w:r w:rsidRPr="00D9504D">
              <w:rPr>
                <w:szCs w:val="22"/>
              </w:rPr>
              <w:t>62</w:t>
            </w:r>
          </w:p>
        </w:tc>
        <w:tc>
          <w:tcPr>
            <w:tcW w:w="1701" w:type="dxa"/>
          </w:tcPr>
          <w:p w14:paraId="65A9955F" w14:textId="4E8A93AA" w:rsidR="00526778" w:rsidRPr="00D9504D" w:rsidRDefault="00526778" w:rsidP="00526778">
            <w:pPr>
              <w:jc w:val="center"/>
              <w:rPr>
                <w:szCs w:val="22"/>
              </w:rPr>
            </w:pPr>
            <w:r w:rsidRPr="00D9504D">
              <w:rPr>
                <w:szCs w:val="22"/>
              </w:rPr>
              <w:t>59</w:t>
            </w:r>
          </w:p>
        </w:tc>
        <w:tc>
          <w:tcPr>
            <w:tcW w:w="1287" w:type="dxa"/>
          </w:tcPr>
          <w:p w14:paraId="35D45972" w14:textId="48DF9489" w:rsidR="00526778" w:rsidRPr="00D9504D" w:rsidRDefault="00526778" w:rsidP="00526778">
            <w:pPr>
              <w:jc w:val="center"/>
              <w:rPr>
                <w:szCs w:val="22"/>
              </w:rPr>
            </w:pPr>
            <w:r w:rsidRPr="00D9504D">
              <w:rPr>
                <w:szCs w:val="22"/>
              </w:rPr>
              <w:t>56</w:t>
            </w:r>
          </w:p>
        </w:tc>
      </w:tr>
      <w:tr w:rsidR="00526778" w:rsidRPr="00D9504D" w14:paraId="4149D5CD" w14:textId="77777777" w:rsidTr="00952A28">
        <w:tc>
          <w:tcPr>
            <w:tcW w:w="1980" w:type="dxa"/>
          </w:tcPr>
          <w:p w14:paraId="539DA8CA" w14:textId="77D56FCC" w:rsidR="00526778" w:rsidRPr="00D9504D" w:rsidRDefault="00526778" w:rsidP="00526778">
            <w:pPr>
              <w:jc w:val="center"/>
              <w:rPr>
                <w:szCs w:val="22"/>
              </w:rPr>
            </w:pPr>
            <w:r>
              <w:rPr>
                <w:rFonts w:cs="Arial"/>
                <w:szCs w:val="22"/>
              </w:rPr>
              <w:t xml:space="preserve">0 MHz </w:t>
            </w:r>
            <w:r w:rsidRPr="00C863CE">
              <w:rPr>
                <w:rFonts w:cs="Arial"/>
                <w:szCs w:val="22"/>
              </w:rPr>
              <w:t xml:space="preserve">≤ </w:t>
            </w:r>
            <w:proofErr w:type="spellStart"/>
            <w:r w:rsidRPr="00C863CE">
              <w:rPr>
                <w:rFonts w:cs="Arial"/>
                <w:szCs w:val="22"/>
              </w:rPr>
              <w:t>f</w:t>
            </w:r>
            <w:r w:rsidRPr="00C863CE">
              <w:rPr>
                <w:rFonts w:cs="Arial"/>
                <w:szCs w:val="22"/>
                <w:vertAlign w:val="subscript"/>
              </w:rPr>
              <w:t>offset</w:t>
            </w:r>
            <w:proofErr w:type="spellEnd"/>
            <w:r w:rsidRPr="00C863CE">
              <w:rPr>
                <w:rFonts w:cs="Arial"/>
                <w:szCs w:val="22"/>
              </w:rPr>
              <w:t xml:space="preserve"> </w:t>
            </w:r>
            <w:r>
              <w:rPr>
                <w:rFonts w:cs="Arial"/>
                <w:szCs w:val="22"/>
              </w:rPr>
              <w:t>&lt; BW</w:t>
            </w:r>
          </w:p>
        </w:tc>
        <w:tc>
          <w:tcPr>
            <w:tcW w:w="1276" w:type="dxa"/>
          </w:tcPr>
          <w:p w14:paraId="62612C9D" w14:textId="4B19FCEE" w:rsidR="00526778" w:rsidRPr="00D9504D" w:rsidRDefault="00526778" w:rsidP="00526778">
            <w:pPr>
              <w:jc w:val="center"/>
              <w:rPr>
                <w:szCs w:val="22"/>
              </w:rPr>
            </w:pPr>
            <w:r w:rsidRPr="00D9504D">
              <w:rPr>
                <w:szCs w:val="22"/>
              </w:rPr>
              <w:t>5</w:t>
            </w:r>
            <w:r w:rsidR="00247A89">
              <w:rPr>
                <w:szCs w:val="22"/>
              </w:rPr>
              <w:t>2</w:t>
            </w:r>
          </w:p>
        </w:tc>
        <w:tc>
          <w:tcPr>
            <w:tcW w:w="1417" w:type="dxa"/>
          </w:tcPr>
          <w:p w14:paraId="44F97E11" w14:textId="27F1BF2F" w:rsidR="00526778" w:rsidRPr="00D9504D" w:rsidRDefault="00247A89" w:rsidP="00526778">
            <w:pPr>
              <w:jc w:val="center"/>
              <w:rPr>
                <w:szCs w:val="22"/>
              </w:rPr>
            </w:pPr>
            <w:r>
              <w:rPr>
                <w:szCs w:val="22"/>
              </w:rPr>
              <w:t>49</w:t>
            </w:r>
          </w:p>
        </w:tc>
        <w:tc>
          <w:tcPr>
            <w:tcW w:w="1701" w:type="dxa"/>
          </w:tcPr>
          <w:p w14:paraId="326635C2" w14:textId="6691F8D8" w:rsidR="00526778" w:rsidRPr="00D9504D" w:rsidRDefault="00247A89" w:rsidP="00526778">
            <w:pPr>
              <w:jc w:val="center"/>
              <w:rPr>
                <w:szCs w:val="22"/>
              </w:rPr>
            </w:pPr>
            <w:r>
              <w:rPr>
                <w:szCs w:val="22"/>
              </w:rPr>
              <w:t>46</w:t>
            </w:r>
          </w:p>
        </w:tc>
        <w:tc>
          <w:tcPr>
            <w:tcW w:w="1287" w:type="dxa"/>
          </w:tcPr>
          <w:p w14:paraId="16291651" w14:textId="09045DE0" w:rsidR="00526778" w:rsidRPr="00D9504D" w:rsidRDefault="00526778" w:rsidP="00526778">
            <w:pPr>
              <w:jc w:val="center"/>
              <w:rPr>
                <w:szCs w:val="22"/>
              </w:rPr>
            </w:pPr>
            <w:r w:rsidRPr="00D9504D">
              <w:rPr>
                <w:szCs w:val="22"/>
              </w:rPr>
              <w:t>4</w:t>
            </w:r>
            <w:r w:rsidR="00247A89">
              <w:rPr>
                <w:szCs w:val="22"/>
              </w:rPr>
              <w:t>3</w:t>
            </w:r>
          </w:p>
        </w:tc>
      </w:tr>
      <w:tr w:rsidR="00526778" w:rsidRPr="00D9504D" w14:paraId="7E0084A7" w14:textId="77777777" w:rsidTr="00952A28">
        <w:tc>
          <w:tcPr>
            <w:tcW w:w="1980" w:type="dxa"/>
          </w:tcPr>
          <w:p w14:paraId="489BF20A" w14:textId="6A6553B9" w:rsidR="00526778" w:rsidRPr="00D9504D" w:rsidRDefault="00526778" w:rsidP="00526778">
            <w:pPr>
              <w:jc w:val="center"/>
              <w:rPr>
                <w:szCs w:val="22"/>
              </w:rPr>
            </w:pPr>
            <w:r>
              <w:rPr>
                <w:rFonts w:cs="Arial"/>
                <w:szCs w:val="22"/>
              </w:rPr>
              <w:t xml:space="preserve">BW </w:t>
            </w:r>
            <w:r w:rsidRPr="00C863CE">
              <w:rPr>
                <w:rFonts w:cs="Arial"/>
                <w:szCs w:val="22"/>
              </w:rPr>
              <w:t xml:space="preserve">≤ </w:t>
            </w:r>
            <w:proofErr w:type="spellStart"/>
            <w:r w:rsidRPr="00C863CE">
              <w:rPr>
                <w:rFonts w:cs="Arial"/>
                <w:szCs w:val="22"/>
              </w:rPr>
              <w:t>f</w:t>
            </w:r>
            <w:r w:rsidRPr="00C863CE">
              <w:rPr>
                <w:rFonts w:cs="Arial"/>
                <w:szCs w:val="22"/>
                <w:vertAlign w:val="subscript"/>
              </w:rPr>
              <w:t>offset</w:t>
            </w:r>
            <w:proofErr w:type="spellEnd"/>
            <w:r w:rsidRPr="00C863CE">
              <w:rPr>
                <w:rFonts w:cs="Arial"/>
                <w:szCs w:val="22"/>
              </w:rPr>
              <w:t xml:space="preserve"> </w:t>
            </w:r>
            <w:r>
              <w:rPr>
                <w:rFonts w:cs="Arial"/>
                <w:szCs w:val="22"/>
              </w:rPr>
              <w:t>&lt; 2xBW</w:t>
            </w:r>
          </w:p>
        </w:tc>
        <w:tc>
          <w:tcPr>
            <w:tcW w:w="1276" w:type="dxa"/>
          </w:tcPr>
          <w:p w14:paraId="21A137EF" w14:textId="073BCC1D" w:rsidR="00526778" w:rsidRPr="00D9504D" w:rsidRDefault="00247A89" w:rsidP="00526778">
            <w:pPr>
              <w:jc w:val="center"/>
              <w:rPr>
                <w:szCs w:val="22"/>
              </w:rPr>
            </w:pPr>
            <w:r>
              <w:rPr>
                <w:szCs w:val="22"/>
              </w:rPr>
              <w:t>44</w:t>
            </w:r>
          </w:p>
        </w:tc>
        <w:tc>
          <w:tcPr>
            <w:tcW w:w="1417" w:type="dxa"/>
          </w:tcPr>
          <w:p w14:paraId="40EB9E8C" w14:textId="0241EDFC" w:rsidR="00526778" w:rsidRPr="00D9504D" w:rsidRDefault="00526778" w:rsidP="00526778">
            <w:pPr>
              <w:jc w:val="center"/>
              <w:rPr>
                <w:szCs w:val="22"/>
              </w:rPr>
            </w:pPr>
            <w:r w:rsidRPr="00D9504D">
              <w:rPr>
                <w:szCs w:val="22"/>
              </w:rPr>
              <w:t>4</w:t>
            </w:r>
            <w:r w:rsidR="00247A89">
              <w:rPr>
                <w:szCs w:val="22"/>
              </w:rPr>
              <w:t>2</w:t>
            </w:r>
          </w:p>
        </w:tc>
        <w:tc>
          <w:tcPr>
            <w:tcW w:w="1701" w:type="dxa"/>
          </w:tcPr>
          <w:p w14:paraId="2A2E28B8" w14:textId="4CA87EF8" w:rsidR="00526778" w:rsidRPr="00D9504D" w:rsidRDefault="00247A89" w:rsidP="00526778">
            <w:pPr>
              <w:jc w:val="center"/>
              <w:rPr>
                <w:szCs w:val="22"/>
              </w:rPr>
            </w:pPr>
            <w:r>
              <w:rPr>
                <w:szCs w:val="22"/>
              </w:rPr>
              <w:t>39</w:t>
            </w:r>
          </w:p>
        </w:tc>
        <w:tc>
          <w:tcPr>
            <w:tcW w:w="1287" w:type="dxa"/>
          </w:tcPr>
          <w:p w14:paraId="47DCD5BD" w14:textId="771BDFCF" w:rsidR="00526778" w:rsidRPr="00D9504D" w:rsidRDefault="00247A89" w:rsidP="00526778">
            <w:pPr>
              <w:jc w:val="center"/>
              <w:rPr>
                <w:szCs w:val="22"/>
              </w:rPr>
            </w:pPr>
            <w:r>
              <w:rPr>
                <w:szCs w:val="22"/>
              </w:rPr>
              <w:t>36</w:t>
            </w:r>
          </w:p>
        </w:tc>
      </w:tr>
    </w:tbl>
    <w:p w14:paraId="3B7F6C19" w14:textId="12179876" w:rsidR="00520881" w:rsidRPr="00D9504D" w:rsidRDefault="00520881" w:rsidP="00881BB5">
      <w:pPr>
        <w:rPr>
          <w:szCs w:val="22"/>
        </w:rPr>
      </w:pPr>
    </w:p>
    <w:p w14:paraId="7F42D594" w14:textId="053BA28B" w:rsidR="00520881" w:rsidRPr="00D9504D" w:rsidRDefault="00520881" w:rsidP="00312643">
      <w:pPr>
        <w:pStyle w:val="ACMATableHeader"/>
      </w:pPr>
      <w:r w:rsidRPr="00D9504D">
        <w:t xml:space="preserve">Protection ratios for victim 112 MHz channel fixed link receiver and interfering </w:t>
      </w:r>
      <w:r w:rsidR="00F95C02">
        <w:t xml:space="preserve">AWL </w:t>
      </w:r>
      <w:r w:rsidRPr="00D9504D">
        <w:t>transmitter</w:t>
      </w:r>
    </w:p>
    <w:tbl>
      <w:tblPr>
        <w:tblStyle w:val="TableGrid"/>
        <w:tblW w:w="0" w:type="auto"/>
        <w:tblLook w:val="04A0" w:firstRow="1" w:lastRow="0" w:firstColumn="1" w:lastColumn="0" w:noHBand="0" w:noVBand="1"/>
      </w:tblPr>
      <w:tblGrid>
        <w:gridCol w:w="1980"/>
        <w:gridCol w:w="1276"/>
        <w:gridCol w:w="1417"/>
        <w:gridCol w:w="1701"/>
        <w:gridCol w:w="1287"/>
      </w:tblGrid>
      <w:tr w:rsidR="00414BE2" w:rsidRPr="00D9504D" w14:paraId="7AD9249C" w14:textId="77777777" w:rsidTr="00952A28">
        <w:tc>
          <w:tcPr>
            <w:tcW w:w="1980" w:type="dxa"/>
          </w:tcPr>
          <w:p w14:paraId="24A86A8D" w14:textId="77777777" w:rsidR="00414BE2" w:rsidRDefault="00414BE2" w:rsidP="00414BE2">
            <w:pPr>
              <w:jc w:val="center"/>
              <w:rPr>
                <w:szCs w:val="22"/>
              </w:rPr>
            </w:pPr>
            <w:r w:rsidRPr="00D9504D">
              <w:rPr>
                <w:szCs w:val="22"/>
              </w:rPr>
              <w:t>Frequency offset (</w:t>
            </w:r>
            <w:proofErr w:type="spellStart"/>
            <w:r w:rsidR="00526778" w:rsidRPr="00C863CE">
              <w:rPr>
                <w:rFonts w:cs="Arial"/>
                <w:szCs w:val="22"/>
              </w:rPr>
              <w:t>f</w:t>
            </w:r>
            <w:r w:rsidR="00526778" w:rsidRPr="00C863CE">
              <w:rPr>
                <w:rFonts w:cs="Arial"/>
                <w:szCs w:val="22"/>
                <w:vertAlign w:val="subscript"/>
              </w:rPr>
              <w:t>offset</w:t>
            </w:r>
            <w:proofErr w:type="spellEnd"/>
            <w:r w:rsidRPr="00D9504D">
              <w:rPr>
                <w:szCs w:val="22"/>
              </w:rPr>
              <w:t>)</w:t>
            </w:r>
          </w:p>
          <w:p w14:paraId="42087F9C" w14:textId="6C0C7006" w:rsidR="00526778" w:rsidRPr="00D9504D" w:rsidRDefault="00526778" w:rsidP="00414BE2">
            <w:pPr>
              <w:jc w:val="center"/>
              <w:rPr>
                <w:szCs w:val="22"/>
              </w:rPr>
            </w:pPr>
            <w:r>
              <w:rPr>
                <w:szCs w:val="22"/>
              </w:rPr>
              <w:t>(</w:t>
            </w:r>
            <w:proofErr w:type="gramStart"/>
            <w:r>
              <w:rPr>
                <w:szCs w:val="22"/>
              </w:rPr>
              <w:t>note</w:t>
            </w:r>
            <w:proofErr w:type="gramEnd"/>
            <w:r>
              <w:rPr>
                <w:szCs w:val="22"/>
              </w:rPr>
              <w:t xml:space="preserve"> 1)</w:t>
            </w:r>
          </w:p>
        </w:tc>
        <w:tc>
          <w:tcPr>
            <w:tcW w:w="1276" w:type="dxa"/>
          </w:tcPr>
          <w:p w14:paraId="34C4D9C0" w14:textId="168F23A7" w:rsidR="00414BE2" w:rsidRPr="00D9504D" w:rsidRDefault="00414BE2" w:rsidP="00414BE2">
            <w:pPr>
              <w:jc w:val="center"/>
              <w:rPr>
                <w:szCs w:val="22"/>
              </w:rPr>
            </w:pPr>
            <w:r w:rsidRPr="00D9504D">
              <w:rPr>
                <w:szCs w:val="22"/>
              </w:rPr>
              <w:t>BW &lt; 100 MHz</w:t>
            </w:r>
          </w:p>
        </w:tc>
        <w:tc>
          <w:tcPr>
            <w:tcW w:w="1417" w:type="dxa"/>
          </w:tcPr>
          <w:p w14:paraId="7EE260A8" w14:textId="1065F815" w:rsidR="00414BE2" w:rsidRPr="00D9504D" w:rsidRDefault="00414BE2" w:rsidP="00414BE2">
            <w:pPr>
              <w:jc w:val="center"/>
              <w:rPr>
                <w:szCs w:val="22"/>
              </w:rPr>
            </w:pPr>
            <w:r w:rsidRPr="00D9504D">
              <w:rPr>
                <w:szCs w:val="22"/>
              </w:rPr>
              <w:t xml:space="preserve"> 100 MHz </w:t>
            </w:r>
            <w:r w:rsidRPr="00D9504D">
              <w:rPr>
                <w:rFonts w:cs="Arial"/>
                <w:szCs w:val="22"/>
              </w:rPr>
              <w:t>≤</w:t>
            </w:r>
            <w:r w:rsidRPr="00D9504D">
              <w:rPr>
                <w:szCs w:val="22"/>
              </w:rPr>
              <w:t xml:space="preserve"> BW &lt;</w:t>
            </w:r>
            <w:r w:rsidRPr="00D9504D">
              <w:rPr>
                <w:rFonts w:cs="Arial"/>
                <w:szCs w:val="22"/>
              </w:rPr>
              <w:t xml:space="preserve"> 2</w:t>
            </w:r>
            <w:r w:rsidRPr="00D9504D">
              <w:rPr>
                <w:szCs w:val="22"/>
              </w:rPr>
              <w:t>00 MHz</w:t>
            </w:r>
          </w:p>
        </w:tc>
        <w:tc>
          <w:tcPr>
            <w:tcW w:w="1701" w:type="dxa"/>
          </w:tcPr>
          <w:p w14:paraId="4DA2F8ED" w14:textId="7D94836C" w:rsidR="00414BE2" w:rsidRPr="00D9504D" w:rsidRDefault="00414BE2" w:rsidP="00414BE2">
            <w:pPr>
              <w:jc w:val="center"/>
              <w:rPr>
                <w:szCs w:val="22"/>
              </w:rPr>
            </w:pPr>
            <w:r w:rsidRPr="00D9504D">
              <w:rPr>
                <w:szCs w:val="22"/>
              </w:rPr>
              <w:t xml:space="preserve">200 MHz </w:t>
            </w:r>
            <w:r w:rsidRPr="00D9504D">
              <w:rPr>
                <w:rFonts w:cs="Arial"/>
                <w:szCs w:val="22"/>
              </w:rPr>
              <w:t>≤</w:t>
            </w:r>
            <w:r w:rsidRPr="00D9504D">
              <w:rPr>
                <w:szCs w:val="22"/>
              </w:rPr>
              <w:t xml:space="preserve"> BW &lt;</w:t>
            </w:r>
            <w:r w:rsidRPr="00D9504D">
              <w:rPr>
                <w:rFonts w:cs="Arial"/>
                <w:szCs w:val="22"/>
              </w:rPr>
              <w:t xml:space="preserve"> 4</w:t>
            </w:r>
            <w:r w:rsidRPr="00D9504D">
              <w:rPr>
                <w:szCs w:val="22"/>
              </w:rPr>
              <w:t>00 MHz</w:t>
            </w:r>
          </w:p>
        </w:tc>
        <w:tc>
          <w:tcPr>
            <w:tcW w:w="1287" w:type="dxa"/>
          </w:tcPr>
          <w:p w14:paraId="00348B85" w14:textId="4268A670" w:rsidR="00414BE2" w:rsidRPr="00D9504D" w:rsidRDefault="00414BE2" w:rsidP="00414BE2">
            <w:pPr>
              <w:jc w:val="center"/>
              <w:rPr>
                <w:szCs w:val="22"/>
              </w:rPr>
            </w:pPr>
            <w:r w:rsidRPr="00D9504D">
              <w:rPr>
                <w:szCs w:val="22"/>
              </w:rPr>
              <w:t xml:space="preserve">BW </w:t>
            </w:r>
            <w:r w:rsidRPr="00D9504D">
              <w:rPr>
                <w:rFonts w:cs="Arial"/>
                <w:szCs w:val="22"/>
              </w:rPr>
              <w:t>≥ 4</w:t>
            </w:r>
            <w:r w:rsidRPr="00D9504D">
              <w:rPr>
                <w:szCs w:val="22"/>
              </w:rPr>
              <w:t>00 MHz</w:t>
            </w:r>
          </w:p>
        </w:tc>
      </w:tr>
      <w:tr w:rsidR="00526778" w:rsidRPr="00D9504D" w14:paraId="591A8C41" w14:textId="77777777" w:rsidTr="00952A28">
        <w:tc>
          <w:tcPr>
            <w:tcW w:w="1980" w:type="dxa"/>
          </w:tcPr>
          <w:p w14:paraId="775E76D2" w14:textId="31A6432C" w:rsidR="00526778" w:rsidRPr="00D9504D" w:rsidRDefault="00526778" w:rsidP="00526778">
            <w:pPr>
              <w:jc w:val="center"/>
              <w:rPr>
                <w:szCs w:val="22"/>
              </w:rPr>
            </w:pPr>
            <w:proofErr w:type="spellStart"/>
            <w:r w:rsidRPr="00C863CE">
              <w:rPr>
                <w:rFonts w:cs="Arial"/>
                <w:szCs w:val="22"/>
              </w:rPr>
              <w:t>f</w:t>
            </w:r>
            <w:r w:rsidRPr="00C863CE">
              <w:rPr>
                <w:rFonts w:cs="Arial"/>
                <w:szCs w:val="22"/>
                <w:vertAlign w:val="subscript"/>
              </w:rPr>
              <w:t>offset</w:t>
            </w:r>
            <w:proofErr w:type="spellEnd"/>
            <w:r w:rsidRPr="00C863CE">
              <w:rPr>
                <w:rFonts w:cs="Arial"/>
                <w:szCs w:val="22"/>
              </w:rPr>
              <w:t xml:space="preserve"> </w:t>
            </w:r>
            <w:r>
              <w:rPr>
                <w:rFonts w:cs="Arial"/>
                <w:szCs w:val="22"/>
              </w:rPr>
              <w:t>&lt;</w:t>
            </w:r>
            <w:r w:rsidRPr="00C863CE">
              <w:rPr>
                <w:rFonts w:cs="Arial"/>
                <w:szCs w:val="22"/>
              </w:rPr>
              <w:t xml:space="preserve"> </w:t>
            </w:r>
            <w:r>
              <w:rPr>
                <w:rFonts w:cs="Arial"/>
                <w:szCs w:val="22"/>
              </w:rPr>
              <w:t>0 MHz (note 2)</w:t>
            </w:r>
          </w:p>
        </w:tc>
        <w:tc>
          <w:tcPr>
            <w:tcW w:w="1276" w:type="dxa"/>
          </w:tcPr>
          <w:p w14:paraId="7E015224" w14:textId="3B3C6452" w:rsidR="00526778" w:rsidRPr="00D9504D" w:rsidRDefault="00526778" w:rsidP="00526778">
            <w:pPr>
              <w:jc w:val="center"/>
              <w:rPr>
                <w:szCs w:val="22"/>
              </w:rPr>
            </w:pPr>
            <w:r w:rsidRPr="00D9504D">
              <w:rPr>
                <w:szCs w:val="22"/>
              </w:rPr>
              <w:t>64</w:t>
            </w:r>
          </w:p>
        </w:tc>
        <w:tc>
          <w:tcPr>
            <w:tcW w:w="1417" w:type="dxa"/>
          </w:tcPr>
          <w:p w14:paraId="13B93906" w14:textId="1F5FCC77" w:rsidR="00526778" w:rsidRPr="00D9504D" w:rsidRDefault="00526778" w:rsidP="00526778">
            <w:pPr>
              <w:jc w:val="center"/>
              <w:rPr>
                <w:szCs w:val="22"/>
              </w:rPr>
            </w:pPr>
            <w:r w:rsidRPr="00D9504D">
              <w:rPr>
                <w:szCs w:val="22"/>
              </w:rPr>
              <w:t>64</w:t>
            </w:r>
          </w:p>
        </w:tc>
        <w:tc>
          <w:tcPr>
            <w:tcW w:w="1701" w:type="dxa"/>
          </w:tcPr>
          <w:p w14:paraId="43CD5E17" w14:textId="27BA72A5" w:rsidR="00526778" w:rsidRPr="00D9504D" w:rsidRDefault="00526778" w:rsidP="00526778">
            <w:pPr>
              <w:jc w:val="center"/>
              <w:rPr>
                <w:szCs w:val="22"/>
              </w:rPr>
            </w:pPr>
            <w:r w:rsidRPr="00D9504D">
              <w:rPr>
                <w:szCs w:val="22"/>
              </w:rPr>
              <w:t>62</w:t>
            </w:r>
          </w:p>
        </w:tc>
        <w:tc>
          <w:tcPr>
            <w:tcW w:w="1287" w:type="dxa"/>
          </w:tcPr>
          <w:p w14:paraId="389F7A10" w14:textId="732F3585" w:rsidR="00526778" w:rsidRPr="00D9504D" w:rsidRDefault="00526778" w:rsidP="00526778">
            <w:pPr>
              <w:jc w:val="center"/>
              <w:rPr>
                <w:szCs w:val="22"/>
              </w:rPr>
            </w:pPr>
            <w:r w:rsidRPr="00D9504D">
              <w:rPr>
                <w:szCs w:val="22"/>
              </w:rPr>
              <w:t>59</w:t>
            </w:r>
          </w:p>
        </w:tc>
      </w:tr>
      <w:tr w:rsidR="00526778" w:rsidRPr="00D9504D" w14:paraId="17AFE670" w14:textId="77777777" w:rsidTr="00952A28">
        <w:tc>
          <w:tcPr>
            <w:tcW w:w="1980" w:type="dxa"/>
          </w:tcPr>
          <w:p w14:paraId="6A838EA6" w14:textId="0AE4A543" w:rsidR="00526778" w:rsidRPr="00D9504D" w:rsidRDefault="00526778" w:rsidP="00526778">
            <w:pPr>
              <w:jc w:val="center"/>
              <w:rPr>
                <w:szCs w:val="22"/>
              </w:rPr>
            </w:pPr>
            <w:r>
              <w:rPr>
                <w:rFonts w:cs="Arial"/>
                <w:szCs w:val="22"/>
              </w:rPr>
              <w:t xml:space="preserve">0 MHz </w:t>
            </w:r>
            <w:r w:rsidRPr="00C863CE">
              <w:rPr>
                <w:rFonts w:cs="Arial"/>
                <w:szCs w:val="22"/>
              </w:rPr>
              <w:t xml:space="preserve">≤ </w:t>
            </w:r>
            <w:proofErr w:type="spellStart"/>
            <w:r w:rsidRPr="00C863CE">
              <w:rPr>
                <w:rFonts w:cs="Arial"/>
                <w:szCs w:val="22"/>
              </w:rPr>
              <w:t>f</w:t>
            </w:r>
            <w:r w:rsidRPr="00C863CE">
              <w:rPr>
                <w:rFonts w:cs="Arial"/>
                <w:szCs w:val="22"/>
                <w:vertAlign w:val="subscript"/>
              </w:rPr>
              <w:t>offset</w:t>
            </w:r>
            <w:proofErr w:type="spellEnd"/>
            <w:r w:rsidRPr="00C863CE">
              <w:rPr>
                <w:rFonts w:cs="Arial"/>
                <w:szCs w:val="22"/>
              </w:rPr>
              <w:t xml:space="preserve"> </w:t>
            </w:r>
            <w:r>
              <w:rPr>
                <w:rFonts w:cs="Arial"/>
                <w:szCs w:val="22"/>
              </w:rPr>
              <w:t>&lt; BW</w:t>
            </w:r>
          </w:p>
        </w:tc>
        <w:tc>
          <w:tcPr>
            <w:tcW w:w="1276" w:type="dxa"/>
          </w:tcPr>
          <w:p w14:paraId="54046BDE" w14:textId="036601BD" w:rsidR="00526778" w:rsidRPr="00D9504D" w:rsidRDefault="00526778" w:rsidP="00526778">
            <w:pPr>
              <w:jc w:val="center"/>
              <w:rPr>
                <w:szCs w:val="22"/>
              </w:rPr>
            </w:pPr>
            <w:r w:rsidRPr="00D9504D">
              <w:rPr>
                <w:szCs w:val="22"/>
              </w:rPr>
              <w:t>5</w:t>
            </w:r>
            <w:r w:rsidR="00D06692">
              <w:rPr>
                <w:szCs w:val="22"/>
              </w:rPr>
              <w:t>2</w:t>
            </w:r>
          </w:p>
        </w:tc>
        <w:tc>
          <w:tcPr>
            <w:tcW w:w="1417" w:type="dxa"/>
          </w:tcPr>
          <w:p w14:paraId="48AAFD43" w14:textId="15A5CF80" w:rsidR="00526778" w:rsidRPr="00D9504D" w:rsidRDefault="00D06692" w:rsidP="00526778">
            <w:pPr>
              <w:jc w:val="center"/>
              <w:rPr>
                <w:szCs w:val="22"/>
              </w:rPr>
            </w:pPr>
            <w:r>
              <w:rPr>
                <w:szCs w:val="22"/>
              </w:rPr>
              <w:t>49</w:t>
            </w:r>
          </w:p>
        </w:tc>
        <w:tc>
          <w:tcPr>
            <w:tcW w:w="1701" w:type="dxa"/>
          </w:tcPr>
          <w:p w14:paraId="62C2D678" w14:textId="264EE2C7" w:rsidR="00526778" w:rsidRPr="00D9504D" w:rsidRDefault="00D06692" w:rsidP="00526778">
            <w:pPr>
              <w:jc w:val="center"/>
              <w:rPr>
                <w:szCs w:val="22"/>
              </w:rPr>
            </w:pPr>
            <w:r>
              <w:rPr>
                <w:szCs w:val="22"/>
              </w:rPr>
              <w:t>47</w:t>
            </w:r>
          </w:p>
        </w:tc>
        <w:tc>
          <w:tcPr>
            <w:tcW w:w="1287" w:type="dxa"/>
          </w:tcPr>
          <w:p w14:paraId="67AA9F58" w14:textId="3B5EB7BF" w:rsidR="00526778" w:rsidRPr="00D9504D" w:rsidRDefault="00526778" w:rsidP="00526778">
            <w:pPr>
              <w:jc w:val="center"/>
              <w:rPr>
                <w:szCs w:val="22"/>
              </w:rPr>
            </w:pPr>
            <w:r w:rsidRPr="00D9504D">
              <w:rPr>
                <w:szCs w:val="22"/>
              </w:rPr>
              <w:t>4</w:t>
            </w:r>
            <w:r w:rsidR="00D06692">
              <w:rPr>
                <w:szCs w:val="22"/>
              </w:rPr>
              <w:t>4</w:t>
            </w:r>
          </w:p>
        </w:tc>
      </w:tr>
      <w:tr w:rsidR="00526778" w14:paraId="1BA9ED4A" w14:textId="77777777" w:rsidTr="00952A28">
        <w:tc>
          <w:tcPr>
            <w:tcW w:w="1980" w:type="dxa"/>
          </w:tcPr>
          <w:p w14:paraId="522806A4" w14:textId="4746AB72" w:rsidR="00526778" w:rsidRPr="00D9504D" w:rsidRDefault="00526778" w:rsidP="00526778">
            <w:pPr>
              <w:jc w:val="center"/>
              <w:rPr>
                <w:szCs w:val="22"/>
              </w:rPr>
            </w:pPr>
            <w:r>
              <w:rPr>
                <w:rFonts w:cs="Arial"/>
                <w:szCs w:val="22"/>
              </w:rPr>
              <w:t xml:space="preserve">BW </w:t>
            </w:r>
            <w:r w:rsidRPr="00C863CE">
              <w:rPr>
                <w:rFonts w:cs="Arial"/>
                <w:szCs w:val="22"/>
              </w:rPr>
              <w:t xml:space="preserve">≤ </w:t>
            </w:r>
            <w:proofErr w:type="spellStart"/>
            <w:r w:rsidRPr="00C863CE">
              <w:rPr>
                <w:rFonts w:cs="Arial"/>
                <w:szCs w:val="22"/>
              </w:rPr>
              <w:t>f</w:t>
            </w:r>
            <w:r w:rsidRPr="00C863CE">
              <w:rPr>
                <w:rFonts w:cs="Arial"/>
                <w:szCs w:val="22"/>
                <w:vertAlign w:val="subscript"/>
              </w:rPr>
              <w:t>offset</w:t>
            </w:r>
            <w:proofErr w:type="spellEnd"/>
            <w:r w:rsidRPr="00C863CE">
              <w:rPr>
                <w:rFonts w:cs="Arial"/>
                <w:szCs w:val="22"/>
              </w:rPr>
              <w:t xml:space="preserve"> </w:t>
            </w:r>
            <w:r>
              <w:rPr>
                <w:rFonts w:cs="Arial"/>
                <w:szCs w:val="22"/>
              </w:rPr>
              <w:t>&lt; 2xBW</w:t>
            </w:r>
          </w:p>
        </w:tc>
        <w:tc>
          <w:tcPr>
            <w:tcW w:w="1276" w:type="dxa"/>
          </w:tcPr>
          <w:p w14:paraId="6493A502" w14:textId="3BBBF0DB" w:rsidR="00526778" w:rsidRPr="00D9504D" w:rsidRDefault="00D06692" w:rsidP="00526778">
            <w:pPr>
              <w:jc w:val="center"/>
              <w:rPr>
                <w:szCs w:val="22"/>
              </w:rPr>
            </w:pPr>
            <w:r>
              <w:rPr>
                <w:szCs w:val="22"/>
              </w:rPr>
              <w:t>47</w:t>
            </w:r>
          </w:p>
        </w:tc>
        <w:tc>
          <w:tcPr>
            <w:tcW w:w="1417" w:type="dxa"/>
          </w:tcPr>
          <w:p w14:paraId="0F2E18FE" w14:textId="470A379C" w:rsidR="00526778" w:rsidRPr="00D9504D" w:rsidRDefault="00D06692" w:rsidP="00526778">
            <w:pPr>
              <w:jc w:val="center"/>
              <w:rPr>
                <w:szCs w:val="22"/>
              </w:rPr>
            </w:pPr>
            <w:r>
              <w:rPr>
                <w:szCs w:val="22"/>
              </w:rPr>
              <w:t>44</w:t>
            </w:r>
          </w:p>
        </w:tc>
        <w:tc>
          <w:tcPr>
            <w:tcW w:w="1701" w:type="dxa"/>
          </w:tcPr>
          <w:p w14:paraId="768184E3" w14:textId="312CC3C8" w:rsidR="00526778" w:rsidRPr="00D9504D" w:rsidRDefault="00526778" w:rsidP="00526778">
            <w:pPr>
              <w:jc w:val="center"/>
              <w:rPr>
                <w:szCs w:val="22"/>
              </w:rPr>
            </w:pPr>
            <w:r w:rsidRPr="00D9504D">
              <w:rPr>
                <w:szCs w:val="22"/>
              </w:rPr>
              <w:t>4</w:t>
            </w:r>
            <w:r w:rsidR="00D06692">
              <w:rPr>
                <w:szCs w:val="22"/>
              </w:rPr>
              <w:t>2</w:t>
            </w:r>
          </w:p>
        </w:tc>
        <w:tc>
          <w:tcPr>
            <w:tcW w:w="1287" w:type="dxa"/>
          </w:tcPr>
          <w:p w14:paraId="61D3F6A4" w14:textId="1D5FA501" w:rsidR="00526778" w:rsidRPr="00D9504D" w:rsidRDefault="00D06692" w:rsidP="00526778">
            <w:pPr>
              <w:jc w:val="center"/>
              <w:rPr>
                <w:szCs w:val="22"/>
              </w:rPr>
            </w:pPr>
            <w:r>
              <w:rPr>
                <w:szCs w:val="22"/>
              </w:rPr>
              <w:t>39</w:t>
            </w:r>
          </w:p>
        </w:tc>
      </w:tr>
    </w:tbl>
    <w:p w14:paraId="2E409938" w14:textId="77777777" w:rsidR="00520881" w:rsidRDefault="00520881" w:rsidP="00881BB5">
      <w:pPr>
        <w:rPr>
          <w:szCs w:val="22"/>
        </w:rPr>
      </w:pPr>
    </w:p>
    <w:p w14:paraId="3DA382B0" w14:textId="18C1010B" w:rsidR="00881BB5" w:rsidRDefault="00881BB5" w:rsidP="00881BB5">
      <w:pPr>
        <w:rPr>
          <w:szCs w:val="22"/>
        </w:rPr>
      </w:pPr>
      <w:r>
        <w:rPr>
          <w:szCs w:val="22"/>
        </w:rPr>
        <w:t>General notes:</w:t>
      </w:r>
    </w:p>
    <w:p w14:paraId="7DA360D7" w14:textId="063F808D" w:rsidR="00952A28" w:rsidRDefault="00952A28" w:rsidP="00881BB5">
      <w:pPr>
        <w:pStyle w:val="ListParagraph"/>
        <w:numPr>
          <w:ilvl w:val="0"/>
          <w:numId w:val="30"/>
        </w:numPr>
        <w:rPr>
          <w:sz w:val="18"/>
          <w:szCs w:val="18"/>
        </w:rPr>
      </w:pPr>
      <w:proofErr w:type="spellStart"/>
      <w:r w:rsidRPr="00C863CE">
        <w:rPr>
          <w:rFonts w:cs="Arial"/>
          <w:szCs w:val="22"/>
        </w:rPr>
        <w:t>f</w:t>
      </w:r>
      <w:r w:rsidRPr="00C863CE">
        <w:rPr>
          <w:rFonts w:cs="Arial"/>
          <w:szCs w:val="22"/>
          <w:vertAlign w:val="subscript"/>
        </w:rPr>
        <w:t>offset</w:t>
      </w:r>
      <w:proofErr w:type="spellEnd"/>
      <w:r>
        <w:rPr>
          <w:sz w:val="18"/>
          <w:szCs w:val="18"/>
        </w:rPr>
        <w:t xml:space="preserve"> is the frequency offset between the </w:t>
      </w:r>
      <w:r w:rsidR="00526778">
        <w:rPr>
          <w:sz w:val="18"/>
          <w:szCs w:val="18"/>
        </w:rPr>
        <w:t xml:space="preserve">channel edge of the </w:t>
      </w:r>
      <w:r>
        <w:rPr>
          <w:sz w:val="18"/>
          <w:szCs w:val="18"/>
        </w:rPr>
        <w:t xml:space="preserve">receiver and </w:t>
      </w:r>
      <w:r w:rsidR="00526778">
        <w:rPr>
          <w:sz w:val="18"/>
          <w:szCs w:val="18"/>
        </w:rPr>
        <w:t xml:space="preserve">the edge of the </w:t>
      </w:r>
      <w:r>
        <w:rPr>
          <w:sz w:val="18"/>
          <w:szCs w:val="18"/>
        </w:rPr>
        <w:t>transmitter</w:t>
      </w:r>
      <w:r w:rsidR="00135432">
        <w:rPr>
          <w:sz w:val="18"/>
          <w:szCs w:val="18"/>
        </w:rPr>
        <w:t>’</w:t>
      </w:r>
      <w:r w:rsidR="00526778">
        <w:rPr>
          <w:sz w:val="18"/>
          <w:szCs w:val="18"/>
        </w:rPr>
        <w:t>s occupied bandwidth.</w:t>
      </w:r>
    </w:p>
    <w:p w14:paraId="78CA71E4" w14:textId="391E1535" w:rsidR="00526778" w:rsidRDefault="00526778" w:rsidP="00881BB5">
      <w:pPr>
        <w:pStyle w:val="ListParagraph"/>
        <w:numPr>
          <w:ilvl w:val="0"/>
          <w:numId w:val="30"/>
        </w:numPr>
        <w:rPr>
          <w:sz w:val="18"/>
          <w:szCs w:val="18"/>
        </w:rPr>
      </w:pPr>
      <w:proofErr w:type="spellStart"/>
      <w:r w:rsidRPr="00C863CE">
        <w:rPr>
          <w:rFonts w:cs="Arial"/>
          <w:szCs w:val="22"/>
        </w:rPr>
        <w:t>f</w:t>
      </w:r>
      <w:r w:rsidRPr="00C863CE">
        <w:rPr>
          <w:rFonts w:cs="Arial"/>
          <w:szCs w:val="22"/>
          <w:vertAlign w:val="subscript"/>
        </w:rPr>
        <w:t>offset</w:t>
      </w:r>
      <w:proofErr w:type="spellEnd"/>
      <w:r>
        <w:rPr>
          <w:sz w:val="18"/>
          <w:szCs w:val="18"/>
        </w:rPr>
        <w:t xml:space="preserve"> is less than 0 MHz when there is an overlap of the receiver channel and the occupied bandwidth of the transmitter.</w:t>
      </w:r>
    </w:p>
    <w:p w14:paraId="70E723CD" w14:textId="5BD76498" w:rsidR="00520881" w:rsidRDefault="00520881" w:rsidP="00881BB5">
      <w:pPr>
        <w:pStyle w:val="ListParagraph"/>
        <w:numPr>
          <w:ilvl w:val="0"/>
          <w:numId w:val="30"/>
        </w:numPr>
        <w:rPr>
          <w:sz w:val="18"/>
          <w:szCs w:val="18"/>
        </w:rPr>
      </w:pPr>
      <w:r>
        <w:rPr>
          <w:sz w:val="18"/>
          <w:szCs w:val="18"/>
        </w:rPr>
        <w:t xml:space="preserve">BW is the </w:t>
      </w:r>
      <w:r w:rsidR="00A36F55">
        <w:rPr>
          <w:sz w:val="18"/>
          <w:szCs w:val="18"/>
        </w:rPr>
        <w:t xml:space="preserve">occupied </w:t>
      </w:r>
      <w:r>
        <w:rPr>
          <w:sz w:val="18"/>
          <w:szCs w:val="18"/>
        </w:rPr>
        <w:t xml:space="preserve">bandwidth of the </w:t>
      </w:r>
      <w:r w:rsidR="00F95C02">
        <w:rPr>
          <w:sz w:val="18"/>
          <w:szCs w:val="18"/>
        </w:rPr>
        <w:t>AWL</w:t>
      </w:r>
      <w:r>
        <w:rPr>
          <w:sz w:val="18"/>
          <w:szCs w:val="18"/>
        </w:rPr>
        <w:t xml:space="preserve"> transmitter</w:t>
      </w:r>
    </w:p>
    <w:p w14:paraId="3F51CD2D" w14:textId="0B26E24F" w:rsidR="00881BB5" w:rsidRDefault="00881BB5" w:rsidP="00881BB5">
      <w:pPr>
        <w:pStyle w:val="ListParagraph"/>
        <w:numPr>
          <w:ilvl w:val="0"/>
          <w:numId w:val="30"/>
        </w:numPr>
        <w:rPr>
          <w:sz w:val="18"/>
          <w:szCs w:val="18"/>
        </w:rPr>
      </w:pPr>
      <w:r w:rsidRPr="00881BB5">
        <w:rPr>
          <w:sz w:val="18"/>
          <w:szCs w:val="18"/>
        </w:rPr>
        <w:t>Protection</w:t>
      </w:r>
      <w:r>
        <w:rPr>
          <w:sz w:val="18"/>
          <w:szCs w:val="18"/>
        </w:rPr>
        <w:t xml:space="preserve"> ratios are based on a 2 km path length and R (Rainfall rate in mm/</w:t>
      </w:r>
      <w:r w:rsidR="0035428D">
        <w:rPr>
          <w:sz w:val="18"/>
          <w:szCs w:val="18"/>
        </w:rPr>
        <w:t xml:space="preserve">hr for 0.01% of the worst month) of </w:t>
      </w:r>
      <w:r w:rsidR="00DC403B">
        <w:rPr>
          <w:sz w:val="18"/>
          <w:szCs w:val="18"/>
        </w:rPr>
        <w:t>4</w:t>
      </w:r>
      <w:r w:rsidR="0035428D">
        <w:rPr>
          <w:sz w:val="18"/>
          <w:szCs w:val="18"/>
        </w:rPr>
        <w:t xml:space="preserve">0 mm/hr using Recommendation ITU-R P.530-15, section 2.4 as outlined in spectrum planning report SPP 2014/07. For other path lengths and rainfall rates refer to the appropriate path length correction factors graph </w:t>
      </w:r>
      <w:r w:rsidR="00D5064E">
        <w:rPr>
          <w:sz w:val="18"/>
          <w:szCs w:val="18"/>
        </w:rPr>
        <w:t xml:space="preserve">in section </w:t>
      </w:r>
      <w:r w:rsidR="00D5064E" w:rsidRPr="00D5064E">
        <w:rPr>
          <w:sz w:val="18"/>
          <w:szCs w:val="18"/>
        </w:rPr>
        <w:fldChar w:fldCharType="begin"/>
      </w:r>
      <w:r w:rsidR="00D5064E" w:rsidRPr="00EC7FE6">
        <w:rPr>
          <w:sz w:val="18"/>
          <w:szCs w:val="18"/>
        </w:rPr>
        <w:instrText xml:space="preserve"> REF _Ref83888224 \h  \* MERGEFORMAT </w:instrText>
      </w:r>
      <w:r w:rsidR="00D5064E" w:rsidRPr="00D5064E">
        <w:rPr>
          <w:sz w:val="18"/>
          <w:szCs w:val="18"/>
        </w:rPr>
      </w:r>
      <w:r w:rsidR="00D5064E" w:rsidRPr="00D5064E">
        <w:rPr>
          <w:sz w:val="18"/>
          <w:szCs w:val="18"/>
        </w:rPr>
        <w:fldChar w:fldCharType="separate"/>
      </w:r>
      <w:r w:rsidR="009E3A92" w:rsidRPr="00103034">
        <w:rPr>
          <w:sz w:val="18"/>
          <w:szCs w:val="18"/>
        </w:rPr>
        <w:t>D.3</w:t>
      </w:r>
      <w:r w:rsidR="009E3A92">
        <w:t xml:space="preserve"> Protection ratio correction factors</w:t>
      </w:r>
      <w:r w:rsidR="00D5064E" w:rsidRPr="00D5064E">
        <w:rPr>
          <w:sz w:val="18"/>
          <w:szCs w:val="18"/>
        </w:rPr>
        <w:fldChar w:fldCharType="end"/>
      </w:r>
      <w:r w:rsidR="0035428D">
        <w:rPr>
          <w:sz w:val="18"/>
          <w:szCs w:val="18"/>
        </w:rPr>
        <w:t>.</w:t>
      </w:r>
    </w:p>
    <w:p w14:paraId="25DC42C1" w14:textId="06EF807E" w:rsidR="0035428D" w:rsidRDefault="0035428D" w:rsidP="00881BB5">
      <w:pPr>
        <w:pStyle w:val="ListParagraph"/>
        <w:numPr>
          <w:ilvl w:val="0"/>
          <w:numId w:val="30"/>
        </w:numPr>
        <w:rPr>
          <w:sz w:val="18"/>
          <w:szCs w:val="18"/>
        </w:rPr>
      </w:pPr>
      <w:r>
        <w:rPr>
          <w:sz w:val="18"/>
          <w:szCs w:val="18"/>
        </w:rPr>
        <w:t>Separate protection ratios for analog victims have not been defined. The above-mentioned protection ratios for digital systems shall be applied in such cases.</w:t>
      </w:r>
    </w:p>
    <w:p w14:paraId="6DF87F87" w14:textId="6BD9CEBB" w:rsidR="006D72D2" w:rsidRPr="006D72D2" w:rsidRDefault="00362FB0" w:rsidP="00103034">
      <w:pPr>
        <w:pStyle w:val="Heading2"/>
        <w:numPr>
          <w:ilvl w:val="0"/>
          <w:numId w:val="0"/>
        </w:numPr>
        <w:ind w:left="431" w:hanging="431"/>
      </w:pPr>
      <w:bookmarkStart w:id="397" w:name="_Toc94773108"/>
      <w:r>
        <w:lastRenderedPageBreak/>
        <w:t>D</w:t>
      </w:r>
      <w:r w:rsidR="00140249" w:rsidRPr="006D72D2">
        <w:t xml:space="preserve">.2 </w:t>
      </w:r>
      <w:r w:rsidR="00014804" w:rsidRPr="006D72D2">
        <w:t>Protection from AWL-authorised transmitting earth stations</w:t>
      </w:r>
      <w:bookmarkEnd w:id="397"/>
    </w:p>
    <w:p w14:paraId="1881BD86" w14:textId="385441D9" w:rsidR="009353E6" w:rsidRDefault="009353E6" w:rsidP="006D72D2">
      <w:r>
        <w:rPr>
          <w:szCs w:val="22"/>
        </w:rPr>
        <w:t xml:space="preserve">This section </w:t>
      </w:r>
      <w:r w:rsidR="00014804">
        <w:rPr>
          <w:szCs w:val="22"/>
        </w:rPr>
        <w:t>specifies</w:t>
      </w:r>
      <w:r>
        <w:rPr>
          <w:szCs w:val="22"/>
        </w:rPr>
        <w:t xml:space="preserve"> the protection ratios for</w:t>
      </w:r>
      <w:r w:rsidR="00BA1D1C">
        <w:rPr>
          <w:szCs w:val="22"/>
        </w:rPr>
        <w:t xml:space="preserve"> the</w:t>
      </w:r>
      <w:r>
        <w:rPr>
          <w:szCs w:val="22"/>
        </w:rPr>
        <w:t xml:space="preserve"> coordination of earth stations with 28 GHz band fixed services.</w:t>
      </w:r>
      <w:r w:rsidRPr="009353E6">
        <w:t xml:space="preserve"> </w:t>
      </w:r>
      <w:r w:rsidR="00D5064E" w:rsidRPr="00D5064E">
        <w:t xml:space="preserve">Protection ratios </w:t>
      </w:r>
      <w:r w:rsidR="00D5064E">
        <w:t>in Table 1</w:t>
      </w:r>
      <w:r w:rsidR="00EC42C1">
        <w:t>3</w:t>
      </w:r>
      <w:r w:rsidR="00D5064E">
        <w:t xml:space="preserve"> </w:t>
      </w:r>
      <w:r w:rsidR="00D5064E" w:rsidRPr="00D5064E">
        <w:t xml:space="preserve">are based on a 2 km path length and R (Rainfall rate in mm/hr for 0.01% of the worst month) of 40 mm/hr using Recommendation ITU-R P.530-15, section 2.4 as outlined in spectrum planning report SPP 2014/07. For other path lengths and rainfall rates refer to the appropriate path length correction factors graph in section </w:t>
      </w:r>
      <w:r w:rsidR="00EC42C1">
        <w:t>D</w:t>
      </w:r>
      <w:r w:rsidR="00D5064E" w:rsidRPr="00D5064E">
        <w:t>.3.</w:t>
      </w:r>
    </w:p>
    <w:p w14:paraId="3378B9F6" w14:textId="7939C281" w:rsidR="00014322" w:rsidRDefault="00014322" w:rsidP="00014322">
      <w:pPr>
        <w:pStyle w:val="ACMATableHeader"/>
      </w:pPr>
      <w:r w:rsidRPr="00D9504D">
        <w:t>Protection ratios for victim fixed link receiver</w:t>
      </w:r>
      <w:r>
        <w:t>s</w:t>
      </w:r>
      <w:r w:rsidRPr="00D9504D">
        <w:t xml:space="preserve"> and interfering </w:t>
      </w:r>
      <w:r>
        <w:t>earth stations</w:t>
      </w:r>
    </w:p>
    <w:tbl>
      <w:tblPr>
        <w:tblStyle w:val="TableGrid"/>
        <w:tblW w:w="0" w:type="auto"/>
        <w:tblLook w:val="04A0" w:firstRow="1" w:lastRow="0" w:firstColumn="1" w:lastColumn="0" w:noHBand="0" w:noVBand="1"/>
      </w:tblPr>
      <w:tblGrid>
        <w:gridCol w:w="3823"/>
        <w:gridCol w:w="2835"/>
      </w:tblGrid>
      <w:tr w:rsidR="00014322" w14:paraId="2B782F3B" w14:textId="77777777" w:rsidTr="00B37AFF">
        <w:tc>
          <w:tcPr>
            <w:tcW w:w="3823" w:type="dxa"/>
            <w:vAlign w:val="center"/>
          </w:tcPr>
          <w:p w14:paraId="4516F8A0" w14:textId="77777777" w:rsidR="00014322" w:rsidRPr="007350D6" w:rsidRDefault="00014322" w:rsidP="00B37AFF">
            <w:pPr>
              <w:keepNext/>
              <w:keepLines/>
              <w:jc w:val="center"/>
              <w:rPr>
                <w:b/>
              </w:rPr>
            </w:pPr>
            <w:r w:rsidRPr="00F12403">
              <w:rPr>
                <w:b/>
              </w:rPr>
              <w:t>Description</w:t>
            </w:r>
          </w:p>
        </w:tc>
        <w:tc>
          <w:tcPr>
            <w:tcW w:w="2835" w:type="dxa"/>
            <w:vAlign w:val="center"/>
          </w:tcPr>
          <w:p w14:paraId="1D4CEEF7" w14:textId="77777777" w:rsidR="00014322" w:rsidRPr="007350D6" w:rsidRDefault="00014322" w:rsidP="00B37AFF">
            <w:pPr>
              <w:keepNext/>
              <w:keepLines/>
              <w:jc w:val="center"/>
              <w:rPr>
                <w:b/>
              </w:rPr>
            </w:pPr>
            <w:r w:rsidRPr="00F12403">
              <w:rPr>
                <w:b/>
              </w:rPr>
              <w:t>Protection ratio (dB)</w:t>
            </w:r>
          </w:p>
        </w:tc>
      </w:tr>
      <w:tr w:rsidR="00014322" w14:paraId="2A92FB1D" w14:textId="77777777" w:rsidTr="00B37AFF">
        <w:tc>
          <w:tcPr>
            <w:tcW w:w="3823" w:type="dxa"/>
            <w:vAlign w:val="center"/>
          </w:tcPr>
          <w:p w14:paraId="3CB8B86F" w14:textId="77777777" w:rsidR="00014322" w:rsidRDefault="00014322" w:rsidP="00B37AFF">
            <w:pPr>
              <w:keepNext/>
              <w:keepLines/>
              <w:jc w:val="center"/>
            </w:pPr>
            <w:r>
              <w:t>Co-channel overlap</w:t>
            </w:r>
          </w:p>
        </w:tc>
        <w:tc>
          <w:tcPr>
            <w:tcW w:w="2835" w:type="dxa"/>
            <w:vAlign w:val="center"/>
          </w:tcPr>
          <w:p w14:paraId="1588578A" w14:textId="77777777" w:rsidR="00014322" w:rsidRDefault="00014322" w:rsidP="00B37AFF">
            <w:pPr>
              <w:keepNext/>
              <w:keepLines/>
              <w:jc w:val="center"/>
            </w:pPr>
            <w:r>
              <w:t>65</w:t>
            </w:r>
          </w:p>
        </w:tc>
      </w:tr>
      <w:tr w:rsidR="00014322" w14:paraId="4303C698" w14:textId="77777777" w:rsidTr="00B37AFF">
        <w:tc>
          <w:tcPr>
            <w:tcW w:w="3823" w:type="dxa"/>
            <w:vAlign w:val="center"/>
          </w:tcPr>
          <w:p w14:paraId="63B840EE" w14:textId="77777777" w:rsidR="00014322" w:rsidRDefault="00014322" w:rsidP="00B37AFF">
            <w:pPr>
              <w:keepNext/>
              <w:keepLines/>
              <w:jc w:val="center"/>
            </w:pPr>
            <w:r>
              <w:t>First Adjacent-channel overlap</w:t>
            </w:r>
          </w:p>
        </w:tc>
        <w:tc>
          <w:tcPr>
            <w:tcW w:w="2835" w:type="dxa"/>
            <w:vAlign w:val="center"/>
          </w:tcPr>
          <w:p w14:paraId="2E9FC98C" w14:textId="77777777" w:rsidR="00014322" w:rsidRDefault="00014322" w:rsidP="00B37AFF">
            <w:pPr>
              <w:keepNext/>
              <w:keepLines/>
              <w:jc w:val="center"/>
            </w:pPr>
            <w:r>
              <w:t>35</w:t>
            </w:r>
          </w:p>
        </w:tc>
      </w:tr>
      <w:tr w:rsidR="00014322" w14:paraId="30D97065" w14:textId="77777777" w:rsidTr="00B37AFF">
        <w:tc>
          <w:tcPr>
            <w:tcW w:w="3823" w:type="dxa"/>
            <w:vAlign w:val="center"/>
          </w:tcPr>
          <w:p w14:paraId="02E67AAE" w14:textId="77777777" w:rsidR="00014322" w:rsidRDefault="00014322" w:rsidP="00B37AFF">
            <w:pPr>
              <w:keepNext/>
              <w:keepLines/>
              <w:jc w:val="center"/>
            </w:pPr>
            <w:r>
              <w:t>Second Adjacent-channel overlap</w:t>
            </w:r>
          </w:p>
        </w:tc>
        <w:tc>
          <w:tcPr>
            <w:tcW w:w="2835" w:type="dxa"/>
            <w:vAlign w:val="center"/>
          </w:tcPr>
          <w:p w14:paraId="5EFD274C" w14:textId="77777777" w:rsidR="00014322" w:rsidRDefault="00014322" w:rsidP="00B37AFF">
            <w:pPr>
              <w:keepNext/>
              <w:keepLines/>
              <w:jc w:val="center"/>
            </w:pPr>
            <w:r>
              <w:t>15</w:t>
            </w:r>
          </w:p>
        </w:tc>
      </w:tr>
      <w:tr w:rsidR="00014322" w14:paraId="3AD94FC6" w14:textId="77777777" w:rsidTr="00B37AFF">
        <w:tc>
          <w:tcPr>
            <w:tcW w:w="3823" w:type="dxa"/>
            <w:vAlign w:val="center"/>
          </w:tcPr>
          <w:p w14:paraId="20B99EBF" w14:textId="77777777" w:rsidR="00014322" w:rsidRDefault="00014322" w:rsidP="00B37AFF">
            <w:pPr>
              <w:keepNext/>
              <w:keepLines/>
              <w:jc w:val="center"/>
            </w:pPr>
            <w:r>
              <w:t>Third Adjacent-channel and beyond</w:t>
            </w:r>
          </w:p>
        </w:tc>
        <w:tc>
          <w:tcPr>
            <w:tcW w:w="2835" w:type="dxa"/>
            <w:vAlign w:val="center"/>
          </w:tcPr>
          <w:p w14:paraId="0C0BC6E1" w14:textId="77777777" w:rsidR="00014322" w:rsidRDefault="00014322" w:rsidP="00B37AFF">
            <w:pPr>
              <w:keepNext/>
              <w:keepLines/>
              <w:jc w:val="center"/>
            </w:pPr>
            <w:r>
              <w:t>No coordination required</w:t>
            </w:r>
          </w:p>
        </w:tc>
      </w:tr>
    </w:tbl>
    <w:p w14:paraId="10C21261" w14:textId="546D92C1" w:rsidR="00140249" w:rsidRDefault="001F23EC" w:rsidP="00103034">
      <w:r>
        <w:rPr>
          <w:b/>
        </w:rPr>
        <w:br w:type="page"/>
      </w:r>
    </w:p>
    <w:p w14:paraId="48EB288F" w14:textId="4958C9C6" w:rsidR="009D16FA" w:rsidRPr="00103034" w:rsidRDefault="00362FB0" w:rsidP="00103034">
      <w:pPr>
        <w:pStyle w:val="Heading2"/>
        <w:numPr>
          <w:ilvl w:val="0"/>
          <w:numId w:val="0"/>
        </w:numPr>
        <w:rPr>
          <w:b w:val="0"/>
        </w:rPr>
      </w:pPr>
      <w:bookmarkStart w:id="398" w:name="_Ref83888224"/>
      <w:bookmarkStart w:id="399" w:name="_Toc94773109"/>
      <w:r>
        <w:lastRenderedPageBreak/>
        <w:t>D</w:t>
      </w:r>
      <w:r w:rsidR="009D16FA">
        <w:t>.3 Protection ratio correction factors</w:t>
      </w:r>
      <w:bookmarkEnd w:id="398"/>
      <w:bookmarkEnd w:id="399"/>
    </w:p>
    <w:p w14:paraId="0432381E" w14:textId="0FAD3C7E" w:rsidR="001F23EC" w:rsidRPr="001F23EC" w:rsidRDefault="001F23EC" w:rsidP="001F23EC">
      <w:pPr>
        <w:jc w:val="center"/>
        <w:rPr>
          <w:rFonts w:ascii="Times New Roman" w:hAnsi="Times New Roman"/>
          <w:b/>
          <w:sz w:val="24"/>
        </w:rPr>
      </w:pPr>
      <w:r w:rsidRPr="001F23EC">
        <w:rPr>
          <w:b/>
        </w:rPr>
        <w:t>THE 28 GHz BAND (27.5 – 29.5 GHz)</w:t>
      </w:r>
    </w:p>
    <w:p w14:paraId="7BA24C68" w14:textId="71375832" w:rsidR="001F23EC" w:rsidRPr="001F23EC" w:rsidRDefault="001F23EC" w:rsidP="001F23EC">
      <w:pPr>
        <w:jc w:val="center"/>
        <w:rPr>
          <w:b/>
          <w:sz w:val="24"/>
        </w:rPr>
      </w:pPr>
      <w:r w:rsidRPr="001F23EC">
        <w:rPr>
          <w:b/>
        </w:rPr>
        <w:t>PROTECTION RATIO CORRECTION FACTORS</w:t>
      </w:r>
    </w:p>
    <w:p w14:paraId="1C5A21BA" w14:textId="77777777" w:rsidR="001F23EC" w:rsidRPr="001F23EC" w:rsidRDefault="001F23EC" w:rsidP="001F23EC">
      <w:pPr>
        <w:jc w:val="center"/>
        <w:rPr>
          <w:b/>
          <w:sz w:val="24"/>
        </w:rPr>
      </w:pPr>
      <w:r w:rsidRPr="001F23EC">
        <w:rPr>
          <w:b/>
        </w:rPr>
        <w:t>RAIN FADE</w:t>
      </w:r>
    </w:p>
    <w:p w14:paraId="48CC9E6F" w14:textId="2D0CF204" w:rsidR="001F23EC" w:rsidRPr="001F23EC" w:rsidRDefault="001F23EC" w:rsidP="001F23EC">
      <w:pPr>
        <w:jc w:val="center"/>
        <w:rPr>
          <w:b/>
        </w:rPr>
      </w:pPr>
      <w:r>
        <w:rPr>
          <w:noProof/>
        </w:rPr>
        <w:drawing>
          <wp:inline distT="0" distB="0" distL="0" distR="0" wp14:anchorId="4645F0C3" wp14:editId="69516551">
            <wp:extent cx="4871085" cy="6619875"/>
            <wp:effectExtent l="0" t="0" r="5715" b="9525"/>
            <wp:docPr id="1" name="Picture 1" descr="If you have problems reading or accessing this document, please phone ACMA on 1300 850 115 or email info@acma.gov.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If you have problems reading or accessing this document, please phone ACMA on 1300 850 115 or email info@acma.gov.au"/>
                    <pic:cNvPicPr/>
                  </pic:nvPicPr>
                  <pic:blipFill>
                    <a:blip r:embed="rId61">
                      <a:extLst>
                        <a:ext uri="{28A0092B-C50C-407E-A947-70E740481C1C}">
                          <a14:useLocalDpi xmlns:a14="http://schemas.microsoft.com/office/drawing/2010/main" val="0"/>
                        </a:ext>
                      </a:extLst>
                    </a:blip>
                    <a:stretch>
                      <a:fillRect/>
                    </a:stretch>
                  </pic:blipFill>
                  <pic:spPr>
                    <a:xfrm>
                      <a:off x="0" y="0"/>
                      <a:ext cx="4871086" cy="6619876"/>
                    </a:xfrm>
                    <a:prstGeom prst="rect">
                      <a:avLst/>
                    </a:prstGeom>
                  </pic:spPr>
                </pic:pic>
              </a:graphicData>
            </a:graphic>
          </wp:inline>
        </w:drawing>
      </w:r>
    </w:p>
    <w:p w14:paraId="6CE6D533" w14:textId="77777777" w:rsidR="001F23EC" w:rsidRPr="001F23EC" w:rsidRDefault="001F23EC" w:rsidP="001F23EC">
      <w:pPr>
        <w:rPr>
          <w:sz w:val="18"/>
          <w:szCs w:val="18"/>
        </w:rPr>
      </w:pPr>
      <w:r w:rsidRPr="001F23EC">
        <w:rPr>
          <w:sz w:val="18"/>
          <w:szCs w:val="18"/>
        </w:rPr>
        <w:t>R: Rainfall rate in mm/hr for 0.01% of the worst month.</w:t>
      </w:r>
    </w:p>
    <w:p w14:paraId="55D592D7" w14:textId="15FFA62D" w:rsidR="001F23EC" w:rsidRPr="001F23EC" w:rsidRDefault="001F23EC" w:rsidP="001F23EC">
      <w:pPr>
        <w:rPr>
          <w:sz w:val="18"/>
          <w:szCs w:val="18"/>
        </w:rPr>
      </w:pPr>
      <w:r w:rsidRPr="001F23EC">
        <w:rPr>
          <w:sz w:val="18"/>
          <w:szCs w:val="18"/>
        </w:rPr>
        <w:t>For further details refer to Annex A to Appendix 1</w:t>
      </w:r>
      <w:r w:rsidR="00DC403B">
        <w:rPr>
          <w:sz w:val="18"/>
          <w:szCs w:val="18"/>
        </w:rPr>
        <w:t xml:space="preserve"> of RALI FX-3</w:t>
      </w:r>
      <w:r w:rsidRPr="001F23EC">
        <w:rPr>
          <w:sz w:val="18"/>
          <w:szCs w:val="18"/>
        </w:rPr>
        <w:t>.</w:t>
      </w:r>
    </w:p>
    <w:p w14:paraId="70AC75E3" w14:textId="2874A66E" w:rsidR="00F16ED2" w:rsidRPr="00701ADF" w:rsidRDefault="00F16ED2" w:rsidP="00F16ED2">
      <w:pPr>
        <w:pStyle w:val="Heading1"/>
        <w:numPr>
          <w:ilvl w:val="0"/>
          <w:numId w:val="0"/>
        </w:numPr>
      </w:pPr>
      <w:bookmarkStart w:id="400" w:name="_Toc368045570"/>
      <w:bookmarkStart w:id="401" w:name="_Toc457205669"/>
      <w:bookmarkStart w:id="402" w:name="_Toc438128043"/>
      <w:bookmarkStart w:id="403" w:name="_Toc53385015"/>
      <w:bookmarkStart w:id="404" w:name="_Ref91152874"/>
      <w:bookmarkStart w:id="405" w:name="_Ref94007925"/>
      <w:bookmarkStart w:id="406" w:name="_Toc94773110"/>
      <w:bookmarkStart w:id="407" w:name="_Toc355509357"/>
      <w:bookmarkStart w:id="408" w:name="_Toc355509439"/>
      <w:bookmarkStart w:id="409" w:name="_Toc355509468"/>
      <w:bookmarkStart w:id="410" w:name="_Toc356902080"/>
      <w:bookmarkStart w:id="411" w:name="_Toc356902230"/>
      <w:bookmarkStart w:id="412" w:name="_Toc356966868"/>
      <w:r w:rsidRPr="00701ADF">
        <w:lastRenderedPageBreak/>
        <w:t xml:space="preserve">Appendix </w:t>
      </w:r>
      <w:r w:rsidR="00362FB0">
        <w:t>E</w:t>
      </w:r>
      <w:r w:rsidRPr="00701ADF">
        <w:t xml:space="preserve">: </w:t>
      </w:r>
      <w:bookmarkEnd w:id="400"/>
      <w:r w:rsidRPr="00701ADF">
        <w:t>Calculating antenna off-axis angle in two dimensions</w:t>
      </w:r>
      <w:bookmarkEnd w:id="401"/>
      <w:bookmarkEnd w:id="402"/>
      <w:bookmarkEnd w:id="403"/>
      <w:bookmarkEnd w:id="404"/>
      <w:bookmarkEnd w:id="405"/>
      <w:bookmarkEnd w:id="406"/>
    </w:p>
    <w:bookmarkEnd w:id="407"/>
    <w:bookmarkEnd w:id="408"/>
    <w:bookmarkEnd w:id="409"/>
    <w:bookmarkEnd w:id="410"/>
    <w:bookmarkEnd w:id="411"/>
    <w:bookmarkEnd w:id="412"/>
    <w:p w14:paraId="2333788F" w14:textId="0721B297" w:rsidR="00F16ED2" w:rsidRPr="004D595E" w:rsidRDefault="00F16ED2" w:rsidP="00F16ED2">
      <w:r w:rsidRPr="004D595E">
        <w:t>The off-axis angle from a</w:t>
      </w:r>
      <w:r w:rsidR="00274C3C">
        <w:t>n earth</w:t>
      </w:r>
      <w:r w:rsidRPr="004D595E">
        <w:t xml:space="preserve"> station’s antenna boresight can be separated into its horizontal and vertical components. This appendix deals with the horizontal component only, </w:t>
      </w:r>
      <w:proofErr w:type="gramStart"/>
      <w:r w:rsidRPr="004D595E">
        <w:t>i.e.</w:t>
      </w:r>
      <w:proofErr w:type="gramEnd"/>
      <w:r w:rsidRPr="004D595E">
        <w:t xml:space="preserve"> the off-axis angle in 2-dimensions. For calculations in 3-dimensions involving the vertical component of a station’s off-axis angle, also </w:t>
      </w:r>
      <w:r w:rsidRPr="00965A38">
        <w:t xml:space="preserve">see </w:t>
      </w:r>
      <w:r w:rsidRPr="002F7BA1">
        <w:t xml:space="preserve">Appendix </w:t>
      </w:r>
      <w:r w:rsidR="008D7E76">
        <w:t>F</w:t>
      </w:r>
      <w:r w:rsidRPr="002F7BA1">
        <w:t>.</w:t>
      </w:r>
    </w:p>
    <w:p w14:paraId="08A4B96E" w14:textId="28A5D15C" w:rsidR="00F16ED2" w:rsidRPr="004D595E" w:rsidRDefault="00F16ED2" w:rsidP="00F16ED2">
      <w:r w:rsidRPr="004D595E">
        <w:t>The horizontal component of the off-axis angle from Station 1 is related to the location of Station 2 relative to Station 1’s antenna boresight direction (</w:t>
      </w:r>
      <w:r>
        <w:t xml:space="preserve">Table </w:t>
      </w:r>
      <w:r w:rsidR="00793EB8">
        <w:t>1</w:t>
      </w:r>
      <w:r w:rsidR="008D7E76">
        <w:t>4</w:t>
      </w:r>
      <w:r w:rsidRPr="004D595E">
        <w:t xml:space="preserve"> provides definition of Station 1 and 2). The off-axis angle of Station 2 from Station 1’s antenna boresight in 2-dimensions is given by the equation:</w:t>
      </w:r>
    </w:p>
    <w:tbl>
      <w:tblPr>
        <w:tblW w:w="0" w:type="auto"/>
        <w:tblLook w:val="04A0" w:firstRow="1" w:lastRow="0" w:firstColumn="1" w:lastColumn="0" w:noHBand="0" w:noVBand="1"/>
      </w:tblPr>
      <w:tblGrid>
        <w:gridCol w:w="6819"/>
        <w:gridCol w:w="852"/>
      </w:tblGrid>
      <w:tr w:rsidR="00F54799" w:rsidRPr="004D595E" w14:paraId="061ED52A" w14:textId="77777777" w:rsidTr="00EB097F">
        <w:tc>
          <w:tcPr>
            <w:tcW w:w="7763" w:type="dxa"/>
          </w:tcPr>
          <w:p w14:paraId="326A5C45" w14:textId="77777777" w:rsidR="00F16ED2" w:rsidRPr="008972B6" w:rsidRDefault="003A7F61" w:rsidP="00EB097F">
            <w:pPr>
              <w:ind w:left="1171" w:hanging="1171"/>
              <w:jc w:val="center"/>
            </w:pPr>
            <m:oMathPara>
              <m:oMathParaPr>
                <m:jc m:val="left"/>
              </m:oMathParaPr>
              <m:oMath>
                <m:sSub>
                  <m:sSubPr>
                    <m:ctrlPr>
                      <w:rPr>
                        <w:rFonts w:ascii="Cambria Math" w:hAnsi="Cambria Math"/>
                        <w:i/>
                      </w:rPr>
                    </m:ctrlPr>
                  </m:sSubPr>
                  <m:e>
                    <m:r>
                      <w:rPr>
                        <w:rFonts w:ascii="Cambria Math"/>
                      </w:rPr>
                      <m:t>θ</m:t>
                    </m:r>
                  </m:e>
                  <m:sub>
                    <m:r>
                      <w:rPr>
                        <w:rFonts w:ascii="Cambria Math" w:hAnsi="Cambria Math" w:cs="Cambria Math"/>
                      </w:rPr>
                      <m:t>h</m:t>
                    </m:r>
                  </m:sub>
                </m:sSub>
                <m:r>
                  <w:rPr>
                    <w:rFonts w:asci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rPr>
                          <m:t>Θ</m:t>
                        </m:r>
                      </m:e>
                      <m:sub>
                        <m:r>
                          <w:rPr>
                            <w:rFonts w:ascii="Cambria Math"/>
                          </w:rPr>
                          <m:t>S1</m:t>
                        </m:r>
                      </m:sub>
                    </m:sSub>
                    <m:r>
                      <w:rPr>
                        <w:rFonts w:ascii="Cambria Math"/>
                      </w:rPr>
                      <m:t>-</m:t>
                    </m:r>
                    <m:sSub>
                      <m:sSubPr>
                        <m:ctrlPr>
                          <w:rPr>
                            <w:rFonts w:ascii="Cambria Math" w:hAnsi="Cambria Math"/>
                            <w:i/>
                          </w:rPr>
                        </m:ctrlPr>
                      </m:sSubPr>
                      <m:e>
                        <m:r>
                          <w:rPr>
                            <w:rFonts w:ascii="Cambria Math"/>
                          </w:rPr>
                          <m:t>Θ</m:t>
                        </m:r>
                      </m:e>
                      <m:sub>
                        <m:r>
                          <w:rPr>
                            <w:rFonts w:ascii="Cambria Math"/>
                          </w:rPr>
                          <m:t>S1,S2</m:t>
                        </m:r>
                      </m:sub>
                    </m:sSub>
                  </m:e>
                </m:d>
              </m:oMath>
            </m:oMathPara>
          </w:p>
        </w:tc>
        <w:tc>
          <w:tcPr>
            <w:tcW w:w="766" w:type="dxa"/>
          </w:tcPr>
          <w:p w14:paraId="35629C75" w14:textId="32CCF005" w:rsidR="00F16ED2" w:rsidRPr="004D595E" w:rsidRDefault="00F16ED2" w:rsidP="00EB097F">
            <w:pPr>
              <w:ind w:left="851" w:hanging="851"/>
              <w:rPr>
                <w:b/>
                <w:bCs/>
                <w:i/>
              </w:rPr>
            </w:pPr>
            <w:r w:rsidRPr="004D595E">
              <w:rPr>
                <w:b/>
                <w:bCs/>
              </w:rPr>
              <w:t>(A</w:t>
            </w:r>
            <w:r w:rsidR="008D7E76">
              <w:rPr>
                <w:b/>
                <w:bCs/>
              </w:rPr>
              <w:t>E</w:t>
            </w:r>
            <w:r w:rsidRPr="004D595E">
              <w:rPr>
                <w:b/>
                <w:bCs/>
              </w:rPr>
              <w:t>.1)</w:t>
            </w:r>
          </w:p>
        </w:tc>
      </w:tr>
    </w:tbl>
    <w:p w14:paraId="118A8BB0" w14:textId="77777777" w:rsidR="00F16ED2" w:rsidRPr="004D595E" w:rsidRDefault="00F16ED2" w:rsidP="00F16ED2">
      <w:pPr>
        <w:ind w:left="1571" w:hanging="851"/>
      </w:pPr>
      <w:r w:rsidRPr="004D595E">
        <w:t>where:</w:t>
      </w:r>
    </w:p>
    <w:p w14:paraId="0B1DAAEB" w14:textId="77777777" w:rsidR="00F16ED2" w:rsidRPr="004D595E" w:rsidRDefault="00F16ED2" w:rsidP="00F16ED2">
      <w:pPr>
        <w:tabs>
          <w:tab w:val="left" w:pos="1985"/>
        </w:tabs>
        <w:ind w:left="2127" w:hanging="851"/>
      </w:pPr>
      <w:proofErr w:type="spellStart"/>
      <w:r w:rsidRPr="004D595E">
        <w:rPr>
          <w:i/>
        </w:rPr>
        <w:t>θ</w:t>
      </w:r>
      <w:r w:rsidRPr="004D595E">
        <w:rPr>
          <w:i/>
          <w:vertAlign w:val="subscript"/>
        </w:rPr>
        <w:t>h</w:t>
      </w:r>
      <w:proofErr w:type="spellEnd"/>
      <w:r w:rsidRPr="004D595E">
        <w:t xml:space="preserve"> </w:t>
      </w:r>
      <w:r>
        <w:tab/>
      </w:r>
      <w:r w:rsidRPr="004D595E">
        <w:t xml:space="preserve">: </w:t>
      </w:r>
      <w:r>
        <w:tab/>
      </w:r>
      <w:r w:rsidRPr="004D595E">
        <w:t>Horizontal component of antenna’s off-axis angle</w:t>
      </w:r>
    </w:p>
    <w:p w14:paraId="0C32B3E5" w14:textId="77777777" w:rsidR="00F16ED2" w:rsidRPr="004D595E" w:rsidRDefault="00F16ED2" w:rsidP="00F16ED2">
      <w:pPr>
        <w:tabs>
          <w:tab w:val="left" w:pos="1985"/>
        </w:tabs>
        <w:ind w:left="2127" w:hanging="851"/>
      </w:pPr>
      <w:r w:rsidRPr="004D595E">
        <w:t>Θ</w:t>
      </w:r>
      <w:r w:rsidRPr="004D595E">
        <w:rPr>
          <w:i/>
          <w:vertAlign w:val="subscript"/>
        </w:rPr>
        <w:t>S1</w:t>
      </w:r>
      <w:r w:rsidRPr="004D595E">
        <w:t xml:space="preserve"> </w:t>
      </w:r>
      <w:r>
        <w:tab/>
      </w:r>
      <w:r w:rsidRPr="004D595E">
        <w:t xml:space="preserve">: </w:t>
      </w:r>
      <w:r>
        <w:tab/>
      </w:r>
      <w:r w:rsidRPr="004D595E">
        <w:t xml:space="preserve">Station 1 azimuth (direction of Station 1’s antenna relative to north, in degrees, where 0 ≤ </w:t>
      </w:r>
      <w:r w:rsidRPr="004D595E">
        <w:rPr>
          <w:iCs/>
        </w:rPr>
        <w:t>Θ</w:t>
      </w:r>
      <w:r w:rsidRPr="004D595E">
        <w:rPr>
          <w:i/>
          <w:vertAlign w:val="subscript"/>
        </w:rPr>
        <w:t>S1</w:t>
      </w:r>
      <w:r w:rsidRPr="004D595E">
        <w:t xml:space="preserve"> &lt; 360)</w:t>
      </w:r>
    </w:p>
    <w:p w14:paraId="102C065A" w14:textId="6E949286" w:rsidR="00F16ED2" w:rsidRDefault="00F16ED2" w:rsidP="00F16ED2">
      <w:pPr>
        <w:tabs>
          <w:tab w:val="left" w:pos="1985"/>
        </w:tabs>
        <w:ind w:left="2127" w:hanging="851"/>
      </w:pPr>
      <w:r w:rsidRPr="004D595E">
        <w:t>Θ</w:t>
      </w:r>
      <w:r w:rsidRPr="004D595E">
        <w:rPr>
          <w:i/>
          <w:vertAlign w:val="subscript"/>
        </w:rPr>
        <w:t>S1,S2</w:t>
      </w:r>
      <w:r>
        <w:rPr>
          <w:i/>
          <w:vertAlign w:val="subscript"/>
        </w:rPr>
        <w:tab/>
      </w:r>
      <w:r w:rsidRPr="004D595E">
        <w:t>:</w:t>
      </w:r>
      <w:r>
        <w:tab/>
      </w:r>
      <w:r w:rsidRPr="004D595E">
        <w:t>Azimuth of Station 2 relative to Station 1 (direction of Station 2’s location from the location of Station 1, relative to north in a clockwise direction, in degrees, where 0 ≤ Θ</w:t>
      </w:r>
      <w:r w:rsidRPr="004D595E">
        <w:rPr>
          <w:i/>
          <w:vertAlign w:val="subscript"/>
        </w:rPr>
        <w:t>S1,S2</w:t>
      </w:r>
      <w:r w:rsidRPr="004D595E">
        <w:t xml:space="preserve"> &lt; 360)</w:t>
      </w:r>
    </w:p>
    <w:p w14:paraId="2DCA1018" w14:textId="663D30AD" w:rsidR="00C04D28" w:rsidRPr="004D595E" w:rsidRDefault="00C04D28" w:rsidP="00C04D28">
      <w:pPr>
        <w:pStyle w:val="ACMATableHeader"/>
        <w:tabs>
          <w:tab w:val="left" w:pos="1985"/>
        </w:tabs>
        <w:ind w:left="993" w:hanging="993"/>
      </w:pPr>
      <w:r w:rsidRPr="00C04D28">
        <w:t xml:space="preserve"> </w:t>
      </w:r>
      <w:r w:rsidRPr="00EA7811">
        <w:t xml:space="preserve">Definitions of Station 1 and Station 2 to be used in calculating </w:t>
      </w:r>
      <w:proofErr w:type="spellStart"/>
      <w:r w:rsidRPr="00EA7811">
        <w:t>θ</w:t>
      </w:r>
      <w:r w:rsidRPr="00274C3C">
        <w:rPr>
          <w:vertAlign w:val="subscript"/>
        </w:rPr>
        <w:t>h</w:t>
      </w:r>
      <w:proofErr w:type="spellEnd"/>
      <w:r w:rsidRPr="00EA7811">
        <w:t>.</w:t>
      </w:r>
    </w:p>
    <w:tbl>
      <w:tblPr>
        <w:tblStyle w:val="TableGrid"/>
        <w:tblW w:w="0" w:type="auto"/>
        <w:tblLook w:val="04A0" w:firstRow="1" w:lastRow="0" w:firstColumn="1" w:lastColumn="0" w:noHBand="0" w:noVBand="1"/>
      </w:tblPr>
      <w:tblGrid>
        <w:gridCol w:w="1744"/>
        <w:gridCol w:w="2915"/>
        <w:gridCol w:w="3002"/>
      </w:tblGrid>
      <w:tr w:rsidR="00F54799" w14:paraId="7AE07538" w14:textId="77777777" w:rsidTr="0078055E">
        <w:tc>
          <w:tcPr>
            <w:tcW w:w="1744" w:type="dxa"/>
            <w:vMerge w:val="restart"/>
          </w:tcPr>
          <w:p w14:paraId="03FC59FB" w14:textId="77777777" w:rsidR="00F16ED2" w:rsidRPr="00194B30" w:rsidRDefault="00F16ED2" w:rsidP="00EB097F">
            <w:pPr>
              <w:rPr>
                <w:b/>
              </w:rPr>
            </w:pPr>
            <w:r w:rsidRPr="00194B30">
              <w:rPr>
                <w:b/>
              </w:rPr>
              <w:t>Interference scenario</w:t>
            </w:r>
          </w:p>
        </w:tc>
        <w:tc>
          <w:tcPr>
            <w:tcW w:w="5917" w:type="dxa"/>
            <w:gridSpan w:val="2"/>
          </w:tcPr>
          <w:p w14:paraId="031496E7" w14:textId="77777777" w:rsidR="00F16ED2" w:rsidRPr="00194B30" w:rsidRDefault="00F16ED2" w:rsidP="00EB097F">
            <w:pPr>
              <w:jc w:val="center"/>
              <w:rPr>
                <w:b/>
              </w:rPr>
            </w:pPr>
            <w:r w:rsidRPr="004D595E">
              <w:rPr>
                <w:b/>
              </w:rPr>
              <w:t>Off-axis angle to be calculated</w:t>
            </w:r>
          </w:p>
        </w:tc>
      </w:tr>
      <w:tr w:rsidR="002F6062" w14:paraId="2F6C0436" w14:textId="77777777" w:rsidTr="0078055E">
        <w:tc>
          <w:tcPr>
            <w:tcW w:w="1744" w:type="dxa"/>
            <w:vMerge/>
          </w:tcPr>
          <w:p w14:paraId="093FE71C" w14:textId="77777777" w:rsidR="00F16ED2" w:rsidRPr="00194B30" w:rsidRDefault="00F16ED2" w:rsidP="00EB097F">
            <w:pPr>
              <w:rPr>
                <w:b/>
              </w:rPr>
            </w:pPr>
          </w:p>
        </w:tc>
        <w:tc>
          <w:tcPr>
            <w:tcW w:w="2915" w:type="dxa"/>
          </w:tcPr>
          <w:p w14:paraId="7391DEF5" w14:textId="77777777" w:rsidR="00F16ED2" w:rsidRPr="00194B30" w:rsidRDefault="00F16ED2" w:rsidP="00EB097F">
            <w:pPr>
              <w:rPr>
                <w:b/>
              </w:rPr>
            </w:pPr>
            <w:r w:rsidRPr="004D595E">
              <w:rPr>
                <w:b/>
              </w:rPr>
              <w:t>Receive antenna off-axis angle</w:t>
            </w:r>
          </w:p>
        </w:tc>
        <w:tc>
          <w:tcPr>
            <w:tcW w:w="3002" w:type="dxa"/>
          </w:tcPr>
          <w:p w14:paraId="3E234947" w14:textId="77777777" w:rsidR="00F16ED2" w:rsidRPr="00194B30" w:rsidRDefault="00F16ED2" w:rsidP="00EB097F">
            <w:pPr>
              <w:rPr>
                <w:b/>
              </w:rPr>
            </w:pPr>
            <w:r w:rsidRPr="004D595E">
              <w:rPr>
                <w:b/>
              </w:rPr>
              <w:t>Transmit antenna off-axis angle</w:t>
            </w:r>
          </w:p>
        </w:tc>
      </w:tr>
      <w:tr w:rsidR="002F6062" w14:paraId="41C29041" w14:textId="77777777" w:rsidTr="0078055E">
        <w:tc>
          <w:tcPr>
            <w:tcW w:w="1744" w:type="dxa"/>
          </w:tcPr>
          <w:p w14:paraId="0F9027BA" w14:textId="77777777" w:rsidR="00F16ED2" w:rsidRDefault="00F16ED2" w:rsidP="00EB097F">
            <w:pPr>
              <w:keepNext/>
              <w:keepLines/>
            </w:pPr>
            <w:r w:rsidRPr="004D595E">
              <w:t>Earth station transmit,</w:t>
            </w:r>
            <w:r>
              <w:t xml:space="preserve"> </w:t>
            </w:r>
            <w:r w:rsidRPr="004D595E">
              <w:t>Terrestrial station receive</w:t>
            </w:r>
          </w:p>
        </w:tc>
        <w:tc>
          <w:tcPr>
            <w:tcW w:w="2915" w:type="dxa"/>
          </w:tcPr>
          <w:p w14:paraId="2850D2CE" w14:textId="77777777" w:rsidR="00F16ED2" w:rsidRPr="004D595E" w:rsidRDefault="00F16ED2" w:rsidP="00EB097F">
            <w:pPr>
              <w:keepNext/>
              <w:keepLines/>
            </w:pPr>
            <w:r w:rsidRPr="004D595E">
              <w:t>Station 1 = terrestrial station</w:t>
            </w:r>
          </w:p>
          <w:p w14:paraId="3FB3E035" w14:textId="77777777" w:rsidR="00F16ED2" w:rsidRDefault="00F16ED2" w:rsidP="00EB097F">
            <w:pPr>
              <w:keepNext/>
              <w:keepLines/>
            </w:pPr>
            <w:r w:rsidRPr="004D595E">
              <w:t>Station 2 = Earth station</w:t>
            </w:r>
          </w:p>
        </w:tc>
        <w:tc>
          <w:tcPr>
            <w:tcW w:w="3002" w:type="dxa"/>
          </w:tcPr>
          <w:p w14:paraId="72AD3402" w14:textId="77777777" w:rsidR="00F16ED2" w:rsidRPr="004D595E" w:rsidRDefault="00F16ED2" w:rsidP="00EB097F">
            <w:pPr>
              <w:keepNext/>
              <w:keepLines/>
            </w:pPr>
            <w:r w:rsidRPr="004D595E">
              <w:t>Station 1 = Earth station</w:t>
            </w:r>
          </w:p>
          <w:p w14:paraId="79B119FF" w14:textId="77777777" w:rsidR="00F16ED2" w:rsidRPr="004D595E" w:rsidRDefault="00F16ED2" w:rsidP="00EB097F">
            <w:pPr>
              <w:keepNext/>
              <w:keepLines/>
            </w:pPr>
            <w:r w:rsidRPr="004D595E">
              <w:t>Station 2 = terrestrial station</w:t>
            </w:r>
          </w:p>
          <w:p w14:paraId="1A3F53C9" w14:textId="1F2BD5BE" w:rsidR="00F16ED2" w:rsidRDefault="00F16ED2" w:rsidP="00EB097F">
            <w:pPr>
              <w:keepNext/>
              <w:keepLines/>
            </w:pPr>
            <w:r w:rsidRPr="004D595E">
              <w:t xml:space="preserve">Also see Appendix </w:t>
            </w:r>
            <w:r w:rsidR="008D7E76">
              <w:t>F</w:t>
            </w:r>
          </w:p>
        </w:tc>
      </w:tr>
    </w:tbl>
    <w:p w14:paraId="2EBE4E2F" w14:textId="77777777" w:rsidR="00F16ED2" w:rsidRDefault="00F16ED2" w:rsidP="00F16ED2">
      <w:pPr>
        <w:tabs>
          <w:tab w:val="left" w:pos="851"/>
        </w:tabs>
      </w:pPr>
    </w:p>
    <w:p w14:paraId="55CA378A" w14:textId="77777777" w:rsidR="00F16ED2" w:rsidRPr="004D595E" w:rsidRDefault="00F16ED2" w:rsidP="00F16ED2">
      <w:pPr>
        <w:keepNext/>
        <w:keepLines/>
      </w:pPr>
      <w:r w:rsidRPr="004D595E">
        <w:lastRenderedPageBreak/>
        <w:t xml:space="preserve">The resulting value of </w:t>
      </w:r>
      <w:proofErr w:type="spellStart"/>
      <w:r w:rsidRPr="004D595E">
        <w:rPr>
          <w:i/>
        </w:rPr>
        <w:t>θ</w:t>
      </w:r>
      <w:r w:rsidRPr="004D595E">
        <w:rPr>
          <w:i/>
          <w:vertAlign w:val="subscript"/>
        </w:rPr>
        <w:t>h</w:t>
      </w:r>
      <w:proofErr w:type="spellEnd"/>
      <w:r w:rsidRPr="004D595E">
        <w:t xml:space="preserve"> must be less than or equal to 180°. If </w:t>
      </w:r>
      <w:proofErr w:type="spellStart"/>
      <w:r w:rsidRPr="004D595E">
        <w:rPr>
          <w:i/>
        </w:rPr>
        <w:t>θ</w:t>
      </w:r>
      <w:r w:rsidRPr="004D595E">
        <w:rPr>
          <w:i/>
          <w:vertAlign w:val="subscript"/>
        </w:rPr>
        <w:t>h</w:t>
      </w:r>
      <w:proofErr w:type="spellEnd"/>
      <w:r w:rsidRPr="004D595E">
        <w:t xml:space="preserve"> &gt; 180°, then </w:t>
      </w:r>
      <w:proofErr w:type="spellStart"/>
      <w:r w:rsidRPr="004D595E">
        <w:rPr>
          <w:i/>
        </w:rPr>
        <w:t>θ</w:t>
      </w:r>
      <w:r w:rsidRPr="004D595E">
        <w:rPr>
          <w:i/>
          <w:vertAlign w:val="subscript"/>
        </w:rPr>
        <w:t>h</w:t>
      </w:r>
      <w:proofErr w:type="spellEnd"/>
      <w:r w:rsidRPr="004D595E">
        <w:t xml:space="preserve"> must be adjusted by the following equation:</w:t>
      </w:r>
    </w:p>
    <w:tbl>
      <w:tblPr>
        <w:tblW w:w="0" w:type="auto"/>
        <w:tblLook w:val="04A0" w:firstRow="1" w:lastRow="0" w:firstColumn="1" w:lastColumn="0" w:noHBand="0" w:noVBand="1"/>
      </w:tblPr>
      <w:tblGrid>
        <w:gridCol w:w="6695"/>
        <w:gridCol w:w="976"/>
      </w:tblGrid>
      <w:tr w:rsidR="009552BB" w:rsidRPr="004D595E" w14:paraId="523AC4FE" w14:textId="77777777" w:rsidTr="00EB097F">
        <w:tc>
          <w:tcPr>
            <w:tcW w:w="7479" w:type="dxa"/>
          </w:tcPr>
          <w:p w14:paraId="49C19A80" w14:textId="77777777" w:rsidR="00F16ED2" w:rsidRPr="008972B6" w:rsidRDefault="003A7F61" w:rsidP="00EB097F">
            <w:pPr>
              <w:keepNext/>
              <w:keepLines/>
              <w:ind w:left="851" w:hanging="105"/>
              <w:jc w:val="center"/>
            </w:pPr>
            <m:oMathPara>
              <m:oMathParaPr>
                <m:jc m:val="left"/>
              </m:oMathParaPr>
              <m:oMath>
                <m:sSub>
                  <m:sSubPr>
                    <m:ctrlPr>
                      <w:rPr>
                        <w:rFonts w:ascii="Cambria Math" w:hAnsi="Cambria Math"/>
                        <w:i/>
                      </w:rPr>
                    </m:ctrlPr>
                  </m:sSubPr>
                  <m:e>
                    <m:r>
                      <w:rPr>
                        <w:rFonts w:ascii="Cambria Math"/>
                      </w:rPr>
                      <m:t>θ</m:t>
                    </m:r>
                  </m:e>
                  <m:sub>
                    <m:r>
                      <w:rPr>
                        <w:rFonts w:ascii="Cambria Math" w:hAnsi="Cambria Math" w:cs="Cambria Math"/>
                      </w:rPr>
                      <m:t>h</m:t>
                    </m:r>
                  </m:sub>
                </m:sSub>
                <m:r>
                  <w:rPr>
                    <w:rFonts w:ascii="Cambria Math"/>
                  </w:rPr>
                  <m:t>=360</m:t>
                </m:r>
                <m:r>
                  <w:rPr>
                    <w:rFonts w:ascii="Cambria Math"/>
                  </w:rPr>
                  <m:t>-</m:t>
                </m:r>
                <m:sSub>
                  <m:sSubPr>
                    <m:ctrlPr>
                      <w:rPr>
                        <w:rFonts w:ascii="Cambria Math" w:hAnsi="Cambria Math"/>
                        <w:i/>
                      </w:rPr>
                    </m:ctrlPr>
                  </m:sSubPr>
                  <m:e>
                    <m:r>
                      <w:rPr>
                        <w:rFonts w:ascii="Cambria Math"/>
                      </w:rPr>
                      <m:t>θ</m:t>
                    </m:r>
                  </m:e>
                  <m:sub>
                    <m:r>
                      <w:rPr>
                        <w:rFonts w:ascii="Cambria Math" w:hAnsi="Cambria Math" w:cs="Cambria Math"/>
                      </w:rPr>
                      <m:t>h</m:t>
                    </m:r>
                  </m:sub>
                </m:sSub>
              </m:oMath>
            </m:oMathPara>
          </w:p>
        </w:tc>
        <w:tc>
          <w:tcPr>
            <w:tcW w:w="993" w:type="dxa"/>
          </w:tcPr>
          <w:p w14:paraId="2350F386" w14:textId="652F795C" w:rsidR="00F16ED2" w:rsidRPr="004D595E" w:rsidRDefault="00F16ED2" w:rsidP="00EB097F">
            <w:pPr>
              <w:keepNext/>
              <w:keepLines/>
              <w:ind w:left="851" w:hanging="851"/>
              <w:rPr>
                <w:b/>
                <w:bCs/>
                <w:i/>
              </w:rPr>
            </w:pPr>
            <w:r w:rsidRPr="004D595E">
              <w:rPr>
                <w:b/>
                <w:bCs/>
              </w:rPr>
              <w:t>(A</w:t>
            </w:r>
            <w:r w:rsidR="008D7E76">
              <w:rPr>
                <w:b/>
                <w:bCs/>
              </w:rPr>
              <w:t>E</w:t>
            </w:r>
            <w:r w:rsidRPr="004D595E">
              <w:rPr>
                <w:b/>
                <w:bCs/>
              </w:rPr>
              <w:t>.2)</w:t>
            </w:r>
          </w:p>
        </w:tc>
      </w:tr>
    </w:tbl>
    <w:p w14:paraId="201CB222" w14:textId="77777777" w:rsidR="00F16ED2" w:rsidRPr="004D595E" w:rsidRDefault="00F16ED2" w:rsidP="00F16ED2">
      <w:pPr>
        <w:keepNext/>
      </w:pPr>
      <w:r w:rsidRPr="004D595E">
        <w:t>The direction of Station 2 as viewed from Station 1 (great circle azimuth bearing) is given by the equation:</w:t>
      </w:r>
    </w:p>
    <w:tbl>
      <w:tblPr>
        <w:tblW w:w="0" w:type="auto"/>
        <w:tblLook w:val="04A0" w:firstRow="1" w:lastRow="0" w:firstColumn="1" w:lastColumn="0" w:noHBand="0" w:noVBand="1"/>
      </w:tblPr>
      <w:tblGrid>
        <w:gridCol w:w="6648"/>
        <w:gridCol w:w="1023"/>
      </w:tblGrid>
      <w:tr w:rsidR="009552BB" w:rsidRPr="004D595E" w14:paraId="3E6FB213" w14:textId="77777777" w:rsidTr="00EB097F">
        <w:tc>
          <w:tcPr>
            <w:tcW w:w="7479" w:type="dxa"/>
          </w:tcPr>
          <w:p w14:paraId="07EA9500" w14:textId="77777777" w:rsidR="00F16ED2" w:rsidRPr="008972B6" w:rsidRDefault="003A7F61" w:rsidP="00EB097F">
            <w:pPr>
              <w:keepNext/>
              <w:ind w:left="851" w:hanging="851"/>
              <w:jc w:val="center"/>
            </w:pPr>
            <m:oMathPara>
              <m:oMathParaPr>
                <m:jc m:val="left"/>
              </m:oMathParaPr>
              <m:oMath>
                <m:sSub>
                  <m:sSubPr>
                    <m:ctrlPr>
                      <w:rPr>
                        <w:rFonts w:ascii="Cambria Math" w:hAnsi="Cambria Math"/>
                        <w:i/>
                      </w:rPr>
                    </m:ctrlPr>
                  </m:sSubPr>
                  <m:e>
                    <m:r>
                      <w:rPr>
                        <w:rFonts w:ascii="Cambria Math"/>
                      </w:rPr>
                      <m:t>Θ</m:t>
                    </m:r>
                  </m:e>
                  <m:sub>
                    <m:r>
                      <w:rPr>
                        <w:rFonts w:ascii="Cambria Math"/>
                      </w:rPr>
                      <m:t>S1,S2</m:t>
                    </m:r>
                  </m:sub>
                </m:sSub>
                <m:r>
                  <w:rPr>
                    <w:rFonts w:ascii="Cambria Math"/>
                  </w:rPr>
                  <m:t>=</m:t>
                </m:r>
                <m:r>
                  <m:rPr>
                    <m:nor/>
                  </m:rPr>
                  <w:rPr>
                    <w:rFonts w:ascii="Cambria Math"/>
                  </w:rPr>
                  <m:t>atan</m:t>
                </m:r>
                <m:r>
                  <m:rPr>
                    <m:sty m:val="p"/>
                  </m:rPr>
                  <w:rPr>
                    <w:rFonts w:ascii="Cambria Math"/>
                  </w:rPr>
                  <m:t>2</m:t>
                </m:r>
                <m:d>
                  <m:dPr>
                    <m:ctrlPr>
                      <w:rPr>
                        <w:rFonts w:ascii="Cambria Math" w:hAnsi="Cambria Math"/>
                        <w:i/>
                      </w:rPr>
                    </m:ctrlPr>
                  </m:dPr>
                  <m:e>
                    <m:r>
                      <w:rPr>
                        <w:rFonts w:ascii="Cambria Math"/>
                      </w:rPr>
                      <m:t>y,x</m:t>
                    </m:r>
                  </m:e>
                </m:d>
              </m:oMath>
            </m:oMathPara>
          </w:p>
        </w:tc>
        <w:tc>
          <w:tcPr>
            <w:tcW w:w="1050" w:type="dxa"/>
            <w:vAlign w:val="center"/>
          </w:tcPr>
          <w:p w14:paraId="4D62E1E3" w14:textId="27E68C0C" w:rsidR="00F16ED2" w:rsidRPr="004D595E" w:rsidRDefault="00F16ED2" w:rsidP="00EB097F">
            <w:pPr>
              <w:keepNext/>
              <w:ind w:left="851" w:hanging="851"/>
              <w:rPr>
                <w:b/>
                <w:bCs/>
                <w:i/>
              </w:rPr>
            </w:pPr>
            <w:r w:rsidRPr="004D595E">
              <w:rPr>
                <w:b/>
                <w:bCs/>
              </w:rPr>
              <w:t>(A</w:t>
            </w:r>
            <w:r w:rsidR="008D7E76">
              <w:rPr>
                <w:b/>
                <w:bCs/>
              </w:rPr>
              <w:t>E</w:t>
            </w:r>
            <w:r w:rsidRPr="004D595E">
              <w:rPr>
                <w:b/>
                <w:bCs/>
              </w:rPr>
              <w:t>.3)</w:t>
            </w:r>
          </w:p>
        </w:tc>
      </w:tr>
    </w:tbl>
    <w:p w14:paraId="138D7D18" w14:textId="77777777" w:rsidR="00F16ED2" w:rsidRPr="004D595E" w:rsidRDefault="00F16ED2" w:rsidP="00F16ED2">
      <w:pPr>
        <w:keepNext/>
      </w:pPr>
      <w:r w:rsidRPr="004D595E">
        <w:t>atan2(</w:t>
      </w:r>
      <w:proofErr w:type="spellStart"/>
      <w:r w:rsidRPr="004D595E">
        <w:rPr>
          <w:i/>
        </w:rPr>
        <w:t>y,x</w:t>
      </w:r>
      <w:proofErr w:type="spellEnd"/>
      <w:r w:rsidRPr="004D595E">
        <w:t xml:space="preserve">) is the </w:t>
      </w:r>
      <w:proofErr w:type="gramStart"/>
      <w:r w:rsidRPr="004D595E">
        <w:t>two argument</w:t>
      </w:r>
      <w:proofErr w:type="gramEnd"/>
      <w:r w:rsidRPr="004D595E">
        <w:t xml:space="preserve"> variation of the arctangent function, and is given by the equation:</w:t>
      </w:r>
    </w:p>
    <w:tbl>
      <w:tblPr>
        <w:tblW w:w="0" w:type="auto"/>
        <w:tblLook w:val="04A0" w:firstRow="1" w:lastRow="0" w:firstColumn="1" w:lastColumn="0" w:noHBand="0" w:noVBand="1"/>
      </w:tblPr>
      <w:tblGrid>
        <w:gridCol w:w="6662"/>
        <w:gridCol w:w="1009"/>
      </w:tblGrid>
      <w:tr w:rsidR="009552BB" w:rsidRPr="004D595E" w14:paraId="5E94F0C9" w14:textId="77777777" w:rsidTr="00EB097F">
        <w:tc>
          <w:tcPr>
            <w:tcW w:w="7479" w:type="dxa"/>
            <w:vAlign w:val="center"/>
          </w:tcPr>
          <w:p w14:paraId="3604C647" w14:textId="77777777" w:rsidR="00F16ED2" w:rsidRPr="002264D7" w:rsidRDefault="00F16ED2" w:rsidP="00EB097F">
            <w:pPr>
              <w:ind w:left="851" w:hanging="851"/>
              <w:jc w:val="center"/>
            </w:pPr>
            <w:proofErr w:type="spellStart"/>
            <m:oMathPara>
              <m:oMathParaPr>
                <m:jc m:val="left"/>
              </m:oMathParaPr>
              <m:oMath>
                <m:r>
                  <m:rPr>
                    <m:nor/>
                  </m:rPr>
                  <w:rPr>
                    <w:rFonts w:ascii="Cambria Math"/>
                  </w:rPr>
                  <m:t>atan</m:t>
                </m:r>
                <w:proofErr w:type="spellEnd"/>
                <m:r>
                  <m:rPr>
                    <m:sty m:val="p"/>
                  </m:rPr>
                  <w:rPr>
                    <w:rFonts w:ascii="Cambria Math"/>
                  </w:rPr>
                  <m:t>2</m:t>
                </m:r>
                <m:d>
                  <m:dPr>
                    <m:ctrlPr>
                      <w:rPr>
                        <w:rFonts w:ascii="Cambria Math" w:hAnsi="Cambria Math"/>
                        <w:i/>
                      </w:rPr>
                    </m:ctrlPr>
                  </m:dPr>
                  <m:e>
                    <m:r>
                      <w:rPr>
                        <w:rFonts w:ascii="Cambria Math"/>
                      </w:rPr>
                      <m:t>y,x</m:t>
                    </m:r>
                  </m:e>
                </m:d>
                <m:r>
                  <w:rPr>
                    <w:rFonts w:asci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unc>
                            <m:funcPr>
                              <m:ctrlPr>
                                <w:rPr>
                                  <w:rFonts w:ascii="Cambria Math" w:hAnsi="Cambria Math"/>
                                  <w:i/>
                                </w:rPr>
                              </m:ctrlPr>
                            </m:funcPr>
                            <m:fName>
                              <m:r>
                                <w:rPr>
                                  <w:rFonts w:ascii="Cambria Math"/>
                                </w:rPr>
                                <m:t>arctan</m:t>
                              </m:r>
                            </m:fName>
                            <m:e>
                              <m:d>
                                <m:dPr>
                                  <m:ctrlPr>
                                    <w:rPr>
                                      <w:rFonts w:ascii="Cambria Math" w:hAnsi="Cambria Math"/>
                                      <w:i/>
                                    </w:rPr>
                                  </m:ctrlPr>
                                </m:dPr>
                                <m:e>
                                  <m:f>
                                    <m:fPr>
                                      <m:ctrlPr>
                                        <w:rPr>
                                          <w:rFonts w:ascii="Cambria Math" w:hAnsi="Cambria Math"/>
                                          <w:i/>
                                        </w:rPr>
                                      </m:ctrlPr>
                                    </m:fPr>
                                    <m:num>
                                      <m:r>
                                        <w:rPr>
                                          <w:rFonts w:ascii="Cambria Math"/>
                                        </w:rPr>
                                        <m:t>y</m:t>
                                      </m:r>
                                    </m:num>
                                    <m:den>
                                      <m:r>
                                        <w:rPr>
                                          <w:rFonts w:ascii="Cambria Math"/>
                                        </w:rPr>
                                        <m:t>x</m:t>
                                      </m:r>
                                    </m:den>
                                  </m:f>
                                </m:e>
                              </m:d>
                            </m:e>
                          </m:func>
                        </m:e>
                        <m:e>
                          <m:r>
                            <w:rPr>
                              <w:rFonts w:ascii="Cambria Math"/>
                            </w:rPr>
                            <m:t>x&gt;0</m:t>
                          </m:r>
                        </m:e>
                      </m:mr>
                      <m:mr>
                        <m:e>
                          <m:r>
                            <w:rPr>
                              <w:rFonts w:ascii="Cambria Math"/>
                            </w:rPr>
                            <m:t>π+</m:t>
                          </m:r>
                          <m:func>
                            <m:funcPr>
                              <m:ctrlPr>
                                <w:rPr>
                                  <w:rFonts w:ascii="Cambria Math" w:hAnsi="Cambria Math"/>
                                  <w:i/>
                                </w:rPr>
                              </m:ctrlPr>
                            </m:funcPr>
                            <m:fName>
                              <m:r>
                                <w:rPr>
                                  <w:rFonts w:ascii="Cambria Math"/>
                                </w:rPr>
                                <m:t>arctan</m:t>
                              </m:r>
                            </m:fName>
                            <m:e>
                              <m:d>
                                <m:dPr>
                                  <m:ctrlPr>
                                    <w:rPr>
                                      <w:rFonts w:ascii="Cambria Math" w:hAnsi="Cambria Math"/>
                                      <w:i/>
                                    </w:rPr>
                                  </m:ctrlPr>
                                </m:dPr>
                                <m:e>
                                  <m:f>
                                    <m:fPr>
                                      <m:ctrlPr>
                                        <w:rPr>
                                          <w:rFonts w:ascii="Cambria Math" w:hAnsi="Cambria Math"/>
                                          <w:i/>
                                        </w:rPr>
                                      </m:ctrlPr>
                                    </m:fPr>
                                    <m:num>
                                      <m:r>
                                        <w:rPr>
                                          <w:rFonts w:ascii="Cambria Math"/>
                                        </w:rPr>
                                        <m:t>y</m:t>
                                      </m:r>
                                    </m:num>
                                    <m:den>
                                      <m:r>
                                        <w:rPr>
                                          <w:rFonts w:ascii="Cambria Math"/>
                                        </w:rPr>
                                        <m:t>x</m:t>
                                      </m:r>
                                    </m:den>
                                  </m:f>
                                </m:e>
                              </m:d>
                            </m:e>
                          </m:func>
                        </m:e>
                        <m:e>
                          <m:r>
                            <w:rPr>
                              <w:rFonts w:ascii="Cambria Math"/>
                            </w:rPr>
                            <m:t>y</m:t>
                          </m:r>
                          <m:r>
                            <w:rPr>
                              <w:rFonts w:ascii="Cambria Math"/>
                            </w:rPr>
                            <m:t>≥</m:t>
                          </m:r>
                          <m:r>
                            <w:rPr>
                              <w:rFonts w:ascii="Cambria Math"/>
                            </w:rPr>
                            <m:t>0,x&lt;0</m:t>
                          </m:r>
                        </m:e>
                      </m:mr>
                      <m:mr>
                        <m:e>
                          <m:r>
                            <w:rPr>
                              <w:rFonts w:ascii="Cambria Math"/>
                            </w:rPr>
                            <m:t>-</m:t>
                          </m:r>
                          <m:r>
                            <w:rPr>
                              <w:rFonts w:ascii="Cambria Math"/>
                            </w:rPr>
                            <m:t>π+</m:t>
                          </m:r>
                          <m:func>
                            <m:funcPr>
                              <m:ctrlPr>
                                <w:rPr>
                                  <w:rFonts w:ascii="Cambria Math" w:hAnsi="Cambria Math"/>
                                  <w:i/>
                                </w:rPr>
                              </m:ctrlPr>
                            </m:funcPr>
                            <m:fName>
                              <m:r>
                                <w:rPr>
                                  <w:rFonts w:ascii="Cambria Math"/>
                                </w:rPr>
                                <m:t>arctan</m:t>
                              </m:r>
                            </m:fName>
                            <m:e>
                              <m:d>
                                <m:dPr>
                                  <m:ctrlPr>
                                    <w:rPr>
                                      <w:rFonts w:ascii="Cambria Math" w:hAnsi="Cambria Math"/>
                                      <w:i/>
                                    </w:rPr>
                                  </m:ctrlPr>
                                </m:dPr>
                                <m:e>
                                  <m:f>
                                    <m:fPr>
                                      <m:ctrlPr>
                                        <w:rPr>
                                          <w:rFonts w:ascii="Cambria Math" w:hAnsi="Cambria Math"/>
                                          <w:i/>
                                        </w:rPr>
                                      </m:ctrlPr>
                                    </m:fPr>
                                    <m:num>
                                      <m:r>
                                        <w:rPr>
                                          <w:rFonts w:ascii="Cambria Math"/>
                                        </w:rPr>
                                        <m:t>y</m:t>
                                      </m:r>
                                    </m:num>
                                    <m:den>
                                      <m:r>
                                        <w:rPr>
                                          <w:rFonts w:ascii="Cambria Math"/>
                                        </w:rPr>
                                        <m:t>x</m:t>
                                      </m:r>
                                    </m:den>
                                  </m:f>
                                </m:e>
                              </m:d>
                            </m:e>
                          </m:func>
                        </m:e>
                        <m:e>
                          <m:r>
                            <w:rPr>
                              <w:rFonts w:ascii="Cambria Math"/>
                            </w:rPr>
                            <m:t>y&lt;0,x&lt;0</m:t>
                          </m:r>
                        </m:e>
                      </m:mr>
                      <m:mr>
                        <m:e>
                          <m:f>
                            <m:fPr>
                              <m:ctrlPr>
                                <w:rPr>
                                  <w:rFonts w:ascii="Cambria Math" w:hAnsi="Cambria Math"/>
                                  <w:i/>
                                </w:rPr>
                              </m:ctrlPr>
                            </m:fPr>
                            <m:num>
                              <m:r>
                                <w:rPr>
                                  <w:rFonts w:ascii="Cambria Math"/>
                                </w:rPr>
                                <m:t>π</m:t>
                              </m:r>
                            </m:num>
                            <m:den>
                              <m:r>
                                <w:rPr>
                                  <w:rFonts w:ascii="Cambria Math"/>
                                </w:rPr>
                                <m:t>2</m:t>
                              </m:r>
                            </m:den>
                          </m:f>
                        </m:e>
                        <m:e>
                          <m:r>
                            <w:rPr>
                              <w:rFonts w:ascii="Cambria Math"/>
                            </w:rPr>
                            <m:t>y&gt;0,x=0</m:t>
                          </m:r>
                        </m:e>
                      </m:mr>
                      <m:mr>
                        <m:e>
                          <m:r>
                            <w:rPr>
                              <w:rFonts w:ascii="Cambria Math"/>
                            </w:rPr>
                            <m:t>-</m:t>
                          </m:r>
                          <m:f>
                            <m:fPr>
                              <m:ctrlPr>
                                <w:rPr>
                                  <w:rFonts w:ascii="Cambria Math" w:hAnsi="Cambria Math"/>
                                  <w:i/>
                                </w:rPr>
                              </m:ctrlPr>
                            </m:fPr>
                            <m:num>
                              <m:r>
                                <w:rPr>
                                  <w:rFonts w:ascii="Cambria Math"/>
                                </w:rPr>
                                <m:t>π</m:t>
                              </m:r>
                            </m:num>
                            <m:den>
                              <m:r>
                                <w:rPr>
                                  <w:rFonts w:ascii="Cambria Math"/>
                                </w:rPr>
                                <m:t>2</m:t>
                              </m:r>
                            </m:den>
                          </m:f>
                        </m:e>
                        <m:e>
                          <m:r>
                            <w:rPr>
                              <w:rFonts w:ascii="Cambria Math"/>
                            </w:rPr>
                            <m:t>y&lt;0,x=0</m:t>
                          </m:r>
                        </m:e>
                      </m:mr>
                      <m:mr>
                        <m:e>
                          <m:r>
                            <m:rPr>
                              <m:nor/>
                            </m:rPr>
                            <w:rPr>
                              <w:rFonts w:ascii="Cambria Math"/>
                            </w:rPr>
                            <m:t>undefined</m:t>
                          </m:r>
                          <m:ctrlPr>
                            <w:rPr>
                              <w:rFonts w:ascii="Cambria Math" w:hAnsi="Cambria Math"/>
                            </w:rPr>
                          </m:ctrlPr>
                        </m:e>
                        <m:e>
                          <m:r>
                            <w:rPr>
                              <w:rFonts w:ascii="Cambria Math"/>
                            </w:rPr>
                            <m:t>y=0,x=0</m:t>
                          </m:r>
                        </m:e>
                      </m:mr>
                    </m:m>
                  </m:e>
                </m:d>
              </m:oMath>
            </m:oMathPara>
          </w:p>
        </w:tc>
        <w:tc>
          <w:tcPr>
            <w:tcW w:w="1050" w:type="dxa"/>
            <w:vAlign w:val="center"/>
          </w:tcPr>
          <w:p w14:paraId="70377359" w14:textId="1585823A" w:rsidR="00F16ED2" w:rsidRPr="004D595E" w:rsidRDefault="00F16ED2" w:rsidP="00EB097F">
            <w:pPr>
              <w:ind w:left="851" w:hanging="851"/>
              <w:rPr>
                <w:b/>
                <w:bCs/>
                <w:i/>
              </w:rPr>
            </w:pPr>
            <w:r w:rsidRPr="004D595E">
              <w:rPr>
                <w:b/>
                <w:bCs/>
              </w:rPr>
              <w:t>(A</w:t>
            </w:r>
            <w:r w:rsidR="008D7E76">
              <w:rPr>
                <w:b/>
                <w:bCs/>
              </w:rPr>
              <w:t>E</w:t>
            </w:r>
            <w:r w:rsidRPr="004D595E">
              <w:rPr>
                <w:b/>
                <w:bCs/>
              </w:rPr>
              <w:t>.4)</w:t>
            </w:r>
          </w:p>
        </w:tc>
      </w:tr>
    </w:tbl>
    <w:p w14:paraId="320143E2" w14:textId="77777777" w:rsidR="00F16ED2" w:rsidRPr="004D595E" w:rsidRDefault="00F16ED2" w:rsidP="00F16ED2">
      <w:r w:rsidRPr="004D595E">
        <w:t>with:</w:t>
      </w:r>
    </w:p>
    <w:tbl>
      <w:tblPr>
        <w:tblW w:w="0" w:type="auto"/>
        <w:tblLook w:val="04A0" w:firstRow="1" w:lastRow="0" w:firstColumn="1" w:lastColumn="0" w:noHBand="0" w:noVBand="1"/>
      </w:tblPr>
      <w:tblGrid>
        <w:gridCol w:w="6655"/>
        <w:gridCol w:w="1016"/>
      </w:tblGrid>
      <w:tr w:rsidR="009552BB" w:rsidRPr="004D595E" w14:paraId="0678A7EB" w14:textId="77777777" w:rsidTr="00EB097F">
        <w:tc>
          <w:tcPr>
            <w:tcW w:w="7479" w:type="dxa"/>
            <w:vAlign w:val="center"/>
          </w:tcPr>
          <w:p w14:paraId="75960A84" w14:textId="77777777" w:rsidR="00F16ED2" w:rsidRPr="00E5717E" w:rsidRDefault="00F16ED2" w:rsidP="00EB097F">
            <w:pPr>
              <w:ind w:left="851" w:hanging="851"/>
              <w:jc w:val="center"/>
            </w:pPr>
            <m:oMathPara>
              <m:oMathParaPr>
                <m:jc m:val="left"/>
              </m:oMathParaPr>
              <m:oMath>
                <m:r>
                  <w:rPr>
                    <w:rFonts w:ascii="Cambria Math"/>
                  </w:rPr>
                  <m:t>y=</m:t>
                </m:r>
                <m:func>
                  <m:funcPr>
                    <m:ctrlPr>
                      <w:rPr>
                        <w:rFonts w:ascii="Cambria Math" w:hAnsi="Cambria Math"/>
                        <w:i/>
                      </w:rPr>
                    </m:ctrlPr>
                  </m:funcPr>
                  <m:fName>
                    <m:r>
                      <w:rPr>
                        <w:rFonts w:ascii="Cambria Math"/>
                      </w:rPr>
                      <m:t>cos</m:t>
                    </m:r>
                  </m:fName>
                  <m:e>
                    <m:r>
                      <w:rPr>
                        <w:rFonts w:ascii="Cambria Math"/>
                      </w:rPr>
                      <m:t>(</m:t>
                    </m:r>
                  </m:e>
                </m:func>
                <m:sSub>
                  <m:sSubPr>
                    <m:ctrlPr>
                      <w:rPr>
                        <w:rFonts w:ascii="Cambria Math" w:hAnsi="Cambria Math"/>
                        <w:i/>
                      </w:rPr>
                    </m:ctrlPr>
                  </m:sSubPr>
                  <m:e>
                    <m:r>
                      <w:rPr>
                        <w:rFonts w:ascii="Cambria Math"/>
                      </w:rPr>
                      <m:t>φ</m:t>
                    </m:r>
                  </m:e>
                  <m:sub>
                    <m:r>
                      <w:rPr>
                        <w:rFonts w:ascii="Cambria Math"/>
                      </w:rPr>
                      <m:t>2</m:t>
                    </m:r>
                  </m:sub>
                </m:sSub>
                <m:r>
                  <w:rPr>
                    <w:rFonts w:ascii="Cambria Math"/>
                  </w:rPr>
                  <m:t>)</m:t>
                </m:r>
                <m:func>
                  <m:funcPr>
                    <m:ctrlPr>
                      <w:rPr>
                        <w:rFonts w:ascii="Cambria Math" w:hAnsi="Cambria Math"/>
                        <w:i/>
                      </w:rPr>
                    </m:ctrlPr>
                  </m:funcPr>
                  <m:fName>
                    <m:r>
                      <w:rPr>
                        <w:rFonts w:ascii="Cambria Math"/>
                      </w:rPr>
                      <m:t>sin</m:t>
                    </m:r>
                  </m:fName>
                  <m:e>
                    <m:r>
                      <w:rPr>
                        <w:rFonts w:ascii="Cambria Math"/>
                      </w:rPr>
                      <m:t>(</m:t>
                    </m:r>
                  </m:e>
                </m:func>
                <m:sSub>
                  <m:sSubPr>
                    <m:ctrlPr>
                      <w:rPr>
                        <w:rFonts w:ascii="Cambria Math" w:hAnsi="Cambria Math"/>
                        <w:i/>
                      </w:rPr>
                    </m:ctrlPr>
                  </m:sSubPr>
                  <m:e>
                    <m:r>
                      <w:rPr>
                        <w:rFonts w:ascii="Cambria Math"/>
                      </w:rPr>
                      <m:t>λ</m:t>
                    </m:r>
                  </m:e>
                  <m:sub>
                    <m:r>
                      <w:rPr>
                        <w:rFonts w:ascii="Cambria Math"/>
                      </w:rPr>
                      <m:t>2</m:t>
                    </m:r>
                  </m:sub>
                </m:sSub>
                <m:r>
                  <w:rPr>
                    <w:rFonts w:ascii="Cambria Math"/>
                  </w:rPr>
                  <m:t>-</m:t>
                </m:r>
                <m:sSub>
                  <m:sSubPr>
                    <m:ctrlPr>
                      <w:rPr>
                        <w:rFonts w:ascii="Cambria Math" w:hAnsi="Cambria Math"/>
                        <w:i/>
                      </w:rPr>
                    </m:ctrlPr>
                  </m:sSubPr>
                  <m:e>
                    <m:r>
                      <w:rPr>
                        <w:rFonts w:ascii="Cambria Math"/>
                      </w:rPr>
                      <m:t>λ</m:t>
                    </m:r>
                  </m:e>
                  <m:sub>
                    <m:r>
                      <w:rPr>
                        <w:rFonts w:ascii="Cambria Math"/>
                      </w:rPr>
                      <m:t>1</m:t>
                    </m:r>
                  </m:sub>
                </m:sSub>
                <m:r>
                  <w:rPr>
                    <w:rFonts w:ascii="Cambria Math"/>
                  </w:rPr>
                  <m:t>)</m:t>
                </m:r>
                <m:r>
                  <m:rPr>
                    <m:sty m:val="p"/>
                  </m:rPr>
                  <w:rPr>
                    <w:rFonts w:ascii="Cambria Math"/>
                  </w:rPr>
                  <w:br/>
                </m:r>
              </m:oMath>
              <m:oMath>
                <m:r>
                  <w:rPr>
                    <w:rFonts w:ascii="Cambria Math"/>
                  </w:rPr>
                  <m:t>x=</m:t>
                </m:r>
                <m:func>
                  <m:funcPr>
                    <m:ctrlPr>
                      <w:rPr>
                        <w:rFonts w:ascii="Cambria Math" w:hAnsi="Cambria Math"/>
                        <w:i/>
                      </w:rPr>
                    </m:ctrlPr>
                  </m:funcPr>
                  <m:fName>
                    <m:r>
                      <w:rPr>
                        <w:rFonts w:ascii="Cambria Math"/>
                      </w:rPr>
                      <m:t>cos</m:t>
                    </m:r>
                  </m:fName>
                  <m:e>
                    <m:r>
                      <w:rPr>
                        <w:rFonts w:ascii="Cambria Math"/>
                      </w:rPr>
                      <m:t>(</m:t>
                    </m:r>
                  </m:e>
                </m:func>
                <m:sSub>
                  <m:sSubPr>
                    <m:ctrlPr>
                      <w:rPr>
                        <w:rFonts w:ascii="Cambria Math" w:hAnsi="Cambria Math"/>
                        <w:i/>
                      </w:rPr>
                    </m:ctrlPr>
                  </m:sSubPr>
                  <m:e>
                    <m:r>
                      <w:rPr>
                        <w:rFonts w:ascii="Cambria Math"/>
                      </w:rPr>
                      <m:t>φ</m:t>
                    </m:r>
                  </m:e>
                  <m:sub>
                    <m:r>
                      <w:rPr>
                        <w:rFonts w:ascii="Cambria Math"/>
                      </w:rPr>
                      <m:t>1</m:t>
                    </m:r>
                  </m:sub>
                </m:sSub>
                <m:r>
                  <w:rPr>
                    <w:rFonts w:ascii="Cambria Math"/>
                  </w:rPr>
                  <m:t>)</m:t>
                </m:r>
                <m:func>
                  <m:funcPr>
                    <m:ctrlPr>
                      <w:rPr>
                        <w:rFonts w:ascii="Cambria Math" w:hAnsi="Cambria Math"/>
                        <w:i/>
                      </w:rPr>
                    </m:ctrlPr>
                  </m:funcPr>
                  <m:fName>
                    <m:r>
                      <w:rPr>
                        <w:rFonts w:ascii="Cambria Math"/>
                      </w:rPr>
                      <m:t>sin</m:t>
                    </m:r>
                  </m:fName>
                  <m:e>
                    <m:r>
                      <w:rPr>
                        <w:rFonts w:ascii="Cambria Math"/>
                      </w:rPr>
                      <m:t>(</m:t>
                    </m:r>
                  </m:e>
                </m:func>
                <m:sSub>
                  <m:sSubPr>
                    <m:ctrlPr>
                      <w:rPr>
                        <w:rFonts w:ascii="Cambria Math" w:hAnsi="Cambria Math"/>
                        <w:i/>
                      </w:rPr>
                    </m:ctrlPr>
                  </m:sSubPr>
                  <m:e>
                    <m:r>
                      <w:rPr>
                        <w:rFonts w:ascii="Cambria Math"/>
                      </w:rPr>
                      <m:t>φ</m:t>
                    </m:r>
                  </m:e>
                  <m:sub>
                    <m:r>
                      <w:rPr>
                        <w:rFonts w:ascii="Cambria Math"/>
                      </w:rPr>
                      <m:t>2</m:t>
                    </m:r>
                  </m:sub>
                </m:sSub>
                <m:r>
                  <w:rPr>
                    <w:rFonts w:ascii="Cambria Math"/>
                  </w:rPr>
                  <m:t>)</m:t>
                </m:r>
                <m:r>
                  <w:rPr>
                    <w:rFonts w:ascii="Cambria Math"/>
                  </w:rPr>
                  <m:t>-</m:t>
                </m:r>
                <m:func>
                  <m:funcPr>
                    <m:ctrlPr>
                      <w:rPr>
                        <w:rFonts w:ascii="Cambria Math" w:hAnsi="Cambria Math"/>
                        <w:i/>
                      </w:rPr>
                    </m:ctrlPr>
                  </m:funcPr>
                  <m:fName>
                    <m:r>
                      <w:rPr>
                        <w:rFonts w:ascii="Cambria Math"/>
                      </w:rPr>
                      <m:t>sin</m:t>
                    </m:r>
                  </m:fName>
                  <m:e>
                    <m:r>
                      <w:rPr>
                        <w:rFonts w:ascii="Cambria Math"/>
                      </w:rPr>
                      <m:t>(</m:t>
                    </m:r>
                  </m:e>
                </m:func>
                <m:sSub>
                  <m:sSubPr>
                    <m:ctrlPr>
                      <w:rPr>
                        <w:rFonts w:ascii="Cambria Math" w:hAnsi="Cambria Math"/>
                        <w:i/>
                      </w:rPr>
                    </m:ctrlPr>
                  </m:sSubPr>
                  <m:e>
                    <m:r>
                      <w:rPr>
                        <w:rFonts w:ascii="Cambria Math"/>
                      </w:rPr>
                      <m:t>φ</m:t>
                    </m:r>
                  </m:e>
                  <m:sub>
                    <m:r>
                      <w:rPr>
                        <w:rFonts w:ascii="Cambria Math"/>
                      </w:rPr>
                      <m:t>1</m:t>
                    </m:r>
                  </m:sub>
                </m:sSub>
                <m:r>
                  <w:rPr>
                    <w:rFonts w:ascii="Cambria Math"/>
                  </w:rPr>
                  <m:t>)</m:t>
                </m:r>
                <m:func>
                  <m:funcPr>
                    <m:ctrlPr>
                      <w:rPr>
                        <w:rFonts w:ascii="Cambria Math" w:hAnsi="Cambria Math"/>
                        <w:i/>
                      </w:rPr>
                    </m:ctrlPr>
                  </m:funcPr>
                  <m:fName>
                    <m:r>
                      <w:rPr>
                        <w:rFonts w:ascii="Cambria Math"/>
                      </w:rPr>
                      <m:t>cos</m:t>
                    </m:r>
                  </m:fName>
                  <m:e>
                    <m:r>
                      <w:rPr>
                        <w:rFonts w:ascii="Cambria Math"/>
                      </w:rPr>
                      <m:t>(</m:t>
                    </m:r>
                  </m:e>
                </m:func>
                <m:sSub>
                  <m:sSubPr>
                    <m:ctrlPr>
                      <w:rPr>
                        <w:rFonts w:ascii="Cambria Math" w:hAnsi="Cambria Math"/>
                        <w:i/>
                      </w:rPr>
                    </m:ctrlPr>
                  </m:sSubPr>
                  <m:e>
                    <m:r>
                      <w:rPr>
                        <w:rFonts w:ascii="Cambria Math"/>
                      </w:rPr>
                      <m:t>φ</m:t>
                    </m:r>
                  </m:e>
                  <m:sub>
                    <m:r>
                      <w:rPr>
                        <w:rFonts w:ascii="Cambria Math"/>
                      </w:rPr>
                      <m:t>2</m:t>
                    </m:r>
                  </m:sub>
                </m:sSub>
                <m:r>
                  <w:rPr>
                    <w:rFonts w:ascii="Cambria Math"/>
                  </w:rPr>
                  <m:t>)</m:t>
                </m:r>
                <m:func>
                  <m:funcPr>
                    <m:ctrlPr>
                      <w:rPr>
                        <w:rFonts w:ascii="Cambria Math" w:hAnsi="Cambria Math"/>
                        <w:i/>
                      </w:rPr>
                    </m:ctrlPr>
                  </m:funcPr>
                  <m:fName>
                    <m:r>
                      <w:rPr>
                        <w:rFonts w:ascii="Cambria Math"/>
                      </w:rPr>
                      <m:t>cos</m:t>
                    </m:r>
                  </m:fName>
                  <m:e>
                    <m:r>
                      <w:rPr>
                        <w:rFonts w:ascii="Cambria Math"/>
                      </w:rPr>
                      <m:t>(</m:t>
                    </m:r>
                  </m:e>
                </m:func>
                <m:sSub>
                  <m:sSubPr>
                    <m:ctrlPr>
                      <w:rPr>
                        <w:rFonts w:ascii="Cambria Math" w:hAnsi="Cambria Math"/>
                        <w:i/>
                      </w:rPr>
                    </m:ctrlPr>
                  </m:sSubPr>
                  <m:e>
                    <m:r>
                      <w:rPr>
                        <w:rFonts w:ascii="Cambria Math"/>
                      </w:rPr>
                      <m:t>λ</m:t>
                    </m:r>
                  </m:e>
                  <m:sub>
                    <m:r>
                      <w:rPr>
                        <w:rFonts w:ascii="Cambria Math"/>
                      </w:rPr>
                      <m:t>2</m:t>
                    </m:r>
                  </m:sub>
                </m:sSub>
                <m:r>
                  <w:rPr>
                    <w:rFonts w:ascii="Cambria Math"/>
                  </w:rPr>
                  <m:t>-</m:t>
                </m:r>
                <m:sSub>
                  <m:sSubPr>
                    <m:ctrlPr>
                      <w:rPr>
                        <w:rFonts w:ascii="Cambria Math" w:hAnsi="Cambria Math"/>
                        <w:i/>
                      </w:rPr>
                    </m:ctrlPr>
                  </m:sSubPr>
                  <m:e>
                    <m:r>
                      <w:rPr>
                        <w:rFonts w:ascii="Cambria Math"/>
                      </w:rPr>
                      <m:t>λ</m:t>
                    </m:r>
                  </m:e>
                  <m:sub>
                    <m:r>
                      <w:rPr>
                        <w:rFonts w:ascii="Cambria Math"/>
                      </w:rPr>
                      <m:t>1</m:t>
                    </m:r>
                  </m:sub>
                </m:sSub>
                <m:r>
                  <w:rPr>
                    <w:rFonts w:ascii="Cambria Math"/>
                  </w:rPr>
                  <m:t>)</m:t>
                </m:r>
              </m:oMath>
            </m:oMathPara>
          </w:p>
        </w:tc>
        <w:tc>
          <w:tcPr>
            <w:tcW w:w="1050" w:type="dxa"/>
            <w:vAlign w:val="center"/>
          </w:tcPr>
          <w:p w14:paraId="181E6CDB" w14:textId="338A1AF3" w:rsidR="00F16ED2" w:rsidRPr="004D595E" w:rsidRDefault="00F16ED2" w:rsidP="00EB097F">
            <w:pPr>
              <w:ind w:left="851" w:hanging="851"/>
              <w:rPr>
                <w:b/>
                <w:bCs/>
                <w:i/>
              </w:rPr>
            </w:pPr>
            <w:r w:rsidRPr="004D595E">
              <w:rPr>
                <w:b/>
                <w:bCs/>
              </w:rPr>
              <w:t>(A</w:t>
            </w:r>
            <w:r w:rsidR="008D7E76">
              <w:rPr>
                <w:b/>
                <w:bCs/>
              </w:rPr>
              <w:t>E</w:t>
            </w:r>
            <w:r w:rsidRPr="004D595E">
              <w:rPr>
                <w:b/>
                <w:bCs/>
              </w:rPr>
              <w:t>.5)</w:t>
            </w:r>
          </w:p>
        </w:tc>
      </w:tr>
    </w:tbl>
    <w:p w14:paraId="37D73237" w14:textId="77777777" w:rsidR="00F16ED2" w:rsidRPr="004D595E" w:rsidRDefault="00F16ED2" w:rsidP="00F16ED2">
      <w:r w:rsidRPr="004D595E">
        <w:t>where:</w:t>
      </w:r>
    </w:p>
    <w:p w14:paraId="55AE3F92" w14:textId="77777777" w:rsidR="00F16ED2" w:rsidRPr="004D595E" w:rsidRDefault="00F16ED2" w:rsidP="00F16ED2">
      <w:pPr>
        <w:ind w:left="851"/>
      </w:pPr>
      <w:r w:rsidRPr="004D595E">
        <w:rPr>
          <w:i/>
        </w:rPr>
        <w:t>φ</w:t>
      </w:r>
      <w:r w:rsidRPr="004D595E">
        <w:rPr>
          <w:i/>
          <w:vertAlign w:val="subscript"/>
        </w:rPr>
        <w:t>1</w:t>
      </w:r>
      <w:r w:rsidRPr="004D595E">
        <w:t xml:space="preserve"> = latitude of Station 1</w:t>
      </w:r>
    </w:p>
    <w:p w14:paraId="18C9AAD8" w14:textId="77777777" w:rsidR="00F16ED2" w:rsidRPr="004D595E" w:rsidRDefault="00F16ED2" w:rsidP="00F16ED2">
      <w:pPr>
        <w:ind w:left="851"/>
      </w:pPr>
      <w:r w:rsidRPr="004D595E">
        <w:rPr>
          <w:i/>
        </w:rPr>
        <w:t>λ</w:t>
      </w:r>
      <w:r w:rsidRPr="004D595E">
        <w:rPr>
          <w:i/>
          <w:vertAlign w:val="subscript"/>
        </w:rPr>
        <w:t>1</w:t>
      </w:r>
      <w:r w:rsidRPr="004D595E">
        <w:t xml:space="preserve"> = longitude of Station 1</w:t>
      </w:r>
    </w:p>
    <w:p w14:paraId="0BABDC0A" w14:textId="77777777" w:rsidR="00F16ED2" w:rsidRPr="004D595E" w:rsidRDefault="00F16ED2" w:rsidP="00F16ED2">
      <w:pPr>
        <w:ind w:left="851"/>
      </w:pPr>
      <w:r w:rsidRPr="004D595E">
        <w:rPr>
          <w:i/>
        </w:rPr>
        <w:t>φ</w:t>
      </w:r>
      <w:r w:rsidRPr="004D595E">
        <w:rPr>
          <w:i/>
          <w:vertAlign w:val="subscript"/>
        </w:rPr>
        <w:t>2</w:t>
      </w:r>
      <w:r w:rsidRPr="004D595E">
        <w:t xml:space="preserve"> = latitude of Station 2</w:t>
      </w:r>
    </w:p>
    <w:p w14:paraId="5B252E9E" w14:textId="77777777" w:rsidR="00F16ED2" w:rsidRPr="004D595E" w:rsidRDefault="00F16ED2" w:rsidP="00F16ED2">
      <w:pPr>
        <w:ind w:left="851"/>
      </w:pPr>
      <w:r w:rsidRPr="004D595E">
        <w:rPr>
          <w:i/>
        </w:rPr>
        <w:t>λ</w:t>
      </w:r>
      <w:r w:rsidRPr="004D595E">
        <w:rPr>
          <w:i/>
          <w:vertAlign w:val="subscript"/>
        </w:rPr>
        <w:t>2</w:t>
      </w:r>
      <w:r w:rsidRPr="004D595E">
        <w:t xml:space="preserve"> = longitude of Station 2</w:t>
      </w:r>
    </w:p>
    <w:p w14:paraId="3C7A4C13" w14:textId="260C2DA1" w:rsidR="00F16ED2" w:rsidRDefault="00F16ED2" w:rsidP="00F16ED2">
      <w:pPr>
        <w:ind w:left="851" w:hanging="851"/>
        <w:rPr>
          <w:b/>
        </w:rPr>
      </w:pPr>
    </w:p>
    <w:p w14:paraId="3C3F43E5" w14:textId="621C69D4" w:rsidR="00E2269E" w:rsidRDefault="00E2269E" w:rsidP="00F16ED2">
      <w:pPr>
        <w:ind w:left="851" w:hanging="851"/>
        <w:rPr>
          <w:b/>
        </w:rPr>
      </w:pPr>
    </w:p>
    <w:p w14:paraId="7714C859" w14:textId="7356F278" w:rsidR="00E2269E" w:rsidRDefault="00E2269E" w:rsidP="00F16ED2">
      <w:pPr>
        <w:ind w:left="851" w:hanging="851"/>
        <w:rPr>
          <w:b/>
        </w:rPr>
      </w:pPr>
    </w:p>
    <w:p w14:paraId="69A0D469" w14:textId="5A01B2DC" w:rsidR="00E2269E" w:rsidRDefault="00E2269E" w:rsidP="00F16ED2">
      <w:pPr>
        <w:ind w:left="851" w:hanging="851"/>
        <w:rPr>
          <w:b/>
        </w:rPr>
      </w:pPr>
    </w:p>
    <w:p w14:paraId="0E377F49" w14:textId="021AD370" w:rsidR="00E2269E" w:rsidRDefault="00E2269E" w:rsidP="00F16ED2">
      <w:pPr>
        <w:ind w:left="851" w:hanging="851"/>
        <w:rPr>
          <w:b/>
        </w:rPr>
      </w:pPr>
    </w:p>
    <w:p w14:paraId="5A2E20D7" w14:textId="36AEB7F1" w:rsidR="00E2269E" w:rsidRDefault="00E2269E" w:rsidP="00F16ED2">
      <w:pPr>
        <w:ind w:left="851" w:hanging="851"/>
        <w:rPr>
          <w:b/>
        </w:rPr>
      </w:pPr>
    </w:p>
    <w:p w14:paraId="67D36F3E" w14:textId="355F7D6F" w:rsidR="00E2269E" w:rsidRDefault="00E2269E" w:rsidP="00F16ED2">
      <w:pPr>
        <w:ind w:left="851" w:hanging="851"/>
        <w:rPr>
          <w:b/>
        </w:rPr>
      </w:pPr>
    </w:p>
    <w:p w14:paraId="7C936F09" w14:textId="77777777" w:rsidR="00E2269E" w:rsidRPr="00947E08" w:rsidRDefault="00E2269E" w:rsidP="00E2269E">
      <w:pPr>
        <w:pStyle w:val="ACMAFigureHeader"/>
      </w:pPr>
      <w:r w:rsidRPr="004D595E">
        <w:lastRenderedPageBreak/>
        <w:t>Diagram of azimuth angles of Station 1 and Station 2 with reference to Station 1 (denoted by Θ</w:t>
      </w:r>
      <w:r w:rsidRPr="004D595E">
        <w:rPr>
          <w:i/>
          <w:vertAlign w:val="subscript"/>
        </w:rPr>
        <w:t>S1</w:t>
      </w:r>
      <w:r w:rsidRPr="004D595E">
        <w:t xml:space="preserve"> and Θ</w:t>
      </w:r>
      <w:r w:rsidRPr="004D595E">
        <w:rPr>
          <w:i/>
          <w:vertAlign w:val="subscript"/>
        </w:rPr>
        <w:t>S1,S2</w:t>
      </w:r>
      <w:r w:rsidRPr="004D595E">
        <w:t xml:space="preserve"> respectively), and the horizontal off-axis angle of Station 2 from Station 1’s antenna boresight (denoted </w:t>
      </w:r>
      <w:proofErr w:type="spellStart"/>
      <w:r w:rsidRPr="004D595E">
        <w:rPr>
          <w:i/>
        </w:rPr>
        <w:t>θ</w:t>
      </w:r>
      <w:r w:rsidRPr="004D595E">
        <w:rPr>
          <w:i/>
          <w:vertAlign w:val="subscript"/>
        </w:rPr>
        <w:t>h</w:t>
      </w:r>
      <w:proofErr w:type="spellEnd"/>
      <w:r w:rsidRPr="004D595E">
        <w:t>). Note that both angles Θ</w:t>
      </w:r>
      <w:r w:rsidRPr="004D595E">
        <w:rPr>
          <w:i/>
          <w:vertAlign w:val="subscript"/>
        </w:rPr>
        <w:t>S1</w:t>
      </w:r>
      <w:r w:rsidRPr="004D595E">
        <w:t xml:space="preserve"> and Θ</w:t>
      </w:r>
      <w:r w:rsidRPr="004D595E">
        <w:rPr>
          <w:i/>
          <w:vertAlign w:val="subscript"/>
        </w:rPr>
        <w:t>S1,S2</w:t>
      </w:r>
      <w:r w:rsidRPr="004D595E">
        <w:t xml:space="preserve"> can range anywhere between 0° to 360°, this figure is just an example.</w:t>
      </w:r>
    </w:p>
    <w:p w14:paraId="3AC5453A" w14:textId="77777777" w:rsidR="00F16ED2" w:rsidRPr="004D595E" w:rsidRDefault="00F16ED2" w:rsidP="00F16ED2">
      <w:pPr>
        <w:ind w:left="851" w:hanging="851"/>
        <w:jc w:val="center"/>
        <w:rPr>
          <w:b/>
        </w:rPr>
      </w:pPr>
      <w:r>
        <w:rPr>
          <w:noProof/>
        </w:rPr>
        <w:drawing>
          <wp:inline distT="0" distB="0" distL="0" distR="0" wp14:anchorId="27C3C30A" wp14:editId="1C1E113B">
            <wp:extent cx="4099560" cy="27051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4099560" cy="2705100"/>
                    </a:xfrm>
                    <a:prstGeom prst="rect">
                      <a:avLst/>
                    </a:prstGeom>
                  </pic:spPr>
                </pic:pic>
              </a:graphicData>
            </a:graphic>
          </wp:inline>
        </w:drawing>
      </w:r>
    </w:p>
    <w:p w14:paraId="66B51DF0" w14:textId="13F88204" w:rsidR="00F16ED2" w:rsidRDefault="00F16ED2" w:rsidP="00F16ED2">
      <w:pPr>
        <w:pStyle w:val="Heading1"/>
        <w:numPr>
          <w:ilvl w:val="0"/>
          <w:numId w:val="0"/>
        </w:numPr>
      </w:pPr>
      <w:bookmarkStart w:id="413" w:name="_Toc457205670"/>
      <w:bookmarkStart w:id="414" w:name="_Toc438128044"/>
      <w:bookmarkStart w:id="415" w:name="_Toc53385016"/>
      <w:bookmarkStart w:id="416" w:name="_Ref91152908"/>
      <w:bookmarkStart w:id="417" w:name="_Ref94008033"/>
      <w:bookmarkStart w:id="418" w:name="_Toc94773111"/>
      <w:r>
        <w:lastRenderedPageBreak/>
        <w:t xml:space="preserve">Appendix </w:t>
      </w:r>
      <w:r w:rsidR="00362FB0">
        <w:t>F</w:t>
      </w:r>
      <w:r>
        <w:t>: Calculating antenna off-axis angle in three dimensions</w:t>
      </w:r>
      <w:bookmarkEnd w:id="413"/>
      <w:bookmarkEnd w:id="414"/>
      <w:bookmarkEnd w:id="415"/>
      <w:bookmarkEnd w:id="416"/>
      <w:bookmarkEnd w:id="417"/>
      <w:bookmarkEnd w:id="418"/>
    </w:p>
    <w:p w14:paraId="4D4A6B8F" w14:textId="4D5408D1" w:rsidR="00F16ED2" w:rsidRPr="00A129DA" w:rsidRDefault="00F16ED2" w:rsidP="00F16ED2">
      <w:r w:rsidRPr="00A129DA">
        <w:t xml:space="preserve">Once the horizontal component of an antenna off-axis angle is calculated (see </w:t>
      </w:r>
      <w:r w:rsidRPr="00965A38">
        <w:t xml:space="preserve">Appendix </w:t>
      </w:r>
      <w:r w:rsidR="008D7E76">
        <w:t>E</w:t>
      </w:r>
      <w:r w:rsidRPr="00A129DA">
        <w:t xml:space="preserve">), it can be combined with the vertical component to produce the off-axis angle in 3-dimensions. </w:t>
      </w:r>
    </w:p>
    <w:p w14:paraId="3B0D31F4" w14:textId="77777777" w:rsidR="00F16ED2" w:rsidRDefault="00F16ED2" w:rsidP="00F16ED2">
      <w:pPr>
        <w:ind w:left="567"/>
      </w:pPr>
      <m:oMathPara>
        <m:oMath>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S1,S2</m:t>
                  </m:r>
                </m:sub>
              </m:sSub>
            </m:e>
          </m:d>
          <m:r>
            <w:rPr>
              <w:rFonts w:ascii="Cambria Math" w:hAnsi="Cambria Math"/>
            </w:rPr>
            <m:t>=</m:t>
          </m:r>
          <m:func>
            <m:funcPr>
              <m:ctrlPr>
                <w:rPr>
                  <w:rFonts w:ascii="Cambria Math" w:hAnsi="Cambria Math"/>
                  <w:i/>
                </w:rPr>
              </m:ctrlPr>
            </m:funcPr>
            <m:fName>
              <m:r>
                <m:rPr>
                  <m:sty m:val="p"/>
                </m:rPr>
                <w:rPr>
                  <w:rFonts w:ascii="Cambria Math" w:hAnsi="Cambria Math"/>
                </w:rPr>
                <m:t>arccos</m:t>
              </m:r>
            </m:fName>
            <m:e>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ε</m:t>
                          </m:r>
                        </m:e>
                        <m:sub>
                          <m:r>
                            <w:rPr>
                              <w:rFonts w:ascii="Cambria Math" w:hAnsi="Cambria Math"/>
                            </w:rPr>
                            <m:t>h</m:t>
                          </m:r>
                        </m:sub>
                      </m:sSub>
                    </m:e>
                  </m:func>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S1,S2</m:t>
                          </m:r>
                        </m:sub>
                      </m:sSub>
                    </m:e>
                  </m:d>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ε</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h</m:t>
                              </m:r>
                            </m:sub>
                          </m:sSub>
                        </m:e>
                      </m:d>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ε</m:t>
                          </m:r>
                        </m:e>
                        <m:sub>
                          <m:r>
                            <w:rPr>
                              <w:rFonts w:ascii="Cambria Math" w:hAnsi="Cambria Math"/>
                            </w:rPr>
                            <m:t>h</m:t>
                          </m:r>
                        </m:sub>
                      </m:sSub>
                    </m:e>
                  </m:func>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S1,S2</m:t>
                          </m:r>
                        </m:sub>
                      </m:sSub>
                    </m:e>
                  </m:d>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ε</m:t>
                          </m:r>
                        </m:e>
                        <m:sub>
                          <m:r>
                            <w:rPr>
                              <w:rFonts w:ascii="Cambria Math" w:hAnsi="Cambria Math"/>
                            </w:rPr>
                            <m:t>S</m:t>
                          </m:r>
                        </m:sub>
                      </m:sSub>
                    </m:e>
                  </m:func>
                </m:e>
              </m:d>
            </m:e>
          </m:func>
        </m:oMath>
      </m:oMathPara>
    </w:p>
    <w:p w14:paraId="044231CA" w14:textId="77777777" w:rsidR="00F16ED2" w:rsidRPr="00A129DA" w:rsidRDefault="00F16ED2" w:rsidP="00F16ED2">
      <w:r w:rsidRPr="00A129DA">
        <w:t>where:</w:t>
      </w:r>
    </w:p>
    <w:p w14:paraId="7A7CC52E" w14:textId="77777777" w:rsidR="00F16ED2" w:rsidRPr="00A129DA" w:rsidRDefault="003A7F61" w:rsidP="00F16ED2">
      <w:pPr>
        <w:ind w:left="567"/>
      </w:pPr>
      <m:oMath>
        <m:sSub>
          <m:sSubPr>
            <m:ctrlPr>
              <w:rPr>
                <w:rFonts w:ascii="Cambria Math" w:hAnsi="Cambria Math"/>
                <w:i/>
              </w:rPr>
            </m:ctrlPr>
          </m:sSubPr>
          <m:e>
            <m:r>
              <w:rPr>
                <w:rFonts w:ascii="Cambria Math"/>
              </w:rPr>
              <m:t>Θ</m:t>
            </m:r>
          </m:e>
          <m:sub>
            <m:r>
              <w:rPr>
                <w:rFonts w:ascii="Cambria Math"/>
              </w:rPr>
              <m:t>S1,S2</m:t>
            </m:r>
          </m:sub>
        </m:sSub>
      </m:oMath>
      <w:r w:rsidR="00F16ED2" w:rsidRPr="00A129DA">
        <w:t xml:space="preserve"> is the azimuth of the interference path, relative to the Station 1’s </w:t>
      </w:r>
      <w:proofErr w:type="gramStart"/>
      <w:r w:rsidR="00F16ED2" w:rsidRPr="00A129DA">
        <w:t>location</w:t>
      </w:r>
      <w:proofErr w:type="gramEnd"/>
    </w:p>
    <w:p w14:paraId="1FA57BC3" w14:textId="77777777" w:rsidR="00F16ED2" w:rsidRPr="00A129DA" w:rsidRDefault="003A7F61" w:rsidP="00F16ED2">
      <w:pPr>
        <w:ind w:left="567"/>
      </w:pPr>
      <m:oMath>
        <m:sSub>
          <m:sSubPr>
            <m:ctrlPr>
              <w:rPr>
                <w:rFonts w:ascii="Cambria Math" w:hAnsi="Cambria Math"/>
                <w:i/>
              </w:rPr>
            </m:ctrlPr>
          </m:sSubPr>
          <m:e>
            <m:r>
              <w:rPr>
                <w:rFonts w:ascii="Cambria Math"/>
              </w:rPr>
              <m:t>θ</m:t>
            </m:r>
          </m:e>
          <m:sub>
            <m:r>
              <w:rPr>
                <w:rFonts w:ascii="Cambria Math" w:hAnsi="Cambria Math" w:cs="Cambria Math"/>
              </w:rPr>
              <m:t xml:space="preserve">h </m:t>
            </m:r>
          </m:sub>
        </m:sSub>
      </m:oMath>
      <w:r w:rsidR="00F16ED2" w:rsidRPr="00A129DA">
        <w:t>is the horizontal component of the antenna off-axis angle, i.e. the</w:t>
      </w:r>
      <w:r w:rsidR="00F16ED2">
        <w:t xml:space="preserve"> </w:t>
      </w:r>
      <w:r w:rsidR="00F16ED2" w:rsidRPr="00A129DA">
        <w:t xml:space="preserve">difference between the pointing azimuth of the Station 1, </w:t>
      </w:r>
      <w:r w:rsidR="00F16ED2" w:rsidRPr="004D595E">
        <w:t>Θ</w:t>
      </w:r>
      <w:r w:rsidR="00F16ED2" w:rsidRPr="004D595E">
        <w:rPr>
          <w:i/>
          <w:vertAlign w:val="subscript"/>
        </w:rPr>
        <w:t>S1</w:t>
      </w:r>
      <w:r w:rsidR="00F16ED2" w:rsidRPr="00A129DA">
        <w:t xml:space="preserve">, and </w:t>
      </w:r>
      <w:r w:rsidR="00F16ED2" w:rsidRPr="004D595E">
        <w:t>Θ</w:t>
      </w:r>
      <w:r w:rsidR="00F16ED2" w:rsidRPr="004D595E">
        <w:rPr>
          <w:i/>
          <w:vertAlign w:val="subscript"/>
        </w:rPr>
        <w:t>S1,</w:t>
      </w:r>
      <w:proofErr w:type="gramStart"/>
      <w:r w:rsidR="00F16ED2" w:rsidRPr="004D595E">
        <w:rPr>
          <w:i/>
          <w:vertAlign w:val="subscript"/>
        </w:rPr>
        <w:t>S2</w:t>
      </w:r>
      <w:proofErr w:type="gramEnd"/>
    </w:p>
    <w:p w14:paraId="2A8999AB" w14:textId="77777777" w:rsidR="00F16ED2" w:rsidRPr="00A129DA" w:rsidRDefault="003A7F61" w:rsidP="00F16ED2">
      <w:pPr>
        <w:ind w:left="567"/>
      </w:pPr>
      <m:oMath>
        <m:sSub>
          <m:sSubPr>
            <m:ctrlPr>
              <w:rPr>
                <w:rFonts w:ascii="Cambria Math" w:hAnsi="Cambria Math"/>
                <w:i/>
              </w:rPr>
            </m:ctrlPr>
          </m:sSubPr>
          <m:e>
            <m:r>
              <w:rPr>
                <w:rFonts w:ascii="Cambria Math" w:hAnsi="Cambria Math"/>
              </w:rPr>
              <m:t>ε</m:t>
            </m:r>
          </m:e>
          <m:sub>
            <m:r>
              <w:rPr>
                <w:rFonts w:ascii="Cambria Math" w:hAnsi="Cambria Math"/>
              </w:rPr>
              <m:t>S</m:t>
            </m:r>
          </m:sub>
        </m:sSub>
      </m:oMath>
      <w:r w:rsidR="00F16ED2">
        <w:t xml:space="preserve"> </w:t>
      </w:r>
      <w:r w:rsidR="00F16ED2" w:rsidRPr="00A129DA">
        <w:t>is the vertical component of the antenna off-axis angle, or the elevation angle of Station 1</w:t>
      </w:r>
    </w:p>
    <w:p w14:paraId="7BD906F1" w14:textId="77777777" w:rsidR="00F16ED2" w:rsidRPr="00A129DA" w:rsidRDefault="003A7F61" w:rsidP="00F16ED2">
      <w:pPr>
        <w:ind w:left="567"/>
        <w:rPr>
          <w:i/>
        </w:rPr>
      </w:pPr>
      <m:oMath>
        <m:sSub>
          <m:sSubPr>
            <m:ctrlPr>
              <w:rPr>
                <w:rFonts w:ascii="Cambria Math" w:hAnsi="Cambria Math"/>
                <w:i/>
              </w:rPr>
            </m:ctrlPr>
          </m:sSubPr>
          <m:e>
            <m:r>
              <w:rPr>
                <w:rFonts w:ascii="Cambria Math" w:hAnsi="Cambria Math"/>
              </w:rPr>
              <m:t>ε</m:t>
            </m:r>
          </m:e>
          <m:sub>
            <m:r>
              <w:rPr>
                <w:rFonts w:ascii="Cambria Math" w:hAnsi="Cambria Math"/>
              </w:rPr>
              <m:t>h</m:t>
            </m:r>
          </m:sub>
        </m:sSub>
        <m:d>
          <m:dPr>
            <m:ctrlPr>
              <w:rPr>
                <w:rFonts w:ascii="Cambria Math" w:hAnsi="Cambria Math"/>
                <w:i/>
              </w:rPr>
            </m:ctrlPr>
          </m:dPr>
          <m:e>
            <m:sSub>
              <m:sSubPr>
                <m:ctrlPr>
                  <w:rPr>
                    <w:rFonts w:ascii="Cambria Math" w:hAnsi="Cambria Math"/>
                    <w:i/>
                  </w:rPr>
                </m:ctrlPr>
              </m:sSubPr>
              <m:e>
                <m:r>
                  <w:rPr>
                    <w:rFonts w:ascii="Cambria Math"/>
                  </w:rPr>
                  <m:t>Θ</m:t>
                </m:r>
              </m:e>
              <m:sub>
                <m:r>
                  <w:rPr>
                    <w:rFonts w:ascii="Cambria Math"/>
                  </w:rPr>
                  <m:t>S1,S2</m:t>
                </m:r>
              </m:sub>
            </m:sSub>
          </m:e>
        </m:d>
      </m:oMath>
      <w:r w:rsidR="00F16ED2" w:rsidRPr="00A129DA">
        <w:rPr>
          <w:i/>
        </w:rPr>
        <w:t xml:space="preserve">, </w:t>
      </w:r>
      <w:r w:rsidR="00F16ED2" w:rsidRPr="00A129DA">
        <w:t>if available, is the elevation angle of the horizon at azimuth</w:t>
      </w:r>
      <m:oMath>
        <m:r>
          <w:rPr>
            <w:rFonts w:ascii="Cambria Math" w:hAnsi="Cambria Math"/>
          </w:rPr>
          <m:t xml:space="preserve"> </m:t>
        </m:r>
        <m:sSub>
          <m:sSubPr>
            <m:ctrlPr>
              <w:rPr>
                <w:rFonts w:ascii="Cambria Math" w:hAnsi="Cambria Math"/>
                <w:i/>
              </w:rPr>
            </m:ctrlPr>
          </m:sSubPr>
          <m:e>
            <m:r>
              <w:rPr>
                <w:rFonts w:ascii="Cambria Math"/>
              </w:rPr>
              <m:t>Θ</m:t>
            </m:r>
          </m:e>
          <m:sub>
            <m:r>
              <w:rPr>
                <w:rFonts w:ascii="Cambria Math"/>
              </w:rPr>
              <m:t>S1,S2</m:t>
            </m:r>
          </m:sub>
        </m:sSub>
      </m:oMath>
      <w:r w:rsidR="00F16ED2" w:rsidRPr="00A129DA">
        <w:t xml:space="preserve">, as seen from Station 1. This potentially reduces the total 3D off-axis angle. </w:t>
      </w:r>
    </w:p>
    <w:p w14:paraId="4FEC32E0" w14:textId="13A65AB5" w:rsidR="00F16ED2" w:rsidRPr="00A129DA" w:rsidRDefault="00F16ED2" w:rsidP="00F16ED2">
      <w:r w:rsidRPr="00A129DA">
        <w:t xml:space="preserve">This formula can be used for any station </w:t>
      </w:r>
      <w:r w:rsidR="00F7704C">
        <w:t>where</w:t>
      </w:r>
      <w:r w:rsidRPr="00A129DA">
        <w:t xml:space="preserve"> horizontal and vertical components of an off-axis angle</w:t>
      </w:r>
      <w:r w:rsidR="00F7704C">
        <w:t xml:space="preserve"> need to be accounted for, however will generally</w:t>
      </w:r>
      <w:r w:rsidRPr="00A129DA">
        <w:t xml:space="preserve"> only </w:t>
      </w:r>
      <w:r w:rsidR="00F7704C">
        <w:t xml:space="preserve">be </w:t>
      </w:r>
      <w:r w:rsidRPr="00A129DA">
        <w:t xml:space="preserve">relevant to </w:t>
      </w:r>
      <w:r w:rsidR="00C80104">
        <w:t>e</w:t>
      </w:r>
      <w:r w:rsidRPr="00A129DA">
        <w:t xml:space="preserve">arth stations for </w:t>
      </w:r>
      <w:r w:rsidR="00F7704C">
        <w:t xml:space="preserve">the </w:t>
      </w:r>
      <w:r w:rsidRPr="00A129DA">
        <w:t xml:space="preserve">purposes </w:t>
      </w:r>
      <w:r w:rsidR="00F7704C">
        <w:t>of</w:t>
      </w:r>
      <w:r w:rsidRPr="00A129DA">
        <w:t xml:space="preserve"> this document.</w:t>
      </w:r>
    </w:p>
    <w:p w14:paraId="3368A7CC" w14:textId="1AC024A8" w:rsidR="00F16ED2" w:rsidRPr="00A129DA" w:rsidRDefault="00F16ED2" w:rsidP="00F16ED2">
      <w:r w:rsidRPr="00A129DA">
        <w:t>The horizon</w:t>
      </w:r>
      <w:r w:rsidR="00F7704C">
        <w:t>tal</w:t>
      </w:r>
      <w:r w:rsidRPr="00A129DA">
        <w:t xml:space="preserve"> elevation angle should be calculated using the methods in Attachment 2 to Annex 1 to Rec. ITU-R P.452-15. If Station 1 is the transmitting station, use</w:t>
      </w:r>
      <w:r>
        <w:t xml:space="preserve"> </w:t>
      </w:r>
      <w:proofErr w:type="spellStart"/>
      <w:r w:rsidRPr="004D595E">
        <w:t>Θ</w:t>
      </w:r>
      <w:r>
        <w:rPr>
          <w:i/>
          <w:vertAlign w:val="subscript"/>
        </w:rPr>
        <w:t>td</w:t>
      </w:r>
      <w:proofErr w:type="spellEnd"/>
      <w:r w:rsidRPr="00A129DA">
        <w:t xml:space="preserve"> for line-of-sight paths and </w:t>
      </w:r>
      <w:proofErr w:type="spellStart"/>
      <w:r w:rsidRPr="004D595E">
        <w:t>Θ</w:t>
      </w:r>
      <w:r>
        <w:rPr>
          <w:i/>
          <w:vertAlign w:val="subscript"/>
        </w:rPr>
        <w:t>max</w:t>
      </w:r>
      <w:proofErr w:type="spellEnd"/>
      <w:r w:rsidRPr="00B20A6B">
        <w:rPr>
          <w:iCs/>
        </w:rPr>
        <w:t xml:space="preserve"> = max(</w:t>
      </w:r>
      <w:proofErr w:type="spellStart"/>
      <w:r w:rsidRPr="004D595E">
        <w:t>Θ</w:t>
      </w:r>
      <w:r>
        <w:rPr>
          <w:i/>
          <w:vertAlign w:val="subscript"/>
        </w:rPr>
        <w:t>i</w:t>
      </w:r>
      <w:proofErr w:type="spellEnd"/>
      <w:r w:rsidRPr="00B20A6B">
        <w:rPr>
          <w:iCs/>
        </w:rPr>
        <w:t xml:space="preserve">) </w:t>
      </w:r>
      <w:r w:rsidRPr="00A129DA">
        <w:t xml:space="preserve">for trans-horizon paths. If Station 1 is the receiving station, use </w:t>
      </w:r>
      <w:proofErr w:type="spellStart"/>
      <w:r w:rsidRPr="004D595E">
        <w:t>Θ</w:t>
      </w:r>
      <w:r>
        <w:rPr>
          <w:i/>
          <w:vertAlign w:val="subscript"/>
        </w:rPr>
        <w:t>rd</w:t>
      </w:r>
      <w:proofErr w:type="spellEnd"/>
      <w:r w:rsidRPr="00AA6A55">
        <w:rPr>
          <w:iCs/>
        </w:rPr>
        <w:t xml:space="preserve"> = –</w:t>
      </w:r>
      <w:r>
        <w:rPr>
          <w:iCs/>
        </w:rPr>
        <w:t xml:space="preserve"> </w:t>
      </w:r>
      <w:proofErr w:type="spellStart"/>
      <w:r w:rsidRPr="004D595E">
        <w:t>Θ</w:t>
      </w:r>
      <w:r>
        <w:rPr>
          <w:i/>
          <w:vertAlign w:val="subscript"/>
        </w:rPr>
        <w:t>td</w:t>
      </w:r>
      <w:proofErr w:type="spellEnd"/>
      <w:r w:rsidRPr="00A129DA">
        <w:t xml:space="preserve"> for line-of-sight paths and </w:t>
      </w:r>
      <w:proofErr w:type="spellStart"/>
      <w:r w:rsidRPr="004D595E">
        <w:t>Θ</w:t>
      </w:r>
      <w:r>
        <w:rPr>
          <w:i/>
          <w:vertAlign w:val="subscript"/>
        </w:rPr>
        <w:t>r</w:t>
      </w:r>
      <w:proofErr w:type="spellEnd"/>
      <w:r w:rsidRPr="00AA6A55">
        <w:rPr>
          <w:iCs/>
        </w:rPr>
        <w:t xml:space="preserve"> = max(</w:t>
      </w:r>
      <w:proofErr w:type="spellStart"/>
      <w:r w:rsidRPr="004D595E">
        <w:t>Θ</w:t>
      </w:r>
      <w:r>
        <w:rPr>
          <w:i/>
          <w:vertAlign w:val="subscript"/>
        </w:rPr>
        <w:t>j</w:t>
      </w:r>
      <w:proofErr w:type="spellEnd"/>
      <w:r w:rsidRPr="00AA6A55">
        <w:rPr>
          <w:iCs/>
        </w:rPr>
        <w:t>)</w:t>
      </w:r>
      <w:r w:rsidRPr="00A129DA">
        <w:t xml:space="preserve"> for trans-horizon paths.  </w:t>
      </w:r>
    </w:p>
    <w:p w14:paraId="50FA1094" w14:textId="77777777" w:rsidR="00F16ED2" w:rsidRDefault="00F16ED2" w:rsidP="00F16ED2">
      <w:pPr>
        <w:spacing w:after="0" w:line="240" w:lineRule="auto"/>
        <w:rPr>
          <w:b/>
          <w:kern w:val="28"/>
          <w:sz w:val="32"/>
        </w:rPr>
      </w:pPr>
      <w:r>
        <w:br w:type="page"/>
      </w:r>
    </w:p>
    <w:p w14:paraId="245AE4F2" w14:textId="7776CF54" w:rsidR="00F16ED2" w:rsidRDefault="00F16ED2" w:rsidP="00F16ED2">
      <w:pPr>
        <w:pStyle w:val="Heading1"/>
        <w:numPr>
          <w:ilvl w:val="0"/>
          <w:numId w:val="0"/>
        </w:numPr>
      </w:pPr>
      <w:bookmarkStart w:id="419" w:name="_Toc457205671"/>
      <w:bookmarkStart w:id="420" w:name="_Toc438128045"/>
      <w:bookmarkStart w:id="421" w:name="_Toc53385017"/>
      <w:bookmarkStart w:id="422" w:name="_Ref91152932"/>
      <w:bookmarkStart w:id="423" w:name="_Ref94008084"/>
      <w:bookmarkStart w:id="424" w:name="_Toc94773112"/>
      <w:r>
        <w:lastRenderedPageBreak/>
        <w:t xml:space="preserve">Appendix </w:t>
      </w:r>
      <w:r w:rsidR="00362FB0">
        <w:t>G</w:t>
      </w:r>
      <w:r>
        <w:t>: On-tune rejection</w:t>
      </w:r>
      <w:bookmarkEnd w:id="419"/>
      <w:bookmarkEnd w:id="420"/>
      <w:bookmarkEnd w:id="421"/>
      <w:bookmarkEnd w:id="422"/>
      <w:bookmarkEnd w:id="423"/>
      <w:bookmarkEnd w:id="424"/>
    </w:p>
    <w:p w14:paraId="4E0DCFF6" w14:textId="1B2E3248" w:rsidR="00F16ED2" w:rsidRPr="00BB4F57" w:rsidRDefault="00F16ED2" w:rsidP="00F16ED2">
      <w:r w:rsidRPr="00BB4F57">
        <w:t>This section provides information on helping achieve successful coordination</w:t>
      </w:r>
      <w:r w:rsidR="00F02625">
        <w:t xml:space="preserve"> of an earth station</w:t>
      </w:r>
      <w:r w:rsidRPr="00BB4F57">
        <w:t xml:space="preserve"> by including on-tune rejection (OTR) in </w:t>
      </w:r>
      <w:r w:rsidRPr="00BB4F57">
        <w:rPr>
          <w:b/>
        </w:rPr>
        <w:t>co-channel</w:t>
      </w:r>
      <w:r w:rsidRPr="00BB4F57">
        <w:t xml:space="preserve"> scenarios (as determined in </w:t>
      </w:r>
      <w:r w:rsidR="00F02625">
        <w:t>s</w:t>
      </w:r>
      <w:r w:rsidRPr="002E0D20">
        <w:t>ection</w:t>
      </w:r>
      <w:r w:rsidR="0019469F">
        <w:t xml:space="preserve"> </w:t>
      </w:r>
      <w:r w:rsidR="00B46DA8">
        <w:fldChar w:fldCharType="begin"/>
      </w:r>
      <w:r w:rsidR="00B46DA8">
        <w:instrText xml:space="preserve"> REF _Ref83888835 \r \h </w:instrText>
      </w:r>
      <w:r w:rsidR="00B46DA8">
        <w:fldChar w:fldCharType="separate"/>
      </w:r>
      <w:r w:rsidR="009E3A92">
        <w:t>3.6.2</w:t>
      </w:r>
      <w:r w:rsidR="00B46DA8">
        <w:fldChar w:fldCharType="end"/>
      </w:r>
      <w:r w:rsidRPr="002E0D20">
        <w:t>).</w:t>
      </w:r>
      <w:r w:rsidRPr="00BB4F57">
        <w:t xml:space="preserve"> It may be possible to reduce the power at the receiver by accounting for cases in which there is only a partial overlap of the transmitter and receiver bandwidths, which may help achieve coordination.</w:t>
      </w:r>
    </w:p>
    <w:p w14:paraId="02EFE51D" w14:textId="77777777" w:rsidR="00F16ED2" w:rsidRPr="00BB4F57" w:rsidRDefault="00F16ED2" w:rsidP="00F16ED2">
      <w:r w:rsidRPr="00BB4F57">
        <w:t xml:space="preserve">This means the greater the value of OTR, the lesser the value of received interference power, and improved likelihood of successful coordination. </w:t>
      </w:r>
    </w:p>
    <w:tbl>
      <w:tblPr>
        <w:tblW w:w="0" w:type="auto"/>
        <w:tblLook w:val="04A0" w:firstRow="1" w:lastRow="0" w:firstColumn="1" w:lastColumn="0" w:noHBand="0" w:noVBand="1"/>
      </w:tblPr>
      <w:tblGrid>
        <w:gridCol w:w="6652"/>
        <w:gridCol w:w="1019"/>
      </w:tblGrid>
      <w:tr w:rsidR="009552BB" w:rsidRPr="00BB4F57" w14:paraId="51034BB9" w14:textId="77777777" w:rsidTr="00EB097F">
        <w:tc>
          <w:tcPr>
            <w:tcW w:w="7479" w:type="dxa"/>
          </w:tcPr>
          <w:p w14:paraId="48354DB8" w14:textId="77777777" w:rsidR="00F16ED2" w:rsidRPr="00CC20C9" w:rsidRDefault="00F16ED2" w:rsidP="00EB097F">
            <w:pPr>
              <w:keepNext/>
              <w:keepLines/>
              <w:ind w:left="851" w:hanging="851"/>
              <w:jc w:val="center"/>
              <w:rPr>
                <w:rFonts w:ascii="Cambria Math"/>
                <w:i/>
              </w:rPr>
            </w:pPr>
            <m:oMath>
              <m:r>
                <w:rPr>
                  <w:rFonts w:ascii="Cambria Math"/>
                </w:rPr>
                <m:t>OTR</m:t>
              </m:r>
              <m:r>
                <w:rPr>
                  <w:rFonts w:ascii="Cambria Math"/>
                </w:rPr>
                <m:t>≈-</m:t>
              </m:r>
              <m:r>
                <w:rPr>
                  <w:rFonts w:ascii="Cambria Math"/>
                </w:rPr>
                <m:t>10</m:t>
              </m:r>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overlap</m:t>
                              </m:r>
                            </m:sub>
                          </m:sSub>
                        </m:num>
                        <m:den>
                          <m:r>
                            <w:rPr>
                              <w:rFonts w:ascii="Cambria Math"/>
                            </w:rPr>
                            <m:t>B</m:t>
                          </m:r>
                          <m:sSub>
                            <m:sSubPr>
                              <m:ctrlPr>
                                <w:rPr>
                                  <w:rFonts w:ascii="Cambria Math" w:hAnsi="Cambria Math"/>
                                  <w:i/>
                                </w:rPr>
                              </m:ctrlPr>
                            </m:sSubPr>
                            <m:e>
                              <m:r>
                                <w:rPr>
                                  <w:rFonts w:ascii="Cambria Math"/>
                                </w:rPr>
                                <m:t>W</m:t>
                              </m:r>
                            </m:e>
                            <m:sub>
                              <m:r>
                                <w:rPr>
                                  <w:rFonts w:ascii="Cambria Math"/>
                                </w:rPr>
                                <m:t>ES</m:t>
                              </m:r>
                            </m:sub>
                          </m:sSub>
                        </m:den>
                      </m:f>
                    </m:e>
                  </m:d>
                </m:e>
              </m:func>
            </m:oMath>
            <w:r w:rsidRPr="00CC20C9">
              <w:rPr>
                <w:rFonts w:ascii="Cambria Math"/>
                <w:i/>
              </w:rPr>
              <w:t xml:space="preserve">    for f</w:t>
            </w:r>
            <w:r w:rsidRPr="008C40D6">
              <w:rPr>
                <w:rFonts w:ascii="Cambria Math"/>
                <w:i/>
                <w:vertAlign w:val="subscript"/>
              </w:rPr>
              <w:t>overlap</w:t>
            </w:r>
            <w:r w:rsidRPr="00CC20C9">
              <w:rPr>
                <w:rFonts w:ascii="Cambria Math"/>
                <w:i/>
              </w:rPr>
              <w:t xml:space="preserve"> &gt; 0 MHz</w:t>
            </w:r>
          </w:p>
        </w:tc>
        <w:tc>
          <w:tcPr>
            <w:tcW w:w="1050" w:type="dxa"/>
          </w:tcPr>
          <w:p w14:paraId="3FF370ED" w14:textId="07AC9E67" w:rsidR="00F16ED2" w:rsidRPr="00BB4F57" w:rsidRDefault="00F16ED2" w:rsidP="00EB097F">
            <w:pPr>
              <w:rPr>
                <w:b/>
                <w:bCs/>
                <w:i/>
              </w:rPr>
            </w:pPr>
            <w:bookmarkStart w:id="425" w:name="_Ref302988085"/>
            <w:r w:rsidRPr="00BB4F57">
              <w:rPr>
                <w:b/>
                <w:bCs/>
              </w:rPr>
              <w:t>(A</w:t>
            </w:r>
            <w:r w:rsidR="008D7E76">
              <w:rPr>
                <w:b/>
                <w:bCs/>
              </w:rPr>
              <w:t>G</w:t>
            </w:r>
            <w:r w:rsidRPr="00BB4F57">
              <w:rPr>
                <w:b/>
                <w:bCs/>
              </w:rPr>
              <w:t>.</w:t>
            </w:r>
            <w:r>
              <w:rPr>
                <w:b/>
                <w:bCs/>
              </w:rPr>
              <w:t>1</w:t>
            </w:r>
            <w:r w:rsidRPr="00BB4F57">
              <w:rPr>
                <w:b/>
                <w:bCs/>
              </w:rPr>
              <w:t>)</w:t>
            </w:r>
            <w:bookmarkEnd w:id="425"/>
          </w:p>
        </w:tc>
      </w:tr>
    </w:tbl>
    <w:p w14:paraId="27471A2D" w14:textId="77777777" w:rsidR="00F16ED2" w:rsidRPr="00BB4F57" w:rsidRDefault="00F16ED2" w:rsidP="00F16ED2">
      <w:pPr>
        <w:ind w:left="720"/>
      </w:pPr>
      <w:r w:rsidRPr="00BB4F57">
        <w:t>where:</w:t>
      </w:r>
    </w:p>
    <w:p w14:paraId="6DC3EB04" w14:textId="77777777" w:rsidR="00F16ED2" w:rsidRPr="00BB4F57" w:rsidRDefault="00F16ED2" w:rsidP="00F16ED2">
      <w:pPr>
        <w:tabs>
          <w:tab w:val="left" w:pos="1276"/>
          <w:tab w:val="left" w:pos="1560"/>
        </w:tabs>
        <w:ind w:left="1560" w:hanging="993"/>
        <w:rPr>
          <w:i/>
        </w:rPr>
      </w:pPr>
      <w:r w:rsidRPr="00BB4F57">
        <w:rPr>
          <w:i/>
        </w:rPr>
        <w:t>BW</w:t>
      </w:r>
      <w:r w:rsidRPr="00BB4F57">
        <w:rPr>
          <w:i/>
          <w:vertAlign w:val="subscript"/>
        </w:rPr>
        <w:t>ES</w:t>
      </w:r>
      <w:r>
        <w:rPr>
          <w:i/>
          <w:vertAlign w:val="subscript"/>
        </w:rPr>
        <w:tab/>
      </w:r>
      <w:r w:rsidRPr="00BB4F57">
        <w:t>:</w:t>
      </w:r>
      <w:r>
        <w:tab/>
      </w:r>
      <w:r w:rsidRPr="00BB4F57">
        <w:t>Earth station transmitter channel bandwidth (MHz)</w:t>
      </w:r>
    </w:p>
    <w:p w14:paraId="101BDAEA" w14:textId="77777777" w:rsidR="00F16ED2" w:rsidRPr="00BB4F57" w:rsidRDefault="00F16ED2" w:rsidP="00F16ED2">
      <w:pPr>
        <w:tabs>
          <w:tab w:val="left" w:pos="1276"/>
          <w:tab w:val="left" w:pos="1560"/>
        </w:tabs>
        <w:ind w:left="1560" w:hanging="993"/>
      </w:pPr>
      <w:proofErr w:type="spellStart"/>
      <w:r w:rsidRPr="00BB4F57">
        <w:rPr>
          <w:i/>
        </w:rPr>
        <w:t>f</w:t>
      </w:r>
      <w:r w:rsidRPr="00BB4F57">
        <w:rPr>
          <w:i/>
          <w:vertAlign w:val="subscript"/>
        </w:rPr>
        <w:t>overlap</w:t>
      </w:r>
      <w:proofErr w:type="spellEnd"/>
      <w:r>
        <w:rPr>
          <w:i/>
          <w:vertAlign w:val="subscript"/>
        </w:rPr>
        <w:tab/>
      </w:r>
      <w:r w:rsidRPr="00BB4F57">
        <w:t>:</w:t>
      </w:r>
      <w:r>
        <w:tab/>
      </w:r>
      <w:r w:rsidRPr="00BB4F57">
        <w:t>frequency overlap between the transmitter and receiver channel bandwidths</w:t>
      </w:r>
    </w:p>
    <w:p w14:paraId="17A9EA33" w14:textId="77777777" w:rsidR="00F16ED2" w:rsidRPr="00BB4F57" w:rsidRDefault="00F16ED2" w:rsidP="00F16ED2">
      <w:pPr>
        <w:ind w:left="1560"/>
      </w:pPr>
      <w:r w:rsidRPr="00BB4F57">
        <w:t>If there is partial channel overlap in the frequency domain:</w:t>
      </w:r>
    </w:p>
    <w:p w14:paraId="6C8A59ED" w14:textId="77777777" w:rsidR="00F16ED2" w:rsidRPr="00BB4F57" w:rsidRDefault="00F16ED2" w:rsidP="00F16ED2">
      <w:pPr>
        <w:ind w:left="1985"/>
        <w:rPr>
          <w:i/>
        </w:rPr>
      </w:pPr>
      <w:proofErr w:type="spellStart"/>
      <w:r w:rsidRPr="00BB4F57">
        <w:rPr>
          <w:i/>
        </w:rPr>
        <w:t>f</w:t>
      </w:r>
      <w:r w:rsidRPr="00BB4F57">
        <w:rPr>
          <w:i/>
          <w:vertAlign w:val="subscript"/>
        </w:rPr>
        <w:t>overlap</w:t>
      </w:r>
      <w:proofErr w:type="spellEnd"/>
      <w:r w:rsidRPr="00BB4F57">
        <w:t xml:space="preserve"> = </w:t>
      </w:r>
      <w:r w:rsidRPr="00BB4F57">
        <w:rPr>
          <w:i/>
        </w:rPr>
        <w:t>BW</w:t>
      </w:r>
      <w:r w:rsidRPr="00BB4F57">
        <w:rPr>
          <w:i/>
          <w:vertAlign w:val="subscript"/>
        </w:rPr>
        <w:t>FS</w:t>
      </w:r>
      <w:r w:rsidRPr="00BB4F57">
        <w:t xml:space="preserve">/2 + </w:t>
      </w:r>
      <w:r w:rsidRPr="00BB4F57">
        <w:rPr>
          <w:i/>
        </w:rPr>
        <w:t>BW</w:t>
      </w:r>
      <w:r w:rsidRPr="00BB4F57">
        <w:rPr>
          <w:i/>
          <w:vertAlign w:val="subscript"/>
        </w:rPr>
        <w:t>ES</w:t>
      </w:r>
      <w:r w:rsidRPr="00BB4F57">
        <w:t>/2 – ∆</w:t>
      </w:r>
      <w:r w:rsidRPr="00BB4F57">
        <w:rPr>
          <w:i/>
        </w:rPr>
        <w:t>f</w:t>
      </w:r>
    </w:p>
    <w:p w14:paraId="12A8CA2B" w14:textId="77777777" w:rsidR="00F16ED2" w:rsidRPr="00BB4F57" w:rsidRDefault="00F16ED2" w:rsidP="00F16ED2">
      <w:pPr>
        <w:ind w:left="1560"/>
      </w:pPr>
      <w:r w:rsidRPr="00BB4F57">
        <w:t xml:space="preserve">otherwise, if one channel completely overlaps the other: </w:t>
      </w:r>
    </w:p>
    <w:p w14:paraId="70608AD7" w14:textId="77777777" w:rsidR="00F16ED2" w:rsidRPr="00BB4F57" w:rsidRDefault="00F16ED2" w:rsidP="00F16ED2">
      <w:pPr>
        <w:ind w:left="1985"/>
      </w:pPr>
      <w:proofErr w:type="spellStart"/>
      <w:r w:rsidRPr="00BB4F57">
        <w:rPr>
          <w:i/>
        </w:rPr>
        <w:t>f</w:t>
      </w:r>
      <w:r w:rsidRPr="00BB4F57">
        <w:rPr>
          <w:i/>
          <w:vertAlign w:val="subscript"/>
        </w:rPr>
        <w:t>overlap</w:t>
      </w:r>
      <w:proofErr w:type="spellEnd"/>
      <w:r w:rsidRPr="00BB4F57">
        <w:t xml:space="preserve"> = </w:t>
      </w:r>
      <w:r w:rsidRPr="005230F1">
        <w:rPr>
          <w:i/>
        </w:rPr>
        <w:t>min</w:t>
      </w:r>
      <w:r w:rsidRPr="00BB4F57">
        <w:t>(</w:t>
      </w:r>
      <w:r w:rsidRPr="00BB4F57">
        <w:rPr>
          <w:i/>
        </w:rPr>
        <w:t>BW</w:t>
      </w:r>
      <w:r w:rsidRPr="00BB4F57">
        <w:rPr>
          <w:i/>
          <w:vertAlign w:val="subscript"/>
        </w:rPr>
        <w:t>FS</w:t>
      </w:r>
      <w:r w:rsidRPr="00BB4F57">
        <w:t xml:space="preserve">, </w:t>
      </w:r>
      <w:r w:rsidRPr="00BB4F57">
        <w:rPr>
          <w:i/>
        </w:rPr>
        <w:t>BW</w:t>
      </w:r>
      <w:r w:rsidRPr="00BB4F57">
        <w:rPr>
          <w:i/>
          <w:vertAlign w:val="subscript"/>
        </w:rPr>
        <w:t>ES</w:t>
      </w:r>
      <w:r w:rsidRPr="00BB4F57">
        <w:t>)</w:t>
      </w:r>
    </w:p>
    <w:p w14:paraId="0A3D1BAA" w14:textId="12FEE163" w:rsidR="00D639AD" w:rsidRDefault="00F16ED2" w:rsidP="00F02625">
      <w:r w:rsidRPr="00BB4F57">
        <w:t xml:space="preserve">Note: </w:t>
      </w:r>
      <w:r w:rsidRPr="00BB4F57">
        <w:rPr>
          <w:i/>
        </w:rPr>
        <w:t>OTR</w:t>
      </w:r>
      <w:r w:rsidRPr="00BB4F57">
        <w:t xml:space="preserve"> should be limited to be no greater than the first adjacent-channel protection ratio in </w:t>
      </w:r>
      <w:r w:rsidRPr="002E0D20">
        <w:t xml:space="preserve">Table </w:t>
      </w:r>
      <w:r w:rsidR="00EC771A" w:rsidRPr="00F02625">
        <w:t>1</w:t>
      </w:r>
      <w:r w:rsidR="008D7E76">
        <w:t>3</w:t>
      </w:r>
      <w:r w:rsidRPr="00BB4F57">
        <w:t xml:space="preserve">, </w:t>
      </w:r>
      <w:proofErr w:type="gramStart"/>
      <w:r w:rsidRPr="00BB4F57">
        <w:t>i.e.</w:t>
      </w:r>
      <w:proofErr w:type="gramEnd"/>
      <w:r w:rsidRPr="00BB4F57">
        <w:t xml:space="preserve"> </w:t>
      </w:r>
      <w:r w:rsidRPr="00BB4F57">
        <w:rPr>
          <w:i/>
        </w:rPr>
        <w:t>OTR</w:t>
      </w:r>
      <w:r w:rsidRPr="00BB4F57">
        <w:t xml:space="preserve"> ≤ 35 dB.</w:t>
      </w:r>
    </w:p>
    <w:p w14:paraId="68877A8B" w14:textId="6F6F1E1C" w:rsidR="001C64E0" w:rsidRDefault="001C64E0" w:rsidP="001C64E0">
      <w:pPr>
        <w:pStyle w:val="Heading1"/>
        <w:numPr>
          <w:ilvl w:val="0"/>
          <w:numId w:val="0"/>
        </w:numPr>
      </w:pPr>
      <w:bookmarkStart w:id="426" w:name="_Ref91152959"/>
      <w:bookmarkStart w:id="427" w:name="_Toc94773113"/>
      <w:r>
        <w:lastRenderedPageBreak/>
        <w:t xml:space="preserve">Appendix </w:t>
      </w:r>
      <w:r w:rsidR="00362FB0">
        <w:t>H</w:t>
      </w:r>
      <w:r>
        <w:t>: Coexistence with space-receive stations</w:t>
      </w:r>
      <w:bookmarkEnd w:id="426"/>
      <w:bookmarkEnd w:id="427"/>
    </w:p>
    <w:p w14:paraId="01400A2D" w14:textId="0AAA140F" w:rsidR="005D7386" w:rsidRDefault="005D7386" w:rsidP="005D7386">
      <w:r>
        <w:t>This appendix provides a summary of the arrangements contained in the AWL LCD to safeguard the coexistence of AWL transmitters with space receive stations of the fixed satellite service (FSS). These arrangements are summarised here for</w:t>
      </w:r>
      <w:r w:rsidR="008A1323">
        <w:t xml:space="preserve"> ease of reference</w:t>
      </w:r>
      <w:r w:rsidR="0019469F">
        <w:t>, however i</w:t>
      </w:r>
      <w:r>
        <w:t>n the event of any discrepancy between this appendix and the AWL LCD, the LCD is to take precedence.</w:t>
      </w:r>
    </w:p>
    <w:p w14:paraId="088830EC" w14:textId="0F350CFD" w:rsidR="005D7386" w:rsidRDefault="005D7386" w:rsidP="005D7386">
      <w:r>
        <w:t xml:space="preserve">Article 5 of the ITU-R Radio Regulations prescribes allocations for various space services in the range 24.25-29.5 GHz on a co-primary basis with terrestrial services (including IMT). Domestically, FSS uplinks operate in the range 27-30 GHz. </w:t>
      </w:r>
    </w:p>
    <w:p w14:paraId="3137EBBF" w14:textId="0D3DAC12" w:rsidR="00C9599B" w:rsidRDefault="00C9599B" w:rsidP="00C9599B">
      <w:r>
        <w:t xml:space="preserve">The AWL LCD places additional licence conditions on some </w:t>
      </w:r>
      <w:r>
        <w:rPr>
          <w:rFonts w:cs="Arial"/>
        </w:rPr>
        <w:t xml:space="preserve">AWL </w:t>
      </w:r>
      <w:r>
        <w:t xml:space="preserve">devices to safeguard coexistence with space receive stations including FSS gateway uplinks. These conditions are summarised in Tables </w:t>
      </w:r>
      <w:r w:rsidR="005D7386">
        <w:t>1</w:t>
      </w:r>
      <w:r w:rsidR="008D7E76">
        <w:t>5</w:t>
      </w:r>
      <w:r w:rsidR="005D7386">
        <w:t>-</w:t>
      </w:r>
      <w:r w:rsidR="00D31181">
        <w:t>1</w:t>
      </w:r>
      <w:r w:rsidR="008D7E76">
        <w:t>7</w:t>
      </w:r>
      <w:r>
        <w:t>.</w:t>
      </w:r>
    </w:p>
    <w:p w14:paraId="495BBEC0" w14:textId="77777777" w:rsidR="00C9599B" w:rsidRDefault="00C9599B" w:rsidP="00C9599B">
      <w:pPr>
        <w:pStyle w:val="ACMATableHeader"/>
        <w:keepNext/>
        <w:keepLines/>
      </w:pPr>
      <w:r>
        <w:lastRenderedPageBreak/>
        <w:t>TRP limits and additional mitigations applicable to AWL transmitters (including registration exempt transmitters (except earth stations)</w:t>
      </w:r>
    </w:p>
    <w:tbl>
      <w:tblPr>
        <w:tblStyle w:val="TableGrid"/>
        <w:tblW w:w="0" w:type="auto"/>
        <w:tblLook w:val="04A0" w:firstRow="1" w:lastRow="0" w:firstColumn="1" w:lastColumn="0" w:noHBand="0" w:noVBand="1"/>
      </w:tblPr>
      <w:tblGrid>
        <w:gridCol w:w="2647"/>
        <w:gridCol w:w="1821"/>
        <w:gridCol w:w="3193"/>
      </w:tblGrid>
      <w:tr w:rsidR="00C9599B" w14:paraId="3EF12297" w14:textId="77777777" w:rsidTr="00893883">
        <w:tc>
          <w:tcPr>
            <w:tcW w:w="2647" w:type="dxa"/>
            <w:tcBorders>
              <w:top w:val="single" w:sz="4" w:space="0" w:color="auto"/>
              <w:left w:val="single" w:sz="4" w:space="0" w:color="auto"/>
              <w:bottom w:val="single" w:sz="4" w:space="0" w:color="auto"/>
              <w:right w:val="single" w:sz="4" w:space="0" w:color="auto"/>
            </w:tcBorders>
            <w:hideMark/>
          </w:tcPr>
          <w:p w14:paraId="5FB1A6B6" w14:textId="77777777" w:rsidR="00C9599B" w:rsidRDefault="00C9599B" w:rsidP="00893883">
            <w:pPr>
              <w:keepNext/>
              <w:keepLines/>
              <w:spacing w:after="0" w:line="240" w:lineRule="auto"/>
              <w:rPr>
                <w:rFonts w:asciiTheme="minorHAnsi" w:hAnsiTheme="minorHAnsi"/>
                <w:b/>
                <w:bCs/>
              </w:rPr>
            </w:pPr>
            <w:r>
              <w:rPr>
                <w:b/>
                <w:bCs/>
              </w:rPr>
              <w:t>Frequency/area</w:t>
            </w:r>
            <w:r>
              <w:rPr>
                <w:rStyle w:val="FootnoteReference"/>
                <w:b/>
                <w:bCs/>
              </w:rPr>
              <w:footnoteReference w:id="38"/>
            </w:r>
          </w:p>
        </w:tc>
        <w:tc>
          <w:tcPr>
            <w:tcW w:w="1821" w:type="dxa"/>
            <w:tcBorders>
              <w:top w:val="single" w:sz="4" w:space="0" w:color="auto"/>
              <w:left w:val="single" w:sz="4" w:space="0" w:color="auto"/>
              <w:bottom w:val="single" w:sz="4" w:space="0" w:color="auto"/>
              <w:right w:val="single" w:sz="4" w:space="0" w:color="auto"/>
            </w:tcBorders>
            <w:hideMark/>
          </w:tcPr>
          <w:p w14:paraId="3D558197" w14:textId="77777777" w:rsidR="00C9599B" w:rsidRDefault="00C9599B" w:rsidP="00893883">
            <w:pPr>
              <w:keepNext/>
              <w:keepLines/>
              <w:spacing w:after="0" w:line="240" w:lineRule="auto"/>
              <w:rPr>
                <w:b/>
                <w:bCs/>
              </w:rPr>
            </w:pPr>
            <w:r>
              <w:rPr>
                <w:b/>
                <w:bCs/>
              </w:rPr>
              <w:t>TRP limit</w:t>
            </w:r>
          </w:p>
        </w:tc>
        <w:tc>
          <w:tcPr>
            <w:tcW w:w="3193" w:type="dxa"/>
            <w:tcBorders>
              <w:top w:val="single" w:sz="4" w:space="0" w:color="auto"/>
              <w:left w:val="single" w:sz="4" w:space="0" w:color="auto"/>
              <w:bottom w:val="single" w:sz="4" w:space="0" w:color="auto"/>
              <w:right w:val="single" w:sz="4" w:space="0" w:color="auto"/>
            </w:tcBorders>
            <w:hideMark/>
          </w:tcPr>
          <w:p w14:paraId="14593FCC" w14:textId="77777777" w:rsidR="00C9599B" w:rsidRDefault="00C9599B" w:rsidP="00893883">
            <w:pPr>
              <w:keepNext/>
              <w:keepLines/>
              <w:spacing w:after="0" w:line="240" w:lineRule="auto"/>
              <w:rPr>
                <w:b/>
                <w:bCs/>
              </w:rPr>
            </w:pPr>
            <w:r>
              <w:rPr>
                <w:b/>
                <w:bCs/>
              </w:rPr>
              <w:t>Additional conditions</w:t>
            </w:r>
            <w:r>
              <w:rPr>
                <w:rStyle w:val="FootnoteReference"/>
                <w:b/>
                <w:bCs/>
              </w:rPr>
              <w:footnoteReference w:id="39"/>
            </w:r>
          </w:p>
        </w:tc>
      </w:tr>
      <w:tr w:rsidR="00C9599B" w14:paraId="66077DA3" w14:textId="77777777" w:rsidTr="00893883">
        <w:tc>
          <w:tcPr>
            <w:tcW w:w="2647" w:type="dxa"/>
            <w:vMerge w:val="restart"/>
            <w:tcBorders>
              <w:top w:val="single" w:sz="4" w:space="0" w:color="auto"/>
              <w:left w:val="single" w:sz="4" w:space="0" w:color="auto"/>
              <w:bottom w:val="single" w:sz="4" w:space="0" w:color="auto"/>
              <w:right w:val="single" w:sz="4" w:space="0" w:color="auto"/>
            </w:tcBorders>
            <w:hideMark/>
          </w:tcPr>
          <w:p w14:paraId="43C8DE83" w14:textId="77777777" w:rsidR="00C9599B" w:rsidRDefault="00C9599B" w:rsidP="00893883">
            <w:pPr>
              <w:keepNext/>
              <w:keepLines/>
              <w:spacing w:after="0" w:line="240" w:lineRule="auto"/>
            </w:pPr>
            <w:r>
              <w:t>24.7-27 GHz all areas, and 27-27.5 GHz outside both inner- and outer-footprint areas</w:t>
            </w:r>
          </w:p>
        </w:tc>
        <w:tc>
          <w:tcPr>
            <w:tcW w:w="1821" w:type="dxa"/>
            <w:tcBorders>
              <w:top w:val="single" w:sz="4" w:space="0" w:color="auto"/>
              <w:left w:val="single" w:sz="4" w:space="0" w:color="auto"/>
              <w:bottom w:val="single" w:sz="4" w:space="0" w:color="auto"/>
              <w:right w:val="single" w:sz="4" w:space="0" w:color="auto"/>
            </w:tcBorders>
            <w:hideMark/>
          </w:tcPr>
          <w:p w14:paraId="0C0D1166" w14:textId="77777777" w:rsidR="00C9599B" w:rsidRDefault="00C9599B" w:rsidP="00893883">
            <w:pPr>
              <w:keepNext/>
              <w:keepLines/>
              <w:spacing w:after="0" w:line="240" w:lineRule="auto"/>
            </w:pPr>
            <w:r>
              <w:t>40 dBm/200 MHz (baseline)</w:t>
            </w:r>
          </w:p>
        </w:tc>
        <w:tc>
          <w:tcPr>
            <w:tcW w:w="3193" w:type="dxa"/>
            <w:tcBorders>
              <w:top w:val="single" w:sz="4" w:space="0" w:color="auto"/>
              <w:left w:val="single" w:sz="4" w:space="0" w:color="auto"/>
              <w:bottom w:val="single" w:sz="4" w:space="0" w:color="auto"/>
              <w:right w:val="single" w:sz="4" w:space="0" w:color="auto"/>
            </w:tcBorders>
            <w:hideMark/>
          </w:tcPr>
          <w:p w14:paraId="6C61264E" w14:textId="77777777" w:rsidR="00C9599B" w:rsidRPr="003E78AC" w:rsidRDefault="00C9599B" w:rsidP="00893883">
            <w:pPr>
              <w:keepNext/>
              <w:keepLines/>
              <w:spacing w:after="0" w:line="240" w:lineRule="auto"/>
            </w:pPr>
            <w:r>
              <w:t>No extra conditions</w:t>
            </w:r>
          </w:p>
        </w:tc>
      </w:tr>
      <w:tr w:rsidR="00C9599B" w14:paraId="727DC4C6" w14:textId="77777777" w:rsidTr="00893883">
        <w:tc>
          <w:tcPr>
            <w:tcW w:w="0" w:type="auto"/>
            <w:vMerge/>
            <w:tcBorders>
              <w:top w:val="single" w:sz="4" w:space="0" w:color="auto"/>
              <w:left w:val="single" w:sz="4" w:space="0" w:color="auto"/>
              <w:bottom w:val="single" w:sz="4" w:space="0" w:color="auto"/>
              <w:right w:val="single" w:sz="4" w:space="0" w:color="auto"/>
            </w:tcBorders>
            <w:vAlign w:val="center"/>
            <w:hideMark/>
          </w:tcPr>
          <w:p w14:paraId="486BC76E" w14:textId="77777777" w:rsidR="00C9599B" w:rsidRDefault="00C9599B" w:rsidP="00893883">
            <w:pPr>
              <w:keepNext/>
              <w:keepLines/>
              <w:spacing w:after="0" w:line="240" w:lineRule="auto"/>
              <w:rPr>
                <w:szCs w:val="22"/>
                <w:lang w:eastAsia="en-US"/>
              </w:rPr>
            </w:pPr>
          </w:p>
        </w:tc>
        <w:tc>
          <w:tcPr>
            <w:tcW w:w="1821" w:type="dxa"/>
            <w:tcBorders>
              <w:top w:val="single" w:sz="4" w:space="0" w:color="auto"/>
              <w:left w:val="single" w:sz="4" w:space="0" w:color="auto"/>
              <w:bottom w:val="single" w:sz="4" w:space="0" w:color="auto"/>
              <w:right w:val="single" w:sz="4" w:space="0" w:color="auto"/>
            </w:tcBorders>
            <w:hideMark/>
          </w:tcPr>
          <w:p w14:paraId="69CEB268" w14:textId="77777777" w:rsidR="00C9599B" w:rsidRDefault="00C9599B" w:rsidP="00893883">
            <w:pPr>
              <w:keepNext/>
              <w:keepLines/>
              <w:spacing w:after="0" w:line="240" w:lineRule="auto"/>
            </w:pPr>
            <w:r>
              <w:t>45 dBm/200 MHz</w:t>
            </w:r>
          </w:p>
          <w:p w14:paraId="399F2BC1" w14:textId="77777777" w:rsidR="00C9599B" w:rsidRDefault="00C9599B" w:rsidP="00893883">
            <w:pPr>
              <w:keepNext/>
              <w:keepLines/>
              <w:spacing w:after="0" w:line="240" w:lineRule="auto"/>
            </w:pPr>
            <w:r>
              <w:t>(</w:t>
            </w:r>
            <w:proofErr w:type="gramStart"/>
            <w:r>
              <w:t>upper</w:t>
            </w:r>
            <w:proofErr w:type="gramEnd"/>
            <w:r>
              <w:t xml:space="preserve"> limit)</w:t>
            </w:r>
          </w:p>
        </w:tc>
        <w:tc>
          <w:tcPr>
            <w:tcW w:w="3193" w:type="dxa"/>
            <w:tcBorders>
              <w:top w:val="single" w:sz="4" w:space="0" w:color="auto"/>
              <w:left w:val="single" w:sz="4" w:space="0" w:color="auto"/>
              <w:bottom w:val="single" w:sz="4" w:space="0" w:color="auto"/>
              <w:right w:val="single" w:sz="4" w:space="0" w:color="auto"/>
            </w:tcBorders>
            <w:hideMark/>
          </w:tcPr>
          <w:p w14:paraId="2A5E5B23" w14:textId="77777777" w:rsidR="00C9599B" w:rsidRDefault="00C9599B" w:rsidP="00893883">
            <w:pPr>
              <w:keepNext/>
              <w:keepLines/>
              <w:spacing w:after="0" w:line="240" w:lineRule="auto"/>
            </w:pPr>
            <w:r>
              <w:t xml:space="preserve">Antenna pointing restrictions* and </w:t>
            </w:r>
          </w:p>
          <w:p w14:paraId="00DB2742" w14:textId="11FEE7A3" w:rsidR="00C9599B" w:rsidRDefault="00C9599B" w:rsidP="00893883">
            <w:pPr>
              <w:keepNext/>
              <w:keepLines/>
              <w:spacing w:after="0" w:line="240" w:lineRule="auto"/>
            </w:pPr>
            <w:r w:rsidRPr="00827660">
              <w:t>EIRP mask</w:t>
            </w:r>
            <w:r>
              <w:t xml:space="preserve"> (see Table </w:t>
            </w:r>
            <w:r w:rsidR="00D31181">
              <w:t>17</w:t>
            </w:r>
            <w:r>
              <w:t>)</w:t>
            </w:r>
          </w:p>
        </w:tc>
      </w:tr>
      <w:tr w:rsidR="00C9599B" w14:paraId="2CD8ECE5" w14:textId="77777777" w:rsidTr="00893883">
        <w:tc>
          <w:tcPr>
            <w:tcW w:w="2647" w:type="dxa"/>
            <w:vMerge w:val="restart"/>
            <w:tcBorders>
              <w:top w:val="single" w:sz="4" w:space="0" w:color="auto"/>
              <w:left w:val="single" w:sz="4" w:space="0" w:color="auto"/>
              <w:bottom w:val="single" w:sz="4" w:space="0" w:color="auto"/>
              <w:right w:val="single" w:sz="4" w:space="0" w:color="auto"/>
            </w:tcBorders>
            <w:hideMark/>
          </w:tcPr>
          <w:p w14:paraId="5DF2C9CE" w14:textId="77777777" w:rsidR="00C9599B" w:rsidRDefault="00C9599B" w:rsidP="00893883">
            <w:pPr>
              <w:keepNext/>
              <w:keepLines/>
              <w:spacing w:after="0" w:line="240" w:lineRule="auto"/>
            </w:pPr>
            <w:r>
              <w:t>27-27.5 GHz within outer-footprint areas</w:t>
            </w:r>
          </w:p>
        </w:tc>
        <w:tc>
          <w:tcPr>
            <w:tcW w:w="1821" w:type="dxa"/>
            <w:tcBorders>
              <w:top w:val="single" w:sz="4" w:space="0" w:color="auto"/>
              <w:left w:val="single" w:sz="4" w:space="0" w:color="auto"/>
              <w:bottom w:val="single" w:sz="4" w:space="0" w:color="auto"/>
              <w:right w:val="single" w:sz="4" w:space="0" w:color="auto"/>
            </w:tcBorders>
            <w:hideMark/>
          </w:tcPr>
          <w:p w14:paraId="4634BC2D" w14:textId="77777777" w:rsidR="00C9599B" w:rsidRDefault="00C9599B" w:rsidP="00893883">
            <w:pPr>
              <w:keepNext/>
              <w:keepLines/>
              <w:spacing w:after="0" w:line="240" w:lineRule="auto"/>
            </w:pPr>
            <w:r>
              <w:t>37 dBm/200 MHz (baseline)</w:t>
            </w:r>
          </w:p>
        </w:tc>
        <w:tc>
          <w:tcPr>
            <w:tcW w:w="3193" w:type="dxa"/>
            <w:tcBorders>
              <w:top w:val="single" w:sz="4" w:space="0" w:color="auto"/>
              <w:left w:val="single" w:sz="4" w:space="0" w:color="auto"/>
              <w:bottom w:val="single" w:sz="4" w:space="0" w:color="auto"/>
              <w:right w:val="single" w:sz="4" w:space="0" w:color="auto"/>
            </w:tcBorders>
            <w:hideMark/>
          </w:tcPr>
          <w:p w14:paraId="7023EA1A" w14:textId="77777777" w:rsidR="00C9599B" w:rsidRDefault="00C9599B" w:rsidP="00893883">
            <w:pPr>
              <w:keepNext/>
              <w:keepLines/>
              <w:spacing w:after="0" w:line="240" w:lineRule="auto"/>
            </w:pPr>
            <w:r>
              <w:t>No extra conditions</w:t>
            </w:r>
          </w:p>
        </w:tc>
      </w:tr>
      <w:tr w:rsidR="00C9599B" w14:paraId="5A89552C" w14:textId="77777777" w:rsidTr="00893883">
        <w:tc>
          <w:tcPr>
            <w:tcW w:w="0" w:type="auto"/>
            <w:vMerge/>
            <w:tcBorders>
              <w:top w:val="single" w:sz="4" w:space="0" w:color="auto"/>
              <w:left w:val="single" w:sz="4" w:space="0" w:color="auto"/>
              <w:bottom w:val="single" w:sz="4" w:space="0" w:color="auto"/>
              <w:right w:val="single" w:sz="4" w:space="0" w:color="auto"/>
            </w:tcBorders>
            <w:vAlign w:val="center"/>
            <w:hideMark/>
          </w:tcPr>
          <w:p w14:paraId="1904D400" w14:textId="77777777" w:rsidR="00C9599B" w:rsidRDefault="00C9599B" w:rsidP="00893883">
            <w:pPr>
              <w:keepNext/>
              <w:keepLines/>
              <w:spacing w:after="0" w:line="240" w:lineRule="auto"/>
              <w:rPr>
                <w:szCs w:val="22"/>
                <w:lang w:eastAsia="en-US"/>
              </w:rPr>
            </w:pPr>
          </w:p>
        </w:tc>
        <w:tc>
          <w:tcPr>
            <w:tcW w:w="1821" w:type="dxa"/>
            <w:tcBorders>
              <w:top w:val="single" w:sz="4" w:space="0" w:color="auto"/>
              <w:left w:val="single" w:sz="4" w:space="0" w:color="auto"/>
              <w:bottom w:val="single" w:sz="4" w:space="0" w:color="auto"/>
              <w:right w:val="single" w:sz="4" w:space="0" w:color="auto"/>
            </w:tcBorders>
            <w:hideMark/>
          </w:tcPr>
          <w:p w14:paraId="6945D06D" w14:textId="77777777" w:rsidR="00C9599B" w:rsidRDefault="00C9599B" w:rsidP="00893883">
            <w:pPr>
              <w:keepNext/>
              <w:keepLines/>
              <w:spacing w:after="0" w:line="240" w:lineRule="auto"/>
            </w:pPr>
            <w:r>
              <w:t>42 dBm/200 MHz</w:t>
            </w:r>
          </w:p>
          <w:p w14:paraId="3659C9ED" w14:textId="77777777" w:rsidR="00C9599B" w:rsidRDefault="00C9599B" w:rsidP="00893883">
            <w:pPr>
              <w:keepNext/>
              <w:keepLines/>
              <w:spacing w:after="0" w:line="240" w:lineRule="auto"/>
            </w:pPr>
            <w:r>
              <w:t>(</w:t>
            </w:r>
            <w:proofErr w:type="gramStart"/>
            <w:r>
              <w:t>upper</w:t>
            </w:r>
            <w:proofErr w:type="gramEnd"/>
            <w:r>
              <w:t xml:space="preserve"> limit)</w:t>
            </w:r>
          </w:p>
        </w:tc>
        <w:tc>
          <w:tcPr>
            <w:tcW w:w="3193" w:type="dxa"/>
            <w:tcBorders>
              <w:top w:val="single" w:sz="4" w:space="0" w:color="auto"/>
              <w:left w:val="single" w:sz="4" w:space="0" w:color="auto"/>
              <w:bottom w:val="single" w:sz="4" w:space="0" w:color="auto"/>
              <w:right w:val="single" w:sz="4" w:space="0" w:color="auto"/>
            </w:tcBorders>
            <w:hideMark/>
          </w:tcPr>
          <w:p w14:paraId="2DA46B41" w14:textId="77777777" w:rsidR="00C9599B" w:rsidRDefault="00C9599B" w:rsidP="00893883">
            <w:pPr>
              <w:keepNext/>
              <w:keepLines/>
              <w:spacing w:after="0" w:line="240" w:lineRule="auto"/>
            </w:pPr>
            <w:r>
              <w:t xml:space="preserve">Antenna pointing restrictions* and </w:t>
            </w:r>
          </w:p>
          <w:p w14:paraId="17B37482" w14:textId="7B091B6C" w:rsidR="00C9599B" w:rsidRDefault="00C9599B" w:rsidP="00893883">
            <w:pPr>
              <w:keepNext/>
              <w:keepLines/>
              <w:spacing w:after="0" w:line="240" w:lineRule="auto"/>
            </w:pPr>
            <w:r w:rsidRPr="00827660">
              <w:t>EIRP mask</w:t>
            </w:r>
            <w:r>
              <w:t xml:space="preserve"> (see Table </w:t>
            </w:r>
            <w:r w:rsidR="00D31181">
              <w:t>17</w:t>
            </w:r>
            <w:r>
              <w:t>)</w:t>
            </w:r>
          </w:p>
        </w:tc>
      </w:tr>
      <w:tr w:rsidR="00C9599B" w14:paraId="35F302D4" w14:textId="77777777" w:rsidTr="00893883">
        <w:tc>
          <w:tcPr>
            <w:tcW w:w="2647" w:type="dxa"/>
            <w:vMerge w:val="restart"/>
            <w:tcBorders>
              <w:top w:val="single" w:sz="4" w:space="0" w:color="auto"/>
              <w:left w:val="single" w:sz="4" w:space="0" w:color="auto"/>
              <w:bottom w:val="single" w:sz="4" w:space="0" w:color="auto"/>
              <w:right w:val="single" w:sz="4" w:space="0" w:color="auto"/>
            </w:tcBorders>
            <w:hideMark/>
          </w:tcPr>
          <w:p w14:paraId="619570CB" w14:textId="77777777" w:rsidR="00C9599B" w:rsidRDefault="00C9599B" w:rsidP="00893883">
            <w:pPr>
              <w:keepNext/>
              <w:keepLines/>
              <w:spacing w:after="0" w:line="240" w:lineRule="auto"/>
            </w:pPr>
            <w:r>
              <w:t>27-27.5 GHz within inner-footprint areas</w:t>
            </w:r>
          </w:p>
        </w:tc>
        <w:tc>
          <w:tcPr>
            <w:tcW w:w="1821" w:type="dxa"/>
            <w:tcBorders>
              <w:top w:val="single" w:sz="4" w:space="0" w:color="auto"/>
              <w:left w:val="single" w:sz="4" w:space="0" w:color="auto"/>
              <w:bottom w:val="single" w:sz="4" w:space="0" w:color="auto"/>
              <w:right w:val="single" w:sz="4" w:space="0" w:color="auto"/>
            </w:tcBorders>
            <w:hideMark/>
          </w:tcPr>
          <w:p w14:paraId="3D150698" w14:textId="77777777" w:rsidR="00C9599B" w:rsidRDefault="00C9599B" w:rsidP="00893883">
            <w:pPr>
              <w:keepNext/>
              <w:keepLines/>
              <w:spacing w:after="0" w:line="240" w:lineRule="auto"/>
            </w:pPr>
            <w:r>
              <w:t>25 dBm/200 MHz (baseline)</w:t>
            </w:r>
          </w:p>
        </w:tc>
        <w:tc>
          <w:tcPr>
            <w:tcW w:w="3193" w:type="dxa"/>
            <w:tcBorders>
              <w:top w:val="single" w:sz="4" w:space="0" w:color="auto"/>
              <w:left w:val="single" w:sz="4" w:space="0" w:color="auto"/>
              <w:bottom w:val="single" w:sz="4" w:space="0" w:color="auto"/>
              <w:right w:val="single" w:sz="4" w:space="0" w:color="auto"/>
            </w:tcBorders>
            <w:hideMark/>
          </w:tcPr>
          <w:p w14:paraId="6AAACFCE" w14:textId="77777777" w:rsidR="00C9599B" w:rsidRDefault="00C9599B" w:rsidP="00893883">
            <w:pPr>
              <w:keepNext/>
              <w:keepLines/>
              <w:spacing w:after="0" w:line="240" w:lineRule="auto"/>
            </w:pPr>
            <w:r>
              <w:t>Antenna pointing restrictions**</w:t>
            </w:r>
          </w:p>
        </w:tc>
      </w:tr>
      <w:tr w:rsidR="00C9599B" w14:paraId="2CF5A2DF" w14:textId="77777777" w:rsidTr="00893883">
        <w:tc>
          <w:tcPr>
            <w:tcW w:w="0" w:type="auto"/>
            <w:vMerge/>
            <w:tcBorders>
              <w:top w:val="single" w:sz="4" w:space="0" w:color="auto"/>
              <w:left w:val="single" w:sz="4" w:space="0" w:color="auto"/>
              <w:bottom w:val="single" w:sz="4" w:space="0" w:color="auto"/>
              <w:right w:val="single" w:sz="4" w:space="0" w:color="auto"/>
            </w:tcBorders>
            <w:vAlign w:val="center"/>
            <w:hideMark/>
          </w:tcPr>
          <w:p w14:paraId="46C0558F" w14:textId="77777777" w:rsidR="00C9599B" w:rsidRDefault="00C9599B" w:rsidP="00893883">
            <w:pPr>
              <w:keepNext/>
              <w:keepLines/>
              <w:spacing w:after="0" w:line="240" w:lineRule="auto"/>
              <w:rPr>
                <w:szCs w:val="22"/>
                <w:lang w:eastAsia="en-US"/>
              </w:rPr>
            </w:pPr>
          </w:p>
        </w:tc>
        <w:tc>
          <w:tcPr>
            <w:tcW w:w="1821" w:type="dxa"/>
            <w:tcBorders>
              <w:top w:val="single" w:sz="4" w:space="0" w:color="auto"/>
              <w:left w:val="single" w:sz="4" w:space="0" w:color="auto"/>
              <w:bottom w:val="single" w:sz="4" w:space="0" w:color="auto"/>
              <w:right w:val="single" w:sz="4" w:space="0" w:color="auto"/>
            </w:tcBorders>
            <w:hideMark/>
          </w:tcPr>
          <w:p w14:paraId="5B9F20EB" w14:textId="77777777" w:rsidR="00C9599B" w:rsidRDefault="00C9599B" w:rsidP="00893883">
            <w:pPr>
              <w:keepNext/>
              <w:keepLines/>
              <w:spacing w:after="0" w:line="240" w:lineRule="auto"/>
            </w:pPr>
            <w:r>
              <w:t>30 dBm/200 MHz</w:t>
            </w:r>
          </w:p>
          <w:p w14:paraId="02BECCA3" w14:textId="77777777" w:rsidR="00C9599B" w:rsidRDefault="00C9599B" w:rsidP="00893883">
            <w:pPr>
              <w:keepNext/>
              <w:keepLines/>
              <w:spacing w:after="0" w:line="240" w:lineRule="auto"/>
            </w:pPr>
            <w:r>
              <w:t>(</w:t>
            </w:r>
            <w:proofErr w:type="gramStart"/>
            <w:r>
              <w:t>upper</w:t>
            </w:r>
            <w:proofErr w:type="gramEnd"/>
            <w:r>
              <w:t xml:space="preserve"> limit)</w:t>
            </w:r>
          </w:p>
        </w:tc>
        <w:tc>
          <w:tcPr>
            <w:tcW w:w="3193" w:type="dxa"/>
            <w:tcBorders>
              <w:top w:val="single" w:sz="4" w:space="0" w:color="auto"/>
              <w:left w:val="single" w:sz="4" w:space="0" w:color="auto"/>
              <w:bottom w:val="single" w:sz="4" w:space="0" w:color="auto"/>
              <w:right w:val="single" w:sz="4" w:space="0" w:color="auto"/>
            </w:tcBorders>
            <w:hideMark/>
          </w:tcPr>
          <w:p w14:paraId="6CBD46F4" w14:textId="77777777" w:rsidR="00C9599B" w:rsidRDefault="00C9599B" w:rsidP="00893883">
            <w:pPr>
              <w:keepNext/>
              <w:keepLines/>
              <w:spacing w:after="0" w:line="240" w:lineRule="auto"/>
            </w:pPr>
            <w:r>
              <w:t xml:space="preserve">Antenna pointing restrictions* and </w:t>
            </w:r>
          </w:p>
          <w:p w14:paraId="3457F242" w14:textId="276DFBD1" w:rsidR="00C9599B" w:rsidRDefault="00C9599B" w:rsidP="00893883">
            <w:pPr>
              <w:keepNext/>
              <w:keepLines/>
              <w:spacing w:after="0" w:line="240" w:lineRule="auto"/>
            </w:pPr>
            <w:r w:rsidRPr="00827660">
              <w:t>EIRP mask</w:t>
            </w:r>
            <w:r>
              <w:t xml:space="preserve"> (see Table </w:t>
            </w:r>
            <w:r w:rsidR="00D31181">
              <w:t>17</w:t>
            </w:r>
            <w:r>
              <w:t>)</w:t>
            </w:r>
          </w:p>
        </w:tc>
      </w:tr>
      <w:tr w:rsidR="00C9599B" w14:paraId="708FE0F8" w14:textId="77777777" w:rsidTr="00893883">
        <w:tc>
          <w:tcPr>
            <w:tcW w:w="0" w:type="auto"/>
            <w:vMerge w:val="restart"/>
            <w:tcBorders>
              <w:top w:val="single" w:sz="4" w:space="0" w:color="auto"/>
              <w:left w:val="single" w:sz="4" w:space="0" w:color="auto"/>
              <w:right w:val="single" w:sz="4" w:space="0" w:color="auto"/>
            </w:tcBorders>
            <w:vAlign w:val="center"/>
          </w:tcPr>
          <w:p w14:paraId="66761722" w14:textId="77777777" w:rsidR="00C9599B" w:rsidRDefault="00C9599B" w:rsidP="00893883">
            <w:pPr>
              <w:keepNext/>
              <w:keepLines/>
              <w:spacing w:after="0" w:line="240" w:lineRule="auto"/>
              <w:rPr>
                <w:szCs w:val="22"/>
                <w:lang w:eastAsia="en-US"/>
              </w:rPr>
            </w:pPr>
            <w:r>
              <w:rPr>
                <w:szCs w:val="22"/>
                <w:lang w:eastAsia="en-US"/>
              </w:rPr>
              <w:t>27.5-29.5 GHz</w:t>
            </w:r>
          </w:p>
        </w:tc>
        <w:tc>
          <w:tcPr>
            <w:tcW w:w="1821" w:type="dxa"/>
            <w:tcBorders>
              <w:top w:val="single" w:sz="4" w:space="0" w:color="auto"/>
              <w:left w:val="single" w:sz="4" w:space="0" w:color="auto"/>
              <w:bottom w:val="single" w:sz="4" w:space="0" w:color="auto"/>
              <w:right w:val="single" w:sz="4" w:space="0" w:color="auto"/>
            </w:tcBorders>
          </w:tcPr>
          <w:p w14:paraId="5B625030" w14:textId="77777777" w:rsidR="00C9599B" w:rsidRDefault="00C9599B" w:rsidP="00893883">
            <w:pPr>
              <w:keepNext/>
              <w:keepLines/>
              <w:spacing w:after="0" w:line="240" w:lineRule="auto"/>
            </w:pPr>
            <w:r>
              <w:t>25 dBm/200 MHz (baseline)</w:t>
            </w:r>
          </w:p>
        </w:tc>
        <w:tc>
          <w:tcPr>
            <w:tcW w:w="3193" w:type="dxa"/>
            <w:tcBorders>
              <w:top w:val="single" w:sz="4" w:space="0" w:color="auto"/>
              <w:left w:val="single" w:sz="4" w:space="0" w:color="auto"/>
              <w:bottom w:val="single" w:sz="4" w:space="0" w:color="auto"/>
              <w:right w:val="single" w:sz="4" w:space="0" w:color="auto"/>
            </w:tcBorders>
          </w:tcPr>
          <w:p w14:paraId="65AB1D4C" w14:textId="77777777" w:rsidR="00C9599B" w:rsidRDefault="00C9599B" w:rsidP="00893883">
            <w:pPr>
              <w:keepNext/>
              <w:keepLines/>
              <w:spacing w:after="0" w:line="240" w:lineRule="auto"/>
            </w:pPr>
            <w:r>
              <w:t>Antenna pointing restrictions***</w:t>
            </w:r>
          </w:p>
        </w:tc>
      </w:tr>
      <w:tr w:rsidR="00C9599B" w14:paraId="6B8B9027" w14:textId="77777777" w:rsidTr="00893883">
        <w:trPr>
          <w:trHeight w:val="850"/>
        </w:trPr>
        <w:tc>
          <w:tcPr>
            <w:tcW w:w="0" w:type="auto"/>
            <w:vMerge/>
            <w:tcBorders>
              <w:left w:val="single" w:sz="4" w:space="0" w:color="auto"/>
              <w:bottom w:val="single" w:sz="4" w:space="0" w:color="auto"/>
              <w:right w:val="single" w:sz="4" w:space="0" w:color="auto"/>
            </w:tcBorders>
            <w:vAlign w:val="center"/>
          </w:tcPr>
          <w:p w14:paraId="5AB68DAB" w14:textId="77777777" w:rsidR="00C9599B" w:rsidRDefault="00C9599B" w:rsidP="00893883">
            <w:pPr>
              <w:keepNext/>
              <w:keepLines/>
              <w:spacing w:after="0" w:line="240" w:lineRule="auto"/>
              <w:rPr>
                <w:szCs w:val="22"/>
                <w:lang w:eastAsia="en-US"/>
              </w:rPr>
            </w:pPr>
          </w:p>
        </w:tc>
        <w:tc>
          <w:tcPr>
            <w:tcW w:w="1821" w:type="dxa"/>
            <w:tcBorders>
              <w:top w:val="single" w:sz="4" w:space="0" w:color="auto"/>
              <w:left w:val="single" w:sz="4" w:space="0" w:color="auto"/>
              <w:bottom w:val="single" w:sz="4" w:space="0" w:color="auto"/>
              <w:right w:val="single" w:sz="4" w:space="0" w:color="auto"/>
            </w:tcBorders>
          </w:tcPr>
          <w:p w14:paraId="2865B177" w14:textId="77777777" w:rsidR="00C9599B" w:rsidRDefault="00C9599B" w:rsidP="00893883">
            <w:pPr>
              <w:keepNext/>
              <w:keepLines/>
              <w:spacing w:after="0" w:line="240" w:lineRule="auto"/>
            </w:pPr>
            <w:r>
              <w:t>30 dBm/200 MHz</w:t>
            </w:r>
          </w:p>
          <w:p w14:paraId="6055DBA0" w14:textId="77777777" w:rsidR="00C9599B" w:rsidRDefault="00C9599B" w:rsidP="00893883">
            <w:pPr>
              <w:keepNext/>
              <w:keepLines/>
              <w:spacing w:after="0" w:line="240" w:lineRule="auto"/>
            </w:pPr>
            <w:r>
              <w:t>(</w:t>
            </w:r>
            <w:proofErr w:type="gramStart"/>
            <w:r>
              <w:t>upper</w:t>
            </w:r>
            <w:proofErr w:type="gramEnd"/>
            <w:r>
              <w:t xml:space="preserve"> limit)</w:t>
            </w:r>
          </w:p>
        </w:tc>
        <w:tc>
          <w:tcPr>
            <w:tcW w:w="3193" w:type="dxa"/>
            <w:tcBorders>
              <w:top w:val="single" w:sz="4" w:space="0" w:color="auto"/>
              <w:left w:val="single" w:sz="4" w:space="0" w:color="auto"/>
              <w:bottom w:val="single" w:sz="4" w:space="0" w:color="auto"/>
              <w:right w:val="single" w:sz="4" w:space="0" w:color="auto"/>
            </w:tcBorders>
          </w:tcPr>
          <w:p w14:paraId="58D76835" w14:textId="77777777" w:rsidR="00C9599B" w:rsidRDefault="00C9599B" w:rsidP="00893883">
            <w:pPr>
              <w:keepNext/>
              <w:keepLines/>
              <w:spacing w:after="0" w:line="240" w:lineRule="auto"/>
            </w:pPr>
            <w:r>
              <w:t xml:space="preserve">Antenna pointing restrictions* and </w:t>
            </w:r>
          </w:p>
          <w:p w14:paraId="5AC5A659" w14:textId="416244E3" w:rsidR="00C9599B" w:rsidRDefault="00C9599B" w:rsidP="00893883">
            <w:pPr>
              <w:keepNext/>
              <w:keepLines/>
              <w:spacing w:after="0" w:line="240" w:lineRule="auto"/>
            </w:pPr>
            <w:r w:rsidRPr="00827660">
              <w:t>EIRP mask</w:t>
            </w:r>
            <w:r>
              <w:t xml:space="preserve"> (see Table </w:t>
            </w:r>
            <w:r w:rsidR="00D31181">
              <w:t>18</w:t>
            </w:r>
            <w:r>
              <w:t>)</w:t>
            </w:r>
          </w:p>
        </w:tc>
      </w:tr>
    </w:tbl>
    <w:p w14:paraId="6426109E" w14:textId="77777777" w:rsidR="00C9599B" w:rsidRPr="0072403B" w:rsidRDefault="00C9599B" w:rsidP="00C9599B">
      <w:pPr>
        <w:keepNext/>
        <w:keepLines/>
        <w:spacing w:after="120"/>
        <w:rPr>
          <w:sz w:val="18"/>
          <w:szCs w:val="18"/>
        </w:rPr>
      </w:pPr>
      <w:r w:rsidRPr="0072403B">
        <w:rPr>
          <w:sz w:val="18"/>
          <w:szCs w:val="18"/>
        </w:rPr>
        <w:t>* The main antenna beam is not to be mechanically or electrically steered above the horizon. This restriction applies to all outdoor transmitters.</w:t>
      </w:r>
    </w:p>
    <w:p w14:paraId="23585F55" w14:textId="77777777" w:rsidR="00C9599B" w:rsidRDefault="00C9599B" w:rsidP="00C9599B">
      <w:pPr>
        <w:spacing w:after="120"/>
        <w:rPr>
          <w:rFonts w:cs="Arial"/>
          <w:sz w:val="18"/>
          <w:szCs w:val="18"/>
        </w:rPr>
      </w:pPr>
      <w:r w:rsidRPr="0072403B">
        <w:rPr>
          <w:sz w:val="18"/>
          <w:szCs w:val="18"/>
        </w:rPr>
        <w:t xml:space="preserve">** Outdoor base stations must not be mechanically steered above the horizon </w:t>
      </w:r>
      <w:r w:rsidRPr="0072403B">
        <w:rPr>
          <w:rFonts w:cs="Arial"/>
          <w:sz w:val="18"/>
          <w:szCs w:val="18"/>
        </w:rPr>
        <w:t>and must not direct the main beam (via electrical steering) to elevation angles greater than 5° above the horizon for more than 5% of time within a 24 hour period. Outdoor fixed transmitters, which are not base stations, must not direct their main beam to within defined angles from the geostationary orbit.</w:t>
      </w:r>
    </w:p>
    <w:p w14:paraId="104E02DE" w14:textId="77777777" w:rsidR="00C9599B" w:rsidRDefault="00C9599B" w:rsidP="00C9599B">
      <w:pPr>
        <w:spacing w:after="120"/>
        <w:rPr>
          <w:rFonts w:cs="Arial"/>
          <w:sz w:val="18"/>
          <w:szCs w:val="18"/>
        </w:rPr>
      </w:pPr>
      <w:r w:rsidRPr="0072403B">
        <w:rPr>
          <w:sz w:val="18"/>
          <w:szCs w:val="18"/>
        </w:rPr>
        <w:t>*</w:t>
      </w:r>
      <w:r>
        <w:rPr>
          <w:sz w:val="18"/>
          <w:szCs w:val="18"/>
        </w:rPr>
        <w:t>**</w:t>
      </w:r>
      <w:r w:rsidRPr="0072403B">
        <w:rPr>
          <w:sz w:val="18"/>
          <w:szCs w:val="18"/>
        </w:rPr>
        <w:t xml:space="preserve"> The main </w:t>
      </w:r>
      <w:r>
        <w:rPr>
          <w:sz w:val="18"/>
          <w:szCs w:val="18"/>
        </w:rPr>
        <w:t xml:space="preserve">base station </w:t>
      </w:r>
      <w:r w:rsidRPr="0072403B">
        <w:rPr>
          <w:sz w:val="18"/>
          <w:szCs w:val="18"/>
        </w:rPr>
        <w:t>antenna beam is not to be mechanically or electrically steered above the horizon.</w:t>
      </w:r>
      <w:r w:rsidRPr="001B76CD">
        <w:rPr>
          <w:rFonts w:cs="Arial"/>
          <w:sz w:val="18"/>
          <w:szCs w:val="18"/>
        </w:rPr>
        <w:t xml:space="preserve"> </w:t>
      </w:r>
      <w:r w:rsidRPr="0072403B">
        <w:rPr>
          <w:rFonts w:cs="Arial"/>
          <w:sz w:val="18"/>
          <w:szCs w:val="18"/>
        </w:rPr>
        <w:t>Outdoor fixed transmitters, which are not base stations, must not direct their main beam to within defined angles from the geostationary orbit.</w:t>
      </w:r>
    </w:p>
    <w:p w14:paraId="1BD0C0F6" w14:textId="77777777" w:rsidR="00C9599B" w:rsidRPr="00F042B1" w:rsidRDefault="00C9599B" w:rsidP="00C9599B">
      <w:pPr>
        <w:pStyle w:val="ACMATableHeader"/>
        <w:keepNext/>
        <w:keepLines/>
      </w:pPr>
      <w:r w:rsidRPr="00F042B1">
        <w:lastRenderedPageBreak/>
        <w:t>EIRP masks</w:t>
      </w:r>
      <w:r>
        <w:t xml:space="preserve"> in 24.7-27.5 GHz</w:t>
      </w:r>
    </w:p>
    <w:tbl>
      <w:tblPr>
        <w:tblStyle w:val="TableGrid"/>
        <w:tblW w:w="5085" w:type="pct"/>
        <w:jc w:val="center"/>
        <w:tblCellMar>
          <w:top w:w="85" w:type="dxa"/>
          <w:bottom w:w="85" w:type="dxa"/>
        </w:tblCellMar>
        <w:tblLook w:val="04A0" w:firstRow="1" w:lastRow="0" w:firstColumn="1" w:lastColumn="0" w:noHBand="0" w:noVBand="1"/>
      </w:tblPr>
      <w:tblGrid>
        <w:gridCol w:w="1613"/>
        <w:gridCol w:w="1488"/>
        <w:gridCol w:w="1572"/>
        <w:gridCol w:w="1560"/>
        <w:gridCol w:w="1558"/>
      </w:tblGrid>
      <w:tr w:rsidR="00C9599B" w14:paraId="41C72DE2" w14:textId="77777777" w:rsidTr="00893883">
        <w:trPr>
          <w:cantSplit/>
          <w:jc w:val="center"/>
        </w:trPr>
        <w:tc>
          <w:tcPr>
            <w:tcW w:w="1035" w:type="pct"/>
            <w:tcBorders>
              <w:top w:val="single" w:sz="4" w:space="0" w:color="auto"/>
              <w:left w:val="single" w:sz="4" w:space="0" w:color="auto"/>
              <w:bottom w:val="single" w:sz="4" w:space="0" w:color="auto"/>
              <w:right w:val="single" w:sz="4" w:space="0" w:color="auto"/>
            </w:tcBorders>
            <w:shd w:val="clear" w:color="auto" w:fill="404040" w:themeFill="text1" w:themeFillTint="BF"/>
          </w:tcPr>
          <w:p w14:paraId="32876DB1" w14:textId="77777777" w:rsidR="00C9599B" w:rsidRPr="00F042B1" w:rsidRDefault="00C9599B" w:rsidP="00893883">
            <w:pPr>
              <w:keepNext/>
              <w:keepLines/>
              <w:jc w:val="center"/>
              <w:rPr>
                <w:rFonts w:eastAsiaTheme="minorEastAsia"/>
                <w:b/>
                <w:color w:val="FFFFFF" w:themeColor="background1"/>
              </w:rPr>
            </w:pPr>
          </w:p>
        </w:tc>
        <w:tc>
          <w:tcPr>
            <w:tcW w:w="3965" w:type="pct"/>
            <w:gridSpan w:val="4"/>
            <w:tcBorders>
              <w:top w:val="single" w:sz="4" w:space="0" w:color="auto"/>
              <w:left w:val="single" w:sz="4" w:space="0" w:color="auto"/>
              <w:bottom w:val="single" w:sz="4" w:space="0" w:color="auto"/>
              <w:right w:val="single" w:sz="4" w:space="0" w:color="auto"/>
            </w:tcBorders>
            <w:shd w:val="clear" w:color="auto" w:fill="404040" w:themeFill="text1" w:themeFillTint="BF"/>
          </w:tcPr>
          <w:p w14:paraId="1087EE5A" w14:textId="77777777" w:rsidR="00C9599B" w:rsidRPr="00F042B1" w:rsidRDefault="00C9599B" w:rsidP="00893883">
            <w:pPr>
              <w:keepNext/>
              <w:keepLines/>
              <w:spacing w:after="0"/>
              <w:jc w:val="center"/>
              <w:rPr>
                <w:b/>
                <w:color w:val="FFFFFF" w:themeColor="background1"/>
              </w:rPr>
            </w:pPr>
            <w:r w:rsidRPr="00F042B1">
              <w:rPr>
                <w:b/>
                <w:color w:val="FFFFFF" w:themeColor="background1"/>
              </w:rPr>
              <w:t>Radiated maximum true mean power</w:t>
            </w:r>
            <w:r>
              <w:rPr>
                <w:b/>
                <w:color w:val="FFFFFF" w:themeColor="background1"/>
              </w:rPr>
              <w:t xml:space="preserve"> towards the GSO</w:t>
            </w:r>
          </w:p>
          <w:p w14:paraId="49CFBE5F" w14:textId="77777777" w:rsidR="00C9599B" w:rsidRPr="00F042B1" w:rsidRDefault="00C9599B" w:rsidP="00893883">
            <w:pPr>
              <w:keepNext/>
              <w:keepLines/>
              <w:spacing w:after="0"/>
              <w:jc w:val="center"/>
              <w:rPr>
                <w:rFonts w:eastAsiaTheme="minorEastAsia"/>
                <w:b/>
                <w:color w:val="FFFFFF" w:themeColor="background1"/>
              </w:rPr>
            </w:pPr>
            <w:r w:rsidRPr="00F042B1">
              <w:rPr>
                <w:rFonts w:eastAsiaTheme="minorEastAsia"/>
                <w:b/>
                <w:color w:val="FFFFFF" w:themeColor="background1"/>
              </w:rPr>
              <w:t>(dBm/200 MHz EIRP)</w:t>
            </w:r>
          </w:p>
        </w:tc>
      </w:tr>
      <w:tr w:rsidR="00C9599B" w14:paraId="645956CB" w14:textId="77777777" w:rsidTr="00893883">
        <w:trPr>
          <w:cantSplit/>
          <w:jc w:val="center"/>
        </w:trPr>
        <w:tc>
          <w:tcPr>
            <w:tcW w:w="1035" w:type="pct"/>
            <w:tcBorders>
              <w:top w:val="single" w:sz="4" w:space="0" w:color="auto"/>
              <w:left w:val="single" w:sz="4" w:space="0" w:color="auto"/>
              <w:bottom w:val="single" w:sz="4" w:space="0" w:color="auto"/>
              <w:right w:val="single" w:sz="4" w:space="0" w:color="auto"/>
            </w:tcBorders>
            <w:hideMark/>
          </w:tcPr>
          <w:p w14:paraId="11381C1C" w14:textId="77777777" w:rsidR="00C9599B" w:rsidRDefault="00C9599B" w:rsidP="00893883">
            <w:pPr>
              <w:keepNext/>
              <w:keepLines/>
              <w:spacing w:after="0"/>
              <w:jc w:val="center"/>
              <w:rPr>
                <w:rFonts w:ascii="Times New Roman" w:eastAsiaTheme="minorEastAsia" w:hAnsi="Times New Roman"/>
                <w:b/>
              </w:rPr>
            </w:pPr>
            <w:r>
              <w:rPr>
                <w:rFonts w:eastAsiaTheme="minorEastAsia"/>
                <w:b/>
              </w:rPr>
              <w:t>Elevation angle above the horizontal plane</w:t>
            </w:r>
          </w:p>
          <w:p w14:paraId="309B0BF4" w14:textId="77777777" w:rsidR="00C9599B" w:rsidRDefault="00C9599B" w:rsidP="00893883">
            <w:pPr>
              <w:keepNext/>
              <w:keepLines/>
              <w:jc w:val="center"/>
              <w:rPr>
                <w:rFonts w:eastAsiaTheme="minorEastAsia"/>
                <w:b/>
              </w:rPr>
            </w:pPr>
            <w:r>
              <w:rPr>
                <w:rFonts w:eastAsiaTheme="minorEastAsia"/>
                <w:b/>
              </w:rPr>
              <w:t>(</w:t>
            </w:r>
            <w:proofErr w:type="spellStart"/>
            <w:r>
              <w:rPr>
                <w:rFonts w:eastAsiaTheme="minorEastAsia"/>
                <w:b/>
              </w:rPr>
              <w:t>el</w:t>
            </w:r>
            <w:proofErr w:type="spellEnd"/>
            <w:r>
              <w:rPr>
                <w:rFonts w:eastAsiaTheme="minorEastAsia"/>
                <w:b/>
              </w:rPr>
              <w:t>)</w:t>
            </w:r>
          </w:p>
        </w:tc>
        <w:tc>
          <w:tcPr>
            <w:tcW w:w="955" w:type="pct"/>
            <w:tcBorders>
              <w:top w:val="single" w:sz="4" w:space="0" w:color="auto"/>
              <w:left w:val="single" w:sz="4" w:space="0" w:color="auto"/>
              <w:bottom w:val="single" w:sz="4" w:space="0" w:color="auto"/>
              <w:right w:val="single" w:sz="4" w:space="0" w:color="auto"/>
            </w:tcBorders>
            <w:hideMark/>
          </w:tcPr>
          <w:p w14:paraId="472668CE" w14:textId="77777777" w:rsidR="00C9599B" w:rsidRDefault="00C9599B" w:rsidP="00893883">
            <w:pPr>
              <w:keepNext/>
              <w:keepLines/>
              <w:jc w:val="center"/>
              <w:rPr>
                <w:rFonts w:eastAsiaTheme="minorEastAsia"/>
                <w:b/>
              </w:rPr>
            </w:pPr>
            <w:r>
              <w:rPr>
                <w:rFonts w:eastAsiaTheme="minorEastAsia"/>
                <w:b/>
              </w:rPr>
              <w:t>For transmitters in 24.7–27 GHz</w:t>
            </w:r>
          </w:p>
        </w:tc>
        <w:tc>
          <w:tcPr>
            <w:tcW w:w="1009" w:type="pct"/>
            <w:tcBorders>
              <w:top w:val="single" w:sz="4" w:space="0" w:color="auto"/>
              <w:left w:val="single" w:sz="4" w:space="0" w:color="auto"/>
              <w:bottom w:val="single" w:sz="4" w:space="0" w:color="auto"/>
              <w:right w:val="single" w:sz="4" w:space="0" w:color="auto"/>
            </w:tcBorders>
          </w:tcPr>
          <w:p w14:paraId="278F8685" w14:textId="77777777" w:rsidR="00C9599B" w:rsidRDefault="00C9599B" w:rsidP="00893883">
            <w:pPr>
              <w:keepNext/>
              <w:keepLines/>
              <w:spacing w:after="0"/>
              <w:jc w:val="center"/>
              <w:rPr>
                <w:rFonts w:eastAsiaTheme="minorEastAsia"/>
                <w:b/>
              </w:rPr>
            </w:pPr>
            <w:r>
              <w:rPr>
                <w:rFonts w:eastAsiaTheme="minorEastAsia"/>
                <w:b/>
              </w:rPr>
              <w:t>For transmitters in 27–27.5 GHz and outside inner- and outer-footprints</w:t>
            </w:r>
          </w:p>
        </w:tc>
        <w:tc>
          <w:tcPr>
            <w:tcW w:w="1001" w:type="pct"/>
            <w:tcBorders>
              <w:top w:val="single" w:sz="4" w:space="0" w:color="auto"/>
              <w:left w:val="single" w:sz="4" w:space="0" w:color="auto"/>
              <w:bottom w:val="single" w:sz="4" w:space="0" w:color="auto"/>
              <w:right w:val="single" w:sz="4" w:space="0" w:color="auto"/>
            </w:tcBorders>
          </w:tcPr>
          <w:p w14:paraId="4828746F" w14:textId="77777777" w:rsidR="00C9599B" w:rsidRDefault="00C9599B" w:rsidP="00893883">
            <w:pPr>
              <w:keepNext/>
              <w:keepLines/>
              <w:spacing w:after="0"/>
              <w:jc w:val="center"/>
              <w:rPr>
                <w:rFonts w:eastAsiaTheme="minorEastAsia"/>
                <w:b/>
              </w:rPr>
            </w:pPr>
            <w:r>
              <w:rPr>
                <w:rFonts w:eastAsiaTheme="minorEastAsia"/>
                <w:b/>
              </w:rPr>
              <w:t>For transmitters in 27–27.5 GHz and inside outer-footprints</w:t>
            </w:r>
          </w:p>
        </w:tc>
        <w:tc>
          <w:tcPr>
            <w:tcW w:w="1000" w:type="pct"/>
            <w:tcBorders>
              <w:top w:val="single" w:sz="4" w:space="0" w:color="auto"/>
              <w:left w:val="single" w:sz="4" w:space="0" w:color="auto"/>
              <w:bottom w:val="single" w:sz="4" w:space="0" w:color="auto"/>
              <w:right w:val="single" w:sz="4" w:space="0" w:color="auto"/>
            </w:tcBorders>
            <w:hideMark/>
          </w:tcPr>
          <w:p w14:paraId="5307912D" w14:textId="77777777" w:rsidR="00C9599B" w:rsidRDefault="00C9599B" w:rsidP="00893883">
            <w:pPr>
              <w:keepNext/>
              <w:keepLines/>
              <w:spacing w:after="0"/>
              <w:jc w:val="center"/>
              <w:rPr>
                <w:rFonts w:eastAsiaTheme="minorEastAsia"/>
                <w:b/>
              </w:rPr>
            </w:pPr>
            <w:r>
              <w:rPr>
                <w:rFonts w:eastAsiaTheme="minorEastAsia"/>
                <w:b/>
              </w:rPr>
              <w:t>For transmitters in 27–27.5 GHz and inside inner-footprints</w:t>
            </w:r>
          </w:p>
        </w:tc>
      </w:tr>
      <w:tr w:rsidR="00C9599B" w14:paraId="2EBE2E3B" w14:textId="77777777" w:rsidTr="00893883">
        <w:trPr>
          <w:cantSplit/>
          <w:jc w:val="center"/>
        </w:trPr>
        <w:tc>
          <w:tcPr>
            <w:tcW w:w="1035" w:type="pct"/>
            <w:tcBorders>
              <w:top w:val="single" w:sz="4" w:space="0" w:color="auto"/>
              <w:left w:val="single" w:sz="4" w:space="0" w:color="auto"/>
              <w:bottom w:val="single" w:sz="4" w:space="0" w:color="auto"/>
              <w:right w:val="single" w:sz="4" w:space="0" w:color="auto"/>
            </w:tcBorders>
            <w:hideMark/>
          </w:tcPr>
          <w:p w14:paraId="526395B8" w14:textId="77777777" w:rsidR="00C9599B" w:rsidRDefault="00C9599B" w:rsidP="00893883">
            <w:pPr>
              <w:keepNext/>
              <w:keepLines/>
              <w:spacing w:after="0"/>
              <w:rPr>
                <w:rFonts w:eastAsiaTheme="minorEastAsia"/>
              </w:rPr>
            </w:pPr>
            <w:r>
              <w:rPr>
                <w:rFonts w:eastAsiaTheme="minorEastAsia"/>
              </w:rPr>
              <w:t xml:space="preserve">5 degrees ≤ </w:t>
            </w:r>
            <w:proofErr w:type="spellStart"/>
            <w:r>
              <w:rPr>
                <w:rFonts w:eastAsiaTheme="minorEastAsia"/>
              </w:rPr>
              <w:t>el</w:t>
            </w:r>
            <w:proofErr w:type="spellEnd"/>
            <w:r>
              <w:rPr>
                <w:rFonts w:eastAsiaTheme="minorEastAsia"/>
              </w:rPr>
              <w:t xml:space="preserve"> &lt; 15 degrees</w:t>
            </w:r>
          </w:p>
        </w:tc>
        <w:tc>
          <w:tcPr>
            <w:tcW w:w="955" w:type="pct"/>
            <w:tcBorders>
              <w:top w:val="single" w:sz="4" w:space="0" w:color="auto"/>
              <w:left w:val="single" w:sz="4" w:space="0" w:color="auto"/>
              <w:bottom w:val="single" w:sz="4" w:space="0" w:color="auto"/>
              <w:right w:val="single" w:sz="4" w:space="0" w:color="auto"/>
            </w:tcBorders>
            <w:vAlign w:val="center"/>
            <w:hideMark/>
          </w:tcPr>
          <w:p w14:paraId="517383DE" w14:textId="77777777" w:rsidR="00C9599B" w:rsidRPr="007E5005" w:rsidRDefault="00C9599B" w:rsidP="00893883">
            <w:pPr>
              <w:keepNext/>
              <w:keepLines/>
              <w:spacing w:after="0"/>
              <w:jc w:val="center"/>
              <w:rPr>
                <w:rFonts w:eastAsiaTheme="minorEastAsia"/>
              </w:rPr>
            </w:pPr>
            <w:r>
              <w:rPr>
                <w:rFonts w:eastAsiaTheme="minorEastAsia"/>
              </w:rPr>
              <w:t>60</w:t>
            </w:r>
          </w:p>
        </w:tc>
        <w:tc>
          <w:tcPr>
            <w:tcW w:w="1009" w:type="pct"/>
            <w:tcBorders>
              <w:top w:val="single" w:sz="4" w:space="0" w:color="auto"/>
              <w:left w:val="single" w:sz="4" w:space="0" w:color="auto"/>
              <w:bottom w:val="single" w:sz="4" w:space="0" w:color="auto"/>
              <w:right w:val="single" w:sz="4" w:space="0" w:color="auto"/>
            </w:tcBorders>
            <w:vAlign w:val="center"/>
          </w:tcPr>
          <w:p w14:paraId="5796B530" w14:textId="77777777" w:rsidR="00C9599B" w:rsidRDefault="00C9599B" w:rsidP="00893883">
            <w:pPr>
              <w:keepNext/>
              <w:keepLines/>
              <w:spacing w:after="0"/>
              <w:jc w:val="center"/>
              <w:rPr>
                <w:rFonts w:eastAsiaTheme="minorEastAsia"/>
              </w:rPr>
            </w:pPr>
            <w:r>
              <w:rPr>
                <w:rFonts w:eastAsiaTheme="minorEastAsia"/>
              </w:rPr>
              <w:t>60</w:t>
            </w:r>
          </w:p>
        </w:tc>
        <w:tc>
          <w:tcPr>
            <w:tcW w:w="1001" w:type="pct"/>
            <w:tcBorders>
              <w:top w:val="single" w:sz="4" w:space="0" w:color="auto"/>
              <w:left w:val="single" w:sz="4" w:space="0" w:color="auto"/>
              <w:bottom w:val="single" w:sz="4" w:space="0" w:color="auto"/>
              <w:right w:val="single" w:sz="4" w:space="0" w:color="auto"/>
            </w:tcBorders>
            <w:vAlign w:val="center"/>
          </w:tcPr>
          <w:p w14:paraId="4BB1CE99" w14:textId="77777777" w:rsidR="00C9599B" w:rsidRDefault="00C9599B" w:rsidP="00893883">
            <w:pPr>
              <w:keepNext/>
              <w:keepLines/>
              <w:jc w:val="center"/>
              <w:rPr>
                <w:rFonts w:eastAsiaTheme="minorEastAsia"/>
              </w:rPr>
            </w:pPr>
            <w:r>
              <w:rPr>
                <w:rFonts w:eastAsiaTheme="minorEastAsia"/>
              </w:rPr>
              <w:t>-</w:t>
            </w:r>
          </w:p>
        </w:tc>
        <w:tc>
          <w:tcPr>
            <w:tcW w:w="1000" w:type="pct"/>
            <w:tcBorders>
              <w:top w:val="single" w:sz="4" w:space="0" w:color="auto"/>
              <w:left w:val="single" w:sz="4" w:space="0" w:color="auto"/>
              <w:bottom w:val="single" w:sz="4" w:space="0" w:color="auto"/>
              <w:right w:val="single" w:sz="4" w:space="0" w:color="auto"/>
            </w:tcBorders>
            <w:vAlign w:val="center"/>
          </w:tcPr>
          <w:p w14:paraId="7F4FAD74" w14:textId="77777777" w:rsidR="00C9599B" w:rsidRDefault="00C9599B" w:rsidP="00893883">
            <w:pPr>
              <w:keepNext/>
              <w:keepLines/>
              <w:jc w:val="center"/>
              <w:rPr>
                <w:rFonts w:eastAsiaTheme="minorEastAsia"/>
              </w:rPr>
            </w:pPr>
            <w:r>
              <w:rPr>
                <w:rFonts w:eastAsiaTheme="minorEastAsia"/>
              </w:rPr>
              <w:t>-</w:t>
            </w:r>
          </w:p>
        </w:tc>
      </w:tr>
      <w:tr w:rsidR="00C9599B" w14:paraId="1E26F8D0" w14:textId="77777777" w:rsidTr="00893883">
        <w:trPr>
          <w:cantSplit/>
          <w:jc w:val="center"/>
        </w:trPr>
        <w:tc>
          <w:tcPr>
            <w:tcW w:w="1035" w:type="pct"/>
            <w:tcBorders>
              <w:top w:val="single" w:sz="4" w:space="0" w:color="auto"/>
              <w:left w:val="single" w:sz="4" w:space="0" w:color="auto"/>
              <w:bottom w:val="single" w:sz="4" w:space="0" w:color="auto"/>
              <w:right w:val="single" w:sz="4" w:space="0" w:color="auto"/>
            </w:tcBorders>
            <w:hideMark/>
          </w:tcPr>
          <w:p w14:paraId="51006746" w14:textId="77777777" w:rsidR="00C9599B" w:rsidRDefault="00C9599B" w:rsidP="00893883">
            <w:pPr>
              <w:keepNext/>
              <w:keepLines/>
              <w:spacing w:after="0"/>
              <w:rPr>
                <w:rFonts w:eastAsiaTheme="minorEastAsia"/>
              </w:rPr>
            </w:pPr>
            <w:r>
              <w:rPr>
                <w:rFonts w:eastAsiaTheme="minorEastAsia"/>
              </w:rPr>
              <w:t xml:space="preserve">15 degrees ≤ </w:t>
            </w:r>
            <w:proofErr w:type="spellStart"/>
            <w:r>
              <w:rPr>
                <w:rFonts w:eastAsiaTheme="minorEastAsia"/>
              </w:rPr>
              <w:t>el</w:t>
            </w:r>
            <w:proofErr w:type="spellEnd"/>
            <w:r>
              <w:rPr>
                <w:rFonts w:eastAsiaTheme="minorEastAsia"/>
              </w:rPr>
              <w:t xml:space="preserve"> &lt; 25 degrees </w:t>
            </w:r>
          </w:p>
        </w:tc>
        <w:tc>
          <w:tcPr>
            <w:tcW w:w="955" w:type="pct"/>
            <w:tcBorders>
              <w:top w:val="single" w:sz="4" w:space="0" w:color="auto"/>
              <w:left w:val="single" w:sz="4" w:space="0" w:color="auto"/>
              <w:bottom w:val="single" w:sz="4" w:space="0" w:color="auto"/>
              <w:right w:val="single" w:sz="4" w:space="0" w:color="auto"/>
            </w:tcBorders>
            <w:vAlign w:val="center"/>
            <w:hideMark/>
          </w:tcPr>
          <w:p w14:paraId="1786BA1B" w14:textId="77777777" w:rsidR="00C9599B" w:rsidRPr="007E5005" w:rsidRDefault="00C9599B" w:rsidP="00893883">
            <w:pPr>
              <w:keepNext/>
              <w:keepLines/>
              <w:jc w:val="center"/>
              <w:rPr>
                <w:rFonts w:eastAsiaTheme="minorEastAsia"/>
              </w:rPr>
            </w:pPr>
            <w:r>
              <w:rPr>
                <w:rFonts w:eastAsiaTheme="minorEastAsia"/>
              </w:rPr>
              <w:t>60</w:t>
            </w:r>
          </w:p>
        </w:tc>
        <w:tc>
          <w:tcPr>
            <w:tcW w:w="1009" w:type="pct"/>
            <w:tcBorders>
              <w:top w:val="single" w:sz="4" w:space="0" w:color="auto"/>
              <w:left w:val="single" w:sz="4" w:space="0" w:color="auto"/>
              <w:bottom w:val="single" w:sz="4" w:space="0" w:color="auto"/>
              <w:right w:val="single" w:sz="4" w:space="0" w:color="auto"/>
            </w:tcBorders>
            <w:vAlign w:val="center"/>
          </w:tcPr>
          <w:p w14:paraId="269E50D6" w14:textId="77777777" w:rsidR="00C9599B" w:rsidRDefault="00C9599B" w:rsidP="00893883">
            <w:pPr>
              <w:keepNext/>
              <w:keepLines/>
              <w:jc w:val="center"/>
              <w:rPr>
                <w:rFonts w:eastAsiaTheme="minorEastAsia"/>
              </w:rPr>
            </w:pPr>
            <w:r>
              <w:rPr>
                <w:rFonts w:eastAsiaTheme="minorEastAsia"/>
              </w:rPr>
              <w:t>49</w:t>
            </w:r>
          </w:p>
        </w:tc>
        <w:tc>
          <w:tcPr>
            <w:tcW w:w="1001" w:type="pct"/>
            <w:tcBorders>
              <w:top w:val="single" w:sz="4" w:space="0" w:color="auto"/>
              <w:left w:val="single" w:sz="4" w:space="0" w:color="auto"/>
              <w:bottom w:val="single" w:sz="4" w:space="0" w:color="auto"/>
              <w:right w:val="single" w:sz="4" w:space="0" w:color="auto"/>
            </w:tcBorders>
            <w:vAlign w:val="center"/>
          </w:tcPr>
          <w:p w14:paraId="228FEFF8" w14:textId="77777777" w:rsidR="00C9599B" w:rsidRDefault="00C9599B" w:rsidP="00893883">
            <w:pPr>
              <w:keepNext/>
              <w:keepLines/>
              <w:jc w:val="center"/>
              <w:rPr>
                <w:rFonts w:eastAsiaTheme="minorEastAsia"/>
              </w:rPr>
            </w:pPr>
            <w:r>
              <w:rPr>
                <w:rFonts w:eastAsiaTheme="minorEastAsia"/>
              </w:rPr>
              <w:t>39</w:t>
            </w:r>
          </w:p>
        </w:tc>
        <w:tc>
          <w:tcPr>
            <w:tcW w:w="1000" w:type="pct"/>
            <w:tcBorders>
              <w:top w:val="single" w:sz="4" w:space="0" w:color="auto"/>
              <w:left w:val="single" w:sz="4" w:space="0" w:color="auto"/>
              <w:bottom w:val="single" w:sz="4" w:space="0" w:color="auto"/>
              <w:right w:val="single" w:sz="4" w:space="0" w:color="auto"/>
            </w:tcBorders>
            <w:vAlign w:val="center"/>
          </w:tcPr>
          <w:p w14:paraId="06F5C8DA" w14:textId="77777777" w:rsidR="00C9599B" w:rsidRDefault="00C9599B" w:rsidP="00893883">
            <w:pPr>
              <w:keepNext/>
              <w:keepLines/>
              <w:jc w:val="center"/>
              <w:rPr>
                <w:rFonts w:eastAsiaTheme="minorEastAsia"/>
              </w:rPr>
            </w:pPr>
            <w:r>
              <w:rPr>
                <w:rFonts w:eastAsiaTheme="minorEastAsia"/>
              </w:rPr>
              <w:t>34</w:t>
            </w:r>
          </w:p>
        </w:tc>
      </w:tr>
      <w:tr w:rsidR="00C9599B" w14:paraId="56B1FC82" w14:textId="77777777" w:rsidTr="00893883">
        <w:trPr>
          <w:cantSplit/>
          <w:jc w:val="center"/>
        </w:trPr>
        <w:tc>
          <w:tcPr>
            <w:tcW w:w="1035" w:type="pct"/>
            <w:tcBorders>
              <w:top w:val="single" w:sz="4" w:space="0" w:color="auto"/>
              <w:left w:val="single" w:sz="4" w:space="0" w:color="auto"/>
              <w:bottom w:val="single" w:sz="4" w:space="0" w:color="auto"/>
              <w:right w:val="single" w:sz="4" w:space="0" w:color="auto"/>
            </w:tcBorders>
            <w:hideMark/>
          </w:tcPr>
          <w:p w14:paraId="5823FE15" w14:textId="77777777" w:rsidR="00C9599B" w:rsidRDefault="00C9599B" w:rsidP="00893883">
            <w:pPr>
              <w:keepNext/>
              <w:keepLines/>
              <w:spacing w:after="0"/>
              <w:rPr>
                <w:rFonts w:eastAsiaTheme="minorEastAsia"/>
              </w:rPr>
            </w:pPr>
            <w:r>
              <w:rPr>
                <w:rFonts w:eastAsiaTheme="minorEastAsia"/>
              </w:rPr>
              <w:t xml:space="preserve">25 degrees ≤ </w:t>
            </w:r>
            <w:proofErr w:type="spellStart"/>
            <w:r>
              <w:rPr>
                <w:rFonts w:eastAsiaTheme="minorEastAsia"/>
              </w:rPr>
              <w:t>el</w:t>
            </w:r>
            <w:proofErr w:type="spellEnd"/>
            <w:r>
              <w:rPr>
                <w:rFonts w:eastAsiaTheme="minorEastAsia"/>
              </w:rPr>
              <w:t xml:space="preserve"> &lt; 40 degrees </w:t>
            </w:r>
          </w:p>
        </w:tc>
        <w:tc>
          <w:tcPr>
            <w:tcW w:w="955" w:type="pct"/>
            <w:tcBorders>
              <w:top w:val="single" w:sz="4" w:space="0" w:color="auto"/>
              <w:left w:val="single" w:sz="4" w:space="0" w:color="auto"/>
              <w:bottom w:val="single" w:sz="4" w:space="0" w:color="auto"/>
              <w:right w:val="single" w:sz="4" w:space="0" w:color="auto"/>
            </w:tcBorders>
            <w:vAlign w:val="center"/>
            <w:hideMark/>
          </w:tcPr>
          <w:p w14:paraId="77D74025" w14:textId="77777777" w:rsidR="00C9599B" w:rsidRPr="007E5005" w:rsidRDefault="00C9599B" w:rsidP="00893883">
            <w:pPr>
              <w:keepNext/>
              <w:keepLines/>
              <w:spacing w:after="0"/>
              <w:jc w:val="center"/>
              <w:rPr>
                <w:rFonts w:eastAsiaTheme="minorEastAsia"/>
              </w:rPr>
            </w:pPr>
            <w:r>
              <w:rPr>
                <w:rFonts w:eastAsiaTheme="minorEastAsia"/>
              </w:rPr>
              <w:t>60</w:t>
            </w:r>
          </w:p>
        </w:tc>
        <w:tc>
          <w:tcPr>
            <w:tcW w:w="1009" w:type="pct"/>
            <w:tcBorders>
              <w:top w:val="single" w:sz="4" w:space="0" w:color="auto"/>
              <w:left w:val="single" w:sz="4" w:space="0" w:color="auto"/>
              <w:bottom w:val="single" w:sz="4" w:space="0" w:color="auto"/>
              <w:right w:val="single" w:sz="4" w:space="0" w:color="auto"/>
            </w:tcBorders>
            <w:vAlign w:val="center"/>
          </w:tcPr>
          <w:p w14:paraId="17C4C773" w14:textId="77777777" w:rsidR="00C9599B" w:rsidRDefault="00C9599B" w:rsidP="00893883">
            <w:pPr>
              <w:keepNext/>
              <w:keepLines/>
              <w:spacing w:after="0"/>
              <w:jc w:val="center"/>
            </w:pPr>
            <m:oMathPara>
              <m:oMath>
                <m:r>
                  <m:rPr>
                    <m:sty m:val="p"/>
                  </m:rPr>
                  <w:rPr>
                    <w:rFonts w:ascii="Cambria Math" w:eastAsiaTheme="minorEastAsia" w:hAnsi="Cambria Math"/>
                  </w:rPr>
                  <m:t>=49-0.43</m:t>
                </m:r>
                <m:d>
                  <m:dPr>
                    <m:ctrlPr>
                      <w:rPr>
                        <w:rFonts w:ascii="Cambria Math" w:eastAsiaTheme="minorEastAsia" w:hAnsi="Cambria Math"/>
                      </w:rPr>
                    </m:ctrlPr>
                  </m:dPr>
                  <m:e>
                    <m:r>
                      <w:rPr>
                        <w:rFonts w:ascii="Cambria Math" w:eastAsiaTheme="minorEastAsia" w:hAnsi="Cambria Math"/>
                      </w:rPr>
                      <m:t>el</m:t>
                    </m:r>
                    <m:r>
                      <m:rPr>
                        <m:sty m:val="p"/>
                      </m:rPr>
                      <w:rPr>
                        <w:rFonts w:ascii="Cambria Math" w:eastAsiaTheme="minorEastAsia" w:hAnsi="Cambria Math"/>
                      </w:rPr>
                      <m:t>-25</m:t>
                    </m:r>
                  </m:e>
                </m:d>
              </m:oMath>
            </m:oMathPara>
          </w:p>
        </w:tc>
        <w:tc>
          <w:tcPr>
            <w:tcW w:w="1001" w:type="pct"/>
            <w:tcBorders>
              <w:top w:val="single" w:sz="4" w:space="0" w:color="auto"/>
              <w:left w:val="single" w:sz="4" w:space="0" w:color="auto"/>
              <w:bottom w:val="single" w:sz="4" w:space="0" w:color="auto"/>
              <w:right w:val="single" w:sz="4" w:space="0" w:color="auto"/>
            </w:tcBorders>
            <w:vAlign w:val="center"/>
          </w:tcPr>
          <w:p w14:paraId="732451ED" w14:textId="77777777" w:rsidR="00C9599B" w:rsidRDefault="00C9599B" w:rsidP="00893883">
            <w:pPr>
              <w:keepNext/>
              <w:keepLines/>
              <w:spacing w:after="0"/>
              <w:jc w:val="center"/>
            </w:pPr>
            <m:oMathPara>
              <m:oMath>
                <m:r>
                  <m:rPr>
                    <m:sty m:val="p"/>
                  </m:rPr>
                  <w:rPr>
                    <w:rFonts w:ascii="Cambria Math" w:eastAsiaTheme="minorEastAsia" w:hAnsi="Cambria Math"/>
                  </w:rPr>
                  <m:t>=39-0.43</m:t>
                </m:r>
                <m:d>
                  <m:dPr>
                    <m:ctrlPr>
                      <w:rPr>
                        <w:rFonts w:ascii="Cambria Math" w:eastAsiaTheme="minorEastAsia" w:hAnsi="Cambria Math"/>
                      </w:rPr>
                    </m:ctrlPr>
                  </m:dPr>
                  <m:e>
                    <m:r>
                      <w:rPr>
                        <w:rFonts w:ascii="Cambria Math" w:eastAsiaTheme="minorEastAsia" w:hAnsi="Cambria Math"/>
                      </w:rPr>
                      <m:t>el</m:t>
                    </m:r>
                    <m:r>
                      <m:rPr>
                        <m:sty m:val="p"/>
                      </m:rPr>
                      <w:rPr>
                        <w:rFonts w:ascii="Cambria Math" w:eastAsiaTheme="minorEastAsia" w:hAnsi="Cambria Math"/>
                      </w:rPr>
                      <m:t>-25</m:t>
                    </m:r>
                  </m:e>
                </m:d>
              </m:oMath>
            </m:oMathPara>
          </w:p>
        </w:tc>
        <w:tc>
          <w:tcPr>
            <w:tcW w:w="1000" w:type="pct"/>
            <w:tcBorders>
              <w:top w:val="single" w:sz="4" w:space="0" w:color="auto"/>
              <w:left w:val="single" w:sz="4" w:space="0" w:color="auto"/>
              <w:bottom w:val="single" w:sz="4" w:space="0" w:color="auto"/>
              <w:right w:val="single" w:sz="4" w:space="0" w:color="auto"/>
            </w:tcBorders>
            <w:vAlign w:val="center"/>
          </w:tcPr>
          <w:p w14:paraId="5367F86B" w14:textId="77777777" w:rsidR="00C9599B" w:rsidRDefault="00C9599B" w:rsidP="00893883">
            <w:pPr>
              <w:keepNext/>
              <w:keepLines/>
              <w:spacing w:after="0"/>
              <w:jc w:val="center"/>
              <w:rPr>
                <w:rFonts w:eastAsiaTheme="minorEastAsia"/>
              </w:rPr>
            </w:pPr>
            <m:oMathPara>
              <m:oMath>
                <m:r>
                  <w:rPr>
                    <w:rFonts w:ascii="Cambria Math" w:eastAsiaTheme="minorEastAsia" w:hAnsi="Cambria Math"/>
                  </w:rPr>
                  <m:t>=34-0.43</m:t>
                </m:r>
                <m:d>
                  <m:dPr>
                    <m:ctrlPr>
                      <w:rPr>
                        <w:rFonts w:ascii="Cambria Math" w:eastAsiaTheme="minorEastAsia" w:hAnsi="Cambria Math"/>
                        <w:i/>
                        <w:sz w:val="24"/>
                      </w:rPr>
                    </m:ctrlPr>
                  </m:dPr>
                  <m:e>
                    <m:r>
                      <w:rPr>
                        <w:rFonts w:ascii="Cambria Math" w:eastAsiaTheme="minorEastAsia" w:hAnsi="Cambria Math"/>
                      </w:rPr>
                      <m:t>el-25</m:t>
                    </m:r>
                  </m:e>
                </m:d>
              </m:oMath>
            </m:oMathPara>
          </w:p>
        </w:tc>
      </w:tr>
      <w:tr w:rsidR="00C9599B" w14:paraId="116867BB" w14:textId="77777777" w:rsidTr="00893883">
        <w:trPr>
          <w:cantSplit/>
          <w:jc w:val="center"/>
        </w:trPr>
        <w:tc>
          <w:tcPr>
            <w:tcW w:w="1035" w:type="pct"/>
            <w:tcBorders>
              <w:top w:val="single" w:sz="4" w:space="0" w:color="auto"/>
              <w:left w:val="single" w:sz="4" w:space="0" w:color="auto"/>
              <w:bottom w:val="single" w:sz="4" w:space="0" w:color="auto"/>
              <w:right w:val="single" w:sz="4" w:space="0" w:color="auto"/>
            </w:tcBorders>
            <w:hideMark/>
          </w:tcPr>
          <w:p w14:paraId="0530E6B0" w14:textId="77777777" w:rsidR="00C9599B" w:rsidRDefault="00C9599B" w:rsidP="00893883">
            <w:pPr>
              <w:keepNext/>
              <w:keepLines/>
              <w:spacing w:after="0"/>
              <w:rPr>
                <w:rFonts w:eastAsiaTheme="minorEastAsia"/>
              </w:rPr>
            </w:pPr>
            <w:r>
              <w:rPr>
                <w:rFonts w:eastAsiaTheme="minorEastAsia"/>
              </w:rPr>
              <w:t xml:space="preserve">40 degrees ≤ </w:t>
            </w:r>
            <w:proofErr w:type="spellStart"/>
            <w:r>
              <w:rPr>
                <w:rFonts w:eastAsiaTheme="minorEastAsia"/>
              </w:rPr>
              <w:t>el</w:t>
            </w:r>
            <w:proofErr w:type="spellEnd"/>
            <w:r>
              <w:rPr>
                <w:rFonts w:eastAsiaTheme="minorEastAsia"/>
              </w:rPr>
              <w:t xml:space="preserve"> ≤ 90 degrees</w:t>
            </w:r>
          </w:p>
        </w:tc>
        <w:tc>
          <w:tcPr>
            <w:tcW w:w="955" w:type="pct"/>
            <w:tcBorders>
              <w:top w:val="single" w:sz="4" w:space="0" w:color="auto"/>
              <w:left w:val="single" w:sz="4" w:space="0" w:color="auto"/>
              <w:bottom w:val="single" w:sz="4" w:space="0" w:color="auto"/>
              <w:right w:val="single" w:sz="4" w:space="0" w:color="auto"/>
            </w:tcBorders>
            <w:vAlign w:val="center"/>
            <w:hideMark/>
          </w:tcPr>
          <w:p w14:paraId="400EB126" w14:textId="77777777" w:rsidR="00C9599B" w:rsidRPr="007E5005" w:rsidRDefault="00C9599B" w:rsidP="00893883">
            <w:pPr>
              <w:keepNext/>
              <w:keepLines/>
              <w:spacing w:after="0"/>
              <w:jc w:val="center"/>
              <w:rPr>
                <w:rFonts w:eastAsiaTheme="minorEastAsia"/>
              </w:rPr>
            </w:pPr>
            <w:r>
              <w:rPr>
                <w:rFonts w:eastAsiaTheme="minorEastAsia"/>
              </w:rPr>
              <w:t>60</w:t>
            </w:r>
          </w:p>
        </w:tc>
        <w:tc>
          <w:tcPr>
            <w:tcW w:w="1009" w:type="pct"/>
            <w:tcBorders>
              <w:top w:val="single" w:sz="4" w:space="0" w:color="auto"/>
              <w:left w:val="single" w:sz="4" w:space="0" w:color="auto"/>
              <w:bottom w:val="single" w:sz="4" w:space="0" w:color="auto"/>
              <w:right w:val="single" w:sz="4" w:space="0" w:color="auto"/>
            </w:tcBorders>
            <w:vAlign w:val="center"/>
          </w:tcPr>
          <w:p w14:paraId="0EAED606" w14:textId="77777777" w:rsidR="00C9599B" w:rsidRDefault="00C9599B" w:rsidP="00893883">
            <w:pPr>
              <w:keepNext/>
              <w:keepLines/>
              <w:spacing w:after="0"/>
              <w:jc w:val="center"/>
              <w:rPr>
                <w:rFonts w:eastAsiaTheme="minorEastAsia"/>
              </w:rPr>
            </w:pPr>
            <w:r>
              <w:rPr>
                <w:rFonts w:eastAsiaTheme="minorEastAsia"/>
              </w:rPr>
              <w:t>42.5</w:t>
            </w:r>
          </w:p>
        </w:tc>
        <w:tc>
          <w:tcPr>
            <w:tcW w:w="1001" w:type="pct"/>
            <w:tcBorders>
              <w:top w:val="single" w:sz="4" w:space="0" w:color="auto"/>
              <w:left w:val="single" w:sz="4" w:space="0" w:color="auto"/>
              <w:bottom w:val="single" w:sz="4" w:space="0" w:color="auto"/>
              <w:right w:val="single" w:sz="4" w:space="0" w:color="auto"/>
            </w:tcBorders>
            <w:vAlign w:val="center"/>
          </w:tcPr>
          <w:p w14:paraId="64556823" w14:textId="77777777" w:rsidR="00C9599B" w:rsidRDefault="00C9599B" w:rsidP="00893883">
            <w:pPr>
              <w:keepNext/>
              <w:keepLines/>
              <w:spacing w:after="0"/>
              <w:jc w:val="center"/>
              <w:rPr>
                <w:rFonts w:eastAsiaTheme="minorEastAsia"/>
              </w:rPr>
            </w:pPr>
            <w:r>
              <w:rPr>
                <w:rFonts w:eastAsiaTheme="minorEastAsia"/>
              </w:rPr>
              <w:t>32.5</w:t>
            </w:r>
          </w:p>
        </w:tc>
        <w:tc>
          <w:tcPr>
            <w:tcW w:w="1000" w:type="pct"/>
            <w:tcBorders>
              <w:top w:val="single" w:sz="4" w:space="0" w:color="auto"/>
              <w:left w:val="single" w:sz="4" w:space="0" w:color="auto"/>
              <w:bottom w:val="single" w:sz="4" w:space="0" w:color="auto"/>
              <w:right w:val="single" w:sz="4" w:space="0" w:color="auto"/>
            </w:tcBorders>
            <w:vAlign w:val="center"/>
          </w:tcPr>
          <w:p w14:paraId="3B88FD41" w14:textId="77777777" w:rsidR="00C9599B" w:rsidRDefault="00C9599B" w:rsidP="00893883">
            <w:pPr>
              <w:keepNext/>
              <w:keepLines/>
              <w:spacing w:after="0"/>
              <w:jc w:val="center"/>
              <w:rPr>
                <w:rFonts w:eastAsiaTheme="minorEastAsia"/>
              </w:rPr>
            </w:pPr>
            <w:r>
              <w:rPr>
                <w:rFonts w:eastAsiaTheme="minorEastAsia"/>
              </w:rPr>
              <w:t>27.5</w:t>
            </w:r>
          </w:p>
        </w:tc>
      </w:tr>
    </w:tbl>
    <w:p w14:paraId="6D601E7D" w14:textId="77777777" w:rsidR="00C9599B" w:rsidRDefault="00C9599B" w:rsidP="00C9599B"/>
    <w:p w14:paraId="1B7E8C09" w14:textId="77777777" w:rsidR="00C9599B" w:rsidRPr="00F042B1" w:rsidRDefault="00C9599B" w:rsidP="00C9599B">
      <w:pPr>
        <w:pStyle w:val="ACMATableHeader"/>
      </w:pPr>
      <w:r w:rsidRPr="00F042B1">
        <w:t>EIRP masks</w:t>
      </w:r>
      <w:r>
        <w:t xml:space="preserve"> in 27.5-29.5 GHz</w:t>
      </w:r>
    </w:p>
    <w:tbl>
      <w:tblPr>
        <w:tblStyle w:val="TableGrid"/>
        <w:tblW w:w="0" w:type="auto"/>
        <w:jc w:val="center"/>
        <w:tblCellMar>
          <w:top w:w="85" w:type="dxa"/>
          <w:bottom w:w="85" w:type="dxa"/>
        </w:tblCellMar>
        <w:tblLook w:val="04A0" w:firstRow="1" w:lastRow="0" w:firstColumn="1" w:lastColumn="0" w:noHBand="0" w:noVBand="1"/>
      </w:tblPr>
      <w:tblGrid>
        <w:gridCol w:w="3662"/>
        <w:gridCol w:w="3999"/>
      </w:tblGrid>
      <w:tr w:rsidR="00C9599B" w14:paraId="1995518A" w14:textId="77777777" w:rsidTr="00893883">
        <w:trPr>
          <w:cantSplit/>
          <w:jc w:val="center"/>
        </w:trPr>
        <w:tc>
          <w:tcPr>
            <w:tcW w:w="2390" w:type="pct"/>
            <w:tcBorders>
              <w:top w:val="single" w:sz="4" w:space="0" w:color="auto"/>
              <w:left w:val="single" w:sz="4" w:space="0" w:color="auto"/>
              <w:bottom w:val="single" w:sz="4" w:space="0" w:color="auto"/>
              <w:right w:val="single" w:sz="4" w:space="0" w:color="auto"/>
            </w:tcBorders>
            <w:shd w:val="clear" w:color="auto" w:fill="404040" w:themeFill="text1" w:themeFillTint="BF"/>
          </w:tcPr>
          <w:p w14:paraId="60CEFB07" w14:textId="77777777" w:rsidR="00C9599B" w:rsidRPr="00977ED9" w:rsidRDefault="00C9599B" w:rsidP="00893883">
            <w:pPr>
              <w:keepNext/>
              <w:keepLines/>
              <w:spacing w:after="0"/>
              <w:jc w:val="center"/>
              <w:rPr>
                <w:color w:val="FFFFFF" w:themeColor="background1"/>
              </w:rPr>
            </w:pPr>
            <w:r w:rsidRPr="00977ED9">
              <w:rPr>
                <w:b/>
                <w:color w:val="FFFFFF" w:themeColor="background1"/>
              </w:rPr>
              <w:t>Elevation angle above the horizontal plane</w:t>
            </w:r>
          </w:p>
          <w:p w14:paraId="7F811980" w14:textId="77777777" w:rsidR="00C9599B" w:rsidRPr="00F042B1" w:rsidRDefault="00C9599B" w:rsidP="00893883">
            <w:pPr>
              <w:keepNext/>
              <w:keepLines/>
              <w:spacing w:after="0"/>
              <w:jc w:val="center"/>
              <w:rPr>
                <w:rFonts w:eastAsiaTheme="minorEastAsia"/>
                <w:color w:val="FFFFFF" w:themeColor="background1"/>
              </w:rPr>
            </w:pPr>
            <w:r w:rsidRPr="00977ED9">
              <w:rPr>
                <w:b/>
                <w:color w:val="FFFFFF" w:themeColor="background1"/>
              </w:rPr>
              <w:t>(</w:t>
            </w:r>
            <w:proofErr w:type="spellStart"/>
            <w:r w:rsidRPr="00977ED9">
              <w:rPr>
                <w:b/>
                <w:color w:val="FFFFFF" w:themeColor="background1"/>
              </w:rPr>
              <w:t>el</w:t>
            </w:r>
            <w:proofErr w:type="spellEnd"/>
            <w:r w:rsidRPr="00977ED9">
              <w:rPr>
                <w:b/>
                <w:color w:val="FFFFFF" w:themeColor="background1"/>
              </w:rPr>
              <w:t>)</w:t>
            </w:r>
          </w:p>
        </w:tc>
        <w:tc>
          <w:tcPr>
            <w:tcW w:w="2610" w:type="pct"/>
            <w:tcBorders>
              <w:top w:val="single" w:sz="4" w:space="0" w:color="auto"/>
              <w:left w:val="single" w:sz="4" w:space="0" w:color="auto"/>
              <w:bottom w:val="single" w:sz="4" w:space="0" w:color="auto"/>
              <w:right w:val="single" w:sz="4" w:space="0" w:color="auto"/>
            </w:tcBorders>
            <w:shd w:val="clear" w:color="auto" w:fill="404040" w:themeFill="text1" w:themeFillTint="BF"/>
          </w:tcPr>
          <w:p w14:paraId="16BC3B2A" w14:textId="77777777" w:rsidR="00C9599B" w:rsidRDefault="00C9599B" w:rsidP="00893883">
            <w:pPr>
              <w:keepNext/>
              <w:keepLines/>
              <w:spacing w:after="0"/>
              <w:jc w:val="center"/>
              <w:rPr>
                <w:b/>
                <w:color w:val="FFFFFF" w:themeColor="background1"/>
              </w:rPr>
            </w:pPr>
            <w:r w:rsidRPr="00F042B1">
              <w:rPr>
                <w:b/>
                <w:color w:val="FFFFFF" w:themeColor="background1"/>
              </w:rPr>
              <w:t>Radiated maximum true mean power</w:t>
            </w:r>
          </w:p>
          <w:p w14:paraId="4E3670E1" w14:textId="77777777" w:rsidR="00C9599B" w:rsidRPr="00F042B1" w:rsidRDefault="00C9599B" w:rsidP="00893883">
            <w:pPr>
              <w:keepNext/>
              <w:keepLines/>
              <w:spacing w:after="0"/>
              <w:jc w:val="center"/>
              <w:rPr>
                <w:b/>
                <w:color w:val="FFFFFF" w:themeColor="background1"/>
              </w:rPr>
            </w:pPr>
            <w:r w:rsidRPr="00F042B1">
              <w:rPr>
                <w:rFonts w:eastAsiaTheme="minorEastAsia"/>
                <w:b/>
                <w:color w:val="FFFFFF" w:themeColor="background1"/>
              </w:rPr>
              <w:t>(dBm/200 MHz EIRP)</w:t>
            </w:r>
          </w:p>
        </w:tc>
      </w:tr>
      <w:tr w:rsidR="00C9599B" w14:paraId="2CCDDEAE" w14:textId="77777777" w:rsidTr="00893883">
        <w:trPr>
          <w:cantSplit/>
          <w:jc w:val="center"/>
        </w:trPr>
        <w:tc>
          <w:tcPr>
            <w:tcW w:w="2390" w:type="pct"/>
            <w:tcBorders>
              <w:top w:val="single" w:sz="4" w:space="0" w:color="auto"/>
              <w:left w:val="single" w:sz="4" w:space="0" w:color="auto"/>
              <w:bottom w:val="single" w:sz="4" w:space="0" w:color="auto"/>
              <w:right w:val="single" w:sz="4" w:space="0" w:color="auto"/>
            </w:tcBorders>
            <w:hideMark/>
          </w:tcPr>
          <w:p w14:paraId="1065E0E5" w14:textId="77777777" w:rsidR="00C9599B" w:rsidRDefault="00C9599B" w:rsidP="00893883">
            <w:pPr>
              <w:keepNext/>
              <w:keepLines/>
              <w:spacing w:after="0"/>
              <w:rPr>
                <w:rFonts w:eastAsiaTheme="minorEastAsia"/>
              </w:rPr>
            </w:pPr>
            <w:r>
              <w:rPr>
                <w:rFonts w:eastAsiaTheme="minorEastAsia"/>
              </w:rPr>
              <w:t xml:space="preserve">5 degrees ≤ </w:t>
            </w:r>
            <w:proofErr w:type="spellStart"/>
            <w:r>
              <w:rPr>
                <w:rFonts w:eastAsiaTheme="minorEastAsia"/>
              </w:rPr>
              <w:t>el</w:t>
            </w:r>
            <w:proofErr w:type="spellEnd"/>
            <w:r>
              <w:rPr>
                <w:rFonts w:eastAsiaTheme="minorEastAsia"/>
              </w:rPr>
              <w:t xml:space="preserve"> &lt; 15 degrees</w:t>
            </w:r>
          </w:p>
        </w:tc>
        <w:tc>
          <w:tcPr>
            <w:tcW w:w="2610" w:type="pct"/>
            <w:tcBorders>
              <w:top w:val="single" w:sz="4" w:space="0" w:color="auto"/>
              <w:left w:val="single" w:sz="4" w:space="0" w:color="auto"/>
              <w:bottom w:val="single" w:sz="4" w:space="0" w:color="auto"/>
              <w:right w:val="single" w:sz="4" w:space="0" w:color="auto"/>
            </w:tcBorders>
            <w:vAlign w:val="center"/>
            <w:hideMark/>
          </w:tcPr>
          <w:p w14:paraId="2F7168CA" w14:textId="77777777" w:rsidR="00C9599B" w:rsidRPr="007E5005" w:rsidRDefault="00C9599B" w:rsidP="00893883">
            <w:pPr>
              <w:keepNext/>
              <w:keepLines/>
              <w:spacing w:after="0"/>
              <w:jc w:val="center"/>
              <w:rPr>
                <w:rFonts w:eastAsiaTheme="minorEastAsia"/>
              </w:rPr>
            </w:pPr>
            <m:oMathPara>
              <m:oMath>
                <m:r>
                  <m:rPr>
                    <m:sty m:val="p"/>
                  </m:rPr>
                  <w:rPr>
                    <w:rFonts w:ascii="Cambria Math" w:eastAsiaTheme="minorEastAsia" w:hAnsi="Cambria Math"/>
                  </w:rPr>
                  <m:t>=47-1.3</m:t>
                </m:r>
                <m:d>
                  <m:dPr>
                    <m:ctrlPr>
                      <w:rPr>
                        <w:rFonts w:ascii="Cambria Math" w:eastAsiaTheme="minorEastAsia" w:hAnsi="Cambria Math"/>
                      </w:rPr>
                    </m:ctrlPr>
                  </m:dPr>
                  <m:e>
                    <m:r>
                      <w:rPr>
                        <w:rFonts w:ascii="Cambria Math" w:eastAsiaTheme="minorEastAsia" w:hAnsi="Cambria Math"/>
                      </w:rPr>
                      <m:t>el</m:t>
                    </m:r>
                    <m:r>
                      <m:rPr>
                        <m:sty m:val="p"/>
                      </m:rPr>
                      <w:rPr>
                        <w:rFonts w:ascii="Cambria Math" w:eastAsiaTheme="minorEastAsia" w:hAnsi="Cambria Math"/>
                      </w:rPr>
                      <m:t>-5</m:t>
                    </m:r>
                  </m:e>
                </m:d>
              </m:oMath>
            </m:oMathPara>
          </w:p>
        </w:tc>
      </w:tr>
      <w:tr w:rsidR="00C9599B" w14:paraId="5AD690AC" w14:textId="77777777" w:rsidTr="00893883">
        <w:trPr>
          <w:cantSplit/>
          <w:jc w:val="center"/>
        </w:trPr>
        <w:tc>
          <w:tcPr>
            <w:tcW w:w="2390" w:type="pct"/>
            <w:tcBorders>
              <w:top w:val="single" w:sz="4" w:space="0" w:color="auto"/>
              <w:left w:val="single" w:sz="4" w:space="0" w:color="auto"/>
              <w:bottom w:val="single" w:sz="4" w:space="0" w:color="auto"/>
              <w:right w:val="single" w:sz="4" w:space="0" w:color="auto"/>
            </w:tcBorders>
            <w:hideMark/>
          </w:tcPr>
          <w:p w14:paraId="70E4961F" w14:textId="77777777" w:rsidR="00C9599B" w:rsidRDefault="00C9599B" w:rsidP="00893883">
            <w:pPr>
              <w:keepNext/>
              <w:keepLines/>
              <w:spacing w:after="0"/>
              <w:rPr>
                <w:rFonts w:eastAsiaTheme="minorEastAsia"/>
              </w:rPr>
            </w:pPr>
            <w:r>
              <w:rPr>
                <w:rFonts w:eastAsiaTheme="minorEastAsia"/>
              </w:rPr>
              <w:t xml:space="preserve">15 degrees ≤ </w:t>
            </w:r>
            <w:proofErr w:type="spellStart"/>
            <w:r>
              <w:rPr>
                <w:rFonts w:eastAsiaTheme="minorEastAsia"/>
              </w:rPr>
              <w:t>el</w:t>
            </w:r>
            <w:proofErr w:type="spellEnd"/>
            <w:r>
              <w:rPr>
                <w:rFonts w:eastAsiaTheme="minorEastAsia"/>
              </w:rPr>
              <w:t xml:space="preserve"> &lt; 25 degrees </w:t>
            </w:r>
          </w:p>
        </w:tc>
        <w:tc>
          <w:tcPr>
            <w:tcW w:w="2610" w:type="pct"/>
            <w:tcBorders>
              <w:top w:val="single" w:sz="4" w:space="0" w:color="auto"/>
              <w:left w:val="single" w:sz="4" w:space="0" w:color="auto"/>
              <w:bottom w:val="single" w:sz="4" w:space="0" w:color="auto"/>
              <w:right w:val="single" w:sz="4" w:space="0" w:color="auto"/>
            </w:tcBorders>
            <w:vAlign w:val="center"/>
          </w:tcPr>
          <w:p w14:paraId="0C600618" w14:textId="77777777" w:rsidR="00C9599B" w:rsidRPr="007E5005" w:rsidRDefault="00C9599B" w:rsidP="00893883">
            <w:pPr>
              <w:keepNext/>
              <w:keepLines/>
              <w:jc w:val="center"/>
              <w:rPr>
                <w:rFonts w:eastAsiaTheme="minorEastAsia"/>
              </w:rPr>
            </w:pPr>
            <w:r>
              <w:rPr>
                <w:rFonts w:eastAsiaTheme="minorEastAsia"/>
              </w:rPr>
              <w:t>34</w:t>
            </w:r>
          </w:p>
        </w:tc>
      </w:tr>
      <w:tr w:rsidR="00C9599B" w14:paraId="1878AB7C" w14:textId="77777777" w:rsidTr="00893883">
        <w:trPr>
          <w:cantSplit/>
          <w:jc w:val="center"/>
        </w:trPr>
        <w:tc>
          <w:tcPr>
            <w:tcW w:w="2390" w:type="pct"/>
            <w:tcBorders>
              <w:top w:val="single" w:sz="4" w:space="0" w:color="auto"/>
              <w:left w:val="single" w:sz="4" w:space="0" w:color="auto"/>
              <w:bottom w:val="single" w:sz="4" w:space="0" w:color="auto"/>
              <w:right w:val="single" w:sz="4" w:space="0" w:color="auto"/>
            </w:tcBorders>
            <w:hideMark/>
          </w:tcPr>
          <w:p w14:paraId="7478FB09" w14:textId="77777777" w:rsidR="00C9599B" w:rsidRDefault="00C9599B" w:rsidP="00893883">
            <w:pPr>
              <w:keepNext/>
              <w:keepLines/>
              <w:spacing w:after="0"/>
              <w:rPr>
                <w:rFonts w:eastAsiaTheme="minorEastAsia"/>
              </w:rPr>
            </w:pPr>
            <w:r>
              <w:rPr>
                <w:rFonts w:eastAsiaTheme="minorEastAsia"/>
              </w:rPr>
              <w:t xml:space="preserve">25 degrees ≤ </w:t>
            </w:r>
            <w:proofErr w:type="spellStart"/>
            <w:r>
              <w:rPr>
                <w:rFonts w:eastAsiaTheme="minorEastAsia"/>
              </w:rPr>
              <w:t>el</w:t>
            </w:r>
            <w:proofErr w:type="spellEnd"/>
            <w:r>
              <w:rPr>
                <w:rFonts w:eastAsiaTheme="minorEastAsia"/>
              </w:rPr>
              <w:t xml:space="preserve"> &lt; 40 degrees </w:t>
            </w:r>
          </w:p>
        </w:tc>
        <w:tc>
          <w:tcPr>
            <w:tcW w:w="2610" w:type="pct"/>
            <w:tcBorders>
              <w:top w:val="single" w:sz="4" w:space="0" w:color="auto"/>
              <w:left w:val="single" w:sz="4" w:space="0" w:color="auto"/>
              <w:bottom w:val="single" w:sz="4" w:space="0" w:color="auto"/>
              <w:right w:val="single" w:sz="4" w:space="0" w:color="auto"/>
            </w:tcBorders>
            <w:vAlign w:val="center"/>
          </w:tcPr>
          <w:p w14:paraId="60437F54" w14:textId="77777777" w:rsidR="00C9599B" w:rsidRPr="007E5005" w:rsidRDefault="00C9599B" w:rsidP="00893883">
            <w:pPr>
              <w:keepNext/>
              <w:keepLines/>
              <w:spacing w:after="0"/>
              <w:jc w:val="center"/>
              <w:rPr>
                <w:rFonts w:eastAsiaTheme="minorEastAsia"/>
              </w:rPr>
            </w:pPr>
            <m:oMathPara>
              <m:oMath>
                <m:r>
                  <w:rPr>
                    <w:rFonts w:ascii="Cambria Math" w:eastAsiaTheme="minorEastAsia" w:hAnsi="Cambria Math"/>
                  </w:rPr>
                  <m:t>=34-0.43</m:t>
                </m:r>
                <m:d>
                  <m:dPr>
                    <m:ctrlPr>
                      <w:rPr>
                        <w:rFonts w:ascii="Cambria Math" w:eastAsiaTheme="minorEastAsia" w:hAnsi="Cambria Math"/>
                        <w:i/>
                        <w:sz w:val="24"/>
                      </w:rPr>
                    </m:ctrlPr>
                  </m:dPr>
                  <m:e>
                    <m:r>
                      <w:rPr>
                        <w:rFonts w:ascii="Cambria Math" w:eastAsiaTheme="minorEastAsia" w:hAnsi="Cambria Math"/>
                      </w:rPr>
                      <m:t>el-25</m:t>
                    </m:r>
                  </m:e>
                </m:d>
              </m:oMath>
            </m:oMathPara>
          </w:p>
        </w:tc>
      </w:tr>
      <w:tr w:rsidR="00C9599B" w14:paraId="61A515AB" w14:textId="77777777" w:rsidTr="00893883">
        <w:trPr>
          <w:cantSplit/>
          <w:jc w:val="center"/>
        </w:trPr>
        <w:tc>
          <w:tcPr>
            <w:tcW w:w="2390" w:type="pct"/>
            <w:tcBorders>
              <w:top w:val="single" w:sz="4" w:space="0" w:color="auto"/>
              <w:left w:val="single" w:sz="4" w:space="0" w:color="auto"/>
              <w:bottom w:val="single" w:sz="4" w:space="0" w:color="auto"/>
              <w:right w:val="single" w:sz="4" w:space="0" w:color="auto"/>
            </w:tcBorders>
            <w:hideMark/>
          </w:tcPr>
          <w:p w14:paraId="68577216" w14:textId="77777777" w:rsidR="00C9599B" w:rsidRDefault="00C9599B" w:rsidP="00893883">
            <w:pPr>
              <w:keepNext/>
              <w:keepLines/>
              <w:spacing w:after="0"/>
              <w:rPr>
                <w:rFonts w:eastAsiaTheme="minorEastAsia"/>
              </w:rPr>
            </w:pPr>
            <w:r>
              <w:rPr>
                <w:rFonts w:eastAsiaTheme="minorEastAsia"/>
              </w:rPr>
              <w:t xml:space="preserve">40 degrees ≤ </w:t>
            </w:r>
            <w:proofErr w:type="spellStart"/>
            <w:r>
              <w:rPr>
                <w:rFonts w:eastAsiaTheme="minorEastAsia"/>
              </w:rPr>
              <w:t>el</w:t>
            </w:r>
            <w:proofErr w:type="spellEnd"/>
            <w:r>
              <w:rPr>
                <w:rFonts w:eastAsiaTheme="minorEastAsia"/>
              </w:rPr>
              <w:t xml:space="preserve"> ≤ 90 degrees</w:t>
            </w:r>
          </w:p>
        </w:tc>
        <w:tc>
          <w:tcPr>
            <w:tcW w:w="2610" w:type="pct"/>
            <w:tcBorders>
              <w:top w:val="single" w:sz="4" w:space="0" w:color="auto"/>
              <w:left w:val="single" w:sz="4" w:space="0" w:color="auto"/>
              <w:bottom w:val="single" w:sz="4" w:space="0" w:color="auto"/>
              <w:right w:val="single" w:sz="4" w:space="0" w:color="auto"/>
            </w:tcBorders>
            <w:vAlign w:val="center"/>
          </w:tcPr>
          <w:p w14:paraId="7DC09F1D" w14:textId="77777777" w:rsidR="00C9599B" w:rsidRPr="007E5005" w:rsidRDefault="00C9599B" w:rsidP="00893883">
            <w:pPr>
              <w:keepNext/>
              <w:keepLines/>
              <w:spacing w:after="0"/>
              <w:jc w:val="center"/>
              <w:rPr>
                <w:rFonts w:eastAsiaTheme="minorEastAsia"/>
              </w:rPr>
            </w:pPr>
            <w:r>
              <w:rPr>
                <w:rFonts w:eastAsiaTheme="minorEastAsia"/>
              </w:rPr>
              <w:t>27.5</w:t>
            </w:r>
          </w:p>
        </w:tc>
      </w:tr>
    </w:tbl>
    <w:p w14:paraId="3539C59E" w14:textId="77777777" w:rsidR="00C9599B" w:rsidRPr="001C64E0" w:rsidRDefault="00C9599B" w:rsidP="00103034"/>
    <w:p w14:paraId="5A09B82B" w14:textId="521B48A2" w:rsidR="001C64E0" w:rsidRPr="001C64E0" w:rsidRDefault="001C64E0" w:rsidP="001C64E0"/>
    <w:sectPr w:rsidR="001C64E0" w:rsidRPr="001C64E0" w:rsidSect="00D2150E">
      <w:headerReference w:type="default" r:id="rId63"/>
      <w:footerReference w:type="even" r:id="rId64"/>
      <w:type w:val="oddPage"/>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DECE2" w14:textId="77777777" w:rsidR="00EC771A" w:rsidRDefault="00EC771A">
      <w:r>
        <w:separator/>
      </w:r>
    </w:p>
  </w:endnote>
  <w:endnote w:type="continuationSeparator" w:id="0">
    <w:p w14:paraId="5902AEDE" w14:textId="77777777" w:rsidR="00EC771A" w:rsidRDefault="00EC771A">
      <w:r>
        <w:continuationSeparator/>
      </w:r>
    </w:p>
  </w:endnote>
  <w:endnote w:type="continuationNotice" w:id="1">
    <w:p w14:paraId="031E8E80" w14:textId="77777777" w:rsidR="00EC771A" w:rsidRDefault="00EC77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A1B7" w14:textId="4D90E8BA" w:rsidR="00EC771A" w:rsidRPr="00F012AE" w:rsidRDefault="00EC771A" w:rsidP="00AE0694">
    <w:pPr>
      <w:pStyle w:val="Footer"/>
      <w:framePr w:w="5131" w:h="357" w:hRule="exact" w:vSpace="425" w:wrap="around" w:vAnchor="page" w:hAnchor="page" w:x="1220" w:y="15984"/>
      <w:tabs>
        <w:tab w:val="clear" w:pos="113"/>
        <w:tab w:val="left" w:pos="284"/>
      </w:tabs>
      <w:rPr>
        <w:rFonts w:cs="Arial"/>
      </w:rPr>
    </w:pPr>
    <w:r w:rsidRPr="00F012AE">
      <w:rPr>
        <w:rFonts w:cs="Arial"/>
        <w:noProof/>
        <w:spacing w:val="-16"/>
        <w:sz w:val="20"/>
        <w:szCs w:val="20"/>
      </w:rPr>
      <w:t xml:space="preserve">RALI </w:t>
    </w:r>
    <w:r>
      <w:rPr>
        <w:rFonts w:cs="Arial"/>
        <w:noProof/>
        <w:spacing w:val="-16"/>
        <w:sz w:val="20"/>
        <w:szCs w:val="20"/>
      </w:rPr>
      <w:t xml:space="preserve"> MS 46  </w:t>
    </w:r>
    <w:r>
      <w:rPr>
        <w:rFonts w:cs="Arial"/>
        <w:noProof/>
        <w:spacing w:val="-16"/>
        <w:sz w:val="20"/>
        <w:szCs w:val="20"/>
      </w:rPr>
      <w:tab/>
    </w:r>
    <w:r>
      <w:rPr>
        <w:rFonts w:cs="Arial"/>
        <w:noProof/>
        <w:spacing w:val="-16"/>
        <w:sz w:val="20"/>
        <w:szCs w:val="20"/>
      </w:rPr>
      <w:tab/>
    </w:r>
    <w:r>
      <w:rPr>
        <w:rFonts w:cs="Arial"/>
        <w:noProof/>
        <w:spacing w:val="-16"/>
        <w:sz w:val="20"/>
        <w:szCs w:val="20"/>
      </w:rPr>
      <w:tab/>
    </w:r>
    <w:r>
      <w:rPr>
        <w:rFonts w:cs="Arial"/>
        <w:noProof/>
        <w:spacing w:val="-16"/>
        <w:sz w:val="20"/>
        <w:szCs w:val="20"/>
      </w:rPr>
      <w:tab/>
    </w:r>
    <w:r>
      <w:rPr>
        <w:rFonts w:cs="Arial"/>
        <w:noProof/>
        <w:spacing w:val="-16"/>
        <w:sz w:val="20"/>
        <w:szCs w:val="20"/>
      </w:rPr>
      <w:tab/>
    </w:r>
    <w:r>
      <w:rPr>
        <w:rFonts w:cs="Arial"/>
        <w:noProof/>
        <w:spacing w:val="-16"/>
        <w:sz w:val="20"/>
        <w:szCs w:val="20"/>
      </w:rPr>
      <w:tab/>
    </w:r>
    <w:r>
      <w:rPr>
        <w:rFonts w:cs="Arial"/>
        <w:noProof/>
        <w:spacing w:val="-16"/>
        <w:sz w:val="20"/>
        <w:szCs w:val="20"/>
      </w:rPr>
      <w:tab/>
    </w:r>
    <w:r>
      <w:rPr>
        <w:rFonts w:cs="Arial"/>
        <w:noProof/>
        <w:spacing w:val="-16"/>
        <w:sz w:val="20"/>
        <w:szCs w:val="20"/>
      </w:rPr>
      <w:tab/>
    </w:r>
  </w:p>
  <w:p w14:paraId="49F1B888" w14:textId="77777777" w:rsidR="00EC771A" w:rsidRPr="00622A3B" w:rsidRDefault="00EC771A" w:rsidP="00A07457">
    <w:pPr>
      <w:pStyle w:val="Footer"/>
      <w:framePr w:w="1334" w:h="357" w:hRule="exact" w:vSpace="425" w:wrap="around" w:vAnchor="page" w:hAnchor="page" w:x="9337" w:y="16047"/>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fldChar w:fldCharType="begin"/>
    </w:r>
    <w:r>
      <w:instrText xml:space="preserve"> PAGE   \* MERGEFORMAT </w:instrText>
    </w:r>
    <w:r>
      <w:fldChar w:fldCharType="separate"/>
    </w:r>
    <w:r>
      <w:rPr>
        <w:noProof/>
      </w:rPr>
      <w:t>iii</w:t>
    </w:r>
    <w:r>
      <w:rPr>
        <w:noProof/>
      </w:rPr>
      <w:fldChar w:fldCharType="end"/>
    </w:r>
  </w:p>
  <w:p w14:paraId="59410515" w14:textId="77777777" w:rsidR="00EC771A" w:rsidRPr="00822B3D" w:rsidRDefault="00EC771A" w:rsidP="00A07457">
    <w:pPr>
      <w:pStyle w:val="Footer"/>
      <w:tabs>
        <w:tab w:val="left" w:pos="1070"/>
      </w:tabs>
    </w:pPr>
    <w:r>
      <w:tab/>
    </w:r>
    <w:r>
      <w:tab/>
    </w:r>
    <w:r>
      <w:tab/>
    </w:r>
    <w:r>
      <w:tab/>
    </w:r>
    <w:r>
      <w:tab/>
    </w:r>
    <w:r>
      <w:tab/>
    </w:r>
    <w:r>
      <w:tab/>
    </w:r>
    <w:r>
      <w:tab/>
    </w:r>
    <w:r>
      <w:tab/>
    </w:r>
    <w:r>
      <w:tab/>
    </w:r>
    <w:r>
      <w:tab/>
    </w:r>
    <w:r>
      <w:tab/>
    </w:r>
    <w:r>
      <w:tab/>
    </w:r>
    <w:r>
      <w:tab/>
    </w:r>
    <w:r>
      <w:tab/>
    </w:r>
    <w:r>
      <w:tab/>
    </w:r>
    <w:r>
      <w:tab/>
    </w:r>
    <w:r>
      <w:tab/>
    </w:r>
  </w:p>
  <w:p w14:paraId="2E6CE201" w14:textId="77777777" w:rsidR="00EC771A" w:rsidRPr="006A18C6" w:rsidRDefault="00EC771A" w:rsidP="00A07457">
    <w:pPr>
      <w:pStyle w:val="Footer"/>
    </w:pPr>
  </w:p>
  <w:p w14:paraId="2226FF01" w14:textId="77777777" w:rsidR="00EC771A" w:rsidRPr="00A07457" w:rsidRDefault="00EC771A" w:rsidP="00A074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4881C" w14:textId="77777777" w:rsidR="00EC771A" w:rsidRPr="00622A3B" w:rsidRDefault="00EC771A" w:rsidP="00AE0694">
    <w:pPr>
      <w:pStyle w:val="Footer"/>
      <w:framePr w:w="1334" w:h="357" w:hRule="exact" w:vSpace="425" w:wrap="around" w:vAnchor="page" w:hAnchor="page" w:x="1156" w:y="1612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fldChar w:fldCharType="begin"/>
    </w:r>
    <w:r>
      <w:instrText xml:space="preserve"> PAGE   \* MERGEFORMAT </w:instrText>
    </w:r>
    <w:r>
      <w:fldChar w:fldCharType="separate"/>
    </w:r>
    <w:r>
      <w:rPr>
        <w:noProof/>
      </w:rPr>
      <w:t>ii</w:t>
    </w:r>
    <w:r>
      <w:rPr>
        <w:noProof/>
      </w:rPr>
      <w:fldChar w:fldCharType="end"/>
    </w:r>
  </w:p>
  <w:p w14:paraId="4D865F41" w14:textId="00D5EF04" w:rsidR="00EC771A" w:rsidRPr="00F012AE" w:rsidRDefault="00EC771A" w:rsidP="00AE0694">
    <w:pPr>
      <w:pStyle w:val="Footer"/>
      <w:framePr w:w="5836" w:h="357" w:hRule="exact" w:vSpace="425" w:wrap="around" w:vAnchor="page" w:hAnchor="page" w:x="4726" w:y="16063"/>
      <w:tabs>
        <w:tab w:val="clear" w:pos="113"/>
        <w:tab w:val="left" w:pos="284"/>
      </w:tabs>
      <w:jc w:val="right"/>
      <w:rPr>
        <w:rFonts w:cs="Arial"/>
      </w:rPr>
    </w:pPr>
    <w:r>
      <w:rPr>
        <w:rFonts w:cs="Arial"/>
        <w:noProof/>
        <w:spacing w:val="-16"/>
        <w:sz w:val="20"/>
        <w:szCs w:val="20"/>
      </w:rPr>
      <w:tab/>
    </w:r>
    <w:r>
      <w:rPr>
        <w:rFonts w:cs="Arial"/>
        <w:noProof/>
        <w:spacing w:val="-16"/>
        <w:sz w:val="20"/>
        <w:szCs w:val="20"/>
      </w:rPr>
      <w:tab/>
    </w:r>
    <w:r>
      <w:rPr>
        <w:rFonts w:cs="Arial"/>
        <w:noProof/>
        <w:spacing w:val="-16"/>
        <w:sz w:val="20"/>
        <w:szCs w:val="20"/>
      </w:rPr>
      <w:tab/>
    </w:r>
    <w:r>
      <w:rPr>
        <w:rFonts w:cs="Arial"/>
        <w:noProof/>
        <w:spacing w:val="-16"/>
        <w:sz w:val="20"/>
        <w:szCs w:val="20"/>
      </w:rPr>
      <w:tab/>
    </w:r>
    <w:r>
      <w:rPr>
        <w:rFonts w:cs="Arial"/>
        <w:noProof/>
        <w:spacing w:val="-16"/>
        <w:sz w:val="20"/>
        <w:szCs w:val="20"/>
      </w:rPr>
      <w:tab/>
    </w:r>
    <w:r>
      <w:rPr>
        <w:rFonts w:cs="Arial"/>
        <w:noProof/>
        <w:spacing w:val="-16"/>
        <w:sz w:val="20"/>
        <w:szCs w:val="20"/>
      </w:rPr>
      <w:tab/>
    </w:r>
    <w:r>
      <w:rPr>
        <w:rFonts w:cs="Arial"/>
        <w:noProof/>
        <w:spacing w:val="-16"/>
        <w:sz w:val="20"/>
        <w:szCs w:val="20"/>
      </w:rPr>
      <w:tab/>
    </w:r>
    <w:r>
      <w:rPr>
        <w:rFonts w:cs="Arial"/>
        <w:noProof/>
        <w:spacing w:val="-16"/>
        <w:sz w:val="20"/>
        <w:szCs w:val="20"/>
      </w:rPr>
      <w:tab/>
    </w:r>
    <w:r w:rsidRPr="00F012AE">
      <w:rPr>
        <w:rFonts w:cs="Arial"/>
        <w:noProof/>
        <w:spacing w:val="-16"/>
        <w:sz w:val="20"/>
        <w:szCs w:val="20"/>
      </w:rPr>
      <w:t xml:space="preserve">RALI </w:t>
    </w:r>
    <w:r>
      <w:rPr>
        <w:rFonts w:cs="Arial"/>
        <w:noProof/>
        <w:spacing w:val="-16"/>
        <w:sz w:val="20"/>
        <w:szCs w:val="20"/>
      </w:rPr>
      <w:t>MS 46</w:t>
    </w:r>
  </w:p>
  <w:p w14:paraId="37012C96" w14:textId="77777777" w:rsidR="00EC771A" w:rsidRDefault="00EC771A" w:rsidP="00AE0694">
    <w:pPr>
      <w:pStyle w:val="Footer"/>
      <w:tabs>
        <w:tab w:val="clear" w:pos="113"/>
        <w:tab w:val="left" w:pos="2550"/>
      </w:tabs>
      <w:jc w:val="right"/>
    </w:pPr>
    <w:r>
      <w:tab/>
    </w:r>
  </w:p>
  <w:p w14:paraId="43184684" w14:textId="77777777" w:rsidR="00EC771A" w:rsidRPr="00A07457" w:rsidRDefault="00EC771A" w:rsidP="00AE069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E1C0" w14:textId="77777777" w:rsidR="00EC771A" w:rsidRPr="00622A3B" w:rsidRDefault="00EC771A" w:rsidP="00D2150E">
    <w:pPr>
      <w:pStyle w:val="FooterLeft"/>
      <w:framePr w:wrap="around" w:x="957" w:y="16145"/>
      <w:tabs>
        <w:tab w:val="clear" w:pos="113"/>
        <w:tab w:val="right" w:pos="397"/>
      </w:tabs>
    </w:pPr>
    <w:r w:rsidRPr="00575AC5">
      <w:fldChar w:fldCharType="begin"/>
    </w:r>
    <w:r w:rsidRPr="00575AC5">
      <w:instrText xml:space="preserve"> PAGE  \* Arabic  \* MERGEFORMAT </w:instrText>
    </w:r>
    <w:r w:rsidRPr="00575AC5">
      <w:fldChar w:fldCharType="separate"/>
    </w:r>
    <w:r>
      <w:t>2</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784E82F3" w14:textId="77777777" w:rsidR="00EC771A" w:rsidRPr="00A5474E" w:rsidRDefault="00EC771A" w:rsidP="00D2150E">
    <w:pPr>
      <w:pStyle w:val="Footer"/>
      <w:framePr w:w="1440" w:h="357" w:hRule="exact" w:vSpace="425" w:wrap="around" w:vAnchor="page" w:hAnchor="page" w:x="957" w:y="16145"/>
    </w:pPr>
  </w:p>
  <w:p w14:paraId="394B741E" w14:textId="521AA63F" w:rsidR="00EC771A" w:rsidRPr="00F012AE" w:rsidRDefault="00EC771A" w:rsidP="00AE0694">
    <w:pPr>
      <w:pStyle w:val="Footer"/>
      <w:framePr w:w="5596" w:h="357" w:hRule="exact" w:vSpace="425" w:wrap="around" w:vAnchor="page" w:hAnchor="page" w:x="4561" w:y="16172"/>
      <w:tabs>
        <w:tab w:val="clear" w:pos="113"/>
        <w:tab w:val="left" w:pos="284"/>
      </w:tabs>
      <w:jc w:val="right"/>
      <w:rPr>
        <w:rFonts w:cs="Arial"/>
      </w:rPr>
    </w:pPr>
    <w:r>
      <w:rPr>
        <w:rFonts w:cs="Arial"/>
        <w:noProof/>
        <w:spacing w:val="-16"/>
        <w:sz w:val="20"/>
        <w:szCs w:val="20"/>
      </w:rPr>
      <w:tab/>
    </w:r>
    <w:r>
      <w:rPr>
        <w:rFonts w:cs="Arial"/>
        <w:noProof/>
        <w:spacing w:val="-16"/>
        <w:sz w:val="20"/>
        <w:szCs w:val="20"/>
      </w:rPr>
      <w:tab/>
    </w:r>
    <w:r>
      <w:rPr>
        <w:rFonts w:cs="Arial"/>
        <w:noProof/>
        <w:spacing w:val="-16"/>
        <w:sz w:val="20"/>
        <w:szCs w:val="20"/>
      </w:rPr>
      <w:tab/>
    </w:r>
    <w:r>
      <w:rPr>
        <w:rFonts w:cs="Arial"/>
        <w:noProof/>
        <w:spacing w:val="-16"/>
        <w:sz w:val="20"/>
        <w:szCs w:val="20"/>
      </w:rPr>
      <w:tab/>
    </w:r>
    <w:r>
      <w:rPr>
        <w:rFonts w:cs="Arial"/>
        <w:noProof/>
        <w:spacing w:val="-16"/>
        <w:sz w:val="20"/>
        <w:szCs w:val="20"/>
      </w:rPr>
      <w:tab/>
    </w:r>
    <w:r>
      <w:rPr>
        <w:rFonts w:cs="Arial"/>
        <w:noProof/>
        <w:spacing w:val="-16"/>
        <w:sz w:val="20"/>
        <w:szCs w:val="20"/>
      </w:rPr>
      <w:tab/>
    </w:r>
    <w:r>
      <w:rPr>
        <w:rFonts w:cs="Arial"/>
        <w:noProof/>
        <w:spacing w:val="-16"/>
        <w:sz w:val="20"/>
        <w:szCs w:val="20"/>
      </w:rPr>
      <w:tab/>
    </w:r>
    <w:r>
      <w:rPr>
        <w:rFonts w:cs="Arial"/>
        <w:noProof/>
        <w:spacing w:val="-16"/>
        <w:sz w:val="20"/>
        <w:szCs w:val="20"/>
      </w:rPr>
      <w:tab/>
    </w:r>
    <w:r>
      <w:rPr>
        <w:rFonts w:cs="Arial"/>
        <w:noProof/>
        <w:spacing w:val="-16"/>
        <w:sz w:val="20"/>
        <w:szCs w:val="20"/>
      </w:rPr>
      <w:tab/>
    </w:r>
    <w:r w:rsidRPr="00F012AE">
      <w:rPr>
        <w:rFonts w:cs="Arial"/>
        <w:noProof/>
        <w:spacing w:val="-16"/>
        <w:sz w:val="20"/>
        <w:szCs w:val="20"/>
      </w:rPr>
      <w:t xml:space="preserve">RALI </w:t>
    </w:r>
    <w:r>
      <w:rPr>
        <w:rFonts w:cs="Arial"/>
        <w:noProof/>
        <w:spacing w:val="-16"/>
        <w:sz w:val="20"/>
        <w:szCs w:val="20"/>
      </w:rPr>
      <w:t>MS 46</w:t>
    </w:r>
  </w:p>
  <w:p w14:paraId="3A366266" w14:textId="77777777" w:rsidR="00EC771A" w:rsidRPr="00A5474E" w:rsidRDefault="00EC771A"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FA22E" w14:textId="77777777" w:rsidR="00EC771A" w:rsidRDefault="00EC771A">
      <w:r>
        <w:separator/>
      </w:r>
    </w:p>
  </w:footnote>
  <w:footnote w:type="continuationSeparator" w:id="0">
    <w:p w14:paraId="43110260" w14:textId="77777777" w:rsidR="00EC771A" w:rsidRDefault="00EC771A">
      <w:r>
        <w:continuationSeparator/>
      </w:r>
    </w:p>
  </w:footnote>
  <w:footnote w:type="continuationNotice" w:id="1">
    <w:p w14:paraId="3436D73D" w14:textId="77777777" w:rsidR="00EC771A" w:rsidRDefault="00EC771A">
      <w:pPr>
        <w:spacing w:after="0" w:line="240" w:lineRule="auto"/>
      </w:pPr>
    </w:p>
  </w:footnote>
  <w:footnote w:id="2">
    <w:p w14:paraId="16757F26" w14:textId="1E702B21" w:rsidR="006D626F" w:rsidRDefault="006D626F">
      <w:pPr>
        <w:pStyle w:val="FootnoteText"/>
      </w:pPr>
      <w:r>
        <w:rPr>
          <w:rStyle w:val="FootnoteReference"/>
        </w:rPr>
        <w:footnoteRef/>
      </w:r>
      <w:r>
        <w:t xml:space="preserve"> Refer to the definition of </w:t>
      </w:r>
      <w:r w:rsidR="004E0667">
        <w:t xml:space="preserve">a </w:t>
      </w:r>
      <w:r>
        <w:t>defined area in section</w:t>
      </w:r>
      <w:r w:rsidR="00110A88">
        <w:t xml:space="preserve"> </w:t>
      </w:r>
      <w:r w:rsidR="00110A88">
        <w:fldChar w:fldCharType="begin"/>
      </w:r>
      <w:r w:rsidR="00110A88">
        <w:instrText xml:space="preserve"> REF _Ref83214963 \r \h </w:instrText>
      </w:r>
      <w:r w:rsidR="00110A88">
        <w:fldChar w:fldCharType="separate"/>
      </w:r>
      <w:r w:rsidR="009E3A92">
        <w:t>1.3.1</w:t>
      </w:r>
      <w:r w:rsidR="00110A88">
        <w:fldChar w:fldCharType="end"/>
      </w:r>
      <w:r w:rsidR="00110A88">
        <w:t>.</w:t>
      </w:r>
    </w:p>
  </w:footnote>
  <w:footnote w:id="3">
    <w:p w14:paraId="65FB011F" w14:textId="117B7AC6" w:rsidR="00EC771A" w:rsidRDefault="00EC771A" w:rsidP="003C6FC5">
      <w:pPr>
        <w:pStyle w:val="FootnoteText"/>
      </w:pPr>
      <w:r>
        <w:rPr>
          <w:rStyle w:val="FootnoteReference"/>
        </w:rPr>
        <w:footnoteRef/>
      </w:r>
      <w:r>
        <w:t xml:space="preserve"> The AWL LCD and all other legislative instruments referred to in this RALI may be accessed, free of charge, on the Federal Register of Legislation at </w:t>
      </w:r>
      <w:hyperlink r:id="rId1" w:history="1">
        <w:r>
          <w:rPr>
            <w:rStyle w:val="Hyperlink"/>
          </w:rPr>
          <w:t>www.legislation.gov.au</w:t>
        </w:r>
      </w:hyperlink>
      <w:r>
        <w:t>.</w:t>
      </w:r>
    </w:p>
  </w:footnote>
  <w:footnote w:id="4">
    <w:p w14:paraId="693F15C3" w14:textId="4A07F069" w:rsidR="00EC771A" w:rsidRDefault="00EC771A" w:rsidP="003C6FC5">
      <w:pPr>
        <w:pStyle w:val="FootnoteText"/>
      </w:pPr>
      <w:r>
        <w:rPr>
          <w:rStyle w:val="FootnoteReference"/>
        </w:rPr>
        <w:footnoteRef/>
      </w:r>
      <w:r>
        <w:t xml:space="preserve"> Noting that licence conditions will preclude the operation of some services in segments of the 26/28 GHz bands.</w:t>
      </w:r>
    </w:p>
  </w:footnote>
  <w:footnote w:id="5">
    <w:p w14:paraId="4C858F32" w14:textId="5C827C1F" w:rsidR="00B1238B" w:rsidRDefault="00B1238B">
      <w:pPr>
        <w:pStyle w:val="FootnoteText"/>
      </w:pPr>
      <w:r>
        <w:rPr>
          <w:rStyle w:val="FootnoteReference"/>
        </w:rPr>
        <w:footnoteRef/>
      </w:r>
      <w:r>
        <w:t xml:space="preserve"> Refer to the definition of a defined area in section </w:t>
      </w:r>
      <w:r>
        <w:fldChar w:fldCharType="begin"/>
      </w:r>
      <w:r>
        <w:instrText xml:space="preserve"> REF _Ref83214963 \r \h </w:instrText>
      </w:r>
      <w:r>
        <w:fldChar w:fldCharType="separate"/>
      </w:r>
      <w:r w:rsidR="009E3A92">
        <w:t>1.3.1</w:t>
      </w:r>
      <w:r>
        <w:fldChar w:fldCharType="end"/>
      </w:r>
      <w:r>
        <w:t>.</w:t>
      </w:r>
    </w:p>
  </w:footnote>
  <w:footnote w:id="6">
    <w:p w14:paraId="60203C04" w14:textId="77777777" w:rsidR="00FF13CF" w:rsidRDefault="00FF13CF" w:rsidP="00FF13CF">
      <w:pPr>
        <w:pStyle w:val="FootnoteText"/>
      </w:pPr>
      <w:r>
        <w:rPr>
          <w:rStyle w:val="FootnoteReference"/>
        </w:rPr>
        <w:footnoteRef/>
      </w:r>
      <w:r>
        <w:t xml:space="preserve"> Only earth stations are permitted to operate in 29.5-30 GHz – see the AWL LCD.</w:t>
      </w:r>
    </w:p>
  </w:footnote>
  <w:footnote w:id="7">
    <w:p w14:paraId="434420C7" w14:textId="77777777" w:rsidR="00566A46" w:rsidRDefault="00566A46" w:rsidP="00566A46">
      <w:pPr>
        <w:pStyle w:val="FootnoteText"/>
      </w:pPr>
      <w:r>
        <w:rPr>
          <w:rStyle w:val="FootnoteReference"/>
        </w:rPr>
        <w:footnoteRef/>
      </w:r>
      <w:r>
        <w:t xml:space="preserve"> HCIS is a naming convention developed by the ACMA that applies unique ‘names’ to each of the cells that make up the Australian Spectrum Map Grid (ASMG) – more information is on the </w:t>
      </w:r>
      <w:hyperlink r:id="rId2" w:history="1">
        <w:r w:rsidRPr="00485030">
          <w:rPr>
            <w:rStyle w:val="Hyperlink"/>
          </w:rPr>
          <w:t>ACMA website</w:t>
        </w:r>
      </w:hyperlink>
      <w:r>
        <w:t>.</w:t>
      </w:r>
    </w:p>
  </w:footnote>
  <w:footnote w:id="8">
    <w:p w14:paraId="4FAB3EB1" w14:textId="77777777" w:rsidR="00FF13CF" w:rsidRDefault="00FF13CF" w:rsidP="00FF13CF">
      <w:pPr>
        <w:pStyle w:val="FootnoteText"/>
      </w:pPr>
      <w:r>
        <w:rPr>
          <w:rStyle w:val="FootnoteReference"/>
        </w:rPr>
        <w:footnoteRef/>
      </w:r>
      <w:r>
        <w:t xml:space="preserve"> Spectrum embargos are detailed on the </w:t>
      </w:r>
      <w:hyperlink r:id="rId3" w:history="1">
        <w:r w:rsidRPr="002721F9">
          <w:rPr>
            <w:rStyle w:val="Hyperlink"/>
          </w:rPr>
          <w:t>ACMA website</w:t>
        </w:r>
      </w:hyperlink>
      <w:r>
        <w:t>.</w:t>
      </w:r>
    </w:p>
  </w:footnote>
  <w:footnote w:id="9">
    <w:p w14:paraId="1CA72F66" w14:textId="03EB3FDD" w:rsidR="001A1BED" w:rsidRDefault="001A1BED">
      <w:pPr>
        <w:pStyle w:val="FootnoteText"/>
      </w:pPr>
      <w:r>
        <w:rPr>
          <w:rStyle w:val="FootnoteReference"/>
        </w:rPr>
        <w:footnoteRef/>
      </w:r>
      <w:r>
        <w:t xml:space="preserve"> The wording of the FSS-only condition included on AWLs issued prior to the latest version of this RALI may be slightly different.</w:t>
      </w:r>
    </w:p>
  </w:footnote>
  <w:footnote w:id="10">
    <w:p w14:paraId="2ACC948E" w14:textId="49C3CA4E" w:rsidR="001A1BED" w:rsidRDefault="001A1BED" w:rsidP="001A1BED">
      <w:pPr>
        <w:pStyle w:val="FootnoteText"/>
      </w:pPr>
      <w:r>
        <w:rPr>
          <w:rStyle w:val="FootnoteReference"/>
        </w:rPr>
        <w:footnoteRef/>
      </w:r>
      <w:r>
        <w:t xml:space="preserve"> The wording of some of the advisory notes included on AWLs issued prior to the latest version of this RALI may be slightly different.</w:t>
      </w:r>
    </w:p>
  </w:footnote>
  <w:footnote w:id="11">
    <w:p w14:paraId="43730075" w14:textId="29CD76C7" w:rsidR="00104F92" w:rsidRDefault="00104F92">
      <w:pPr>
        <w:pStyle w:val="FootnoteText"/>
      </w:pPr>
      <w:r>
        <w:rPr>
          <w:rStyle w:val="FootnoteReference"/>
        </w:rPr>
        <w:footnoteRef/>
      </w:r>
      <w:r>
        <w:t xml:space="preserve"> The </w:t>
      </w:r>
      <w:hyperlink r:id="rId4" w:history="1">
        <w:r w:rsidRPr="00345252">
          <w:rPr>
            <w:rStyle w:val="Hyperlink"/>
          </w:rPr>
          <w:t>Radiocommunications (Communication with Space Object) Class Licence 2015</w:t>
        </w:r>
      </w:hyperlink>
      <w:r>
        <w:rPr>
          <w:rStyle w:val="Hyperlink"/>
        </w:rPr>
        <w:t xml:space="preserve"> authorises the operation of ubiquitous FSS earth stations.</w:t>
      </w:r>
    </w:p>
  </w:footnote>
  <w:footnote w:id="12">
    <w:p w14:paraId="79B5F7B6" w14:textId="520DEEE8" w:rsidR="00E403D0" w:rsidRDefault="00E403D0">
      <w:pPr>
        <w:pStyle w:val="FootnoteText"/>
      </w:pPr>
      <w:r>
        <w:rPr>
          <w:rStyle w:val="FootnoteReference"/>
        </w:rPr>
        <w:footnoteRef/>
      </w:r>
      <w:r>
        <w:t xml:space="preserve"> Such as the</w:t>
      </w:r>
      <w:r w:rsidR="00C47335">
        <w:t xml:space="preserve"> coordination</w:t>
      </w:r>
      <w:r>
        <w:t xml:space="preserve"> requirement</w:t>
      </w:r>
      <w:r w:rsidR="00C47335">
        <w:t>s in</w:t>
      </w:r>
      <w:r>
        <w:t xml:space="preserve"> section</w:t>
      </w:r>
      <w:r w:rsidR="00C47335">
        <w:t>s</w:t>
      </w:r>
      <w:r>
        <w:t xml:space="preserve"> </w:t>
      </w:r>
      <w:r w:rsidR="008A506F">
        <w:fldChar w:fldCharType="begin"/>
      </w:r>
      <w:r w:rsidR="008A506F">
        <w:instrText xml:space="preserve"> REF _Ref16690549 \r \h </w:instrText>
      </w:r>
      <w:r w:rsidR="008A506F">
        <w:fldChar w:fldCharType="separate"/>
      </w:r>
      <w:r w:rsidR="009E3A92">
        <w:t>3.4</w:t>
      </w:r>
      <w:r w:rsidR="008A506F">
        <w:fldChar w:fldCharType="end"/>
      </w:r>
      <w:r w:rsidR="00C47335">
        <w:t xml:space="preserve"> and</w:t>
      </w:r>
      <w:r w:rsidR="008A506F">
        <w:t xml:space="preserve"> </w:t>
      </w:r>
      <w:r w:rsidR="008A506F">
        <w:fldChar w:fldCharType="begin"/>
      </w:r>
      <w:r w:rsidR="008A506F">
        <w:instrText xml:space="preserve"> REF _Ref46470743 \r \h </w:instrText>
      </w:r>
      <w:r w:rsidR="008A506F">
        <w:fldChar w:fldCharType="separate"/>
      </w:r>
      <w:r w:rsidR="009E3A92">
        <w:t>3.8</w:t>
      </w:r>
      <w:r w:rsidR="008A506F">
        <w:fldChar w:fldCharType="end"/>
      </w:r>
      <w:r>
        <w:t>.</w:t>
      </w:r>
    </w:p>
  </w:footnote>
  <w:footnote w:id="13">
    <w:p w14:paraId="6EFBBFAE" w14:textId="70210A4F" w:rsidR="00EC771A" w:rsidRPr="00B665EA" w:rsidRDefault="00EC771A">
      <w:pPr>
        <w:pStyle w:val="FootnoteText"/>
        <w:rPr>
          <w:i/>
          <w:iCs/>
        </w:rPr>
      </w:pPr>
      <w:r>
        <w:rPr>
          <w:rStyle w:val="FootnoteReference"/>
        </w:rPr>
        <w:footnoteRef/>
      </w:r>
      <w:r>
        <w:t xml:space="preserve"> An example of a suitable propagation model is that set out in section 4.5.2 of ITU-R Recommendation P.526-14 </w:t>
      </w:r>
      <w:r>
        <w:rPr>
          <w:i/>
          <w:iCs/>
        </w:rPr>
        <w:t>Propagation by diffraction.</w:t>
      </w:r>
    </w:p>
  </w:footnote>
  <w:footnote w:id="14">
    <w:p w14:paraId="55BDFD1D" w14:textId="56EADE79" w:rsidR="008F4D74" w:rsidRDefault="008F4D74" w:rsidP="008F4D74">
      <w:r>
        <w:rPr>
          <w:rStyle w:val="FootnoteReference"/>
        </w:rPr>
        <w:footnoteRef/>
      </w:r>
      <w:r>
        <w:t xml:space="preserve"> </w:t>
      </w:r>
      <w:r w:rsidRPr="00103034">
        <w:rPr>
          <w:sz w:val="16"/>
          <w:szCs w:val="16"/>
        </w:rPr>
        <w:t xml:space="preserve">Appendix A details the applicable uplink-downlink configuration to be used when the synchronisation </w:t>
      </w:r>
      <w:r>
        <w:rPr>
          <w:sz w:val="16"/>
          <w:szCs w:val="16"/>
        </w:rPr>
        <w:t>condition in the AWL LCD</w:t>
      </w:r>
      <w:r w:rsidRPr="00103034">
        <w:rPr>
          <w:sz w:val="16"/>
          <w:szCs w:val="16"/>
        </w:rPr>
        <w:t xml:space="preserve"> has been triggered.</w:t>
      </w:r>
    </w:p>
    <w:p w14:paraId="5EB077CD" w14:textId="74A42F74" w:rsidR="008F4D74" w:rsidRDefault="008F4D74">
      <w:pPr>
        <w:pStyle w:val="FootnoteText"/>
      </w:pPr>
    </w:p>
  </w:footnote>
  <w:footnote w:id="15">
    <w:p w14:paraId="7A82D603" w14:textId="6EEC05AA" w:rsidR="00EC771A" w:rsidRDefault="00EC771A" w:rsidP="00F56AFA">
      <w:pPr>
        <w:pStyle w:val="FootnoteText"/>
      </w:pPr>
      <w:r>
        <w:rPr>
          <w:rStyle w:val="FootnoteReference"/>
        </w:rPr>
        <w:footnoteRef/>
      </w:r>
      <w:r>
        <w:t xml:space="preserve"> Appendices </w:t>
      </w:r>
      <w:r w:rsidR="005F3911">
        <w:t>F</w:t>
      </w:r>
      <w:r>
        <w:t xml:space="preserve"> and </w:t>
      </w:r>
      <w:r w:rsidR="005F3911">
        <w:t>G</w:t>
      </w:r>
      <w:r>
        <w:t xml:space="preserve"> provide details on calculating the antenna off-axis angle in two and three dimensions respectively.</w:t>
      </w:r>
    </w:p>
  </w:footnote>
  <w:footnote w:id="16">
    <w:p w14:paraId="75364A62" w14:textId="77777777" w:rsidR="00EC771A" w:rsidRDefault="00EC771A" w:rsidP="00F23E1B">
      <w:pPr>
        <w:pStyle w:val="FootnoteText"/>
      </w:pPr>
      <w:r>
        <w:rPr>
          <w:rStyle w:val="FootnoteReference"/>
        </w:rPr>
        <w:footnoteRef/>
      </w:r>
      <w:r>
        <w:t xml:space="preserve"> An active antenna system refers to an antenna system where the amplitude and/or phase between antenna elements is continually adjusted resulting in an antenna pattern that varies in response to short term changes in the radio environment.</w:t>
      </w:r>
    </w:p>
  </w:footnote>
  <w:footnote w:id="17">
    <w:p w14:paraId="1A80CFFB" w14:textId="49921238" w:rsidR="00EC771A" w:rsidRDefault="00EC771A">
      <w:pPr>
        <w:pStyle w:val="FootnoteText"/>
      </w:pPr>
      <w:r>
        <w:rPr>
          <w:rStyle w:val="FootnoteReference"/>
        </w:rPr>
        <w:footnoteRef/>
      </w:r>
      <w:r>
        <w:t xml:space="preserve"> Transmitters which operate across the 27.5 GHz boundary must comply with the specified limits in both frequency ranges.</w:t>
      </w:r>
    </w:p>
  </w:footnote>
  <w:footnote w:id="18">
    <w:p w14:paraId="7378643A" w14:textId="5C4434E1" w:rsidR="00EC771A" w:rsidRDefault="00EC771A">
      <w:pPr>
        <w:pStyle w:val="FootnoteText"/>
      </w:pPr>
      <w:r>
        <w:rPr>
          <w:rStyle w:val="FootnoteReference"/>
        </w:rPr>
        <w:footnoteRef/>
      </w:r>
      <w:r>
        <w:t xml:space="preserve"> The exemption will mean that at a minimum only the single HCIS level 00 cell which contains the earth station is required to be included on the licence.</w:t>
      </w:r>
    </w:p>
  </w:footnote>
  <w:footnote w:id="19">
    <w:p w14:paraId="1D25F07E" w14:textId="3FC3B575" w:rsidR="00EC771A" w:rsidRDefault="00EC771A">
      <w:pPr>
        <w:pStyle w:val="FootnoteText"/>
      </w:pPr>
      <w:r>
        <w:rPr>
          <w:rStyle w:val="FootnoteReference"/>
        </w:rPr>
        <w:footnoteRef/>
      </w:r>
      <w:r>
        <w:t xml:space="preserve"> The curves in Figures </w:t>
      </w:r>
      <w:r w:rsidR="007C0222">
        <w:t>3</w:t>
      </w:r>
      <w:r>
        <w:t xml:space="preserve"> and </w:t>
      </w:r>
      <w:r w:rsidR="007C0222">
        <w:t>4</w:t>
      </w:r>
      <w:r>
        <w:t xml:space="preserve"> are based on free space loss and smooth earth diffraction with a k-factor of 4/3 and </w:t>
      </w:r>
      <w:r w:rsidR="00811F59">
        <w:t xml:space="preserve">both </w:t>
      </w:r>
      <w:r>
        <w:t>antenna heights of 200m (allowance for high located sites).</w:t>
      </w:r>
    </w:p>
  </w:footnote>
  <w:footnote w:id="20">
    <w:p w14:paraId="18370905" w14:textId="193218D7" w:rsidR="00EC771A" w:rsidRDefault="00EC771A">
      <w:pPr>
        <w:pStyle w:val="FootnoteText"/>
      </w:pPr>
      <w:r>
        <w:rPr>
          <w:rStyle w:val="FootnoteReference"/>
        </w:rPr>
        <w:footnoteRef/>
      </w:r>
      <w:r>
        <w:t xml:space="preserve"> Subsection 4(2)(c) of Schedule 1 of the AWL LCD applies to fixed transmitters, which are not base stations, that operate with a total radiated power in the range 23-35 dBm per occupied bandwidth</w:t>
      </w:r>
    </w:p>
  </w:footnote>
  <w:footnote w:id="21">
    <w:p w14:paraId="72A31A78" w14:textId="77777777" w:rsidR="00EC771A" w:rsidRDefault="00EC771A" w:rsidP="008E08FD">
      <w:pPr>
        <w:pStyle w:val="FootnoteText"/>
      </w:pPr>
      <w:r>
        <w:rPr>
          <w:rStyle w:val="FootnoteReference"/>
        </w:rPr>
        <w:footnoteRef/>
      </w:r>
      <w:r>
        <w:t xml:space="preserve"> The interference level is based on Recommendation ITU-R SA.609-2</w:t>
      </w:r>
    </w:p>
  </w:footnote>
  <w:footnote w:id="22">
    <w:p w14:paraId="1E1A5A49" w14:textId="7794CA76" w:rsidR="00010BAD" w:rsidRDefault="00010BAD">
      <w:pPr>
        <w:pStyle w:val="FootnoteText"/>
      </w:pPr>
      <w:r>
        <w:rPr>
          <w:rStyle w:val="FootnoteReference"/>
        </w:rPr>
        <w:footnoteRef/>
      </w:r>
      <w:r>
        <w:t xml:space="preserve"> </w:t>
      </w:r>
      <w:r w:rsidR="006E1FAE">
        <w:t>The percent of time is from Recommendation ITU-R SA.609-2 for manned missions.</w:t>
      </w:r>
    </w:p>
  </w:footnote>
  <w:footnote w:id="23">
    <w:p w14:paraId="5AEEF094" w14:textId="2C0FAE89" w:rsidR="00E37CAC" w:rsidRDefault="00E37CAC">
      <w:pPr>
        <w:pStyle w:val="FootnoteText"/>
      </w:pPr>
      <w:r>
        <w:rPr>
          <w:rStyle w:val="FootnoteReference"/>
        </w:rPr>
        <w:footnoteRef/>
      </w:r>
      <w:r>
        <w:t xml:space="preserve"> Coordination arrangements for earth stations are identical to those previously contained in RALI MS38 which has now been suppressed.</w:t>
      </w:r>
    </w:p>
  </w:footnote>
  <w:footnote w:id="24">
    <w:p w14:paraId="2DF32368" w14:textId="77777777" w:rsidR="002C1C22" w:rsidRDefault="002C1C22" w:rsidP="002C1C22">
      <w:pPr>
        <w:pStyle w:val="FootnoteText"/>
      </w:pPr>
      <w:r>
        <w:rPr>
          <w:rStyle w:val="FootnoteReference"/>
        </w:rPr>
        <w:footnoteRef/>
      </w:r>
      <w:r>
        <w:t xml:space="preserve"> Also see Appendix 1 of RALI FX 3.</w:t>
      </w:r>
    </w:p>
  </w:footnote>
  <w:footnote w:id="25">
    <w:p w14:paraId="63A20E6B" w14:textId="77777777" w:rsidR="002C1C22" w:rsidRPr="00DE16C8" w:rsidRDefault="002C1C22" w:rsidP="002C1C22">
      <w:pPr>
        <w:pStyle w:val="FootnoteText"/>
      </w:pPr>
      <w:r>
        <w:rPr>
          <w:rStyle w:val="FootnoteReference"/>
        </w:rPr>
        <w:footnoteRef/>
      </w:r>
      <w:r>
        <w:t xml:space="preserve"> See </w:t>
      </w:r>
      <w:hyperlink r:id="rId5" w:history="1">
        <w:r w:rsidRPr="008F4CF5">
          <w:rPr>
            <w:rStyle w:val="Hyperlink"/>
          </w:rPr>
          <w:t>Future use of the 28 GHz band – Planning decisions and preliminary views</w:t>
        </w:r>
      </w:hyperlink>
      <w:r>
        <w:t xml:space="preserve"> for more details.</w:t>
      </w:r>
    </w:p>
  </w:footnote>
  <w:footnote w:id="26">
    <w:p w14:paraId="579FFB87" w14:textId="47A28C00" w:rsidR="00EC771A" w:rsidRDefault="00EC771A">
      <w:pPr>
        <w:pStyle w:val="FootnoteText"/>
      </w:pPr>
      <w:r>
        <w:rPr>
          <w:rStyle w:val="FootnoteReference"/>
        </w:rPr>
        <w:footnoteRef/>
      </w:r>
      <w:r>
        <w:t xml:space="preserve"> Such as ITU-R Recommendation P.452 under clear sky conditions for an annual time percentage of 20% or ITU-R Recommendation P.526 using a k-factor of 3. However, assigners are free to choose an alternate propagation model to be applied for a particular path, provided it is justifiable.</w:t>
      </w:r>
    </w:p>
  </w:footnote>
  <w:footnote w:id="27">
    <w:p w14:paraId="6FDDA3EE" w14:textId="29B5964B" w:rsidR="00EC771A" w:rsidRDefault="00EC771A">
      <w:pPr>
        <w:pStyle w:val="FootnoteText"/>
      </w:pPr>
      <w:r>
        <w:rPr>
          <w:rStyle w:val="FootnoteReference"/>
        </w:rPr>
        <w:footnoteRef/>
      </w:r>
      <w:r>
        <w:t xml:space="preserve"> Based on the maximum channel bandwidth of 400 MHz in the current 3GPP 38-series standard.</w:t>
      </w:r>
    </w:p>
  </w:footnote>
  <w:footnote w:id="28">
    <w:p w14:paraId="346D8C18" w14:textId="52151F72" w:rsidR="00EC771A" w:rsidRDefault="00EC771A">
      <w:pPr>
        <w:pStyle w:val="FootnoteText"/>
      </w:pPr>
      <w:r>
        <w:rPr>
          <w:rStyle w:val="FootnoteReference"/>
        </w:rPr>
        <w:footnoteRef/>
      </w:r>
      <w:r>
        <w:t xml:space="preserve"> 20 km is considered the maximum cell radius expected to be achievable under an AWL. Should larger cells be used, AWL licensees are remined that transmitters which are not required to be re</w:t>
      </w:r>
      <w:r w:rsidR="00083BEF">
        <w:t>gistered</w:t>
      </w:r>
      <w:r>
        <w:t xml:space="preserve"> in the RRL operate on a no interference basis as defined in the AWL LCD. </w:t>
      </w:r>
    </w:p>
  </w:footnote>
  <w:footnote w:id="29">
    <w:p w14:paraId="73F9CB8B" w14:textId="5C2B9092" w:rsidR="00546781" w:rsidRDefault="00546781">
      <w:pPr>
        <w:pStyle w:val="FootnoteText"/>
      </w:pPr>
      <w:r>
        <w:rPr>
          <w:rStyle w:val="FootnoteReference"/>
        </w:rPr>
        <w:footnoteRef/>
      </w:r>
      <w:r>
        <w:t xml:space="preserve"> On-tune rejection does not need to be calculated for non-earth station transmitters as it has already </w:t>
      </w:r>
      <w:r w:rsidR="00E93473">
        <w:t xml:space="preserve">been </w:t>
      </w:r>
      <w:r w:rsidR="005A17FB">
        <w:t xml:space="preserve">factored into </w:t>
      </w:r>
      <w:r>
        <w:t xml:space="preserve">the relevant protection ratio tables in Appendix </w:t>
      </w:r>
      <w:r w:rsidR="00F32A06">
        <w:t>D</w:t>
      </w:r>
      <w:r>
        <w:t>.</w:t>
      </w:r>
    </w:p>
  </w:footnote>
  <w:footnote w:id="30">
    <w:p w14:paraId="238CB754" w14:textId="77777777" w:rsidR="00B01FE0" w:rsidRDefault="00B01FE0" w:rsidP="00B01FE0">
      <w:pPr>
        <w:pStyle w:val="FootnoteText"/>
      </w:pPr>
      <w:r>
        <w:rPr>
          <w:rStyle w:val="FootnoteReference"/>
        </w:rPr>
        <w:footnoteRef/>
      </w:r>
      <w:r>
        <w:t xml:space="preserve"> The interference level is based on Recommendation ITU-R SA.609-2</w:t>
      </w:r>
    </w:p>
  </w:footnote>
  <w:footnote w:id="31">
    <w:p w14:paraId="3D3C1E15" w14:textId="30AA6868" w:rsidR="00B01FE0" w:rsidRDefault="00B01FE0" w:rsidP="00B01FE0">
      <w:pPr>
        <w:pStyle w:val="FootnoteText"/>
      </w:pPr>
      <w:r>
        <w:rPr>
          <w:rStyle w:val="FootnoteReference"/>
        </w:rPr>
        <w:footnoteRef/>
      </w:r>
      <w:r>
        <w:t xml:space="preserve"> </w:t>
      </w:r>
      <w:r w:rsidR="006E1FAE">
        <w:t>The percent of time is from Recommendation ITU-R SA.609-2 for manned missions.</w:t>
      </w:r>
    </w:p>
  </w:footnote>
  <w:footnote w:id="32">
    <w:p w14:paraId="178E4F0B" w14:textId="0F643F5E" w:rsidR="00EC771A" w:rsidRDefault="00EC771A">
      <w:pPr>
        <w:pStyle w:val="FootnoteText"/>
      </w:pPr>
      <w:r>
        <w:rPr>
          <w:rStyle w:val="FootnoteReference"/>
        </w:rPr>
        <w:footnoteRef/>
      </w:r>
      <w:r>
        <w:t xml:space="preserve"> All </w:t>
      </w:r>
      <w:hyperlink r:id="rId6" w:history="1">
        <w:r w:rsidRPr="007E76E6">
          <w:rPr>
            <w:rStyle w:val="Hyperlink"/>
          </w:rPr>
          <w:t>RALIs</w:t>
        </w:r>
      </w:hyperlink>
      <w:r w:rsidR="007E76E6">
        <w:t xml:space="preserve"> and </w:t>
      </w:r>
      <w:hyperlink r:id="rId7" w:history="1">
        <w:r w:rsidR="007E76E6" w:rsidRPr="007E76E6">
          <w:rPr>
            <w:rStyle w:val="Hyperlink"/>
          </w:rPr>
          <w:t>BOPs</w:t>
        </w:r>
      </w:hyperlink>
      <w:r>
        <w:t xml:space="preserve"> are available on the </w:t>
      </w:r>
      <w:r w:rsidR="007E76E6" w:rsidRPr="00103034">
        <w:t>ACMA website</w:t>
      </w:r>
      <w:r>
        <w:t>.</w:t>
      </w:r>
    </w:p>
  </w:footnote>
  <w:footnote w:id="33">
    <w:p w14:paraId="51CA3033" w14:textId="77777777" w:rsidR="00EC771A" w:rsidRDefault="00EC771A" w:rsidP="00103F94">
      <w:pPr>
        <w:pStyle w:val="FootnoteText"/>
      </w:pPr>
      <w:r>
        <w:rPr>
          <w:rStyle w:val="FootnoteReference"/>
        </w:rPr>
        <w:footnoteRef/>
      </w:r>
      <w:r>
        <w:t xml:space="preserve"> The synchronisation requirement is detailed on 26 GHz band spectrum licences and in the AWL LCD.</w:t>
      </w:r>
    </w:p>
  </w:footnote>
  <w:footnote w:id="34">
    <w:p w14:paraId="54A808E4" w14:textId="77777777" w:rsidR="00EC771A" w:rsidRDefault="00EC771A" w:rsidP="00103F94">
      <w:pPr>
        <w:pStyle w:val="FootnoteText"/>
      </w:pPr>
      <w:r>
        <w:rPr>
          <w:rStyle w:val="FootnoteReference"/>
        </w:rPr>
        <w:footnoteRef/>
      </w:r>
      <w:r>
        <w:t xml:space="preserve"> Available on the </w:t>
      </w:r>
      <w:hyperlink r:id="rId8" w:history="1">
        <w:r w:rsidRPr="002F449B">
          <w:rPr>
            <w:rStyle w:val="Hyperlink"/>
          </w:rPr>
          <w:t>3GPP website</w:t>
        </w:r>
      </w:hyperlink>
      <w:r>
        <w:t>.</w:t>
      </w:r>
    </w:p>
  </w:footnote>
  <w:footnote w:id="35">
    <w:p w14:paraId="05672F74" w14:textId="77777777" w:rsidR="00EC771A" w:rsidRDefault="00EC771A" w:rsidP="00754AC4">
      <w:pPr>
        <w:pStyle w:val="FootnoteText"/>
      </w:pPr>
      <w:r>
        <w:rPr>
          <w:rStyle w:val="FootnoteReference"/>
        </w:rPr>
        <w:footnoteRef/>
      </w:r>
      <w:r>
        <w:t xml:space="preserve"> Available on the </w:t>
      </w:r>
      <w:hyperlink r:id="rId9" w:history="1">
        <w:r w:rsidRPr="002F449B">
          <w:rPr>
            <w:rStyle w:val="Hyperlink"/>
          </w:rPr>
          <w:t>3GPP website</w:t>
        </w:r>
      </w:hyperlink>
      <w:r>
        <w:t>.</w:t>
      </w:r>
    </w:p>
  </w:footnote>
  <w:footnote w:id="36">
    <w:p w14:paraId="4626F900" w14:textId="1CFEFA46" w:rsidR="00CC6778" w:rsidRDefault="00CC6778" w:rsidP="00CC6778">
      <w:pPr>
        <w:pStyle w:val="FootnoteText"/>
      </w:pPr>
      <w:r>
        <w:rPr>
          <w:rStyle w:val="FootnoteReference"/>
        </w:rPr>
        <w:footnoteRef/>
      </w:r>
      <w:r>
        <w:t xml:space="preserve"> </w:t>
      </w:r>
      <w:r w:rsidRPr="00227350">
        <w:t xml:space="preserve">Overlapped area means the geographic area in which both </w:t>
      </w:r>
      <w:r>
        <w:t>licences</w:t>
      </w:r>
      <w:r w:rsidRPr="00227350">
        <w:t xml:space="preserve"> authorise the operation of transmitters in the same frequency range</w:t>
      </w:r>
      <w:r>
        <w:t xml:space="preserve">, example in Figure </w:t>
      </w:r>
      <w:r w:rsidR="00476E59">
        <w:t>6</w:t>
      </w:r>
      <w:r w:rsidRPr="00227350">
        <w:t>.</w:t>
      </w:r>
    </w:p>
  </w:footnote>
  <w:footnote w:id="37">
    <w:p w14:paraId="2DE01B30" w14:textId="5416EF41" w:rsidR="006D67D6" w:rsidRDefault="006D67D6" w:rsidP="006D67D6">
      <w:pPr>
        <w:pStyle w:val="Footer"/>
        <w:spacing w:after="60"/>
      </w:pPr>
      <w:r>
        <w:rPr>
          <w:rStyle w:val="FootnoteReference"/>
        </w:rPr>
        <w:footnoteRef/>
      </w:r>
      <w:r>
        <w:t xml:space="preserve"> </w:t>
      </w:r>
      <w:r>
        <w:tab/>
        <w:t>A methodology for calculating FDR is contained in Recommendation ITU-R SM.337 (</w:t>
      </w:r>
      <w:hyperlink r:id="rId10" w:history="1">
        <w:r w:rsidRPr="00506401">
          <w:rPr>
            <w:rStyle w:val="Hyperlink"/>
          </w:rPr>
          <w:t>https://www.itu.int/rec/R-REC-SM.337-6-200810-I/en</w:t>
        </w:r>
      </w:hyperlink>
      <w:r>
        <w:t xml:space="preserve">). In the first instance, actual transmitter emission and receiver selectivity characteristics should be used. </w:t>
      </w:r>
      <w:r w:rsidR="007C6C78">
        <w:t xml:space="preserve">In the absence of </w:t>
      </w:r>
      <w:r w:rsidR="007B0402">
        <w:t>actual receiver selectivity characteristics</w:t>
      </w:r>
      <w:r w:rsidR="007C6C78">
        <w:t>, t</w:t>
      </w:r>
      <w:r>
        <w:t>here are a number of methods to derive a receiver selectivity response from an emission mask, such as that contained in ETSI TR 101 854 (</w:t>
      </w:r>
      <w:hyperlink r:id="rId11" w:history="1">
        <w:r w:rsidRPr="00506401">
          <w:rPr>
            <w:rStyle w:val="Hyperlink"/>
          </w:rPr>
          <w:t>http://www.etsi.org/deliver/etsi_tr/101800_101899/101854/01.03.01_60/tr_101854v010301p.pdf</w:t>
        </w:r>
      </w:hyperlink>
      <w:r>
        <w:t>).</w:t>
      </w:r>
    </w:p>
  </w:footnote>
  <w:footnote w:id="38">
    <w:p w14:paraId="153D1DF6" w14:textId="77777777" w:rsidR="00C9599B" w:rsidRDefault="00C9599B" w:rsidP="00C9599B">
      <w:pPr>
        <w:pStyle w:val="FootnoteText"/>
      </w:pPr>
      <w:r>
        <w:rPr>
          <w:rStyle w:val="FootnoteReference"/>
        </w:rPr>
        <w:footnoteRef/>
      </w:r>
      <w:r>
        <w:t xml:space="preserve"> HCIS descriptors for inner- and outer-footprint areas are detailed in the AWL LCD.</w:t>
      </w:r>
    </w:p>
  </w:footnote>
  <w:footnote w:id="39">
    <w:p w14:paraId="64B31BDD" w14:textId="77777777" w:rsidR="00C9599B" w:rsidRDefault="00C9599B" w:rsidP="00C9599B">
      <w:pPr>
        <w:pStyle w:val="FootnoteText"/>
      </w:pPr>
      <w:r>
        <w:rPr>
          <w:rStyle w:val="FootnoteReference"/>
        </w:rPr>
        <w:footnoteRef/>
      </w:r>
      <w:r>
        <w:t xml:space="preserve"> In addition to adhering to resolves 2.1 and 2.2 of ITU-R Resolution 242 (WRC-19) for transmitters in the range 24.7-27.5 GHz.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45D64" w14:textId="7B38C7D2" w:rsidR="00EC771A" w:rsidRDefault="00EC771A" w:rsidP="00A07457">
    <w:pPr>
      <w:pStyle w:val="Header"/>
      <w:tabs>
        <w:tab w:val="left" w:pos="1560"/>
      </w:tabs>
    </w:pPr>
    <w:r w:rsidRPr="0049305D">
      <w:rPr>
        <w:noProof/>
      </w:rPr>
      <w:drawing>
        <wp:anchor distT="0" distB="0" distL="114300" distR="114300" simplePos="0" relativeHeight="251657216" behindDoc="1" locked="0" layoutInCell="1" allowOverlap="1" wp14:anchorId="5441F25B" wp14:editId="2FCBC0DF">
          <wp:simplePos x="0" y="0"/>
          <wp:positionH relativeFrom="page">
            <wp:align>right</wp:align>
          </wp:positionH>
          <wp:positionV relativeFrom="paragraph">
            <wp:posOffset>-10160</wp:posOffset>
          </wp:positionV>
          <wp:extent cx="7556500" cy="6477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64770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90FA502" w14:textId="77777777" w:rsidR="00EC771A" w:rsidRDefault="00EC77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54113"/>
      <w:docPartObj>
        <w:docPartGallery w:val="Watermarks"/>
        <w:docPartUnique/>
      </w:docPartObj>
    </w:sdtPr>
    <w:sdtEndPr/>
    <w:sdtContent>
      <w:p w14:paraId="219D30F0" w14:textId="00F3FEE6" w:rsidR="00EC771A" w:rsidRDefault="003A7F61">
        <w:pPr>
          <w:pStyle w:val="Header"/>
        </w:pPr>
        <w:r>
          <w:rPr>
            <w:noProof/>
          </w:rPr>
          <w:pict w14:anchorId="2C934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25pt;height:44.25pt" o:bullet="t">
        <v:imagedata r:id="rId1" o:title="clip_image001"/>
      </v:shape>
    </w:pict>
  </w:numPicBullet>
  <w:numPicBullet w:numPicBulletId="1">
    <w:pict>
      <v:shape id="_x0000_i1027" type="#_x0000_t75" style="width:48.75pt;height:45pt" o:bullet="t">
        <v:imagedata r:id="rId2" o:title="clip_image002"/>
      </v:shape>
    </w:pict>
  </w:numPicBullet>
  <w:numPicBullet w:numPicBulletId="2">
    <w:pict>
      <v:shape id="_x0000_i1028" type="#_x0000_t75" style="width:47.25pt;height:45pt" o:bullet="t">
        <v:imagedata r:id="rId3" o:title="clip_image003"/>
      </v:shape>
    </w:pict>
  </w:numPicBullet>
  <w:numPicBullet w:numPicBulletId="3">
    <w:pict>
      <v:shape id="_x0000_i1029" type="#_x0000_t75" style="width:47.25pt;height:45pt" o:bullet="t">
        <v:imagedata r:id="rId4" o:title="clip_image004"/>
      </v:shape>
    </w:pict>
  </w:numPicBullet>
  <w:numPicBullet w:numPicBulletId="4">
    <w:pict>
      <v:shape id="_x0000_i1030" type="#_x0000_t75" style="width:48pt;height:45pt" o:bullet="t">
        <v:imagedata r:id="rId5" o:title="clip_image005"/>
      </v:shape>
    </w:pict>
  </w:numPicBullet>
  <w:numPicBullet w:numPicBulletId="5">
    <w:pict>
      <v:shape id="_x0000_i1031" type="#_x0000_t75" style="width:48pt;height:44.25pt" o:bullet="t">
        <v:imagedata r:id="rId6" o:title="clip_image006"/>
      </v:shape>
    </w:pict>
  </w:numPicBullet>
  <w:numPicBullet w:numPicBulletId="6">
    <w:pict>
      <v:shape id="_x0000_i1032" type="#_x0000_t75" style="width:47.25pt;height:44.25pt" o:bullet="t">
        <v:imagedata r:id="rId7" o:title="clip_image007"/>
      </v:shape>
    </w:pict>
  </w:numPicBullet>
  <w:abstractNum w:abstractNumId="0" w15:restartNumberingAfterBreak="0">
    <w:nsid w:val="FFFFFF7C"/>
    <w:multiLevelType w:val="singleLevel"/>
    <w:tmpl w:val="E66C4C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1CC1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1E7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A0EF76"/>
    <w:lvl w:ilvl="0">
      <w:start w:val="1"/>
      <w:numFmt w:val="decimal"/>
      <w:pStyle w:val="ListNumber2"/>
      <w:lvlText w:val="%1."/>
      <w:lvlJc w:val="left"/>
      <w:pPr>
        <w:ind w:left="360" w:hanging="360"/>
      </w:pPr>
      <w:rPr>
        <w:rFonts w:hint="default"/>
      </w:rPr>
    </w:lvl>
  </w:abstractNum>
  <w:abstractNum w:abstractNumId="4" w15:restartNumberingAfterBreak="0">
    <w:nsid w:val="FFFFFF80"/>
    <w:multiLevelType w:val="singleLevel"/>
    <w:tmpl w:val="58A64E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8857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5E1F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F4A28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8" w15:restartNumberingAfterBreak="0">
    <w:nsid w:val="FFFFFF88"/>
    <w:multiLevelType w:val="singleLevel"/>
    <w:tmpl w:val="34367B10"/>
    <w:lvl w:ilvl="0">
      <w:start w:val="1"/>
      <w:numFmt w:val="decimal"/>
      <w:pStyle w:val="ListNumber"/>
      <w:lvlText w:val="%1."/>
      <w:lvlJc w:val="left"/>
      <w:pPr>
        <w:ind w:left="360" w:hanging="360"/>
      </w:pPr>
      <w:rPr>
        <w:rFonts w:hint="default"/>
        <w:caps/>
        <w:sz w:val="20"/>
      </w:rPr>
    </w:lvl>
  </w:abstractNum>
  <w:abstractNum w:abstractNumId="9" w15:restartNumberingAfterBreak="0">
    <w:nsid w:val="FFFFFF89"/>
    <w:multiLevelType w:val="singleLevel"/>
    <w:tmpl w:val="B7024436"/>
    <w:lvl w:ilvl="0">
      <w:start w:val="1"/>
      <w:numFmt w:val="bullet"/>
      <w:pStyle w:val="ListBullet"/>
      <w:lvlText w:val="&gt;"/>
      <w:lvlJc w:val="left"/>
      <w:pPr>
        <w:tabs>
          <w:tab w:val="num" w:pos="295"/>
        </w:tabs>
        <w:ind w:left="295" w:hanging="295"/>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0" w15:restartNumberingAfterBreak="0">
    <w:nsid w:val="00600511"/>
    <w:multiLevelType w:val="hybridMultilevel"/>
    <w:tmpl w:val="2FA06F20"/>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1" w15:restartNumberingAfterBreak="0">
    <w:nsid w:val="04CD69D8"/>
    <w:multiLevelType w:val="hybridMultilevel"/>
    <w:tmpl w:val="C1E61FCC"/>
    <w:lvl w:ilvl="0" w:tplc="4D541E46">
      <w:start w:val="1"/>
      <w:numFmt w:val="lowerLetter"/>
      <w:lvlText w:val="(%1)"/>
      <w:lvlJc w:val="left"/>
      <w:pPr>
        <w:ind w:left="1069" w:hanging="360"/>
      </w:p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12" w15:restartNumberingAfterBreak="0">
    <w:nsid w:val="04E02E23"/>
    <w:multiLevelType w:val="hybridMultilevel"/>
    <w:tmpl w:val="13B671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7E6EDB"/>
    <w:multiLevelType w:val="hybridMultilevel"/>
    <w:tmpl w:val="0F0ED320"/>
    <w:lvl w:ilvl="0" w:tplc="990A97FC">
      <w:start w:val="1"/>
      <w:numFmt w:val="lowerLetter"/>
      <w:lvlText w:val="%1."/>
      <w:lvlJc w:val="left"/>
      <w:pPr>
        <w:tabs>
          <w:tab w:val="num" w:pos="720"/>
        </w:tabs>
        <w:ind w:left="720" w:hanging="360"/>
      </w:pPr>
    </w:lvl>
    <w:lvl w:ilvl="1" w:tplc="0D6C66C0" w:tentative="1">
      <w:start w:val="1"/>
      <w:numFmt w:val="lowerLetter"/>
      <w:lvlText w:val="%2."/>
      <w:lvlJc w:val="left"/>
      <w:pPr>
        <w:tabs>
          <w:tab w:val="num" w:pos="1440"/>
        </w:tabs>
        <w:ind w:left="1440" w:hanging="360"/>
      </w:pPr>
    </w:lvl>
    <w:lvl w:ilvl="2" w:tplc="5A780DCA" w:tentative="1">
      <w:start w:val="1"/>
      <w:numFmt w:val="lowerLetter"/>
      <w:lvlText w:val="%3."/>
      <w:lvlJc w:val="left"/>
      <w:pPr>
        <w:tabs>
          <w:tab w:val="num" w:pos="2160"/>
        </w:tabs>
        <w:ind w:left="2160" w:hanging="360"/>
      </w:pPr>
    </w:lvl>
    <w:lvl w:ilvl="3" w:tplc="6DA61BE4" w:tentative="1">
      <w:start w:val="1"/>
      <w:numFmt w:val="lowerLetter"/>
      <w:lvlText w:val="%4."/>
      <w:lvlJc w:val="left"/>
      <w:pPr>
        <w:tabs>
          <w:tab w:val="num" w:pos="2880"/>
        </w:tabs>
        <w:ind w:left="2880" w:hanging="360"/>
      </w:pPr>
    </w:lvl>
    <w:lvl w:ilvl="4" w:tplc="51A82AE6" w:tentative="1">
      <w:start w:val="1"/>
      <w:numFmt w:val="lowerLetter"/>
      <w:lvlText w:val="%5."/>
      <w:lvlJc w:val="left"/>
      <w:pPr>
        <w:tabs>
          <w:tab w:val="num" w:pos="3600"/>
        </w:tabs>
        <w:ind w:left="3600" w:hanging="360"/>
      </w:pPr>
    </w:lvl>
    <w:lvl w:ilvl="5" w:tplc="1BB65F06" w:tentative="1">
      <w:start w:val="1"/>
      <w:numFmt w:val="lowerLetter"/>
      <w:lvlText w:val="%6."/>
      <w:lvlJc w:val="left"/>
      <w:pPr>
        <w:tabs>
          <w:tab w:val="num" w:pos="4320"/>
        </w:tabs>
        <w:ind w:left="4320" w:hanging="360"/>
      </w:pPr>
    </w:lvl>
    <w:lvl w:ilvl="6" w:tplc="F7DC46C6" w:tentative="1">
      <w:start w:val="1"/>
      <w:numFmt w:val="lowerLetter"/>
      <w:lvlText w:val="%7."/>
      <w:lvlJc w:val="left"/>
      <w:pPr>
        <w:tabs>
          <w:tab w:val="num" w:pos="5040"/>
        </w:tabs>
        <w:ind w:left="5040" w:hanging="360"/>
      </w:pPr>
    </w:lvl>
    <w:lvl w:ilvl="7" w:tplc="8CF059C6" w:tentative="1">
      <w:start w:val="1"/>
      <w:numFmt w:val="lowerLetter"/>
      <w:lvlText w:val="%8."/>
      <w:lvlJc w:val="left"/>
      <w:pPr>
        <w:tabs>
          <w:tab w:val="num" w:pos="5760"/>
        </w:tabs>
        <w:ind w:left="5760" w:hanging="360"/>
      </w:pPr>
    </w:lvl>
    <w:lvl w:ilvl="8" w:tplc="9288FF88" w:tentative="1">
      <w:start w:val="1"/>
      <w:numFmt w:val="lowerLetter"/>
      <w:lvlText w:val="%9."/>
      <w:lvlJc w:val="left"/>
      <w:pPr>
        <w:tabs>
          <w:tab w:val="num" w:pos="6480"/>
        </w:tabs>
        <w:ind w:left="6480" w:hanging="360"/>
      </w:pPr>
    </w:lvl>
  </w:abstractNum>
  <w:abstractNum w:abstractNumId="14" w15:restartNumberingAfterBreak="0">
    <w:nsid w:val="0D70383C"/>
    <w:multiLevelType w:val="hybridMultilevel"/>
    <w:tmpl w:val="405EA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A602FE"/>
    <w:multiLevelType w:val="hybridMultilevel"/>
    <w:tmpl w:val="E23EF2C0"/>
    <w:lvl w:ilvl="0" w:tplc="45B6B8E0">
      <w:start w:val="1"/>
      <w:numFmt w:val="bullet"/>
      <w:lvlText w:val=""/>
      <w:lvlPicBulletId w:val="0"/>
      <w:lvlJc w:val="left"/>
      <w:pPr>
        <w:tabs>
          <w:tab w:val="num" w:pos="720"/>
        </w:tabs>
        <w:ind w:left="720" w:hanging="360"/>
      </w:pPr>
      <w:rPr>
        <w:rFonts w:ascii="Symbol" w:hAnsi="Symbol" w:hint="default"/>
      </w:rPr>
    </w:lvl>
    <w:lvl w:ilvl="1" w:tplc="F91C6258">
      <w:start w:val="1"/>
      <w:numFmt w:val="bullet"/>
      <w:lvlText w:val=""/>
      <w:lvlJc w:val="left"/>
      <w:pPr>
        <w:tabs>
          <w:tab w:val="num" w:pos="1440"/>
        </w:tabs>
        <w:ind w:left="1440" w:hanging="360"/>
      </w:pPr>
      <w:rPr>
        <w:rFonts w:ascii="Symbol" w:hAnsi="Symbol" w:hint="default"/>
      </w:rPr>
    </w:lvl>
    <w:lvl w:ilvl="2" w:tplc="451E0D78">
      <w:start w:val="1"/>
      <w:numFmt w:val="bullet"/>
      <w:lvlText w:val=""/>
      <w:lvlJc w:val="left"/>
      <w:pPr>
        <w:tabs>
          <w:tab w:val="num" w:pos="2160"/>
        </w:tabs>
        <w:ind w:left="2160" w:hanging="360"/>
      </w:pPr>
      <w:rPr>
        <w:rFonts w:ascii="Symbol" w:hAnsi="Symbol" w:hint="default"/>
      </w:rPr>
    </w:lvl>
    <w:lvl w:ilvl="3" w:tplc="3064C9EC">
      <w:start w:val="1"/>
      <w:numFmt w:val="bullet"/>
      <w:lvlText w:val=""/>
      <w:lvlJc w:val="left"/>
      <w:pPr>
        <w:tabs>
          <w:tab w:val="num" w:pos="2880"/>
        </w:tabs>
        <w:ind w:left="2880" w:hanging="360"/>
      </w:pPr>
      <w:rPr>
        <w:rFonts w:ascii="Symbol" w:hAnsi="Symbol" w:hint="default"/>
      </w:rPr>
    </w:lvl>
    <w:lvl w:ilvl="4" w:tplc="EEC47696">
      <w:start w:val="1"/>
      <w:numFmt w:val="bullet"/>
      <w:lvlText w:val=""/>
      <w:lvlJc w:val="left"/>
      <w:pPr>
        <w:tabs>
          <w:tab w:val="num" w:pos="3600"/>
        </w:tabs>
        <w:ind w:left="3600" w:hanging="360"/>
      </w:pPr>
      <w:rPr>
        <w:rFonts w:ascii="Symbol" w:hAnsi="Symbol" w:hint="default"/>
      </w:rPr>
    </w:lvl>
    <w:lvl w:ilvl="5" w:tplc="C65C564A">
      <w:start w:val="1"/>
      <w:numFmt w:val="bullet"/>
      <w:lvlText w:val=""/>
      <w:lvlJc w:val="left"/>
      <w:pPr>
        <w:tabs>
          <w:tab w:val="num" w:pos="4320"/>
        </w:tabs>
        <w:ind w:left="4320" w:hanging="360"/>
      </w:pPr>
      <w:rPr>
        <w:rFonts w:ascii="Symbol" w:hAnsi="Symbol" w:hint="default"/>
      </w:rPr>
    </w:lvl>
    <w:lvl w:ilvl="6" w:tplc="B9208B50">
      <w:start w:val="1"/>
      <w:numFmt w:val="bullet"/>
      <w:lvlText w:val=""/>
      <w:lvlJc w:val="left"/>
      <w:pPr>
        <w:tabs>
          <w:tab w:val="num" w:pos="5040"/>
        </w:tabs>
        <w:ind w:left="5040" w:hanging="360"/>
      </w:pPr>
      <w:rPr>
        <w:rFonts w:ascii="Symbol" w:hAnsi="Symbol" w:hint="default"/>
      </w:rPr>
    </w:lvl>
    <w:lvl w:ilvl="7" w:tplc="10A633F8">
      <w:start w:val="1"/>
      <w:numFmt w:val="bullet"/>
      <w:lvlText w:val=""/>
      <w:lvlJc w:val="left"/>
      <w:pPr>
        <w:tabs>
          <w:tab w:val="num" w:pos="5760"/>
        </w:tabs>
        <w:ind w:left="5760" w:hanging="360"/>
      </w:pPr>
      <w:rPr>
        <w:rFonts w:ascii="Symbol" w:hAnsi="Symbol" w:hint="default"/>
      </w:rPr>
    </w:lvl>
    <w:lvl w:ilvl="8" w:tplc="1B6A04E4">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4A24311"/>
    <w:multiLevelType w:val="hybridMultilevel"/>
    <w:tmpl w:val="60EEF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4E849C9"/>
    <w:multiLevelType w:val="hybridMultilevel"/>
    <w:tmpl w:val="EF54E94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BB2C53"/>
    <w:multiLevelType w:val="hybridMultilevel"/>
    <w:tmpl w:val="405A5006"/>
    <w:lvl w:ilvl="0" w:tplc="E75E7D02">
      <w:start w:val="1"/>
      <w:numFmt w:val="decimal"/>
      <w:lvlText w:val="2.%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A01596F"/>
    <w:multiLevelType w:val="hybridMultilevel"/>
    <w:tmpl w:val="64A4826A"/>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0" w15:restartNumberingAfterBreak="0">
    <w:nsid w:val="1BA54694"/>
    <w:multiLevelType w:val="hybridMultilevel"/>
    <w:tmpl w:val="751E62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4412C9FA">
      <w:start w:val="1"/>
      <w:numFmt w:val="lowerLetter"/>
      <w:lvlText w:val="(%3)"/>
      <w:lvlJc w:val="left"/>
      <w:pPr>
        <w:ind w:left="1800" w:hanging="360"/>
      </w:pPr>
      <w:rPr>
        <w:rFont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06A3796"/>
    <w:multiLevelType w:val="hybridMultilevel"/>
    <w:tmpl w:val="892843A8"/>
    <w:lvl w:ilvl="0" w:tplc="1FB6FFE4">
      <w:start w:val="1"/>
      <w:numFmt w:val="bullet"/>
      <w:lvlText w:val="&gt;"/>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ED3FDD"/>
    <w:multiLevelType w:val="hybridMultilevel"/>
    <w:tmpl w:val="837CA78C"/>
    <w:lvl w:ilvl="0" w:tplc="4412C9FA">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23" w15:restartNumberingAfterBreak="0">
    <w:nsid w:val="2A3728DA"/>
    <w:multiLevelType w:val="hybridMultilevel"/>
    <w:tmpl w:val="42F4F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D3594D"/>
    <w:multiLevelType w:val="hybridMultilevel"/>
    <w:tmpl w:val="07EC3F02"/>
    <w:lvl w:ilvl="0" w:tplc="63ECED2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ED97CA7"/>
    <w:multiLevelType w:val="hybridMultilevel"/>
    <w:tmpl w:val="EEA86308"/>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6"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27" w15:restartNumberingAfterBreak="0">
    <w:nsid w:val="30823385"/>
    <w:multiLevelType w:val="hybridMultilevel"/>
    <w:tmpl w:val="2FA06F20"/>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8" w15:restartNumberingAfterBreak="0">
    <w:nsid w:val="31293571"/>
    <w:multiLevelType w:val="hybridMultilevel"/>
    <w:tmpl w:val="EA901EA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323254ED"/>
    <w:multiLevelType w:val="hybridMultilevel"/>
    <w:tmpl w:val="BE3E036E"/>
    <w:lvl w:ilvl="0" w:tplc="D0AAC94C">
      <w:start w:val="1"/>
      <w:numFmt w:val="bullet"/>
      <w:lvlText w:val=""/>
      <w:lvlPicBulletId w:val="1"/>
      <w:lvlJc w:val="left"/>
      <w:pPr>
        <w:tabs>
          <w:tab w:val="num" w:pos="720"/>
        </w:tabs>
        <w:ind w:left="720" w:hanging="360"/>
      </w:pPr>
      <w:rPr>
        <w:rFonts w:ascii="Symbol" w:hAnsi="Symbol" w:hint="default"/>
      </w:rPr>
    </w:lvl>
    <w:lvl w:ilvl="1" w:tplc="08668CCA">
      <w:start w:val="1"/>
      <w:numFmt w:val="bullet"/>
      <w:lvlText w:val=""/>
      <w:lvlJc w:val="left"/>
      <w:pPr>
        <w:tabs>
          <w:tab w:val="num" w:pos="1440"/>
        </w:tabs>
        <w:ind w:left="1440" w:hanging="360"/>
      </w:pPr>
      <w:rPr>
        <w:rFonts w:ascii="Symbol" w:hAnsi="Symbol" w:hint="default"/>
      </w:rPr>
    </w:lvl>
    <w:lvl w:ilvl="2" w:tplc="ADE8370E">
      <w:start w:val="1"/>
      <w:numFmt w:val="bullet"/>
      <w:lvlText w:val=""/>
      <w:lvlJc w:val="left"/>
      <w:pPr>
        <w:tabs>
          <w:tab w:val="num" w:pos="2160"/>
        </w:tabs>
        <w:ind w:left="2160" w:hanging="360"/>
      </w:pPr>
      <w:rPr>
        <w:rFonts w:ascii="Symbol" w:hAnsi="Symbol" w:hint="default"/>
      </w:rPr>
    </w:lvl>
    <w:lvl w:ilvl="3" w:tplc="86702092">
      <w:start w:val="1"/>
      <w:numFmt w:val="bullet"/>
      <w:lvlText w:val=""/>
      <w:lvlJc w:val="left"/>
      <w:pPr>
        <w:tabs>
          <w:tab w:val="num" w:pos="2880"/>
        </w:tabs>
        <w:ind w:left="2880" w:hanging="360"/>
      </w:pPr>
      <w:rPr>
        <w:rFonts w:ascii="Symbol" w:hAnsi="Symbol" w:hint="default"/>
      </w:rPr>
    </w:lvl>
    <w:lvl w:ilvl="4" w:tplc="CAE2CFD0">
      <w:start w:val="1"/>
      <w:numFmt w:val="bullet"/>
      <w:lvlText w:val=""/>
      <w:lvlJc w:val="left"/>
      <w:pPr>
        <w:tabs>
          <w:tab w:val="num" w:pos="3600"/>
        </w:tabs>
        <w:ind w:left="3600" w:hanging="360"/>
      </w:pPr>
      <w:rPr>
        <w:rFonts w:ascii="Symbol" w:hAnsi="Symbol" w:hint="default"/>
      </w:rPr>
    </w:lvl>
    <w:lvl w:ilvl="5" w:tplc="D850F21A">
      <w:start w:val="1"/>
      <w:numFmt w:val="bullet"/>
      <w:lvlText w:val=""/>
      <w:lvlJc w:val="left"/>
      <w:pPr>
        <w:tabs>
          <w:tab w:val="num" w:pos="4320"/>
        </w:tabs>
        <w:ind w:left="4320" w:hanging="360"/>
      </w:pPr>
      <w:rPr>
        <w:rFonts w:ascii="Symbol" w:hAnsi="Symbol" w:hint="default"/>
      </w:rPr>
    </w:lvl>
    <w:lvl w:ilvl="6" w:tplc="6554D772">
      <w:start w:val="1"/>
      <w:numFmt w:val="bullet"/>
      <w:lvlText w:val=""/>
      <w:lvlJc w:val="left"/>
      <w:pPr>
        <w:tabs>
          <w:tab w:val="num" w:pos="5040"/>
        </w:tabs>
        <w:ind w:left="5040" w:hanging="360"/>
      </w:pPr>
      <w:rPr>
        <w:rFonts w:ascii="Symbol" w:hAnsi="Symbol" w:hint="default"/>
      </w:rPr>
    </w:lvl>
    <w:lvl w:ilvl="7" w:tplc="BDF4B4EA">
      <w:start w:val="1"/>
      <w:numFmt w:val="bullet"/>
      <w:lvlText w:val=""/>
      <w:lvlJc w:val="left"/>
      <w:pPr>
        <w:tabs>
          <w:tab w:val="num" w:pos="5760"/>
        </w:tabs>
        <w:ind w:left="5760" w:hanging="360"/>
      </w:pPr>
      <w:rPr>
        <w:rFonts w:ascii="Symbol" w:hAnsi="Symbol" w:hint="default"/>
      </w:rPr>
    </w:lvl>
    <w:lvl w:ilvl="8" w:tplc="FEE40804">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2F11044"/>
    <w:multiLevelType w:val="hybridMultilevel"/>
    <w:tmpl w:val="83D89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48E6E8D"/>
    <w:multiLevelType w:val="hybridMultilevel"/>
    <w:tmpl w:val="2FA06F20"/>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2" w15:restartNumberingAfterBreak="0">
    <w:nsid w:val="35FD6BC3"/>
    <w:multiLevelType w:val="hybridMultilevel"/>
    <w:tmpl w:val="CE5A132C"/>
    <w:lvl w:ilvl="0" w:tplc="0C090001">
      <w:start w:val="1"/>
      <w:numFmt w:val="bullet"/>
      <w:lvlText w:val=""/>
      <w:lvlJc w:val="left"/>
      <w:pPr>
        <w:ind w:left="1215" w:hanging="360"/>
      </w:pPr>
      <w:rPr>
        <w:rFonts w:ascii="Symbol" w:hAnsi="Symbol" w:hint="default"/>
      </w:rPr>
    </w:lvl>
    <w:lvl w:ilvl="1" w:tplc="0C090003" w:tentative="1">
      <w:start w:val="1"/>
      <w:numFmt w:val="bullet"/>
      <w:lvlText w:val="o"/>
      <w:lvlJc w:val="left"/>
      <w:pPr>
        <w:ind w:left="1935" w:hanging="360"/>
      </w:pPr>
      <w:rPr>
        <w:rFonts w:ascii="Courier New" w:hAnsi="Courier New" w:cs="Courier New" w:hint="default"/>
      </w:rPr>
    </w:lvl>
    <w:lvl w:ilvl="2" w:tplc="0C090005" w:tentative="1">
      <w:start w:val="1"/>
      <w:numFmt w:val="bullet"/>
      <w:lvlText w:val=""/>
      <w:lvlJc w:val="left"/>
      <w:pPr>
        <w:ind w:left="2655" w:hanging="360"/>
      </w:pPr>
      <w:rPr>
        <w:rFonts w:ascii="Wingdings" w:hAnsi="Wingdings" w:hint="default"/>
      </w:rPr>
    </w:lvl>
    <w:lvl w:ilvl="3" w:tplc="0C090001" w:tentative="1">
      <w:start w:val="1"/>
      <w:numFmt w:val="bullet"/>
      <w:lvlText w:val=""/>
      <w:lvlJc w:val="left"/>
      <w:pPr>
        <w:ind w:left="3375" w:hanging="360"/>
      </w:pPr>
      <w:rPr>
        <w:rFonts w:ascii="Symbol" w:hAnsi="Symbol" w:hint="default"/>
      </w:rPr>
    </w:lvl>
    <w:lvl w:ilvl="4" w:tplc="0C090003" w:tentative="1">
      <w:start w:val="1"/>
      <w:numFmt w:val="bullet"/>
      <w:lvlText w:val="o"/>
      <w:lvlJc w:val="left"/>
      <w:pPr>
        <w:ind w:left="4095" w:hanging="360"/>
      </w:pPr>
      <w:rPr>
        <w:rFonts w:ascii="Courier New" w:hAnsi="Courier New" w:cs="Courier New" w:hint="default"/>
      </w:rPr>
    </w:lvl>
    <w:lvl w:ilvl="5" w:tplc="0C090005" w:tentative="1">
      <w:start w:val="1"/>
      <w:numFmt w:val="bullet"/>
      <w:lvlText w:val=""/>
      <w:lvlJc w:val="left"/>
      <w:pPr>
        <w:ind w:left="4815" w:hanging="360"/>
      </w:pPr>
      <w:rPr>
        <w:rFonts w:ascii="Wingdings" w:hAnsi="Wingdings" w:hint="default"/>
      </w:rPr>
    </w:lvl>
    <w:lvl w:ilvl="6" w:tplc="0C090001" w:tentative="1">
      <w:start w:val="1"/>
      <w:numFmt w:val="bullet"/>
      <w:lvlText w:val=""/>
      <w:lvlJc w:val="left"/>
      <w:pPr>
        <w:ind w:left="5535" w:hanging="360"/>
      </w:pPr>
      <w:rPr>
        <w:rFonts w:ascii="Symbol" w:hAnsi="Symbol" w:hint="default"/>
      </w:rPr>
    </w:lvl>
    <w:lvl w:ilvl="7" w:tplc="0C090003" w:tentative="1">
      <w:start w:val="1"/>
      <w:numFmt w:val="bullet"/>
      <w:lvlText w:val="o"/>
      <w:lvlJc w:val="left"/>
      <w:pPr>
        <w:ind w:left="6255" w:hanging="360"/>
      </w:pPr>
      <w:rPr>
        <w:rFonts w:ascii="Courier New" w:hAnsi="Courier New" w:cs="Courier New" w:hint="default"/>
      </w:rPr>
    </w:lvl>
    <w:lvl w:ilvl="8" w:tplc="0C090005" w:tentative="1">
      <w:start w:val="1"/>
      <w:numFmt w:val="bullet"/>
      <w:lvlText w:val=""/>
      <w:lvlJc w:val="left"/>
      <w:pPr>
        <w:ind w:left="6975" w:hanging="360"/>
      </w:pPr>
      <w:rPr>
        <w:rFonts w:ascii="Wingdings" w:hAnsi="Wingdings" w:hint="default"/>
      </w:rPr>
    </w:lvl>
  </w:abstractNum>
  <w:abstractNum w:abstractNumId="33" w15:restartNumberingAfterBreak="0">
    <w:nsid w:val="37086907"/>
    <w:multiLevelType w:val="multilevel"/>
    <w:tmpl w:val="5C382F8A"/>
    <w:lvl w:ilvl="0">
      <w:start w:val="1"/>
      <w:numFmt w:val="decimal"/>
      <w:pStyle w:val="Partheading"/>
      <w:suff w:val="space"/>
      <w:lvlText w:val="Part %1:"/>
      <w:lvlJc w:val="left"/>
      <w:pPr>
        <w:ind w:left="0" w:firstLine="0"/>
      </w:pPr>
      <w:rPr>
        <w:rFonts w:hint="default"/>
      </w:rPr>
    </w:lvl>
    <w:lvl w:ilvl="1">
      <w:start w:val="1"/>
      <w:numFmt w:val="decimal"/>
      <w:pStyle w:val="Numberedheading"/>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3732289B"/>
    <w:multiLevelType w:val="hybridMultilevel"/>
    <w:tmpl w:val="03AC4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932EF3"/>
    <w:multiLevelType w:val="hybridMultilevel"/>
    <w:tmpl w:val="AC667B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9EA7495"/>
    <w:multiLevelType w:val="hybridMultilevel"/>
    <w:tmpl w:val="6F9078D0"/>
    <w:lvl w:ilvl="0" w:tplc="61A80806">
      <w:start w:val="1"/>
      <w:numFmt w:val="bullet"/>
      <w:lvlText w:val=""/>
      <w:lvlPicBulletId w:val="2"/>
      <w:lvlJc w:val="left"/>
      <w:pPr>
        <w:tabs>
          <w:tab w:val="num" w:pos="720"/>
        </w:tabs>
        <w:ind w:left="720" w:hanging="360"/>
      </w:pPr>
      <w:rPr>
        <w:rFonts w:ascii="Symbol" w:hAnsi="Symbol" w:hint="default"/>
      </w:rPr>
    </w:lvl>
    <w:lvl w:ilvl="1" w:tplc="383A5E84">
      <w:start w:val="1"/>
      <w:numFmt w:val="bullet"/>
      <w:lvlText w:val=""/>
      <w:lvlJc w:val="left"/>
      <w:pPr>
        <w:tabs>
          <w:tab w:val="num" w:pos="1440"/>
        </w:tabs>
        <w:ind w:left="1440" w:hanging="360"/>
      </w:pPr>
      <w:rPr>
        <w:rFonts w:ascii="Symbol" w:hAnsi="Symbol" w:hint="default"/>
      </w:rPr>
    </w:lvl>
    <w:lvl w:ilvl="2" w:tplc="5524BABA">
      <w:start w:val="1"/>
      <w:numFmt w:val="bullet"/>
      <w:lvlText w:val=""/>
      <w:lvlJc w:val="left"/>
      <w:pPr>
        <w:tabs>
          <w:tab w:val="num" w:pos="2160"/>
        </w:tabs>
        <w:ind w:left="2160" w:hanging="360"/>
      </w:pPr>
      <w:rPr>
        <w:rFonts w:ascii="Symbol" w:hAnsi="Symbol" w:hint="default"/>
      </w:rPr>
    </w:lvl>
    <w:lvl w:ilvl="3" w:tplc="133E9788">
      <w:start w:val="1"/>
      <w:numFmt w:val="bullet"/>
      <w:lvlText w:val=""/>
      <w:lvlJc w:val="left"/>
      <w:pPr>
        <w:tabs>
          <w:tab w:val="num" w:pos="2880"/>
        </w:tabs>
        <w:ind w:left="2880" w:hanging="360"/>
      </w:pPr>
      <w:rPr>
        <w:rFonts w:ascii="Symbol" w:hAnsi="Symbol" w:hint="default"/>
      </w:rPr>
    </w:lvl>
    <w:lvl w:ilvl="4" w:tplc="A6B86E04">
      <w:start w:val="1"/>
      <w:numFmt w:val="bullet"/>
      <w:lvlText w:val=""/>
      <w:lvlJc w:val="left"/>
      <w:pPr>
        <w:tabs>
          <w:tab w:val="num" w:pos="3600"/>
        </w:tabs>
        <w:ind w:left="3600" w:hanging="360"/>
      </w:pPr>
      <w:rPr>
        <w:rFonts w:ascii="Symbol" w:hAnsi="Symbol" w:hint="default"/>
      </w:rPr>
    </w:lvl>
    <w:lvl w:ilvl="5" w:tplc="0E9E4652">
      <w:start w:val="1"/>
      <w:numFmt w:val="bullet"/>
      <w:lvlText w:val=""/>
      <w:lvlJc w:val="left"/>
      <w:pPr>
        <w:tabs>
          <w:tab w:val="num" w:pos="4320"/>
        </w:tabs>
        <w:ind w:left="4320" w:hanging="360"/>
      </w:pPr>
      <w:rPr>
        <w:rFonts w:ascii="Symbol" w:hAnsi="Symbol" w:hint="default"/>
      </w:rPr>
    </w:lvl>
    <w:lvl w:ilvl="6" w:tplc="4DE6DF82">
      <w:start w:val="1"/>
      <w:numFmt w:val="bullet"/>
      <w:lvlText w:val=""/>
      <w:lvlJc w:val="left"/>
      <w:pPr>
        <w:tabs>
          <w:tab w:val="num" w:pos="5040"/>
        </w:tabs>
        <w:ind w:left="5040" w:hanging="360"/>
      </w:pPr>
      <w:rPr>
        <w:rFonts w:ascii="Symbol" w:hAnsi="Symbol" w:hint="default"/>
      </w:rPr>
    </w:lvl>
    <w:lvl w:ilvl="7" w:tplc="109444B8">
      <w:start w:val="1"/>
      <w:numFmt w:val="bullet"/>
      <w:lvlText w:val=""/>
      <w:lvlJc w:val="left"/>
      <w:pPr>
        <w:tabs>
          <w:tab w:val="num" w:pos="5760"/>
        </w:tabs>
        <w:ind w:left="5760" w:hanging="360"/>
      </w:pPr>
      <w:rPr>
        <w:rFonts w:ascii="Symbol" w:hAnsi="Symbol" w:hint="default"/>
      </w:rPr>
    </w:lvl>
    <w:lvl w:ilvl="8" w:tplc="CDF4A4E4">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3BD9414B"/>
    <w:multiLevelType w:val="hybridMultilevel"/>
    <w:tmpl w:val="3BC68F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1B915F4"/>
    <w:multiLevelType w:val="multilevel"/>
    <w:tmpl w:val="3634CD38"/>
    <w:lvl w:ilvl="0">
      <w:start w:val="1"/>
      <w:numFmt w:val="decimal"/>
      <w:pStyle w:val="Heading1"/>
      <w:lvlText w:val="%1"/>
      <w:lvlJc w:val="left"/>
      <w:pPr>
        <w:ind w:left="431" w:hanging="43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31" w:hanging="431"/>
      </w:pPr>
      <w:rPr>
        <w:rFonts w:hint="default"/>
      </w:rPr>
    </w:lvl>
    <w:lvl w:ilvl="2">
      <w:start w:val="1"/>
      <w:numFmt w:val="decimal"/>
      <w:pStyle w:val="Heading3"/>
      <w:lvlText w:val="%1.%2.%3"/>
      <w:lvlJc w:val="left"/>
      <w:pPr>
        <w:ind w:left="431" w:hanging="431"/>
      </w:pPr>
      <w:rPr>
        <w:rFonts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pStyle w:val="Heading7"/>
      <w:lvlText w:val="%1.%2.%3.%4.%5.%6.%7"/>
      <w:lvlJc w:val="left"/>
      <w:pPr>
        <w:ind w:left="431" w:hanging="431"/>
      </w:pPr>
      <w:rPr>
        <w:rFonts w:hint="default"/>
      </w:rPr>
    </w:lvl>
    <w:lvl w:ilvl="7">
      <w:start w:val="1"/>
      <w:numFmt w:val="decimal"/>
      <w:pStyle w:val="Heading8"/>
      <w:lvlText w:val="%1.%2.%3.%4.%5.%6.%7.%8"/>
      <w:lvlJc w:val="left"/>
      <w:pPr>
        <w:ind w:left="431" w:hanging="431"/>
      </w:pPr>
      <w:rPr>
        <w:rFonts w:hint="default"/>
      </w:rPr>
    </w:lvl>
    <w:lvl w:ilvl="8">
      <w:start w:val="1"/>
      <w:numFmt w:val="decimal"/>
      <w:pStyle w:val="Heading9"/>
      <w:lvlText w:val="%1.%2.%3.%4.%5.%6.%7.%8.%9"/>
      <w:lvlJc w:val="left"/>
      <w:pPr>
        <w:ind w:left="431" w:hanging="431"/>
      </w:pPr>
      <w:rPr>
        <w:rFonts w:hint="default"/>
      </w:rPr>
    </w:lvl>
  </w:abstractNum>
  <w:abstractNum w:abstractNumId="39" w15:restartNumberingAfterBreak="0">
    <w:nsid w:val="42C71C61"/>
    <w:multiLevelType w:val="hybridMultilevel"/>
    <w:tmpl w:val="BEB85300"/>
    <w:lvl w:ilvl="0" w:tplc="83A243B0">
      <w:start w:val="1"/>
      <w:numFmt w:val="bullet"/>
      <w:lvlText w:val=""/>
      <w:lvlPicBulletId w:val="5"/>
      <w:lvlJc w:val="left"/>
      <w:pPr>
        <w:tabs>
          <w:tab w:val="num" w:pos="720"/>
        </w:tabs>
        <w:ind w:left="720" w:hanging="360"/>
      </w:pPr>
      <w:rPr>
        <w:rFonts w:ascii="Symbol" w:hAnsi="Symbol" w:hint="default"/>
      </w:rPr>
    </w:lvl>
    <w:lvl w:ilvl="1" w:tplc="0E0AD852">
      <w:start w:val="1"/>
      <w:numFmt w:val="bullet"/>
      <w:lvlText w:val=""/>
      <w:lvlJc w:val="left"/>
      <w:pPr>
        <w:tabs>
          <w:tab w:val="num" w:pos="1440"/>
        </w:tabs>
        <w:ind w:left="1440" w:hanging="360"/>
      </w:pPr>
      <w:rPr>
        <w:rFonts w:ascii="Symbol" w:hAnsi="Symbol" w:hint="default"/>
      </w:rPr>
    </w:lvl>
    <w:lvl w:ilvl="2" w:tplc="42B82100">
      <w:start w:val="1"/>
      <w:numFmt w:val="bullet"/>
      <w:lvlText w:val=""/>
      <w:lvlJc w:val="left"/>
      <w:pPr>
        <w:tabs>
          <w:tab w:val="num" w:pos="2160"/>
        </w:tabs>
        <w:ind w:left="2160" w:hanging="360"/>
      </w:pPr>
      <w:rPr>
        <w:rFonts w:ascii="Symbol" w:hAnsi="Symbol" w:hint="default"/>
      </w:rPr>
    </w:lvl>
    <w:lvl w:ilvl="3" w:tplc="793A3E30">
      <w:start w:val="1"/>
      <w:numFmt w:val="bullet"/>
      <w:lvlText w:val=""/>
      <w:lvlJc w:val="left"/>
      <w:pPr>
        <w:tabs>
          <w:tab w:val="num" w:pos="2880"/>
        </w:tabs>
        <w:ind w:left="2880" w:hanging="360"/>
      </w:pPr>
      <w:rPr>
        <w:rFonts w:ascii="Symbol" w:hAnsi="Symbol" w:hint="default"/>
      </w:rPr>
    </w:lvl>
    <w:lvl w:ilvl="4" w:tplc="3A2C1D96">
      <w:start w:val="1"/>
      <w:numFmt w:val="bullet"/>
      <w:lvlText w:val=""/>
      <w:lvlJc w:val="left"/>
      <w:pPr>
        <w:tabs>
          <w:tab w:val="num" w:pos="3600"/>
        </w:tabs>
        <w:ind w:left="3600" w:hanging="360"/>
      </w:pPr>
      <w:rPr>
        <w:rFonts w:ascii="Symbol" w:hAnsi="Symbol" w:hint="default"/>
      </w:rPr>
    </w:lvl>
    <w:lvl w:ilvl="5" w:tplc="78363F68">
      <w:start w:val="1"/>
      <w:numFmt w:val="bullet"/>
      <w:lvlText w:val=""/>
      <w:lvlJc w:val="left"/>
      <w:pPr>
        <w:tabs>
          <w:tab w:val="num" w:pos="4320"/>
        </w:tabs>
        <w:ind w:left="4320" w:hanging="360"/>
      </w:pPr>
      <w:rPr>
        <w:rFonts w:ascii="Symbol" w:hAnsi="Symbol" w:hint="default"/>
      </w:rPr>
    </w:lvl>
    <w:lvl w:ilvl="6" w:tplc="CB18F1B2">
      <w:start w:val="1"/>
      <w:numFmt w:val="bullet"/>
      <w:lvlText w:val=""/>
      <w:lvlJc w:val="left"/>
      <w:pPr>
        <w:tabs>
          <w:tab w:val="num" w:pos="5040"/>
        </w:tabs>
        <w:ind w:left="5040" w:hanging="360"/>
      </w:pPr>
      <w:rPr>
        <w:rFonts w:ascii="Symbol" w:hAnsi="Symbol" w:hint="default"/>
      </w:rPr>
    </w:lvl>
    <w:lvl w:ilvl="7" w:tplc="C9AC4BB6">
      <w:start w:val="1"/>
      <w:numFmt w:val="bullet"/>
      <w:lvlText w:val=""/>
      <w:lvlJc w:val="left"/>
      <w:pPr>
        <w:tabs>
          <w:tab w:val="num" w:pos="5760"/>
        </w:tabs>
        <w:ind w:left="5760" w:hanging="360"/>
      </w:pPr>
      <w:rPr>
        <w:rFonts w:ascii="Symbol" w:hAnsi="Symbol" w:hint="default"/>
      </w:rPr>
    </w:lvl>
    <w:lvl w:ilvl="8" w:tplc="D38430E2">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460438F6"/>
    <w:multiLevelType w:val="hybridMultilevel"/>
    <w:tmpl w:val="EEB087E2"/>
    <w:lvl w:ilvl="0" w:tplc="8B42E24E">
      <w:start w:val="1"/>
      <w:numFmt w:val="bullet"/>
      <w:lvlText w:val=""/>
      <w:lvlPicBulletId w:val="6"/>
      <w:lvlJc w:val="left"/>
      <w:pPr>
        <w:tabs>
          <w:tab w:val="num" w:pos="720"/>
        </w:tabs>
        <w:ind w:left="720" w:hanging="360"/>
      </w:pPr>
      <w:rPr>
        <w:rFonts w:ascii="Symbol" w:hAnsi="Symbol" w:hint="default"/>
      </w:rPr>
    </w:lvl>
    <w:lvl w:ilvl="1" w:tplc="718A2620">
      <w:start w:val="1"/>
      <w:numFmt w:val="bullet"/>
      <w:lvlText w:val=""/>
      <w:lvlJc w:val="left"/>
      <w:pPr>
        <w:tabs>
          <w:tab w:val="num" w:pos="1440"/>
        </w:tabs>
        <w:ind w:left="1440" w:hanging="360"/>
      </w:pPr>
      <w:rPr>
        <w:rFonts w:ascii="Symbol" w:hAnsi="Symbol" w:hint="default"/>
      </w:rPr>
    </w:lvl>
    <w:lvl w:ilvl="2" w:tplc="049892B6">
      <w:start w:val="1"/>
      <w:numFmt w:val="bullet"/>
      <w:lvlText w:val=""/>
      <w:lvlJc w:val="left"/>
      <w:pPr>
        <w:tabs>
          <w:tab w:val="num" w:pos="2160"/>
        </w:tabs>
        <w:ind w:left="2160" w:hanging="360"/>
      </w:pPr>
      <w:rPr>
        <w:rFonts w:ascii="Symbol" w:hAnsi="Symbol" w:hint="default"/>
      </w:rPr>
    </w:lvl>
    <w:lvl w:ilvl="3" w:tplc="BA1A10A4">
      <w:start w:val="1"/>
      <w:numFmt w:val="bullet"/>
      <w:lvlText w:val=""/>
      <w:lvlJc w:val="left"/>
      <w:pPr>
        <w:tabs>
          <w:tab w:val="num" w:pos="2880"/>
        </w:tabs>
        <w:ind w:left="2880" w:hanging="360"/>
      </w:pPr>
      <w:rPr>
        <w:rFonts w:ascii="Symbol" w:hAnsi="Symbol" w:hint="default"/>
      </w:rPr>
    </w:lvl>
    <w:lvl w:ilvl="4" w:tplc="C114B828">
      <w:start w:val="1"/>
      <w:numFmt w:val="bullet"/>
      <w:lvlText w:val=""/>
      <w:lvlJc w:val="left"/>
      <w:pPr>
        <w:tabs>
          <w:tab w:val="num" w:pos="3600"/>
        </w:tabs>
        <w:ind w:left="3600" w:hanging="360"/>
      </w:pPr>
      <w:rPr>
        <w:rFonts w:ascii="Symbol" w:hAnsi="Symbol" w:hint="default"/>
      </w:rPr>
    </w:lvl>
    <w:lvl w:ilvl="5" w:tplc="76646606">
      <w:start w:val="1"/>
      <w:numFmt w:val="bullet"/>
      <w:lvlText w:val=""/>
      <w:lvlJc w:val="left"/>
      <w:pPr>
        <w:tabs>
          <w:tab w:val="num" w:pos="4320"/>
        </w:tabs>
        <w:ind w:left="4320" w:hanging="360"/>
      </w:pPr>
      <w:rPr>
        <w:rFonts w:ascii="Symbol" w:hAnsi="Symbol" w:hint="default"/>
      </w:rPr>
    </w:lvl>
    <w:lvl w:ilvl="6" w:tplc="6E7610A0">
      <w:start w:val="1"/>
      <w:numFmt w:val="bullet"/>
      <w:lvlText w:val=""/>
      <w:lvlJc w:val="left"/>
      <w:pPr>
        <w:tabs>
          <w:tab w:val="num" w:pos="5040"/>
        </w:tabs>
        <w:ind w:left="5040" w:hanging="360"/>
      </w:pPr>
      <w:rPr>
        <w:rFonts w:ascii="Symbol" w:hAnsi="Symbol" w:hint="default"/>
      </w:rPr>
    </w:lvl>
    <w:lvl w:ilvl="7" w:tplc="1E82A46E">
      <w:start w:val="1"/>
      <w:numFmt w:val="bullet"/>
      <w:lvlText w:val=""/>
      <w:lvlJc w:val="left"/>
      <w:pPr>
        <w:tabs>
          <w:tab w:val="num" w:pos="5760"/>
        </w:tabs>
        <w:ind w:left="5760" w:hanging="360"/>
      </w:pPr>
      <w:rPr>
        <w:rFonts w:ascii="Symbol" w:hAnsi="Symbol" w:hint="default"/>
      </w:rPr>
    </w:lvl>
    <w:lvl w:ilvl="8" w:tplc="880EF16C">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47E6163C"/>
    <w:multiLevelType w:val="multilevel"/>
    <w:tmpl w:val="7E1EB85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C577B9A"/>
    <w:multiLevelType w:val="hybridMultilevel"/>
    <w:tmpl w:val="AF6C4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EF27227"/>
    <w:multiLevelType w:val="hybridMultilevel"/>
    <w:tmpl w:val="03202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F5534BE"/>
    <w:multiLevelType w:val="hybridMultilevel"/>
    <w:tmpl w:val="3E7C8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26B086A"/>
    <w:multiLevelType w:val="hybridMultilevel"/>
    <w:tmpl w:val="0BCAB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5AA21F0"/>
    <w:multiLevelType w:val="hybridMultilevel"/>
    <w:tmpl w:val="4DDA0712"/>
    <w:lvl w:ilvl="0" w:tplc="59A6BED4">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EB6034"/>
    <w:multiLevelType w:val="hybridMultilevel"/>
    <w:tmpl w:val="06A8C4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7DA082E"/>
    <w:multiLevelType w:val="hybridMultilevel"/>
    <w:tmpl w:val="995015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EA52AF7"/>
    <w:multiLevelType w:val="hybridMultilevel"/>
    <w:tmpl w:val="0F7A375C"/>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50" w15:restartNumberingAfterBreak="0">
    <w:nsid w:val="60015FDB"/>
    <w:multiLevelType w:val="hybridMultilevel"/>
    <w:tmpl w:val="5F04BB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1CF09F3"/>
    <w:multiLevelType w:val="hybridMultilevel"/>
    <w:tmpl w:val="C94E5414"/>
    <w:lvl w:ilvl="0" w:tplc="FE84A9C6">
      <w:start w:val="1"/>
      <w:numFmt w:val="bullet"/>
      <w:lvlText w:val=""/>
      <w:lvlPicBulletId w:val="3"/>
      <w:lvlJc w:val="left"/>
      <w:pPr>
        <w:tabs>
          <w:tab w:val="num" w:pos="720"/>
        </w:tabs>
        <w:ind w:left="720" w:hanging="360"/>
      </w:pPr>
      <w:rPr>
        <w:rFonts w:ascii="Symbol" w:hAnsi="Symbol" w:hint="default"/>
      </w:rPr>
    </w:lvl>
    <w:lvl w:ilvl="1" w:tplc="B396EE38">
      <w:start w:val="1"/>
      <w:numFmt w:val="bullet"/>
      <w:lvlText w:val=""/>
      <w:lvlJc w:val="left"/>
      <w:pPr>
        <w:tabs>
          <w:tab w:val="num" w:pos="1440"/>
        </w:tabs>
        <w:ind w:left="1440" w:hanging="360"/>
      </w:pPr>
      <w:rPr>
        <w:rFonts w:ascii="Symbol" w:hAnsi="Symbol" w:hint="default"/>
      </w:rPr>
    </w:lvl>
    <w:lvl w:ilvl="2" w:tplc="6AE65960">
      <w:start w:val="1"/>
      <w:numFmt w:val="bullet"/>
      <w:lvlText w:val=""/>
      <w:lvlJc w:val="left"/>
      <w:pPr>
        <w:tabs>
          <w:tab w:val="num" w:pos="2160"/>
        </w:tabs>
        <w:ind w:left="2160" w:hanging="360"/>
      </w:pPr>
      <w:rPr>
        <w:rFonts w:ascii="Symbol" w:hAnsi="Symbol" w:hint="default"/>
      </w:rPr>
    </w:lvl>
    <w:lvl w:ilvl="3" w:tplc="08E49138">
      <w:start w:val="1"/>
      <w:numFmt w:val="bullet"/>
      <w:lvlText w:val=""/>
      <w:lvlJc w:val="left"/>
      <w:pPr>
        <w:tabs>
          <w:tab w:val="num" w:pos="2880"/>
        </w:tabs>
        <w:ind w:left="2880" w:hanging="360"/>
      </w:pPr>
      <w:rPr>
        <w:rFonts w:ascii="Symbol" w:hAnsi="Symbol" w:hint="default"/>
      </w:rPr>
    </w:lvl>
    <w:lvl w:ilvl="4" w:tplc="ABC41202">
      <w:start w:val="1"/>
      <w:numFmt w:val="bullet"/>
      <w:lvlText w:val=""/>
      <w:lvlJc w:val="left"/>
      <w:pPr>
        <w:tabs>
          <w:tab w:val="num" w:pos="3600"/>
        </w:tabs>
        <w:ind w:left="3600" w:hanging="360"/>
      </w:pPr>
      <w:rPr>
        <w:rFonts w:ascii="Symbol" w:hAnsi="Symbol" w:hint="default"/>
      </w:rPr>
    </w:lvl>
    <w:lvl w:ilvl="5" w:tplc="1658B574">
      <w:start w:val="1"/>
      <w:numFmt w:val="bullet"/>
      <w:lvlText w:val=""/>
      <w:lvlJc w:val="left"/>
      <w:pPr>
        <w:tabs>
          <w:tab w:val="num" w:pos="4320"/>
        </w:tabs>
        <w:ind w:left="4320" w:hanging="360"/>
      </w:pPr>
      <w:rPr>
        <w:rFonts w:ascii="Symbol" w:hAnsi="Symbol" w:hint="default"/>
      </w:rPr>
    </w:lvl>
    <w:lvl w:ilvl="6" w:tplc="C43CDBF2">
      <w:start w:val="1"/>
      <w:numFmt w:val="bullet"/>
      <w:lvlText w:val=""/>
      <w:lvlJc w:val="left"/>
      <w:pPr>
        <w:tabs>
          <w:tab w:val="num" w:pos="5040"/>
        </w:tabs>
        <w:ind w:left="5040" w:hanging="360"/>
      </w:pPr>
      <w:rPr>
        <w:rFonts w:ascii="Symbol" w:hAnsi="Symbol" w:hint="default"/>
      </w:rPr>
    </w:lvl>
    <w:lvl w:ilvl="7" w:tplc="5F0CAB48">
      <w:start w:val="1"/>
      <w:numFmt w:val="bullet"/>
      <w:lvlText w:val=""/>
      <w:lvlJc w:val="left"/>
      <w:pPr>
        <w:tabs>
          <w:tab w:val="num" w:pos="5760"/>
        </w:tabs>
        <w:ind w:left="5760" w:hanging="360"/>
      </w:pPr>
      <w:rPr>
        <w:rFonts w:ascii="Symbol" w:hAnsi="Symbol" w:hint="default"/>
      </w:rPr>
    </w:lvl>
    <w:lvl w:ilvl="8" w:tplc="908835DC">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63C30333"/>
    <w:multiLevelType w:val="hybridMultilevel"/>
    <w:tmpl w:val="E2A43C0A"/>
    <w:lvl w:ilvl="0" w:tplc="B1CC8A30">
      <w:start w:val="1"/>
      <w:numFmt w:val="decimal"/>
      <w:pStyle w:val="Captionfigure"/>
      <w:lvlText w:val="Figure %1:"/>
      <w:lvlJc w:val="left"/>
      <w:pPr>
        <w:tabs>
          <w:tab w:val="num" w:pos="1021"/>
        </w:tabs>
        <w:ind w:left="1021" w:hanging="102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0B4FCF"/>
    <w:multiLevelType w:val="hybridMultilevel"/>
    <w:tmpl w:val="EF3EB990"/>
    <w:lvl w:ilvl="0" w:tplc="8200C772">
      <w:start w:val="1"/>
      <w:numFmt w:val="bullet"/>
      <w:lvlText w:val=""/>
      <w:lvlPicBulletId w:val="4"/>
      <w:lvlJc w:val="left"/>
      <w:pPr>
        <w:tabs>
          <w:tab w:val="num" w:pos="720"/>
        </w:tabs>
        <w:ind w:left="720" w:hanging="360"/>
      </w:pPr>
      <w:rPr>
        <w:rFonts w:ascii="Symbol" w:hAnsi="Symbol" w:hint="default"/>
      </w:rPr>
    </w:lvl>
    <w:lvl w:ilvl="1" w:tplc="00DC7846">
      <w:start w:val="1"/>
      <w:numFmt w:val="bullet"/>
      <w:lvlText w:val=""/>
      <w:lvlJc w:val="left"/>
      <w:pPr>
        <w:tabs>
          <w:tab w:val="num" w:pos="1440"/>
        </w:tabs>
        <w:ind w:left="1440" w:hanging="360"/>
      </w:pPr>
      <w:rPr>
        <w:rFonts w:ascii="Symbol" w:hAnsi="Symbol" w:hint="default"/>
      </w:rPr>
    </w:lvl>
    <w:lvl w:ilvl="2" w:tplc="A726D19A">
      <w:start w:val="1"/>
      <w:numFmt w:val="bullet"/>
      <w:lvlText w:val=""/>
      <w:lvlJc w:val="left"/>
      <w:pPr>
        <w:tabs>
          <w:tab w:val="num" w:pos="2160"/>
        </w:tabs>
        <w:ind w:left="2160" w:hanging="360"/>
      </w:pPr>
      <w:rPr>
        <w:rFonts w:ascii="Symbol" w:hAnsi="Symbol" w:hint="default"/>
      </w:rPr>
    </w:lvl>
    <w:lvl w:ilvl="3" w:tplc="BD4EEDCE">
      <w:start w:val="1"/>
      <w:numFmt w:val="bullet"/>
      <w:lvlText w:val=""/>
      <w:lvlJc w:val="left"/>
      <w:pPr>
        <w:tabs>
          <w:tab w:val="num" w:pos="2880"/>
        </w:tabs>
        <w:ind w:left="2880" w:hanging="360"/>
      </w:pPr>
      <w:rPr>
        <w:rFonts w:ascii="Symbol" w:hAnsi="Symbol" w:hint="default"/>
      </w:rPr>
    </w:lvl>
    <w:lvl w:ilvl="4" w:tplc="AB66EA56">
      <w:start w:val="1"/>
      <w:numFmt w:val="bullet"/>
      <w:lvlText w:val=""/>
      <w:lvlJc w:val="left"/>
      <w:pPr>
        <w:tabs>
          <w:tab w:val="num" w:pos="3600"/>
        </w:tabs>
        <w:ind w:left="3600" w:hanging="360"/>
      </w:pPr>
      <w:rPr>
        <w:rFonts w:ascii="Symbol" w:hAnsi="Symbol" w:hint="default"/>
      </w:rPr>
    </w:lvl>
    <w:lvl w:ilvl="5" w:tplc="7C7403FA">
      <w:start w:val="1"/>
      <w:numFmt w:val="bullet"/>
      <w:lvlText w:val=""/>
      <w:lvlJc w:val="left"/>
      <w:pPr>
        <w:tabs>
          <w:tab w:val="num" w:pos="4320"/>
        </w:tabs>
        <w:ind w:left="4320" w:hanging="360"/>
      </w:pPr>
      <w:rPr>
        <w:rFonts w:ascii="Symbol" w:hAnsi="Symbol" w:hint="default"/>
      </w:rPr>
    </w:lvl>
    <w:lvl w:ilvl="6" w:tplc="0DCED5EC">
      <w:start w:val="1"/>
      <w:numFmt w:val="bullet"/>
      <w:lvlText w:val=""/>
      <w:lvlJc w:val="left"/>
      <w:pPr>
        <w:tabs>
          <w:tab w:val="num" w:pos="5040"/>
        </w:tabs>
        <w:ind w:left="5040" w:hanging="360"/>
      </w:pPr>
      <w:rPr>
        <w:rFonts w:ascii="Symbol" w:hAnsi="Symbol" w:hint="default"/>
      </w:rPr>
    </w:lvl>
    <w:lvl w:ilvl="7" w:tplc="807ED89A">
      <w:start w:val="1"/>
      <w:numFmt w:val="bullet"/>
      <w:lvlText w:val=""/>
      <w:lvlJc w:val="left"/>
      <w:pPr>
        <w:tabs>
          <w:tab w:val="num" w:pos="5760"/>
        </w:tabs>
        <w:ind w:left="5760" w:hanging="360"/>
      </w:pPr>
      <w:rPr>
        <w:rFonts w:ascii="Symbol" w:hAnsi="Symbol" w:hint="default"/>
      </w:rPr>
    </w:lvl>
    <w:lvl w:ilvl="8" w:tplc="2DDA78EE">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65071478"/>
    <w:multiLevelType w:val="hybridMultilevel"/>
    <w:tmpl w:val="680E522C"/>
    <w:lvl w:ilvl="0" w:tplc="30580B3C">
      <w:start w:val="1"/>
      <w:numFmt w:val="decimal"/>
      <w:pStyle w:val="ACMAFigureHeader"/>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3500FA"/>
    <w:multiLevelType w:val="hybridMultilevel"/>
    <w:tmpl w:val="564AC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B184C15"/>
    <w:multiLevelType w:val="hybridMultilevel"/>
    <w:tmpl w:val="68FE40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3A6E40"/>
    <w:multiLevelType w:val="hybridMultilevel"/>
    <w:tmpl w:val="A2647BFA"/>
    <w:lvl w:ilvl="0" w:tplc="53B81448">
      <w:start w:val="1"/>
      <w:numFmt w:val="decimal"/>
      <w:lvlText w:val="3.%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13B3881"/>
    <w:multiLevelType w:val="hybridMultilevel"/>
    <w:tmpl w:val="7F8C984E"/>
    <w:lvl w:ilvl="0" w:tplc="1FB6FFE4">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4430030"/>
    <w:multiLevelType w:val="hybridMultilevel"/>
    <w:tmpl w:val="1E3E8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7AD032D"/>
    <w:multiLevelType w:val="hybridMultilevel"/>
    <w:tmpl w:val="1944C0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91149A6"/>
    <w:multiLevelType w:val="hybridMultilevel"/>
    <w:tmpl w:val="AF6C4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93F4A38"/>
    <w:multiLevelType w:val="hybridMultilevel"/>
    <w:tmpl w:val="D89ECD5C"/>
    <w:lvl w:ilvl="0" w:tplc="72FA6082">
      <w:start w:val="1"/>
      <w:numFmt w:val="decimal"/>
      <w:lvlText w:val="4.%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A310FC0"/>
    <w:multiLevelType w:val="hybridMultilevel"/>
    <w:tmpl w:val="B4688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B7519E8"/>
    <w:multiLevelType w:val="hybridMultilevel"/>
    <w:tmpl w:val="B8EE236C"/>
    <w:lvl w:ilvl="0" w:tplc="542EFA4C">
      <w:start w:val="1"/>
      <w:numFmt w:val="decimal"/>
      <w:lvlText w:val="(%1)"/>
      <w:lvlJc w:val="left"/>
      <w:pPr>
        <w:ind w:left="2463" w:hanging="360"/>
      </w:pPr>
      <w:rPr>
        <w:rFonts w:hint="default"/>
        <w:sz w:val="24"/>
        <w:szCs w:val="24"/>
      </w:rPr>
    </w:lvl>
    <w:lvl w:ilvl="1" w:tplc="4412C9FA">
      <w:start w:val="1"/>
      <w:numFmt w:val="lowerLetter"/>
      <w:lvlText w:val="(%2)"/>
      <w:lvlJc w:val="left"/>
      <w:pPr>
        <w:ind w:left="3183" w:hanging="360"/>
      </w:pPr>
      <w:rPr>
        <w:rFonts w:hint="default"/>
      </w:rPr>
    </w:lvl>
    <w:lvl w:ilvl="2" w:tplc="0C09001B" w:tentative="1">
      <w:start w:val="1"/>
      <w:numFmt w:val="lowerRoman"/>
      <w:lvlText w:val="%3."/>
      <w:lvlJc w:val="right"/>
      <w:pPr>
        <w:ind w:left="3903" w:hanging="180"/>
      </w:pPr>
    </w:lvl>
    <w:lvl w:ilvl="3" w:tplc="0C09000F" w:tentative="1">
      <w:start w:val="1"/>
      <w:numFmt w:val="decimal"/>
      <w:lvlText w:val="%4."/>
      <w:lvlJc w:val="left"/>
      <w:pPr>
        <w:ind w:left="4623" w:hanging="360"/>
      </w:pPr>
    </w:lvl>
    <w:lvl w:ilvl="4" w:tplc="0C090019" w:tentative="1">
      <w:start w:val="1"/>
      <w:numFmt w:val="lowerLetter"/>
      <w:lvlText w:val="%5."/>
      <w:lvlJc w:val="left"/>
      <w:pPr>
        <w:ind w:left="5343" w:hanging="360"/>
      </w:pPr>
    </w:lvl>
    <w:lvl w:ilvl="5" w:tplc="0C09001B" w:tentative="1">
      <w:start w:val="1"/>
      <w:numFmt w:val="lowerRoman"/>
      <w:lvlText w:val="%6."/>
      <w:lvlJc w:val="right"/>
      <w:pPr>
        <w:ind w:left="6063" w:hanging="180"/>
      </w:pPr>
    </w:lvl>
    <w:lvl w:ilvl="6" w:tplc="0C09000F" w:tentative="1">
      <w:start w:val="1"/>
      <w:numFmt w:val="decimal"/>
      <w:lvlText w:val="%7."/>
      <w:lvlJc w:val="left"/>
      <w:pPr>
        <w:ind w:left="6783" w:hanging="360"/>
      </w:pPr>
    </w:lvl>
    <w:lvl w:ilvl="7" w:tplc="0C090019" w:tentative="1">
      <w:start w:val="1"/>
      <w:numFmt w:val="lowerLetter"/>
      <w:lvlText w:val="%8."/>
      <w:lvlJc w:val="left"/>
      <w:pPr>
        <w:ind w:left="7503" w:hanging="360"/>
      </w:pPr>
    </w:lvl>
    <w:lvl w:ilvl="8" w:tplc="0C09001B" w:tentative="1">
      <w:start w:val="1"/>
      <w:numFmt w:val="lowerRoman"/>
      <w:lvlText w:val="%9."/>
      <w:lvlJc w:val="right"/>
      <w:pPr>
        <w:ind w:left="8223" w:hanging="180"/>
      </w:pPr>
    </w:lvl>
  </w:abstractNum>
  <w:num w:numId="1">
    <w:abstractNumId w:val="9"/>
  </w:num>
  <w:num w:numId="2">
    <w:abstractNumId w:val="7"/>
  </w:num>
  <w:num w:numId="3">
    <w:abstractNumId w:val="8"/>
  </w:num>
  <w:num w:numId="4">
    <w:abstractNumId w:val="3"/>
  </w:num>
  <w:num w:numId="5">
    <w:abstractNumId w:val="54"/>
  </w:num>
  <w:num w:numId="6">
    <w:abstractNumId w:val="46"/>
  </w:num>
  <w:num w:numId="7">
    <w:abstractNumId w:val="52"/>
  </w:num>
  <w:num w:numId="8">
    <w:abstractNumId w:val="57"/>
  </w:num>
  <w:num w:numId="9">
    <w:abstractNumId w:val="33"/>
  </w:num>
  <w:num w:numId="10">
    <w:abstractNumId w:val="18"/>
  </w:num>
  <w:num w:numId="11">
    <w:abstractNumId w:val="58"/>
  </w:num>
  <w:num w:numId="12">
    <w:abstractNumId w:val="63"/>
  </w:num>
  <w:num w:numId="13">
    <w:abstractNumId w:val="38"/>
  </w:num>
  <w:num w:numId="14">
    <w:abstractNumId w:val="38"/>
  </w:num>
  <w:num w:numId="15">
    <w:abstractNumId w:val="38"/>
  </w:num>
  <w:num w:numId="16">
    <w:abstractNumId w:val="20"/>
  </w:num>
  <w:num w:numId="17">
    <w:abstractNumId w:val="22"/>
  </w:num>
  <w:num w:numId="18">
    <w:abstractNumId w:val="65"/>
  </w:num>
  <w:num w:numId="19">
    <w:abstractNumId w:val="38"/>
  </w:num>
  <w:num w:numId="20">
    <w:abstractNumId w:val="38"/>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38"/>
  </w:num>
  <w:num w:numId="24">
    <w:abstractNumId w:val="14"/>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38"/>
  </w:num>
  <w:num w:numId="28">
    <w:abstractNumId w:val="61"/>
  </w:num>
  <w:num w:numId="29">
    <w:abstractNumId w:val="12"/>
  </w:num>
  <w:num w:numId="30">
    <w:abstractNumId w:val="42"/>
  </w:num>
  <w:num w:numId="31">
    <w:abstractNumId w:val="38"/>
  </w:num>
  <w:num w:numId="32">
    <w:abstractNumId w:val="38"/>
  </w:num>
  <w:num w:numId="33">
    <w:abstractNumId w:val="38"/>
  </w:num>
  <w:num w:numId="34">
    <w:abstractNumId w:val="0"/>
  </w:num>
  <w:num w:numId="35">
    <w:abstractNumId w:val="62"/>
  </w:num>
  <w:num w:numId="36">
    <w:abstractNumId w:val="50"/>
  </w:num>
  <w:num w:numId="37">
    <w:abstractNumId w:val="38"/>
  </w:num>
  <w:num w:numId="38">
    <w:abstractNumId w:val="38"/>
  </w:num>
  <w:num w:numId="39">
    <w:abstractNumId w:val="44"/>
  </w:num>
  <w:num w:numId="40">
    <w:abstractNumId w:val="45"/>
  </w:num>
  <w:num w:numId="41">
    <w:abstractNumId w:val="9"/>
  </w:num>
  <w:num w:numId="42">
    <w:abstractNumId w:val="9"/>
  </w:num>
  <w:num w:numId="43">
    <w:abstractNumId w:val="9"/>
  </w:num>
  <w:num w:numId="44">
    <w:abstractNumId w:val="16"/>
  </w:num>
  <w:num w:numId="45">
    <w:abstractNumId w:val="9"/>
  </w:num>
  <w:num w:numId="46">
    <w:abstractNumId w:val="35"/>
  </w:num>
  <w:num w:numId="47">
    <w:abstractNumId w:val="9"/>
  </w:num>
  <w:num w:numId="48">
    <w:abstractNumId w:val="9"/>
  </w:num>
  <w:num w:numId="49">
    <w:abstractNumId w:val="38"/>
  </w:num>
  <w:num w:numId="50">
    <w:abstractNumId w:val="13"/>
  </w:num>
  <w:num w:numId="51">
    <w:abstractNumId w:val="41"/>
  </w:num>
  <w:num w:numId="52">
    <w:abstractNumId w:val="17"/>
  </w:num>
  <w:num w:numId="53">
    <w:abstractNumId w:val="49"/>
  </w:num>
  <w:num w:numId="54">
    <w:abstractNumId w:val="19"/>
  </w:num>
  <w:num w:numId="55">
    <w:abstractNumId w:val="10"/>
  </w:num>
  <w:num w:numId="56">
    <w:abstractNumId w:val="31"/>
  </w:num>
  <w:num w:numId="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num>
  <w:num w:numId="59">
    <w:abstractNumId w:val="38"/>
  </w:num>
  <w:num w:numId="60">
    <w:abstractNumId w:val="38"/>
  </w:num>
  <w:num w:numId="61">
    <w:abstractNumId w:val="38"/>
  </w:num>
  <w:num w:numId="62">
    <w:abstractNumId w:val="37"/>
  </w:num>
  <w:num w:numId="63">
    <w:abstractNumId w:val="55"/>
  </w:num>
  <w:num w:numId="64">
    <w:abstractNumId w:val="47"/>
  </w:num>
  <w:num w:numId="65">
    <w:abstractNumId w:val="6"/>
  </w:num>
  <w:num w:numId="66">
    <w:abstractNumId w:val="5"/>
  </w:num>
  <w:num w:numId="67">
    <w:abstractNumId w:val="4"/>
  </w:num>
  <w:num w:numId="68">
    <w:abstractNumId w:val="2"/>
  </w:num>
  <w:num w:numId="69">
    <w:abstractNumId w:val="1"/>
  </w:num>
  <w:num w:numId="70">
    <w:abstractNumId w:val="38"/>
  </w:num>
  <w:num w:numId="71">
    <w:abstractNumId w:val="60"/>
  </w:num>
  <w:num w:numId="72">
    <w:abstractNumId w:val="59"/>
  </w:num>
  <w:num w:numId="73">
    <w:abstractNumId w:val="21"/>
  </w:num>
  <w:num w:numId="74">
    <w:abstractNumId w:val="7"/>
  </w:num>
  <w:num w:numId="75">
    <w:abstractNumId w:val="7"/>
  </w:num>
  <w:num w:numId="76">
    <w:abstractNumId w:val="7"/>
  </w:num>
  <w:num w:numId="77">
    <w:abstractNumId w:val="7"/>
  </w:num>
  <w:num w:numId="78">
    <w:abstractNumId w:val="7"/>
  </w:num>
  <w:num w:numId="79">
    <w:abstractNumId w:val="9"/>
  </w:num>
  <w:num w:numId="80">
    <w:abstractNumId w:val="9"/>
  </w:num>
  <w:num w:numId="81">
    <w:abstractNumId w:val="9"/>
  </w:num>
  <w:num w:numId="82">
    <w:abstractNumId w:val="9"/>
  </w:num>
  <w:num w:numId="83">
    <w:abstractNumId w:val="9"/>
  </w:num>
  <w:num w:numId="84">
    <w:abstractNumId w:val="9"/>
  </w:num>
  <w:num w:numId="85">
    <w:abstractNumId w:val="9"/>
  </w:num>
  <w:num w:numId="86">
    <w:abstractNumId w:val="9"/>
  </w:num>
  <w:num w:numId="87">
    <w:abstractNumId w:val="9"/>
  </w:num>
  <w:num w:numId="88">
    <w:abstractNumId w:val="9"/>
  </w:num>
  <w:num w:numId="89">
    <w:abstractNumId w:val="9"/>
  </w:num>
  <w:num w:numId="90">
    <w:abstractNumId w:val="9"/>
  </w:num>
  <w:num w:numId="91">
    <w:abstractNumId w:val="9"/>
  </w:num>
  <w:num w:numId="92">
    <w:abstractNumId w:val="9"/>
  </w:num>
  <w:num w:numId="93">
    <w:abstractNumId w:val="9"/>
  </w:num>
  <w:num w:numId="94">
    <w:abstractNumId w:val="26"/>
  </w:num>
  <w:num w:numId="95">
    <w:abstractNumId w:val="15"/>
  </w:num>
  <w:num w:numId="96">
    <w:abstractNumId w:val="29"/>
  </w:num>
  <w:num w:numId="97">
    <w:abstractNumId w:val="36"/>
  </w:num>
  <w:num w:numId="98">
    <w:abstractNumId w:val="51"/>
  </w:num>
  <w:num w:numId="99">
    <w:abstractNumId w:val="53"/>
  </w:num>
  <w:num w:numId="100">
    <w:abstractNumId w:val="39"/>
  </w:num>
  <w:num w:numId="101">
    <w:abstractNumId w:val="40"/>
  </w:num>
  <w:num w:numId="102">
    <w:abstractNumId w:val="23"/>
  </w:num>
  <w:num w:numId="103">
    <w:abstractNumId w:val="56"/>
  </w:num>
  <w:num w:numId="104">
    <w:abstractNumId w:val="38"/>
  </w:num>
  <w:num w:numId="105">
    <w:abstractNumId w:val="9"/>
  </w:num>
  <w:num w:numId="106">
    <w:abstractNumId w:val="9"/>
  </w:num>
  <w:num w:numId="107">
    <w:abstractNumId w:val="38"/>
  </w:num>
  <w:num w:numId="108">
    <w:abstractNumId w:val="27"/>
  </w:num>
  <w:num w:numId="109">
    <w:abstractNumId w:val="25"/>
  </w:num>
  <w:num w:numId="110">
    <w:abstractNumId w:val="32"/>
  </w:num>
  <w:num w:numId="111">
    <w:abstractNumId w:val="38"/>
  </w:num>
  <w:num w:numId="112">
    <w:abstractNumId w:val="38"/>
  </w:num>
  <w:num w:numId="113">
    <w:abstractNumId w:val="38"/>
  </w:num>
  <w:num w:numId="114">
    <w:abstractNumId w:val="9"/>
  </w:num>
  <w:num w:numId="115">
    <w:abstractNumId w:val="9"/>
  </w:num>
  <w:num w:numId="116">
    <w:abstractNumId w:val="9"/>
  </w:num>
  <w:num w:numId="117">
    <w:abstractNumId w:val="9"/>
  </w:num>
  <w:num w:numId="118">
    <w:abstractNumId w:val="9"/>
  </w:num>
  <w:num w:numId="119">
    <w:abstractNumId w:val="9"/>
  </w:num>
  <w:num w:numId="120">
    <w:abstractNumId w:val="46"/>
  </w:num>
  <w:num w:numId="121">
    <w:abstractNumId w:val="46"/>
  </w:num>
  <w:num w:numId="122">
    <w:abstractNumId w:val="48"/>
  </w:num>
  <w:num w:numId="123">
    <w:abstractNumId w:val="30"/>
  </w:num>
  <w:num w:numId="124">
    <w:abstractNumId w:val="9"/>
  </w:num>
  <w:num w:numId="125">
    <w:abstractNumId w:val="9"/>
  </w:num>
  <w:num w:numId="126">
    <w:abstractNumId w:val="9"/>
  </w:num>
  <w:num w:numId="127">
    <w:abstractNumId w:val="9"/>
  </w:num>
  <w:num w:numId="128">
    <w:abstractNumId w:val="38"/>
  </w:num>
  <w:num w:numId="129">
    <w:abstractNumId w:val="38"/>
  </w:num>
  <w:num w:numId="130">
    <w:abstractNumId w:val="38"/>
  </w:num>
  <w:num w:numId="131">
    <w:abstractNumId w:val="38"/>
  </w:num>
  <w:num w:numId="132">
    <w:abstractNumId w:val="38"/>
  </w:num>
  <w:num w:numId="133">
    <w:abstractNumId w:val="38"/>
  </w:num>
  <w:num w:numId="134">
    <w:abstractNumId w:val="38"/>
  </w:num>
  <w:num w:numId="135">
    <w:abstractNumId w:val="38"/>
  </w:num>
  <w:num w:numId="136">
    <w:abstractNumId w:val="38"/>
  </w:num>
  <w:num w:numId="137">
    <w:abstractNumId w:val="38"/>
  </w:num>
  <w:num w:numId="138">
    <w:abstractNumId w:val="38"/>
  </w:num>
  <w:num w:numId="139">
    <w:abstractNumId w:val="38"/>
  </w:num>
  <w:num w:numId="140">
    <w:abstractNumId w:val="38"/>
  </w:num>
  <w:num w:numId="141">
    <w:abstractNumId w:val="28"/>
  </w:num>
  <w:num w:numId="142">
    <w:abstractNumId w:val="43"/>
  </w:num>
  <w:num w:numId="143">
    <w:abstractNumId w:val="64"/>
  </w:num>
  <w:num w:numId="144">
    <w:abstractNumId w:val="3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284"/>
  <w:evenAndOddHeaders/>
  <w:drawingGridHorizontalSpacing w:val="100"/>
  <w:displayHorizontalDrawingGridEvery w:val="2"/>
  <w:characterSpacingControl w:val="doNotCompress"/>
  <w:hdrShapeDefaults>
    <o:shapedefaults v:ext="edit" spidmax="2052">
      <o:colormru v:ext="edit" colors="red,#4d4d4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603"/>
    <w:rsid w:val="00001C4D"/>
    <w:rsid w:val="000021B5"/>
    <w:rsid w:val="00002700"/>
    <w:rsid w:val="00002C56"/>
    <w:rsid w:val="00004D26"/>
    <w:rsid w:val="0000597B"/>
    <w:rsid w:val="00005E6B"/>
    <w:rsid w:val="00006F2B"/>
    <w:rsid w:val="00007532"/>
    <w:rsid w:val="00007D8B"/>
    <w:rsid w:val="0001000E"/>
    <w:rsid w:val="0001060F"/>
    <w:rsid w:val="00010667"/>
    <w:rsid w:val="00010BAD"/>
    <w:rsid w:val="000111F9"/>
    <w:rsid w:val="00012886"/>
    <w:rsid w:val="000129D5"/>
    <w:rsid w:val="0001374B"/>
    <w:rsid w:val="0001395E"/>
    <w:rsid w:val="00013CBF"/>
    <w:rsid w:val="00014322"/>
    <w:rsid w:val="00014804"/>
    <w:rsid w:val="00015AE7"/>
    <w:rsid w:val="00015C71"/>
    <w:rsid w:val="00015F61"/>
    <w:rsid w:val="00016759"/>
    <w:rsid w:val="00016799"/>
    <w:rsid w:val="00016E21"/>
    <w:rsid w:val="0001719C"/>
    <w:rsid w:val="000175B2"/>
    <w:rsid w:val="000204A3"/>
    <w:rsid w:val="0002098E"/>
    <w:rsid w:val="00020AB5"/>
    <w:rsid w:val="000213A2"/>
    <w:rsid w:val="0002224E"/>
    <w:rsid w:val="00023617"/>
    <w:rsid w:val="000245E5"/>
    <w:rsid w:val="00024759"/>
    <w:rsid w:val="000247B8"/>
    <w:rsid w:val="000258FF"/>
    <w:rsid w:val="00026F91"/>
    <w:rsid w:val="000277A6"/>
    <w:rsid w:val="00030956"/>
    <w:rsid w:val="000309C1"/>
    <w:rsid w:val="00032DAF"/>
    <w:rsid w:val="000338C2"/>
    <w:rsid w:val="00034EC8"/>
    <w:rsid w:val="000350DF"/>
    <w:rsid w:val="000354AD"/>
    <w:rsid w:val="00036269"/>
    <w:rsid w:val="00040048"/>
    <w:rsid w:val="0004107A"/>
    <w:rsid w:val="000416BD"/>
    <w:rsid w:val="000420A4"/>
    <w:rsid w:val="000425F2"/>
    <w:rsid w:val="0004276B"/>
    <w:rsid w:val="000463AC"/>
    <w:rsid w:val="00046662"/>
    <w:rsid w:val="0004691C"/>
    <w:rsid w:val="00046D30"/>
    <w:rsid w:val="0004764C"/>
    <w:rsid w:val="0005006B"/>
    <w:rsid w:val="0005011A"/>
    <w:rsid w:val="0005045A"/>
    <w:rsid w:val="00050F0B"/>
    <w:rsid w:val="000516B8"/>
    <w:rsid w:val="00051C1E"/>
    <w:rsid w:val="00052267"/>
    <w:rsid w:val="00052A42"/>
    <w:rsid w:val="000539F9"/>
    <w:rsid w:val="00053D6F"/>
    <w:rsid w:val="000549F3"/>
    <w:rsid w:val="00054C27"/>
    <w:rsid w:val="00055EC3"/>
    <w:rsid w:val="0005622B"/>
    <w:rsid w:val="000563CE"/>
    <w:rsid w:val="000572FE"/>
    <w:rsid w:val="00057526"/>
    <w:rsid w:val="00057E12"/>
    <w:rsid w:val="00060EE1"/>
    <w:rsid w:val="00061503"/>
    <w:rsid w:val="000620CB"/>
    <w:rsid w:val="000624C6"/>
    <w:rsid w:val="00062829"/>
    <w:rsid w:val="00063A18"/>
    <w:rsid w:val="000659B6"/>
    <w:rsid w:val="00065AA8"/>
    <w:rsid w:val="00065D81"/>
    <w:rsid w:val="0006686F"/>
    <w:rsid w:val="0006722A"/>
    <w:rsid w:val="0006730B"/>
    <w:rsid w:val="000674C9"/>
    <w:rsid w:val="00070AF2"/>
    <w:rsid w:val="00071532"/>
    <w:rsid w:val="000718B7"/>
    <w:rsid w:val="00071B0D"/>
    <w:rsid w:val="00072EAC"/>
    <w:rsid w:val="000732CF"/>
    <w:rsid w:val="0007475B"/>
    <w:rsid w:val="00075680"/>
    <w:rsid w:val="000756CE"/>
    <w:rsid w:val="0007599B"/>
    <w:rsid w:val="00075B4F"/>
    <w:rsid w:val="00075B96"/>
    <w:rsid w:val="00077C00"/>
    <w:rsid w:val="0008037D"/>
    <w:rsid w:val="0008087F"/>
    <w:rsid w:val="00080B38"/>
    <w:rsid w:val="00081070"/>
    <w:rsid w:val="0008196A"/>
    <w:rsid w:val="000824E2"/>
    <w:rsid w:val="0008280A"/>
    <w:rsid w:val="00083BEF"/>
    <w:rsid w:val="00083E7B"/>
    <w:rsid w:val="000854D7"/>
    <w:rsid w:val="00086318"/>
    <w:rsid w:val="000873A9"/>
    <w:rsid w:val="0008754B"/>
    <w:rsid w:val="00087A05"/>
    <w:rsid w:val="000905EF"/>
    <w:rsid w:val="00090EC2"/>
    <w:rsid w:val="00091525"/>
    <w:rsid w:val="000915ED"/>
    <w:rsid w:val="00091C31"/>
    <w:rsid w:val="0009209D"/>
    <w:rsid w:val="000925F6"/>
    <w:rsid w:val="0009298A"/>
    <w:rsid w:val="000939DB"/>
    <w:rsid w:val="0009476B"/>
    <w:rsid w:val="00095A59"/>
    <w:rsid w:val="000969BD"/>
    <w:rsid w:val="000969BF"/>
    <w:rsid w:val="0009789A"/>
    <w:rsid w:val="00097CBA"/>
    <w:rsid w:val="00097D72"/>
    <w:rsid w:val="000A089F"/>
    <w:rsid w:val="000A0C22"/>
    <w:rsid w:val="000A0DDB"/>
    <w:rsid w:val="000A1400"/>
    <w:rsid w:val="000A140E"/>
    <w:rsid w:val="000A156D"/>
    <w:rsid w:val="000A32D1"/>
    <w:rsid w:val="000A3C43"/>
    <w:rsid w:val="000A4A51"/>
    <w:rsid w:val="000A5222"/>
    <w:rsid w:val="000A5D2B"/>
    <w:rsid w:val="000A6BB4"/>
    <w:rsid w:val="000A762C"/>
    <w:rsid w:val="000B0D18"/>
    <w:rsid w:val="000B1650"/>
    <w:rsid w:val="000B16E1"/>
    <w:rsid w:val="000B2168"/>
    <w:rsid w:val="000B21CF"/>
    <w:rsid w:val="000B2746"/>
    <w:rsid w:val="000B27C0"/>
    <w:rsid w:val="000B3155"/>
    <w:rsid w:val="000B418E"/>
    <w:rsid w:val="000B517A"/>
    <w:rsid w:val="000B5DE3"/>
    <w:rsid w:val="000B652B"/>
    <w:rsid w:val="000B6794"/>
    <w:rsid w:val="000B682C"/>
    <w:rsid w:val="000B73C4"/>
    <w:rsid w:val="000C073C"/>
    <w:rsid w:val="000C0A57"/>
    <w:rsid w:val="000C174A"/>
    <w:rsid w:val="000C1A48"/>
    <w:rsid w:val="000C1FE2"/>
    <w:rsid w:val="000C230C"/>
    <w:rsid w:val="000C32D7"/>
    <w:rsid w:val="000C58CC"/>
    <w:rsid w:val="000C5AAF"/>
    <w:rsid w:val="000C5B63"/>
    <w:rsid w:val="000C5D92"/>
    <w:rsid w:val="000C6AB4"/>
    <w:rsid w:val="000C6DD5"/>
    <w:rsid w:val="000D0A16"/>
    <w:rsid w:val="000D23B4"/>
    <w:rsid w:val="000D24CB"/>
    <w:rsid w:val="000D2A4F"/>
    <w:rsid w:val="000D6C85"/>
    <w:rsid w:val="000D71D9"/>
    <w:rsid w:val="000D76E0"/>
    <w:rsid w:val="000D7E8B"/>
    <w:rsid w:val="000E0FAB"/>
    <w:rsid w:val="000E16BC"/>
    <w:rsid w:val="000E25C5"/>
    <w:rsid w:val="000E2E2E"/>
    <w:rsid w:val="000E4449"/>
    <w:rsid w:val="000E45A2"/>
    <w:rsid w:val="000E534D"/>
    <w:rsid w:val="000E5A94"/>
    <w:rsid w:val="000E5E1A"/>
    <w:rsid w:val="000E6097"/>
    <w:rsid w:val="000E6470"/>
    <w:rsid w:val="000E6DF6"/>
    <w:rsid w:val="000E76E2"/>
    <w:rsid w:val="000F01A9"/>
    <w:rsid w:val="000F2EFF"/>
    <w:rsid w:val="000F2FEB"/>
    <w:rsid w:val="000F39C7"/>
    <w:rsid w:val="000F408E"/>
    <w:rsid w:val="000F6F87"/>
    <w:rsid w:val="000F736D"/>
    <w:rsid w:val="000F7A28"/>
    <w:rsid w:val="0010032B"/>
    <w:rsid w:val="00100EE6"/>
    <w:rsid w:val="00102DC6"/>
    <w:rsid w:val="00103034"/>
    <w:rsid w:val="00103829"/>
    <w:rsid w:val="00103F94"/>
    <w:rsid w:val="00104ACB"/>
    <w:rsid w:val="00104D62"/>
    <w:rsid w:val="00104F92"/>
    <w:rsid w:val="001064B9"/>
    <w:rsid w:val="00106A21"/>
    <w:rsid w:val="00106C86"/>
    <w:rsid w:val="00110A88"/>
    <w:rsid w:val="00111109"/>
    <w:rsid w:val="00111192"/>
    <w:rsid w:val="001118BC"/>
    <w:rsid w:val="00111FCE"/>
    <w:rsid w:val="00113120"/>
    <w:rsid w:val="001139E1"/>
    <w:rsid w:val="001150A3"/>
    <w:rsid w:val="00115FBC"/>
    <w:rsid w:val="001164D6"/>
    <w:rsid w:val="001201E3"/>
    <w:rsid w:val="001210D8"/>
    <w:rsid w:val="001216BB"/>
    <w:rsid w:val="0012177F"/>
    <w:rsid w:val="001218CF"/>
    <w:rsid w:val="001227F3"/>
    <w:rsid w:val="001229A5"/>
    <w:rsid w:val="0012489B"/>
    <w:rsid w:val="00125180"/>
    <w:rsid w:val="001264E8"/>
    <w:rsid w:val="0012712A"/>
    <w:rsid w:val="00127809"/>
    <w:rsid w:val="00130017"/>
    <w:rsid w:val="001307EA"/>
    <w:rsid w:val="00130F91"/>
    <w:rsid w:val="00131706"/>
    <w:rsid w:val="00133300"/>
    <w:rsid w:val="00133F7D"/>
    <w:rsid w:val="00134290"/>
    <w:rsid w:val="00134412"/>
    <w:rsid w:val="001349ED"/>
    <w:rsid w:val="001349FA"/>
    <w:rsid w:val="00134A40"/>
    <w:rsid w:val="00134AA1"/>
    <w:rsid w:val="00135432"/>
    <w:rsid w:val="00135CBC"/>
    <w:rsid w:val="0013645B"/>
    <w:rsid w:val="0013656F"/>
    <w:rsid w:val="00137424"/>
    <w:rsid w:val="001400CD"/>
    <w:rsid w:val="00140249"/>
    <w:rsid w:val="00140318"/>
    <w:rsid w:val="001405BF"/>
    <w:rsid w:val="00140EE7"/>
    <w:rsid w:val="00140EEC"/>
    <w:rsid w:val="001413E1"/>
    <w:rsid w:val="001415E5"/>
    <w:rsid w:val="00141686"/>
    <w:rsid w:val="0014178D"/>
    <w:rsid w:val="00141AD9"/>
    <w:rsid w:val="0014245E"/>
    <w:rsid w:val="001426A0"/>
    <w:rsid w:val="001428B0"/>
    <w:rsid w:val="001429F1"/>
    <w:rsid w:val="001433DF"/>
    <w:rsid w:val="001449AC"/>
    <w:rsid w:val="001451EE"/>
    <w:rsid w:val="0014540F"/>
    <w:rsid w:val="00145514"/>
    <w:rsid w:val="001465F0"/>
    <w:rsid w:val="00146CE6"/>
    <w:rsid w:val="00147CE4"/>
    <w:rsid w:val="0015169B"/>
    <w:rsid w:val="0015215D"/>
    <w:rsid w:val="0015288D"/>
    <w:rsid w:val="00152903"/>
    <w:rsid w:val="00152F29"/>
    <w:rsid w:val="00153406"/>
    <w:rsid w:val="00153651"/>
    <w:rsid w:val="00153810"/>
    <w:rsid w:val="0015386D"/>
    <w:rsid w:val="00153FD5"/>
    <w:rsid w:val="001546D5"/>
    <w:rsid w:val="00155221"/>
    <w:rsid w:val="00155A05"/>
    <w:rsid w:val="0015614F"/>
    <w:rsid w:val="001577C2"/>
    <w:rsid w:val="00157998"/>
    <w:rsid w:val="001600E7"/>
    <w:rsid w:val="001602C4"/>
    <w:rsid w:val="00160744"/>
    <w:rsid w:val="0016110D"/>
    <w:rsid w:val="00161B71"/>
    <w:rsid w:val="00162270"/>
    <w:rsid w:val="001633C4"/>
    <w:rsid w:val="00163901"/>
    <w:rsid w:val="0016441E"/>
    <w:rsid w:val="001645B3"/>
    <w:rsid w:val="00165A36"/>
    <w:rsid w:val="00165A5F"/>
    <w:rsid w:val="00165DBE"/>
    <w:rsid w:val="00166C36"/>
    <w:rsid w:val="001675CD"/>
    <w:rsid w:val="001704D5"/>
    <w:rsid w:val="00170D2D"/>
    <w:rsid w:val="00171591"/>
    <w:rsid w:val="00171F9D"/>
    <w:rsid w:val="00171FC8"/>
    <w:rsid w:val="00173545"/>
    <w:rsid w:val="00173981"/>
    <w:rsid w:val="00173F3D"/>
    <w:rsid w:val="00174731"/>
    <w:rsid w:val="001760DB"/>
    <w:rsid w:val="00176405"/>
    <w:rsid w:val="00176B03"/>
    <w:rsid w:val="0017719D"/>
    <w:rsid w:val="00177A61"/>
    <w:rsid w:val="001807C9"/>
    <w:rsid w:val="00180BC7"/>
    <w:rsid w:val="00181658"/>
    <w:rsid w:val="00181A1B"/>
    <w:rsid w:val="001821CB"/>
    <w:rsid w:val="001823CB"/>
    <w:rsid w:val="00182856"/>
    <w:rsid w:val="00183D4C"/>
    <w:rsid w:val="00183FD7"/>
    <w:rsid w:val="00185CAB"/>
    <w:rsid w:val="0018600D"/>
    <w:rsid w:val="00186271"/>
    <w:rsid w:val="00186481"/>
    <w:rsid w:val="00186BF5"/>
    <w:rsid w:val="00186F7F"/>
    <w:rsid w:val="001875B7"/>
    <w:rsid w:val="00187CB3"/>
    <w:rsid w:val="0019050A"/>
    <w:rsid w:val="001910D4"/>
    <w:rsid w:val="00191C3A"/>
    <w:rsid w:val="0019266E"/>
    <w:rsid w:val="001944E7"/>
    <w:rsid w:val="0019469F"/>
    <w:rsid w:val="001964C5"/>
    <w:rsid w:val="00196E28"/>
    <w:rsid w:val="0019729B"/>
    <w:rsid w:val="00197322"/>
    <w:rsid w:val="001976E3"/>
    <w:rsid w:val="001A0943"/>
    <w:rsid w:val="001A0AB9"/>
    <w:rsid w:val="001A0D6C"/>
    <w:rsid w:val="001A0F13"/>
    <w:rsid w:val="001A1225"/>
    <w:rsid w:val="001A1BED"/>
    <w:rsid w:val="001A1E29"/>
    <w:rsid w:val="001A2713"/>
    <w:rsid w:val="001A40EC"/>
    <w:rsid w:val="001A44EC"/>
    <w:rsid w:val="001A45DB"/>
    <w:rsid w:val="001A5351"/>
    <w:rsid w:val="001A5671"/>
    <w:rsid w:val="001A6134"/>
    <w:rsid w:val="001A63D7"/>
    <w:rsid w:val="001A664A"/>
    <w:rsid w:val="001A66C3"/>
    <w:rsid w:val="001A6F10"/>
    <w:rsid w:val="001A7049"/>
    <w:rsid w:val="001B091F"/>
    <w:rsid w:val="001B108D"/>
    <w:rsid w:val="001B397A"/>
    <w:rsid w:val="001B3BC8"/>
    <w:rsid w:val="001B545D"/>
    <w:rsid w:val="001B58AA"/>
    <w:rsid w:val="001B58BE"/>
    <w:rsid w:val="001B732D"/>
    <w:rsid w:val="001B76CD"/>
    <w:rsid w:val="001B7C40"/>
    <w:rsid w:val="001B7E48"/>
    <w:rsid w:val="001C064A"/>
    <w:rsid w:val="001C0657"/>
    <w:rsid w:val="001C17CE"/>
    <w:rsid w:val="001C20E3"/>
    <w:rsid w:val="001C2E76"/>
    <w:rsid w:val="001C32F5"/>
    <w:rsid w:val="001C3615"/>
    <w:rsid w:val="001C36CA"/>
    <w:rsid w:val="001C44D1"/>
    <w:rsid w:val="001C4A4B"/>
    <w:rsid w:val="001C5239"/>
    <w:rsid w:val="001C5B5D"/>
    <w:rsid w:val="001C5BE1"/>
    <w:rsid w:val="001C6011"/>
    <w:rsid w:val="001C64E0"/>
    <w:rsid w:val="001C656C"/>
    <w:rsid w:val="001C668F"/>
    <w:rsid w:val="001C6AEE"/>
    <w:rsid w:val="001C7436"/>
    <w:rsid w:val="001C7630"/>
    <w:rsid w:val="001C7B1C"/>
    <w:rsid w:val="001C7E84"/>
    <w:rsid w:val="001D063F"/>
    <w:rsid w:val="001D2102"/>
    <w:rsid w:val="001D3257"/>
    <w:rsid w:val="001D4B28"/>
    <w:rsid w:val="001D5384"/>
    <w:rsid w:val="001D6D15"/>
    <w:rsid w:val="001D6F2F"/>
    <w:rsid w:val="001D6FC9"/>
    <w:rsid w:val="001E0457"/>
    <w:rsid w:val="001E0B8F"/>
    <w:rsid w:val="001E1096"/>
    <w:rsid w:val="001E1EE2"/>
    <w:rsid w:val="001E2F42"/>
    <w:rsid w:val="001E32E9"/>
    <w:rsid w:val="001E3D69"/>
    <w:rsid w:val="001E4684"/>
    <w:rsid w:val="001E4CF1"/>
    <w:rsid w:val="001E50FB"/>
    <w:rsid w:val="001E59D2"/>
    <w:rsid w:val="001E605A"/>
    <w:rsid w:val="001E6386"/>
    <w:rsid w:val="001E685C"/>
    <w:rsid w:val="001F0E76"/>
    <w:rsid w:val="001F12CC"/>
    <w:rsid w:val="001F23EC"/>
    <w:rsid w:val="001F2482"/>
    <w:rsid w:val="001F4FF7"/>
    <w:rsid w:val="001F7558"/>
    <w:rsid w:val="00200072"/>
    <w:rsid w:val="002005DB"/>
    <w:rsid w:val="00200F2E"/>
    <w:rsid w:val="00203445"/>
    <w:rsid w:val="00203608"/>
    <w:rsid w:val="00203D36"/>
    <w:rsid w:val="00204EE2"/>
    <w:rsid w:val="00205022"/>
    <w:rsid w:val="00205B57"/>
    <w:rsid w:val="00205BBA"/>
    <w:rsid w:val="002076DD"/>
    <w:rsid w:val="0021089F"/>
    <w:rsid w:val="002115E2"/>
    <w:rsid w:val="002124BE"/>
    <w:rsid w:val="00212855"/>
    <w:rsid w:val="0021287F"/>
    <w:rsid w:val="002142EE"/>
    <w:rsid w:val="002143C8"/>
    <w:rsid w:val="002157E0"/>
    <w:rsid w:val="00215B6D"/>
    <w:rsid w:val="00216A57"/>
    <w:rsid w:val="002178E3"/>
    <w:rsid w:val="00222886"/>
    <w:rsid w:val="0022334F"/>
    <w:rsid w:val="00223DE2"/>
    <w:rsid w:val="002247E7"/>
    <w:rsid w:val="00224CB3"/>
    <w:rsid w:val="0022533D"/>
    <w:rsid w:val="00226819"/>
    <w:rsid w:val="00227206"/>
    <w:rsid w:val="00227350"/>
    <w:rsid w:val="00227506"/>
    <w:rsid w:val="00230D76"/>
    <w:rsid w:val="00230D7A"/>
    <w:rsid w:val="00231B19"/>
    <w:rsid w:val="00231D68"/>
    <w:rsid w:val="00231D6F"/>
    <w:rsid w:val="00231F07"/>
    <w:rsid w:val="00232719"/>
    <w:rsid w:val="00233101"/>
    <w:rsid w:val="0023321F"/>
    <w:rsid w:val="00233817"/>
    <w:rsid w:val="0023407E"/>
    <w:rsid w:val="002342D0"/>
    <w:rsid w:val="00234EE8"/>
    <w:rsid w:val="002357EA"/>
    <w:rsid w:val="002360B9"/>
    <w:rsid w:val="00236379"/>
    <w:rsid w:val="0023677E"/>
    <w:rsid w:val="002367FF"/>
    <w:rsid w:val="00236CFB"/>
    <w:rsid w:val="00236E49"/>
    <w:rsid w:val="00240C5E"/>
    <w:rsid w:val="00240CE9"/>
    <w:rsid w:val="002415BD"/>
    <w:rsid w:val="00242845"/>
    <w:rsid w:val="002434BA"/>
    <w:rsid w:val="00246089"/>
    <w:rsid w:val="00246093"/>
    <w:rsid w:val="0024625A"/>
    <w:rsid w:val="00246702"/>
    <w:rsid w:val="0024707C"/>
    <w:rsid w:val="00247A89"/>
    <w:rsid w:val="00247A96"/>
    <w:rsid w:val="00247C59"/>
    <w:rsid w:val="00247DD3"/>
    <w:rsid w:val="00247F2E"/>
    <w:rsid w:val="00250ADC"/>
    <w:rsid w:val="00250B07"/>
    <w:rsid w:val="00252606"/>
    <w:rsid w:val="00252B27"/>
    <w:rsid w:val="00252E9F"/>
    <w:rsid w:val="0025361A"/>
    <w:rsid w:val="0025372C"/>
    <w:rsid w:val="00254146"/>
    <w:rsid w:val="00256207"/>
    <w:rsid w:val="00257553"/>
    <w:rsid w:val="00257813"/>
    <w:rsid w:val="00257EEE"/>
    <w:rsid w:val="0026059E"/>
    <w:rsid w:val="00260FB2"/>
    <w:rsid w:val="0026184D"/>
    <w:rsid w:val="00261F29"/>
    <w:rsid w:val="00262128"/>
    <w:rsid w:val="00262245"/>
    <w:rsid w:val="002627EB"/>
    <w:rsid w:val="00263AD9"/>
    <w:rsid w:val="00264216"/>
    <w:rsid w:val="002644D6"/>
    <w:rsid w:val="00264D41"/>
    <w:rsid w:val="00265A9A"/>
    <w:rsid w:val="0027165D"/>
    <w:rsid w:val="002721F9"/>
    <w:rsid w:val="00272895"/>
    <w:rsid w:val="00273CEB"/>
    <w:rsid w:val="0027449A"/>
    <w:rsid w:val="00274975"/>
    <w:rsid w:val="00274C3C"/>
    <w:rsid w:val="002752D7"/>
    <w:rsid w:val="00276303"/>
    <w:rsid w:val="002763FA"/>
    <w:rsid w:val="00276973"/>
    <w:rsid w:val="00276B13"/>
    <w:rsid w:val="00276B2A"/>
    <w:rsid w:val="00276E03"/>
    <w:rsid w:val="0027739B"/>
    <w:rsid w:val="002776A1"/>
    <w:rsid w:val="00277E00"/>
    <w:rsid w:val="0028010A"/>
    <w:rsid w:val="00280BD6"/>
    <w:rsid w:val="00280E81"/>
    <w:rsid w:val="0028194B"/>
    <w:rsid w:val="00281C89"/>
    <w:rsid w:val="0028282F"/>
    <w:rsid w:val="002828EF"/>
    <w:rsid w:val="00282BDE"/>
    <w:rsid w:val="00283C44"/>
    <w:rsid w:val="002843B9"/>
    <w:rsid w:val="00285717"/>
    <w:rsid w:val="00285D2B"/>
    <w:rsid w:val="002861C2"/>
    <w:rsid w:val="00290BAF"/>
    <w:rsid w:val="00290F73"/>
    <w:rsid w:val="0029194E"/>
    <w:rsid w:val="00292E52"/>
    <w:rsid w:val="0029320B"/>
    <w:rsid w:val="00293A7C"/>
    <w:rsid w:val="00294D46"/>
    <w:rsid w:val="0029593B"/>
    <w:rsid w:val="00297699"/>
    <w:rsid w:val="00297FC5"/>
    <w:rsid w:val="002A0417"/>
    <w:rsid w:val="002A16D8"/>
    <w:rsid w:val="002A19A3"/>
    <w:rsid w:val="002A1BC8"/>
    <w:rsid w:val="002A2233"/>
    <w:rsid w:val="002A2C3F"/>
    <w:rsid w:val="002A38EE"/>
    <w:rsid w:val="002A3EF2"/>
    <w:rsid w:val="002A44DD"/>
    <w:rsid w:val="002A48C2"/>
    <w:rsid w:val="002A5E33"/>
    <w:rsid w:val="002A7F50"/>
    <w:rsid w:val="002A7FDC"/>
    <w:rsid w:val="002B000C"/>
    <w:rsid w:val="002B00F9"/>
    <w:rsid w:val="002B0DED"/>
    <w:rsid w:val="002B19A2"/>
    <w:rsid w:val="002B312E"/>
    <w:rsid w:val="002B32B1"/>
    <w:rsid w:val="002B334F"/>
    <w:rsid w:val="002B381A"/>
    <w:rsid w:val="002B3AE7"/>
    <w:rsid w:val="002B42B3"/>
    <w:rsid w:val="002B4B52"/>
    <w:rsid w:val="002B4C19"/>
    <w:rsid w:val="002B4DED"/>
    <w:rsid w:val="002B4FCC"/>
    <w:rsid w:val="002B511B"/>
    <w:rsid w:val="002B565E"/>
    <w:rsid w:val="002B6400"/>
    <w:rsid w:val="002B64F9"/>
    <w:rsid w:val="002B6549"/>
    <w:rsid w:val="002B6FEA"/>
    <w:rsid w:val="002B7408"/>
    <w:rsid w:val="002B7CFD"/>
    <w:rsid w:val="002B7F0E"/>
    <w:rsid w:val="002C10B3"/>
    <w:rsid w:val="002C114D"/>
    <w:rsid w:val="002C11B8"/>
    <w:rsid w:val="002C1C22"/>
    <w:rsid w:val="002C210F"/>
    <w:rsid w:val="002C26D6"/>
    <w:rsid w:val="002C28ED"/>
    <w:rsid w:val="002C42E7"/>
    <w:rsid w:val="002C4F14"/>
    <w:rsid w:val="002C6284"/>
    <w:rsid w:val="002C6339"/>
    <w:rsid w:val="002D0E75"/>
    <w:rsid w:val="002D17B4"/>
    <w:rsid w:val="002D1B38"/>
    <w:rsid w:val="002D2EE3"/>
    <w:rsid w:val="002D34CD"/>
    <w:rsid w:val="002D3600"/>
    <w:rsid w:val="002D36C2"/>
    <w:rsid w:val="002D3954"/>
    <w:rsid w:val="002D45AA"/>
    <w:rsid w:val="002D491D"/>
    <w:rsid w:val="002D5E98"/>
    <w:rsid w:val="002D6CBC"/>
    <w:rsid w:val="002D7F52"/>
    <w:rsid w:val="002E09DB"/>
    <w:rsid w:val="002E0D20"/>
    <w:rsid w:val="002E13B5"/>
    <w:rsid w:val="002E2917"/>
    <w:rsid w:val="002E34EA"/>
    <w:rsid w:val="002E47F4"/>
    <w:rsid w:val="002E4DDC"/>
    <w:rsid w:val="002E5BBB"/>
    <w:rsid w:val="002E6094"/>
    <w:rsid w:val="002E6C59"/>
    <w:rsid w:val="002E6D36"/>
    <w:rsid w:val="002F17B3"/>
    <w:rsid w:val="002F262B"/>
    <w:rsid w:val="002F2C52"/>
    <w:rsid w:val="002F3703"/>
    <w:rsid w:val="002F449B"/>
    <w:rsid w:val="002F451C"/>
    <w:rsid w:val="002F6062"/>
    <w:rsid w:val="002F6CB3"/>
    <w:rsid w:val="002F7BA1"/>
    <w:rsid w:val="003002A8"/>
    <w:rsid w:val="003011EF"/>
    <w:rsid w:val="00302480"/>
    <w:rsid w:val="00302538"/>
    <w:rsid w:val="003028EC"/>
    <w:rsid w:val="00302C6E"/>
    <w:rsid w:val="00303390"/>
    <w:rsid w:val="00303681"/>
    <w:rsid w:val="00305CFD"/>
    <w:rsid w:val="0030638D"/>
    <w:rsid w:val="00306BC6"/>
    <w:rsid w:val="003071C2"/>
    <w:rsid w:val="00311319"/>
    <w:rsid w:val="003115AF"/>
    <w:rsid w:val="00311C36"/>
    <w:rsid w:val="00312643"/>
    <w:rsid w:val="00313349"/>
    <w:rsid w:val="0031337B"/>
    <w:rsid w:val="00313977"/>
    <w:rsid w:val="00314218"/>
    <w:rsid w:val="00314DDA"/>
    <w:rsid w:val="00314DFD"/>
    <w:rsid w:val="003150FE"/>
    <w:rsid w:val="0031643B"/>
    <w:rsid w:val="003165E6"/>
    <w:rsid w:val="003166FD"/>
    <w:rsid w:val="003170A1"/>
    <w:rsid w:val="003175BE"/>
    <w:rsid w:val="00317B93"/>
    <w:rsid w:val="00317CE5"/>
    <w:rsid w:val="00320D7A"/>
    <w:rsid w:val="0032135B"/>
    <w:rsid w:val="003215B5"/>
    <w:rsid w:val="00321CA0"/>
    <w:rsid w:val="00321D2E"/>
    <w:rsid w:val="003221CF"/>
    <w:rsid w:val="003233ED"/>
    <w:rsid w:val="0032373D"/>
    <w:rsid w:val="00324200"/>
    <w:rsid w:val="0032435A"/>
    <w:rsid w:val="00324D9F"/>
    <w:rsid w:val="00325114"/>
    <w:rsid w:val="0032567A"/>
    <w:rsid w:val="00325A98"/>
    <w:rsid w:val="00325B73"/>
    <w:rsid w:val="00327948"/>
    <w:rsid w:val="00327BD2"/>
    <w:rsid w:val="0033000F"/>
    <w:rsid w:val="00330452"/>
    <w:rsid w:val="00330465"/>
    <w:rsid w:val="00330733"/>
    <w:rsid w:val="00330CA7"/>
    <w:rsid w:val="003317E4"/>
    <w:rsid w:val="00332011"/>
    <w:rsid w:val="00332518"/>
    <w:rsid w:val="003325E2"/>
    <w:rsid w:val="00332925"/>
    <w:rsid w:val="00332E0C"/>
    <w:rsid w:val="003330E4"/>
    <w:rsid w:val="0033328A"/>
    <w:rsid w:val="003332ED"/>
    <w:rsid w:val="003337D0"/>
    <w:rsid w:val="0033467E"/>
    <w:rsid w:val="00334B9E"/>
    <w:rsid w:val="00334F57"/>
    <w:rsid w:val="003368DC"/>
    <w:rsid w:val="00336CCD"/>
    <w:rsid w:val="00337569"/>
    <w:rsid w:val="00340178"/>
    <w:rsid w:val="003402CA"/>
    <w:rsid w:val="003408CE"/>
    <w:rsid w:val="003413B6"/>
    <w:rsid w:val="00342C27"/>
    <w:rsid w:val="0034338D"/>
    <w:rsid w:val="0034420E"/>
    <w:rsid w:val="00345252"/>
    <w:rsid w:val="0034553A"/>
    <w:rsid w:val="00345927"/>
    <w:rsid w:val="00346A7E"/>
    <w:rsid w:val="00347948"/>
    <w:rsid w:val="003504F0"/>
    <w:rsid w:val="00350584"/>
    <w:rsid w:val="00350D19"/>
    <w:rsid w:val="00351857"/>
    <w:rsid w:val="00351BB1"/>
    <w:rsid w:val="0035247C"/>
    <w:rsid w:val="0035428D"/>
    <w:rsid w:val="003543F0"/>
    <w:rsid w:val="003545E8"/>
    <w:rsid w:val="00354B6E"/>
    <w:rsid w:val="0035583A"/>
    <w:rsid w:val="003558DF"/>
    <w:rsid w:val="00357CD3"/>
    <w:rsid w:val="003610E1"/>
    <w:rsid w:val="00361442"/>
    <w:rsid w:val="003615EE"/>
    <w:rsid w:val="003619AE"/>
    <w:rsid w:val="0036273F"/>
    <w:rsid w:val="00362FB0"/>
    <w:rsid w:val="003649D5"/>
    <w:rsid w:val="00364E10"/>
    <w:rsid w:val="0036504E"/>
    <w:rsid w:val="00365A56"/>
    <w:rsid w:val="00366071"/>
    <w:rsid w:val="003671BE"/>
    <w:rsid w:val="00367AC2"/>
    <w:rsid w:val="0037135C"/>
    <w:rsid w:val="0037170E"/>
    <w:rsid w:val="00371C83"/>
    <w:rsid w:val="00371E25"/>
    <w:rsid w:val="0037220C"/>
    <w:rsid w:val="00372485"/>
    <w:rsid w:val="003724D2"/>
    <w:rsid w:val="00372D38"/>
    <w:rsid w:val="00372F5F"/>
    <w:rsid w:val="00373200"/>
    <w:rsid w:val="00375142"/>
    <w:rsid w:val="003751A9"/>
    <w:rsid w:val="00375EF5"/>
    <w:rsid w:val="003767A5"/>
    <w:rsid w:val="003767FA"/>
    <w:rsid w:val="003769AE"/>
    <w:rsid w:val="00376DA5"/>
    <w:rsid w:val="003774F2"/>
    <w:rsid w:val="00377A8D"/>
    <w:rsid w:val="00377C59"/>
    <w:rsid w:val="00380C8F"/>
    <w:rsid w:val="00381D15"/>
    <w:rsid w:val="00383903"/>
    <w:rsid w:val="00385254"/>
    <w:rsid w:val="00385CA1"/>
    <w:rsid w:val="00386C9A"/>
    <w:rsid w:val="00390D91"/>
    <w:rsid w:val="003917DE"/>
    <w:rsid w:val="003918D4"/>
    <w:rsid w:val="003921CE"/>
    <w:rsid w:val="00392510"/>
    <w:rsid w:val="00393060"/>
    <w:rsid w:val="00393AC3"/>
    <w:rsid w:val="003949B6"/>
    <w:rsid w:val="003964BA"/>
    <w:rsid w:val="00396E0E"/>
    <w:rsid w:val="00397347"/>
    <w:rsid w:val="003A0152"/>
    <w:rsid w:val="003A04DB"/>
    <w:rsid w:val="003A13F6"/>
    <w:rsid w:val="003A1CE3"/>
    <w:rsid w:val="003A206B"/>
    <w:rsid w:val="003A2235"/>
    <w:rsid w:val="003A2B46"/>
    <w:rsid w:val="003A3DEC"/>
    <w:rsid w:val="003A3FFF"/>
    <w:rsid w:val="003A5F5B"/>
    <w:rsid w:val="003A662A"/>
    <w:rsid w:val="003A6AF5"/>
    <w:rsid w:val="003A6D41"/>
    <w:rsid w:val="003A789A"/>
    <w:rsid w:val="003A7F61"/>
    <w:rsid w:val="003B12EC"/>
    <w:rsid w:val="003B14E8"/>
    <w:rsid w:val="003B3AEB"/>
    <w:rsid w:val="003B463B"/>
    <w:rsid w:val="003B4B85"/>
    <w:rsid w:val="003B4DED"/>
    <w:rsid w:val="003B5CF3"/>
    <w:rsid w:val="003B5EC8"/>
    <w:rsid w:val="003B74F6"/>
    <w:rsid w:val="003C22A8"/>
    <w:rsid w:val="003C273D"/>
    <w:rsid w:val="003C306A"/>
    <w:rsid w:val="003C3AB4"/>
    <w:rsid w:val="003C43A6"/>
    <w:rsid w:val="003C69FC"/>
    <w:rsid w:val="003C6FC5"/>
    <w:rsid w:val="003C735B"/>
    <w:rsid w:val="003C741C"/>
    <w:rsid w:val="003C74A0"/>
    <w:rsid w:val="003C77E0"/>
    <w:rsid w:val="003D17D7"/>
    <w:rsid w:val="003D1FC9"/>
    <w:rsid w:val="003D25FB"/>
    <w:rsid w:val="003D2678"/>
    <w:rsid w:val="003D27EA"/>
    <w:rsid w:val="003D29DF"/>
    <w:rsid w:val="003D3F70"/>
    <w:rsid w:val="003D53A7"/>
    <w:rsid w:val="003D66E9"/>
    <w:rsid w:val="003D71A3"/>
    <w:rsid w:val="003E0539"/>
    <w:rsid w:val="003E0D79"/>
    <w:rsid w:val="003E1EE0"/>
    <w:rsid w:val="003E2B8A"/>
    <w:rsid w:val="003E3250"/>
    <w:rsid w:val="003E3AF0"/>
    <w:rsid w:val="003E3D1B"/>
    <w:rsid w:val="003E4041"/>
    <w:rsid w:val="003E4E4A"/>
    <w:rsid w:val="003E5E16"/>
    <w:rsid w:val="003E78AC"/>
    <w:rsid w:val="003F0536"/>
    <w:rsid w:val="003F1076"/>
    <w:rsid w:val="003F10EE"/>
    <w:rsid w:val="003F16F6"/>
    <w:rsid w:val="003F1B7F"/>
    <w:rsid w:val="003F2461"/>
    <w:rsid w:val="003F30D5"/>
    <w:rsid w:val="003F3960"/>
    <w:rsid w:val="003F484F"/>
    <w:rsid w:val="003F4ADB"/>
    <w:rsid w:val="003F4DC7"/>
    <w:rsid w:val="003F5168"/>
    <w:rsid w:val="003F5235"/>
    <w:rsid w:val="003F53FC"/>
    <w:rsid w:val="003F6882"/>
    <w:rsid w:val="00400265"/>
    <w:rsid w:val="00400A67"/>
    <w:rsid w:val="004012D3"/>
    <w:rsid w:val="004027E4"/>
    <w:rsid w:val="0040306E"/>
    <w:rsid w:val="0040577C"/>
    <w:rsid w:val="00407C61"/>
    <w:rsid w:val="00407F70"/>
    <w:rsid w:val="00410585"/>
    <w:rsid w:val="0041071D"/>
    <w:rsid w:val="00410B5E"/>
    <w:rsid w:val="00410C58"/>
    <w:rsid w:val="004119CD"/>
    <w:rsid w:val="00411FA2"/>
    <w:rsid w:val="00413005"/>
    <w:rsid w:val="004139AE"/>
    <w:rsid w:val="004139CE"/>
    <w:rsid w:val="00413BCC"/>
    <w:rsid w:val="00414AFC"/>
    <w:rsid w:val="00414BE2"/>
    <w:rsid w:val="00415167"/>
    <w:rsid w:val="004151A7"/>
    <w:rsid w:val="00415310"/>
    <w:rsid w:val="00416393"/>
    <w:rsid w:val="004173C5"/>
    <w:rsid w:val="0041773B"/>
    <w:rsid w:val="00417EC2"/>
    <w:rsid w:val="0042046D"/>
    <w:rsid w:val="00420854"/>
    <w:rsid w:val="00420CAF"/>
    <w:rsid w:val="0042125E"/>
    <w:rsid w:val="00421709"/>
    <w:rsid w:val="00421A9C"/>
    <w:rsid w:val="00423763"/>
    <w:rsid w:val="00423D18"/>
    <w:rsid w:val="00423D4A"/>
    <w:rsid w:val="00424CB3"/>
    <w:rsid w:val="004250FA"/>
    <w:rsid w:val="0042667D"/>
    <w:rsid w:val="00427569"/>
    <w:rsid w:val="0042762F"/>
    <w:rsid w:val="004276B4"/>
    <w:rsid w:val="00427DC7"/>
    <w:rsid w:val="00427E54"/>
    <w:rsid w:val="00427FBC"/>
    <w:rsid w:val="00430547"/>
    <w:rsid w:val="004311C7"/>
    <w:rsid w:val="00431613"/>
    <w:rsid w:val="00431792"/>
    <w:rsid w:val="00432309"/>
    <w:rsid w:val="0043297A"/>
    <w:rsid w:val="00432EB2"/>
    <w:rsid w:val="0043384D"/>
    <w:rsid w:val="00435BCD"/>
    <w:rsid w:val="004369E7"/>
    <w:rsid w:val="0043714F"/>
    <w:rsid w:val="0043775D"/>
    <w:rsid w:val="00440008"/>
    <w:rsid w:val="00440EDB"/>
    <w:rsid w:val="00441637"/>
    <w:rsid w:val="004434E9"/>
    <w:rsid w:val="004438B5"/>
    <w:rsid w:val="0044533A"/>
    <w:rsid w:val="004458FE"/>
    <w:rsid w:val="00446B5A"/>
    <w:rsid w:val="00446F29"/>
    <w:rsid w:val="00447037"/>
    <w:rsid w:val="00447DB0"/>
    <w:rsid w:val="004508E1"/>
    <w:rsid w:val="0045124D"/>
    <w:rsid w:val="0045138D"/>
    <w:rsid w:val="0045173A"/>
    <w:rsid w:val="00451FC5"/>
    <w:rsid w:val="0045206E"/>
    <w:rsid w:val="00452427"/>
    <w:rsid w:val="00452465"/>
    <w:rsid w:val="00452643"/>
    <w:rsid w:val="00452B15"/>
    <w:rsid w:val="00454596"/>
    <w:rsid w:val="004545C2"/>
    <w:rsid w:val="004547BB"/>
    <w:rsid w:val="0045605D"/>
    <w:rsid w:val="00456CEF"/>
    <w:rsid w:val="0045751A"/>
    <w:rsid w:val="00457CBA"/>
    <w:rsid w:val="00460356"/>
    <w:rsid w:val="0046081E"/>
    <w:rsid w:val="00460DE2"/>
    <w:rsid w:val="0046135B"/>
    <w:rsid w:val="00461856"/>
    <w:rsid w:val="00461A13"/>
    <w:rsid w:val="00461D47"/>
    <w:rsid w:val="004624C0"/>
    <w:rsid w:val="0046422E"/>
    <w:rsid w:val="004654B6"/>
    <w:rsid w:val="004663C5"/>
    <w:rsid w:val="00466AB5"/>
    <w:rsid w:val="00466ABD"/>
    <w:rsid w:val="00467AA9"/>
    <w:rsid w:val="00467F7C"/>
    <w:rsid w:val="004718CC"/>
    <w:rsid w:val="004733CA"/>
    <w:rsid w:val="00473511"/>
    <w:rsid w:val="00476E59"/>
    <w:rsid w:val="00476F44"/>
    <w:rsid w:val="004776B7"/>
    <w:rsid w:val="00481256"/>
    <w:rsid w:val="00481695"/>
    <w:rsid w:val="0048217F"/>
    <w:rsid w:val="0048344F"/>
    <w:rsid w:val="00483809"/>
    <w:rsid w:val="00483E22"/>
    <w:rsid w:val="004847AA"/>
    <w:rsid w:val="00485017"/>
    <w:rsid w:val="00485030"/>
    <w:rsid w:val="00485575"/>
    <w:rsid w:val="00485937"/>
    <w:rsid w:val="0048635B"/>
    <w:rsid w:val="00486812"/>
    <w:rsid w:val="00486C1A"/>
    <w:rsid w:val="0048739F"/>
    <w:rsid w:val="00487867"/>
    <w:rsid w:val="00490ABA"/>
    <w:rsid w:val="00490CB3"/>
    <w:rsid w:val="004914E0"/>
    <w:rsid w:val="00491706"/>
    <w:rsid w:val="004923B0"/>
    <w:rsid w:val="0049289F"/>
    <w:rsid w:val="00492E18"/>
    <w:rsid w:val="0049346D"/>
    <w:rsid w:val="00494BF1"/>
    <w:rsid w:val="004954CC"/>
    <w:rsid w:val="004958E7"/>
    <w:rsid w:val="00495A96"/>
    <w:rsid w:val="00495BB3"/>
    <w:rsid w:val="00496DA4"/>
    <w:rsid w:val="004977E1"/>
    <w:rsid w:val="004A00F9"/>
    <w:rsid w:val="004A13A7"/>
    <w:rsid w:val="004A1538"/>
    <w:rsid w:val="004A2394"/>
    <w:rsid w:val="004A3398"/>
    <w:rsid w:val="004A56BB"/>
    <w:rsid w:val="004A6CF1"/>
    <w:rsid w:val="004A7502"/>
    <w:rsid w:val="004B07B9"/>
    <w:rsid w:val="004B08E4"/>
    <w:rsid w:val="004B1739"/>
    <w:rsid w:val="004B1751"/>
    <w:rsid w:val="004B1EB0"/>
    <w:rsid w:val="004B215E"/>
    <w:rsid w:val="004B3FA5"/>
    <w:rsid w:val="004B5197"/>
    <w:rsid w:val="004B5B9F"/>
    <w:rsid w:val="004B5D4E"/>
    <w:rsid w:val="004B5DA8"/>
    <w:rsid w:val="004B618A"/>
    <w:rsid w:val="004C0253"/>
    <w:rsid w:val="004C04F0"/>
    <w:rsid w:val="004C2522"/>
    <w:rsid w:val="004C57ED"/>
    <w:rsid w:val="004C5BFB"/>
    <w:rsid w:val="004C618A"/>
    <w:rsid w:val="004C631E"/>
    <w:rsid w:val="004C651B"/>
    <w:rsid w:val="004C6FB5"/>
    <w:rsid w:val="004C7274"/>
    <w:rsid w:val="004D092E"/>
    <w:rsid w:val="004D117D"/>
    <w:rsid w:val="004D1262"/>
    <w:rsid w:val="004D275D"/>
    <w:rsid w:val="004D2A3C"/>
    <w:rsid w:val="004D3266"/>
    <w:rsid w:val="004D32BE"/>
    <w:rsid w:val="004D4E12"/>
    <w:rsid w:val="004D5403"/>
    <w:rsid w:val="004D5429"/>
    <w:rsid w:val="004D56FF"/>
    <w:rsid w:val="004D6191"/>
    <w:rsid w:val="004E012E"/>
    <w:rsid w:val="004E0667"/>
    <w:rsid w:val="004E1EE1"/>
    <w:rsid w:val="004E2414"/>
    <w:rsid w:val="004E333D"/>
    <w:rsid w:val="004E36F3"/>
    <w:rsid w:val="004E39D3"/>
    <w:rsid w:val="004E4A04"/>
    <w:rsid w:val="004E508A"/>
    <w:rsid w:val="004E616D"/>
    <w:rsid w:val="004E70E8"/>
    <w:rsid w:val="004E7C9C"/>
    <w:rsid w:val="004F00CD"/>
    <w:rsid w:val="004F0BCC"/>
    <w:rsid w:val="004F0E96"/>
    <w:rsid w:val="004F1682"/>
    <w:rsid w:val="004F1BDE"/>
    <w:rsid w:val="004F2CEE"/>
    <w:rsid w:val="004F3D1E"/>
    <w:rsid w:val="004F3EA6"/>
    <w:rsid w:val="004F4673"/>
    <w:rsid w:val="004F4CF2"/>
    <w:rsid w:val="004F5139"/>
    <w:rsid w:val="004F556E"/>
    <w:rsid w:val="004F591C"/>
    <w:rsid w:val="004F5EF2"/>
    <w:rsid w:val="004F5F2F"/>
    <w:rsid w:val="004F687A"/>
    <w:rsid w:val="004F6938"/>
    <w:rsid w:val="004F7F44"/>
    <w:rsid w:val="004F7FF1"/>
    <w:rsid w:val="0050003D"/>
    <w:rsid w:val="005028A5"/>
    <w:rsid w:val="00502AFB"/>
    <w:rsid w:val="005037B4"/>
    <w:rsid w:val="0050426B"/>
    <w:rsid w:val="00504324"/>
    <w:rsid w:val="00504550"/>
    <w:rsid w:val="005050B4"/>
    <w:rsid w:val="005051DE"/>
    <w:rsid w:val="005052FA"/>
    <w:rsid w:val="005075E2"/>
    <w:rsid w:val="005079BF"/>
    <w:rsid w:val="00511829"/>
    <w:rsid w:val="0051269A"/>
    <w:rsid w:val="00513C71"/>
    <w:rsid w:val="00514072"/>
    <w:rsid w:val="005150E9"/>
    <w:rsid w:val="0051582D"/>
    <w:rsid w:val="00516278"/>
    <w:rsid w:val="00516EEB"/>
    <w:rsid w:val="005171C9"/>
    <w:rsid w:val="00517DA6"/>
    <w:rsid w:val="00517E54"/>
    <w:rsid w:val="00520881"/>
    <w:rsid w:val="005219E7"/>
    <w:rsid w:val="005230D6"/>
    <w:rsid w:val="005238BC"/>
    <w:rsid w:val="00523A67"/>
    <w:rsid w:val="00525493"/>
    <w:rsid w:val="00526778"/>
    <w:rsid w:val="00526D1C"/>
    <w:rsid w:val="0052782C"/>
    <w:rsid w:val="00530148"/>
    <w:rsid w:val="005309BD"/>
    <w:rsid w:val="00530CCC"/>
    <w:rsid w:val="00531B9A"/>
    <w:rsid w:val="00531D15"/>
    <w:rsid w:val="005330E8"/>
    <w:rsid w:val="00534846"/>
    <w:rsid w:val="00535D28"/>
    <w:rsid w:val="0053720C"/>
    <w:rsid w:val="00537604"/>
    <w:rsid w:val="0054001D"/>
    <w:rsid w:val="00540221"/>
    <w:rsid w:val="00542377"/>
    <w:rsid w:val="005429C8"/>
    <w:rsid w:val="0054302C"/>
    <w:rsid w:val="0054338B"/>
    <w:rsid w:val="00543F86"/>
    <w:rsid w:val="00544334"/>
    <w:rsid w:val="005447BE"/>
    <w:rsid w:val="00544A7F"/>
    <w:rsid w:val="00545CB2"/>
    <w:rsid w:val="00546781"/>
    <w:rsid w:val="005468A9"/>
    <w:rsid w:val="0054766C"/>
    <w:rsid w:val="005476EB"/>
    <w:rsid w:val="005503AE"/>
    <w:rsid w:val="00550876"/>
    <w:rsid w:val="00551782"/>
    <w:rsid w:val="00552663"/>
    <w:rsid w:val="005531D8"/>
    <w:rsid w:val="00553724"/>
    <w:rsid w:val="0055412E"/>
    <w:rsid w:val="005542B1"/>
    <w:rsid w:val="00554C7E"/>
    <w:rsid w:val="00554D1A"/>
    <w:rsid w:val="00555605"/>
    <w:rsid w:val="005557FC"/>
    <w:rsid w:val="00556380"/>
    <w:rsid w:val="005567C3"/>
    <w:rsid w:val="00557699"/>
    <w:rsid w:val="00557701"/>
    <w:rsid w:val="00557F9B"/>
    <w:rsid w:val="00560FEE"/>
    <w:rsid w:val="00561D4F"/>
    <w:rsid w:val="0056276F"/>
    <w:rsid w:val="00563EF1"/>
    <w:rsid w:val="00563F55"/>
    <w:rsid w:val="00564020"/>
    <w:rsid w:val="0056547D"/>
    <w:rsid w:val="00566894"/>
    <w:rsid w:val="005668FB"/>
    <w:rsid w:val="00566A46"/>
    <w:rsid w:val="00566AB4"/>
    <w:rsid w:val="005677E5"/>
    <w:rsid w:val="00567925"/>
    <w:rsid w:val="00570330"/>
    <w:rsid w:val="00571518"/>
    <w:rsid w:val="00571E53"/>
    <w:rsid w:val="00571EFB"/>
    <w:rsid w:val="005724B1"/>
    <w:rsid w:val="0057327A"/>
    <w:rsid w:val="0057516B"/>
    <w:rsid w:val="005753E6"/>
    <w:rsid w:val="00575AC5"/>
    <w:rsid w:val="00575E71"/>
    <w:rsid w:val="0057605D"/>
    <w:rsid w:val="00576373"/>
    <w:rsid w:val="005764E1"/>
    <w:rsid w:val="00576FCC"/>
    <w:rsid w:val="00577B67"/>
    <w:rsid w:val="00577CDE"/>
    <w:rsid w:val="00581347"/>
    <w:rsid w:val="00581942"/>
    <w:rsid w:val="00581AC9"/>
    <w:rsid w:val="0058249A"/>
    <w:rsid w:val="0058333A"/>
    <w:rsid w:val="005849F8"/>
    <w:rsid w:val="00586D19"/>
    <w:rsid w:val="0059006F"/>
    <w:rsid w:val="00590C04"/>
    <w:rsid w:val="00591769"/>
    <w:rsid w:val="0059217C"/>
    <w:rsid w:val="005922A1"/>
    <w:rsid w:val="005924BA"/>
    <w:rsid w:val="005924D4"/>
    <w:rsid w:val="00593746"/>
    <w:rsid w:val="005938DF"/>
    <w:rsid w:val="005939B4"/>
    <w:rsid w:val="00593E17"/>
    <w:rsid w:val="00594335"/>
    <w:rsid w:val="00594B3C"/>
    <w:rsid w:val="00594E9C"/>
    <w:rsid w:val="00595645"/>
    <w:rsid w:val="00595776"/>
    <w:rsid w:val="00596140"/>
    <w:rsid w:val="005973C4"/>
    <w:rsid w:val="005973DD"/>
    <w:rsid w:val="005A099B"/>
    <w:rsid w:val="005A11EB"/>
    <w:rsid w:val="005A11EE"/>
    <w:rsid w:val="005A17FB"/>
    <w:rsid w:val="005A215A"/>
    <w:rsid w:val="005A2D9C"/>
    <w:rsid w:val="005A55FE"/>
    <w:rsid w:val="005A5E12"/>
    <w:rsid w:val="005A6A11"/>
    <w:rsid w:val="005A6C4F"/>
    <w:rsid w:val="005B0912"/>
    <w:rsid w:val="005B1485"/>
    <w:rsid w:val="005B28E3"/>
    <w:rsid w:val="005B40ED"/>
    <w:rsid w:val="005B50F4"/>
    <w:rsid w:val="005B5AD4"/>
    <w:rsid w:val="005B6C3C"/>
    <w:rsid w:val="005B6EA5"/>
    <w:rsid w:val="005C0611"/>
    <w:rsid w:val="005C0F51"/>
    <w:rsid w:val="005C119D"/>
    <w:rsid w:val="005C29EC"/>
    <w:rsid w:val="005C2A47"/>
    <w:rsid w:val="005C3B4C"/>
    <w:rsid w:val="005C4E73"/>
    <w:rsid w:val="005C4FB2"/>
    <w:rsid w:val="005C501F"/>
    <w:rsid w:val="005C6A0A"/>
    <w:rsid w:val="005C710B"/>
    <w:rsid w:val="005C74DB"/>
    <w:rsid w:val="005C79F4"/>
    <w:rsid w:val="005D0266"/>
    <w:rsid w:val="005D08C7"/>
    <w:rsid w:val="005D13D1"/>
    <w:rsid w:val="005D19B8"/>
    <w:rsid w:val="005D2502"/>
    <w:rsid w:val="005D2DA3"/>
    <w:rsid w:val="005D34E1"/>
    <w:rsid w:val="005D3BBC"/>
    <w:rsid w:val="005D40BB"/>
    <w:rsid w:val="005D47F3"/>
    <w:rsid w:val="005D49BF"/>
    <w:rsid w:val="005D4A5E"/>
    <w:rsid w:val="005D4AA5"/>
    <w:rsid w:val="005D5E6A"/>
    <w:rsid w:val="005D6F4E"/>
    <w:rsid w:val="005D70ED"/>
    <w:rsid w:val="005D7386"/>
    <w:rsid w:val="005D79A1"/>
    <w:rsid w:val="005D7C73"/>
    <w:rsid w:val="005E021F"/>
    <w:rsid w:val="005E069B"/>
    <w:rsid w:val="005E109E"/>
    <w:rsid w:val="005E1985"/>
    <w:rsid w:val="005E1B4C"/>
    <w:rsid w:val="005E202C"/>
    <w:rsid w:val="005E3ACD"/>
    <w:rsid w:val="005E472A"/>
    <w:rsid w:val="005E4D65"/>
    <w:rsid w:val="005E534B"/>
    <w:rsid w:val="005E604D"/>
    <w:rsid w:val="005E69BE"/>
    <w:rsid w:val="005E6D12"/>
    <w:rsid w:val="005E7226"/>
    <w:rsid w:val="005E7233"/>
    <w:rsid w:val="005E745D"/>
    <w:rsid w:val="005E75EA"/>
    <w:rsid w:val="005E7A57"/>
    <w:rsid w:val="005F04B8"/>
    <w:rsid w:val="005F0B65"/>
    <w:rsid w:val="005F0E46"/>
    <w:rsid w:val="005F1184"/>
    <w:rsid w:val="005F24B0"/>
    <w:rsid w:val="005F3911"/>
    <w:rsid w:val="005F461C"/>
    <w:rsid w:val="005F58A5"/>
    <w:rsid w:val="005F7ACC"/>
    <w:rsid w:val="00600936"/>
    <w:rsid w:val="00600B3C"/>
    <w:rsid w:val="00601145"/>
    <w:rsid w:val="00601438"/>
    <w:rsid w:val="00602A7D"/>
    <w:rsid w:val="00602ACD"/>
    <w:rsid w:val="00602EC8"/>
    <w:rsid w:val="00603DB3"/>
    <w:rsid w:val="00604315"/>
    <w:rsid w:val="00604E26"/>
    <w:rsid w:val="00604FDD"/>
    <w:rsid w:val="006052CF"/>
    <w:rsid w:val="00606853"/>
    <w:rsid w:val="00607B8D"/>
    <w:rsid w:val="00610340"/>
    <w:rsid w:val="006116BF"/>
    <w:rsid w:val="006116C4"/>
    <w:rsid w:val="00611F5C"/>
    <w:rsid w:val="00612F02"/>
    <w:rsid w:val="00614870"/>
    <w:rsid w:val="00614ACE"/>
    <w:rsid w:val="0061613C"/>
    <w:rsid w:val="0061635E"/>
    <w:rsid w:val="00616E09"/>
    <w:rsid w:val="00616EBD"/>
    <w:rsid w:val="00617AF3"/>
    <w:rsid w:val="00620DE5"/>
    <w:rsid w:val="006215CE"/>
    <w:rsid w:val="00622A3B"/>
    <w:rsid w:val="00622EEA"/>
    <w:rsid w:val="0062396C"/>
    <w:rsid w:val="00623E1C"/>
    <w:rsid w:val="00623FF9"/>
    <w:rsid w:val="00624F4C"/>
    <w:rsid w:val="006255AC"/>
    <w:rsid w:val="00625DF5"/>
    <w:rsid w:val="006263ED"/>
    <w:rsid w:val="00626DA4"/>
    <w:rsid w:val="00627D4E"/>
    <w:rsid w:val="00630770"/>
    <w:rsid w:val="00630919"/>
    <w:rsid w:val="00632335"/>
    <w:rsid w:val="00632B89"/>
    <w:rsid w:val="00634478"/>
    <w:rsid w:val="006348C6"/>
    <w:rsid w:val="00634DF7"/>
    <w:rsid w:val="006350D3"/>
    <w:rsid w:val="00636475"/>
    <w:rsid w:val="0063747F"/>
    <w:rsid w:val="0063755E"/>
    <w:rsid w:val="00640613"/>
    <w:rsid w:val="00640AF3"/>
    <w:rsid w:val="00641970"/>
    <w:rsid w:val="00642800"/>
    <w:rsid w:val="00644373"/>
    <w:rsid w:val="006445B2"/>
    <w:rsid w:val="00645555"/>
    <w:rsid w:val="00645915"/>
    <w:rsid w:val="0064604D"/>
    <w:rsid w:val="00647113"/>
    <w:rsid w:val="0065004F"/>
    <w:rsid w:val="00650A00"/>
    <w:rsid w:val="0065156A"/>
    <w:rsid w:val="006519C3"/>
    <w:rsid w:val="0065296F"/>
    <w:rsid w:val="00652B30"/>
    <w:rsid w:val="00652D7D"/>
    <w:rsid w:val="006537C4"/>
    <w:rsid w:val="006545E0"/>
    <w:rsid w:val="006549B5"/>
    <w:rsid w:val="00656345"/>
    <w:rsid w:val="006566CF"/>
    <w:rsid w:val="00656CB2"/>
    <w:rsid w:val="00656DC6"/>
    <w:rsid w:val="00660842"/>
    <w:rsid w:val="00660EC6"/>
    <w:rsid w:val="0066130E"/>
    <w:rsid w:val="00662218"/>
    <w:rsid w:val="006629E4"/>
    <w:rsid w:val="00664110"/>
    <w:rsid w:val="00664D17"/>
    <w:rsid w:val="00666520"/>
    <w:rsid w:val="006671B5"/>
    <w:rsid w:val="0066755C"/>
    <w:rsid w:val="0066795F"/>
    <w:rsid w:val="00667C5B"/>
    <w:rsid w:val="00667F51"/>
    <w:rsid w:val="006705C4"/>
    <w:rsid w:val="006716C8"/>
    <w:rsid w:val="00671EDF"/>
    <w:rsid w:val="00672605"/>
    <w:rsid w:val="00672CB9"/>
    <w:rsid w:val="00672F96"/>
    <w:rsid w:val="0067343B"/>
    <w:rsid w:val="006740E5"/>
    <w:rsid w:val="0067495F"/>
    <w:rsid w:val="00674E16"/>
    <w:rsid w:val="00675411"/>
    <w:rsid w:val="00675B37"/>
    <w:rsid w:val="0067750B"/>
    <w:rsid w:val="00677B03"/>
    <w:rsid w:val="006806B0"/>
    <w:rsid w:val="00680B4A"/>
    <w:rsid w:val="00680EA2"/>
    <w:rsid w:val="00680ECB"/>
    <w:rsid w:val="0068135B"/>
    <w:rsid w:val="006814F8"/>
    <w:rsid w:val="00682A72"/>
    <w:rsid w:val="00682C07"/>
    <w:rsid w:val="006837EF"/>
    <w:rsid w:val="006848BF"/>
    <w:rsid w:val="00684E4F"/>
    <w:rsid w:val="00685814"/>
    <w:rsid w:val="00686263"/>
    <w:rsid w:val="0069003A"/>
    <w:rsid w:val="00691EB8"/>
    <w:rsid w:val="00692CDE"/>
    <w:rsid w:val="00693073"/>
    <w:rsid w:val="00693CC0"/>
    <w:rsid w:val="006943B2"/>
    <w:rsid w:val="00694E4D"/>
    <w:rsid w:val="00694FDE"/>
    <w:rsid w:val="0069530D"/>
    <w:rsid w:val="006965F5"/>
    <w:rsid w:val="006966ED"/>
    <w:rsid w:val="00696828"/>
    <w:rsid w:val="00696D64"/>
    <w:rsid w:val="006977FF"/>
    <w:rsid w:val="006A01FA"/>
    <w:rsid w:val="006A0213"/>
    <w:rsid w:val="006A0E9E"/>
    <w:rsid w:val="006A1B34"/>
    <w:rsid w:val="006A1CD3"/>
    <w:rsid w:val="006A25C7"/>
    <w:rsid w:val="006A37C5"/>
    <w:rsid w:val="006A4AAD"/>
    <w:rsid w:val="006A4FEA"/>
    <w:rsid w:val="006A5004"/>
    <w:rsid w:val="006A5206"/>
    <w:rsid w:val="006A5FA2"/>
    <w:rsid w:val="006A68FA"/>
    <w:rsid w:val="006A6A29"/>
    <w:rsid w:val="006A6B59"/>
    <w:rsid w:val="006A6DA2"/>
    <w:rsid w:val="006A7AB2"/>
    <w:rsid w:val="006A7ADD"/>
    <w:rsid w:val="006A7B58"/>
    <w:rsid w:val="006B048C"/>
    <w:rsid w:val="006B11C7"/>
    <w:rsid w:val="006B2621"/>
    <w:rsid w:val="006B4497"/>
    <w:rsid w:val="006B4776"/>
    <w:rsid w:val="006B5717"/>
    <w:rsid w:val="006B582F"/>
    <w:rsid w:val="006B5EB2"/>
    <w:rsid w:val="006C0297"/>
    <w:rsid w:val="006C095F"/>
    <w:rsid w:val="006C0CEB"/>
    <w:rsid w:val="006C0F18"/>
    <w:rsid w:val="006C11B9"/>
    <w:rsid w:val="006C1DF5"/>
    <w:rsid w:val="006C274F"/>
    <w:rsid w:val="006C3877"/>
    <w:rsid w:val="006C3A1B"/>
    <w:rsid w:val="006C3B1E"/>
    <w:rsid w:val="006C3BF7"/>
    <w:rsid w:val="006C47FD"/>
    <w:rsid w:val="006C4EDD"/>
    <w:rsid w:val="006C5568"/>
    <w:rsid w:val="006C5C19"/>
    <w:rsid w:val="006C6026"/>
    <w:rsid w:val="006C6130"/>
    <w:rsid w:val="006C63F1"/>
    <w:rsid w:val="006C70A0"/>
    <w:rsid w:val="006C71FF"/>
    <w:rsid w:val="006C76F5"/>
    <w:rsid w:val="006C7A3B"/>
    <w:rsid w:val="006D007E"/>
    <w:rsid w:val="006D27CB"/>
    <w:rsid w:val="006D2F08"/>
    <w:rsid w:val="006D339E"/>
    <w:rsid w:val="006D43C5"/>
    <w:rsid w:val="006D56CB"/>
    <w:rsid w:val="006D576C"/>
    <w:rsid w:val="006D5865"/>
    <w:rsid w:val="006D59F2"/>
    <w:rsid w:val="006D626F"/>
    <w:rsid w:val="006D67D6"/>
    <w:rsid w:val="006D72D2"/>
    <w:rsid w:val="006E05C7"/>
    <w:rsid w:val="006E19AC"/>
    <w:rsid w:val="006E1FAE"/>
    <w:rsid w:val="006E3164"/>
    <w:rsid w:val="006E4694"/>
    <w:rsid w:val="006E4B1B"/>
    <w:rsid w:val="006E5445"/>
    <w:rsid w:val="006E5830"/>
    <w:rsid w:val="006E5A04"/>
    <w:rsid w:val="006E7D93"/>
    <w:rsid w:val="006F1CFA"/>
    <w:rsid w:val="006F251B"/>
    <w:rsid w:val="006F2999"/>
    <w:rsid w:val="006F4AE9"/>
    <w:rsid w:val="006F5957"/>
    <w:rsid w:val="006F6525"/>
    <w:rsid w:val="006F740F"/>
    <w:rsid w:val="00700B66"/>
    <w:rsid w:val="00701271"/>
    <w:rsid w:val="0070182C"/>
    <w:rsid w:val="0070227D"/>
    <w:rsid w:val="00702552"/>
    <w:rsid w:val="007029A3"/>
    <w:rsid w:val="007040AE"/>
    <w:rsid w:val="00704728"/>
    <w:rsid w:val="00704FB3"/>
    <w:rsid w:val="00706E4E"/>
    <w:rsid w:val="00707150"/>
    <w:rsid w:val="007071A9"/>
    <w:rsid w:val="0070791C"/>
    <w:rsid w:val="00707C59"/>
    <w:rsid w:val="00710585"/>
    <w:rsid w:val="0071180C"/>
    <w:rsid w:val="00711AA1"/>
    <w:rsid w:val="00711BB1"/>
    <w:rsid w:val="007127B4"/>
    <w:rsid w:val="0071383C"/>
    <w:rsid w:val="00713AA2"/>
    <w:rsid w:val="007141A7"/>
    <w:rsid w:val="007156BF"/>
    <w:rsid w:val="00715722"/>
    <w:rsid w:val="00715D59"/>
    <w:rsid w:val="00717F3F"/>
    <w:rsid w:val="007205F5"/>
    <w:rsid w:val="00721032"/>
    <w:rsid w:val="00721B55"/>
    <w:rsid w:val="007221C3"/>
    <w:rsid w:val="007233C4"/>
    <w:rsid w:val="007249E6"/>
    <w:rsid w:val="00724E19"/>
    <w:rsid w:val="0072549B"/>
    <w:rsid w:val="00725BB4"/>
    <w:rsid w:val="00726CE4"/>
    <w:rsid w:val="007270DE"/>
    <w:rsid w:val="007274F8"/>
    <w:rsid w:val="00727673"/>
    <w:rsid w:val="0073112D"/>
    <w:rsid w:val="00731B5C"/>
    <w:rsid w:val="00731B89"/>
    <w:rsid w:val="00731D70"/>
    <w:rsid w:val="007320FC"/>
    <w:rsid w:val="0073213D"/>
    <w:rsid w:val="00732B5C"/>
    <w:rsid w:val="00732C36"/>
    <w:rsid w:val="00733B23"/>
    <w:rsid w:val="00734143"/>
    <w:rsid w:val="007341FF"/>
    <w:rsid w:val="00734E9C"/>
    <w:rsid w:val="00734F16"/>
    <w:rsid w:val="007350AB"/>
    <w:rsid w:val="0073545B"/>
    <w:rsid w:val="00736956"/>
    <w:rsid w:val="00737437"/>
    <w:rsid w:val="007376E9"/>
    <w:rsid w:val="00737E47"/>
    <w:rsid w:val="0074003B"/>
    <w:rsid w:val="00740C64"/>
    <w:rsid w:val="00740EAC"/>
    <w:rsid w:val="00741C16"/>
    <w:rsid w:val="0074270C"/>
    <w:rsid w:val="00742CC5"/>
    <w:rsid w:val="007435A5"/>
    <w:rsid w:val="00744956"/>
    <w:rsid w:val="00745A5C"/>
    <w:rsid w:val="00746036"/>
    <w:rsid w:val="0074605F"/>
    <w:rsid w:val="00746A68"/>
    <w:rsid w:val="00746CF2"/>
    <w:rsid w:val="00746F61"/>
    <w:rsid w:val="00747758"/>
    <w:rsid w:val="00747E94"/>
    <w:rsid w:val="007538D9"/>
    <w:rsid w:val="007543C0"/>
    <w:rsid w:val="00754AC4"/>
    <w:rsid w:val="00754C83"/>
    <w:rsid w:val="007555CE"/>
    <w:rsid w:val="00761155"/>
    <w:rsid w:val="007616B1"/>
    <w:rsid w:val="007616E0"/>
    <w:rsid w:val="00762DEC"/>
    <w:rsid w:val="00763989"/>
    <w:rsid w:val="00763E65"/>
    <w:rsid w:val="00765159"/>
    <w:rsid w:val="0076535F"/>
    <w:rsid w:val="00765576"/>
    <w:rsid w:val="00765DF8"/>
    <w:rsid w:val="00766749"/>
    <w:rsid w:val="007669DE"/>
    <w:rsid w:val="0076705A"/>
    <w:rsid w:val="00767299"/>
    <w:rsid w:val="00767353"/>
    <w:rsid w:val="00767C1B"/>
    <w:rsid w:val="00767E79"/>
    <w:rsid w:val="00767E80"/>
    <w:rsid w:val="007714A9"/>
    <w:rsid w:val="007720A8"/>
    <w:rsid w:val="0077339C"/>
    <w:rsid w:val="0077378E"/>
    <w:rsid w:val="00774F37"/>
    <w:rsid w:val="00774F88"/>
    <w:rsid w:val="00774FDB"/>
    <w:rsid w:val="0077573C"/>
    <w:rsid w:val="00775FEC"/>
    <w:rsid w:val="0077640C"/>
    <w:rsid w:val="0077651E"/>
    <w:rsid w:val="007769B8"/>
    <w:rsid w:val="00777422"/>
    <w:rsid w:val="00777BA2"/>
    <w:rsid w:val="00780271"/>
    <w:rsid w:val="00780401"/>
    <w:rsid w:val="0078055E"/>
    <w:rsid w:val="00781408"/>
    <w:rsid w:val="00781587"/>
    <w:rsid w:val="00781699"/>
    <w:rsid w:val="00781D5F"/>
    <w:rsid w:val="00781E8D"/>
    <w:rsid w:val="00781EF2"/>
    <w:rsid w:val="007826DB"/>
    <w:rsid w:val="00782DA1"/>
    <w:rsid w:val="00782FE9"/>
    <w:rsid w:val="00783DDA"/>
    <w:rsid w:val="00784EF2"/>
    <w:rsid w:val="00784F7F"/>
    <w:rsid w:val="007851F2"/>
    <w:rsid w:val="00785E0F"/>
    <w:rsid w:val="007861BD"/>
    <w:rsid w:val="00786913"/>
    <w:rsid w:val="007878BD"/>
    <w:rsid w:val="00790198"/>
    <w:rsid w:val="00790320"/>
    <w:rsid w:val="0079158D"/>
    <w:rsid w:val="00791F12"/>
    <w:rsid w:val="0079209F"/>
    <w:rsid w:val="00793EB8"/>
    <w:rsid w:val="0079452C"/>
    <w:rsid w:val="0079630E"/>
    <w:rsid w:val="0079668A"/>
    <w:rsid w:val="00796F25"/>
    <w:rsid w:val="00797738"/>
    <w:rsid w:val="00797DE3"/>
    <w:rsid w:val="007A10DD"/>
    <w:rsid w:val="007A1D7F"/>
    <w:rsid w:val="007A29BF"/>
    <w:rsid w:val="007A2B4A"/>
    <w:rsid w:val="007A2E08"/>
    <w:rsid w:val="007A2E98"/>
    <w:rsid w:val="007A3739"/>
    <w:rsid w:val="007A3BA3"/>
    <w:rsid w:val="007A5515"/>
    <w:rsid w:val="007A5598"/>
    <w:rsid w:val="007A605C"/>
    <w:rsid w:val="007A6A0A"/>
    <w:rsid w:val="007A6CC0"/>
    <w:rsid w:val="007A73E7"/>
    <w:rsid w:val="007A7FEC"/>
    <w:rsid w:val="007B0402"/>
    <w:rsid w:val="007B1015"/>
    <w:rsid w:val="007B1499"/>
    <w:rsid w:val="007B1AEA"/>
    <w:rsid w:val="007B1BBF"/>
    <w:rsid w:val="007B1D28"/>
    <w:rsid w:val="007B2960"/>
    <w:rsid w:val="007B2B56"/>
    <w:rsid w:val="007B2E97"/>
    <w:rsid w:val="007B2ED2"/>
    <w:rsid w:val="007B355D"/>
    <w:rsid w:val="007B40A0"/>
    <w:rsid w:val="007B552D"/>
    <w:rsid w:val="007B7699"/>
    <w:rsid w:val="007B7980"/>
    <w:rsid w:val="007C0222"/>
    <w:rsid w:val="007C05DF"/>
    <w:rsid w:val="007C0DEF"/>
    <w:rsid w:val="007C398F"/>
    <w:rsid w:val="007C3CBD"/>
    <w:rsid w:val="007C5344"/>
    <w:rsid w:val="007C5D5A"/>
    <w:rsid w:val="007C607F"/>
    <w:rsid w:val="007C699A"/>
    <w:rsid w:val="007C6C78"/>
    <w:rsid w:val="007C715D"/>
    <w:rsid w:val="007C716E"/>
    <w:rsid w:val="007C71CD"/>
    <w:rsid w:val="007C72DE"/>
    <w:rsid w:val="007C747D"/>
    <w:rsid w:val="007C74B9"/>
    <w:rsid w:val="007C79DD"/>
    <w:rsid w:val="007D0AED"/>
    <w:rsid w:val="007D1A97"/>
    <w:rsid w:val="007D21C3"/>
    <w:rsid w:val="007D2CD6"/>
    <w:rsid w:val="007D3063"/>
    <w:rsid w:val="007D32E1"/>
    <w:rsid w:val="007D3CEB"/>
    <w:rsid w:val="007D4747"/>
    <w:rsid w:val="007D551E"/>
    <w:rsid w:val="007D6042"/>
    <w:rsid w:val="007D7693"/>
    <w:rsid w:val="007D7E6D"/>
    <w:rsid w:val="007E0392"/>
    <w:rsid w:val="007E04D6"/>
    <w:rsid w:val="007E28FF"/>
    <w:rsid w:val="007E2CC9"/>
    <w:rsid w:val="007E3A33"/>
    <w:rsid w:val="007E3B34"/>
    <w:rsid w:val="007E5641"/>
    <w:rsid w:val="007E6005"/>
    <w:rsid w:val="007E6D15"/>
    <w:rsid w:val="007E7683"/>
    <w:rsid w:val="007E76E6"/>
    <w:rsid w:val="007F072B"/>
    <w:rsid w:val="007F1776"/>
    <w:rsid w:val="007F17B1"/>
    <w:rsid w:val="007F1E77"/>
    <w:rsid w:val="007F2A17"/>
    <w:rsid w:val="007F2FBF"/>
    <w:rsid w:val="007F2FC3"/>
    <w:rsid w:val="007F30A8"/>
    <w:rsid w:val="007F3180"/>
    <w:rsid w:val="007F39C2"/>
    <w:rsid w:val="007F4375"/>
    <w:rsid w:val="007F4783"/>
    <w:rsid w:val="007F49FA"/>
    <w:rsid w:val="007F54C4"/>
    <w:rsid w:val="007F5F75"/>
    <w:rsid w:val="007F6769"/>
    <w:rsid w:val="007F6E9A"/>
    <w:rsid w:val="008004E0"/>
    <w:rsid w:val="00800EAA"/>
    <w:rsid w:val="00800F9F"/>
    <w:rsid w:val="00800FB7"/>
    <w:rsid w:val="008013EF"/>
    <w:rsid w:val="00803288"/>
    <w:rsid w:val="008044D4"/>
    <w:rsid w:val="00804C7E"/>
    <w:rsid w:val="00804CC1"/>
    <w:rsid w:val="00806A7D"/>
    <w:rsid w:val="008074D3"/>
    <w:rsid w:val="00807D26"/>
    <w:rsid w:val="00810AB4"/>
    <w:rsid w:val="00810EF7"/>
    <w:rsid w:val="0081109A"/>
    <w:rsid w:val="00811A31"/>
    <w:rsid w:val="00811D43"/>
    <w:rsid w:val="00811F59"/>
    <w:rsid w:val="00814B8F"/>
    <w:rsid w:val="00814BEE"/>
    <w:rsid w:val="008162AC"/>
    <w:rsid w:val="00816A20"/>
    <w:rsid w:val="00817278"/>
    <w:rsid w:val="00817B56"/>
    <w:rsid w:val="00820633"/>
    <w:rsid w:val="00820CCF"/>
    <w:rsid w:val="0082115D"/>
    <w:rsid w:val="008217FE"/>
    <w:rsid w:val="00821A88"/>
    <w:rsid w:val="008220A9"/>
    <w:rsid w:val="008228EB"/>
    <w:rsid w:val="008228F2"/>
    <w:rsid w:val="00822B3D"/>
    <w:rsid w:val="00824244"/>
    <w:rsid w:val="0082472F"/>
    <w:rsid w:val="0082495D"/>
    <w:rsid w:val="008252C3"/>
    <w:rsid w:val="00826AB5"/>
    <w:rsid w:val="008274CE"/>
    <w:rsid w:val="00827BF2"/>
    <w:rsid w:val="008314B2"/>
    <w:rsid w:val="0083166A"/>
    <w:rsid w:val="00831AC3"/>
    <w:rsid w:val="00832274"/>
    <w:rsid w:val="0083275B"/>
    <w:rsid w:val="00833BA8"/>
    <w:rsid w:val="00833F65"/>
    <w:rsid w:val="00836D21"/>
    <w:rsid w:val="008408FF"/>
    <w:rsid w:val="00840904"/>
    <w:rsid w:val="00840F17"/>
    <w:rsid w:val="008414A0"/>
    <w:rsid w:val="00842CBD"/>
    <w:rsid w:val="00842EDB"/>
    <w:rsid w:val="008438B6"/>
    <w:rsid w:val="00843A41"/>
    <w:rsid w:val="00844255"/>
    <w:rsid w:val="00845873"/>
    <w:rsid w:val="00845966"/>
    <w:rsid w:val="008459DE"/>
    <w:rsid w:val="008460C6"/>
    <w:rsid w:val="008479F1"/>
    <w:rsid w:val="00850075"/>
    <w:rsid w:val="00851AE4"/>
    <w:rsid w:val="00851F3F"/>
    <w:rsid w:val="00852673"/>
    <w:rsid w:val="008526CF"/>
    <w:rsid w:val="0085275F"/>
    <w:rsid w:val="00852907"/>
    <w:rsid w:val="00852B49"/>
    <w:rsid w:val="00852DC9"/>
    <w:rsid w:val="00853104"/>
    <w:rsid w:val="008545CD"/>
    <w:rsid w:val="0085605A"/>
    <w:rsid w:val="00856760"/>
    <w:rsid w:val="00856EDC"/>
    <w:rsid w:val="00857292"/>
    <w:rsid w:val="00857DAA"/>
    <w:rsid w:val="00857E41"/>
    <w:rsid w:val="008607C4"/>
    <w:rsid w:val="00860830"/>
    <w:rsid w:val="008613D4"/>
    <w:rsid w:val="00861ED8"/>
    <w:rsid w:val="0086214B"/>
    <w:rsid w:val="008623B5"/>
    <w:rsid w:val="00862B98"/>
    <w:rsid w:val="00862E19"/>
    <w:rsid w:val="0086312C"/>
    <w:rsid w:val="008631D2"/>
    <w:rsid w:val="008635C8"/>
    <w:rsid w:val="00863622"/>
    <w:rsid w:val="0086367D"/>
    <w:rsid w:val="00863701"/>
    <w:rsid w:val="008640C5"/>
    <w:rsid w:val="008646B4"/>
    <w:rsid w:val="008646F6"/>
    <w:rsid w:val="00864F44"/>
    <w:rsid w:val="00864FC8"/>
    <w:rsid w:val="00865418"/>
    <w:rsid w:val="008666CF"/>
    <w:rsid w:val="00870ABA"/>
    <w:rsid w:val="00870FC4"/>
    <w:rsid w:val="008710E1"/>
    <w:rsid w:val="008715EF"/>
    <w:rsid w:val="00871671"/>
    <w:rsid w:val="008716E5"/>
    <w:rsid w:val="00872051"/>
    <w:rsid w:val="00872751"/>
    <w:rsid w:val="00872E0B"/>
    <w:rsid w:val="00873DDD"/>
    <w:rsid w:val="00874389"/>
    <w:rsid w:val="00875176"/>
    <w:rsid w:val="00875861"/>
    <w:rsid w:val="00875890"/>
    <w:rsid w:val="0087631A"/>
    <w:rsid w:val="008766A8"/>
    <w:rsid w:val="00876ACC"/>
    <w:rsid w:val="00877507"/>
    <w:rsid w:val="00881407"/>
    <w:rsid w:val="00881511"/>
    <w:rsid w:val="00881BB5"/>
    <w:rsid w:val="00881CA9"/>
    <w:rsid w:val="00882633"/>
    <w:rsid w:val="00882E5B"/>
    <w:rsid w:val="00883628"/>
    <w:rsid w:val="00883A6C"/>
    <w:rsid w:val="00884612"/>
    <w:rsid w:val="00884D0E"/>
    <w:rsid w:val="00885544"/>
    <w:rsid w:val="0088634E"/>
    <w:rsid w:val="00886BA1"/>
    <w:rsid w:val="00887949"/>
    <w:rsid w:val="00890FFB"/>
    <w:rsid w:val="00891BA0"/>
    <w:rsid w:val="00893AB8"/>
    <w:rsid w:val="008946F4"/>
    <w:rsid w:val="00895B8D"/>
    <w:rsid w:val="008960C7"/>
    <w:rsid w:val="00896622"/>
    <w:rsid w:val="00896C56"/>
    <w:rsid w:val="00897518"/>
    <w:rsid w:val="00897E5D"/>
    <w:rsid w:val="008A04C8"/>
    <w:rsid w:val="008A1323"/>
    <w:rsid w:val="008A14FC"/>
    <w:rsid w:val="008A16B1"/>
    <w:rsid w:val="008A2081"/>
    <w:rsid w:val="008A2EB8"/>
    <w:rsid w:val="008A3DF9"/>
    <w:rsid w:val="008A506F"/>
    <w:rsid w:val="008A5282"/>
    <w:rsid w:val="008A5DBD"/>
    <w:rsid w:val="008A6449"/>
    <w:rsid w:val="008A6913"/>
    <w:rsid w:val="008A6EB7"/>
    <w:rsid w:val="008A6FDD"/>
    <w:rsid w:val="008A79DB"/>
    <w:rsid w:val="008B039E"/>
    <w:rsid w:val="008B0503"/>
    <w:rsid w:val="008B0757"/>
    <w:rsid w:val="008B0AF7"/>
    <w:rsid w:val="008B1602"/>
    <w:rsid w:val="008B3446"/>
    <w:rsid w:val="008B3765"/>
    <w:rsid w:val="008B3CAE"/>
    <w:rsid w:val="008B49C9"/>
    <w:rsid w:val="008B5547"/>
    <w:rsid w:val="008B6603"/>
    <w:rsid w:val="008B70F3"/>
    <w:rsid w:val="008B71C4"/>
    <w:rsid w:val="008B76DF"/>
    <w:rsid w:val="008C0226"/>
    <w:rsid w:val="008C10F4"/>
    <w:rsid w:val="008C2026"/>
    <w:rsid w:val="008C2832"/>
    <w:rsid w:val="008C3408"/>
    <w:rsid w:val="008C3BC1"/>
    <w:rsid w:val="008C3D36"/>
    <w:rsid w:val="008C40E4"/>
    <w:rsid w:val="008C5676"/>
    <w:rsid w:val="008C5F30"/>
    <w:rsid w:val="008C6016"/>
    <w:rsid w:val="008C65F7"/>
    <w:rsid w:val="008C7B65"/>
    <w:rsid w:val="008D00BE"/>
    <w:rsid w:val="008D2967"/>
    <w:rsid w:val="008D3375"/>
    <w:rsid w:val="008D36AA"/>
    <w:rsid w:val="008D392F"/>
    <w:rsid w:val="008D40C1"/>
    <w:rsid w:val="008D4132"/>
    <w:rsid w:val="008D4480"/>
    <w:rsid w:val="008D4607"/>
    <w:rsid w:val="008D6BD1"/>
    <w:rsid w:val="008D7258"/>
    <w:rsid w:val="008D7E76"/>
    <w:rsid w:val="008E049A"/>
    <w:rsid w:val="008E08FD"/>
    <w:rsid w:val="008E2200"/>
    <w:rsid w:val="008E4224"/>
    <w:rsid w:val="008E4767"/>
    <w:rsid w:val="008E6090"/>
    <w:rsid w:val="008E67EA"/>
    <w:rsid w:val="008E6CB6"/>
    <w:rsid w:val="008E7A8C"/>
    <w:rsid w:val="008F12EE"/>
    <w:rsid w:val="008F1433"/>
    <w:rsid w:val="008F1946"/>
    <w:rsid w:val="008F2423"/>
    <w:rsid w:val="008F2EB5"/>
    <w:rsid w:val="008F3898"/>
    <w:rsid w:val="008F3B63"/>
    <w:rsid w:val="008F42C9"/>
    <w:rsid w:val="008F4463"/>
    <w:rsid w:val="008F4552"/>
    <w:rsid w:val="008F4CF5"/>
    <w:rsid w:val="008F4D74"/>
    <w:rsid w:val="008F5160"/>
    <w:rsid w:val="008F55E7"/>
    <w:rsid w:val="008F6D45"/>
    <w:rsid w:val="008F7258"/>
    <w:rsid w:val="008F7C74"/>
    <w:rsid w:val="008F7E36"/>
    <w:rsid w:val="00900A39"/>
    <w:rsid w:val="00900CBD"/>
    <w:rsid w:val="009014D0"/>
    <w:rsid w:val="00901811"/>
    <w:rsid w:val="00902390"/>
    <w:rsid w:val="00902EFA"/>
    <w:rsid w:val="00902F82"/>
    <w:rsid w:val="00903285"/>
    <w:rsid w:val="00906618"/>
    <w:rsid w:val="00906D36"/>
    <w:rsid w:val="00906F40"/>
    <w:rsid w:val="0090731E"/>
    <w:rsid w:val="009108CE"/>
    <w:rsid w:val="009110AA"/>
    <w:rsid w:val="00911C42"/>
    <w:rsid w:val="00912CC2"/>
    <w:rsid w:val="0091340E"/>
    <w:rsid w:val="009135E9"/>
    <w:rsid w:val="009137DC"/>
    <w:rsid w:val="00913FF3"/>
    <w:rsid w:val="00914383"/>
    <w:rsid w:val="00915B1C"/>
    <w:rsid w:val="00917332"/>
    <w:rsid w:val="009174F3"/>
    <w:rsid w:val="0091797D"/>
    <w:rsid w:val="00921029"/>
    <w:rsid w:val="009232FE"/>
    <w:rsid w:val="00923CBA"/>
    <w:rsid w:val="00923D7A"/>
    <w:rsid w:val="00924308"/>
    <w:rsid w:val="00925564"/>
    <w:rsid w:val="0092642F"/>
    <w:rsid w:val="00926703"/>
    <w:rsid w:val="009274DB"/>
    <w:rsid w:val="00927691"/>
    <w:rsid w:val="00927A5F"/>
    <w:rsid w:val="009307F2"/>
    <w:rsid w:val="00932F14"/>
    <w:rsid w:val="0093330A"/>
    <w:rsid w:val="00933EF7"/>
    <w:rsid w:val="0093451D"/>
    <w:rsid w:val="009353E6"/>
    <w:rsid w:val="009357AF"/>
    <w:rsid w:val="00935B63"/>
    <w:rsid w:val="00935E71"/>
    <w:rsid w:val="00935FB0"/>
    <w:rsid w:val="009360FE"/>
    <w:rsid w:val="009378D7"/>
    <w:rsid w:val="00937C5E"/>
    <w:rsid w:val="00937FF0"/>
    <w:rsid w:val="0094078F"/>
    <w:rsid w:val="00940FA3"/>
    <w:rsid w:val="009412FD"/>
    <w:rsid w:val="00941FB0"/>
    <w:rsid w:val="009423CD"/>
    <w:rsid w:val="009426D4"/>
    <w:rsid w:val="00942E66"/>
    <w:rsid w:val="009431A2"/>
    <w:rsid w:val="00943255"/>
    <w:rsid w:val="00943B10"/>
    <w:rsid w:val="00943F8B"/>
    <w:rsid w:val="009443AA"/>
    <w:rsid w:val="00944AD4"/>
    <w:rsid w:val="00945D4B"/>
    <w:rsid w:val="00946080"/>
    <w:rsid w:val="009472CC"/>
    <w:rsid w:val="00947F25"/>
    <w:rsid w:val="00950159"/>
    <w:rsid w:val="0095056C"/>
    <w:rsid w:val="009509DC"/>
    <w:rsid w:val="00950D5B"/>
    <w:rsid w:val="009514A2"/>
    <w:rsid w:val="0095163E"/>
    <w:rsid w:val="00952614"/>
    <w:rsid w:val="00952A28"/>
    <w:rsid w:val="00952C40"/>
    <w:rsid w:val="009532A8"/>
    <w:rsid w:val="00953B85"/>
    <w:rsid w:val="009542ED"/>
    <w:rsid w:val="0095490B"/>
    <w:rsid w:val="009552BB"/>
    <w:rsid w:val="00955AAA"/>
    <w:rsid w:val="009605B7"/>
    <w:rsid w:val="009609BB"/>
    <w:rsid w:val="00960A33"/>
    <w:rsid w:val="00960DFA"/>
    <w:rsid w:val="00961015"/>
    <w:rsid w:val="00962099"/>
    <w:rsid w:val="00963AB3"/>
    <w:rsid w:val="00964151"/>
    <w:rsid w:val="00965472"/>
    <w:rsid w:val="00965A38"/>
    <w:rsid w:val="0096752B"/>
    <w:rsid w:val="009704B5"/>
    <w:rsid w:val="009706B0"/>
    <w:rsid w:val="009712ED"/>
    <w:rsid w:val="00971914"/>
    <w:rsid w:val="00971A34"/>
    <w:rsid w:val="0097231C"/>
    <w:rsid w:val="009724A0"/>
    <w:rsid w:val="0097296C"/>
    <w:rsid w:val="00972BCD"/>
    <w:rsid w:val="009731B4"/>
    <w:rsid w:val="00973CA0"/>
    <w:rsid w:val="00974363"/>
    <w:rsid w:val="00974DAF"/>
    <w:rsid w:val="00975753"/>
    <w:rsid w:val="00975C7C"/>
    <w:rsid w:val="00977ED9"/>
    <w:rsid w:val="00980E14"/>
    <w:rsid w:val="00981310"/>
    <w:rsid w:val="00981465"/>
    <w:rsid w:val="00981898"/>
    <w:rsid w:val="00981A91"/>
    <w:rsid w:val="00981B34"/>
    <w:rsid w:val="00981D2E"/>
    <w:rsid w:val="00982107"/>
    <w:rsid w:val="00982AB6"/>
    <w:rsid w:val="0098353D"/>
    <w:rsid w:val="00983782"/>
    <w:rsid w:val="009843AE"/>
    <w:rsid w:val="0098485F"/>
    <w:rsid w:val="00986212"/>
    <w:rsid w:val="0098646C"/>
    <w:rsid w:val="00986CA3"/>
    <w:rsid w:val="0098733B"/>
    <w:rsid w:val="009908CD"/>
    <w:rsid w:val="00990AB9"/>
    <w:rsid w:val="00991168"/>
    <w:rsid w:val="00991DD0"/>
    <w:rsid w:val="00992EA4"/>
    <w:rsid w:val="00994F2B"/>
    <w:rsid w:val="00995280"/>
    <w:rsid w:val="0099577C"/>
    <w:rsid w:val="0099655B"/>
    <w:rsid w:val="00996C9A"/>
    <w:rsid w:val="00997381"/>
    <w:rsid w:val="00997B94"/>
    <w:rsid w:val="009A151B"/>
    <w:rsid w:val="009A1641"/>
    <w:rsid w:val="009A2623"/>
    <w:rsid w:val="009A42C2"/>
    <w:rsid w:val="009A630B"/>
    <w:rsid w:val="009B00CF"/>
    <w:rsid w:val="009B0329"/>
    <w:rsid w:val="009B05B0"/>
    <w:rsid w:val="009B09C0"/>
    <w:rsid w:val="009B1426"/>
    <w:rsid w:val="009B2601"/>
    <w:rsid w:val="009B2932"/>
    <w:rsid w:val="009B4234"/>
    <w:rsid w:val="009B4E9E"/>
    <w:rsid w:val="009B57E3"/>
    <w:rsid w:val="009C0342"/>
    <w:rsid w:val="009C064B"/>
    <w:rsid w:val="009C1690"/>
    <w:rsid w:val="009C1C54"/>
    <w:rsid w:val="009C28EB"/>
    <w:rsid w:val="009C41ED"/>
    <w:rsid w:val="009C5159"/>
    <w:rsid w:val="009C618F"/>
    <w:rsid w:val="009C6881"/>
    <w:rsid w:val="009C7329"/>
    <w:rsid w:val="009C7759"/>
    <w:rsid w:val="009C7D24"/>
    <w:rsid w:val="009D00F9"/>
    <w:rsid w:val="009D043B"/>
    <w:rsid w:val="009D043D"/>
    <w:rsid w:val="009D07C8"/>
    <w:rsid w:val="009D14BB"/>
    <w:rsid w:val="009D16FA"/>
    <w:rsid w:val="009D1C8D"/>
    <w:rsid w:val="009D28F9"/>
    <w:rsid w:val="009D3F26"/>
    <w:rsid w:val="009D499B"/>
    <w:rsid w:val="009D69A5"/>
    <w:rsid w:val="009D69F0"/>
    <w:rsid w:val="009D6C71"/>
    <w:rsid w:val="009D6D5C"/>
    <w:rsid w:val="009D73F1"/>
    <w:rsid w:val="009D7820"/>
    <w:rsid w:val="009E0631"/>
    <w:rsid w:val="009E1683"/>
    <w:rsid w:val="009E16D0"/>
    <w:rsid w:val="009E212B"/>
    <w:rsid w:val="009E36B5"/>
    <w:rsid w:val="009E38FD"/>
    <w:rsid w:val="009E3A92"/>
    <w:rsid w:val="009E5CB3"/>
    <w:rsid w:val="009E5DB6"/>
    <w:rsid w:val="009E6EAC"/>
    <w:rsid w:val="009E6ED1"/>
    <w:rsid w:val="009E7256"/>
    <w:rsid w:val="009E7879"/>
    <w:rsid w:val="009F0A66"/>
    <w:rsid w:val="009F0E1B"/>
    <w:rsid w:val="009F13D6"/>
    <w:rsid w:val="009F2C05"/>
    <w:rsid w:val="009F2FAE"/>
    <w:rsid w:val="009F3ECA"/>
    <w:rsid w:val="009F4C6B"/>
    <w:rsid w:val="009F56AF"/>
    <w:rsid w:val="009F5B80"/>
    <w:rsid w:val="009F6059"/>
    <w:rsid w:val="009F715E"/>
    <w:rsid w:val="009F78A8"/>
    <w:rsid w:val="00A00176"/>
    <w:rsid w:val="00A00920"/>
    <w:rsid w:val="00A00C3E"/>
    <w:rsid w:val="00A01631"/>
    <w:rsid w:val="00A0169C"/>
    <w:rsid w:val="00A01A92"/>
    <w:rsid w:val="00A01B9C"/>
    <w:rsid w:val="00A01EC8"/>
    <w:rsid w:val="00A02AD6"/>
    <w:rsid w:val="00A035A3"/>
    <w:rsid w:val="00A03991"/>
    <w:rsid w:val="00A03B00"/>
    <w:rsid w:val="00A04308"/>
    <w:rsid w:val="00A0494A"/>
    <w:rsid w:val="00A049E6"/>
    <w:rsid w:val="00A053CF"/>
    <w:rsid w:val="00A07096"/>
    <w:rsid w:val="00A07318"/>
    <w:rsid w:val="00A0739A"/>
    <w:rsid w:val="00A07457"/>
    <w:rsid w:val="00A07945"/>
    <w:rsid w:val="00A10375"/>
    <w:rsid w:val="00A1045B"/>
    <w:rsid w:val="00A10EB4"/>
    <w:rsid w:val="00A111F6"/>
    <w:rsid w:val="00A11370"/>
    <w:rsid w:val="00A12579"/>
    <w:rsid w:val="00A12839"/>
    <w:rsid w:val="00A13477"/>
    <w:rsid w:val="00A14193"/>
    <w:rsid w:val="00A1481A"/>
    <w:rsid w:val="00A14CA3"/>
    <w:rsid w:val="00A15FDC"/>
    <w:rsid w:val="00A17604"/>
    <w:rsid w:val="00A17F7D"/>
    <w:rsid w:val="00A20AD1"/>
    <w:rsid w:val="00A21EB4"/>
    <w:rsid w:val="00A220C5"/>
    <w:rsid w:val="00A22422"/>
    <w:rsid w:val="00A224CE"/>
    <w:rsid w:val="00A22522"/>
    <w:rsid w:val="00A24AFD"/>
    <w:rsid w:val="00A24F5C"/>
    <w:rsid w:val="00A2547B"/>
    <w:rsid w:val="00A254A4"/>
    <w:rsid w:val="00A254D7"/>
    <w:rsid w:val="00A2645B"/>
    <w:rsid w:val="00A30BE5"/>
    <w:rsid w:val="00A30EA8"/>
    <w:rsid w:val="00A310BA"/>
    <w:rsid w:val="00A3120B"/>
    <w:rsid w:val="00A319B9"/>
    <w:rsid w:val="00A31BA3"/>
    <w:rsid w:val="00A32765"/>
    <w:rsid w:val="00A32DB2"/>
    <w:rsid w:val="00A32F96"/>
    <w:rsid w:val="00A334AD"/>
    <w:rsid w:val="00A337A5"/>
    <w:rsid w:val="00A348D8"/>
    <w:rsid w:val="00A36246"/>
    <w:rsid w:val="00A36C73"/>
    <w:rsid w:val="00A36F55"/>
    <w:rsid w:val="00A377FD"/>
    <w:rsid w:val="00A40871"/>
    <w:rsid w:val="00A412AB"/>
    <w:rsid w:val="00A413A5"/>
    <w:rsid w:val="00A41620"/>
    <w:rsid w:val="00A4162D"/>
    <w:rsid w:val="00A4193E"/>
    <w:rsid w:val="00A42D0F"/>
    <w:rsid w:val="00A42FE0"/>
    <w:rsid w:val="00A4351E"/>
    <w:rsid w:val="00A440D5"/>
    <w:rsid w:val="00A440E0"/>
    <w:rsid w:val="00A440FA"/>
    <w:rsid w:val="00A442EF"/>
    <w:rsid w:val="00A47355"/>
    <w:rsid w:val="00A47699"/>
    <w:rsid w:val="00A477B7"/>
    <w:rsid w:val="00A479F2"/>
    <w:rsid w:val="00A50A64"/>
    <w:rsid w:val="00A51D1A"/>
    <w:rsid w:val="00A52255"/>
    <w:rsid w:val="00A52581"/>
    <w:rsid w:val="00A5343D"/>
    <w:rsid w:val="00A53523"/>
    <w:rsid w:val="00A53971"/>
    <w:rsid w:val="00A5418D"/>
    <w:rsid w:val="00A545A6"/>
    <w:rsid w:val="00A5466D"/>
    <w:rsid w:val="00A5474E"/>
    <w:rsid w:val="00A5480F"/>
    <w:rsid w:val="00A54874"/>
    <w:rsid w:val="00A552FF"/>
    <w:rsid w:val="00A55640"/>
    <w:rsid w:val="00A561A3"/>
    <w:rsid w:val="00A5652E"/>
    <w:rsid w:val="00A572D2"/>
    <w:rsid w:val="00A57337"/>
    <w:rsid w:val="00A578CF"/>
    <w:rsid w:val="00A57C29"/>
    <w:rsid w:val="00A62162"/>
    <w:rsid w:val="00A626D3"/>
    <w:rsid w:val="00A62EC1"/>
    <w:rsid w:val="00A64234"/>
    <w:rsid w:val="00A64F64"/>
    <w:rsid w:val="00A661A0"/>
    <w:rsid w:val="00A66667"/>
    <w:rsid w:val="00A67399"/>
    <w:rsid w:val="00A67C00"/>
    <w:rsid w:val="00A70ADF"/>
    <w:rsid w:val="00A711CC"/>
    <w:rsid w:val="00A71466"/>
    <w:rsid w:val="00A71EEF"/>
    <w:rsid w:val="00A71F8E"/>
    <w:rsid w:val="00A7208F"/>
    <w:rsid w:val="00A723AD"/>
    <w:rsid w:val="00A746B9"/>
    <w:rsid w:val="00A74B5E"/>
    <w:rsid w:val="00A75206"/>
    <w:rsid w:val="00A7598E"/>
    <w:rsid w:val="00A76CC0"/>
    <w:rsid w:val="00A771E3"/>
    <w:rsid w:val="00A81693"/>
    <w:rsid w:val="00A81BED"/>
    <w:rsid w:val="00A81EC4"/>
    <w:rsid w:val="00A81EC7"/>
    <w:rsid w:val="00A81F83"/>
    <w:rsid w:val="00A850C0"/>
    <w:rsid w:val="00A8514F"/>
    <w:rsid w:val="00A85540"/>
    <w:rsid w:val="00A904CA"/>
    <w:rsid w:val="00A905A4"/>
    <w:rsid w:val="00A908CC"/>
    <w:rsid w:val="00A916D3"/>
    <w:rsid w:val="00A91DE4"/>
    <w:rsid w:val="00A9227D"/>
    <w:rsid w:val="00A92903"/>
    <w:rsid w:val="00A93870"/>
    <w:rsid w:val="00A93CA1"/>
    <w:rsid w:val="00A945F0"/>
    <w:rsid w:val="00A9468C"/>
    <w:rsid w:val="00A947B9"/>
    <w:rsid w:val="00A94E97"/>
    <w:rsid w:val="00A9621C"/>
    <w:rsid w:val="00A967FD"/>
    <w:rsid w:val="00A96D86"/>
    <w:rsid w:val="00A97740"/>
    <w:rsid w:val="00AA14C3"/>
    <w:rsid w:val="00AA210D"/>
    <w:rsid w:val="00AA2DE5"/>
    <w:rsid w:val="00AA332E"/>
    <w:rsid w:val="00AA3610"/>
    <w:rsid w:val="00AA5FFA"/>
    <w:rsid w:val="00AA6D8A"/>
    <w:rsid w:val="00AA717C"/>
    <w:rsid w:val="00AA7653"/>
    <w:rsid w:val="00AB05B2"/>
    <w:rsid w:val="00AB0709"/>
    <w:rsid w:val="00AB082A"/>
    <w:rsid w:val="00AB0DB0"/>
    <w:rsid w:val="00AB156C"/>
    <w:rsid w:val="00AB4704"/>
    <w:rsid w:val="00AB4885"/>
    <w:rsid w:val="00AB547B"/>
    <w:rsid w:val="00AB5C60"/>
    <w:rsid w:val="00AB6814"/>
    <w:rsid w:val="00AC00D7"/>
    <w:rsid w:val="00AC04BA"/>
    <w:rsid w:val="00AC0E39"/>
    <w:rsid w:val="00AC18EF"/>
    <w:rsid w:val="00AC3319"/>
    <w:rsid w:val="00AC5442"/>
    <w:rsid w:val="00AC5689"/>
    <w:rsid w:val="00AC5BCE"/>
    <w:rsid w:val="00AC6206"/>
    <w:rsid w:val="00AC6413"/>
    <w:rsid w:val="00AC6A19"/>
    <w:rsid w:val="00AC6E50"/>
    <w:rsid w:val="00AC7205"/>
    <w:rsid w:val="00AD1346"/>
    <w:rsid w:val="00AD1EE3"/>
    <w:rsid w:val="00AD25E5"/>
    <w:rsid w:val="00AD2C7F"/>
    <w:rsid w:val="00AD3082"/>
    <w:rsid w:val="00AD32B4"/>
    <w:rsid w:val="00AD39AD"/>
    <w:rsid w:val="00AD495A"/>
    <w:rsid w:val="00AD4A0D"/>
    <w:rsid w:val="00AD4AD0"/>
    <w:rsid w:val="00AD5081"/>
    <w:rsid w:val="00AD5436"/>
    <w:rsid w:val="00AD60CD"/>
    <w:rsid w:val="00AD6C8C"/>
    <w:rsid w:val="00AD6FA2"/>
    <w:rsid w:val="00AD7787"/>
    <w:rsid w:val="00AE0541"/>
    <w:rsid w:val="00AE0694"/>
    <w:rsid w:val="00AE091D"/>
    <w:rsid w:val="00AE1D08"/>
    <w:rsid w:val="00AE323B"/>
    <w:rsid w:val="00AE3701"/>
    <w:rsid w:val="00AE3B60"/>
    <w:rsid w:val="00AE4109"/>
    <w:rsid w:val="00AE45E0"/>
    <w:rsid w:val="00AE4B94"/>
    <w:rsid w:val="00AE53A1"/>
    <w:rsid w:val="00AE5924"/>
    <w:rsid w:val="00AE5F8C"/>
    <w:rsid w:val="00AE60F8"/>
    <w:rsid w:val="00AE6762"/>
    <w:rsid w:val="00AE6D1B"/>
    <w:rsid w:val="00AF06C8"/>
    <w:rsid w:val="00AF0C16"/>
    <w:rsid w:val="00AF165F"/>
    <w:rsid w:val="00AF16C1"/>
    <w:rsid w:val="00AF18A9"/>
    <w:rsid w:val="00AF207C"/>
    <w:rsid w:val="00AF2484"/>
    <w:rsid w:val="00AF40AD"/>
    <w:rsid w:val="00AF471A"/>
    <w:rsid w:val="00AF4EF3"/>
    <w:rsid w:val="00AF52D4"/>
    <w:rsid w:val="00AF57A4"/>
    <w:rsid w:val="00AF5DAB"/>
    <w:rsid w:val="00AF5E95"/>
    <w:rsid w:val="00AF5F4B"/>
    <w:rsid w:val="00AF63E7"/>
    <w:rsid w:val="00AF6E17"/>
    <w:rsid w:val="00B00E05"/>
    <w:rsid w:val="00B013BB"/>
    <w:rsid w:val="00B014F9"/>
    <w:rsid w:val="00B0156E"/>
    <w:rsid w:val="00B01608"/>
    <w:rsid w:val="00B0165D"/>
    <w:rsid w:val="00B01B60"/>
    <w:rsid w:val="00B01FE0"/>
    <w:rsid w:val="00B028D3"/>
    <w:rsid w:val="00B031F3"/>
    <w:rsid w:val="00B0395E"/>
    <w:rsid w:val="00B04191"/>
    <w:rsid w:val="00B052A4"/>
    <w:rsid w:val="00B05DEA"/>
    <w:rsid w:val="00B060B1"/>
    <w:rsid w:val="00B062F0"/>
    <w:rsid w:val="00B074CE"/>
    <w:rsid w:val="00B10220"/>
    <w:rsid w:val="00B11D3C"/>
    <w:rsid w:val="00B1238B"/>
    <w:rsid w:val="00B125DE"/>
    <w:rsid w:val="00B128B3"/>
    <w:rsid w:val="00B12978"/>
    <w:rsid w:val="00B13211"/>
    <w:rsid w:val="00B13FD8"/>
    <w:rsid w:val="00B13FDD"/>
    <w:rsid w:val="00B14110"/>
    <w:rsid w:val="00B15624"/>
    <w:rsid w:val="00B16A11"/>
    <w:rsid w:val="00B171C7"/>
    <w:rsid w:val="00B17955"/>
    <w:rsid w:val="00B17A65"/>
    <w:rsid w:val="00B17B6E"/>
    <w:rsid w:val="00B201FA"/>
    <w:rsid w:val="00B217D2"/>
    <w:rsid w:val="00B22133"/>
    <w:rsid w:val="00B22EB2"/>
    <w:rsid w:val="00B23397"/>
    <w:rsid w:val="00B24476"/>
    <w:rsid w:val="00B26474"/>
    <w:rsid w:val="00B26D39"/>
    <w:rsid w:val="00B27442"/>
    <w:rsid w:val="00B30EDD"/>
    <w:rsid w:val="00B31167"/>
    <w:rsid w:val="00B329D8"/>
    <w:rsid w:val="00B32BB9"/>
    <w:rsid w:val="00B32BEF"/>
    <w:rsid w:val="00B33AE1"/>
    <w:rsid w:val="00B33E78"/>
    <w:rsid w:val="00B35AAD"/>
    <w:rsid w:val="00B36448"/>
    <w:rsid w:val="00B366A3"/>
    <w:rsid w:val="00B36EE3"/>
    <w:rsid w:val="00B37C38"/>
    <w:rsid w:val="00B37C51"/>
    <w:rsid w:val="00B40F59"/>
    <w:rsid w:val="00B4161E"/>
    <w:rsid w:val="00B42377"/>
    <w:rsid w:val="00B4288C"/>
    <w:rsid w:val="00B43262"/>
    <w:rsid w:val="00B44100"/>
    <w:rsid w:val="00B45FE7"/>
    <w:rsid w:val="00B46576"/>
    <w:rsid w:val="00B46CBA"/>
    <w:rsid w:val="00B46DA8"/>
    <w:rsid w:val="00B46F94"/>
    <w:rsid w:val="00B505B4"/>
    <w:rsid w:val="00B50832"/>
    <w:rsid w:val="00B50A08"/>
    <w:rsid w:val="00B50C77"/>
    <w:rsid w:val="00B5164E"/>
    <w:rsid w:val="00B53B50"/>
    <w:rsid w:val="00B55AEE"/>
    <w:rsid w:val="00B570D8"/>
    <w:rsid w:val="00B6003C"/>
    <w:rsid w:val="00B61F03"/>
    <w:rsid w:val="00B626A3"/>
    <w:rsid w:val="00B626E4"/>
    <w:rsid w:val="00B642EB"/>
    <w:rsid w:val="00B64AA2"/>
    <w:rsid w:val="00B660B8"/>
    <w:rsid w:val="00B665EA"/>
    <w:rsid w:val="00B67F3E"/>
    <w:rsid w:val="00B712B0"/>
    <w:rsid w:val="00B72F4A"/>
    <w:rsid w:val="00B76579"/>
    <w:rsid w:val="00B76F50"/>
    <w:rsid w:val="00B81149"/>
    <w:rsid w:val="00B81BE8"/>
    <w:rsid w:val="00B81C2B"/>
    <w:rsid w:val="00B82659"/>
    <w:rsid w:val="00B8294B"/>
    <w:rsid w:val="00B83C27"/>
    <w:rsid w:val="00B84448"/>
    <w:rsid w:val="00B84BC3"/>
    <w:rsid w:val="00B84BDD"/>
    <w:rsid w:val="00B84BF5"/>
    <w:rsid w:val="00B85B64"/>
    <w:rsid w:val="00B85F10"/>
    <w:rsid w:val="00B86613"/>
    <w:rsid w:val="00B879FD"/>
    <w:rsid w:val="00B9034B"/>
    <w:rsid w:val="00B9270B"/>
    <w:rsid w:val="00B92812"/>
    <w:rsid w:val="00B92968"/>
    <w:rsid w:val="00B9370C"/>
    <w:rsid w:val="00B939A7"/>
    <w:rsid w:val="00B94A74"/>
    <w:rsid w:val="00B95AF3"/>
    <w:rsid w:val="00B95B9B"/>
    <w:rsid w:val="00B95DA7"/>
    <w:rsid w:val="00B96611"/>
    <w:rsid w:val="00B97D43"/>
    <w:rsid w:val="00BA077D"/>
    <w:rsid w:val="00BA0DC9"/>
    <w:rsid w:val="00BA1D1C"/>
    <w:rsid w:val="00BA2393"/>
    <w:rsid w:val="00BA296C"/>
    <w:rsid w:val="00BA3DBC"/>
    <w:rsid w:val="00BA411E"/>
    <w:rsid w:val="00BA492B"/>
    <w:rsid w:val="00BA4A46"/>
    <w:rsid w:val="00BA51EE"/>
    <w:rsid w:val="00BA5A9D"/>
    <w:rsid w:val="00BA6162"/>
    <w:rsid w:val="00BA6551"/>
    <w:rsid w:val="00BA6EC8"/>
    <w:rsid w:val="00BA755A"/>
    <w:rsid w:val="00BB03B8"/>
    <w:rsid w:val="00BB150B"/>
    <w:rsid w:val="00BB2853"/>
    <w:rsid w:val="00BB42C3"/>
    <w:rsid w:val="00BB444F"/>
    <w:rsid w:val="00BB445B"/>
    <w:rsid w:val="00BB45A1"/>
    <w:rsid w:val="00BB4744"/>
    <w:rsid w:val="00BB4B0E"/>
    <w:rsid w:val="00BB4C79"/>
    <w:rsid w:val="00BB7686"/>
    <w:rsid w:val="00BB772F"/>
    <w:rsid w:val="00BB7787"/>
    <w:rsid w:val="00BC0E16"/>
    <w:rsid w:val="00BC0E4B"/>
    <w:rsid w:val="00BC159C"/>
    <w:rsid w:val="00BC16E0"/>
    <w:rsid w:val="00BC17C3"/>
    <w:rsid w:val="00BC17EF"/>
    <w:rsid w:val="00BC232A"/>
    <w:rsid w:val="00BC23F9"/>
    <w:rsid w:val="00BC2B8B"/>
    <w:rsid w:val="00BC3421"/>
    <w:rsid w:val="00BC4D65"/>
    <w:rsid w:val="00BC513F"/>
    <w:rsid w:val="00BC5614"/>
    <w:rsid w:val="00BC6B86"/>
    <w:rsid w:val="00BC732C"/>
    <w:rsid w:val="00BC7D05"/>
    <w:rsid w:val="00BD10C7"/>
    <w:rsid w:val="00BD16C9"/>
    <w:rsid w:val="00BD1E5C"/>
    <w:rsid w:val="00BD2064"/>
    <w:rsid w:val="00BD3525"/>
    <w:rsid w:val="00BD4B1B"/>
    <w:rsid w:val="00BD5376"/>
    <w:rsid w:val="00BD5AB7"/>
    <w:rsid w:val="00BD74D6"/>
    <w:rsid w:val="00BE084A"/>
    <w:rsid w:val="00BE10B0"/>
    <w:rsid w:val="00BE2580"/>
    <w:rsid w:val="00BE266D"/>
    <w:rsid w:val="00BE3938"/>
    <w:rsid w:val="00BE3A6A"/>
    <w:rsid w:val="00BE465F"/>
    <w:rsid w:val="00BE4C11"/>
    <w:rsid w:val="00BE4DC7"/>
    <w:rsid w:val="00BE50C9"/>
    <w:rsid w:val="00BE51A6"/>
    <w:rsid w:val="00BE5935"/>
    <w:rsid w:val="00BE5B09"/>
    <w:rsid w:val="00BE71C0"/>
    <w:rsid w:val="00BE735A"/>
    <w:rsid w:val="00BF1F08"/>
    <w:rsid w:val="00BF230B"/>
    <w:rsid w:val="00BF2F8C"/>
    <w:rsid w:val="00BF2FB2"/>
    <w:rsid w:val="00BF3C09"/>
    <w:rsid w:val="00BF580E"/>
    <w:rsid w:val="00BF5C74"/>
    <w:rsid w:val="00BF610C"/>
    <w:rsid w:val="00BF640D"/>
    <w:rsid w:val="00BF6581"/>
    <w:rsid w:val="00BF6F13"/>
    <w:rsid w:val="00C0060B"/>
    <w:rsid w:val="00C00D1D"/>
    <w:rsid w:val="00C0201C"/>
    <w:rsid w:val="00C024C3"/>
    <w:rsid w:val="00C0277D"/>
    <w:rsid w:val="00C02B49"/>
    <w:rsid w:val="00C02F18"/>
    <w:rsid w:val="00C0471C"/>
    <w:rsid w:val="00C04D28"/>
    <w:rsid w:val="00C04F1A"/>
    <w:rsid w:val="00C04FDE"/>
    <w:rsid w:val="00C053A1"/>
    <w:rsid w:val="00C0647B"/>
    <w:rsid w:val="00C074E3"/>
    <w:rsid w:val="00C076D4"/>
    <w:rsid w:val="00C07AD9"/>
    <w:rsid w:val="00C1298A"/>
    <w:rsid w:val="00C13729"/>
    <w:rsid w:val="00C1382E"/>
    <w:rsid w:val="00C13A32"/>
    <w:rsid w:val="00C149B3"/>
    <w:rsid w:val="00C14BE8"/>
    <w:rsid w:val="00C15678"/>
    <w:rsid w:val="00C15F7A"/>
    <w:rsid w:val="00C16198"/>
    <w:rsid w:val="00C171A6"/>
    <w:rsid w:val="00C17752"/>
    <w:rsid w:val="00C2004E"/>
    <w:rsid w:val="00C2083D"/>
    <w:rsid w:val="00C20C1F"/>
    <w:rsid w:val="00C221A3"/>
    <w:rsid w:val="00C24464"/>
    <w:rsid w:val="00C24A53"/>
    <w:rsid w:val="00C25411"/>
    <w:rsid w:val="00C25823"/>
    <w:rsid w:val="00C26432"/>
    <w:rsid w:val="00C26852"/>
    <w:rsid w:val="00C27D15"/>
    <w:rsid w:val="00C30780"/>
    <w:rsid w:val="00C330D5"/>
    <w:rsid w:val="00C348E7"/>
    <w:rsid w:val="00C34A05"/>
    <w:rsid w:val="00C34A8B"/>
    <w:rsid w:val="00C37417"/>
    <w:rsid w:val="00C37BE9"/>
    <w:rsid w:val="00C4032F"/>
    <w:rsid w:val="00C412F5"/>
    <w:rsid w:val="00C41425"/>
    <w:rsid w:val="00C4247B"/>
    <w:rsid w:val="00C43E24"/>
    <w:rsid w:val="00C44047"/>
    <w:rsid w:val="00C45155"/>
    <w:rsid w:val="00C45226"/>
    <w:rsid w:val="00C45863"/>
    <w:rsid w:val="00C46377"/>
    <w:rsid w:val="00C47335"/>
    <w:rsid w:val="00C53811"/>
    <w:rsid w:val="00C53C50"/>
    <w:rsid w:val="00C54589"/>
    <w:rsid w:val="00C5498F"/>
    <w:rsid w:val="00C549B4"/>
    <w:rsid w:val="00C55059"/>
    <w:rsid w:val="00C55235"/>
    <w:rsid w:val="00C573F6"/>
    <w:rsid w:val="00C57F3D"/>
    <w:rsid w:val="00C6036A"/>
    <w:rsid w:val="00C60C36"/>
    <w:rsid w:val="00C611F0"/>
    <w:rsid w:val="00C61B27"/>
    <w:rsid w:val="00C62443"/>
    <w:rsid w:val="00C643D1"/>
    <w:rsid w:val="00C645AA"/>
    <w:rsid w:val="00C64A28"/>
    <w:rsid w:val="00C64CD0"/>
    <w:rsid w:val="00C65F5C"/>
    <w:rsid w:val="00C6684F"/>
    <w:rsid w:val="00C6755C"/>
    <w:rsid w:val="00C67AD7"/>
    <w:rsid w:val="00C70E70"/>
    <w:rsid w:val="00C7111A"/>
    <w:rsid w:val="00C71227"/>
    <w:rsid w:val="00C717DD"/>
    <w:rsid w:val="00C71E04"/>
    <w:rsid w:val="00C71E1F"/>
    <w:rsid w:val="00C72039"/>
    <w:rsid w:val="00C720E9"/>
    <w:rsid w:val="00C720F4"/>
    <w:rsid w:val="00C7241D"/>
    <w:rsid w:val="00C72DFC"/>
    <w:rsid w:val="00C73128"/>
    <w:rsid w:val="00C7427D"/>
    <w:rsid w:val="00C74ADB"/>
    <w:rsid w:val="00C75F8D"/>
    <w:rsid w:val="00C76CD1"/>
    <w:rsid w:val="00C77380"/>
    <w:rsid w:val="00C7767E"/>
    <w:rsid w:val="00C77819"/>
    <w:rsid w:val="00C80104"/>
    <w:rsid w:val="00C80A35"/>
    <w:rsid w:val="00C80A97"/>
    <w:rsid w:val="00C80FD1"/>
    <w:rsid w:val="00C8155E"/>
    <w:rsid w:val="00C818B4"/>
    <w:rsid w:val="00C81C0D"/>
    <w:rsid w:val="00C824D7"/>
    <w:rsid w:val="00C82623"/>
    <w:rsid w:val="00C832FB"/>
    <w:rsid w:val="00C83AAE"/>
    <w:rsid w:val="00C85092"/>
    <w:rsid w:val="00C861ED"/>
    <w:rsid w:val="00C862FB"/>
    <w:rsid w:val="00C863CE"/>
    <w:rsid w:val="00C8673D"/>
    <w:rsid w:val="00C87159"/>
    <w:rsid w:val="00C87478"/>
    <w:rsid w:val="00C87CB3"/>
    <w:rsid w:val="00C90570"/>
    <w:rsid w:val="00C907FE"/>
    <w:rsid w:val="00C914A7"/>
    <w:rsid w:val="00C91D67"/>
    <w:rsid w:val="00C91F85"/>
    <w:rsid w:val="00C93C12"/>
    <w:rsid w:val="00C9599B"/>
    <w:rsid w:val="00C96465"/>
    <w:rsid w:val="00C968C2"/>
    <w:rsid w:val="00C97736"/>
    <w:rsid w:val="00C97F49"/>
    <w:rsid w:val="00CA04C6"/>
    <w:rsid w:val="00CA1126"/>
    <w:rsid w:val="00CA1C1F"/>
    <w:rsid w:val="00CA282B"/>
    <w:rsid w:val="00CA3155"/>
    <w:rsid w:val="00CA33DD"/>
    <w:rsid w:val="00CA345A"/>
    <w:rsid w:val="00CA55DC"/>
    <w:rsid w:val="00CA5FCE"/>
    <w:rsid w:val="00CA60CD"/>
    <w:rsid w:val="00CA627B"/>
    <w:rsid w:val="00CA6571"/>
    <w:rsid w:val="00CA6838"/>
    <w:rsid w:val="00CA6AA8"/>
    <w:rsid w:val="00CA72B8"/>
    <w:rsid w:val="00CA794A"/>
    <w:rsid w:val="00CB1501"/>
    <w:rsid w:val="00CB1AE0"/>
    <w:rsid w:val="00CB1E82"/>
    <w:rsid w:val="00CB2146"/>
    <w:rsid w:val="00CB235B"/>
    <w:rsid w:val="00CB2796"/>
    <w:rsid w:val="00CB3EF2"/>
    <w:rsid w:val="00CB3FDE"/>
    <w:rsid w:val="00CB40EA"/>
    <w:rsid w:val="00CB4BA8"/>
    <w:rsid w:val="00CB52D7"/>
    <w:rsid w:val="00CB54E8"/>
    <w:rsid w:val="00CB5803"/>
    <w:rsid w:val="00CB5AF8"/>
    <w:rsid w:val="00CB5C90"/>
    <w:rsid w:val="00CB5F38"/>
    <w:rsid w:val="00CB7362"/>
    <w:rsid w:val="00CC0555"/>
    <w:rsid w:val="00CC09FA"/>
    <w:rsid w:val="00CC13EC"/>
    <w:rsid w:val="00CC200A"/>
    <w:rsid w:val="00CC3C14"/>
    <w:rsid w:val="00CC5065"/>
    <w:rsid w:val="00CC5111"/>
    <w:rsid w:val="00CC5869"/>
    <w:rsid w:val="00CC589B"/>
    <w:rsid w:val="00CC5E00"/>
    <w:rsid w:val="00CC6732"/>
    <w:rsid w:val="00CC6778"/>
    <w:rsid w:val="00CC779D"/>
    <w:rsid w:val="00CC79F8"/>
    <w:rsid w:val="00CC7C3C"/>
    <w:rsid w:val="00CC7D7C"/>
    <w:rsid w:val="00CD0077"/>
    <w:rsid w:val="00CD0C2D"/>
    <w:rsid w:val="00CD136C"/>
    <w:rsid w:val="00CD1581"/>
    <w:rsid w:val="00CD1BB4"/>
    <w:rsid w:val="00CD1C2D"/>
    <w:rsid w:val="00CD2D24"/>
    <w:rsid w:val="00CD3B49"/>
    <w:rsid w:val="00CD3D32"/>
    <w:rsid w:val="00CD4F25"/>
    <w:rsid w:val="00CD5228"/>
    <w:rsid w:val="00CD5760"/>
    <w:rsid w:val="00CD665E"/>
    <w:rsid w:val="00CD667C"/>
    <w:rsid w:val="00CD6A7B"/>
    <w:rsid w:val="00CD7474"/>
    <w:rsid w:val="00CD7947"/>
    <w:rsid w:val="00CE0F40"/>
    <w:rsid w:val="00CE1583"/>
    <w:rsid w:val="00CE2363"/>
    <w:rsid w:val="00CE38FD"/>
    <w:rsid w:val="00CE3C96"/>
    <w:rsid w:val="00CE424C"/>
    <w:rsid w:val="00CE4465"/>
    <w:rsid w:val="00CE4D50"/>
    <w:rsid w:val="00CE513D"/>
    <w:rsid w:val="00CE51A8"/>
    <w:rsid w:val="00CE5382"/>
    <w:rsid w:val="00CE6FD7"/>
    <w:rsid w:val="00CF02E9"/>
    <w:rsid w:val="00CF168C"/>
    <w:rsid w:val="00CF16CB"/>
    <w:rsid w:val="00CF2789"/>
    <w:rsid w:val="00CF369B"/>
    <w:rsid w:val="00CF5D05"/>
    <w:rsid w:val="00CF6050"/>
    <w:rsid w:val="00CF69AB"/>
    <w:rsid w:val="00D00E28"/>
    <w:rsid w:val="00D01961"/>
    <w:rsid w:val="00D02585"/>
    <w:rsid w:val="00D0269E"/>
    <w:rsid w:val="00D0356D"/>
    <w:rsid w:val="00D035F1"/>
    <w:rsid w:val="00D036A6"/>
    <w:rsid w:val="00D04645"/>
    <w:rsid w:val="00D0477D"/>
    <w:rsid w:val="00D04A20"/>
    <w:rsid w:val="00D0559F"/>
    <w:rsid w:val="00D05D6C"/>
    <w:rsid w:val="00D05D93"/>
    <w:rsid w:val="00D063F4"/>
    <w:rsid w:val="00D06692"/>
    <w:rsid w:val="00D07789"/>
    <w:rsid w:val="00D10056"/>
    <w:rsid w:val="00D104B0"/>
    <w:rsid w:val="00D11131"/>
    <w:rsid w:val="00D11B4C"/>
    <w:rsid w:val="00D11BF0"/>
    <w:rsid w:val="00D130F6"/>
    <w:rsid w:val="00D1408C"/>
    <w:rsid w:val="00D14282"/>
    <w:rsid w:val="00D14724"/>
    <w:rsid w:val="00D14A6B"/>
    <w:rsid w:val="00D1540F"/>
    <w:rsid w:val="00D155A9"/>
    <w:rsid w:val="00D15810"/>
    <w:rsid w:val="00D16B3B"/>
    <w:rsid w:val="00D16D4E"/>
    <w:rsid w:val="00D16F23"/>
    <w:rsid w:val="00D16FE3"/>
    <w:rsid w:val="00D2001A"/>
    <w:rsid w:val="00D20471"/>
    <w:rsid w:val="00D21242"/>
    <w:rsid w:val="00D2150E"/>
    <w:rsid w:val="00D2158C"/>
    <w:rsid w:val="00D23129"/>
    <w:rsid w:val="00D2322A"/>
    <w:rsid w:val="00D23BB1"/>
    <w:rsid w:val="00D243A4"/>
    <w:rsid w:val="00D255BC"/>
    <w:rsid w:val="00D25749"/>
    <w:rsid w:val="00D25CA0"/>
    <w:rsid w:val="00D26C3E"/>
    <w:rsid w:val="00D27F41"/>
    <w:rsid w:val="00D300EF"/>
    <w:rsid w:val="00D3017D"/>
    <w:rsid w:val="00D30AD3"/>
    <w:rsid w:val="00D31181"/>
    <w:rsid w:val="00D31975"/>
    <w:rsid w:val="00D3264E"/>
    <w:rsid w:val="00D327D7"/>
    <w:rsid w:val="00D337EE"/>
    <w:rsid w:val="00D340C5"/>
    <w:rsid w:val="00D34A87"/>
    <w:rsid w:val="00D34F0D"/>
    <w:rsid w:val="00D358FB"/>
    <w:rsid w:val="00D360E0"/>
    <w:rsid w:val="00D36441"/>
    <w:rsid w:val="00D37144"/>
    <w:rsid w:val="00D37720"/>
    <w:rsid w:val="00D4064E"/>
    <w:rsid w:val="00D40932"/>
    <w:rsid w:val="00D40A3A"/>
    <w:rsid w:val="00D40E13"/>
    <w:rsid w:val="00D422C0"/>
    <w:rsid w:val="00D4280F"/>
    <w:rsid w:val="00D42DD5"/>
    <w:rsid w:val="00D431BC"/>
    <w:rsid w:val="00D43BF8"/>
    <w:rsid w:val="00D44E38"/>
    <w:rsid w:val="00D44E9B"/>
    <w:rsid w:val="00D45242"/>
    <w:rsid w:val="00D45D5C"/>
    <w:rsid w:val="00D4612E"/>
    <w:rsid w:val="00D46695"/>
    <w:rsid w:val="00D47126"/>
    <w:rsid w:val="00D47AEB"/>
    <w:rsid w:val="00D47F8B"/>
    <w:rsid w:val="00D47FDA"/>
    <w:rsid w:val="00D5064E"/>
    <w:rsid w:val="00D506F8"/>
    <w:rsid w:val="00D50DB9"/>
    <w:rsid w:val="00D51302"/>
    <w:rsid w:val="00D51717"/>
    <w:rsid w:val="00D521EF"/>
    <w:rsid w:val="00D52C43"/>
    <w:rsid w:val="00D5356B"/>
    <w:rsid w:val="00D53912"/>
    <w:rsid w:val="00D5434A"/>
    <w:rsid w:val="00D5487E"/>
    <w:rsid w:val="00D54957"/>
    <w:rsid w:val="00D553CE"/>
    <w:rsid w:val="00D562DD"/>
    <w:rsid w:val="00D56B9B"/>
    <w:rsid w:val="00D56C03"/>
    <w:rsid w:val="00D572A6"/>
    <w:rsid w:val="00D60086"/>
    <w:rsid w:val="00D6126B"/>
    <w:rsid w:val="00D61CB6"/>
    <w:rsid w:val="00D637BA"/>
    <w:rsid w:val="00D639AD"/>
    <w:rsid w:val="00D64CFA"/>
    <w:rsid w:val="00D64E29"/>
    <w:rsid w:val="00D6507F"/>
    <w:rsid w:val="00D65439"/>
    <w:rsid w:val="00D657D7"/>
    <w:rsid w:val="00D65A44"/>
    <w:rsid w:val="00D65CCE"/>
    <w:rsid w:val="00D6641F"/>
    <w:rsid w:val="00D6687D"/>
    <w:rsid w:val="00D7029F"/>
    <w:rsid w:val="00D70E21"/>
    <w:rsid w:val="00D7263E"/>
    <w:rsid w:val="00D72DA0"/>
    <w:rsid w:val="00D730BC"/>
    <w:rsid w:val="00D73912"/>
    <w:rsid w:val="00D73D0B"/>
    <w:rsid w:val="00D75A27"/>
    <w:rsid w:val="00D7703F"/>
    <w:rsid w:val="00D801E7"/>
    <w:rsid w:val="00D80969"/>
    <w:rsid w:val="00D818B5"/>
    <w:rsid w:val="00D8224B"/>
    <w:rsid w:val="00D822BB"/>
    <w:rsid w:val="00D8260E"/>
    <w:rsid w:val="00D82B57"/>
    <w:rsid w:val="00D8369D"/>
    <w:rsid w:val="00D84970"/>
    <w:rsid w:val="00D84AA7"/>
    <w:rsid w:val="00D84EAE"/>
    <w:rsid w:val="00D85226"/>
    <w:rsid w:val="00D85341"/>
    <w:rsid w:val="00D85875"/>
    <w:rsid w:val="00D859BD"/>
    <w:rsid w:val="00D85F0F"/>
    <w:rsid w:val="00D863FF"/>
    <w:rsid w:val="00D87855"/>
    <w:rsid w:val="00D87B94"/>
    <w:rsid w:val="00D9103A"/>
    <w:rsid w:val="00D91E77"/>
    <w:rsid w:val="00D9239B"/>
    <w:rsid w:val="00D92D49"/>
    <w:rsid w:val="00D92DCB"/>
    <w:rsid w:val="00D92EC1"/>
    <w:rsid w:val="00D94AB5"/>
    <w:rsid w:val="00D9504D"/>
    <w:rsid w:val="00D95F67"/>
    <w:rsid w:val="00D96053"/>
    <w:rsid w:val="00D961B1"/>
    <w:rsid w:val="00D96296"/>
    <w:rsid w:val="00D96DEA"/>
    <w:rsid w:val="00D970A0"/>
    <w:rsid w:val="00DA0108"/>
    <w:rsid w:val="00DA08D3"/>
    <w:rsid w:val="00DA0D39"/>
    <w:rsid w:val="00DA184C"/>
    <w:rsid w:val="00DA21A9"/>
    <w:rsid w:val="00DA2A8F"/>
    <w:rsid w:val="00DA2B08"/>
    <w:rsid w:val="00DA2D1E"/>
    <w:rsid w:val="00DA2F9E"/>
    <w:rsid w:val="00DA3828"/>
    <w:rsid w:val="00DA452D"/>
    <w:rsid w:val="00DA4B00"/>
    <w:rsid w:val="00DA4E41"/>
    <w:rsid w:val="00DA566C"/>
    <w:rsid w:val="00DA6109"/>
    <w:rsid w:val="00DA6204"/>
    <w:rsid w:val="00DA62D5"/>
    <w:rsid w:val="00DA6649"/>
    <w:rsid w:val="00DA6C0B"/>
    <w:rsid w:val="00DA6F14"/>
    <w:rsid w:val="00DA70C7"/>
    <w:rsid w:val="00DA73DC"/>
    <w:rsid w:val="00DA7931"/>
    <w:rsid w:val="00DB117A"/>
    <w:rsid w:val="00DB1B37"/>
    <w:rsid w:val="00DB1E63"/>
    <w:rsid w:val="00DB242A"/>
    <w:rsid w:val="00DB2ADD"/>
    <w:rsid w:val="00DB2BB6"/>
    <w:rsid w:val="00DB3317"/>
    <w:rsid w:val="00DB3584"/>
    <w:rsid w:val="00DB5173"/>
    <w:rsid w:val="00DB538A"/>
    <w:rsid w:val="00DB5485"/>
    <w:rsid w:val="00DB55A5"/>
    <w:rsid w:val="00DB722E"/>
    <w:rsid w:val="00DB7873"/>
    <w:rsid w:val="00DB79A8"/>
    <w:rsid w:val="00DB7BAB"/>
    <w:rsid w:val="00DC187B"/>
    <w:rsid w:val="00DC1890"/>
    <w:rsid w:val="00DC34D7"/>
    <w:rsid w:val="00DC3566"/>
    <w:rsid w:val="00DC37A1"/>
    <w:rsid w:val="00DC3EE4"/>
    <w:rsid w:val="00DC403B"/>
    <w:rsid w:val="00DC4BD6"/>
    <w:rsid w:val="00DC5EA6"/>
    <w:rsid w:val="00DC6995"/>
    <w:rsid w:val="00DC7B7F"/>
    <w:rsid w:val="00DD01D5"/>
    <w:rsid w:val="00DD1A43"/>
    <w:rsid w:val="00DD2254"/>
    <w:rsid w:val="00DD2671"/>
    <w:rsid w:val="00DD3204"/>
    <w:rsid w:val="00DD328D"/>
    <w:rsid w:val="00DD4058"/>
    <w:rsid w:val="00DD40B6"/>
    <w:rsid w:val="00DD420E"/>
    <w:rsid w:val="00DD4779"/>
    <w:rsid w:val="00DD4D7A"/>
    <w:rsid w:val="00DD52F8"/>
    <w:rsid w:val="00DD60E0"/>
    <w:rsid w:val="00DD6BAB"/>
    <w:rsid w:val="00DD6C32"/>
    <w:rsid w:val="00DD73C2"/>
    <w:rsid w:val="00DD73EC"/>
    <w:rsid w:val="00DE018E"/>
    <w:rsid w:val="00DE062B"/>
    <w:rsid w:val="00DE0B53"/>
    <w:rsid w:val="00DE16C8"/>
    <w:rsid w:val="00DE1B92"/>
    <w:rsid w:val="00DE1E12"/>
    <w:rsid w:val="00DE319B"/>
    <w:rsid w:val="00DE3BC6"/>
    <w:rsid w:val="00DE669D"/>
    <w:rsid w:val="00DE72F5"/>
    <w:rsid w:val="00DE7793"/>
    <w:rsid w:val="00DF0625"/>
    <w:rsid w:val="00DF2EFE"/>
    <w:rsid w:val="00DF34FE"/>
    <w:rsid w:val="00DF479C"/>
    <w:rsid w:val="00DF56AA"/>
    <w:rsid w:val="00DF56AF"/>
    <w:rsid w:val="00DF5E2D"/>
    <w:rsid w:val="00DF6BBC"/>
    <w:rsid w:val="00DF78E7"/>
    <w:rsid w:val="00E00E4D"/>
    <w:rsid w:val="00E00F86"/>
    <w:rsid w:val="00E01575"/>
    <w:rsid w:val="00E01B59"/>
    <w:rsid w:val="00E03A9F"/>
    <w:rsid w:val="00E04226"/>
    <w:rsid w:val="00E042E5"/>
    <w:rsid w:val="00E044EC"/>
    <w:rsid w:val="00E04778"/>
    <w:rsid w:val="00E0766E"/>
    <w:rsid w:val="00E110E0"/>
    <w:rsid w:val="00E11EEC"/>
    <w:rsid w:val="00E14D80"/>
    <w:rsid w:val="00E15371"/>
    <w:rsid w:val="00E1575E"/>
    <w:rsid w:val="00E15A81"/>
    <w:rsid w:val="00E16C7B"/>
    <w:rsid w:val="00E20434"/>
    <w:rsid w:val="00E21061"/>
    <w:rsid w:val="00E21509"/>
    <w:rsid w:val="00E215BB"/>
    <w:rsid w:val="00E2269E"/>
    <w:rsid w:val="00E22B6F"/>
    <w:rsid w:val="00E24104"/>
    <w:rsid w:val="00E254B8"/>
    <w:rsid w:val="00E2598A"/>
    <w:rsid w:val="00E27266"/>
    <w:rsid w:val="00E300E7"/>
    <w:rsid w:val="00E301BC"/>
    <w:rsid w:val="00E302D0"/>
    <w:rsid w:val="00E3040C"/>
    <w:rsid w:val="00E31B1A"/>
    <w:rsid w:val="00E31B8E"/>
    <w:rsid w:val="00E324A0"/>
    <w:rsid w:val="00E3335B"/>
    <w:rsid w:val="00E34ADC"/>
    <w:rsid w:val="00E35707"/>
    <w:rsid w:val="00E36965"/>
    <w:rsid w:val="00E36AA1"/>
    <w:rsid w:val="00E36C78"/>
    <w:rsid w:val="00E36E80"/>
    <w:rsid w:val="00E371A5"/>
    <w:rsid w:val="00E3738B"/>
    <w:rsid w:val="00E374A5"/>
    <w:rsid w:val="00E37CAC"/>
    <w:rsid w:val="00E403D0"/>
    <w:rsid w:val="00E41791"/>
    <w:rsid w:val="00E41ECB"/>
    <w:rsid w:val="00E44538"/>
    <w:rsid w:val="00E458B6"/>
    <w:rsid w:val="00E4641B"/>
    <w:rsid w:val="00E478E2"/>
    <w:rsid w:val="00E5075C"/>
    <w:rsid w:val="00E5193F"/>
    <w:rsid w:val="00E51D2C"/>
    <w:rsid w:val="00E52451"/>
    <w:rsid w:val="00E52F90"/>
    <w:rsid w:val="00E5365D"/>
    <w:rsid w:val="00E545C3"/>
    <w:rsid w:val="00E54FDB"/>
    <w:rsid w:val="00E55697"/>
    <w:rsid w:val="00E55788"/>
    <w:rsid w:val="00E55F34"/>
    <w:rsid w:val="00E56012"/>
    <w:rsid w:val="00E5617D"/>
    <w:rsid w:val="00E563D7"/>
    <w:rsid w:val="00E5766D"/>
    <w:rsid w:val="00E5786F"/>
    <w:rsid w:val="00E57957"/>
    <w:rsid w:val="00E57B45"/>
    <w:rsid w:val="00E57D0D"/>
    <w:rsid w:val="00E60222"/>
    <w:rsid w:val="00E6054C"/>
    <w:rsid w:val="00E60660"/>
    <w:rsid w:val="00E60803"/>
    <w:rsid w:val="00E60AF4"/>
    <w:rsid w:val="00E620B2"/>
    <w:rsid w:val="00E62CFB"/>
    <w:rsid w:val="00E6399A"/>
    <w:rsid w:val="00E64B5A"/>
    <w:rsid w:val="00E65D03"/>
    <w:rsid w:val="00E66209"/>
    <w:rsid w:val="00E663F4"/>
    <w:rsid w:val="00E66633"/>
    <w:rsid w:val="00E666F2"/>
    <w:rsid w:val="00E66752"/>
    <w:rsid w:val="00E66BE2"/>
    <w:rsid w:val="00E66D44"/>
    <w:rsid w:val="00E66DD4"/>
    <w:rsid w:val="00E6729A"/>
    <w:rsid w:val="00E71F31"/>
    <w:rsid w:val="00E73BAB"/>
    <w:rsid w:val="00E748CC"/>
    <w:rsid w:val="00E74FE9"/>
    <w:rsid w:val="00E75415"/>
    <w:rsid w:val="00E762C3"/>
    <w:rsid w:val="00E76AF2"/>
    <w:rsid w:val="00E76C89"/>
    <w:rsid w:val="00E76CD8"/>
    <w:rsid w:val="00E775B1"/>
    <w:rsid w:val="00E80AC6"/>
    <w:rsid w:val="00E813A7"/>
    <w:rsid w:val="00E8152A"/>
    <w:rsid w:val="00E81671"/>
    <w:rsid w:val="00E821A4"/>
    <w:rsid w:val="00E821E7"/>
    <w:rsid w:val="00E82391"/>
    <w:rsid w:val="00E8275B"/>
    <w:rsid w:val="00E82C98"/>
    <w:rsid w:val="00E833C4"/>
    <w:rsid w:val="00E841C1"/>
    <w:rsid w:val="00E84473"/>
    <w:rsid w:val="00E85293"/>
    <w:rsid w:val="00E855B2"/>
    <w:rsid w:val="00E858ED"/>
    <w:rsid w:val="00E867BD"/>
    <w:rsid w:val="00E86EA9"/>
    <w:rsid w:val="00E870E3"/>
    <w:rsid w:val="00E874BC"/>
    <w:rsid w:val="00E87552"/>
    <w:rsid w:val="00E900AB"/>
    <w:rsid w:val="00E905F5"/>
    <w:rsid w:val="00E91E2F"/>
    <w:rsid w:val="00E92130"/>
    <w:rsid w:val="00E923D1"/>
    <w:rsid w:val="00E92DAF"/>
    <w:rsid w:val="00E93473"/>
    <w:rsid w:val="00E93629"/>
    <w:rsid w:val="00E93B5C"/>
    <w:rsid w:val="00E94961"/>
    <w:rsid w:val="00E94CEC"/>
    <w:rsid w:val="00E95CCC"/>
    <w:rsid w:val="00E960A0"/>
    <w:rsid w:val="00E967AB"/>
    <w:rsid w:val="00E967CD"/>
    <w:rsid w:val="00E971CB"/>
    <w:rsid w:val="00E974B8"/>
    <w:rsid w:val="00EA0295"/>
    <w:rsid w:val="00EA04EF"/>
    <w:rsid w:val="00EA0FDD"/>
    <w:rsid w:val="00EA2265"/>
    <w:rsid w:val="00EA288B"/>
    <w:rsid w:val="00EA291C"/>
    <w:rsid w:val="00EA2FBF"/>
    <w:rsid w:val="00EA4269"/>
    <w:rsid w:val="00EA4567"/>
    <w:rsid w:val="00EA4622"/>
    <w:rsid w:val="00EA481D"/>
    <w:rsid w:val="00EA526B"/>
    <w:rsid w:val="00EA5496"/>
    <w:rsid w:val="00EA5C2D"/>
    <w:rsid w:val="00EA6F19"/>
    <w:rsid w:val="00EA781F"/>
    <w:rsid w:val="00EA7FB4"/>
    <w:rsid w:val="00EB097F"/>
    <w:rsid w:val="00EB0FBD"/>
    <w:rsid w:val="00EB20C0"/>
    <w:rsid w:val="00EB264F"/>
    <w:rsid w:val="00EB31DE"/>
    <w:rsid w:val="00EB3366"/>
    <w:rsid w:val="00EB3B7E"/>
    <w:rsid w:val="00EB5641"/>
    <w:rsid w:val="00EB5B9F"/>
    <w:rsid w:val="00EB683D"/>
    <w:rsid w:val="00EB7090"/>
    <w:rsid w:val="00EC02B7"/>
    <w:rsid w:val="00EC04B1"/>
    <w:rsid w:val="00EC0DB4"/>
    <w:rsid w:val="00EC19B5"/>
    <w:rsid w:val="00EC1BBE"/>
    <w:rsid w:val="00EC1FD7"/>
    <w:rsid w:val="00EC2D2C"/>
    <w:rsid w:val="00EC32AE"/>
    <w:rsid w:val="00EC3984"/>
    <w:rsid w:val="00EC42C1"/>
    <w:rsid w:val="00EC5290"/>
    <w:rsid w:val="00EC5CD7"/>
    <w:rsid w:val="00EC771A"/>
    <w:rsid w:val="00EC7FE6"/>
    <w:rsid w:val="00ED02FA"/>
    <w:rsid w:val="00ED11D0"/>
    <w:rsid w:val="00ED17ED"/>
    <w:rsid w:val="00ED3325"/>
    <w:rsid w:val="00ED3969"/>
    <w:rsid w:val="00ED39AC"/>
    <w:rsid w:val="00ED3EBC"/>
    <w:rsid w:val="00ED4617"/>
    <w:rsid w:val="00ED4ED8"/>
    <w:rsid w:val="00ED5472"/>
    <w:rsid w:val="00ED581D"/>
    <w:rsid w:val="00ED79C5"/>
    <w:rsid w:val="00EE1AAB"/>
    <w:rsid w:val="00EE1DB0"/>
    <w:rsid w:val="00EE371C"/>
    <w:rsid w:val="00EE591B"/>
    <w:rsid w:val="00EE5FB3"/>
    <w:rsid w:val="00EE64AD"/>
    <w:rsid w:val="00EE755B"/>
    <w:rsid w:val="00EE75A6"/>
    <w:rsid w:val="00EE7823"/>
    <w:rsid w:val="00EE7E16"/>
    <w:rsid w:val="00EE7F79"/>
    <w:rsid w:val="00EF02CC"/>
    <w:rsid w:val="00EF046B"/>
    <w:rsid w:val="00EF0B41"/>
    <w:rsid w:val="00EF0D29"/>
    <w:rsid w:val="00EF13F0"/>
    <w:rsid w:val="00EF2F5F"/>
    <w:rsid w:val="00EF4241"/>
    <w:rsid w:val="00EF47B4"/>
    <w:rsid w:val="00EF4A02"/>
    <w:rsid w:val="00EF55DF"/>
    <w:rsid w:val="00EF6DD4"/>
    <w:rsid w:val="00EF6FF8"/>
    <w:rsid w:val="00EF715A"/>
    <w:rsid w:val="00EF73FF"/>
    <w:rsid w:val="00F008B8"/>
    <w:rsid w:val="00F012AE"/>
    <w:rsid w:val="00F01345"/>
    <w:rsid w:val="00F01621"/>
    <w:rsid w:val="00F01E9F"/>
    <w:rsid w:val="00F02625"/>
    <w:rsid w:val="00F027E7"/>
    <w:rsid w:val="00F02F42"/>
    <w:rsid w:val="00F031E8"/>
    <w:rsid w:val="00F03316"/>
    <w:rsid w:val="00F03F23"/>
    <w:rsid w:val="00F059BF"/>
    <w:rsid w:val="00F05B71"/>
    <w:rsid w:val="00F06B94"/>
    <w:rsid w:val="00F06E14"/>
    <w:rsid w:val="00F0782A"/>
    <w:rsid w:val="00F07FC5"/>
    <w:rsid w:val="00F1292B"/>
    <w:rsid w:val="00F12A59"/>
    <w:rsid w:val="00F133DE"/>
    <w:rsid w:val="00F14583"/>
    <w:rsid w:val="00F1517E"/>
    <w:rsid w:val="00F151B7"/>
    <w:rsid w:val="00F16412"/>
    <w:rsid w:val="00F16ED2"/>
    <w:rsid w:val="00F179D4"/>
    <w:rsid w:val="00F17CE7"/>
    <w:rsid w:val="00F20169"/>
    <w:rsid w:val="00F203E1"/>
    <w:rsid w:val="00F208DD"/>
    <w:rsid w:val="00F20D03"/>
    <w:rsid w:val="00F210C6"/>
    <w:rsid w:val="00F21934"/>
    <w:rsid w:val="00F23A12"/>
    <w:rsid w:val="00F23E1B"/>
    <w:rsid w:val="00F24082"/>
    <w:rsid w:val="00F260CE"/>
    <w:rsid w:val="00F2643F"/>
    <w:rsid w:val="00F269F4"/>
    <w:rsid w:val="00F26F20"/>
    <w:rsid w:val="00F2752E"/>
    <w:rsid w:val="00F27D05"/>
    <w:rsid w:val="00F31246"/>
    <w:rsid w:val="00F31470"/>
    <w:rsid w:val="00F32262"/>
    <w:rsid w:val="00F326D2"/>
    <w:rsid w:val="00F32A06"/>
    <w:rsid w:val="00F32F02"/>
    <w:rsid w:val="00F33C56"/>
    <w:rsid w:val="00F347C7"/>
    <w:rsid w:val="00F34848"/>
    <w:rsid w:val="00F35CEA"/>
    <w:rsid w:val="00F35E95"/>
    <w:rsid w:val="00F3631E"/>
    <w:rsid w:val="00F37879"/>
    <w:rsid w:val="00F4221A"/>
    <w:rsid w:val="00F427FF"/>
    <w:rsid w:val="00F42B12"/>
    <w:rsid w:val="00F42D46"/>
    <w:rsid w:val="00F43BCD"/>
    <w:rsid w:val="00F4496C"/>
    <w:rsid w:val="00F44F3A"/>
    <w:rsid w:val="00F45314"/>
    <w:rsid w:val="00F46973"/>
    <w:rsid w:val="00F46AD1"/>
    <w:rsid w:val="00F46C2A"/>
    <w:rsid w:val="00F46F02"/>
    <w:rsid w:val="00F501A4"/>
    <w:rsid w:val="00F51024"/>
    <w:rsid w:val="00F51A34"/>
    <w:rsid w:val="00F51B04"/>
    <w:rsid w:val="00F51F10"/>
    <w:rsid w:val="00F51F4B"/>
    <w:rsid w:val="00F529A5"/>
    <w:rsid w:val="00F53A5A"/>
    <w:rsid w:val="00F53C15"/>
    <w:rsid w:val="00F54799"/>
    <w:rsid w:val="00F5488C"/>
    <w:rsid w:val="00F54C98"/>
    <w:rsid w:val="00F5651D"/>
    <w:rsid w:val="00F56AFA"/>
    <w:rsid w:val="00F56F8A"/>
    <w:rsid w:val="00F571D2"/>
    <w:rsid w:val="00F5726D"/>
    <w:rsid w:val="00F57373"/>
    <w:rsid w:val="00F5737B"/>
    <w:rsid w:val="00F6048F"/>
    <w:rsid w:val="00F60F00"/>
    <w:rsid w:val="00F61362"/>
    <w:rsid w:val="00F614C0"/>
    <w:rsid w:val="00F61FB1"/>
    <w:rsid w:val="00F62511"/>
    <w:rsid w:val="00F62CE6"/>
    <w:rsid w:val="00F6490B"/>
    <w:rsid w:val="00F65B6B"/>
    <w:rsid w:val="00F66606"/>
    <w:rsid w:val="00F666AA"/>
    <w:rsid w:val="00F7004B"/>
    <w:rsid w:val="00F721BD"/>
    <w:rsid w:val="00F724BE"/>
    <w:rsid w:val="00F73FED"/>
    <w:rsid w:val="00F7432B"/>
    <w:rsid w:val="00F74830"/>
    <w:rsid w:val="00F74D1E"/>
    <w:rsid w:val="00F75196"/>
    <w:rsid w:val="00F75A9A"/>
    <w:rsid w:val="00F76870"/>
    <w:rsid w:val="00F76FD8"/>
    <w:rsid w:val="00F7704C"/>
    <w:rsid w:val="00F80B36"/>
    <w:rsid w:val="00F8153B"/>
    <w:rsid w:val="00F8168F"/>
    <w:rsid w:val="00F82228"/>
    <w:rsid w:val="00F83848"/>
    <w:rsid w:val="00F84839"/>
    <w:rsid w:val="00F84B08"/>
    <w:rsid w:val="00F85753"/>
    <w:rsid w:val="00F862F2"/>
    <w:rsid w:val="00F86AC8"/>
    <w:rsid w:val="00F86ED7"/>
    <w:rsid w:val="00F87628"/>
    <w:rsid w:val="00F87901"/>
    <w:rsid w:val="00F87D6F"/>
    <w:rsid w:val="00F90B6F"/>
    <w:rsid w:val="00F90F27"/>
    <w:rsid w:val="00F91EC4"/>
    <w:rsid w:val="00F92131"/>
    <w:rsid w:val="00F921DD"/>
    <w:rsid w:val="00F926E4"/>
    <w:rsid w:val="00F928BE"/>
    <w:rsid w:val="00F939CC"/>
    <w:rsid w:val="00F94326"/>
    <w:rsid w:val="00F947C1"/>
    <w:rsid w:val="00F94F7C"/>
    <w:rsid w:val="00F95C02"/>
    <w:rsid w:val="00F96BFE"/>
    <w:rsid w:val="00F975E9"/>
    <w:rsid w:val="00F97FC9"/>
    <w:rsid w:val="00FA00AB"/>
    <w:rsid w:val="00FA04E9"/>
    <w:rsid w:val="00FA16C8"/>
    <w:rsid w:val="00FA1B7D"/>
    <w:rsid w:val="00FA3A30"/>
    <w:rsid w:val="00FA5E5E"/>
    <w:rsid w:val="00FA5EFF"/>
    <w:rsid w:val="00FA6AA1"/>
    <w:rsid w:val="00FA6D31"/>
    <w:rsid w:val="00FB0873"/>
    <w:rsid w:val="00FB094D"/>
    <w:rsid w:val="00FB2196"/>
    <w:rsid w:val="00FB2410"/>
    <w:rsid w:val="00FB2948"/>
    <w:rsid w:val="00FB3B0C"/>
    <w:rsid w:val="00FB3BCB"/>
    <w:rsid w:val="00FB4459"/>
    <w:rsid w:val="00FB67F1"/>
    <w:rsid w:val="00FB7705"/>
    <w:rsid w:val="00FB7FEC"/>
    <w:rsid w:val="00FC03C5"/>
    <w:rsid w:val="00FC04C5"/>
    <w:rsid w:val="00FC07B9"/>
    <w:rsid w:val="00FC1F24"/>
    <w:rsid w:val="00FC2E82"/>
    <w:rsid w:val="00FC4E21"/>
    <w:rsid w:val="00FC53DC"/>
    <w:rsid w:val="00FC5EE8"/>
    <w:rsid w:val="00FC5F6D"/>
    <w:rsid w:val="00FD0107"/>
    <w:rsid w:val="00FD0F95"/>
    <w:rsid w:val="00FD1033"/>
    <w:rsid w:val="00FD1629"/>
    <w:rsid w:val="00FD2953"/>
    <w:rsid w:val="00FD2C2F"/>
    <w:rsid w:val="00FD2DCA"/>
    <w:rsid w:val="00FD2EFD"/>
    <w:rsid w:val="00FD35F4"/>
    <w:rsid w:val="00FD3B31"/>
    <w:rsid w:val="00FD45FE"/>
    <w:rsid w:val="00FD5863"/>
    <w:rsid w:val="00FD7476"/>
    <w:rsid w:val="00FD76C6"/>
    <w:rsid w:val="00FD775E"/>
    <w:rsid w:val="00FD7A08"/>
    <w:rsid w:val="00FE0530"/>
    <w:rsid w:val="00FE1823"/>
    <w:rsid w:val="00FE1827"/>
    <w:rsid w:val="00FE226A"/>
    <w:rsid w:val="00FE2D57"/>
    <w:rsid w:val="00FE3279"/>
    <w:rsid w:val="00FE3D07"/>
    <w:rsid w:val="00FE4369"/>
    <w:rsid w:val="00FE4496"/>
    <w:rsid w:val="00FE487A"/>
    <w:rsid w:val="00FE49CF"/>
    <w:rsid w:val="00FE4E78"/>
    <w:rsid w:val="00FE553A"/>
    <w:rsid w:val="00FE562E"/>
    <w:rsid w:val="00FE5CD8"/>
    <w:rsid w:val="00FE67CB"/>
    <w:rsid w:val="00FE74D4"/>
    <w:rsid w:val="00FE7C84"/>
    <w:rsid w:val="00FF04F8"/>
    <w:rsid w:val="00FF0569"/>
    <w:rsid w:val="00FF074E"/>
    <w:rsid w:val="00FF13CF"/>
    <w:rsid w:val="00FF1656"/>
    <w:rsid w:val="00FF1CD0"/>
    <w:rsid w:val="00FF206E"/>
    <w:rsid w:val="00FF22A6"/>
    <w:rsid w:val="00FF2AAB"/>
    <w:rsid w:val="00FF2E02"/>
    <w:rsid w:val="00FF3C69"/>
    <w:rsid w:val="00FF3DA5"/>
    <w:rsid w:val="00FF46B9"/>
    <w:rsid w:val="00FF4CEB"/>
    <w:rsid w:val="00FF4EF5"/>
    <w:rsid w:val="00FF6E0A"/>
    <w:rsid w:val="00FF6E3E"/>
    <w:rsid w:val="00FF7E5F"/>
    <w:rsid w:val="00FF7F27"/>
    <w:rsid w:val="00FF7FFD"/>
    <w:rsid w:val="28207AA7"/>
    <w:rsid w:val="6C2E0F84"/>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red,#4d4d4f"/>
    </o:shapedefaults>
    <o:shapelayout v:ext="edit">
      <o:idmap v:ext="edit" data="1"/>
    </o:shapelayout>
  </w:shapeDefaults>
  <w:decimalSymbol w:val="."/>
  <w:listSeparator w:val=","/>
  <w14:docId w14:val="7747A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095F"/>
    <w:pPr>
      <w:spacing w:after="240" w:line="240" w:lineRule="atLeast"/>
    </w:pPr>
    <w:rPr>
      <w:rFonts w:ascii="Arial" w:hAnsi="Arial"/>
      <w:sz w:val="22"/>
    </w:rPr>
  </w:style>
  <w:style w:type="paragraph" w:styleId="Heading1">
    <w:name w:val="heading 1"/>
    <w:basedOn w:val="Normal"/>
    <w:next w:val="Normal"/>
    <w:link w:val="Heading1Char"/>
    <w:qFormat/>
    <w:rsid w:val="00923D7A"/>
    <w:pPr>
      <w:keepNext/>
      <w:pageBreakBefore/>
      <w:widowControl w:val="0"/>
      <w:numPr>
        <w:numId w:val="13"/>
      </w:numPr>
      <w:spacing w:after="360" w:line="550" w:lineRule="exact"/>
      <w:outlineLvl w:val="0"/>
    </w:pPr>
    <w:rPr>
      <w:rFonts w:cs="Arial"/>
      <w:bCs/>
      <w:color w:val="323232"/>
      <w:kern w:val="32"/>
      <w:sz w:val="44"/>
      <w:szCs w:val="32"/>
    </w:rPr>
  </w:style>
  <w:style w:type="paragraph" w:styleId="Heading2">
    <w:name w:val="heading 2"/>
    <w:basedOn w:val="Normal"/>
    <w:next w:val="Normal"/>
    <w:qFormat/>
    <w:rsid w:val="00254146"/>
    <w:pPr>
      <w:keepNext/>
      <w:numPr>
        <w:ilvl w:val="1"/>
        <w:numId w:val="13"/>
      </w:numPr>
      <w:spacing w:before="320" w:after="60"/>
      <w:outlineLvl w:val="1"/>
    </w:pPr>
    <w:rPr>
      <w:rFonts w:cs="Arial"/>
      <w:b/>
      <w:bCs/>
      <w:iCs/>
      <w:sz w:val="28"/>
      <w:szCs w:val="28"/>
    </w:rPr>
  </w:style>
  <w:style w:type="paragraph" w:styleId="Heading3">
    <w:name w:val="heading 3"/>
    <w:basedOn w:val="Normal"/>
    <w:next w:val="Normal"/>
    <w:qFormat/>
    <w:rsid w:val="00254146"/>
    <w:pPr>
      <w:keepNext/>
      <w:numPr>
        <w:ilvl w:val="2"/>
        <w:numId w:val="13"/>
      </w:numPr>
      <w:spacing w:before="60" w:after="60"/>
      <w:outlineLvl w:val="2"/>
    </w:pPr>
    <w:rPr>
      <w:rFonts w:cs="Arial"/>
      <w:b/>
      <w:bCs/>
      <w:szCs w:val="26"/>
    </w:rPr>
  </w:style>
  <w:style w:type="paragraph" w:styleId="Heading4">
    <w:name w:val="heading 4"/>
    <w:aliases w:val="H4"/>
    <w:basedOn w:val="Normal"/>
    <w:next w:val="Normal"/>
    <w:link w:val="Heading4Char"/>
    <w:qFormat/>
    <w:rsid w:val="00AD5436"/>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rsid w:val="00AD5436"/>
    <w:pPr>
      <w:numPr>
        <w:ilvl w:val="4"/>
        <w:numId w:val="13"/>
      </w:numPr>
      <w:spacing w:before="240" w:after="60"/>
      <w:outlineLvl w:val="4"/>
    </w:pPr>
    <w:rPr>
      <w:b/>
      <w:bCs/>
      <w:i/>
      <w:iCs/>
      <w:sz w:val="26"/>
      <w:szCs w:val="26"/>
    </w:rPr>
  </w:style>
  <w:style w:type="paragraph" w:styleId="Heading6">
    <w:name w:val="heading 6"/>
    <w:basedOn w:val="Normal"/>
    <w:next w:val="Normal"/>
    <w:qFormat/>
    <w:rsid w:val="00AD5436"/>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rsid w:val="00AD5436"/>
    <w:pPr>
      <w:numPr>
        <w:ilvl w:val="6"/>
        <w:numId w:val="13"/>
      </w:numPr>
      <w:spacing w:before="240" w:after="60"/>
      <w:outlineLvl w:val="6"/>
    </w:pPr>
    <w:rPr>
      <w:rFonts w:ascii="Times New Roman" w:hAnsi="Times New Roman"/>
    </w:rPr>
  </w:style>
  <w:style w:type="paragraph" w:styleId="Heading8">
    <w:name w:val="heading 8"/>
    <w:basedOn w:val="Normal"/>
    <w:next w:val="Normal"/>
    <w:qFormat/>
    <w:rsid w:val="00AD5436"/>
    <w:pPr>
      <w:numPr>
        <w:ilvl w:val="7"/>
        <w:numId w:val="13"/>
      </w:numPr>
      <w:spacing w:before="240" w:after="60"/>
      <w:outlineLvl w:val="7"/>
    </w:pPr>
    <w:rPr>
      <w:rFonts w:ascii="Times New Roman" w:hAnsi="Times New Roman"/>
      <w:i/>
      <w:iCs/>
    </w:rPr>
  </w:style>
  <w:style w:type="paragraph" w:styleId="Heading9">
    <w:name w:val="heading 9"/>
    <w:basedOn w:val="Normal"/>
    <w:next w:val="Normal"/>
    <w:qFormat/>
    <w:rsid w:val="00AD5436"/>
    <w:pPr>
      <w:numPr>
        <w:ilvl w:val="8"/>
        <w:numId w:val="1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94078F"/>
    <w:rPr>
      <w:rFonts w:ascii="Arial" w:hAnsi="Arial"/>
      <w:color w:val="323232"/>
      <w:sz w:val="16"/>
    </w:rPr>
  </w:style>
  <w:style w:type="paragraph" w:customStyle="1" w:styleId="ACMAReportTitle">
    <w:name w:val="ACMA_ReportTitle"/>
    <w:basedOn w:val="Normal"/>
    <w:qFormat/>
    <w:rsid w:val="00A51D1A"/>
    <w:pPr>
      <w:spacing w:after="0"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ReportDate">
    <w:name w:val="ACMA_ReportDate"/>
    <w:basedOn w:val="ACMAReportSubTitle"/>
    <w:qFormat/>
    <w:rsid w:val="00063A18"/>
    <w:pPr>
      <w:spacing w:after="120" w:line="240" w:lineRule="auto"/>
    </w:pPr>
    <w:rPr>
      <w:caps/>
      <w:spacing w:val="-10"/>
      <w:sz w:val="20"/>
    </w:rPr>
  </w:style>
  <w:style w:type="paragraph" w:customStyle="1" w:styleId="TableHeading">
    <w:name w:val="Table Heading"/>
    <w:basedOn w:val="Normal"/>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aliases w:val="Caption table"/>
    <w:basedOn w:val="Normal"/>
    <w:next w:val="Normal"/>
    <w:uiPriority w:val="35"/>
    <w:qFormat/>
    <w:rsid w:val="00E8152A"/>
    <w:pPr>
      <w:numPr>
        <w:numId w:val="8"/>
      </w:numPr>
      <w:spacing w:after="0"/>
    </w:pPr>
    <w:rPr>
      <w:b/>
      <w:bCs/>
      <w:color w:val="323232"/>
      <w:szCs w:val="20"/>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aliases w:val="List Bullet 1"/>
    <w:basedOn w:val="Normal"/>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Cs w:val="22"/>
    </w:rPr>
  </w:style>
  <w:style w:type="character" w:styleId="Hyperlink">
    <w:name w:val="Hyperlink"/>
    <w:aliases w:val="CEO_Hyperlink"/>
    <w:basedOn w:val="DefaultParagraphFont"/>
    <w:uiPriority w:val="99"/>
    <w:qFormat/>
    <w:rsid w:val="003A5F5B"/>
    <w:rPr>
      <w:color w:val="0000FF"/>
      <w:u w:val="single"/>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
    <w:basedOn w:val="DefaultParagraphFont"/>
    <w:qFormat/>
    <w:rsid w:val="00566AB4"/>
    <w:rPr>
      <w:rFonts w:ascii="Arial" w:hAnsi="Arial"/>
      <w:vertAlign w:val="superscript"/>
    </w:rPr>
  </w:style>
  <w:style w:type="paragraph" w:styleId="FootnoteText">
    <w:name w:val="footnote text"/>
    <w:aliases w:val="ACMA Footnote Text,ABA Footnote Text,footnote text,Footnote Text Char1,Footnote Text Char Char,Footnote Text Char1 Char Char,Footnote Text Char Char Char Char,Footnote Text Char1 Char Char Char Char,Footnote Text Char2 Char Char,f,fn"/>
    <w:basedOn w:val="Normal"/>
    <w:link w:val="FootnoteTextChar"/>
    <w:uiPriority w:val="99"/>
    <w:qFormat/>
    <w:rsid w:val="003C6FC5"/>
    <w:pPr>
      <w:spacing w:after="0"/>
    </w:pPr>
    <w:rPr>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uiPriority w:val="99"/>
    <w:rsid w:val="00EE7F79"/>
    <w:rPr>
      <w:sz w:val="16"/>
      <w:szCs w:val="16"/>
    </w:rPr>
  </w:style>
  <w:style w:type="paragraph" w:styleId="CommentText">
    <w:name w:val="annotation text"/>
    <w:basedOn w:val="Normal"/>
    <w:link w:val="CommentTextChar"/>
    <w:uiPriority w:val="99"/>
    <w:rsid w:val="00EE7F79"/>
    <w:pPr>
      <w:spacing w:line="240" w:lineRule="auto"/>
    </w:pPr>
    <w:rPr>
      <w:szCs w:val="20"/>
    </w:r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semiHidden/>
    <w:qFormat/>
    <w:rsid w:val="0005011A"/>
    <w:rPr>
      <w:b/>
      <w:bCs/>
    </w:rPr>
  </w:style>
  <w:style w:type="paragraph" w:customStyle="1" w:styleId="ACMACorporateAddressHeader">
    <w:name w:val="ACMA_CorporateAddressHeader"/>
    <w:basedOn w:val="Normal"/>
    <w:next w:val="ACMACorporateAddresses"/>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FC07B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0B27C0"/>
    <w:pPr>
      <w:numPr>
        <w:numId w:val="6"/>
      </w:numPr>
      <w:spacing w:after="160"/>
    </w:pPr>
    <w:rPr>
      <w:rFonts w:ascii="Arial" w:hAnsi="Arial"/>
      <w:b/>
      <w:bCs/>
      <w:color w:val="323232"/>
      <w:sz w:val="22"/>
      <w:szCs w:val="20"/>
    </w:rPr>
  </w:style>
  <w:style w:type="paragraph" w:customStyle="1" w:styleId="ACMANotes">
    <w:name w:val="ACMA_Notes"/>
    <w:qFormat/>
    <w:rsid w:val="00FF206E"/>
    <w:pPr>
      <w:spacing w:before="80"/>
    </w:pPr>
    <w:rPr>
      <w:rFonts w:ascii="Arial" w:hAnsi="Arial" w:cs="Arial"/>
      <w:i/>
      <w:sz w:val="16"/>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0B27C0"/>
    <w:pPr>
      <w:numPr>
        <w:numId w:val="5"/>
      </w:numPr>
      <w:spacing w:after="160"/>
    </w:pPr>
    <w:rPr>
      <w:rFonts w:ascii="Arial" w:hAnsi="Arial"/>
      <w:b/>
      <w:bCs/>
      <w:color w:val="323232"/>
      <w:sz w:val="22"/>
      <w:szCs w:val="20"/>
    </w:rPr>
  </w:style>
  <w:style w:type="paragraph" w:customStyle="1" w:styleId="Captionfigure">
    <w:name w:val="Caption figure"/>
    <w:basedOn w:val="Caption"/>
    <w:qFormat/>
    <w:rsid w:val="00E8152A"/>
    <w:pPr>
      <w:keepNext/>
      <w:numPr>
        <w:numId w:val="7"/>
      </w:numPr>
    </w:pPr>
    <w:rPr>
      <w:rFonts w:cs="Arial"/>
    </w:rPr>
  </w:style>
  <w:style w:type="paragraph" w:customStyle="1" w:styleId="GridTable31">
    <w:name w:val="Grid Table 31"/>
    <w:basedOn w:val="Normal"/>
    <w:qFormat/>
    <w:rsid w:val="00971914"/>
    <w:pPr>
      <w:spacing w:after="0" w:line="240" w:lineRule="auto"/>
    </w:pPr>
    <w:rPr>
      <w:b/>
      <w:color w:val="4D4D4F"/>
      <w:spacing w:val="-28"/>
      <w:sz w:val="53"/>
    </w:rPr>
  </w:style>
  <w:style w:type="character" w:customStyle="1" w:styleId="HeaderChar">
    <w:name w:val="Header Char"/>
    <w:link w:val="Header"/>
    <w:rsid w:val="00971914"/>
    <w:rPr>
      <w:rFonts w:ascii="Arial" w:hAnsi="Arial"/>
      <w:sz w:val="16"/>
    </w:rPr>
  </w:style>
  <w:style w:type="paragraph" w:customStyle="1" w:styleId="Partheading">
    <w:name w:val="Part heading"/>
    <w:basedOn w:val="Heading1"/>
    <w:qFormat/>
    <w:rsid w:val="00FD1033"/>
    <w:pPr>
      <w:numPr>
        <w:numId w:val="9"/>
      </w:numPr>
    </w:pPr>
  </w:style>
  <w:style w:type="paragraph" w:customStyle="1" w:styleId="Numberedheading">
    <w:name w:val="Numbered heading"/>
    <w:basedOn w:val="Heading2"/>
    <w:qFormat/>
    <w:rsid w:val="00FD1033"/>
    <w:pPr>
      <w:numPr>
        <w:numId w:val="9"/>
      </w:numPr>
    </w:pPr>
  </w:style>
  <w:style w:type="paragraph" w:customStyle="1" w:styleId="Heading2noTOC">
    <w:name w:val="Heading 2 no TOC"/>
    <w:qFormat/>
    <w:rsid w:val="00EF73FF"/>
    <w:rPr>
      <w:rFonts w:ascii="Arial" w:hAnsi="Arial" w:cs="Arial"/>
      <w:b/>
      <w:bCs/>
      <w:iCs/>
      <w:sz w:val="28"/>
      <w:szCs w:val="28"/>
    </w:rPr>
  </w:style>
  <w:style w:type="paragraph" w:styleId="ListParagraph">
    <w:name w:val="List Paragraph"/>
    <w:basedOn w:val="Normal"/>
    <w:uiPriority w:val="34"/>
    <w:qFormat/>
    <w:rsid w:val="00366071"/>
    <w:pPr>
      <w:ind w:left="720"/>
      <w:contextualSpacing/>
    </w:pPr>
  </w:style>
  <w:style w:type="character" w:customStyle="1" w:styleId="FootnoteTextChar">
    <w:name w:val="Footnote Text Char"/>
    <w:aliases w:val="ACMA Footnote Text Char,ABA Footnote Text Char,footnote text Char,Footnote Text Char1 Char,Footnote Text Char Char Char,Footnote Text Char1 Char Char Char,Footnote Text Char Char Char Char Char,Footnote Text Char2 Char Char Char"/>
    <w:basedOn w:val="DefaultParagraphFont"/>
    <w:link w:val="FootnoteText"/>
    <w:uiPriority w:val="99"/>
    <w:qFormat/>
    <w:rsid w:val="003C6FC5"/>
    <w:rPr>
      <w:rFonts w:ascii="Arial" w:hAnsi="Arial"/>
      <w:sz w:val="16"/>
      <w:szCs w:val="16"/>
    </w:rPr>
  </w:style>
  <w:style w:type="character" w:styleId="UnresolvedMention">
    <w:name w:val="Unresolved Mention"/>
    <w:basedOn w:val="DefaultParagraphFont"/>
    <w:uiPriority w:val="99"/>
    <w:semiHidden/>
    <w:unhideWhenUsed/>
    <w:rsid w:val="00746A68"/>
    <w:rPr>
      <w:color w:val="605E5C"/>
      <w:shd w:val="clear" w:color="auto" w:fill="E1DFDD"/>
    </w:rPr>
  </w:style>
  <w:style w:type="character" w:customStyle="1" w:styleId="Heading1Char">
    <w:name w:val="Heading 1 Char"/>
    <w:basedOn w:val="DefaultParagraphFont"/>
    <w:link w:val="Heading1"/>
    <w:rsid w:val="00887949"/>
    <w:rPr>
      <w:rFonts w:ascii="Arial" w:hAnsi="Arial" w:cs="Arial"/>
      <w:bCs/>
      <w:color w:val="323232"/>
      <w:kern w:val="32"/>
      <w:sz w:val="44"/>
      <w:szCs w:val="32"/>
    </w:rPr>
  </w:style>
  <w:style w:type="paragraph" w:styleId="Revision">
    <w:name w:val="Revision"/>
    <w:hidden/>
    <w:semiHidden/>
    <w:rsid w:val="00767E80"/>
    <w:rPr>
      <w:rFonts w:ascii="Arial" w:hAnsi="Arial"/>
      <w:sz w:val="22"/>
    </w:rPr>
  </w:style>
  <w:style w:type="paragraph" w:customStyle="1" w:styleId="Bulletlevel1">
    <w:name w:val="Bullet level 1"/>
    <w:basedOn w:val="ListBullet"/>
    <w:uiPriority w:val="5"/>
    <w:qFormat/>
    <w:rsid w:val="00EC02B7"/>
    <w:rPr>
      <w:rFonts w:cs="Arial"/>
      <w:sz w:val="20"/>
    </w:rPr>
  </w:style>
  <w:style w:type="paragraph" w:customStyle="1" w:styleId="Paragraph">
    <w:name w:val="Paragraph"/>
    <w:basedOn w:val="Normal"/>
    <w:qFormat/>
    <w:rsid w:val="00EC02B7"/>
    <w:rPr>
      <w:rFonts w:cs="Arial"/>
      <w:sz w:val="20"/>
    </w:rPr>
  </w:style>
  <w:style w:type="paragraph" w:customStyle="1" w:styleId="paragraph0">
    <w:name w:val="paragraph"/>
    <w:aliases w:val="a"/>
    <w:basedOn w:val="Normal"/>
    <w:rsid w:val="002415BD"/>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2415BD"/>
  </w:style>
  <w:style w:type="character" w:customStyle="1" w:styleId="eop">
    <w:name w:val="eop"/>
    <w:basedOn w:val="DefaultParagraphFont"/>
    <w:rsid w:val="002415BD"/>
  </w:style>
  <w:style w:type="paragraph" w:customStyle="1" w:styleId="ActHead5">
    <w:name w:val="ActHead 5"/>
    <w:aliases w:val="s"/>
    <w:basedOn w:val="Normal"/>
    <w:next w:val="subsection"/>
    <w:qFormat/>
    <w:rsid w:val="00D639AD"/>
    <w:pPr>
      <w:keepNext/>
      <w:keepLines/>
      <w:spacing w:before="280" w:after="0" w:line="240" w:lineRule="auto"/>
      <w:ind w:left="1134" w:hanging="1134"/>
      <w:outlineLvl w:val="4"/>
    </w:pPr>
    <w:rPr>
      <w:rFonts w:ascii="Times New Roman" w:hAnsi="Times New Roman"/>
      <w:b/>
      <w:kern w:val="28"/>
      <w:sz w:val="24"/>
      <w:szCs w:val="20"/>
    </w:rPr>
  </w:style>
  <w:style w:type="paragraph" w:customStyle="1" w:styleId="subsection">
    <w:name w:val="subsection"/>
    <w:aliases w:val="ss"/>
    <w:basedOn w:val="Normal"/>
    <w:link w:val="subsectionChar"/>
    <w:rsid w:val="00D639AD"/>
    <w:pPr>
      <w:tabs>
        <w:tab w:val="right" w:pos="1021"/>
      </w:tabs>
      <w:spacing w:before="180" w:after="0" w:line="240" w:lineRule="auto"/>
      <w:ind w:left="1134" w:hanging="1134"/>
    </w:pPr>
    <w:rPr>
      <w:rFonts w:ascii="Times New Roman" w:hAnsi="Times New Roman"/>
      <w:szCs w:val="20"/>
    </w:rPr>
  </w:style>
  <w:style w:type="character" w:customStyle="1" w:styleId="subsectionChar">
    <w:name w:val="subsection Char"/>
    <w:aliases w:val="ss Char"/>
    <w:basedOn w:val="DefaultParagraphFont"/>
    <w:link w:val="subsection"/>
    <w:locked/>
    <w:rsid w:val="00D639AD"/>
    <w:rPr>
      <w:sz w:val="22"/>
      <w:szCs w:val="20"/>
    </w:rPr>
  </w:style>
  <w:style w:type="paragraph" w:customStyle="1" w:styleId="notetext">
    <w:name w:val="note(text)"/>
    <w:aliases w:val="n"/>
    <w:basedOn w:val="Normal"/>
    <w:link w:val="notetextChar"/>
    <w:rsid w:val="00D639AD"/>
    <w:pPr>
      <w:spacing w:before="122" w:after="0" w:line="240" w:lineRule="auto"/>
      <w:ind w:left="1985" w:hanging="851"/>
    </w:pPr>
    <w:rPr>
      <w:rFonts w:ascii="Times New Roman" w:hAnsi="Times New Roman"/>
      <w:sz w:val="18"/>
      <w:szCs w:val="20"/>
    </w:rPr>
  </w:style>
  <w:style w:type="character" w:customStyle="1" w:styleId="notetextChar">
    <w:name w:val="note(text) Char"/>
    <w:aliases w:val="n Char"/>
    <w:basedOn w:val="DefaultParagraphFont"/>
    <w:link w:val="notetext"/>
    <w:rsid w:val="00D639AD"/>
    <w:rPr>
      <w:sz w:val="18"/>
      <w:szCs w:val="20"/>
    </w:rPr>
  </w:style>
  <w:style w:type="paragraph" w:customStyle="1" w:styleId="Heading20">
    <w:name w:val="Heading2"/>
    <w:basedOn w:val="Heading4"/>
    <w:link w:val="Heading2Char"/>
    <w:qFormat/>
    <w:rsid w:val="00276B13"/>
    <w:rPr>
      <w:rFonts w:ascii="Arial" w:hAnsi="Arial" w:cs="Arial"/>
      <w:sz w:val="22"/>
      <w:szCs w:val="22"/>
    </w:rPr>
  </w:style>
  <w:style w:type="character" w:customStyle="1" w:styleId="Heading4Char">
    <w:name w:val="Heading 4 Char"/>
    <w:aliases w:val="H4 Char"/>
    <w:basedOn w:val="DefaultParagraphFont"/>
    <w:link w:val="Heading4"/>
    <w:semiHidden/>
    <w:rsid w:val="00276B13"/>
    <w:rPr>
      <w:b/>
      <w:bCs/>
      <w:sz w:val="28"/>
      <w:szCs w:val="28"/>
    </w:rPr>
  </w:style>
  <w:style w:type="character" w:customStyle="1" w:styleId="Heading2Char">
    <w:name w:val="Heading2 Char"/>
    <w:basedOn w:val="Heading4Char"/>
    <w:link w:val="Heading20"/>
    <w:rsid w:val="00276B13"/>
    <w:rPr>
      <w:rFonts w:ascii="Arial" w:hAnsi="Arial" w:cs="Arial"/>
      <w:b/>
      <w:bCs/>
      <w:sz w:val="22"/>
      <w:szCs w:val="22"/>
    </w:rPr>
  </w:style>
  <w:style w:type="paragraph" w:customStyle="1" w:styleId="Figure">
    <w:name w:val="Figure"/>
    <w:basedOn w:val="Normal"/>
    <w:next w:val="Normal"/>
    <w:rsid w:val="00A00C3E"/>
    <w:pPr>
      <w:keepNext/>
      <w:keepLines/>
      <w:tabs>
        <w:tab w:val="left" w:pos="1134"/>
        <w:tab w:val="left" w:pos="1871"/>
        <w:tab w:val="left" w:pos="2268"/>
      </w:tabs>
      <w:overflowPunct w:val="0"/>
      <w:autoSpaceDE w:val="0"/>
      <w:autoSpaceDN w:val="0"/>
      <w:adjustRightInd w:val="0"/>
      <w:spacing w:before="120" w:after="0" w:line="240" w:lineRule="auto"/>
      <w:jc w:val="center"/>
    </w:pPr>
    <w:rPr>
      <w:rFonts w:ascii="Times New Roman" w:eastAsiaTheme="minorEastAsia" w:hAnsi="Times New Roman"/>
      <w:sz w:val="24"/>
      <w:szCs w:val="20"/>
      <w:lang w:val="en-GB" w:eastAsia="en-US"/>
    </w:rPr>
  </w:style>
  <w:style w:type="paragraph" w:customStyle="1" w:styleId="Normalaftertitle">
    <w:name w:val="Normal_after_title"/>
    <w:basedOn w:val="Normal"/>
    <w:next w:val="Normal"/>
    <w:rsid w:val="00A00C3E"/>
    <w:pPr>
      <w:tabs>
        <w:tab w:val="left" w:pos="1134"/>
        <w:tab w:val="left" w:pos="1871"/>
        <w:tab w:val="left" w:pos="2268"/>
      </w:tabs>
      <w:overflowPunct w:val="0"/>
      <w:autoSpaceDE w:val="0"/>
      <w:autoSpaceDN w:val="0"/>
      <w:adjustRightInd w:val="0"/>
      <w:spacing w:before="360" w:after="0" w:line="240" w:lineRule="auto"/>
    </w:pPr>
    <w:rPr>
      <w:rFonts w:ascii="Times New Roman" w:eastAsia="Batang" w:hAnsi="Times New Roman"/>
      <w:sz w:val="24"/>
      <w:szCs w:val="20"/>
      <w:lang w:val="en-GB" w:eastAsia="en-US"/>
    </w:rPr>
  </w:style>
  <w:style w:type="paragraph" w:customStyle="1" w:styleId="enumlev1">
    <w:name w:val="enumlev1"/>
    <w:basedOn w:val="Normal"/>
    <w:rsid w:val="00A00C3E"/>
    <w:pPr>
      <w:tabs>
        <w:tab w:val="left" w:pos="1134"/>
        <w:tab w:val="left" w:pos="1871"/>
        <w:tab w:val="left" w:pos="2608"/>
        <w:tab w:val="left" w:pos="3345"/>
      </w:tabs>
      <w:overflowPunct w:val="0"/>
      <w:autoSpaceDE w:val="0"/>
      <w:autoSpaceDN w:val="0"/>
      <w:adjustRightInd w:val="0"/>
      <w:spacing w:before="80" w:after="0" w:line="240" w:lineRule="auto"/>
      <w:ind w:left="1134" w:hanging="1134"/>
    </w:pPr>
    <w:rPr>
      <w:rFonts w:ascii="Times New Roman" w:eastAsia="Batang" w:hAnsi="Times New Roman"/>
      <w:sz w:val="24"/>
      <w:szCs w:val="20"/>
      <w:lang w:val="en-GB" w:eastAsia="en-US"/>
    </w:rPr>
  </w:style>
  <w:style w:type="paragraph" w:customStyle="1" w:styleId="enumlev2">
    <w:name w:val="enumlev2"/>
    <w:basedOn w:val="enumlev1"/>
    <w:rsid w:val="00A00C3E"/>
    <w:pPr>
      <w:ind w:left="1871" w:hanging="73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99772">
      <w:bodyDiv w:val="1"/>
      <w:marLeft w:val="0"/>
      <w:marRight w:val="0"/>
      <w:marTop w:val="0"/>
      <w:marBottom w:val="0"/>
      <w:divBdr>
        <w:top w:val="none" w:sz="0" w:space="0" w:color="auto"/>
        <w:left w:val="none" w:sz="0" w:space="0" w:color="auto"/>
        <w:bottom w:val="none" w:sz="0" w:space="0" w:color="auto"/>
        <w:right w:val="none" w:sz="0" w:space="0" w:color="auto"/>
      </w:divBdr>
    </w:div>
    <w:div w:id="882669866">
      <w:bodyDiv w:val="1"/>
      <w:marLeft w:val="0"/>
      <w:marRight w:val="0"/>
      <w:marTop w:val="0"/>
      <w:marBottom w:val="0"/>
      <w:divBdr>
        <w:top w:val="none" w:sz="0" w:space="0" w:color="auto"/>
        <w:left w:val="none" w:sz="0" w:space="0" w:color="auto"/>
        <w:bottom w:val="none" w:sz="0" w:space="0" w:color="auto"/>
        <w:right w:val="none" w:sz="0" w:space="0" w:color="auto"/>
      </w:divBdr>
    </w:div>
    <w:div w:id="929235649">
      <w:bodyDiv w:val="1"/>
      <w:marLeft w:val="0"/>
      <w:marRight w:val="0"/>
      <w:marTop w:val="0"/>
      <w:marBottom w:val="0"/>
      <w:divBdr>
        <w:top w:val="none" w:sz="0" w:space="0" w:color="auto"/>
        <w:left w:val="none" w:sz="0" w:space="0" w:color="auto"/>
        <w:bottom w:val="none" w:sz="0" w:space="0" w:color="auto"/>
        <w:right w:val="none" w:sz="0" w:space="0" w:color="auto"/>
      </w:divBdr>
      <w:divsChild>
        <w:div w:id="31661865">
          <w:marLeft w:val="0"/>
          <w:marRight w:val="0"/>
          <w:marTop w:val="0"/>
          <w:marBottom w:val="0"/>
          <w:divBdr>
            <w:top w:val="none" w:sz="0" w:space="0" w:color="auto"/>
            <w:left w:val="none" w:sz="0" w:space="0" w:color="auto"/>
            <w:bottom w:val="none" w:sz="0" w:space="0" w:color="auto"/>
            <w:right w:val="none" w:sz="0" w:space="0" w:color="auto"/>
          </w:divBdr>
        </w:div>
        <w:div w:id="167524617">
          <w:marLeft w:val="0"/>
          <w:marRight w:val="0"/>
          <w:marTop w:val="0"/>
          <w:marBottom w:val="0"/>
          <w:divBdr>
            <w:top w:val="none" w:sz="0" w:space="0" w:color="auto"/>
            <w:left w:val="none" w:sz="0" w:space="0" w:color="auto"/>
            <w:bottom w:val="none" w:sz="0" w:space="0" w:color="auto"/>
            <w:right w:val="none" w:sz="0" w:space="0" w:color="auto"/>
          </w:divBdr>
        </w:div>
        <w:div w:id="170533499">
          <w:marLeft w:val="0"/>
          <w:marRight w:val="0"/>
          <w:marTop w:val="0"/>
          <w:marBottom w:val="0"/>
          <w:divBdr>
            <w:top w:val="none" w:sz="0" w:space="0" w:color="auto"/>
            <w:left w:val="none" w:sz="0" w:space="0" w:color="auto"/>
            <w:bottom w:val="none" w:sz="0" w:space="0" w:color="auto"/>
            <w:right w:val="none" w:sz="0" w:space="0" w:color="auto"/>
          </w:divBdr>
        </w:div>
        <w:div w:id="886259987">
          <w:marLeft w:val="0"/>
          <w:marRight w:val="0"/>
          <w:marTop w:val="0"/>
          <w:marBottom w:val="0"/>
          <w:divBdr>
            <w:top w:val="none" w:sz="0" w:space="0" w:color="auto"/>
            <w:left w:val="none" w:sz="0" w:space="0" w:color="auto"/>
            <w:bottom w:val="none" w:sz="0" w:space="0" w:color="auto"/>
            <w:right w:val="none" w:sz="0" w:space="0" w:color="auto"/>
          </w:divBdr>
        </w:div>
        <w:div w:id="1230385101">
          <w:marLeft w:val="0"/>
          <w:marRight w:val="0"/>
          <w:marTop w:val="0"/>
          <w:marBottom w:val="0"/>
          <w:divBdr>
            <w:top w:val="none" w:sz="0" w:space="0" w:color="auto"/>
            <w:left w:val="none" w:sz="0" w:space="0" w:color="auto"/>
            <w:bottom w:val="none" w:sz="0" w:space="0" w:color="auto"/>
            <w:right w:val="none" w:sz="0" w:space="0" w:color="auto"/>
          </w:divBdr>
        </w:div>
        <w:div w:id="1306617905">
          <w:marLeft w:val="0"/>
          <w:marRight w:val="0"/>
          <w:marTop w:val="0"/>
          <w:marBottom w:val="0"/>
          <w:divBdr>
            <w:top w:val="none" w:sz="0" w:space="0" w:color="auto"/>
            <w:left w:val="none" w:sz="0" w:space="0" w:color="auto"/>
            <w:bottom w:val="none" w:sz="0" w:space="0" w:color="auto"/>
            <w:right w:val="none" w:sz="0" w:space="0" w:color="auto"/>
          </w:divBdr>
        </w:div>
        <w:div w:id="1316296536">
          <w:marLeft w:val="0"/>
          <w:marRight w:val="0"/>
          <w:marTop w:val="0"/>
          <w:marBottom w:val="0"/>
          <w:divBdr>
            <w:top w:val="none" w:sz="0" w:space="0" w:color="auto"/>
            <w:left w:val="none" w:sz="0" w:space="0" w:color="auto"/>
            <w:bottom w:val="none" w:sz="0" w:space="0" w:color="auto"/>
            <w:right w:val="none" w:sz="0" w:space="0" w:color="auto"/>
          </w:divBdr>
        </w:div>
        <w:div w:id="1675565960">
          <w:marLeft w:val="0"/>
          <w:marRight w:val="0"/>
          <w:marTop w:val="0"/>
          <w:marBottom w:val="0"/>
          <w:divBdr>
            <w:top w:val="none" w:sz="0" w:space="0" w:color="auto"/>
            <w:left w:val="none" w:sz="0" w:space="0" w:color="auto"/>
            <w:bottom w:val="none" w:sz="0" w:space="0" w:color="auto"/>
            <w:right w:val="none" w:sz="0" w:space="0" w:color="auto"/>
          </w:divBdr>
          <w:divsChild>
            <w:div w:id="297800524">
              <w:marLeft w:val="0"/>
              <w:marRight w:val="0"/>
              <w:marTop w:val="0"/>
              <w:marBottom w:val="0"/>
              <w:divBdr>
                <w:top w:val="none" w:sz="0" w:space="0" w:color="auto"/>
                <w:left w:val="none" w:sz="0" w:space="0" w:color="auto"/>
                <w:bottom w:val="none" w:sz="0" w:space="0" w:color="auto"/>
                <w:right w:val="none" w:sz="0" w:space="0" w:color="auto"/>
              </w:divBdr>
            </w:div>
            <w:div w:id="657155819">
              <w:marLeft w:val="0"/>
              <w:marRight w:val="0"/>
              <w:marTop w:val="0"/>
              <w:marBottom w:val="0"/>
              <w:divBdr>
                <w:top w:val="none" w:sz="0" w:space="0" w:color="auto"/>
                <w:left w:val="none" w:sz="0" w:space="0" w:color="auto"/>
                <w:bottom w:val="none" w:sz="0" w:space="0" w:color="auto"/>
                <w:right w:val="none" w:sz="0" w:space="0" w:color="auto"/>
              </w:divBdr>
            </w:div>
            <w:div w:id="1201748595">
              <w:marLeft w:val="0"/>
              <w:marRight w:val="0"/>
              <w:marTop w:val="0"/>
              <w:marBottom w:val="0"/>
              <w:divBdr>
                <w:top w:val="none" w:sz="0" w:space="0" w:color="auto"/>
                <w:left w:val="none" w:sz="0" w:space="0" w:color="auto"/>
                <w:bottom w:val="none" w:sz="0" w:space="0" w:color="auto"/>
                <w:right w:val="none" w:sz="0" w:space="0" w:color="auto"/>
              </w:divBdr>
            </w:div>
            <w:div w:id="1798330267">
              <w:marLeft w:val="0"/>
              <w:marRight w:val="0"/>
              <w:marTop w:val="0"/>
              <w:marBottom w:val="0"/>
              <w:divBdr>
                <w:top w:val="none" w:sz="0" w:space="0" w:color="auto"/>
                <w:left w:val="none" w:sz="0" w:space="0" w:color="auto"/>
                <w:bottom w:val="none" w:sz="0" w:space="0" w:color="auto"/>
                <w:right w:val="none" w:sz="0" w:space="0" w:color="auto"/>
              </w:divBdr>
            </w:div>
            <w:div w:id="1986860683">
              <w:marLeft w:val="0"/>
              <w:marRight w:val="0"/>
              <w:marTop w:val="0"/>
              <w:marBottom w:val="0"/>
              <w:divBdr>
                <w:top w:val="none" w:sz="0" w:space="0" w:color="auto"/>
                <w:left w:val="none" w:sz="0" w:space="0" w:color="auto"/>
                <w:bottom w:val="none" w:sz="0" w:space="0" w:color="auto"/>
                <w:right w:val="none" w:sz="0" w:space="0" w:color="auto"/>
              </w:divBdr>
            </w:div>
          </w:divsChild>
        </w:div>
        <w:div w:id="1774127955">
          <w:marLeft w:val="0"/>
          <w:marRight w:val="0"/>
          <w:marTop w:val="0"/>
          <w:marBottom w:val="0"/>
          <w:divBdr>
            <w:top w:val="none" w:sz="0" w:space="0" w:color="auto"/>
            <w:left w:val="none" w:sz="0" w:space="0" w:color="auto"/>
            <w:bottom w:val="none" w:sz="0" w:space="0" w:color="auto"/>
            <w:right w:val="none" w:sz="0" w:space="0" w:color="auto"/>
          </w:divBdr>
        </w:div>
        <w:div w:id="1835074655">
          <w:marLeft w:val="0"/>
          <w:marRight w:val="0"/>
          <w:marTop w:val="0"/>
          <w:marBottom w:val="0"/>
          <w:divBdr>
            <w:top w:val="none" w:sz="0" w:space="0" w:color="auto"/>
            <w:left w:val="none" w:sz="0" w:space="0" w:color="auto"/>
            <w:bottom w:val="none" w:sz="0" w:space="0" w:color="auto"/>
            <w:right w:val="none" w:sz="0" w:space="0" w:color="auto"/>
          </w:divBdr>
        </w:div>
        <w:div w:id="1861701127">
          <w:marLeft w:val="0"/>
          <w:marRight w:val="0"/>
          <w:marTop w:val="0"/>
          <w:marBottom w:val="0"/>
          <w:divBdr>
            <w:top w:val="none" w:sz="0" w:space="0" w:color="auto"/>
            <w:left w:val="none" w:sz="0" w:space="0" w:color="auto"/>
            <w:bottom w:val="none" w:sz="0" w:space="0" w:color="auto"/>
            <w:right w:val="none" w:sz="0" w:space="0" w:color="auto"/>
          </w:divBdr>
        </w:div>
        <w:div w:id="2130539708">
          <w:marLeft w:val="0"/>
          <w:marRight w:val="0"/>
          <w:marTop w:val="0"/>
          <w:marBottom w:val="0"/>
          <w:divBdr>
            <w:top w:val="none" w:sz="0" w:space="0" w:color="auto"/>
            <w:left w:val="none" w:sz="0" w:space="0" w:color="auto"/>
            <w:bottom w:val="none" w:sz="0" w:space="0" w:color="auto"/>
            <w:right w:val="none" w:sz="0" w:space="0" w:color="auto"/>
          </w:divBdr>
        </w:div>
      </w:divsChild>
    </w:div>
    <w:div w:id="1020206375">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688217975">
      <w:bodyDiv w:val="1"/>
      <w:marLeft w:val="0"/>
      <w:marRight w:val="0"/>
      <w:marTop w:val="0"/>
      <w:marBottom w:val="0"/>
      <w:divBdr>
        <w:top w:val="none" w:sz="0" w:space="0" w:color="auto"/>
        <w:left w:val="none" w:sz="0" w:space="0" w:color="auto"/>
        <w:bottom w:val="none" w:sz="0" w:space="0" w:color="auto"/>
        <w:right w:val="none" w:sz="0" w:space="0" w:color="auto"/>
      </w:divBdr>
    </w:div>
    <w:div w:id="1847940425">
      <w:bodyDiv w:val="1"/>
      <w:marLeft w:val="0"/>
      <w:marRight w:val="0"/>
      <w:marTop w:val="0"/>
      <w:marBottom w:val="0"/>
      <w:divBdr>
        <w:top w:val="none" w:sz="0" w:space="0" w:color="auto"/>
        <w:left w:val="none" w:sz="0" w:space="0" w:color="auto"/>
        <w:bottom w:val="none" w:sz="0" w:space="0" w:color="auto"/>
        <w:right w:val="none" w:sz="0" w:space="0" w:color="auto"/>
      </w:divBdr>
    </w:div>
    <w:div w:id="202127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cma.gov.au/sites/default/files/2019-08/IFC_32-2018-Future%20use%20of%20the%2026%20GHz%20band%E2%80%94Planning%20decisions%20and%20preliminary%20views.docx" TargetMode="External"/><Relationship Id="rId18" Type="http://schemas.openxmlformats.org/officeDocument/2006/relationships/hyperlink" Target="https://www.acma.gov.au/spectrum-licence-technical-liaison-groups" TargetMode="External"/><Relationship Id="rId26" Type="http://schemas.openxmlformats.org/officeDocument/2006/relationships/hyperlink" Target="https://web.acma.gov.au/rrl/register_search.main_page" TargetMode="External"/><Relationship Id="rId39" Type="http://schemas.openxmlformats.org/officeDocument/2006/relationships/hyperlink" Target="https://www.legislation.gov.au/Details/F2017C00901" TargetMode="External"/><Relationship Id="rId21" Type="http://schemas.openxmlformats.org/officeDocument/2006/relationships/hyperlink" Target="https://www.legislation.gov.au/Details/F2020C00152" TargetMode="External"/><Relationship Id="rId34" Type="http://schemas.openxmlformats.org/officeDocument/2006/relationships/hyperlink" Target="https://web.acma.gov.au/rrl/register_search.main_page" TargetMode="External"/><Relationship Id="rId42" Type="http://schemas.openxmlformats.org/officeDocument/2006/relationships/hyperlink" Target="https://www.legislation.gov.au/Details/F2018L01583" TargetMode="External"/><Relationship Id="rId47" Type="http://schemas.openxmlformats.org/officeDocument/2006/relationships/hyperlink" Target="https://www.acma.gov.au/procedure-earth-and-earth-receive-licensing-and-registering-earth-stations" TargetMode="External"/><Relationship Id="rId50" Type="http://schemas.openxmlformats.org/officeDocument/2006/relationships/hyperlink" Target="https://www.acma.gov.au/publications/2019-09/instruction/rali-ms43-new-norcia-earth-station-and-other-services" TargetMode="External"/><Relationship Id="rId55" Type="http://schemas.openxmlformats.org/officeDocument/2006/relationships/hyperlink" Target="mailto:freqplan@acma.gov.au"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islation.gov.au/Series/F2015L01486" TargetMode="External"/><Relationship Id="rId20" Type="http://schemas.openxmlformats.org/officeDocument/2006/relationships/hyperlink" Target="https://www.legislation.gov.au/Details/F2020C01124" TargetMode="External"/><Relationship Id="rId29" Type="http://schemas.openxmlformats.org/officeDocument/2006/relationships/hyperlink" Target="https://www.acma.gov.au/publications/2020-10/instruction/rali-ms46-licensing-and-coordination-procedures-area-wide-apparatus-licensed-services-2628-ghz-bands" TargetMode="External"/><Relationship Id="rId41" Type="http://schemas.openxmlformats.org/officeDocument/2006/relationships/hyperlink" Target="https://www.legislation.gov.au/Details/F2019L01374" TargetMode="External"/><Relationship Id="rId54" Type="http://schemas.openxmlformats.org/officeDocument/2006/relationships/hyperlink" Target="https://www.acma.gov.au/restriction-earth-station-licensing-near-alice-springs" TargetMode="External"/><Relationship Id="rId62"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legislation.gov.au/Details/F2019C00870" TargetMode="External"/><Relationship Id="rId32" Type="http://schemas.openxmlformats.org/officeDocument/2006/relationships/hyperlink" Target="https://www.acma.gov.au/publications/2020-10/instruction/rali-ms46-licensing-and-coordination-procedures-area-wide-apparatus-licensed-services-2628-ghz-bands" TargetMode="External"/><Relationship Id="rId37" Type="http://schemas.openxmlformats.org/officeDocument/2006/relationships/hyperlink" Target="https://www.acma.gov.au/publications/2020-10/instruction/rali-ms46-licensing-and-coordination-procedures-area-wide-apparatus-licensed-services-2628-ghz-bands" TargetMode="External"/><Relationship Id="rId40" Type="http://schemas.openxmlformats.org/officeDocument/2006/relationships/hyperlink" Target="https://www.legislation.gov.au/Series/F2020L00070" TargetMode="External"/><Relationship Id="rId45" Type="http://schemas.openxmlformats.org/officeDocument/2006/relationships/hyperlink" Target="https://www.legislation.gov.au/Details/F2020L01451" TargetMode="External"/><Relationship Id="rId53" Type="http://schemas.openxmlformats.org/officeDocument/2006/relationships/hyperlink" Target="https://www.acma.gov.au/procedure-earth-and-earth-receive-licensing" TargetMode="External"/><Relationship Id="rId58" Type="http://schemas.openxmlformats.org/officeDocument/2006/relationships/image" Target="media/image12.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cma.gov.au/area-wide-apparatus-licensing-26-and-28-ghz-bands" TargetMode="External"/><Relationship Id="rId23" Type="http://schemas.openxmlformats.org/officeDocument/2006/relationships/hyperlink" Target="https://www.legislation.gov.au/Details/F2020C01124" TargetMode="External"/><Relationship Id="rId28" Type="http://schemas.openxmlformats.org/officeDocument/2006/relationships/hyperlink" Target="https://www.acma.gov.au/publications/2020-10/instruction/rali-ms46-licensing-and-coordination-procedures-area-wide-apparatus-licensed-services-2628-ghz-bands" TargetMode="External"/><Relationship Id="rId36" Type="http://schemas.openxmlformats.org/officeDocument/2006/relationships/hyperlink" Target="https://www.legislation.gov.au/Details/F2020C01124" TargetMode="External"/><Relationship Id="rId49" Type="http://schemas.openxmlformats.org/officeDocument/2006/relationships/chart" Target="charts/chart2.xml"/><Relationship Id="rId57" Type="http://schemas.openxmlformats.org/officeDocument/2006/relationships/image" Target="media/image11.gif"/><Relationship Id="rId61" Type="http://schemas.openxmlformats.org/officeDocument/2006/relationships/image" Target="media/image15.jpg"/><Relationship Id="rId10" Type="http://schemas.openxmlformats.org/officeDocument/2006/relationships/hyperlink" Target="mailto:freqplan@acma.gov.au" TargetMode="External"/><Relationship Id="rId19" Type="http://schemas.openxmlformats.org/officeDocument/2006/relationships/hyperlink" Target="https://www.legislation.gov.au/Details/F2019L01374" TargetMode="External"/><Relationship Id="rId31" Type="http://schemas.openxmlformats.org/officeDocument/2006/relationships/hyperlink" Target="https://www.acma.gov.au/find-accredited-person" TargetMode="External"/><Relationship Id="rId44" Type="http://schemas.openxmlformats.org/officeDocument/2006/relationships/hyperlink" Target="https://www.legislation.gov.au/Details/F2018L01583" TargetMode="External"/><Relationship Id="rId52" Type="http://schemas.openxmlformats.org/officeDocument/2006/relationships/hyperlink" Target="https://www.acma.gov.au/publications/2019-08/instruction/frequency-coordination-procedures-earth-station-protection-zones" TargetMode="External"/><Relationship Id="rId60" Type="http://schemas.openxmlformats.org/officeDocument/2006/relationships/image" Target="media/image14.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png"/><Relationship Id="rId22" Type="http://schemas.openxmlformats.org/officeDocument/2006/relationships/hyperlink" Target="https://web.acma.gov.au/rrl/register_search.main_page" TargetMode="External"/><Relationship Id="rId27" Type="http://schemas.openxmlformats.org/officeDocument/2006/relationships/hyperlink" Target="https://www.legislation.gov.au/Details/F2020C01124" TargetMode="External"/><Relationship Id="rId30" Type="http://schemas.openxmlformats.org/officeDocument/2006/relationships/hyperlink" Target="https://www.acma.gov.au/area-wide-apparatus-licensing-26-and-28-ghz-bands" TargetMode="External"/><Relationship Id="rId35" Type="http://schemas.openxmlformats.org/officeDocument/2006/relationships/hyperlink" Target="https://www.legislation.gov.au/Details/F2020C01124" TargetMode="External"/><Relationship Id="rId43" Type="http://schemas.openxmlformats.org/officeDocument/2006/relationships/hyperlink" Target="https://www.legislation.gov.au/Details/F2021C00633" TargetMode="External"/><Relationship Id="rId48" Type="http://schemas.openxmlformats.org/officeDocument/2006/relationships/chart" Target="charts/chart1.xml"/><Relationship Id="rId56" Type="http://schemas.openxmlformats.org/officeDocument/2006/relationships/image" Target="media/image10.png"/><Relationship Id="rId64" Type="http://schemas.openxmlformats.org/officeDocument/2006/relationships/footer" Target="footer3.xml"/><Relationship Id="rId8" Type="http://schemas.openxmlformats.org/officeDocument/2006/relationships/footer" Target="footer1.xml"/><Relationship Id="rId51" Type="http://schemas.openxmlformats.org/officeDocument/2006/relationships/hyperlink" Target="https://www.acma.gov.au/publications/2019-10/rules/embargo-49" TargetMode="External"/><Relationship Id="rId3" Type="http://schemas.openxmlformats.org/officeDocument/2006/relationships/styles" Target="styles.xml"/><Relationship Id="rId12" Type="http://schemas.openxmlformats.org/officeDocument/2006/relationships/hyperlink" Target="mailto:freqplan@acma.gov.au" TargetMode="External"/><Relationship Id="rId17" Type="http://schemas.openxmlformats.org/officeDocument/2006/relationships/hyperlink" Target="https://www.acma.gov.au/area-wide-apparatus-licensing-26-and-28-ghz-bands" TargetMode="External"/><Relationship Id="rId25" Type="http://schemas.openxmlformats.org/officeDocument/2006/relationships/hyperlink" Target="https://www.acma.gov.au/publications/2020-10/instruction/rali-ms46-licensing-and-coordination-procedures-area-wide-apparatus-licensed-services-2628-ghz-bands" TargetMode="External"/><Relationship Id="rId33" Type="http://schemas.openxmlformats.org/officeDocument/2006/relationships/hyperlink" Target="https://www.acma.gov.au/find-accredited-person" TargetMode="External"/><Relationship Id="rId38" Type="http://schemas.openxmlformats.org/officeDocument/2006/relationships/hyperlink" Target="https://www.acma.gov.au/area-wide-apparatus-licensing-26-and-28-ghz-bands" TargetMode="External"/><Relationship Id="rId46" Type="http://schemas.openxmlformats.org/officeDocument/2006/relationships/hyperlink" Target="https://www.legislation.gov.au/Series/F2020L01451" TargetMode="External"/><Relationship Id="rId59"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3gpp.org/DynaReport/38-series.htm" TargetMode="External"/><Relationship Id="rId3" Type="http://schemas.openxmlformats.org/officeDocument/2006/relationships/hyperlink" Target="https://www.acma.gov.au/spectrum-embargoes" TargetMode="External"/><Relationship Id="rId7" Type="http://schemas.openxmlformats.org/officeDocument/2006/relationships/hyperlink" Target="https://www.acma.gov.au/business-operating-procedures-spectrum" TargetMode="External"/><Relationship Id="rId2" Type="http://schemas.openxmlformats.org/officeDocument/2006/relationships/hyperlink" Target="https://acma.gov.au/australian-spectrum-map-grid" TargetMode="External"/><Relationship Id="rId1" Type="http://schemas.openxmlformats.org/officeDocument/2006/relationships/hyperlink" Target="http://www.legislation.gov.au" TargetMode="External"/><Relationship Id="rId6" Type="http://schemas.openxmlformats.org/officeDocument/2006/relationships/hyperlink" Target="https://www.acma.gov.au/ralis-frequency-coordination" TargetMode="External"/><Relationship Id="rId11" Type="http://schemas.openxmlformats.org/officeDocument/2006/relationships/hyperlink" Target="http://www.etsi.org/deliver/etsi_tr/101800_101899/101854/01.03.01_60/tr_101854v010301p.pdf" TargetMode="External"/><Relationship Id="rId5" Type="http://schemas.openxmlformats.org/officeDocument/2006/relationships/hyperlink" Target="https://www.acma.gov.au/sites/default/files/2021-08/IFC-09-2019-Documents.zip" TargetMode="External"/><Relationship Id="rId10" Type="http://schemas.openxmlformats.org/officeDocument/2006/relationships/hyperlink" Target="https://www.itu.int/rec/R-REC-SM.337-6-200810-I/en" TargetMode="External"/><Relationship Id="rId4" Type="http://schemas.openxmlformats.org/officeDocument/2006/relationships/hyperlink" Target="https://www.legislation.gov.au/Series/F2015L01486" TargetMode="External"/><Relationship Id="rId9" Type="http://schemas.openxmlformats.org/officeDocument/2006/relationships/hyperlink" Target="https://www.3gpp.org/DynaReport/38-serie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gocenta\OneDrive%20-%20Australian%20Communications%20and%20Media%20Authority\Documents\My%20Documents\26%20GHz%20band\AL%20licensing\pfd%20minimum%20distanc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gocenta\OneDrive%20-%20Australian%20Communications%20and%20Media%20Authority\Documents\My%20Documents\26%20GHz%20band\AL%20licensing\pfd%20minimum%20distanc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517986722247957E-2"/>
          <c:y val="3.6850921273031828E-2"/>
          <c:w val="0.8719021151767794"/>
          <c:h val="0.8143942811168704"/>
        </c:manualLayout>
      </c:layout>
      <c:scatterChart>
        <c:scatterStyle val="lineMarker"/>
        <c:varyColors val="0"/>
        <c:ser>
          <c:idx val="0"/>
          <c:order val="0"/>
          <c:tx>
            <c:v>Transmitter with AAS</c:v>
          </c:tx>
          <c:spPr>
            <a:ln w="19050" cap="rnd">
              <a:solidFill>
                <a:schemeClr val="accent1"/>
              </a:solidFill>
              <a:round/>
            </a:ln>
            <a:effectLst/>
          </c:spPr>
          <c:marker>
            <c:symbol val="none"/>
          </c:marker>
          <c:xVal>
            <c:numRef>
              <c:f>Sheet1!$E$17:$E$97</c:f>
              <c:numCache>
                <c:formatCode>General</c:formatCode>
                <c:ptCount val="81"/>
                <c:pt idx="0">
                  <c:v>0.27026390586019855</c:v>
                </c:pt>
                <c:pt idx="1">
                  <c:v>0.30324108990687137</c:v>
                </c:pt>
                <c:pt idx="2">
                  <c:v>0.34024209897815055</c:v>
                </c:pt>
                <c:pt idx="3">
                  <c:v>0.38175791398392012</c:v>
                </c:pt>
                <c:pt idx="4">
                  <c:v>0.42833942456578</c:v>
                </c:pt>
                <c:pt idx="5">
                  <c:v>0.48060473906788892</c:v>
                </c:pt>
                <c:pt idx="6">
                  <c:v>0.53924738645915127</c:v>
                </c:pt>
                <c:pt idx="7">
                  <c:v>0.60504551904127035</c:v>
                </c:pt>
                <c:pt idx="8">
                  <c:v>0.67887223805701535</c:v>
                </c:pt>
                <c:pt idx="9">
                  <c:v>0.76170717921324704</c:v>
                </c:pt>
                <c:pt idx="10">
                  <c:v>0.85464951185155602</c:v>
                </c:pt>
                <c:pt idx="11">
                  <c:v>0.95893252425761044</c:v>
                </c:pt>
                <c:pt idx="12">
                  <c:v>1.0759399886474041</c:v>
                </c:pt>
                <c:pt idx="13">
                  <c:v>1.2072245229838325</c:v>
                </c:pt>
                <c:pt idx="14">
                  <c:v>1.3545281932737447</c:v>
                </c:pt>
                <c:pt idx="15">
                  <c:v>1.5198056297254385</c:v>
                </c:pt>
                <c:pt idx="16">
                  <c:v>1.7052499635039586</c:v>
                </c:pt>
                <c:pt idx="17">
                  <c:v>1.9133219282491913</c:v>
                </c:pt>
                <c:pt idx="18">
                  <c:v>2.1467825125162099</c:v>
                </c:pt>
                <c:pt idx="19">
                  <c:v>2.4087295964159234</c:v>
                </c:pt>
                <c:pt idx="20">
                  <c:v>2.7026390586019864</c:v>
                </c:pt>
                <c:pt idx="21">
                  <c:v>3.0324108990687146</c:v>
                </c:pt>
                <c:pt idx="22">
                  <c:v>3.4024209897815063</c:v>
                </c:pt>
                <c:pt idx="23">
                  <c:v>3.8175791398392018</c:v>
                </c:pt>
                <c:pt idx="24">
                  <c:v>4.2833942456578011</c:v>
                </c:pt>
                <c:pt idx="25">
                  <c:v>4.8060473906788896</c:v>
                </c:pt>
                <c:pt idx="26">
                  <c:v>5.3924738645915138</c:v>
                </c:pt>
                <c:pt idx="27">
                  <c:v>6.0504551904127046</c:v>
                </c:pt>
                <c:pt idx="28">
                  <c:v>6.7887223805701549</c:v>
                </c:pt>
                <c:pt idx="29">
                  <c:v>7.61707179213247</c:v>
                </c:pt>
                <c:pt idx="30">
                  <c:v>8.5464951185155602</c:v>
                </c:pt>
                <c:pt idx="31">
                  <c:v>9.5893252425761091</c:v>
                </c:pt>
                <c:pt idx="32">
                  <c:v>10.759399886474041</c:v>
                </c:pt>
                <c:pt idx="33">
                  <c:v>12.07224522983833</c:v>
                </c:pt>
                <c:pt idx="34">
                  <c:v>13.545281932737453</c:v>
                </c:pt>
                <c:pt idx="35">
                  <c:v>15.198056297254389</c:v>
                </c:pt>
                <c:pt idx="36">
                  <c:v>17.052499635039585</c:v>
                </c:pt>
                <c:pt idx="37">
                  <c:v>19.133219282491918</c:v>
                </c:pt>
                <c:pt idx="38">
                  <c:v>21.467825125162101</c:v>
                </c:pt>
                <c:pt idx="39">
                  <c:v>24.087295964159235</c:v>
                </c:pt>
                <c:pt idx="40">
                  <c:v>27.026390586019879</c:v>
                </c:pt>
                <c:pt idx="41">
                  <c:v>30.324108990687144</c:v>
                </c:pt>
                <c:pt idx="42">
                  <c:v>34.024209897815062</c:v>
                </c:pt>
                <c:pt idx="43">
                  <c:v>38.175791398392036</c:v>
                </c:pt>
                <c:pt idx="44">
                  <c:v>42.833942456578022</c:v>
                </c:pt>
                <c:pt idx="45">
                  <c:v>48.060473906788914</c:v>
                </c:pt>
                <c:pt idx="46">
                  <c:v>53.92473864591512</c:v>
                </c:pt>
                <c:pt idx="47">
                  <c:v>60.504551904127062</c:v>
                </c:pt>
                <c:pt idx="48">
                  <c:v>67.887223805701595</c:v>
                </c:pt>
                <c:pt idx="49">
                  <c:v>76.170717921324723</c:v>
                </c:pt>
                <c:pt idx="50">
                  <c:v>85.46495118515567</c:v>
                </c:pt>
                <c:pt idx="51">
                  <c:v>95.893252425761062</c:v>
                </c:pt>
                <c:pt idx="52">
                  <c:v>107.59399886474048</c:v>
                </c:pt>
                <c:pt idx="53">
                  <c:v>111.1542000025664</c:v>
                </c:pt>
                <c:pt idx="54">
                  <c:v>111.51830000257848</c:v>
                </c:pt>
                <c:pt idx="55">
                  <c:v>111.88240000259057</c:v>
                </c:pt>
                <c:pt idx="56">
                  <c:v>112.24660000260266</c:v>
                </c:pt>
                <c:pt idx="57">
                  <c:v>112.61080000261475</c:v>
                </c:pt>
                <c:pt idx="58">
                  <c:v>112.97490000262684</c:v>
                </c:pt>
                <c:pt idx="59">
                  <c:v>113.33910000263893</c:v>
                </c:pt>
                <c:pt idx="60">
                  <c:v>113.70330000265102</c:v>
                </c:pt>
                <c:pt idx="61">
                  <c:v>114.06760000266311</c:v>
                </c:pt>
                <c:pt idx="62">
                  <c:v>114.4318000026752</c:v>
                </c:pt>
                <c:pt idx="63">
                  <c:v>114.7961000026873</c:v>
                </c:pt>
                <c:pt idx="64">
                  <c:v>115.16030000269939</c:v>
                </c:pt>
                <c:pt idx="65">
                  <c:v>115.52460000271148</c:v>
                </c:pt>
                <c:pt idx="66">
                  <c:v>115.88890000272357</c:v>
                </c:pt>
                <c:pt idx="67">
                  <c:v>116.25320000273567</c:v>
                </c:pt>
                <c:pt idx="68">
                  <c:v>116.61760000274776</c:v>
                </c:pt>
                <c:pt idx="69">
                  <c:v>116.98190000275986</c:v>
                </c:pt>
                <c:pt idx="70">
                  <c:v>117.34630000277195</c:v>
                </c:pt>
                <c:pt idx="71">
                  <c:v>117.71070000278405</c:v>
                </c:pt>
                <c:pt idx="72">
                  <c:v>118.07510000279615</c:v>
                </c:pt>
                <c:pt idx="73">
                  <c:v>118.43950000280824</c:v>
                </c:pt>
                <c:pt idx="74">
                  <c:v>118.80390000282034</c:v>
                </c:pt>
                <c:pt idx="75">
                  <c:v>119.16840000283244</c:v>
                </c:pt>
                <c:pt idx="76">
                  <c:v>119.53280000284454</c:v>
                </c:pt>
                <c:pt idx="77">
                  <c:v>119.89730000285664</c:v>
                </c:pt>
                <c:pt idx="78">
                  <c:v>120.26180000286874</c:v>
                </c:pt>
                <c:pt idx="79">
                  <c:v>120.62630000288084</c:v>
                </c:pt>
                <c:pt idx="80">
                  <c:v>120.99080000289294</c:v>
                </c:pt>
              </c:numCache>
            </c:numRef>
          </c:xVal>
          <c:yVal>
            <c:numRef>
              <c:f>Sheet1!$A$17:$A$97</c:f>
              <c:numCache>
                <c:formatCode>General</c:formatCode>
                <c:ptCount val="8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pt idx="31">
                  <c:v>61</c:v>
                </c:pt>
                <c:pt idx="32">
                  <c:v>62</c:v>
                </c:pt>
                <c:pt idx="33">
                  <c:v>63</c:v>
                </c:pt>
                <c:pt idx="34">
                  <c:v>64</c:v>
                </c:pt>
                <c:pt idx="35">
                  <c:v>65</c:v>
                </c:pt>
                <c:pt idx="36">
                  <c:v>66</c:v>
                </c:pt>
                <c:pt idx="37">
                  <c:v>67</c:v>
                </c:pt>
                <c:pt idx="38">
                  <c:v>68</c:v>
                </c:pt>
                <c:pt idx="39">
                  <c:v>69</c:v>
                </c:pt>
                <c:pt idx="40">
                  <c:v>70</c:v>
                </c:pt>
                <c:pt idx="41">
                  <c:v>71</c:v>
                </c:pt>
                <c:pt idx="42">
                  <c:v>72</c:v>
                </c:pt>
                <c:pt idx="43">
                  <c:v>73</c:v>
                </c:pt>
                <c:pt idx="44">
                  <c:v>74</c:v>
                </c:pt>
                <c:pt idx="45">
                  <c:v>75</c:v>
                </c:pt>
                <c:pt idx="46">
                  <c:v>76</c:v>
                </c:pt>
                <c:pt idx="47">
                  <c:v>77</c:v>
                </c:pt>
                <c:pt idx="48">
                  <c:v>78</c:v>
                </c:pt>
                <c:pt idx="49">
                  <c:v>79</c:v>
                </c:pt>
                <c:pt idx="50">
                  <c:v>80</c:v>
                </c:pt>
                <c:pt idx="51">
                  <c:v>81</c:v>
                </c:pt>
                <c:pt idx="52">
                  <c:v>82</c:v>
                </c:pt>
                <c:pt idx="53">
                  <c:v>83</c:v>
                </c:pt>
                <c:pt idx="54">
                  <c:v>84</c:v>
                </c:pt>
                <c:pt idx="55">
                  <c:v>85</c:v>
                </c:pt>
                <c:pt idx="56">
                  <c:v>86</c:v>
                </c:pt>
                <c:pt idx="57">
                  <c:v>87</c:v>
                </c:pt>
                <c:pt idx="58">
                  <c:v>88</c:v>
                </c:pt>
                <c:pt idx="59">
                  <c:v>89</c:v>
                </c:pt>
                <c:pt idx="60">
                  <c:v>90</c:v>
                </c:pt>
                <c:pt idx="61">
                  <c:v>91</c:v>
                </c:pt>
                <c:pt idx="62">
                  <c:v>92</c:v>
                </c:pt>
                <c:pt idx="63">
                  <c:v>93</c:v>
                </c:pt>
                <c:pt idx="64">
                  <c:v>94</c:v>
                </c:pt>
                <c:pt idx="65">
                  <c:v>95</c:v>
                </c:pt>
                <c:pt idx="66">
                  <c:v>96</c:v>
                </c:pt>
                <c:pt idx="67">
                  <c:v>97</c:v>
                </c:pt>
                <c:pt idx="68">
                  <c:v>98</c:v>
                </c:pt>
                <c:pt idx="69">
                  <c:v>99</c:v>
                </c:pt>
                <c:pt idx="70">
                  <c:v>100</c:v>
                </c:pt>
                <c:pt idx="71">
                  <c:v>101</c:v>
                </c:pt>
                <c:pt idx="72">
                  <c:v>102</c:v>
                </c:pt>
                <c:pt idx="73">
                  <c:v>103</c:v>
                </c:pt>
                <c:pt idx="74">
                  <c:v>104</c:v>
                </c:pt>
                <c:pt idx="75">
                  <c:v>105</c:v>
                </c:pt>
                <c:pt idx="76">
                  <c:v>106</c:v>
                </c:pt>
                <c:pt idx="77">
                  <c:v>107</c:v>
                </c:pt>
                <c:pt idx="78">
                  <c:v>108</c:v>
                </c:pt>
                <c:pt idx="79">
                  <c:v>109</c:v>
                </c:pt>
                <c:pt idx="80">
                  <c:v>110</c:v>
                </c:pt>
              </c:numCache>
            </c:numRef>
          </c:yVal>
          <c:smooth val="0"/>
          <c:extLst>
            <c:ext xmlns:c16="http://schemas.microsoft.com/office/drawing/2014/chart" uri="{C3380CC4-5D6E-409C-BE32-E72D297353CC}">
              <c16:uniqueId val="{00000000-5090-4D82-A8B3-18DE98966E0F}"/>
            </c:ext>
          </c:extLst>
        </c:ser>
        <c:ser>
          <c:idx val="1"/>
          <c:order val="1"/>
          <c:tx>
            <c:v>Transmitter without AAS or operating in the range 27.5-29.5 GHz</c:v>
          </c:tx>
          <c:spPr>
            <a:ln w="19050" cap="rnd">
              <a:solidFill>
                <a:schemeClr val="accent2"/>
              </a:solidFill>
              <a:round/>
            </a:ln>
            <a:effectLst/>
          </c:spPr>
          <c:marker>
            <c:symbol val="none"/>
          </c:marker>
          <c:xVal>
            <c:numRef>
              <c:f>Sheet1!$F$17:$F$97</c:f>
              <c:numCache>
                <c:formatCode>General</c:formatCode>
                <c:ptCount val="81"/>
                <c:pt idx="0">
                  <c:v>0.67887223805701535</c:v>
                </c:pt>
                <c:pt idx="1">
                  <c:v>0.76170717921324704</c:v>
                </c:pt>
                <c:pt idx="2">
                  <c:v>0.85464951185155602</c:v>
                </c:pt>
                <c:pt idx="3">
                  <c:v>0.95893252425761044</c:v>
                </c:pt>
                <c:pt idx="4">
                  <c:v>1.0759399886474041</c:v>
                </c:pt>
                <c:pt idx="5">
                  <c:v>1.2072245229838325</c:v>
                </c:pt>
                <c:pt idx="6">
                  <c:v>1.3545281932737447</c:v>
                </c:pt>
                <c:pt idx="7">
                  <c:v>1.5198056297254385</c:v>
                </c:pt>
                <c:pt idx="8">
                  <c:v>1.7052499635039586</c:v>
                </c:pt>
                <c:pt idx="9">
                  <c:v>1.9133219282491913</c:v>
                </c:pt>
                <c:pt idx="10">
                  <c:v>2.1467825125162099</c:v>
                </c:pt>
                <c:pt idx="11">
                  <c:v>2.4087295964159234</c:v>
                </c:pt>
                <c:pt idx="12">
                  <c:v>2.7026390586019864</c:v>
                </c:pt>
                <c:pt idx="13">
                  <c:v>3.0324108990687146</c:v>
                </c:pt>
                <c:pt idx="14">
                  <c:v>3.4024209897815063</c:v>
                </c:pt>
                <c:pt idx="15">
                  <c:v>3.8175791398392018</c:v>
                </c:pt>
                <c:pt idx="16">
                  <c:v>4.2833942456578011</c:v>
                </c:pt>
                <c:pt idx="17">
                  <c:v>4.8060473906788896</c:v>
                </c:pt>
                <c:pt idx="18">
                  <c:v>5.3924738645915138</c:v>
                </c:pt>
                <c:pt idx="19">
                  <c:v>6.0504551904127046</c:v>
                </c:pt>
                <c:pt idx="20">
                  <c:v>6.7887223805701549</c:v>
                </c:pt>
                <c:pt idx="21">
                  <c:v>7.61707179213247</c:v>
                </c:pt>
                <c:pt idx="22">
                  <c:v>8.5464951185155602</c:v>
                </c:pt>
                <c:pt idx="23">
                  <c:v>9.5893252425761091</c:v>
                </c:pt>
                <c:pt idx="24">
                  <c:v>10.759399886474041</c:v>
                </c:pt>
                <c:pt idx="25">
                  <c:v>12.07224522983833</c:v>
                </c:pt>
                <c:pt idx="26">
                  <c:v>13.545281932737453</c:v>
                </c:pt>
                <c:pt idx="27">
                  <c:v>15.198056297254389</c:v>
                </c:pt>
                <c:pt idx="28">
                  <c:v>17.052499635039585</c:v>
                </c:pt>
                <c:pt idx="29">
                  <c:v>19.133219282491918</c:v>
                </c:pt>
                <c:pt idx="30">
                  <c:v>21.467825125162101</c:v>
                </c:pt>
                <c:pt idx="31">
                  <c:v>24.087295964159235</c:v>
                </c:pt>
                <c:pt idx="32">
                  <c:v>27.026390586019879</c:v>
                </c:pt>
                <c:pt idx="33">
                  <c:v>30.324108990687144</c:v>
                </c:pt>
                <c:pt idx="34">
                  <c:v>34.024209897815062</c:v>
                </c:pt>
                <c:pt idx="35">
                  <c:v>38.175791398392036</c:v>
                </c:pt>
                <c:pt idx="36">
                  <c:v>42.833942456578022</c:v>
                </c:pt>
                <c:pt idx="37">
                  <c:v>48.060473906788914</c:v>
                </c:pt>
                <c:pt idx="38">
                  <c:v>53.92473864591512</c:v>
                </c:pt>
                <c:pt idx="39">
                  <c:v>60.504551904127062</c:v>
                </c:pt>
                <c:pt idx="40">
                  <c:v>67.887223805701595</c:v>
                </c:pt>
                <c:pt idx="41">
                  <c:v>76.170717921324723</c:v>
                </c:pt>
                <c:pt idx="42">
                  <c:v>85.46495118515567</c:v>
                </c:pt>
                <c:pt idx="43">
                  <c:v>95.893252425761062</c:v>
                </c:pt>
                <c:pt idx="44">
                  <c:v>107.59399886474048</c:v>
                </c:pt>
                <c:pt idx="45">
                  <c:v>111.1542000025664</c:v>
                </c:pt>
                <c:pt idx="46">
                  <c:v>111.51830000257848</c:v>
                </c:pt>
                <c:pt idx="47">
                  <c:v>111.88240000259057</c:v>
                </c:pt>
                <c:pt idx="48">
                  <c:v>112.24660000260266</c:v>
                </c:pt>
                <c:pt idx="49">
                  <c:v>112.61080000261475</c:v>
                </c:pt>
                <c:pt idx="50">
                  <c:v>112.97490000262684</c:v>
                </c:pt>
                <c:pt idx="51">
                  <c:v>113.33910000263893</c:v>
                </c:pt>
                <c:pt idx="52">
                  <c:v>113.70330000265102</c:v>
                </c:pt>
                <c:pt idx="53">
                  <c:v>114.06760000266311</c:v>
                </c:pt>
                <c:pt idx="54">
                  <c:v>114.4318000026752</c:v>
                </c:pt>
                <c:pt idx="55">
                  <c:v>114.7961000026873</c:v>
                </c:pt>
                <c:pt idx="56">
                  <c:v>115.16030000269939</c:v>
                </c:pt>
                <c:pt idx="57">
                  <c:v>115.52460000271148</c:v>
                </c:pt>
                <c:pt idx="58">
                  <c:v>115.88890000272357</c:v>
                </c:pt>
                <c:pt idx="59">
                  <c:v>116.25320000273567</c:v>
                </c:pt>
                <c:pt idx="60">
                  <c:v>116.61760000274776</c:v>
                </c:pt>
                <c:pt idx="61">
                  <c:v>116.98190000275986</c:v>
                </c:pt>
                <c:pt idx="62">
                  <c:v>117.34630000277195</c:v>
                </c:pt>
                <c:pt idx="63">
                  <c:v>117.71070000278405</c:v>
                </c:pt>
                <c:pt idx="64">
                  <c:v>118.07510000279615</c:v>
                </c:pt>
                <c:pt idx="65">
                  <c:v>118.43950000280824</c:v>
                </c:pt>
                <c:pt idx="66">
                  <c:v>118.80390000282034</c:v>
                </c:pt>
                <c:pt idx="67">
                  <c:v>119.16840000283244</c:v>
                </c:pt>
                <c:pt idx="68">
                  <c:v>119.53280000284454</c:v>
                </c:pt>
                <c:pt idx="69">
                  <c:v>119.89730000285664</c:v>
                </c:pt>
                <c:pt idx="70">
                  <c:v>120.26180000286874</c:v>
                </c:pt>
                <c:pt idx="71">
                  <c:v>120.62630000288084</c:v>
                </c:pt>
                <c:pt idx="72">
                  <c:v>120.99080000289294</c:v>
                </c:pt>
                <c:pt idx="73">
                  <c:v>121.35530000290504</c:v>
                </c:pt>
                <c:pt idx="74">
                  <c:v>121.71990000291714</c:v>
                </c:pt>
                <c:pt idx="75">
                  <c:v>122.08440000292924</c:v>
                </c:pt>
                <c:pt idx="76">
                  <c:v>122.44900000294135</c:v>
                </c:pt>
                <c:pt idx="77">
                  <c:v>122.81360000295345</c:v>
                </c:pt>
                <c:pt idx="78">
                  <c:v>123.17820000296555</c:v>
                </c:pt>
                <c:pt idx="79">
                  <c:v>123.54280000297766</c:v>
                </c:pt>
                <c:pt idx="80">
                  <c:v>123.90740000298976</c:v>
                </c:pt>
              </c:numCache>
            </c:numRef>
          </c:xVal>
          <c:yVal>
            <c:numRef>
              <c:f>Sheet1!$A$17:$A$97</c:f>
              <c:numCache>
                <c:formatCode>General</c:formatCode>
                <c:ptCount val="8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pt idx="31">
                  <c:v>61</c:v>
                </c:pt>
                <c:pt idx="32">
                  <c:v>62</c:v>
                </c:pt>
                <c:pt idx="33">
                  <c:v>63</c:v>
                </c:pt>
                <c:pt idx="34">
                  <c:v>64</c:v>
                </c:pt>
                <c:pt idx="35">
                  <c:v>65</c:v>
                </c:pt>
                <c:pt idx="36">
                  <c:v>66</c:v>
                </c:pt>
                <c:pt idx="37">
                  <c:v>67</c:v>
                </c:pt>
                <c:pt idx="38">
                  <c:v>68</c:v>
                </c:pt>
                <c:pt idx="39">
                  <c:v>69</c:v>
                </c:pt>
                <c:pt idx="40">
                  <c:v>70</c:v>
                </c:pt>
                <c:pt idx="41">
                  <c:v>71</c:v>
                </c:pt>
                <c:pt idx="42">
                  <c:v>72</c:v>
                </c:pt>
                <c:pt idx="43">
                  <c:v>73</c:v>
                </c:pt>
                <c:pt idx="44">
                  <c:v>74</c:v>
                </c:pt>
                <c:pt idx="45">
                  <c:v>75</c:v>
                </c:pt>
                <c:pt idx="46">
                  <c:v>76</c:v>
                </c:pt>
                <c:pt idx="47">
                  <c:v>77</c:v>
                </c:pt>
                <c:pt idx="48">
                  <c:v>78</c:v>
                </c:pt>
                <c:pt idx="49">
                  <c:v>79</c:v>
                </c:pt>
                <c:pt idx="50">
                  <c:v>80</c:v>
                </c:pt>
                <c:pt idx="51">
                  <c:v>81</c:v>
                </c:pt>
                <c:pt idx="52">
                  <c:v>82</c:v>
                </c:pt>
                <c:pt idx="53">
                  <c:v>83</c:v>
                </c:pt>
                <c:pt idx="54">
                  <c:v>84</c:v>
                </c:pt>
                <c:pt idx="55">
                  <c:v>85</c:v>
                </c:pt>
                <c:pt idx="56">
                  <c:v>86</c:v>
                </c:pt>
                <c:pt idx="57">
                  <c:v>87</c:v>
                </c:pt>
                <c:pt idx="58">
                  <c:v>88</c:v>
                </c:pt>
                <c:pt idx="59">
                  <c:v>89</c:v>
                </c:pt>
                <c:pt idx="60">
                  <c:v>90</c:v>
                </c:pt>
                <c:pt idx="61">
                  <c:v>91</c:v>
                </c:pt>
                <c:pt idx="62">
                  <c:v>92</c:v>
                </c:pt>
                <c:pt idx="63">
                  <c:v>93</c:v>
                </c:pt>
                <c:pt idx="64">
                  <c:v>94</c:v>
                </c:pt>
                <c:pt idx="65">
                  <c:v>95</c:v>
                </c:pt>
                <c:pt idx="66">
                  <c:v>96</c:v>
                </c:pt>
                <c:pt idx="67">
                  <c:v>97</c:v>
                </c:pt>
                <c:pt idx="68">
                  <c:v>98</c:v>
                </c:pt>
                <c:pt idx="69">
                  <c:v>99</c:v>
                </c:pt>
                <c:pt idx="70">
                  <c:v>100</c:v>
                </c:pt>
                <c:pt idx="71">
                  <c:v>101</c:v>
                </c:pt>
                <c:pt idx="72">
                  <c:v>102</c:v>
                </c:pt>
                <c:pt idx="73">
                  <c:v>103</c:v>
                </c:pt>
                <c:pt idx="74">
                  <c:v>104</c:v>
                </c:pt>
                <c:pt idx="75">
                  <c:v>105</c:v>
                </c:pt>
                <c:pt idx="76">
                  <c:v>106</c:v>
                </c:pt>
                <c:pt idx="77">
                  <c:v>107</c:v>
                </c:pt>
                <c:pt idx="78">
                  <c:v>108</c:v>
                </c:pt>
                <c:pt idx="79">
                  <c:v>109</c:v>
                </c:pt>
                <c:pt idx="80">
                  <c:v>110</c:v>
                </c:pt>
              </c:numCache>
            </c:numRef>
          </c:yVal>
          <c:smooth val="0"/>
          <c:extLst>
            <c:ext xmlns:c16="http://schemas.microsoft.com/office/drawing/2014/chart" uri="{C3380CC4-5D6E-409C-BE32-E72D297353CC}">
              <c16:uniqueId val="{00000001-5090-4D82-A8B3-18DE98966E0F}"/>
            </c:ext>
          </c:extLst>
        </c:ser>
        <c:dLbls>
          <c:showLegendKey val="0"/>
          <c:showVal val="0"/>
          <c:showCatName val="0"/>
          <c:showSerName val="0"/>
          <c:showPercent val="0"/>
          <c:showBubbleSize val="0"/>
        </c:dLbls>
        <c:axId val="644151264"/>
        <c:axId val="644151920"/>
      </c:scatterChart>
      <c:valAx>
        <c:axId val="644151264"/>
        <c:scaling>
          <c:orientation val="minMax"/>
          <c:max val="5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Distance from boundary</a:t>
                </a:r>
                <a:r>
                  <a:rPr lang="en-AU" baseline="0"/>
                  <a:t> (km)</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151920"/>
        <c:crosses val="autoZero"/>
        <c:crossBetween val="midCat"/>
        <c:minorUnit val="2"/>
      </c:valAx>
      <c:valAx>
        <c:axId val="644151920"/>
        <c:scaling>
          <c:orientation val="minMax"/>
          <c:min val="3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Maximum EIRP of transmitter (dBm/200 MHz)</a:t>
                </a:r>
              </a:p>
            </c:rich>
          </c:tx>
          <c:layout>
            <c:manualLayout>
              <c:xMode val="edge"/>
              <c:yMode val="edge"/>
              <c:x val="0"/>
              <c:y val="6.189888290689721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151264"/>
        <c:crossesAt val="0.1"/>
        <c:crossBetween val="midCat"/>
      </c:valAx>
      <c:spPr>
        <a:noFill/>
        <a:ln>
          <a:noFill/>
        </a:ln>
        <a:effectLst/>
      </c:spPr>
    </c:plotArea>
    <c:legend>
      <c:legendPos val="r"/>
      <c:layout>
        <c:manualLayout>
          <c:xMode val="edge"/>
          <c:yMode val="edge"/>
          <c:x val="0.18283186660490969"/>
          <c:y val="8.8776428072119135E-2"/>
          <c:w val="0.50361675068285605"/>
          <c:h val="0.19598148221422071"/>
        </c:manualLayout>
      </c:layout>
      <c:overlay val="0"/>
      <c:spPr>
        <a:solidFill>
          <a:schemeClr val="bg1"/>
        </a:solidFill>
        <a:ln>
          <a:solidFill>
            <a:schemeClr val="tx1"/>
          </a:solidFill>
        </a:ln>
        <a:effectLst/>
      </c:spPr>
      <c:txPr>
        <a:bodyPr rot="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517986722247957E-2"/>
          <c:y val="3.6850921273031828E-2"/>
          <c:w val="0.8719021151767794"/>
          <c:h val="0.8143942811168704"/>
        </c:manualLayout>
      </c:layout>
      <c:scatterChart>
        <c:scatterStyle val="lineMarker"/>
        <c:varyColors val="0"/>
        <c:ser>
          <c:idx val="0"/>
          <c:order val="0"/>
          <c:tx>
            <c:v>Transmitter with AAS</c:v>
          </c:tx>
          <c:spPr>
            <a:ln w="19050" cap="rnd">
              <a:solidFill>
                <a:schemeClr val="accent1"/>
              </a:solidFill>
              <a:round/>
            </a:ln>
            <a:effectLst/>
          </c:spPr>
          <c:marker>
            <c:symbol val="none"/>
          </c:marker>
          <c:xVal>
            <c:numRef>
              <c:f>Sheet1!$E$17:$E$97</c:f>
              <c:numCache>
                <c:formatCode>General</c:formatCode>
                <c:ptCount val="81"/>
                <c:pt idx="0">
                  <c:v>0.27026390586019855</c:v>
                </c:pt>
                <c:pt idx="1">
                  <c:v>0.30324108990687137</c:v>
                </c:pt>
                <c:pt idx="2">
                  <c:v>0.34024209897815055</c:v>
                </c:pt>
                <c:pt idx="3">
                  <c:v>0.38175791398392012</c:v>
                </c:pt>
                <c:pt idx="4">
                  <c:v>0.42833942456578</c:v>
                </c:pt>
                <c:pt idx="5">
                  <c:v>0.48060473906788892</c:v>
                </c:pt>
                <c:pt idx="6">
                  <c:v>0.53924738645915127</c:v>
                </c:pt>
                <c:pt idx="7">
                  <c:v>0.60504551904127035</c:v>
                </c:pt>
                <c:pt idx="8">
                  <c:v>0.67887223805701535</c:v>
                </c:pt>
                <c:pt idx="9">
                  <c:v>0.76170717921324704</c:v>
                </c:pt>
                <c:pt idx="10">
                  <c:v>0.85464951185155602</c:v>
                </c:pt>
                <c:pt idx="11">
                  <c:v>0.95893252425761044</c:v>
                </c:pt>
                <c:pt idx="12">
                  <c:v>1.0759399886474041</c:v>
                </c:pt>
                <c:pt idx="13">
                  <c:v>1.2072245229838325</c:v>
                </c:pt>
                <c:pt idx="14">
                  <c:v>1.3545281932737447</c:v>
                </c:pt>
                <c:pt idx="15">
                  <c:v>1.5198056297254385</c:v>
                </c:pt>
                <c:pt idx="16">
                  <c:v>1.7052499635039586</c:v>
                </c:pt>
                <c:pt idx="17">
                  <c:v>1.9133219282491913</c:v>
                </c:pt>
                <c:pt idx="18">
                  <c:v>2.1467825125162099</c:v>
                </c:pt>
                <c:pt idx="19">
                  <c:v>2.4087295964159234</c:v>
                </c:pt>
                <c:pt idx="20">
                  <c:v>2.7026390586019864</c:v>
                </c:pt>
                <c:pt idx="21">
                  <c:v>3.0324108990687146</c:v>
                </c:pt>
                <c:pt idx="22">
                  <c:v>3.4024209897815063</c:v>
                </c:pt>
                <c:pt idx="23">
                  <c:v>3.8175791398392018</c:v>
                </c:pt>
                <c:pt idx="24">
                  <c:v>4.2833942456578011</c:v>
                </c:pt>
                <c:pt idx="25">
                  <c:v>4.8060473906788896</c:v>
                </c:pt>
                <c:pt idx="26">
                  <c:v>5.3924738645915138</c:v>
                </c:pt>
                <c:pt idx="27">
                  <c:v>6.0504551904127046</c:v>
                </c:pt>
                <c:pt idx="28">
                  <c:v>6.7887223805701549</c:v>
                </c:pt>
                <c:pt idx="29">
                  <c:v>7.61707179213247</c:v>
                </c:pt>
                <c:pt idx="30">
                  <c:v>8.5464951185155602</c:v>
                </c:pt>
                <c:pt idx="31">
                  <c:v>9.5893252425761091</c:v>
                </c:pt>
                <c:pt idx="32">
                  <c:v>10.759399886474041</c:v>
                </c:pt>
                <c:pt idx="33">
                  <c:v>12.07224522983833</c:v>
                </c:pt>
                <c:pt idx="34">
                  <c:v>13.545281932737453</c:v>
                </c:pt>
                <c:pt idx="35">
                  <c:v>15.198056297254389</c:v>
                </c:pt>
                <c:pt idx="36">
                  <c:v>17.052499635039585</c:v>
                </c:pt>
                <c:pt idx="37">
                  <c:v>19.133219282491918</c:v>
                </c:pt>
                <c:pt idx="38">
                  <c:v>21.467825125162101</c:v>
                </c:pt>
                <c:pt idx="39">
                  <c:v>24.087295964159235</c:v>
                </c:pt>
                <c:pt idx="40">
                  <c:v>27.026390586019879</c:v>
                </c:pt>
                <c:pt idx="41">
                  <c:v>30.324108990687144</c:v>
                </c:pt>
                <c:pt idx="42">
                  <c:v>34.024209897815062</c:v>
                </c:pt>
                <c:pt idx="43">
                  <c:v>38.175791398392036</c:v>
                </c:pt>
                <c:pt idx="44">
                  <c:v>42.833942456578022</c:v>
                </c:pt>
                <c:pt idx="45">
                  <c:v>48.060473906788914</c:v>
                </c:pt>
                <c:pt idx="46">
                  <c:v>53.92473864591512</c:v>
                </c:pt>
                <c:pt idx="47">
                  <c:v>60.504551904127062</c:v>
                </c:pt>
                <c:pt idx="48">
                  <c:v>67.887223805701595</c:v>
                </c:pt>
                <c:pt idx="49">
                  <c:v>76.170717921324723</c:v>
                </c:pt>
                <c:pt idx="50">
                  <c:v>85.46495118515567</c:v>
                </c:pt>
                <c:pt idx="51">
                  <c:v>95.893252425761062</c:v>
                </c:pt>
                <c:pt idx="52">
                  <c:v>107.59399886474048</c:v>
                </c:pt>
                <c:pt idx="53">
                  <c:v>111.1542000025664</c:v>
                </c:pt>
                <c:pt idx="54">
                  <c:v>111.51830000257848</c:v>
                </c:pt>
                <c:pt idx="55">
                  <c:v>111.88240000259057</c:v>
                </c:pt>
                <c:pt idx="56">
                  <c:v>112.24660000260266</c:v>
                </c:pt>
                <c:pt idx="57">
                  <c:v>112.61080000261475</c:v>
                </c:pt>
                <c:pt idx="58">
                  <c:v>112.97490000262684</c:v>
                </c:pt>
                <c:pt idx="59">
                  <c:v>113.33910000263893</c:v>
                </c:pt>
                <c:pt idx="60">
                  <c:v>113.70330000265102</c:v>
                </c:pt>
                <c:pt idx="61">
                  <c:v>114.06760000266311</c:v>
                </c:pt>
                <c:pt idx="62">
                  <c:v>114.4318000026752</c:v>
                </c:pt>
                <c:pt idx="63">
                  <c:v>114.7961000026873</c:v>
                </c:pt>
                <c:pt idx="64">
                  <c:v>115.16030000269939</c:v>
                </c:pt>
                <c:pt idx="65">
                  <c:v>115.52460000271148</c:v>
                </c:pt>
                <c:pt idx="66">
                  <c:v>115.88890000272357</c:v>
                </c:pt>
                <c:pt idx="67">
                  <c:v>116.25320000273567</c:v>
                </c:pt>
                <c:pt idx="68">
                  <c:v>116.61760000274776</c:v>
                </c:pt>
                <c:pt idx="69">
                  <c:v>116.98190000275986</c:v>
                </c:pt>
                <c:pt idx="70">
                  <c:v>117.34630000277195</c:v>
                </c:pt>
                <c:pt idx="71">
                  <c:v>117.71070000278405</c:v>
                </c:pt>
                <c:pt idx="72">
                  <c:v>118.07510000279615</c:v>
                </c:pt>
                <c:pt idx="73">
                  <c:v>118.43950000280824</c:v>
                </c:pt>
                <c:pt idx="74">
                  <c:v>118.80390000282034</c:v>
                </c:pt>
                <c:pt idx="75">
                  <c:v>119.16840000283244</c:v>
                </c:pt>
                <c:pt idx="76">
                  <c:v>119.53280000284454</c:v>
                </c:pt>
                <c:pt idx="77">
                  <c:v>119.89730000285664</c:v>
                </c:pt>
                <c:pt idx="78">
                  <c:v>120.26180000286874</c:v>
                </c:pt>
                <c:pt idx="79">
                  <c:v>120.62630000288084</c:v>
                </c:pt>
                <c:pt idx="80">
                  <c:v>120.99080000289294</c:v>
                </c:pt>
              </c:numCache>
            </c:numRef>
          </c:xVal>
          <c:yVal>
            <c:numRef>
              <c:f>Sheet1!$A$17:$A$97</c:f>
              <c:numCache>
                <c:formatCode>General</c:formatCode>
                <c:ptCount val="8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pt idx="31">
                  <c:v>61</c:v>
                </c:pt>
                <c:pt idx="32">
                  <c:v>62</c:v>
                </c:pt>
                <c:pt idx="33">
                  <c:v>63</c:v>
                </c:pt>
                <c:pt idx="34">
                  <c:v>64</c:v>
                </c:pt>
                <c:pt idx="35">
                  <c:v>65</c:v>
                </c:pt>
                <c:pt idx="36">
                  <c:v>66</c:v>
                </c:pt>
                <c:pt idx="37">
                  <c:v>67</c:v>
                </c:pt>
                <c:pt idx="38">
                  <c:v>68</c:v>
                </c:pt>
                <c:pt idx="39">
                  <c:v>69</c:v>
                </c:pt>
                <c:pt idx="40">
                  <c:v>70</c:v>
                </c:pt>
                <c:pt idx="41">
                  <c:v>71</c:v>
                </c:pt>
                <c:pt idx="42">
                  <c:v>72</c:v>
                </c:pt>
                <c:pt idx="43">
                  <c:v>73</c:v>
                </c:pt>
                <c:pt idx="44">
                  <c:v>74</c:v>
                </c:pt>
                <c:pt idx="45">
                  <c:v>75</c:v>
                </c:pt>
                <c:pt idx="46">
                  <c:v>76</c:v>
                </c:pt>
                <c:pt idx="47">
                  <c:v>77</c:v>
                </c:pt>
                <c:pt idx="48">
                  <c:v>78</c:v>
                </c:pt>
                <c:pt idx="49">
                  <c:v>79</c:v>
                </c:pt>
                <c:pt idx="50">
                  <c:v>80</c:v>
                </c:pt>
                <c:pt idx="51">
                  <c:v>81</c:v>
                </c:pt>
                <c:pt idx="52">
                  <c:v>82</c:v>
                </c:pt>
                <c:pt idx="53">
                  <c:v>83</c:v>
                </c:pt>
                <c:pt idx="54">
                  <c:v>84</c:v>
                </c:pt>
                <c:pt idx="55">
                  <c:v>85</c:v>
                </c:pt>
                <c:pt idx="56">
                  <c:v>86</c:v>
                </c:pt>
                <c:pt idx="57">
                  <c:v>87</c:v>
                </c:pt>
                <c:pt idx="58">
                  <c:v>88</c:v>
                </c:pt>
                <c:pt idx="59">
                  <c:v>89</c:v>
                </c:pt>
                <c:pt idx="60">
                  <c:v>90</c:v>
                </c:pt>
                <c:pt idx="61">
                  <c:v>91</c:v>
                </c:pt>
                <c:pt idx="62">
                  <c:v>92</c:v>
                </c:pt>
                <c:pt idx="63">
                  <c:v>93</c:v>
                </c:pt>
                <c:pt idx="64">
                  <c:v>94</c:v>
                </c:pt>
                <c:pt idx="65">
                  <c:v>95</c:v>
                </c:pt>
                <c:pt idx="66">
                  <c:v>96</c:v>
                </c:pt>
                <c:pt idx="67">
                  <c:v>97</c:v>
                </c:pt>
                <c:pt idx="68">
                  <c:v>98</c:v>
                </c:pt>
                <c:pt idx="69">
                  <c:v>99</c:v>
                </c:pt>
                <c:pt idx="70">
                  <c:v>100</c:v>
                </c:pt>
                <c:pt idx="71">
                  <c:v>101</c:v>
                </c:pt>
                <c:pt idx="72">
                  <c:v>102</c:v>
                </c:pt>
                <c:pt idx="73">
                  <c:v>103</c:v>
                </c:pt>
                <c:pt idx="74">
                  <c:v>104</c:v>
                </c:pt>
                <c:pt idx="75">
                  <c:v>105</c:v>
                </c:pt>
                <c:pt idx="76">
                  <c:v>106</c:v>
                </c:pt>
                <c:pt idx="77">
                  <c:v>107</c:v>
                </c:pt>
                <c:pt idx="78">
                  <c:v>108</c:v>
                </c:pt>
                <c:pt idx="79">
                  <c:v>109</c:v>
                </c:pt>
                <c:pt idx="80">
                  <c:v>110</c:v>
                </c:pt>
              </c:numCache>
            </c:numRef>
          </c:yVal>
          <c:smooth val="0"/>
          <c:extLst>
            <c:ext xmlns:c16="http://schemas.microsoft.com/office/drawing/2014/chart" uri="{C3380CC4-5D6E-409C-BE32-E72D297353CC}">
              <c16:uniqueId val="{00000000-09A8-49F5-AFE2-5373CFDBBA77}"/>
            </c:ext>
          </c:extLst>
        </c:ser>
        <c:ser>
          <c:idx val="1"/>
          <c:order val="1"/>
          <c:tx>
            <c:v>Transmitter without AAS or operating in the range 27.5-29.5 GHz</c:v>
          </c:tx>
          <c:spPr>
            <a:ln w="19050" cap="rnd">
              <a:solidFill>
                <a:schemeClr val="accent2"/>
              </a:solidFill>
              <a:round/>
            </a:ln>
            <a:effectLst/>
          </c:spPr>
          <c:marker>
            <c:symbol val="none"/>
          </c:marker>
          <c:xVal>
            <c:numRef>
              <c:f>Sheet1!$F$17:$F$97</c:f>
              <c:numCache>
                <c:formatCode>General</c:formatCode>
                <c:ptCount val="81"/>
                <c:pt idx="0">
                  <c:v>0.67887223805701535</c:v>
                </c:pt>
                <c:pt idx="1">
                  <c:v>0.76170717921324704</c:v>
                </c:pt>
                <c:pt idx="2">
                  <c:v>0.85464951185155602</c:v>
                </c:pt>
                <c:pt idx="3">
                  <c:v>0.95893252425761044</c:v>
                </c:pt>
                <c:pt idx="4">
                  <c:v>1.0759399886474041</c:v>
                </c:pt>
                <c:pt idx="5">
                  <c:v>1.2072245229838325</c:v>
                </c:pt>
                <c:pt idx="6">
                  <c:v>1.3545281932737447</c:v>
                </c:pt>
                <c:pt idx="7">
                  <c:v>1.5198056297254385</c:v>
                </c:pt>
                <c:pt idx="8">
                  <c:v>1.7052499635039586</c:v>
                </c:pt>
                <c:pt idx="9">
                  <c:v>1.9133219282491913</c:v>
                </c:pt>
                <c:pt idx="10">
                  <c:v>2.1467825125162099</c:v>
                </c:pt>
                <c:pt idx="11">
                  <c:v>2.4087295964159234</c:v>
                </c:pt>
                <c:pt idx="12">
                  <c:v>2.7026390586019864</c:v>
                </c:pt>
                <c:pt idx="13">
                  <c:v>3.0324108990687146</c:v>
                </c:pt>
                <c:pt idx="14">
                  <c:v>3.4024209897815063</c:v>
                </c:pt>
                <c:pt idx="15">
                  <c:v>3.8175791398392018</c:v>
                </c:pt>
                <c:pt idx="16">
                  <c:v>4.2833942456578011</c:v>
                </c:pt>
                <c:pt idx="17">
                  <c:v>4.8060473906788896</c:v>
                </c:pt>
                <c:pt idx="18">
                  <c:v>5.3924738645915138</c:v>
                </c:pt>
                <c:pt idx="19">
                  <c:v>6.0504551904127046</c:v>
                </c:pt>
                <c:pt idx="20">
                  <c:v>6.7887223805701549</c:v>
                </c:pt>
                <c:pt idx="21">
                  <c:v>7.61707179213247</c:v>
                </c:pt>
                <c:pt idx="22">
                  <c:v>8.5464951185155602</c:v>
                </c:pt>
                <c:pt idx="23">
                  <c:v>9.5893252425761091</c:v>
                </c:pt>
                <c:pt idx="24">
                  <c:v>10.759399886474041</c:v>
                </c:pt>
                <c:pt idx="25">
                  <c:v>12.07224522983833</c:v>
                </c:pt>
                <c:pt idx="26">
                  <c:v>13.545281932737453</c:v>
                </c:pt>
                <c:pt idx="27">
                  <c:v>15.198056297254389</c:v>
                </c:pt>
                <c:pt idx="28">
                  <c:v>17.052499635039585</c:v>
                </c:pt>
                <c:pt idx="29">
                  <c:v>19.133219282491918</c:v>
                </c:pt>
                <c:pt idx="30">
                  <c:v>21.467825125162101</c:v>
                </c:pt>
                <c:pt idx="31">
                  <c:v>24.087295964159235</c:v>
                </c:pt>
                <c:pt idx="32">
                  <c:v>27.026390586019879</c:v>
                </c:pt>
                <c:pt idx="33">
                  <c:v>30.324108990687144</c:v>
                </c:pt>
                <c:pt idx="34">
                  <c:v>34.024209897815062</c:v>
                </c:pt>
                <c:pt idx="35">
                  <c:v>38.175791398392036</c:v>
                </c:pt>
                <c:pt idx="36">
                  <c:v>42.833942456578022</c:v>
                </c:pt>
                <c:pt idx="37">
                  <c:v>48.060473906788914</c:v>
                </c:pt>
                <c:pt idx="38">
                  <c:v>53.92473864591512</c:v>
                </c:pt>
                <c:pt idx="39">
                  <c:v>60.504551904127062</c:v>
                </c:pt>
                <c:pt idx="40">
                  <c:v>67.887223805701595</c:v>
                </c:pt>
                <c:pt idx="41">
                  <c:v>76.170717921324723</c:v>
                </c:pt>
                <c:pt idx="42">
                  <c:v>85.46495118515567</c:v>
                </c:pt>
                <c:pt idx="43">
                  <c:v>95.893252425761062</c:v>
                </c:pt>
                <c:pt idx="44">
                  <c:v>107.59399886474048</c:v>
                </c:pt>
                <c:pt idx="45">
                  <c:v>111.1542000025664</c:v>
                </c:pt>
                <c:pt idx="46">
                  <c:v>111.51830000257848</c:v>
                </c:pt>
                <c:pt idx="47">
                  <c:v>111.88240000259057</c:v>
                </c:pt>
                <c:pt idx="48">
                  <c:v>112.24660000260266</c:v>
                </c:pt>
                <c:pt idx="49">
                  <c:v>112.61080000261475</c:v>
                </c:pt>
                <c:pt idx="50">
                  <c:v>112.97490000262684</c:v>
                </c:pt>
                <c:pt idx="51">
                  <c:v>113.33910000263893</c:v>
                </c:pt>
                <c:pt idx="52">
                  <c:v>113.70330000265102</c:v>
                </c:pt>
                <c:pt idx="53">
                  <c:v>114.06760000266311</c:v>
                </c:pt>
                <c:pt idx="54">
                  <c:v>114.4318000026752</c:v>
                </c:pt>
                <c:pt idx="55">
                  <c:v>114.7961000026873</c:v>
                </c:pt>
                <c:pt idx="56">
                  <c:v>115.16030000269939</c:v>
                </c:pt>
                <c:pt idx="57">
                  <c:v>115.52460000271148</c:v>
                </c:pt>
                <c:pt idx="58">
                  <c:v>115.88890000272357</c:v>
                </c:pt>
                <c:pt idx="59">
                  <c:v>116.25320000273567</c:v>
                </c:pt>
                <c:pt idx="60">
                  <c:v>116.61760000274776</c:v>
                </c:pt>
                <c:pt idx="61">
                  <c:v>116.98190000275986</c:v>
                </c:pt>
                <c:pt idx="62">
                  <c:v>117.34630000277195</c:v>
                </c:pt>
                <c:pt idx="63">
                  <c:v>117.71070000278405</c:v>
                </c:pt>
                <c:pt idx="64">
                  <c:v>118.07510000279615</c:v>
                </c:pt>
                <c:pt idx="65">
                  <c:v>118.43950000280824</c:v>
                </c:pt>
                <c:pt idx="66">
                  <c:v>118.80390000282034</c:v>
                </c:pt>
                <c:pt idx="67">
                  <c:v>119.16840000283244</c:v>
                </c:pt>
                <c:pt idx="68">
                  <c:v>119.53280000284454</c:v>
                </c:pt>
                <c:pt idx="69">
                  <c:v>119.89730000285664</c:v>
                </c:pt>
                <c:pt idx="70">
                  <c:v>120.26180000286874</c:v>
                </c:pt>
                <c:pt idx="71">
                  <c:v>120.62630000288084</c:v>
                </c:pt>
                <c:pt idx="72">
                  <c:v>120.99080000289294</c:v>
                </c:pt>
                <c:pt idx="73">
                  <c:v>121.35530000290504</c:v>
                </c:pt>
                <c:pt idx="74">
                  <c:v>121.71990000291714</c:v>
                </c:pt>
                <c:pt idx="75">
                  <c:v>122.08440000292924</c:v>
                </c:pt>
                <c:pt idx="76">
                  <c:v>122.44900000294135</c:v>
                </c:pt>
                <c:pt idx="77">
                  <c:v>122.81360000295345</c:v>
                </c:pt>
                <c:pt idx="78">
                  <c:v>123.17820000296555</c:v>
                </c:pt>
                <c:pt idx="79">
                  <c:v>123.54280000297766</c:v>
                </c:pt>
                <c:pt idx="80">
                  <c:v>123.90740000298976</c:v>
                </c:pt>
              </c:numCache>
            </c:numRef>
          </c:xVal>
          <c:yVal>
            <c:numRef>
              <c:f>Sheet1!$A$17:$A$97</c:f>
              <c:numCache>
                <c:formatCode>General</c:formatCode>
                <c:ptCount val="8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pt idx="31">
                  <c:v>61</c:v>
                </c:pt>
                <c:pt idx="32">
                  <c:v>62</c:v>
                </c:pt>
                <c:pt idx="33">
                  <c:v>63</c:v>
                </c:pt>
                <c:pt idx="34">
                  <c:v>64</c:v>
                </c:pt>
                <c:pt idx="35">
                  <c:v>65</c:v>
                </c:pt>
                <c:pt idx="36">
                  <c:v>66</c:v>
                </c:pt>
                <c:pt idx="37">
                  <c:v>67</c:v>
                </c:pt>
                <c:pt idx="38">
                  <c:v>68</c:v>
                </c:pt>
                <c:pt idx="39">
                  <c:v>69</c:v>
                </c:pt>
                <c:pt idx="40">
                  <c:v>70</c:v>
                </c:pt>
                <c:pt idx="41">
                  <c:v>71</c:v>
                </c:pt>
                <c:pt idx="42">
                  <c:v>72</c:v>
                </c:pt>
                <c:pt idx="43">
                  <c:v>73</c:v>
                </c:pt>
                <c:pt idx="44">
                  <c:v>74</c:v>
                </c:pt>
                <c:pt idx="45">
                  <c:v>75</c:v>
                </c:pt>
                <c:pt idx="46">
                  <c:v>76</c:v>
                </c:pt>
                <c:pt idx="47">
                  <c:v>77</c:v>
                </c:pt>
                <c:pt idx="48">
                  <c:v>78</c:v>
                </c:pt>
                <c:pt idx="49">
                  <c:v>79</c:v>
                </c:pt>
                <c:pt idx="50">
                  <c:v>80</c:v>
                </c:pt>
                <c:pt idx="51">
                  <c:v>81</c:v>
                </c:pt>
                <c:pt idx="52">
                  <c:v>82</c:v>
                </c:pt>
                <c:pt idx="53">
                  <c:v>83</c:v>
                </c:pt>
                <c:pt idx="54">
                  <c:v>84</c:v>
                </c:pt>
                <c:pt idx="55">
                  <c:v>85</c:v>
                </c:pt>
                <c:pt idx="56">
                  <c:v>86</c:v>
                </c:pt>
                <c:pt idx="57">
                  <c:v>87</c:v>
                </c:pt>
                <c:pt idx="58">
                  <c:v>88</c:v>
                </c:pt>
                <c:pt idx="59">
                  <c:v>89</c:v>
                </c:pt>
                <c:pt idx="60">
                  <c:v>90</c:v>
                </c:pt>
                <c:pt idx="61">
                  <c:v>91</c:v>
                </c:pt>
                <c:pt idx="62">
                  <c:v>92</c:v>
                </c:pt>
                <c:pt idx="63">
                  <c:v>93</c:v>
                </c:pt>
                <c:pt idx="64">
                  <c:v>94</c:v>
                </c:pt>
                <c:pt idx="65">
                  <c:v>95</c:v>
                </c:pt>
                <c:pt idx="66">
                  <c:v>96</c:v>
                </c:pt>
                <c:pt idx="67">
                  <c:v>97</c:v>
                </c:pt>
                <c:pt idx="68">
                  <c:v>98</c:v>
                </c:pt>
                <c:pt idx="69">
                  <c:v>99</c:v>
                </c:pt>
                <c:pt idx="70">
                  <c:v>100</c:v>
                </c:pt>
                <c:pt idx="71">
                  <c:v>101</c:v>
                </c:pt>
                <c:pt idx="72">
                  <c:v>102</c:v>
                </c:pt>
                <c:pt idx="73">
                  <c:v>103</c:v>
                </c:pt>
                <c:pt idx="74">
                  <c:v>104</c:v>
                </c:pt>
                <c:pt idx="75">
                  <c:v>105</c:v>
                </c:pt>
                <c:pt idx="76">
                  <c:v>106</c:v>
                </c:pt>
                <c:pt idx="77">
                  <c:v>107</c:v>
                </c:pt>
                <c:pt idx="78">
                  <c:v>108</c:v>
                </c:pt>
                <c:pt idx="79">
                  <c:v>109</c:v>
                </c:pt>
                <c:pt idx="80">
                  <c:v>110</c:v>
                </c:pt>
              </c:numCache>
            </c:numRef>
          </c:yVal>
          <c:smooth val="0"/>
          <c:extLst>
            <c:ext xmlns:c16="http://schemas.microsoft.com/office/drawing/2014/chart" uri="{C3380CC4-5D6E-409C-BE32-E72D297353CC}">
              <c16:uniqueId val="{00000001-09A8-49F5-AFE2-5373CFDBBA77}"/>
            </c:ext>
          </c:extLst>
        </c:ser>
        <c:dLbls>
          <c:showLegendKey val="0"/>
          <c:showVal val="0"/>
          <c:showCatName val="0"/>
          <c:showSerName val="0"/>
          <c:showPercent val="0"/>
          <c:showBubbleSize val="0"/>
        </c:dLbls>
        <c:axId val="644151264"/>
        <c:axId val="644151920"/>
      </c:scatterChart>
      <c:valAx>
        <c:axId val="644151264"/>
        <c:scaling>
          <c:orientation val="minMax"/>
          <c:max val="125"/>
          <c:min val="5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Distance from boundary</a:t>
                </a:r>
                <a:r>
                  <a:rPr lang="en-AU" baseline="0"/>
                  <a:t> (km)</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151920"/>
        <c:crosses val="autoZero"/>
        <c:crossBetween val="midCat"/>
        <c:minorUnit val="2"/>
      </c:valAx>
      <c:valAx>
        <c:axId val="644151920"/>
        <c:scaling>
          <c:orientation val="minMax"/>
          <c:min val="3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Maximum EIRP of transmitter (dBm/200 MHz)</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151264"/>
        <c:crossesAt val="0.1"/>
        <c:crossBetween val="midCat"/>
      </c:valAx>
      <c:spPr>
        <a:noFill/>
        <a:ln>
          <a:noFill/>
        </a:ln>
        <a:effectLst/>
      </c:spPr>
    </c:plotArea>
    <c:legend>
      <c:legendPos val="r"/>
      <c:layout>
        <c:manualLayout>
          <c:xMode val="edge"/>
          <c:yMode val="edge"/>
          <c:x val="0.18283186660490969"/>
          <c:y val="8.8776428072119135E-2"/>
          <c:w val="0.51404563870267095"/>
          <c:h val="0.19598148221422071"/>
        </c:manualLayout>
      </c:layout>
      <c:overlay val="0"/>
      <c:spPr>
        <a:solidFill>
          <a:schemeClr val="bg1"/>
        </a:solidFill>
        <a:ln>
          <a:solidFill>
            <a:schemeClr val="tx1"/>
          </a:solidFill>
        </a:ln>
        <a:effectLst/>
      </c:spPr>
      <c:txPr>
        <a:bodyPr rot="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66CAB-2435-4BEB-B5AD-56C97AE92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15154</Words>
  <Characters>86383</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101335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2022-02-07T02:41:00Z</dcterms:created>
  <dcterms:modified xsi:type="dcterms:W3CDTF">2022-02-07T02:42:00Z</dcterms:modified>
  <cp:category/>
</cp:coreProperties>
</file>