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EA28B64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5391D93C" w:rsidR="00D00EFA" w:rsidRDefault="00AA5752" w:rsidP="00D00EFA">
      <w:pPr>
        <w:pStyle w:val="ShortT"/>
      </w:pPr>
      <w:r>
        <w:t xml:space="preserve">Variation to Licence Area Plan – </w:t>
      </w:r>
      <w:r w:rsidR="00BB6EF9">
        <w:t>Brisbane</w:t>
      </w:r>
      <w:r>
        <w:t xml:space="preserve"> Radio – 2022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AD7E23F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AA5752">
        <w:rPr>
          <w:szCs w:val="22"/>
        </w:rPr>
        <w:t>instrument</w:t>
      </w:r>
      <w:r>
        <w:rPr>
          <w:szCs w:val="22"/>
        </w:rPr>
        <w:t xml:space="preserve"> under </w:t>
      </w:r>
      <w:r w:rsidR="00AA5752">
        <w:t>subsection 26(2)</w:t>
      </w:r>
      <w:r>
        <w:t xml:space="preserve"> of the </w:t>
      </w:r>
      <w:r w:rsidR="00AA5752">
        <w:rPr>
          <w:i/>
        </w:rPr>
        <w:t>Broadcasting Services Act 1992</w:t>
      </w:r>
      <w:r>
        <w:t>.</w:t>
      </w:r>
    </w:p>
    <w:p w14:paraId="006C8DC4" w14:textId="77777777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5F873F3D" w14:textId="77777777" w:rsidR="00D00EFA" w:rsidRDefault="00D00EFA" w:rsidP="00D00EFA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6291F95A" w14:textId="77777777" w:rsidR="00D00EFA" w:rsidRDefault="00D00EFA" w:rsidP="00D00EFA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6323021E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4C240C" w:rsidRPr="004C240C">
        <w:rPr>
          <w:i/>
          <w:iCs/>
        </w:rPr>
        <w:t xml:space="preserve">Variation to Licence Area Plan – </w:t>
      </w:r>
      <w:r w:rsidR="00BB6EF9">
        <w:rPr>
          <w:i/>
          <w:iCs/>
        </w:rPr>
        <w:t>Brisbane</w:t>
      </w:r>
      <w:r w:rsidR="004C240C" w:rsidRPr="004C240C">
        <w:rPr>
          <w:i/>
          <w:iCs/>
        </w:rPr>
        <w:t xml:space="preserve"> Radio – 2022 (No. 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4" w:name="_Toc444596032"/>
      <w:r>
        <w:rPr>
          <w:rStyle w:val="CharSectno"/>
        </w:rPr>
        <w:t>2</w:t>
      </w:r>
      <w:r>
        <w:t xml:space="preserve">  Commencement</w:t>
      </w:r>
      <w:bookmarkEnd w:id="4"/>
    </w:p>
    <w:p w14:paraId="240E1F39" w14:textId="77777777" w:rsidR="00D00EFA" w:rsidRDefault="00D00EFA" w:rsidP="00D00EFA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5" w:name="_Toc444596033"/>
      <w:r>
        <w:rPr>
          <w:rStyle w:val="CharSectno"/>
        </w:rPr>
        <w:t>3</w:t>
      </w:r>
      <w:r>
        <w:t xml:space="preserve">  Authority</w:t>
      </w:r>
      <w:bookmarkEnd w:id="5"/>
    </w:p>
    <w:p w14:paraId="67903CDC" w14:textId="5FA109F5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4127B6">
        <w:t>subsection 26(2)</w:t>
      </w:r>
      <w:r>
        <w:t xml:space="preserve"> of the </w:t>
      </w:r>
      <w:r w:rsidR="004127B6">
        <w:rPr>
          <w:i/>
        </w:rPr>
        <w:t>Broadcasting Services Act 1992</w:t>
      </w:r>
      <w:r>
        <w:t>.</w:t>
      </w:r>
    </w:p>
    <w:p w14:paraId="237BACC0" w14:textId="35119FB1" w:rsidR="00D00EFA" w:rsidRDefault="00D00EFA" w:rsidP="00D00EFA">
      <w:pPr>
        <w:pStyle w:val="ActHead5"/>
      </w:pPr>
      <w:bookmarkStart w:id="6" w:name="_Toc444596034"/>
      <w:r>
        <w:t>4  Amendment</w:t>
      </w:r>
    </w:p>
    <w:p w14:paraId="5A9EF9A5" w14:textId="52A089B0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that Schedule.</w:t>
      </w:r>
      <w:r>
        <w:rPr>
          <w:i/>
        </w:rPr>
        <w:t xml:space="preserve"> </w:t>
      </w:r>
    </w:p>
    <w:bookmarkEnd w:id="6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2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6441D1B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C167BD2" w14:textId="40C4B6D1" w:rsidR="00D00EFA" w:rsidRDefault="00D00EFA" w:rsidP="00D00EFA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1</w:t>
      </w:r>
      <w:r>
        <w:rPr>
          <w:rFonts w:ascii="Arial" w:hAnsi="Arial" w:cs="Arial"/>
          <w:sz w:val="32"/>
          <w:szCs w:val="32"/>
        </w:rPr>
        <w:t>—Amendment</w:t>
      </w:r>
    </w:p>
    <w:p w14:paraId="7DF102FB" w14:textId="1DAFFC60" w:rsidR="00CE3662" w:rsidRPr="00CE3662" w:rsidRDefault="00CE3662" w:rsidP="00DC0D40">
      <w:pPr>
        <w:pStyle w:val="subsection"/>
        <w:spacing w:before="0"/>
        <w:ind w:firstLine="851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section</w:t>
      </w:r>
      <w:proofErr w:type="gramEnd"/>
      <w:r>
        <w:rPr>
          <w:sz w:val="18"/>
          <w:szCs w:val="18"/>
        </w:rPr>
        <w:t xml:space="preserve"> 4)</w:t>
      </w:r>
    </w:p>
    <w:p w14:paraId="1598FF2F" w14:textId="7ABCD34E" w:rsidR="00D00EFA" w:rsidRPr="00904169" w:rsidRDefault="00B679C8" w:rsidP="00D00EFA">
      <w:pPr>
        <w:pStyle w:val="ActHead9"/>
        <w:ind w:left="0" w:firstLine="0"/>
        <w:rPr>
          <w:b w:val="0"/>
          <w:bCs/>
          <w:i w:val="0"/>
          <w:iCs/>
        </w:rPr>
      </w:pPr>
      <w:bookmarkStart w:id="7" w:name="_Toc444596036"/>
      <w:r>
        <w:t xml:space="preserve">Licence Area Plan – </w:t>
      </w:r>
      <w:r w:rsidR="00BB6EF9">
        <w:t>Brisbane</w:t>
      </w:r>
      <w:r>
        <w:t xml:space="preserve"> Radio</w:t>
      </w:r>
      <w:r w:rsidR="00D00EFA" w:rsidRPr="004127B6">
        <w:rPr>
          <w:szCs w:val="28"/>
        </w:rPr>
        <w:t xml:space="preserve"> </w:t>
      </w:r>
      <w:r w:rsidR="00D00EFA" w:rsidRPr="00904169">
        <w:rPr>
          <w:b w:val="0"/>
          <w:bCs/>
          <w:i w:val="0"/>
          <w:iCs/>
          <w:szCs w:val="28"/>
        </w:rPr>
        <w:t>(</w:t>
      </w:r>
      <w:r w:rsidRPr="00904169">
        <w:rPr>
          <w:b w:val="0"/>
          <w:bCs/>
          <w:i w:val="0"/>
          <w:iCs/>
          <w:szCs w:val="28"/>
        </w:rPr>
        <w:t>F2005B007</w:t>
      </w:r>
      <w:r w:rsidR="00C61F9D">
        <w:rPr>
          <w:b w:val="0"/>
          <w:bCs/>
          <w:i w:val="0"/>
          <w:iCs/>
          <w:szCs w:val="28"/>
        </w:rPr>
        <w:t>41</w:t>
      </w:r>
      <w:r w:rsidR="00D00EFA" w:rsidRPr="00904169">
        <w:rPr>
          <w:b w:val="0"/>
          <w:bCs/>
          <w:i w:val="0"/>
          <w:iCs/>
          <w:szCs w:val="28"/>
        </w:rPr>
        <w:t>)</w:t>
      </w:r>
    </w:p>
    <w:p w14:paraId="70A012C5" w14:textId="5C28707C" w:rsidR="00CE0F5E" w:rsidRDefault="001D7553" w:rsidP="00CE0F5E">
      <w:pPr>
        <w:pStyle w:val="ItemHead"/>
      </w:pPr>
      <w:r>
        <w:t>1  Attachment</w:t>
      </w:r>
      <w:r w:rsidR="005C0097">
        <w:t xml:space="preserve"> 5.1</w:t>
      </w:r>
    </w:p>
    <w:p w14:paraId="76877681" w14:textId="77777777" w:rsidR="00CE3662" w:rsidRDefault="00593D82" w:rsidP="005C0097">
      <w:pPr>
        <w:pStyle w:val="Item"/>
      </w:pPr>
      <w:r>
        <w:t xml:space="preserve">Omit </w:t>
      </w:r>
      <w:r w:rsidR="00132EEA">
        <w:t xml:space="preserve">the attachment, </w:t>
      </w:r>
      <w:r w:rsidR="005C0097">
        <w:t>substitute:</w:t>
      </w:r>
    </w:p>
    <w:p w14:paraId="6013A2F6" w14:textId="35936B0E" w:rsidR="00150B2E" w:rsidRPr="001E3B88" w:rsidRDefault="00150B2E" w:rsidP="00150B2E">
      <w:pPr>
        <w:pStyle w:val="ABAHeading2"/>
        <w:jc w:val="right"/>
        <w:rPr>
          <w:rFonts w:ascii="Times New Roman" w:hAnsi="Times New Roman" w:cs="Times New Roman"/>
        </w:rPr>
      </w:pPr>
      <w:r w:rsidRPr="001E3B88">
        <w:rPr>
          <w:rFonts w:ascii="Times New Roman" w:hAnsi="Times New Roman" w:cs="Times New Roman"/>
        </w:rPr>
        <w:t>Attachment 5.1</w:t>
      </w:r>
    </w:p>
    <w:p w14:paraId="6C5FA895" w14:textId="0A5C0875" w:rsidR="00150B2E" w:rsidRPr="001E3B88" w:rsidRDefault="00150B2E" w:rsidP="00150B2E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ascii="Times New Roman" w:eastAsia="MS Mincho" w:hAnsi="Times New Roman" w:cs="Times New Roman"/>
        </w:rPr>
      </w:pPr>
      <w:r w:rsidRPr="001E3B88">
        <w:rPr>
          <w:rFonts w:ascii="Times New Roman" w:eastAsia="MS Mincho" w:hAnsi="Times New Roman" w:cs="Times New Roman"/>
        </w:rPr>
        <w:t>Licence Area – CABOOLTURE RA1</w:t>
      </w:r>
    </w:p>
    <w:p w14:paraId="406DBE86" w14:textId="5B544E53" w:rsidR="00150B2E" w:rsidRPr="001E3B88" w:rsidRDefault="00150B2E" w:rsidP="00150B2E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ascii="Times New Roman" w:eastAsia="MS Mincho" w:hAnsi="Times New Roman" w:cs="Times New Roman"/>
        </w:rPr>
      </w:pPr>
      <w:r w:rsidRPr="001E3B88">
        <w:rPr>
          <w:rFonts w:ascii="Times New Roman" w:eastAsia="MS Mincho" w:hAnsi="Times New Roman" w:cs="Times New Roman"/>
        </w:rPr>
        <w:t>Community Radio Service Licence number:  SL10350</w:t>
      </w:r>
    </w:p>
    <w:p w14:paraId="4D32F8A4" w14:textId="34596A62" w:rsidR="00150B2E" w:rsidRPr="0076286E" w:rsidRDefault="00150B2E" w:rsidP="00150B2E">
      <w:pPr>
        <w:pStyle w:val="ABABodyText"/>
        <w:rPr>
          <w:rFonts w:ascii="Times New Roman" w:eastAsia="MS Mincho" w:hAnsi="Times New Roman" w:cs="Times New Roman"/>
          <w:szCs w:val="24"/>
        </w:rPr>
      </w:pPr>
      <w:r w:rsidRPr="0076286E">
        <w:rPr>
          <w:rFonts w:ascii="Times New Roman" w:eastAsia="MS Mincho" w:hAnsi="Times New Roman" w:cs="Times New Roman"/>
          <w:szCs w:val="24"/>
        </w:rPr>
        <w:t xml:space="preserve">The licence area, in terms of areas defined by the Australian Bureau of Statistics at the Census of </w:t>
      </w:r>
      <w:r>
        <w:rPr>
          <w:rFonts w:ascii="Times New Roman" w:eastAsia="MS Mincho" w:hAnsi="Times New Roman" w:cs="Times New Roman"/>
          <w:szCs w:val="24"/>
        </w:rPr>
        <w:t>8</w:t>
      </w:r>
      <w:r w:rsidRPr="0076286E">
        <w:rPr>
          <w:rFonts w:ascii="Times New Roman" w:eastAsia="MS Mincho" w:hAnsi="Times New Roman" w:cs="Times New Roman"/>
          <w:szCs w:val="24"/>
        </w:rPr>
        <w:t xml:space="preserve"> August 200</w:t>
      </w:r>
      <w:r>
        <w:rPr>
          <w:rFonts w:ascii="Times New Roman" w:eastAsia="MS Mincho" w:hAnsi="Times New Roman" w:cs="Times New Roman"/>
          <w:szCs w:val="24"/>
        </w:rPr>
        <w:t>6</w:t>
      </w:r>
      <w:r w:rsidRPr="0076286E">
        <w:rPr>
          <w:rFonts w:ascii="Times New Roman" w:eastAsia="MS Mincho" w:hAnsi="Times New Roman" w:cs="Times New Roman"/>
          <w:szCs w:val="24"/>
        </w:rPr>
        <w:t xml:space="preserve">, is: </w:t>
      </w:r>
    </w:p>
    <w:p w14:paraId="6ACEB1AF" w14:textId="77777777" w:rsidR="001E3B88" w:rsidRDefault="001E3B88" w:rsidP="002928C9">
      <w:pPr>
        <w:pStyle w:val="ABATableHeading"/>
        <w:rPr>
          <w:rFonts w:ascii="Times New Roman" w:eastAsia="MS Mincho" w:hAnsi="Times New Roman"/>
          <w:sz w:val="24"/>
          <w:szCs w:val="24"/>
        </w:rPr>
        <w:sectPr w:rsidR="001E3B88" w:rsidSect="00957210">
          <w:headerReference w:type="even" r:id="rId17"/>
          <w:head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3855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855"/>
      </w:tblGrid>
      <w:tr w:rsidR="0026390E" w:rsidRPr="0076286E" w14:paraId="4AB87A49" w14:textId="77777777" w:rsidTr="00F66C76">
        <w:trPr>
          <w:cantSplit/>
          <w:trHeight w:val="433"/>
          <w:tblHeader/>
        </w:trPr>
        <w:tc>
          <w:tcPr>
            <w:tcW w:w="38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797CE0" w14:textId="77777777" w:rsidR="00150B2E" w:rsidRPr="0076286E" w:rsidRDefault="00150B2E" w:rsidP="00F66C76">
            <w:pPr>
              <w:pStyle w:val="ABATableHeading"/>
              <w:rPr>
                <w:rFonts w:ascii="Times New Roman" w:eastAsia="MS Mincho" w:hAnsi="Times New Roman"/>
                <w:sz w:val="24"/>
                <w:szCs w:val="24"/>
              </w:rPr>
            </w:pPr>
            <w:r w:rsidRPr="0076286E">
              <w:rPr>
                <w:rFonts w:ascii="Times New Roman" w:eastAsia="MS Mincho" w:hAnsi="Times New Roman"/>
                <w:sz w:val="24"/>
                <w:szCs w:val="24"/>
              </w:rPr>
              <w:t>Area Description</w:t>
            </w:r>
          </w:p>
        </w:tc>
      </w:tr>
      <w:tr w:rsidR="00625A13" w:rsidRPr="00B5386F" w14:paraId="5EFDB793" w14:textId="77777777" w:rsidTr="00F66C76">
        <w:trPr>
          <w:cantSplit/>
          <w:trHeight w:val="443"/>
        </w:trPr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38255A" w14:textId="04AA1602" w:rsidR="00150B2E" w:rsidRPr="001E3B88" w:rsidRDefault="00924C87" w:rsidP="00F66C76">
            <w:pPr>
              <w:pStyle w:val="ABATableText"/>
            </w:pPr>
            <w:r w:rsidRPr="001E3B88">
              <w:t>Caboolture (S)</w:t>
            </w:r>
            <w:r w:rsidR="004B7FA8" w:rsidRPr="001E3B88">
              <w:t xml:space="preserve"> (LGA)</w:t>
            </w:r>
          </w:p>
        </w:tc>
      </w:tr>
      <w:tr w:rsidR="00625A13" w:rsidRPr="00B5386F" w14:paraId="130741BB" w14:textId="77777777" w:rsidTr="00F66C76">
        <w:trPr>
          <w:cantSplit/>
          <w:trHeight w:val="443"/>
        </w:trPr>
        <w:tc>
          <w:tcPr>
            <w:tcW w:w="3855" w:type="dxa"/>
            <w:tcBorders>
              <w:top w:val="single" w:sz="4" w:space="0" w:color="auto"/>
            </w:tcBorders>
            <w:hideMark/>
          </w:tcPr>
          <w:p w14:paraId="46785FFD" w14:textId="48CE96E9" w:rsidR="00150B2E" w:rsidRPr="001E3B88" w:rsidRDefault="00924C87" w:rsidP="00F66C76">
            <w:pPr>
              <w:pStyle w:val="ABATableText"/>
            </w:pPr>
            <w:r w:rsidRPr="001E3B88">
              <w:t>Cal</w:t>
            </w:r>
            <w:r w:rsidR="003875B2" w:rsidRPr="001E3B88">
              <w:t>oundra (C) – Caloundra S. (SLA)</w:t>
            </w:r>
          </w:p>
        </w:tc>
      </w:tr>
      <w:tr w:rsidR="0026390E" w:rsidRPr="00B5386F" w14:paraId="529922F3" w14:textId="77777777" w:rsidTr="00F66C76">
        <w:trPr>
          <w:cantSplit/>
          <w:trHeight w:val="443"/>
        </w:trPr>
        <w:tc>
          <w:tcPr>
            <w:tcW w:w="3855" w:type="dxa"/>
            <w:hideMark/>
          </w:tcPr>
          <w:p w14:paraId="18716E17" w14:textId="5F699F4D" w:rsidR="00150B2E" w:rsidRPr="001E3B88" w:rsidRDefault="003875B2" w:rsidP="00F66C76">
            <w:pPr>
              <w:pStyle w:val="ABATableText"/>
            </w:pPr>
            <w:r w:rsidRPr="001E3B88">
              <w:t>QLD CD 120106</w:t>
            </w:r>
          </w:p>
        </w:tc>
      </w:tr>
      <w:tr w:rsidR="0026390E" w:rsidRPr="00B5386F" w14:paraId="4CBBEC8C" w14:textId="77777777" w:rsidTr="00F66C76">
        <w:trPr>
          <w:cantSplit/>
          <w:trHeight w:val="433"/>
        </w:trPr>
        <w:tc>
          <w:tcPr>
            <w:tcW w:w="3855" w:type="dxa"/>
          </w:tcPr>
          <w:p w14:paraId="6A5B543F" w14:textId="4FFD952A" w:rsidR="003875B2" w:rsidRPr="001E3B88" w:rsidRDefault="004B4823" w:rsidP="00F66C76">
            <w:pPr>
              <w:pStyle w:val="ABATableText"/>
            </w:pPr>
            <w:r w:rsidRPr="001E3B88">
              <w:t xml:space="preserve">QLD CD </w:t>
            </w:r>
            <w:r w:rsidR="00E2298B" w:rsidRPr="001E3B88">
              <w:t>120109</w:t>
            </w:r>
          </w:p>
        </w:tc>
      </w:tr>
      <w:tr w:rsidR="0026390E" w:rsidRPr="00B5386F" w14:paraId="2AB8F1DB" w14:textId="77777777" w:rsidTr="00F66C76">
        <w:trPr>
          <w:cantSplit/>
          <w:trHeight w:val="433"/>
        </w:trPr>
        <w:tc>
          <w:tcPr>
            <w:tcW w:w="3855" w:type="dxa"/>
          </w:tcPr>
          <w:p w14:paraId="7AD72525" w14:textId="760B4814" w:rsidR="00E2298B" w:rsidRPr="001E3B88" w:rsidRDefault="00E2298B" w:rsidP="00F66C76">
            <w:pPr>
              <w:pStyle w:val="ABATableText"/>
            </w:pPr>
            <w:r w:rsidRPr="001E3B88">
              <w:t>QLD CD 120203</w:t>
            </w:r>
          </w:p>
        </w:tc>
      </w:tr>
      <w:tr w:rsidR="0026390E" w:rsidRPr="00B5386F" w14:paraId="3AFE1953" w14:textId="77777777" w:rsidTr="00F66C76">
        <w:trPr>
          <w:cantSplit/>
          <w:trHeight w:val="443"/>
        </w:trPr>
        <w:tc>
          <w:tcPr>
            <w:tcW w:w="3855" w:type="dxa"/>
          </w:tcPr>
          <w:p w14:paraId="06C126E7" w14:textId="3B3F2F4E" w:rsidR="00E2298B" w:rsidRPr="001E3B88" w:rsidRDefault="00E2298B" w:rsidP="00F66C76">
            <w:pPr>
              <w:pStyle w:val="ABATableText"/>
            </w:pPr>
            <w:r w:rsidRPr="001E3B88">
              <w:t>QLD CD 120207</w:t>
            </w:r>
          </w:p>
        </w:tc>
      </w:tr>
      <w:tr w:rsidR="0026390E" w:rsidRPr="00B5386F" w14:paraId="22CED6DA" w14:textId="77777777" w:rsidTr="00F66C76">
        <w:trPr>
          <w:cantSplit/>
          <w:trHeight w:val="433"/>
        </w:trPr>
        <w:tc>
          <w:tcPr>
            <w:tcW w:w="3855" w:type="dxa"/>
          </w:tcPr>
          <w:p w14:paraId="46D6357D" w14:textId="4D609871" w:rsidR="003875B2" w:rsidRPr="001E3B88" w:rsidRDefault="00E2298B" w:rsidP="00F66C76">
            <w:pPr>
              <w:pStyle w:val="ABATableText"/>
            </w:pPr>
            <w:r w:rsidRPr="001E3B88">
              <w:t>QLD CD 120211</w:t>
            </w:r>
          </w:p>
        </w:tc>
      </w:tr>
      <w:tr w:rsidR="0026390E" w:rsidRPr="00B5386F" w14:paraId="233EC8D3" w14:textId="77777777" w:rsidTr="00F66C76">
        <w:trPr>
          <w:cantSplit/>
          <w:trHeight w:val="443"/>
        </w:trPr>
        <w:tc>
          <w:tcPr>
            <w:tcW w:w="3855" w:type="dxa"/>
          </w:tcPr>
          <w:p w14:paraId="5A164415" w14:textId="0537B013" w:rsidR="00E2298B" w:rsidRPr="001E3B88" w:rsidRDefault="00E2298B" w:rsidP="00F66C76">
            <w:pPr>
              <w:pStyle w:val="ABATableText"/>
            </w:pPr>
            <w:r w:rsidRPr="001E3B88">
              <w:t>QLD CD 120303</w:t>
            </w:r>
          </w:p>
        </w:tc>
      </w:tr>
      <w:tr w:rsidR="0026390E" w:rsidRPr="00B5386F" w14:paraId="238E807E" w14:textId="77777777" w:rsidTr="00F66C76">
        <w:trPr>
          <w:cantSplit/>
          <w:trHeight w:val="433"/>
        </w:trPr>
        <w:tc>
          <w:tcPr>
            <w:tcW w:w="3855" w:type="dxa"/>
          </w:tcPr>
          <w:p w14:paraId="0796141E" w14:textId="08890580" w:rsidR="003875B2" w:rsidRPr="001E3B88" w:rsidRDefault="00E2298B" w:rsidP="00F66C76">
            <w:pPr>
              <w:pStyle w:val="ABATableText"/>
            </w:pPr>
            <w:r w:rsidRPr="001E3B88">
              <w:t>QLD CD 120304</w:t>
            </w:r>
          </w:p>
        </w:tc>
      </w:tr>
      <w:tr w:rsidR="0026390E" w:rsidRPr="00B5386F" w14:paraId="6AF4F1F2" w14:textId="77777777" w:rsidTr="00F66C76">
        <w:trPr>
          <w:cantSplit/>
          <w:trHeight w:val="443"/>
        </w:trPr>
        <w:tc>
          <w:tcPr>
            <w:tcW w:w="3855" w:type="dxa"/>
          </w:tcPr>
          <w:p w14:paraId="4930A9F5" w14:textId="2F68DCE3" w:rsidR="00E2298B" w:rsidRPr="001E3B88" w:rsidRDefault="00E2298B" w:rsidP="00F66C76">
            <w:pPr>
              <w:pStyle w:val="ABATableText"/>
            </w:pPr>
            <w:r w:rsidRPr="001E3B88">
              <w:t>QLD CD 120305</w:t>
            </w:r>
          </w:p>
        </w:tc>
      </w:tr>
      <w:tr w:rsidR="0026390E" w:rsidRPr="00B5386F" w14:paraId="3D2C7C6E" w14:textId="77777777" w:rsidTr="00F66C76">
        <w:trPr>
          <w:cantSplit/>
          <w:trHeight w:val="433"/>
        </w:trPr>
        <w:tc>
          <w:tcPr>
            <w:tcW w:w="3855" w:type="dxa"/>
          </w:tcPr>
          <w:p w14:paraId="38695D49" w14:textId="4331ECC8" w:rsidR="00E2298B" w:rsidRPr="001E3B88" w:rsidRDefault="00DB605A" w:rsidP="00F66C76">
            <w:pPr>
              <w:pStyle w:val="ABATableText"/>
            </w:pPr>
            <w:r w:rsidRPr="001E3B88">
              <w:t>QLD CD 120306</w:t>
            </w:r>
          </w:p>
        </w:tc>
      </w:tr>
      <w:tr w:rsidR="0026390E" w:rsidRPr="00B5386F" w14:paraId="27C3F9DE" w14:textId="77777777" w:rsidTr="00F66C76">
        <w:trPr>
          <w:cantSplit/>
          <w:trHeight w:val="443"/>
        </w:trPr>
        <w:tc>
          <w:tcPr>
            <w:tcW w:w="3855" w:type="dxa"/>
          </w:tcPr>
          <w:p w14:paraId="07176680" w14:textId="46505C95" w:rsidR="00DB605A" w:rsidRPr="001E3B88" w:rsidRDefault="00DB605A" w:rsidP="00F66C76">
            <w:pPr>
              <w:pStyle w:val="ABATableText"/>
            </w:pPr>
            <w:r w:rsidRPr="001E3B88">
              <w:t>QLD CD 120307</w:t>
            </w:r>
          </w:p>
        </w:tc>
      </w:tr>
      <w:tr w:rsidR="0026390E" w:rsidRPr="00B5386F" w14:paraId="2EF1BA9D" w14:textId="77777777" w:rsidTr="00F66C76">
        <w:trPr>
          <w:cantSplit/>
          <w:trHeight w:val="433"/>
        </w:trPr>
        <w:tc>
          <w:tcPr>
            <w:tcW w:w="3855" w:type="dxa"/>
          </w:tcPr>
          <w:p w14:paraId="5D7D6753" w14:textId="1FCF83C2" w:rsidR="00DB605A" w:rsidRPr="001E3B88" w:rsidRDefault="00DB605A" w:rsidP="00F66C76">
            <w:pPr>
              <w:pStyle w:val="ABATableText"/>
            </w:pPr>
            <w:r w:rsidRPr="001E3B88">
              <w:t>QLD CD 120308</w:t>
            </w:r>
          </w:p>
        </w:tc>
      </w:tr>
      <w:tr w:rsidR="0026390E" w:rsidRPr="00B5386F" w14:paraId="4B7FB94C" w14:textId="77777777" w:rsidTr="00F66C76">
        <w:trPr>
          <w:cantSplit/>
          <w:trHeight w:val="443"/>
        </w:trPr>
        <w:tc>
          <w:tcPr>
            <w:tcW w:w="3855" w:type="dxa"/>
          </w:tcPr>
          <w:p w14:paraId="189C9EAB" w14:textId="2CC2DC49" w:rsidR="00DB605A" w:rsidRPr="001E3B88" w:rsidRDefault="00DB605A" w:rsidP="00F66C76">
            <w:pPr>
              <w:pStyle w:val="ABATableText"/>
            </w:pPr>
            <w:r w:rsidRPr="001E3B88">
              <w:t>QLD CD 120312</w:t>
            </w:r>
          </w:p>
        </w:tc>
      </w:tr>
      <w:tr w:rsidR="0026390E" w:rsidRPr="00B5386F" w14:paraId="688AE4D5" w14:textId="77777777" w:rsidTr="00F66C76">
        <w:trPr>
          <w:cantSplit/>
          <w:trHeight w:val="433"/>
        </w:trPr>
        <w:tc>
          <w:tcPr>
            <w:tcW w:w="3855" w:type="dxa"/>
          </w:tcPr>
          <w:p w14:paraId="1DB5F529" w14:textId="28C1DEBD" w:rsidR="00DB605A" w:rsidRPr="001E3B88" w:rsidRDefault="00DB605A" w:rsidP="00F66C76">
            <w:pPr>
              <w:pStyle w:val="ABATableText"/>
            </w:pPr>
            <w:r w:rsidRPr="001E3B88">
              <w:t>QLD CD 120313</w:t>
            </w:r>
          </w:p>
        </w:tc>
      </w:tr>
      <w:tr w:rsidR="0026390E" w:rsidRPr="00B5386F" w14:paraId="1448E710" w14:textId="77777777" w:rsidTr="00F66C76">
        <w:trPr>
          <w:cantSplit/>
          <w:trHeight w:val="443"/>
        </w:trPr>
        <w:tc>
          <w:tcPr>
            <w:tcW w:w="3855" w:type="dxa"/>
          </w:tcPr>
          <w:p w14:paraId="307BB12D" w14:textId="689FDFC9" w:rsidR="00DB605A" w:rsidRPr="001E3B88" w:rsidRDefault="00A952E8" w:rsidP="00F66C76">
            <w:pPr>
              <w:pStyle w:val="ABATableText"/>
            </w:pPr>
            <w:r w:rsidRPr="001E3B88">
              <w:t>QLD CD 120314</w:t>
            </w:r>
          </w:p>
        </w:tc>
      </w:tr>
      <w:tr w:rsidR="0026390E" w:rsidRPr="00B5386F" w14:paraId="71044EA9" w14:textId="77777777" w:rsidTr="00F66C76">
        <w:trPr>
          <w:cantSplit/>
          <w:trHeight w:val="433"/>
        </w:trPr>
        <w:tc>
          <w:tcPr>
            <w:tcW w:w="3855" w:type="dxa"/>
          </w:tcPr>
          <w:p w14:paraId="6B387C45" w14:textId="02D33C76" w:rsidR="00A952E8" w:rsidRPr="001E3B88" w:rsidRDefault="00A952E8" w:rsidP="00F66C76">
            <w:pPr>
              <w:pStyle w:val="ABATableText"/>
            </w:pPr>
            <w:r w:rsidRPr="001E3B88">
              <w:t>QLD CD 120315</w:t>
            </w:r>
          </w:p>
        </w:tc>
      </w:tr>
      <w:tr w:rsidR="0026390E" w:rsidRPr="00B5386F" w14:paraId="291AA94D" w14:textId="77777777" w:rsidTr="00F66C76">
        <w:trPr>
          <w:cantSplit/>
          <w:trHeight w:val="433"/>
        </w:trPr>
        <w:tc>
          <w:tcPr>
            <w:tcW w:w="3855" w:type="dxa"/>
          </w:tcPr>
          <w:p w14:paraId="0DA25EC7" w14:textId="0D58C04A" w:rsidR="00145894" w:rsidRPr="001E3B88" w:rsidRDefault="00145894" w:rsidP="00F66C76">
            <w:pPr>
              <w:pStyle w:val="ABATableText"/>
            </w:pPr>
            <w:r w:rsidRPr="001E3B88">
              <w:t>QLD CD 120316</w:t>
            </w:r>
          </w:p>
        </w:tc>
      </w:tr>
      <w:tr w:rsidR="0026390E" w:rsidRPr="00B5386F" w14:paraId="3FBFA59E" w14:textId="77777777" w:rsidTr="00F66C76">
        <w:trPr>
          <w:cantSplit/>
          <w:trHeight w:val="443"/>
        </w:trPr>
        <w:tc>
          <w:tcPr>
            <w:tcW w:w="3855" w:type="dxa"/>
          </w:tcPr>
          <w:p w14:paraId="3977B09F" w14:textId="37E9B62F" w:rsidR="00145894" w:rsidRPr="001E3B88" w:rsidRDefault="00145894" w:rsidP="00F66C76">
            <w:pPr>
              <w:pStyle w:val="ABATableText"/>
            </w:pPr>
            <w:r w:rsidRPr="001E3B88">
              <w:t>QLD CD 120320</w:t>
            </w:r>
          </w:p>
        </w:tc>
      </w:tr>
      <w:tr w:rsidR="0026390E" w:rsidRPr="00B5386F" w14:paraId="785CE1EC" w14:textId="77777777" w:rsidTr="00F66C76">
        <w:trPr>
          <w:cantSplit/>
          <w:trHeight w:val="433"/>
        </w:trPr>
        <w:tc>
          <w:tcPr>
            <w:tcW w:w="3855" w:type="dxa"/>
          </w:tcPr>
          <w:p w14:paraId="205F0559" w14:textId="20AF46F9" w:rsidR="00145894" w:rsidRPr="001E3B88" w:rsidRDefault="00145894" w:rsidP="00F66C76">
            <w:pPr>
              <w:pStyle w:val="ABATableText"/>
            </w:pPr>
            <w:r w:rsidRPr="001E3B88">
              <w:t>QLD CD 120323</w:t>
            </w:r>
          </w:p>
        </w:tc>
      </w:tr>
      <w:tr w:rsidR="0026390E" w:rsidRPr="00B5386F" w14:paraId="72F91898" w14:textId="77777777" w:rsidTr="00F66C76">
        <w:trPr>
          <w:cantSplit/>
          <w:trHeight w:val="443"/>
        </w:trPr>
        <w:tc>
          <w:tcPr>
            <w:tcW w:w="3855" w:type="dxa"/>
          </w:tcPr>
          <w:p w14:paraId="3697A747" w14:textId="17DA3948" w:rsidR="00145894" w:rsidRPr="001E3B88" w:rsidRDefault="00145894" w:rsidP="00F66C76">
            <w:pPr>
              <w:pStyle w:val="ABATableText"/>
            </w:pPr>
            <w:r w:rsidRPr="001E3B88">
              <w:lastRenderedPageBreak/>
              <w:t>QLD CD 120324</w:t>
            </w:r>
          </w:p>
        </w:tc>
      </w:tr>
      <w:tr w:rsidR="0026390E" w:rsidRPr="00B5386F" w14:paraId="00C98FA3" w14:textId="77777777" w:rsidTr="00F66C76">
        <w:trPr>
          <w:cantSplit/>
          <w:trHeight w:val="433"/>
        </w:trPr>
        <w:tc>
          <w:tcPr>
            <w:tcW w:w="3855" w:type="dxa"/>
          </w:tcPr>
          <w:p w14:paraId="4CB2C201" w14:textId="0FFF40B0" w:rsidR="00145894" w:rsidRPr="001E3B88" w:rsidRDefault="00145894" w:rsidP="00F66C76">
            <w:pPr>
              <w:pStyle w:val="ABATableText"/>
            </w:pPr>
            <w:r w:rsidRPr="001E3B88">
              <w:t>QLD CD 122001</w:t>
            </w:r>
          </w:p>
        </w:tc>
      </w:tr>
      <w:tr w:rsidR="0026390E" w:rsidRPr="00B5386F" w14:paraId="1453A57D" w14:textId="77777777" w:rsidTr="00F66C76">
        <w:trPr>
          <w:cantSplit/>
          <w:trHeight w:val="443"/>
        </w:trPr>
        <w:tc>
          <w:tcPr>
            <w:tcW w:w="3855" w:type="dxa"/>
          </w:tcPr>
          <w:p w14:paraId="0936BF40" w14:textId="399FA69F" w:rsidR="00145894" w:rsidRPr="001E3B88" w:rsidRDefault="00145894" w:rsidP="00F66C76">
            <w:pPr>
              <w:pStyle w:val="ABATableText"/>
            </w:pPr>
            <w:r w:rsidRPr="001E3B88">
              <w:t>QLD CD 122002</w:t>
            </w:r>
          </w:p>
        </w:tc>
      </w:tr>
      <w:tr w:rsidR="0026390E" w:rsidRPr="00B5386F" w14:paraId="32FBB397" w14:textId="77777777" w:rsidTr="00F66C76">
        <w:trPr>
          <w:cantSplit/>
          <w:trHeight w:val="433"/>
        </w:trPr>
        <w:tc>
          <w:tcPr>
            <w:tcW w:w="3855" w:type="dxa"/>
          </w:tcPr>
          <w:p w14:paraId="5BADBB6A" w14:textId="6E244293" w:rsidR="00145894" w:rsidRPr="001E3B88" w:rsidRDefault="00145894" w:rsidP="00F66C76">
            <w:pPr>
              <w:pStyle w:val="ABATableText"/>
            </w:pPr>
            <w:r w:rsidRPr="001E3B88">
              <w:t>QLD CD 122003</w:t>
            </w:r>
          </w:p>
        </w:tc>
      </w:tr>
      <w:tr w:rsidR="0026390E" w:rsidRPr="00B5386F" w14:paraId="17053CBA" w14:textId="77777777" w:rsidTr="00F66C76">
        <w:trPr>
          <w:cantSplit/>
          <w:trHeight w:val="443"/>
        </w:trPr>
        <w:tc>
          <w:tcPr>
            <w:tcW w:w="3855" w:type="dxa"/>
          </w:tcPr>
          <w:p w14:paraId="260B3537" w14:textId="6075D690" w:rsidR="00145894" w:rsidRPr="001E3B88" w:rsidRDefault="00145894" w:rsidP="00F66C76">
            <w:pPr>
              <w:pStyle w:val="ABATableText"/>
            </w:pPr>
            <w:r w:rsidRPr="001E3B88">
              <w:t>QLD CD 122004</w:t>
            </w:r>
          </w:p>
        </w:tc>
      </w:tr>
      <w:tr w:rsidR="0026390E" w:rsidRPr="00B5386F" w14:paraId="44B5163C" w14:textId="77777777" w:rsidTr="00F66C76">
        <w:trPr>
          <w:cantSplit/>
          <w:trHeight w:val="433"/>
        </w:trPr>
        <w:tc>
          <w:tcPr>
            <w:tcW w:w="3855" w:type="dxa"/>
          </w:tcPr>
          <w:p w14:paraId="7A4BB03D" w14:textId="5C0F6FC6" w:rsidR="00145894" w:rsidRPr="001E3B88" w:rsidRDefault="00145894" w:rsidP="00F66C76">
            <w:pPr>
              <w:pStyle w:val="ABATableText"/>
            </w:pPr>
            <w:r w:rsidRPr="001E3B88">
              <w:t>QLD CD 122005</w:t>
            </w:r>
          </w:p>
        </w:tc>
      </w:tr>
      <w:tr w:rsidR="0026390E" w:rsidRPr="00B5386F" w14:paraId="0DDB1372" w14:textId="77777777" w:rsidTr="00F66C76">
        <w:trPr>
          <w:cantSplit/>
          <w:trHeight w:val="443"/>
        </w:trPr>
        <w:tc>
          <w:tcPr>
            <w:tcW w:w="3855" w:type="dxa"/>
          </w:tcPr>
          <w:p w14:paraId="4826A6D5" w14:textId="2039952A" w:rsidR="00145894" w:rsidRPr="001E3B88" w:rsidRDefault="00145894" w:rsidP="00F66C76">
            <w:pPr>
              <w:pStyle w:val="ABATableText"/>
            </w:pPr>
            <w:r w:rsidRPr="001E3B88">
              <w:t>QLD CD 122006</w:t>
            </w:r>
          </w:p>
        </w:tc>
      </w:tr>
      <w:tr w:rsidR="0026390E" w:rsidRPr="00B5386F" w14:paraId="7190E405" w14:textId="77777777" w:rsidTr="00F66C76">
        <w:trPr>
          <w:cantSplit/>
          <w:trHeight w:val="433"/>
        </w:trPr>
        <w:tc>
          <w:tcPr>
            <w:tcW w:w="3855" w:type="dxa"/>
          </w:tcPr>
          <w:p w14:paraId="3FF9E9F3" w14:textId="05CA9AFE" w:rsidR="00145894" w:rsidRPr="001E3B88" w:rsidRDefault="00145894" w:rsidP="00F66C76">
            <w:pPr>
              <w:pStyle w:val="ABATableText"/>
            </w:pPr>
            <w:r w:rsidRPr="001E3B88">
              <w:t>QLD CD 122007</w:t>
            </w:r>
          </w:p>
        </w:tc>
      </w:tr>
      <w:tr w:rsidR="0026390E" w:rsidRPr="00B5386F" w14:paraId="1B9F41D0" w14:textId="77777777" w:rsidTr="00F66C76">
        <w:trPr>
          <w:cantSplit/>
          <w:trHeight w:val="443"/>
        </w:trPr>
        <w:tc>
          <w:tcPr>
            <w:tcW w:w="3855" w:type="dxa"/>
          </w:tcPr>
          <w:p w14:paraId="0A5FE34A" w14:textId="59BA8063" w:rsidR="00145894" w:rsidRPr="001E3B88" w:rsidRDefault="00145894" w:rsidP="00F66C76">
            <w:pPr>
              <w:pStyle w:val="ABATableText"/>
            </w:pPr>
            <w:r w:rsidRPr="001E3B88">
              <w:t>QLD CD 122008</w:t>
            </w:r>
          </w:p>
        </w:tc>
      </w:tr>
      <w:tr w:rsidR="0026390E" w:rsidRPr="00B5386F" w14:paraId="1F489B88" w14:textId="77777777" w:rsidTr="00F66C76">
        <w:trPr>
          <w:cantSplit/>
          <w:trHeight w:val="433"/>
        </w:trPr>
        <w:tc>
          <w:tcPr>
            <w:tcW w:w="3855" w:type="dxa"/>
          </w:tcPr>
          <w:p w14:paraId="584D0F16" w14:textId="2CCF848E" w:rsidR="00DB605A" w:rsidRPr="001E3B88" w:rsidRDefault="00145894" w:rsidP="00F66C76">
            <w:pPr>
              <w:pStyle w:val="ABATableText"/>
            </w:pPr>
            <w:r w:rsidRPr="001E3B88">
              <w:t>QLD CD 122009</w:t>
            </w:r>
          </w:p>
        </w:tc>
      </w:tr>
      <w:tr w:rsidR="0026390E" w:rsidRPr="00B5386F" w14:paraId="233A60A0" w14:textId="77777777" w:rsidTr="00F66C76">
        <w:trPr>
          <w:cantSplit/>
          <w:trHeight w:val="443"/>
        </w:trPr>
        <w:tc>
          <w:tcPr>
            <w:tcW w:w="3855" w:type="dxa"/>
          </w:tcPr>
          <w:p w14:paraId="65C0744B" w14:textId="0A5F3D43" w:rsidR="00145894" w:rsidRPr="001E3B88" w:rsidRDefault="00145894" w:rsidP="00F66C76">
            <w:pPr>
              <w:pStyle w:val="ABATableText"/>
            </w:pPr>
            <w:r w:rsidRPr="001E3B88">
              <w:t>QLD CD 122010</w:t>
            </w:r>
          </w:p>
        </w:tc>
      </w:tr>
      <w:tr w:rsidR="0026390E" w:rsidRPr="00B5386F" w14:paraId="581121F8" w14:textId="77777777" w:rsidTr="00F66C76">
        <w:trPr>
          <w:cantSplit/>
          <w:trHeight w:val="433"/>
        </w:trPr>
        <w:tc>
          <w:tcPr>
            <w:tcW w:w="3855" w:type="dxa"/>
          </w:tcPr>
          <w:p w14:paraId="48DCC227" w14:textId="114BA053" w:rsidR="00145894" w:rsidRPr="001E3B88" w:rsidRDefault="00145894" w:rsidP="00F66C76">
            <w:pPr>
              <w:pStyle w:val="ABATableText"/>
            </w:pPr>
            <w:r w:rsidRPr="001E3B88">
              <w:t>QLD CD 122011</w:t>
            </w:r>
          </w:p>
        </w:tc>
      </w:tr>
      <w:tr w:rsidR="0026390E" w:rsidRPr="00B5386F" w14:paraId="29607E9A" w14:textId="77777777" w:rsidTr="00F66C76">
        <w:trPr>
          <w:cantSplit/>
          <w:trHeight w:val="443"/>
        </w:trPr>
        <w:tc>
          <w:tcPr>
            <w:tcW w:w="3855" w:type="dxa"/>
          </w:tcPr>
          <w:p w14:paraId="7946BA28" w14:textId="7EEF7569" w:rsidR="00145894" w:rsidRPr="001E3B88" w:rsidRDefault="00145894" w:rsidP="00F66C76">
            <w:pPr>
              <w:pStyle w:val="ABATableText"/>
            </w:pPr>
            <w:r w:rsidRPr="001E3B88">
              <w:t>QLD CD 122012</w:t>
            </w:r>
          </w:p>
        </w:tc>
      </w:tr>
      <w:tr w:rsidR="0026390E" w:rsidRPr="00B5386F" w14:paraId="7B57EADF" w14:textId="77777777" w:rsidTr="00F66C76">
        <w:trPr>
          <w:cantSplit/>
          <w:trHeight w:val="433"/>
        </w:trPr>
        <w:tc>
          <w:tcPr>
            <w:tcW w:w="3855" w:type="dxa"/>
          </w:tcPr>
          <w:p w14:paraId="77044F02" w14:textId="0004702F" w:rsidR="00145894" w:rsidRPr="001E3B88" w:rsidRDefault="00145894" w:rsidP="00F66C76">
            <w:pPr>
              <w:pStyle w:val="ABATableText"/>
            </w:pPr>
            <w:r w:rsidRPr="001E3B88">
              <w:t>QLD CD 122013</w:t>
            </w:r>
          </w:p>
        </w:tc>
      </w:tr>
      <w:tr w:rsidR="0026390E" w:rsidRPr="00B5386F" w14:paraId="18A7EDCB" w14:textId="77777777" w:rsidTr="00F66C76">
        <w:trPr>
          <w:cantSplit/>
          <w:trHeight w:val="443"/>
        </w:trPr>
        <w:tc>
          <w:tcPr>
            <w:tcW w:w="3855" w:type="dxa"/>
          </w:tcPr>
          <w:p w14:paraId="3B2F1791" w14:textId="0EBAE089" w:rsidR="00145894" w:rsidRPr="001E3B88" w:rsidRDefault="00145894" w:rsidP="00F66C76">
            <w:pPr>
              <w:pStyle w:val="ABATableText"/>
            </w:pPr>
            <w:r w:rsidRPr="001E3B88">
              <w:t>QLD CD 122014</w:t>
            </w:r>
          </w:p>
        </w:tc>
      </w:tr>
      <w:tr w:rsidR="0026390E" w:rsidRPr="00B5386F" w14:paraId="713A06E8" w14:textId="77777777" w:rsidTr="00F66C76">
        <w:trPr>
          <w:cantSplit/>
          <w:trHeight w:val="433"/>
        </w:trPr>
        <w:tc>
          <w:tcPr>
            <w:tcW w:w="3855" w:type="dxa"/>
          </w:tcPr>
          <w:p w14:paraId="0F37F837" w14:textId="154B9BAE" w:rsidR="00145894" w:rsidRPr="001E3B88" w:rsidRDefault="00145894" w:rsidP="00F66C76">
            <w:pPr>
              <w:pStyle w:val="ABATableText"/>
            </w:pPr>
            <w:r w:rsidRPr="001E3B88">
              <w:t>QLD CD 122015</w:t>
            </w:r>
          </w:p>
        </w:tc>
      </w:tr>
      <w:tr w:rsidR="0026390E" w:rsidRPr="00B5386F" w14:paraId="6FDA03F7" w14:textId="77777777" w:rsidTr="00F66C76">
        <w:trPr>
          <w:cantSplit/>
          <w:trHeight w:val="340"/>
        </w:trPr>
        <w:tc>
          <w:tcPr>
            <w:tcW w:w="3855" w:type="dxa"/>
          </w:tcPr>
          <w:p w14:paraId="3993A2D1" w14:textId="77777777" w:rsidR="00150B2E" w:rsidRPr="00B5386F" w:rsidRDefault="00150B2E" w:rsidP="00F66C76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19D704FB" w14:textId="77777777" w:rsidR="0026390E" w:rsidRPr="0076286E" w:rsidRDefault="0026390E" w:rsidP="00150B2E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68E6DA89" w14:textId="77777777" w:rsidR="00150B2E" w:rsidRPr="0076286E" w:rsidRDefault="00150B2E" w:rsidP="00150B2E">
      <w:pPr>
        <w:pStyle w:val="PlainText"/>
        <w:keepNext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  <w:r w:rsidRPr="0076286E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Note:  </w:t>
      </w:r>
    </w:p>
    <w:p w14:paraId="7B5AB34D" w14:textId="77777777" w:rsidR="00150B2E" w:rsidRPr="0076286E" w:rsidRDefault="00150B2E" w:rsidP="00150B2E">
      <w:pPr>
        <w:pStyle w:val="PlainText"/>
        <w:keepNext/>
        <w:rPr>
          <w:rFonts w:ascii="Times New Roman" w:eastAsia="MS Mincho" w:hAnsi="Times New Roman"/>
          <w:sz w:val="24"/>
          <w:szCs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Standard terminology used by the Australian Bureau of Statistics:  </w:t>
      </w:r>
    </w:p>
    <w:p w14:paraId="619D82A3" w14:textId="77777777" w:rsidR="00150B2E" w:rsidRPr="0076286E" w:rsidRDefault="00150B2E" w:rsidP="00150B2E">
      <w:pPr>
        <w:pStyle w:val="PlainText"/>
        <w:keepNext/>
        <w:rPr>
          <w:rFonts w:ascii="Times New Roman" w:eastAsia="MS Mincho" w:hAnsi="Times New Roman"/>
          <w:sz w:val="24"/>
          <w:szCs w:val="24"/>
        </w:rPr>
      </w:pPr>
    </w:p>
    <w:p w14:paraId="72A9962E" w14:textId="77777777" w:rsidR="00150B2E" w:rsidRPr="0076286E" w:rsidRDefault="00150B2E" w:rsidP="00150B2E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(C)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= 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City </w:t>
      </w:r>
    </w:p>
    <w:p w14:paraId="6EF36349" w14:textId="1005A23D" w:rsidR="00150B2E" w:rsidRDefault="00150B2E" w:rsidP="00150B2E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76286E">
        <w:rPr>
          <w:rFonts w:ascii="Times New Roman" w:eastAsia="MS Mincho" w:hAnsi="Times New Roman"/>
          <w:sz w:val="24"/>
          <w:szCs w:val="24"/>
        </w:rPr>
        <w:t xml:space="preserve">(CD)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=  </w:t>
      </w:r>
      <w:r w:rsidRPr="0076286E">
        <w:rPr>
          <w:rFonts w:ascii="Times New Roman" w:eastAsia="MS Mincho" w:hAnsi="Times New Roman"/>
          <w:sz w:val="24"/>
          <w:szCs w:val="24"/>
        </w:rPr>
        <w:tab/>
        <w:t xml:space="preserve">Collection District </w:t>
      </w:r>
    </w:p>
    <w:p w14:paraId="432DB1B6" w14:textId="7D4B9844" w:rsidR="004B7FA8" w:rsidRDefault="004B7FA8" w:rsidP="00150B2E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(LGA)</w:t>
      </w:r>
      <w:r>
        <w:rPr>
          <w:rFonts w:ascii="Times New Roman" w:eastAsia="MS Mincho" w:hAnsi="Times New Roman"/>
          <w:sz w:val="24"/>
          <w:szCs w:val="24"/>
        </w:rPr>
        <w:tab/>
        <w:t xml:space="preserve">=  </w:t>
      </w:r>
      <w:r>
        <w:rPr>
          <w:rFonts w:ascii="Times New Roman" w:eastAsia="MS Mincho" w:hAnsi="Times New Roman"/>
          <w:sz w:val="24"/>
          <w:szCs w:val="24"/>
        </w:rPr>
        <w:tab/>
        <w:t>Local Government Area</w:t>
      </w:r>
    </w:p>
    <w:p w14:paraId="19DE8122" w14:textId="7078FFAE" w:rsidR="001877CD" w:rsidRDefault="001877CD" w:rsidP="00150B2E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(S) </w:t>
      </w:r>
      <w:r>
        <w:rPr>
          <w:rFonts w:ascii="Times New Roman" w:eastAsia="MS Mincho" w:hAnsi="Times New Roman"/>
          <w:sz w:val="24"/>
          <w:szCs w:val="24"/>
        </w:rPr>
        <w:tab/>
        <w:t xml:space="preserve">=  </w:t>
      </w:r>
      <w:r>
        <w:rPr>
          <w:rFonts w:ascii="Times New Roman" w:eastAsia="MS Mincho" w:hAnsi="Times New Roman"/>
          <w:sz w:val="24"/>
          <w:szCs w:val="24"/>
        </w:rPr>
        <w:tab/>
        <w:t>Shire</w:t>
      </w:r>
    </w:p>
    <w:p w14:paraId="6CF5A9F9" w14:textId="4DE8F344" w:rsidR="001877CD" w:rsidRPr="0076286E" w:rsidRDefault="00F1301A" w:rsidP="00150B2E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(SLA)</w:t>
      </w:r>
      <w:r>
        <w:rPr>
          <w:rFonts w:ascii="Times New Roman" w:eastAsia="MS Mincho" w:hAnsi="Times New Roman"/>
          <w:sz w:val="24"/>
          <w:szCs w:val="24"/>
        </w:rPr>
        <w:tab/>
        <w:t xml:space="preserve">=  </w:t>
      </w:r>
      <w:r>
        <w:rPr>
          <w:rFonts w:ascii="Times New Roman" w:eastAsia="MS Mincho" w:hAnsi="Times New Roman"/>
          <w:sz w:val="24"/>
          <w:szCs w:val="24"/>
        </w:rPr>
        <w:tab/>
        <w:t>Statistical Local Area</w:t>
      </w:r>
      <w:bookmarkEnd w:id="7"/>
    </w:p>
    <w:sectPr w:rsidR="001877CD" w:rsidRPr="0076286E" w:rsidSect="001E3B8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7C1D" w14:textId="77777777" w:rsidR="00504256" w:rsidRDefault="00504256" w:rsidP="0017734A">
      <w:pPr>
        <w:spacing w:after="0" w:line="240" w:lineRule="auto"/>
      </w:pPr>
      <w:r>
        <w:separator/>
      </w:r>
    </w:p>
  </w:endnote>
  <w:endnote w:type="continuationSeparator" w:id="0">
    <w:p w14:paraId="55FB309B" w14:textId="77777777" w:rsidR="00504256" w:rsidRDefault="00504256" w:rsidP="0017734A">
      <w:pPr>
        <w:spacing w:after="0" w:line="240" w:lineRule="auto"/>
      </w:pPr>
      <w:r>
        <w:continuationSeparator/>
      </w:r>
    </w:p>
  </w:endnote>
  <w:endnote w:type="continuationNotice" w:id="1">
    <w:p w14:paraId="70FB3F19" w14:textId="77777777" w:rsidR="0084162D" w:rsidRDefault="00841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E282" w14:textId="61ABFBD8" w:rsidR="004B434A" w:rsidRDefault="004B434A" w:rsidP="004127B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Variation to Licence Area Plan – </w:t>
    </w:r>
    <w:r w:rsidR="00F1301A">
      <w:rPr>
        <w:rFonts w:ascii="Times New Roman" w:hAnsi="Times New Roman" w:cs="Times New Roman"/>
        <w:i/>
        <w:iCs/>
      </w:rPr>
      <w:t>Brisbane</w:t>
    </w:r>
    <w:r>
      <w:rPr>
        <w:rFonts w:ascii="Times New Roman" w:hAnsi="Times New Roman" w:cs="Times New Roman"/>
        <w:i/>
        <w:iCs/>
      </w:rPr>
      <w:t xml:space="preserve"> Radio – 2022 (No. 1)</w:t>
    </w:r>
  </w:p>
  <w:p w14:paraId="0A6763D4" w14:textId="77777777" w:rsidR="004B434A" w:rsidRDefault="004B434A" w:rsidP="004127B6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4</w:t>
    </w:r>
    <w:r w:rsidRPr="00BF4061">
      <w:rPr>
        <w:rFonts w:ascii="Times New Roman" w:hAnsi="Times New Roman" w:cs="Times New Roman"/>
      </w:rPr>
      <w:fldChar w:fldCharType="end"/>
    </w:r>
  </w:p>
  <w:p w14:paraId="3B6D843F" w14:textId="77777777" w:rsidR="004B434A" w:rsidRPr="009C4AB0" w:rsidRDefault="004B434A" w:rsidP="004127B6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38D7" w14:textId="77777777" w:rsidR="00504256" w:rsidRDefault="00504256" w:rsidP="0017734A">
      <w:pPr>
        <w:spacing w:after="0" w:line="240" w:lineRule="auto"/>
      </w:pPr>
      <w:r>
        <w:separator/>
      </w:r>
    </w:p>
  </w:footnote>
  <w:footnote w:type="continuationSeparator" w:id="0">
    <w:p w14:paraId="4CE4FB5D" w14:textId="77777777" w:rsidR="00504256" w:rsidRDefault="00504256" w:rsidP="0017734A">
      <w:pPr>
        <w:spacing w:after="0" w:line="240" w:lineRule="auto"/>
      </w:pPr>
      <w:r>
        <w:continuationSeparator/>
      </w:r>
    </w:p>
  </w:footnote>
  <w:footnote w:type="continuationNotice" w:id="1">
    <w:p w14:paraId="567B8C5A" w14:textId="77777777" w:rsidR="0084162D" w:rsidRDefault="00841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FE97" w14:textId="4E8FB92C" w:rsidR="004B434A" w:rsidRDefault="0049739D">
    <w:pPr>
      <w:pStyle w:val="Header"/>
    </w:pPr>
    <w:r>
      <w:rPr>
        <w:noProof/>
      </w:rPr>
      <w:pict w14:anchorId="172A5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38" o:spid="_x0000_s1039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9062" w14:textId="5DC756E4" w:rsidR="004B434A" w:rsidRDefault="0049739D">
    <w:pPr>
      <w:pStyle w:val="Header"/>
    </w:pPr>
    <w:r>
      <w:rPr>
        <w:noProof/>
      </w:rPr>
      <w:pict w14:anchorId="302D88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39" o:spid="_x0000_s1040" type="#_x0000_t136" style="position:absolute;margin-left:0;margin-top:0;width:424.2pt;height:212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39F0" w14:textId="785F9F00" w:rsidR="004B434A" w:rsidRDefault="0049739D">
    <w:pPr>
      <w:pStyle w:val="Header"/>
    </w:pPr>
    <w:r>
      <w:rPr>
        <w:noProof/>
      </w:rPr>
      <w:pict w14:anchorId="0D8312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37" o:spid="_x0000_s1038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6D3" w14:textId="0F829ED5" w:rsidR="004B434A" w:rsidRDefault="0049739D">
    <w:pPr>
      <w:pStyle w:val="Header"/>
    </w:pPr>
    <w:r>
      <w:rPr>
        <w:noProof/>
      </w:rPr>
      <w:pict w14:anchorId="449B2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1" o:spid="_x0000_s1042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94E0" w14:textId="36161D73" w:rsidR="004B434A" w:rsidRDefault="0049739D" w:rsidP="004127B6">
    <w:pPr>
      <w:pStyle w:val="Header"/>
      <w:pBdr>
        <w:bottom w:val="single" w:sz="4" w:space="1" w:color="auto"/>
      </w:pBdr>
    </w:pPr>
    <w:r>
      <w:rPr>
        <w:noProof/>
      </w:rPr>
      <w:pict w14:anchorId="5979AD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2" o:spid="_x0000_s1043" type="#_x0000_t136" style="position:absolute;margin-left:0;margin-top:0;width:424.2pt;height:212.1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B434A" w:rsidRPr="00F03566">
      <w:rPr>
        <w:rFonts w:ascii="Times New Roman" w:hAnsi="Times New Roman" w:cs="Times New Roman"/>
      </w:rPr>
      <w:t>Section</w:t>
    </w:r>
    <w:r w:rsidR="004B434A">
      <w:rPr>
        <w:rFonts w:ascii="Times New Roman" w:hAnsi="Times New Roman" w:cs="Times New Roman"/>
      </w:rPr>
      <w:t xml:space="preserve"> </w:t>
    </w:r>
    <w:r w:rsidR="004B434A">
      <w:rPr>
        <w:rFonts w:ascii="Times New Roman" w:hAnsi="Times New Roman" w:cs="Times New Roman"/>
      </w:rPr>
      <w:fldChar w:fldCharType="begin"/>
    </w:r>
    <w:r w:rsidR="004B434A">
      <w:rPr>
        <w:rFonts w:ascii="Times New Roman" w:hAnsi="Times New Roman" w:cs="Times New Roman"/>
      </w:rPr>
      <w:instrText xml:space="preserve"> STYLEREF  CharSectno  \* MERGEFORMAT </w:instrText>
    </w:r>
    <w:r w:rsidR="004B434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="004B434A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7B89" w14:textId="7A9F2A8C" w:rsidR="004B434A" w:rsidRDefault="0049739D">
    <w:pPr>
      <w:pStyle w:val="Header"/>
    </w:pPr>
    <w:r>
      <w:rPr>
        <w:noProof/>
      </w:rPr>
      <w:pict w14:anchorId="69EE6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0" o:spid="_x0000_s1041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7AF0" w14:textId="16189AB7" w:rsidR="004B434A" w:rsidRDefault="0049739D">
    <w:pPr>
      <w:pStyle w:val="Header"/>
    </w:pPr>
    <w:r>
      <w:rPr>
        <w:noProof/>
      </w:rPr>
      <w:pict w14:anchorId="0438E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7" o:spid="_x0000_s1048" type="#_x0000_t136" style="position:absolute;margin-left:0;margin-top:0;width:424.2pt;height:212.1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B61" w14:textId="15F49DE3" w:rsidR="00906364" w:rsidRDefault="00906364" w:rsidP="004127B6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</w:rPr>
      <w:t>Schedule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BBA" w14:textId="27267C9D" w:rsidR="004B434A" w:rsidRDefault="0049739D">
    <w:pPr>
      <w:pStyle w:val="Header"/>
    </w:pPr>
    <w:r>
      <w:rPr>
        <w:noProof/>
      </w:rPr>
      <w:pict w14:anchorId="64763D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4946" o:spid="_x0000_s1047" type="#_x0000_t136" style="position:absolute;margin-left:0;margin-top:0;width:424.2pt;height:212.1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07A71"/>
    <w:rsid w:val="00010EAB"/>
    <w:rsid w:val="00011F13"/>
    <w:rsid w:val="00033B39"/>
    <w:rsid w:val="000340E0"/>
    <w:rsid w:val="0005316B"/>
    <w:rsid w:val="00060C67"/>
    <w:rsid w:val="0006339E"/>
    <w:rsid w:val="00063CF9"/>
    <w:rsid w:val="0007191A"/>
    <w:rsid w:val="0008041B"/>
    <w:rsid w:val="00097890"/>
    <w:rsid w:val="000A430B"/>
    <w:rsid w:val="000B3174"/>
    <w:rsid w:val="000B3465"/>
    <w:rsid w:val="000B4E1A"/>
    <w:rsid w:val="000C3E67"/>
    <w:rsid w:val="000C5A8B"/>
    <w:rsid w:val="000C64A1"/>
    <w:rsid w:val="000E5DFF"/>
    <w:rsid w:val="001127E3"/>
    <w:rsid w:val="00121BB9"/>
    <w:rsid w:val="001245CA"/>
    <w:rsid w:val="00130C48"/>
    <w:rsid w:val="00132EEA"/>
    <w:rsid w:val="00145894"/>
    <w:rsid w:val="00150B2E"/>
    <w:rsid w:val="0015399B"/>
    <w:rsid w:val="00155BD3"/>
    <w:rsid w:val="0016159C"/>
    <w:rsid w:val="0017734A"/>
    <w:rsid w:val="001877CD"/>
    <w:rsid w:val="001B3096"/>
    <w:rsid w:val="001C12ED"/>
    <w:rsid w:val="001C1DAB"/>
    <w:rsid w:val="001D7553"/>
    <w:rsid w:val="001E06C4"/>
    <w:rsid w:val="001E3B88"/>
    <w:rsid w:val="00205430"/>
    <w:rsid w:val="002063D8"/>
    <w:rsid w:val="0020657F"/>
    <w:rsid w:val="00222C36"/>
    <w:rsid w:val="0023229F"/>
    <w:rsid w:val="0025587A"/>
    <w:rsid w:val="00257AB3"/>
    <w:rsid w:val="0026390E"/>
    <w:rsid w:val="00265688"/>
    <w:rsid w:val="00272A91"/>
    <w:rsid w:val="00284B90"/>
    <w:rsid w:val="00285196"/>
    <w:rsid w:val="00294523"/>
    <w:rsid w:val="002B5793"/>
    <w:rsid w:val="002B73D8"/>
    <w:rsid w:val="002D2F92"/>
    <w:rsid w:val="002E74B1"/>
    <w:rsid w:val="002F0E3F"/>
    <w:rsid w:val="002F27A4"/>
    <w:rsid w:val="002F2B06"/>
    <w:rsid w:val="0032498C"/>
    <w:rsid w:val="00372DEF"/>
    <w:rsid w:val="003744BC"/>
    <w:rsid w:val="003875B2"/>
    <w:rsid w:val="00390A26"/>
    <w:rsid w:val="00390E52"/>
    <w:rsid w:val="003974E2"/>
    <w:rsid w:val="003A452E"/>
    <w:rsid w:val="003B613D"/>
    <w:rsid w:val="003C44A9"/>
    <w:rsid w:val="003E096F"/>
    <w:rsid w:val="00401088"/>
    <w:rsid w:val="00405F03"/>
    <w:rsid w:val="004127B6"/>
    <w:rsid w:val="004309EA"/>
    <w:rsid w:val="00430A4F"/>
    <w:rsid w:val="004361D9"/>
    <w:rsid w:val="0045320C"/>
    <w:rsid w:val="00460FD9"/>
    <w:rsid w:val="004750C7"/>
    <w:rsid w:val="00486FC1"/>
    <w:rsid w:val="00493F7B"/>
    <w:rsid w:val="0049739D"/>
    <w:rsid w:val="004A5BA5"/>
    <w:rsid w:val="004A671D"/>
    <w:rsid w:val="004B434A"/>
    <w:rsid w:val="004B4823"/>
    <w:rsid w:val="004B7FA8"/>
    <w:rsid w:val="004C240C"/>
    <w:rsid w:val="004D6B79"/>
    <w:rsid w:val="004E15E5"/>
    <w:rsid w:val="004F5D89"/>
    <w:rsid w:val="00504256"/>
    <w:rsid w:val="00545240"/>
    <w:rsid w:val="00550D1A"/>
    <w:rsid w:val="00563F70"/>
    <w:rsid w:val="005653B1"/>
    <w:rsid w:val="00585B9A"/>
    <w:rsid w:val="00590EA1"/>
    <w:rsid w:val="00592025"/>
    <w:rsid w:val="00593D82"/>
    <w:rsid w:val="005957A6"/>
    <w:rsid w:val="005B4AC1"/>
    <w:rsid w:val="005C0097"/>
    <w:rsid w:val="005C12D8"/>
    <w:rsid w:val="005D1B99"/>
    <w:rsid w:val="00612B44"/>
    <w:rsid w:val="00617B2B"/>
    <w:rsid w:val="00625A13"/>
    <w:rsid w:val="006269EF"/>
    <w:rsid w:val="0063425B"/>
    <w:rsid w:val="00646A36"/>
    <w:rsid w:val="00647329"/>
    <w:rsid w:val="0065093E"/>
    <w:rsid w:val="00655723"/>
    <w:rsid w:val="006666FF"/>
    <w:rsid w:val="006907C5"/>
    <w:rsid w:val="006911BE"/>
    <w:rsid w:val="006B0532"/>
    <w:rsid w:val="006C0251"/>
    <w:rsid w:val="006E739C"/>
    <w:rsid w:val="006F5CF2"/>
    <w:rsid w:val="00701847"/>
    <w:rsid w:val="00703828"/>
    <w:rsid w:val="007055D1"/>
    <w:rsid w:val="00721966"/>
    <w:rsid w:val="00733FB0"/>
    <w:rsid w:val="00737AB3"/>
    <w:rsid w:val="0076286E"/>
    <w:rsid w:val="00763A81"/>
    <w:rsid w:val="00775C81"/>
    <w:rsid w:val="00776496"/>
    <w:rsid w:val="007B549E"/>
    <w:rsid w:val="007C04B1"/>
    <w:rsid w:val="00800926"/>
    <w:rsid w:val="0083081F"/>
    <w:rsid w:val="008331B0"/>
    <w:rsid w:val="0084162D"/>
    <w:rsid w:val="00851BF1"/>
    <w:rsid w:val="00877B4A"/>
    <w:rsid w:val="008843D1"/>
    <w:rsid w:val="00892658"/>
    <w:rsid w:val="00892659"/>
    <w:rsid w:val="00896A23"/>
    <w:rsid w:val="00897161"/>
    <w:rsid w:val="008C4314"/>
    <w:rsid w:val="008D642E"/>
    <w:rsid w:val="008E79B3"/>
    <w:rsid w:val="008F29E5"/>
    <w:rsid w:val="00901AA4"/>
    <w:rsid w:val="00904169"/>
    <w:rsid w:val="00906364"/>
    <w:rsid w:val="0091792E"/>
    <w:rsid w:val="00924C87"/>
    <w:rsid w:val="009259E5"/>
    <w:rsid w:val="00935767"/>
    <w:rsid w:val="00957210"/>
    <w:rsid w:val="00987A5F"/>
    <w:rsid w:val="009944FF"/>
    <w:rsid w:val="009C0D6F"/>
    <w:rsid w:val="009C11AA"/>
    <w:rsid w:val="009F134F"/>
    <w:rsid w:val="009F34A0"/>
    <w:rsid w:val="00A04A88"/>
    <w:rsid w:val="00A142D8"/>
    <w:rsid w:val="00A17FF9"/>
    <w:rsid w:val="00A23708"/>
    <w:rsid w:val="00A2632B"/>
    <w:rsid w:val="00A461C9"/>
    <w:rsid w:val="00A533E4"/>
    <w:rsid w:val="00A57402"/>
    <w:rsid w:val="00A6070D"/>
    <w:rsid w:val="00A64C0C"/>
    <w:rsid w:val="00A8726F"/>
    <w:rsid w:val="00A952E8"/>
    <w:rsid w:val="00A95E77"/>
    <w:rsid w:val="00A965A3"/>
    <w:rsid w:val="00A9689F"/>
    <w:rsid w:val="00AA51E2"/>
    <w:rsid w:val="00AA5752"/>
    <w:rsid w:val="00AB185A"/>
    <w:rsid w:val="00AB663C"/>
    <w:rsid w:val="00AC1169"/>
    <w:rsid w:val="00AC38D4"/>
    <w:rsid w:val="00AC7DDC"/>
    <w:rsid w:val="00AD14AA"/>
    <w:rsid w:val="00AD1EEA"/>
    <w:rsid w:val="00AD233D"/>
    <w:rsid w:val="00AE50D5"/>
    <w:rsid w:val="00B07B27"/>
    <w:rsid w:val="00B11F69"/>
    <w:rsid w:val="00B16318"/>
    <w:rsid w:val="00B22FA4"/>
    <w:rsid w:val="00B3360A"/>
    <w:rsid w:val="00B436EF"/>
    <w:rsid w:val="00B5386F"/>
    <w:rsid w:val="00B679C8"/>
    <w:rsid w:val="00B7359B"/>
    <w:rsid w:val="00B777F1"/>
    <w:rsid w:val="00B90F17"/>
    <w:rsid w:val="00B941AB"/>
    <w:rsid w:val="00BA34C5"/>
    <w:rsid w:val="00BB6EF9"/>
    <w:rsid w:val="00BC0E19"/>
    <w:rsid w:val="00BC28BC"/>
    <w:rsid w:val="00BD164B"/>
    <w:rsid w:val="00BD466E"/>
    <w:rsid w:val="00BD68B1"/>
    <w:rsid w:val="00BD77C9"/>
    <w:rsid w:val="00C031A2"/>
    <w:rsid w:val="00C105B0"/>
    <w:rsid w:val="00C20593"/>
    <w:rsid w:val="00C24B82"/>
    <w:rsid w:val="00C32F3A"/>
    <w:rsid w:val="00C350C8"/>
    <w:rsid w:val="00C353D6"/>
    <w:rsid w:val="00C4249D"/>
    <w:rsid w:val="00C43723"/>
    <w:rsid w:val="00C61F9D"/>
    <w:rsid w:val="00C77A83"/>
    <w:rsid w:val="00C80227"/>
    <w:rsid w:val="00C93F30"/>
    <w:rsid w:val="00CB2DFF"/>
    <w:rsid w:val="00CB3712"/>
    <w:rsid w:val="00CB5386"/>
    <w:rsid w:val="00CC64DD"/>
    <w:rsid w:val="00CD4109"/>
    <w:rsid w:val="00CD5290"/>
    <w:rsid w:val="00CE0478"/>
    <w:rsid w:val="00CE0F5E"/>
    <w:rsid w:val="00CE3662"/>
    <w:rsid w:val="00D00EFA"/>
    <w:rsid w:val="00D07F2E"/>
    <w:rsid w:val="00D144E2"/>
    <w:rsid w:val="00D1570B"/>
    <w:rsid w:val="00D242C9"/>
    <w:rsid w:val="00D456AD"/>
    <w:rsid w:val="00D53EC2"/>
    <w:rsid w:val="00D805F8"/>
    <w:rsid w:val="00D971B5"/>
    <w:rsid w:val="00DB3C67"/>
    <w:rsid w:val="00DB605A"/>
    <w:rsid w:val="00DB6C29"/>
    <w:rsid w:val="00DC0D40"/>
    <w:rsid w:val="00DC4C00"/>
    <w:rsid w:val="00DF54BA"/>
    <w:rsid w:val="00DF7B08"/>
    <w:rsid w:val="00E02258"/>
    <w:rsid w:val="00E1191F"/>
    <w:rsid w:val="00E17ED2"/>
    <w:rsid w:val="00E2298B"/>
    <w:rsid w:val="00E257B1"/>
    <w:rsid w:val="00E318F7"/>
    <w:rsid w:val="00E53D9C"/>
    <w:rsid w:val="00E55E75"/>
    <w:rsid w:val="00E62B65"/>
    <w:rsid w:val="00E71C31"/>
    <w:rsid w:val="00E72439"/>
    <w:rsid w:val="00E7332E"/>
    <w:rsid w:val="00E9255C"/>
    <w:rsid w:val="00E9332D"/>
    <w:rsid w:val="00E9552E"/>
    <w:rsid w:val="00EB6AAA"/>
    <w:rsid w:val="00EC54C3"/>
    <w:rsid w:val="00EE2826"/>
    <w:rsid w:val="00EE7A54"/>
    <w:rsid w:val="00EF6088"/>
    <w:rsid w:val="00F03AC3"/>
    <w:rsid w:val="00F1301A"/>
    <w:rsid w:val="00F26DEC"/>
    <w:rsid w:val="00F31EC9"/>
    <w:rsid w:val="00F35BA4"/>
    <w:rsid w:val="00F42EA3"/>
    <w:rsid w:val="00F4594D"/>
    <w:rsid w:val="00F47172"/>
    <w:rsid w:val="00F66C76"/>
    <w:rsid w:val="00F70AF8"/>
    <w:rsid w:val="00F70C7E"/>
    <w:rsid w:val="00F7118F"/>
    <w:rsid w:val="00F77DB5"/>
    <w:rsid w:val="00F856A6"/>
    <w:rsid w:val="00F85ED9"/>
    <w:rsid w:val="00F87CB6"/>
    <w:rsid w:val="00F90642"/>
    <w:rsid w:val="00FB1966"/>
    <w:rsid w:val="00FB1C69"/>
    <w:rsid w:val="00FB59C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390E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0E52"/>
    <w:pPr>
      <w:keepNext/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0E52"/>
    <w:pPr>
      <w:keepNext/>
      <w:spacing w:before="2400" w:after="240" w:line="240" w:lineRule="atLeas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90E52"/>
    <w:pPr>
      <w:keepNext/>
      <w:tabs>
        <w:tab w:val="left" w:pos="1418"/>
        <w:tab w:val="left" w:pos="1985"/>
      </w:tabs>
      <w:spacing w:before="240" w:after="0" w:line="240" w:lineRule="auto"/>
      <w:ind w:left="1985" w:hanging="1985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AHeading2Char">
    <w:name w:val="ABA Heading 2 Char"/>
    <w:basedOn w:val="DefaultParagraphFont"/>
    <w:link w:val="ABAHeading2"/>
    <w:locked/>
    <w:rsid w:val="00401088"/>
    <w:rPr>
      <w:rFonts w:ascii="Arial" w:hAnsi="Arial" w:cs="Arial"/>
      <w:b/>
      <w:sz w:val="28"/>
    </w:rPr>
  </w:style>
  <w:style w:type="paragraph" w:customStyle="1" w:styleId="ABAHeading2">
    <w:name w:val="ABA Heading 2"/>
    <w:next w:val="Normal"/>
    <w:link w:val="ABAHeading2Char"/>
    <w:rsid w:val="00401088"/>
    <w:pPr>
      <w:keepNext/>
      <w:suppressAutoHyphens/>
      <w:spacing w:before="240" w:after="0" w:line="240" w:lineRule="auto"/>
      <w:outlineLvl w:val="2"/>
    </w:pPr>
    <w:rPr>
      <w:rFonts w:ascii="Arial" w:hAnsi="Arial" w:cs="Arial"/>
      <w:b/>
      <w:sz w:val="28"/>
    </w:rPr>
  </w:style>
  <w:style w:type="character" w:customStyle="1" w:styleId="ABAHeading3Char">
    <w:name w:val="ABA Heading 3 Char"/>
    <w:basedOn w:val="DefaultParagraphFont"/>
    <w:link w:val="ABAHeading3"/>
    <w:locked/>
    <w:rsid w:val="00401088"/>
    <w:rPr>
      <w:rFonts w:ascii="Arial" w:hAnsi="Arial" w:cs="Arial"/>
      <w:b/>
      <w:sz w:val="24"/>
    </w:rPr>
  </w:style>
  <w:style w:type="paragraph" w:customStyle="1" w:styleId="ABAHeading3">
    <w:name w:val="ABA Heading 3"/>
    <w:next w:val="Normal"/>
    <w:link w:val="ABAHeading3Char"/>
    <w:rsid w:val="00401088"/>
    <w:pPr>
      <w:keepNext/>
      <w:spacing w:before="120" w:after="0" w:line="240" w:lineRule="auto"/>
    </w:pPr>
    <w:rPr>
      <w:rFonts w:ascii="Arial" w:hAnsi="Arial" w:cs="Arial"/>
      <w:b/>
      <w:sz w:val="24"/>
    </w:rPr>
  </w:style>
  <w:style w:type="paragraph" w:customStyle="1" w:styleId="ABATableText">
    <w:name w:val="ABA Table Text"/>
    <w:autoRedefine/>
    <w:rsid w:val="001E3B88"/>
    <w:pPr>
      <w:spacing w:before="40" w:after="4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AHeading4">
    <w:name w:val="ABA Heading 4"/>
    <w:next w:val="Normal"/>
    <w:rsid w:val="00401088"/>
    <w:pPr>
      <w:keepNext/>
      <w:suppressAutoHyphens/>
      <w:spacing w:before="80"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TableHeading">
    <w:name w:val="ABA Table Heading"/>
    <w:rsid w:val="00401088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90E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90E5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90E5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90E5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sonormal0">
    <w:name w:val="msonormal"/>
    <w:basedOn w:val="Normal"/>
    <w:rsid w:val="0039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90E52"/>
    <w:pPr>
      <w:spacing w:before="1320" w:after="240" w:line="240" w:lineRule="atLeast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Title">
    <w:name w:val="Title"/>
    <w:basedOn w:val="Normal"/>
    <w:link w:val="TitleChar"/>
    <w:qFormat/>
    <w:rsid w:val="00390E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90E52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semiHidden/>
    <w:unhideWhenUsed/>
    <w:rsid w:val="00390E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90E5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390E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90E52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uiPriority w:val="99"/>
    <w:semiHidden/>
    <w:rsid w:val="00390E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ABodyTextChar">
    <w:name w:val="ABA Body Text Char"/>
    <w:basedOn w:val="DefaultParagraphFont"/>
    <w:link w:val="ABABodyText"/>
    <w:locked/>
    <w:rsid w:val="00390E52"/>
    <w:rPr>
      <w:sz w:val="24"/>
    </w:rPr>
  </w:style>
  <w:style w:type="paragraph" w:customStyle="1" w:styleId="ABABodyText">
    <w:name w:val="ABA Body Text"/>
    <w:link w:val="ABABodyTextChar"/>
    <w:rsid w:val="00390E52"/>
    <w:pPr>
      <w:suppressAutoHyphens/>
      <w:snapToGrid w:val="0"/>
      <w:spacing w:before="80" w:after="120" w:line="28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2022-02-14T22:16:00Z</dcterms:created>
  <dcterms:modified xsi:type="dcterms:W3CDTF">2022-02-14T22:16:00Z</dcterms:modified>
</cp:coreProperties>
</file>