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5FD04" w14:textId="1BB03CF5" w:rsidR="00F06E14" w:rsidRPr="00A51D1A" w:rsidRDefault="008828A5" w:rsidP="00A51D1A">
      <w:pPr>
        <w:pStyle w:val="ACMAReportTitle"/>
      </w:pPr>
      <w:r>
        <w:t xml:space="preserve">Proposed </w:t>
      </w:r>
      <w:r w:rsidR="00345BD9">
        <w:t>area-wide</w:t>
      </w:r>
      <w:r w:rsidR="00FA5A0B">
        <w:t xml:space="preserve"> apparatus licence</w:t>
      </w:r>
    </w:p>
    <w:p w14:paraId="6EA83E05" w14:textId="77777777" w:rsidR="00F06E14" w:rsidRDefault="00D9108C" w:rsidP="00F06E14">
      <w:pPr>
        <w:pStyle w:val="ACMAReportSubTitle"/>
      </w:pPr>
      <w:r>
        <w:t>Consultation paper</w:t>
      </w:r>
    </w:p>
    <w:p w14:paraId="3FF49148" w14:textId="4E36F697" w:rsidR="00C97736" w:rsidRPr="00AA6D75" w:rsidRDefault="006F3E4D" w:rsidP="00AA6D75">
      <w:pPr>
        <w:pStyle w:val="ACMAReportDate"/>
        <w:spacing w:after="720"/>
      </w:pPr>
      <w:r w:rsidRPr="00533A2C">
        <w:t>June</w:t>
      </w:r>
      <w:r>
        <w:t xml:space="preserve"> </w:t>
      </w:r>
      <w:r w:rsidR="006E2DDD">
        <w:t>2019</w:t>
      </w:r>
    </w:p>
    <w:p w14:paraId="247654D2" w14:textId="77777777" w:rsidR="00C97736" w:rsidRPr="000D76E0" w:rsidRDefault="00C97736" w:rsidP="0041071D">
      <w:pPr>
        <w:rPr>
          <w:rFonts w:cs="Arial"/>
        </w:rPr>
        <w:sectPr w:rsidR="00C97736" w:rsidRPr="000D76E0" w:rsidSect="004F556E">
          <w:headerReference w:type="default" r:id="rId8"/>
          <w:footerReference w:type="default" r:id="rId9"/>
          <w:headerReference w:type="first" r:id="rId10"/>
          <w:pgSz w:w="11906" w:h="16838" w:code="9"/>
          <w:pgMar w:top="3924" w:right="1797" w:bottom="1440" w:left="1134" w:header="709" w:footer="454" w:gutter="0"/>
          <w:cols w:space="708"/>
          <w:docGrid w:linePitch="360"/>
        </w:sectPr>
      </w:pPr>
    </w:p>
    <w:p w14:paraId="6AA0B1B6" w14:textId="77777777" w:rsidR="0005011A" w:rsidRPr="00F44F3A" w:rsidRDefault="0005011A" w:rsidP="00FC07B9">
      <w:pPr>
        <w:pStyle w:val="ACMACorporateAddressHeader"/>
      </w:pPr>
      <w:r w:rsidRPr="00F44F3A">
        <w:lastRenderedPageBreak/>
        <w:t>Canberra</w:t>
      </w:r>
    </w:p>
    <w:p w14:paraId="31CE8084"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A2502EC" w14:textId="77777777" w:rsidR="0005011A" w:rsidRPr="00FC07B9" w:rsidRDefault="0005011A" w:rsidP="00FC07B9">
      <w:pPr>
        <w:pStyle w:val="ACMACorporateAddresses"/>
      </w:pPr>
      <w:r w:rsidRPr="00FC07B9">
        <w:t>PO Box 78</w:t>
      </w:r>
      <w:r w:rsidRPr="00FC07B9">
        <w:br/>
        <w:t>Belconnen ACT 2616</w:t>
      </w:r>
    </w:p>
    <w:p w14:paraId="58EDEFB3"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B11894F" w14:textId="77777777" w:rsidR="0005011A" w:rsidRPr="00F44F3A" w:rsidRDefault="0005011A" w:rsidP="00FC07B9">
      <w:pPr>
        <w:pStyle w:val="ACMACorporateAddressHeader"/>
      </w:pPr>
      <w:r w:rsidRPr="00F44F3A">
        <w:t>Melbourne</w:t>
      </w:r>
    </w:p>
    <w:p w14:paraId="2ACD6907"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2542F667"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14F3A47D"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61FA056F" w14:textId="77777777" w:rsidR="0005011A" w:rsidRPr="00F44F3A" w:rsidRDefault="0005011A" w:rsidP="00FC07B9">
      <w:pPr>
        <w:pStyle w:val="ACMACorporateAddressHeader"/>
      </w:pPr>
      <w:r w:rsidRPr="00F44F3A">
        <w:t>Sydney</w:t>
      </w:r>
    </w:p>
    <w:p w14:paraId="4FAF4BBD"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12F97864"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078C48EE"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BD69992" w14:textId="77777777" w:rsidR="00140318" w:rsidRPr="006D46E5" w:rsidRDefault="00140318" w:rsidP="00FC07B9">
      <w:pPr>
        <w:pStyle w:val="ACMACopyrightHeader"/>
      </w:pPr>
      <w:r w:rsidRPr="00140318">
        <w:t>Copyright notice</w:t>
      </w:r>
    </w:p>
    <w:p w14:paraId="62CE37F9" w14:textId="77777777" w:rsidR="00140318" w:rsidRPr="006D46E5" w:rsidRDefault="00623FF9" w:rsidP="00623FF9">
      <w:pPr>
        <w:pStyle w:val="ACMACClogo"/>
      </w:pPr>
      <w:r w:rsidRPr="00623FF9">
        <w:rPr>
          <w:noProof/>
        </w:rPr>
        <w:drawing>
          <wp:inline distT="0" distB="0" distL="0" distR="0" wp14:anchorId="4ECA65BA" wp14:editId="45AD6AEF">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1C4645AB" w14:textId="77777777" w:rsidR="00AA2DE5" w:rsidRDefault="00790B37" w:rsidP="00AA2DE5">
      <w:pPr>
        <w:pStyle w:val="ACMACorporateAddresses"/>
        <w:rPr>
          <w:rStyle w:val="Hyperlink"/>
        </w:rPr>
      </w:pPr>
      <w:hyperlink r:id="rId13" w:history="1">
        <w:r w:rsidR="00AA2DE5">
          <w:rPr>
            <w:rStyle w:val="Hyperlink"/>
          </w:rPr>
          <w:t>https://creativecommons.org/licenses/by/4.0/</w:t>
        </w:r>
      </w:hyperlink>
    </w:p>
    <w:p w14:paraId="4EEB6E69"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38F7A250" w14:textId="77777777" w:rsidR="00AA2DE5" w:rsidRDefault="00AA2DE5" w:rsidP="00AA2DE5">
      <w:pPr>
        <w:pStyle w:val="ACMACorporateAddresses"/>
      </w:pPr>
      <w:r>
        <w:t>We request attribution as © Commonwealth of Australia (Australian Communications and Media Authority) 201</w:t>
      </w:r>
      <w:r w:rsidR="000245E5">
        <w:t>9</w:t>
      </w:r>
      <w:r>
        <w:t>.</w:t>
      </w:r>
    </w:p>
    <w:p w14:paraId="0F1AADAF" w14:textId="77777777" w:rsidR="00AA2DE5" w:rsidRDefault="00AA2DE5" w:rsidP="00AA2DE5">
      <w:pPr>
        <w:pStyle w:val="ACMACorporateAddresses"/>
      </w:pPr>
      <w:r>
        <w:t>All other rights are reserved.</w:t>
      </w:r>
    </w:p>
    <w:p w14:paraId="0D85C527"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FE933F2" w14:textId="77777777" w:rsidR="00AA2DE5" w:rsidRDefault="00AA2DE5" w:rsidP="00AA2DE5">
      <w:pPr>
        <w:pStyle w:val="ACMACorporateAddresses"/>
      </w:pPr>
      <w:r>
        <w:t>Written enquiries may be sent to:</w:t>
      </w:r>
    </w:p>
    <w:p w14:paraId="107AAF65"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4DA77F6C" w14:textId="77777777" w:rsidR="00D16FE3" w:rsidRDefault="00D16FE3" w:rsidP="00D16FE3">
      <w:pPr>
        <w:pStyle w:val="ACMACorporateAddresses"/>
        <w:rPr>
          <w:rStyle w:val="Hyperlink"/>
        </w:rPr>
      </w:pPr>
    </w:p>
    <w:p w14:paraId="2DD021E2"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DD72954" w14:textId="5B09C524" w:rsidR="00F74DA3" w:rsidRDefault="007A6CC0">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"1-3" \t "ACMA_ExecSummaryHeading,1" </w:instrText>
      </w:r>
      <w:r>
        <w:rPr>
          <w:rFonts w:cs="Arial"/>
          <w:b w:val="0"/>
        </w:rPr>
        <w:fldChar w:fldCharType="separate"/>
      </w:r>
      <w:r w:rsidR="00F74DA3">
        <w:t>Executive summary</w:t>
      </w:r>
      <w:r w:rsidR="00F74DA3">
        <w:tab/>
      </w:r>
      <w:r w:rsidR="00F74DA3">
        <w:fldChar w:fldCharType="begin"/>
      </w:r>
      <w:r w:rsidR="00F74DA3">
        <w:instrText xml:space="preserve"> PAGEREF _Toc11308292 \h </w:instrText>
      </w:r>
      <w:r w:rsidR="00F74DA3">
        <w:fldChar w:fldCharType="separate"/>
      </w:r>
      <w:r w:rsidR="00F74DA3">
        <w:t>1</w:t>
      </w:r>
      <w:r w:rsidR="00F74DA3">
        <w:fldChar w:fldCharType="end"/>
      </w:r>
    </w:p>
    <w:p w14:paraId="425984EF" w14:textId="2A40F786" w:rsidR="00F74DA3" w:rsidRDefault="00F74DA3">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_Toc11308293 \h </w:instrText>
      </w:r>
      <w:r>
        <w:fldChar w:fldCharType="separate"/>
      </w:r>
      <w:r>
        <w:t>2</w:t>
      </w:r>
      <w:r>
        <w:fldChar w:fldCharType="end"/>
      </w:r>
    </w:p>
    <w:p w14:paraId="7F4DA3C1" w14:textId="3238BEE1" w:rsidR="00F74DA3" w:rsidRDefault="00F74DA3">
      <w:pPr>
        <w:pStyle w:val="TOC1"/>
        <w:rPr>
          <w:rFonts w:asciiTheme="minorHAnsi" w:eastAsiaTheme="minorEastAsia" w:hAnsiTheme="minorHAnsi" w:cstheme="minorBidi"/>
          <w:b w:val="0"/>
          <w:spacing w:val="0"/>
          <w:sz w:val="22"/>
          <w:szCs w:val="22"/>
        </w:rPr>
      </w:pPr>
      <w:r>
        <w:t>Background</w:t>
      </w:r>
      <w:r>
        <w:tab/>
      </w:r>
      <w:r>
        <w:fldChar w:fldCharType="begin"/>
      </w:r>
      <w:r>
        <w:instrText xml:space="preserve"> PAGEREF _Toc11308294 \h </w:instrText>
      </w:r>
      <w:r>
        <w:fldChar w:fldCharType="separate"/>
      </w:r>
      <w:r>
        <w:t>3</w:t>
      </w:r>
      <w:r>
        <w:fldChar w:fldCharType="end"/>
      </w:r>
    </w:p>
    <w:p w14:paraId="609028A2" w14:textId="5D113CE7" w:rsidR="00F74DA3" w:rsidRDefault="00F74DA3">
      <w:pPr>
        <w:pStyle w:val="TOC2"/>
        <w:rPr>
          <w:rFonts w:asciiTheme="minorHAnsi" w:eastAsiaTheme="minorEastAsia" w:hAnsiTheme="minorHAnsi" w:cstheme="minorBidi"/>
          <w:spacing w:val="0"/>
          <w:sz w:val="22"/>
          <w:szCs w:val="22"/>
        </w:rPr>
      </w:pPr>
      <w:r>
        <w:t>Apparatus licensing framework</w:t>
      </w:r>
      <w:r>
        <w:tab/>
      </w:r>
      <w:r>
        <w:fldChar w:fldCharType="begin"/>
      </w:r>
      <w:r>
        <w:instrText xml:space="preserve"> PAGEREF _Toc11308295 \h </w:instrText>
      </w:r>
      <w:r>
        <w:fldChar w:fldCharType="separate"/>
      </w:r>
      <w:r>
        <w:t>3</w:t>
      </w:r>
      <w:r>
        <w:fldChar w:fldCharType="end"/>
      </w:r>
    </w:p>
    <w:p w14:paraId="1573C311" w14:textId="73633B6B" w:rsidR="00F74DA3" w:rsidRDefault="00F74DA3">
      <w:pPr>
        <w:pStyle w:val="TOC3"/>
        <w:rPr>
          <w:rFonts w:asciiTheme="minorHAnsi" w:eastAsiaTheme="minorEastAsia" w:hAnsiTheme="minorHAnsi" w:cstheme="minorBidi"/>
        </w:rPr>
      </w:pPr>
      <w:r>
        <w:t>Apparatus licence types</w:t>
      </w:r>
      <w:r>
        <w:tab/>
      </w:r>
      <w:r>
        <w:fldChar w:fldCharType="begin"/>
      </w:r>
      <w:r>
        <w:instrText xml:space="preserve"> PAGEREF _Toc11308296 \h </w:instrText>
      </w:r>
      <w:r>
        <w:fldChar w:fldCharType="separate"/>
      </w:r>
      <w:r>
        <w:t>3</w:t>
      </w:r>
      <w:r>
        <w:fldChar w:fldCharType="end"/>
      </w:r>
    </w:p>
    <w:p w14:paraId="150F3274" w14:textId="045E9273" w:rsidR="00F74DA3" w:rsidRDefault="00F74DA3">
      <w:pPr>
        <w:pStyle w:val="TOC3"/>
        <w:rPr>
          <w:rFonts w:asciiTheme="minorHAnsi" w:eastAsiaTheme="minorEastAsia" w:hAnsiTheme="minorHAnsi" w:cstheme="minorBidi"/>
        </w:rPr>
      </w:pPr>
      <w:r>
        <w:t>Licence conditions</w:t>
      </w:r>
      <w:r>
        <w:tab/>
      </w:r>
      <w:r>
        <w:fldChar w:fldCharType="begin"/>
      </w:r>
      <w:r>
        <w:instrText xml:space="preserve"> PAGEREF _Toc11308297 \h </w:instrText>
      </w:r>
      <w:r>
        <w:fldChar w:fldCharType="separate"/>
      </w:r>
      <w:r>
        <w:t>3</w:t>
      </w:r>
      <w:r>
        <w:fldChar w:fldCharType="end"/>
      </w:r>
    </w:p>
    <w:p w14:paraId="030F465D" w14:textId="5A07D081" w:rsidR="00F74DA3" w:rsidRDefault="00F74DA3">
      <w:pPr>
        <w:pStyle w:val="TOC3"/>
        <w:rPr>
          <w:rFonts w:asciiTheme="minorHAnsi" w:eastAsiaTheme="minorEastAsia" w:hAnsiTheme="minorHAnsi" w:cstheme="minorBidi"/>
        </w:rPr>
      </w:pPr>
      <w:r>
        <w:t>Register of Radiocommunications Licences</w:t>
      </w:r>
      <w:r>
        <w:tab/>
      </w:r>
      <w:r>
        <w:fldChar w:fldCharType="begin"/>
      </w:r>
      <w:r>
        <w:instrText xml:space="preserve"> PAGEREF _Toc11308298 \h </w:instrText>
      </w:r>
      <w:r>
        <w:fldChar w:fldCharType="separate"/>
      </w:r>
      <w:r>
        <w:t>4</w:t>
      </w:r>
      <w:r>
        <w:fldChar w:fldCharType="end"/>
      </w:r>
    </w:p>
    <w:p w14:paraId="7C0B166D" w14:textId="032AEC37" w:rsidR="00F74DA3" w:rsidRDefault="00F74DA3">
      <w:pPr>
        <w:pStyle w:val="TOC3"/>
        <w:rPr>
          <w:rFonts w:asciiTheme="minorHAnsi" w:eastAsiaTheme="minorEastAsia" w:hAnsiTheme="minorHAnsi" w:cstheme="minorBidi"/>
        </w:rPr>
      </w:pPr>
      <w:r>
        <w:t>Technical planning documents</w:t>
      </w:r>
      <w:r>
        <w:tab/>
      </w:r>
      <w:r>
        <w:fldChar w:fldCharType="begin"/>
      </w:r>
      <w:r>
        <w:instrText xml:space="preserve"> PAGEREF _Toc11308299 \h </w:instrText>
      </w:r>
      <w:r>
        <w:fldChar w:fldCharType="separate"/>
      </w:r>
      <w:r>
        <w:t>4</w:t>
      </w:r>
      <w:r>
        <w:fldChar w:fldCharType="end"/>
      </w:r>
    </w:p>
    <w:p w14:paraId="50686017" w14:textId="0BB4F820" w:rsidR="00F74DA3" w:rsidRDefault="00F74DA3">
      <w:pPr>
        <w:pStyle w:val="TOC3"/>
        <w:rPr>
          <w:rFonts w:asciiTheme="minorHAnsi" w:eastAsiaTheme="minorEastAsia" w:hAnsiTheme="minorHAnsi" w:cstheme="minorBidi"/>
        </w:rPr>
      </w:pPr>
      <w:r>
        <w:t>Allocation, charges and taxation</w:t>
      </w:r>
      <w:r>
        <w:tab/>
      </w:r>
      <w:r>
        <w:fldChar w:fldCharType="begin"/>
      </w:r>
      <w:r>
        <w:instrText xml:space="preserve"> PAGEREF _Toc11308300 \h </w:instrText>
      </w:r>
      <w:r>
        <w:fldChar w:fldCharType="separate"/>
      </w:r>
      <w:r>
        <w:t>4</w:t>
      </w:r>
      <w:r>
        <w:fldChar w:fldCharType="end"/>
      </w:r>
    </w:p>
    <w:p w14:paraId="4F3B32F0" w14:textId="51F85C6F" w:rsidR="00F74DA3" w:rsidRDefault="00F74DA3">
      <w:pPr>
        <w:pStyle w:val="TOC1"/>
        <w:rPr>
          <w:rFonts w:asciiTheme="minorHAnsi" w:eastAsiaTheme="minorEastAsia" w:hAnsiTheme="minorHAnsi" w:cstheme="minorBidi"/>
          <w:b w:val="0"/>
          <w:spacing w:val="0"/>
          <w:sz w:val="22"/>
          <w:szCs w:val="22"/>
        </w:rPr>
      </w:pPr>
      <w:r>
        <w:t>Discussion</w:t>
      </w:r>
      <w:r>
        <w:tab/>
      </w:r>
      <w:r>
        <w:fldChar w:fldCharType="begin"/>
      </w:r>
      <w:r>
        <w:instrText xml:space="preserve"> PAGEREF _Toc11308301 \h </w:instrText>
      </w:r>
      <w:r>
        <w:fldChar w:fldCharType="separate"/>
      </w:r>
      <w:r>
        <w:t>6</w:t>
      </w:r>
      <w:r>
        <w:fldChar w:fldCharType="end"/>
      </w:r>
    </w:p>
    <w:p w14:paraId="2D1E0033" w14:textId="4BA9D582" w:rsidR="00F74DA3" w:rsidRDefault="00F74DA3">
      <w:pPr>
        <w:pStyle w:val="TOC2"/>
        <w:rPr>
          <w:rFonts w:asciiTheme="minorHAnsi" w:eastAsiaTheme="minorEastAsia" w:hAnsiTheme="minorHAnsi" w:cstheme="minorBidi"/>
          <w:spacing w:val="0"/>
          <w:sz w:val="22"/>
          <w:szCs w:val="22"/>
        </w:rPr>
      </w:pPr>
      <w:r>
        <w:t>The area-wide apparatus licence concept</w:t>
      </w:r>
      <w:r>
        <w:tab/>
      </w:r>
      <w:r>
        <w:fldChar w:fldCharType="begin"/>
      </w:r>
      <w:r>
        <w:instrText xml:space="preserve"> PAGEREF _Toc11308302 \h </w:instrText>
      </w:r>
      <w:r>
        <w:fldChar w:fldCharType="separate"/>
      </w:r>
      <w:r>
        <w:t>6</w:t>
      </w:r>
      <w:r>
        <w:fldChar w:fldCharType="end"/>
      </w:r>
    </w:p>
    <w:p w14:paraId="72FA644A" w14:textId="2C8EE476" w:rsidR="00F74DA3" w:rsidRDefault="00F74DA3">
      <w:pPr>
        <w:pStyle w:val="TOC3"/>
        <w:rPr>
          <w:rFonts w:asciiTheme="minorHAnsi" w:eastAsiaTheme="minorEastAsia" w:hAnsiTheme="minorHAnsi" w:cstheme="minorBidi"/>
        </w:rPr>
      </w:pPr>
      <w:r>
        <w:t>Application to specific bands</w:t>
      </w:r>
      <w:r>
        <w:tab/>
      </w:r>
      <w:r>
        <w:fldChar w:fldCharType="begin"/>
      </w:r>
      <w:r>
        <w:instrText xml:space="preserve"> PAGEREF _Toc11308303 \h </w:instrText>
      </w:r>
      <w:r>
        <w:fldChar w:fldCharType="separate"/>
      </w:r>
      <w:r>
        <w:t>8</w:t>
      </w:r>
      <w:r>
        <w:fldChar w:fldCharType="end"/>
      </w:r>
    </w:p>
    <w:p w14:paraId="0AE65AD4" w14:textId="12E4471E" w:rsidR="00F74DA3" w:rsidRDefault="00F74DA3">
      <w:pPr>
        <w:pStyle w:val="TOC3"/>
        <w:rPr>
          <w:rFonts w:asciiTheme="minorHAnsi" w:eastAsiaTheme="minorEastAsia" w:hAnsiTheme="minorHAnsi" w:cstheme="minorBidi"/>
        </w:rPr>
      </w:pPr>
      <w:r w:rsidRPr="00CB59D8">
        <w:t>Licence</w:t>
      </w:r>
      <w:r>
        <w:t xml:space="preserve"> conditions and technical planning</w:t>
      </w:r>
      <w:r>
        <w:tab/>
      </w:r>
      <w:r>
        <w:fldChar w:fldCharType="begin"/>
      </w:r>
      <w:r>
        <w:instrText xml:space="preserve"> PAGEREF _Toc11308304 \h </w:instrText>
      </w:r>
      <w:r>
        <w:fldChar w:fldCharType="separate"/>
      </w:r>
      <w:r>
        <w:t>8</w:t>
      </w:r>
      <w:r>
        <w:fldChar w:fldCharType="end"/>
      </w:r>
    </w:p>
    <w:p w14:paraId="423738E1" w14:textId="0EAA4A15" w:rsidR="00F74DA3" w:rsidRDefault="00F74DA3">
      <w:pPr>
        <w:pStyle w:val="TOC3"/>
        <w:rPr>
          <w:rFonts w:asciiTheme="minorHAnsi" w:eastAsiaTheme="minorEastAsia" w:hAnsiTheme="minorHAnsi" w:cstheme="minorBidi"/>
        </w:rPr>
      </w:pPr>
      <w:r w:rsidRPr="00CB59D8">
        <w:t>Device</w:t>
      </w:r>
      <w:r>
        <w:t xml:space="preserve"> coordination and registration</w:t>
      </w:r>
      <w:r>
        <w:tab/>
      </w:r>
      <w:r>
        <w:fldChar w:fldCharType="begin"/>
      </w:r>
      <w:r>
        <w:instrText xml:space="preserve"> PAGEREF _Toc11308305 \h </w:instrText>
      </w:r>
      <w:r>
        <w:fldChar w:fldCharType="separate"/>
      </w:r>
      <w:r>
        <w:t>9</w:t>
      </w:r>
      <w:r>
        <w:fldChar w:fldCharType="end"/>
      </w:r>
    </w:p>
    <w:p w14:paraId="5B8DDC9D" w14:textId="04883EE2" w:rsidR="00F74DA3" w:rsidRDefault="00F74DA3">
      <w:pPr>
        <w:pStyle w:val="TOC3"/>
        <w:rPr>
          <w:rFonts w:asciiTheme="minorHAnsi" w:eastAsiaTheme="minorEastAsia" w:hAnsiTheme="minorHAnsi" w:cstheme="minorBidi"/>
        </w:rPr>
      </w:pPr>
      <w:r>
        <w:t>Pricing and licence issue process</w:t>
      </w:r>
      <w:r>
        <w:tab/>
      </w:r>
      <w:r>
        <w:fldChar w:fldCharType="begin"/>
      </w:r>
      <w:r>
        <w:instrText xml:space="preserve"> PAGEREF _Toc11308306 \h </w:instrText>
      </w:r>
      <w:r>
        <w:fldChar w:fldCharType="separate"/>
      </w:r>
      <w:r>
        <w:t>9</w:t>
      </w:r>
      <w:r>
        <w:fldChar w:fldCharType="end"/>
      </w:r>
    </w:p>
    <w:p w14:paraId="6C555ACF" w14:textId="11DE0D2C" w:rsidR="00F74DA3" w:rsidRDefault="00F74DA3">
      <w:pPr>
        <w:pStyle w:val="TOC1"/>
        <w:rPr>
          <w:rFonts w:asciiTheme="minorHAnsi" w:eastAsiaTheme="minorEastAsia" w:hAnsiTheme="minorHAnsi" w:cstheme="minorBidi"/>
          <w:b w:val="0"/>
          <w:spacing w:val="0"/>
          <w:sz w:val="22"/>
          <w:szCs w:val="22"/>
        </w:rPr>
      </w:pPr>
      <w:r>
        <w:t>Proposed amendments to the apparatus licensing framework</w:t>
      </w:r>
      <w:r>
        <w:tab/>
      </w:r>
      <w:r>
        <w:fldChar w:fldCharType="begin"/>
      </w:r>
      <w:r>
        <w:instrText xml:space="preserve"> PAGEREF _Toc11308307 \h </w:instrText>
      </w:r>
      <w:r>
        <w:fldChar w:fldCharType="separate"/>
      </w:r>
      <w:r>
        <w:t>11</w:t>
      </w:r>
      <w:r>
        <w:fldChar w:fldCharType="end"/>
      </w:r>
    </w:p>
    <w:p w14:paraId="2189A6FF" w14:textId="26D4C0E3" w:rsidR="00F74DA3" w:rsidRDefault="00F74DA3" w:rsidP="00234403">
      <w:pPr>
        <w:pStyle w:val="TOC2"/>
        <w:ind w:left="0" w:firstLine="0"/>
        <w:rPr>
          <w:rFonts w:asciiTheme="minorHAnsi" w:eastAsiaTheme="minorEastAsia" w:hAnsiTheme="minorHAnsi" w:cstheme="minorBidi"/>
          <w:spacing w:val="0"/>
          <w:sz w:val="22"/>
          <w:szCs w:val="22"/>
        </w:rPr>
      </w:pPr>
      <w:r>
        <w:t xml:space="preserve">Draft Radiocommunications Legislation (2019 Measures No. 1) </w:t>
      </w:r>
      <w:r>
        <w:br/>
        <w:t>Instrument 2019</w:t>
      </w:r>
      <w:r>
        <w:tab/>
      </w:r>
      <w:r>
        <w:fldChar w:fldCharType="begin"/>
      </w:r>
      <w:r>
        <w:instrText xml:space="preserve"> PAGEREF _Toc11308308 \h </w:instrText>
      </w:r>
      <w:r>
        <w:fldChar w:fldCharType="separate"/>
      </w:r>
      <w:r>
        <w:t>11</w:t>
      </w:r>
      <w:r>
        <w:fldChar w:fldCharType="end"/>
      </w:r>
    </w:p>
    <w:p w14:paraId="38D8386A" w14:textId="754C4CD6" w:rsidR="00F74DA3" w:rsidRDefault="00F74DA3">
      <w:pPr>
        <w:pStyle w:val="TOC3"/>
        <w:rPr>
          <w:rFonts w:asciiTheme="minorHAnsi" w:eastAsiaTheme="minorEastAsia" w:hAnsiTheme="minorHAnsi" w:cstheme="minorBidi"/>
        </w:rPr>
      </w:pPr>
      <w:r>
        <w:t>Radiocommunications (Specified Radiocommunications Receivers and Types of Transmitter Licences and Receiver Licences) Determination 2014</w:t>
      </w:r>
      <w:r>
        <w:tab/>
      </w:r>
      <w:r>
        <w:fldChar w:fldCharType="begin"/>
      </w:r>
      <w:r>
        <w:instrText xml:space="preserve"> PAGEREF _Toc11308309 \h </w:instrText>
      </w:r>
      <w:r>
        <w:fldChar w:fldCharType="separate"/>
      </w:r>
      <w:r>
        <w:t>11</w:t>
      </w:r>
      <w:r>
        <w:fldChar w:fldCharType="end"/>
      </w:r>
    </w:p>
    <w:p w14:paraId="59F901B0" w14:textId="39A74B15" w:rsidR="00F74DA3" w:rsidRDefault="00F74DA3">
      <w:pPr>
        <w:pStyle w:val="TOC3"/>
        <w:rPr>
          <w:rFonts w:asciiTheme="minorHAnsi" w:eastAsiaTheme="minorEastAsia" w:hAnsiTheme="minorHAnsi" w:cstheme="minorBidi"/>
        </w:rPr>
      </w:pPr>
      <w:r>
        <w:t>Radiocommunications (Interpretation) Determination 2015</w:t>
      </w:r>
      <w:r>
        <w:tab/>
      </w:r>
      <w:r>
        <w:fldChar w:fldCharType="begin"/>
      </w:r>
      <w:r>
        <w:instrText xml:space="preserve"> PAGEREF _Toc11308310 \h </w:instrText>
      </w:r>
      <w:r>
        <w:fldChar w:fldCharType="separate"/>
      </w:r>
      <w:r>
        <w:t>11</w:t>
      </w:r>
      <w:r>
        <w:fldChar w:fldCharType="end"/>
      </w:r>
    </w:p>
    <w:p w14:paraId="40C2AC35" w14:textId="626C620C" w:rsidR="00F74DA3" w:rsidRDefault="00F74DA3">
      <w:pPr>
        <w:pStyle w:val="TOC3"/>
        <w:rPr>
          <w:rFonts w:asciiTheme="minorHAnsi" w:eastAsiaTheme="minorEastAsia" w:hAnsiTheme="minorHAnsi" w:cstheme="minorBidi"/>
        </w:rPr>
      </w:pPr>
      <w:r>
        <w:t>Radiocommunications (Register of Radiocommunications Licence) Determination 2017</w:t>
      </w:r>
      <w:r>
        <w:tab/>
      </w:r>
      <w:r>
        <w:fldChar w:fldCharType="begin"/>
      </w:r>
      <w:r>
        <w:instrText xml:space="preserve"> PAGEREF _Toc11308311 \h </w:instrText>
      </w:r>
      <w:r>
        <w:fldChar w:fldCharType="separate"/>
      </w:r>
      <w:r>
        <w:t>11</w:t>
      </w:r>
      <w:r>
        <w:fldChar w:fldCharType="end"/>
      </w:r>
    </w:p>
    <w:p w14:paraId="07553CFB" w14:textId="349993CC" w:rsidR="00F74DA3" w:rsidRDefault="00F74DA3" w:rsidP="00234403">
      <w:pPr>
        <w:pStyle w:val="TOC2"/>
        <w:ind w:left="0" w:firstLine="0"/>
        <w:rPr>
          <w:rFonts w:asciiTheme="minorHAnsi" w:eastAsiaTheme="minorEastAsia" w:hAnsiTheme="minorHAnsi" w:cstheme="minorBidi"/>
          <w:spacing w:val="0"/>
          <w:sz w:val="22"/>
          <w:szCs w:val="22"/>
        </w:rPr>
      </w:pPr>
      <w:r>
        <w:t>Draft Radiocommunications Licence Conditions (Area-Wide Licence) Determination 2019</w:t>
      </w:r>
      <w:r>
        <w:tab/>
      </w:r>
      <w:r>
        <w:fldChar w:fldCharType="begin"/>
      </w:r>
      <w:r>
        <w:instrText xml:space="preserve"> PAGEREF _Toc11308312 \h </w:instrText>
      </w:r>
      <w:r>
        <w:fldChar w:fldCharType="separate"/>
      </w:r>
      <w:r>
        <w:t>12</w:t>
      </w:r>
      <w:r>
        <w:fldChar w:fldCharType="end"/>
      </w:r>
    </w:p>
    <w:p w14:paraId="6C1126D9" w14:textId="183C366F" w:rsidR="00F74DA3" w:rsidRDefault="00F74DA3">
      <w:pPr>
        <w:pStyle w:val="TOC2"/>
        <w:rPr>
          <w:rFonts w:asciiTheme="minorHAnsi" w:eastAsiaTheme="minorEastAsia" w:hAnsiTheme="minorHAnsi" w:cstheme="minorBidi"/>
          <w:spacing w:val="0"/>
          <w:sz w:val="22"/>
          <w:szCs w:val="22"/>
        </w:rPr>
      </w:pPr>
      <w:r>
        <w:t>Use of AWLs in a particular band</w:t>
      </w:r>
      <w:r>
        <w:tab/>
      </w:r>
      <w:r>
        <w:fldChar w:fldCharType="begin"/>
      </w:r>
      <w:r>
        <w:instrText xml:space="preserve"> PAGEREF _Toc11308313 \h </w:instrText>
      </w:r>
      <w:r>
        <w:fldChar w:fldCharType="separate"/>
      </w:r>
      <w:r>
        <w:t>12</w:t>
      </w:r>
      <w:r>
        <w:fldChar w:fldCharType="end"/>
      </w:r>
    </w:p>
    <w:p w14:paraId="690C3F7A" w14:textId="6D83220B" w:rsidR="00F74DA3" w:rsidRDefault="00F74DA3">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_Toc11308314 \h </w:instrText>
      </w:r>
      <w:r>
        <w:fldChar w:fldCharType="separate"/>
      </w:r>
      <w:r>
        <w:t>13</w:t>
      </w:r>
      <w:r>
        <w:fldChar w:fldCharType="end"/>
      </w:r>
    </w:p>
    <w:p w14:paraId="15EC13D9" w14:textId="1C0FD7C1" w:rsidR="00F74DA3" w:rsidRDefault="00F74DA3">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_Toc11308315 \h </w:instrText>
      </w:r>
      <w:r>
        <w:fldChar w:fldCharType="separate"/>
      </w:r>
      <w:r>
        <w:t>13</w:t>
      </w:r>
      <w:r>
        <w:fldChar w:fldCharType="end"/>
      </w:r>
    </w:p>
    <w:p w14:paraId="7A835F84" w14:textId="6791DAC2" w:rsidR="000A4A51" w:rsidRPr="000D76E0" w:rsidRDefault="007A6CC0">
      <w:pPr>
        <w:rPr>
          <w:rFonts w:cs="Arial"/>
        </w:rPr>
      </w:pPr>
      <w:r>
        <w:rPr>
          <w:rFonts w:cs="Arial"/>
          <w:b/>
          <w:noProof/>
          <w:spacing w:val="-14"/>
          <w:sz w:val="28"/>
        </w:rPr>
        <w:fldChar w:fldCharType="end"/>
      </w:r>
    </w:p>
    <w:p w14:paraId="1CF4501A" w14:textId="77777777" w:rsidR="004D56FF" w:rsidRPr="000D76E0" w:rsidRDefault="004D56F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p>
    <w:p w14:paraId="63B1C6BE" w14:textId="3E45F0F6" w:rsidR="009D6C71" w:rsidRDefault="009D6C71" w:rsidP="009174F3">
      <w:pPr>
        <w:pStyle w:val="ACMAExecSummaryHeading"/>
      </w:pPr>
      <w:bookmarkStart w:id="0" w:name="_Toc11308292"/>
      <w:r w:rsidRPr="009174F3">
        <w:lastRenderedPageBreak/>
        <w:t>Executive summary</w:t>
      </w:r>
      <w:bookmarkEnd w:id="0"/>
    </w:p>
    <w:p w14:paraId="6D317EF3" w14:textId="5FA32E36" w:rsidR="002715C9" w:rsidRDefault="0091749F" w:rsidP="007B229A">
      <w:r>
        <w:t>Australia’s spectrum</w:t>
      </w:r>
      <w:r w:rsidR="008E29E7">
        <w:t xml:space="preserve"> landscape</w:t>
      </w:r>
      <w:r>
        <w:t xml:space="preserve"> is constantly changing</w:t>
      </w:r>
      <w:r w:rsidR="008E29E7">
        <w:t>, with</w:t>
      </w:r>
      <w:r>
        <w:t xml:space="preserve"> </w:t>
      </w:r>
      <w:r w:rsidR="008E29E7">
        <w:t>n</w:t>
      </w:r>
      <w:r>
        <w:t xml:space="preserve">ew technologies and </w:t>
      </w:r>
      <w:r w:rsidR="008E29E7">
        <w:t xml:space="preserve">uses of spectrum </w:t>
      </w:r>
      <w:r>
        <w:t>plac</w:t>
      </w:r>
      <w:r w:rsidR="008E29E7">
        <w:t>ing</w:t>
      </w:r>
      <w:r>
        <w:t xml:space="preserve"> varying technical demands on the apparatus licensing framework. The </w:t>
      </w:r>
      <w:r w:rsidR="00682CA9">
        <w:t>Australian Communications and Media Authority (</w:t>
      </w:r>
      <w:r>
        <w:t>ACMA</w:t>
      </w:r>
      <w:r w:rsidR="00682CA9">
        <w:t>)</w:t>
      </w:r>
      <w:r>
        <w:t xml:space="preserve"> is seeking ways to improve the framework to better meet emerging needs, encourage innovative use of spectrum and broaden licensee choice. </w:t>
      </w:r>
    </w:p>
    <w:p w14:paraId="11834A41" w14:textId="5D3C4FB0" w:rsidR="00AC0296" w:rsidRDefault="0091749F" w:rsidP="007B229A">
      <w:r>
        <w:t xml:space="preserve">One improvement being explored by the ACMA is to provide a suitable licensing option for </w:t>
      </w:r>
      <w:r w:rsidR="00313944">
        <w:t>‘</w:t>
      </w:r>
      <w:r>
        <w:t>small-area</w:t>
      </w:r>
      <w:r w:rsidR="00313944">
        <w:t>’</w:t>
      </w:r>
      <w:r>
        <w:t xml:space="preserve"> multi-device deployments. </w:t>
      </w:r>
    </w:p>
    <w:p w14:paraId="14B469DB" w14:textId="77777777" w:rsidR="002715C9" w:rsidRDefault="0036780E" w:rsidP="007B229A">
      <w:r>
        <w:t>The ACMA is proposing to develop</w:t>
      </w:r>
      <w:r w:rsidR="00CC3A44">
        <w:t xml:space="preserve"> a</w:t>
      </w:r>
      <w:r>
        <w:t xml:space="preserve"> new </w:t>
      </w:r>
      <w:r w:rsidR="00CC3A44">
        <w:t xml:space="preserve">transmitter </w:t>
      </w:r>
      <w:r>
        <w:t xml:space="preserve">licence type </w:t>
      </w:r>
      <w:r w:rsidR="00CC3A44">
        <w:t>and a receiver</w:t>
      </w:r>
      <w:r w:rsidR="0051797E">
        <w:t xml:space="preserve"> </w:t>
      </w:r>
      <w:r w:rsidR="00CC3A44">
        <w:t xml:space="preserve">licence type. </w:t>
      </w:r>
    </w:p>
    <w:p w14:paraId="3F482278" w14:textId="1EE00F37" w:rsidR="0036780E" w:rsidRDefault="002D3867" w:rsidP="007B229A">
      <w:r>
        <w:t>Except where described specifically</w:t>
      </w:r>
      <w:r w:rsidR="00CC3A44">
        <w:t>, the</w:t>
      </w:r>
      <w:r>
        <w:t xml:space="preserve"> two</w:t>
      </w:r>
      <w:r w:rsidR="00CC3A44">
        <w:t xml:space="preserve"> new </w:t>
      </w:r>
      <w:r>
        <w:t xml:space="preserve">licence </w:t>
      </w:r>
      <w:r w:rsidR="00CC3A44">
        <w:t xml:space="preserve">types are referred to </w:t>
      </w:r>
      <w:r>
        <w:t xml:space="preserve">collectively in this consultation paper </w:t>
      </w:r>
      <w:r w:rsidR="00CC3A44">
        <w:t xml:space="preserve">as </w:t>
      </w:r>
      <w:r w:rsidR="0036780E">
        <w:t xml:space="preserve">the </w:t>
      </w:r>
      <w:r w:rsidR="00110EF5">
        <w:t>area-wide</w:t>
      </w:r>
      <w:r w:rsidR="0036780E">
        <w:t xml:space="preserve"> apparatus licence (</w:t>
      </w:r>
      <w:r w:rsidR="00110EF5">
        <w:t>AW</w:t>
      </w:r>
      <w:r w:rsidR="0036780E">
        <w:t>L)</w:t>
      </w:r>
      <w:r w:rsidR="00CC3A44">
        <w:t xml:space="preserve"> type</w:t>
      </w:r>
      <w:r w:rsidR="0036780E">
        <w:t xml:space="preserve">. This new licence type is intended to benefit spectrum users by complementing existing licensing options and improving apparatus licensing flexibility, particularly </w:t>
      </w:r>
      <w:r w:rsidR="00EC2864">
        <w:t>by providing a</w:t>
      </w:r>
      <w:r w:rsidR="00547CCA">
        <w:t xml:space="preserve"> scalable</w:t>
      </w:r>
      <w:r w:rsidR="00EC2864">
        <w:t xml:space="preserve"> licensing option to support</w:t>
      </w:r>
      <w:r w:rsidR="0036780E">
        <w:t xml:space="preserve"> area-wide multi-device deployments. </w:t>
      </w:r>
    </w:p>
    <w:p w14:paraId="7B96DAA4" w14:textId="03A31E3F" w:rsidR="003A5939" w:rsidRDefault="00584B11" w:rsidP="007B229A">
      <w:r>
        <w:t xml:space="preserve">The </w:t>
      </w:r>
      <w:r w:rsidR="00110EF5">
        <w:t>AWL</w:t>
      </w:r>
      <w:r>
        <w:t xml:space="preserve"> </w:t>
      </w:r>
      <w:r w:rsidR="007C47AA">
        <w:t xml:space="preserve">type </w:t>
      </w:r>
      <w:r w:rsidR="00EC2864">
        <w:t>is intended to</w:t>
      </w:r>
      <w:r>
        <w:t xml:space="preserve"> </w:t>
      </w:r>
      <w:r w:rsidR="00334ECA">
        <w:t>authorise</w:t>
      </w:r>
      <w:r w:rsidR="007C47AA">
        <w:t xml:space="preserve"> the operation of one or more </w:t>
      </w:r>
      <w:r>
        <w:t xml:space="preserve">radiocommunications devices </w:t>
      </w:r>
      <w:r w:rsidR="007C47AA">
        <w:t xml:space="preserve">within a </w:t>
      </w:r>
      <w:r w:rsidR="00686946">
        <w:t>defined geographic area at a frequency or frequencies spec</w:t>
      </w:r>
      <w:r w:rsidR="00686946" w:rsidRPr="000D480B">
        <w:rPr>
          <w:color w:val="000000"/>
        </w:rPr>
        <w:t>ified on the licence</w:t>
      </w:r>
      <w:r w:rsidR="007C47AA">
        <w:t>, subject to the conditions included on the issued licence</w:t>
      </w:r>
      <w:r w:rsidR="00686946">
        <w:t xml:space="preserve">. </w:t>
      </w:r>
      <w:r w:rsidR="00547CCA">
        <w:t xml:space="preserve">The licence type will be scalable, enabling its use for authorising different-sized geographic areas and bandwidths. </w:t>
      </w:r>
      <w:r w:rsidR="00AD4CF3">
        <w:t>Unlike existing apparatus licence types</w:t>
      </w:r>
      <w:r w:rsidR="00AC0296">
        <w:t>—</w:t>
      </w:r>
      <w:r w:rsidR="00AD4CF3">
        <w:t xml:space="preserve"> </w:t>
      </w:r>
      <w:r w:rsidR="00BF1463">
        <w:t xml:space="preserve">which </w:t>
      </w:r>
      <w:r w:rsidR="005A4CAC">
        <w:t xml:space="preserve">typically </w:t>
      </w:r>
      <w:r w:rsidR="00BF1463">
        <w:t>align with specific uses and purposes</w:t>
      </w:r>
      <w:r w:rsidR="00AC0296">
        <w:t>—</w:t>
      </w:r>
      <w:r w:rsidR="00836FAF">
        <w:t xml:space="preserve">the </w:t>
      </w:r>
      <w:r w:rsidR="00110EF5">
        <w:t>AWL</w:t>
      </w:r>
      <w:r w:rsidR="007C47AA">
        <w:t xml:space="preserve"> </w:t>
      </w:r>
      <w:r w:rsidR="00836FAF">
        <w:t>type</w:t>
      </w:r>
      <w:r w:rsidR="007C47AA">
        <w:t xml:space="preserve"> </w:t>
      </w:r>
      <w:r w:rsidR="0036780E">
        <w:t xml:space="preserve">will be capable of </w:t>
      </w:r>
      <w:r w:rsidR="000F2F29">
        <w:t>authoris</w:t>
      </w:r>
      <w:r w:rsidR="0036780E">
        <w:t>ing</w:t>
      </w:r>
      <w:r w:rsidR="002F686C">
        <w:t xml:space="preserve"> a variety of </w:t>
      </w:r>
      <w:r w:rsidR="00F14AAF">
        <w:t>services</w:t>
      </w:r>
      <w:r w:rsidR="00B54973">
        <w:t>, uses, applications and technologies</w:t>
      </w:r>
      <w:r w:rsidR="00F14AAF">
        <w:t>.</w:t>
      </w:r>
      <w:r w:rsidR="00DF7C71">
        <w:t xml:space="preserve"> The </w:t>
      </w:r>
      <w:r w:rsidR="00110EF5">
        <w:t>AWL</w:t>
      </w:r>
      <w:r w:rsidR="00DF7C71">
        <w:t xml:space="preserve"> type concept is consistent with the </w:t>
      </w:r>
      <w:r w:rsidR="00C24C12">
        <w:t xml:space="preserve">terms of reference </w:t>
      </w:r>
      <w:r w:rsidR="00DF7C71">
        <w:t xml:space="preserve">of the Spectrum Review to </w:t>
      </w:r>
      <w:r w:rsidR="00C24C12">
        <w:t xml:space="preserve">promote </w:t>
      </w:r>
      <w:r w:rsidR="00DF7C71">
        <w:t xml:space="preserve">more flexible licensing arrangements. </w:t>
      </w:r>
    </w:p>
    <w:p w14:paraId="44F2E0BC" w14:textId="582655EB" w:rsidR="007C47AA" w:rsidRDefault="007C47AA" w:rsidP="006117E8">
      <w:pPr>
        <w:spacing w:after="80"/>
      </w:pPr>
      <w:r>
        <w:t xml:space="preserve">To give effect to the </w:t>
      </w:r>
      <w:r w:rsidR="00584B11">
        <w:t>new licence type</w:t>
      </w:r>
      <w:r w:rsidR="00AC0296">
        <w:t>,</w:t>
      </w:r>
      <w:r>
        <w:t xml:space="preserve"> </w:t>
      </w:r>
      <w:r w:rsidR="00584B11">
        <w:t>the ACMA is proposing</w:t>
      </w:r>
      <w:r w:rsidR="00A23D71">
        <w:t xml:space="preserve"> to make</w:t>
      </w:r>
      <w:r>
        <w:t>:</w:t>
      </w:r>
    </w:p>
    <w:p w14:paraId="0592A580" w14:textId="684B85B6" w:rsidR="007C47AA" w:rsidRPr="00D50AB2" w:rsidRDefault="00584B11" w:rsidP="007B229A">
      <w:pPr>
        <w:pStyle w:val="ListBullet"/>
      </w:pPr>
      <w:r w:rsidRPr="004807B3">
        <w:t>amendments to</w:t>
      </w:r>
      <w:r w:rsidR="00836FAF">
        <w:t xml:space="preserve"> the</w:t>
      </w:r>
      <w:r w:rsidR="00CE450B" w:rsidRPr="004807B3">
        <w:t xml:space="preserve"> </w:t>
      </w:r>
      <w:hyperlink r:id="rId24" w:history="1">
        <w:r w:rsidR="007C47AA" w:rsidRPr="000D480B">
          <w:rPr>
            <w:rStyle w:val="Hyperlink"/>
          </w:rPr>
          <w:t>Radiocommunications (Specified Radiocommunications Receivers and Types of Transmitter Licences and Receiver Licences) Determination 2014</w:t>
        </w:r>
      </w:hyperlink>
      <w:r w:rsidR="007C47AA" w:rsidRPr="00717543">
        <w:t xml:space="preserve"> to reference </w:t>
      </w:r>
      <w:r w:rsidR="00CE450B" w:rsidRPr="00D50AB2">
        <w:t>the</w:t>
      </w:r>
      <w:r w:rsidR="00561D92">
        <w:t xml:space="preserve"> </w:t>
      </w:r>
      <w:r w:rsidR="00110EF5">
        <w:t>AWL</w:t>
      </w:r>
      <w:r w:rsidR="005829CF">
        <w:t xml:space="preserve"> as a transmitter and receiver licence type</w:t>
      </w:r>
    </w:p>
    <w:p w14:paraId="6F01B8B2" w14:textId="34557BBF" w:rsidR="007C47AA" w:rsidRDefault="007C47AA" w:rsidP="007B229A">
      <w:pPr>
        <w:pStyle w:val="ListBullet"/>
      </w:pPr>
      <w:r w:rsidRPr="00D50AB2">
        <w:t xml:space="preserve">amendments to </w:t>
      </w:r>
      <w:r w:rsidR="0025788A" w:rsidRPr="00D50AB2">
        <w:t xml:space="preserve">the </w:t>
      </w:r>
      <w:hyperlink r:id="rId25" w:history="1">
        <w:r w:rsidR="00936F15" w:rsidRPr="000D480B">
          <w:rPr>
            <w:rStyle w:val="Hyperlink"/>
          </w:rPr>
          <w:t>Radiocommunications (Interpretation) Determination 2015</w:t>
        </w:r>
      </w:hyperlink>
      <w:r w:rsidRPr="00D50AB2">
        <w:t xml:space="preserve"> to define the</w:t>
      </w:r>
      <w:r w:rsidR="00561D92">
        <w:t xml:space="preserve"> </w:t>
      </w:r>
      <w:r w:rsidR="00110EF5">
        <w:t>AWL</w:t>
      </w:r>
      <w:r w:rsidR="00561D92">
        <w:t xml:space="preserve"> concept</w:t>
      </w:r>
      <w:r w:rsidR="00E357DF">
        <w:t xml:space="preserve"> and related terms</w:t>
      </w:r>
    </w:p>
    <w:p w14:paraId="08C16BD9" w14:textId="18B5AE7F" w:rsidR="005D2D33" w:rsidRPr="00D50AB2" w:rsidRDefault="005D2D33" w:rsidP="00B91E1E">
      <w:pPr>
        <w:pStyle w:val="ListBullet"/>
      </w:pPr>
      <w:r>
        <w:t>amendment</w:t>
      </w:r>
      <w:r w:rsidR="009E6AEA">
        <w:t>s</w:t>
      </w:r>
      <w:r>
        <w:t xml:space="preserve"> to the </w:t>
      </w:r>
      <w:hyperlink r:id="rId26" w:history="1">
        <w:r w:rsidRPr="006F3E4D">
          <w:rPr>
            <w:rStyle w:val="Hyperlink"/>
          </w:rPr>
          <w:t>Radiocommunications (Register of Radiocommunications Licences) Determination 2017</w:t>
        </w:r>
      </w:hyperlink>
      <w:r>
        <w:t xml:space="preserve"> to enable the ACMA to exempt </w:t>
      </w:r>
      <w:r w:rsidR="00110EF5">
        <w:t>AWL</w:t>
      </w:r>
      <w:r>
        <w:t xml:space="preserve"> licensees from </w:t>
      </w:r>
      <w:r w:rsidR="002A3BC0">
        <w:t xml:space="preserve">certain </w:t>
      </w:r>
      <w:r>
        <w:t xml:space="preserve">device </w:t>
      </w:r>
      <w:r w:rsidR="002A3BC0">
        <w:t xml:space="preserve">registration </w:t>
      </w:r>
      <w:r>
        <w:t>requirements</w:t>
      </w:r>
    </w:p>
    <w:p w14:paraId="7F12739F" w14:textId="7841AE9C" w:rsidR="00936F15" w:rsidRPr="003A5939" w:rsidRDefault="007C47AA">
      <w:pPr>
        <w:pStyle w:val="ListBulletLast"/>
      </w:pPr>
      <w:r>
        <w:t xml:space="preserve">a new </w:t>
      </w:r>
      <w:r w:rsidRPr="005829CF">
        <w:t xml:space="preserve">Radiocommunications </w:t>
      </w:r>
      <w:r w:rsidR="006B6D4E" w:rsidRPr="005829CF">
        <w:t>Licence Conditions (</w:t>
      </w:r>
      <w:r w:rsidR="00A4151F">
        <w:t xml:space="preserve">Area-Wide </w:t>
      </w:r>
      <w:r w:rsidR="006B6D4E" w:rsidRPr="005829CF">
        <w:t>Licence) Determination 2019</w:t>
      </w:r>
      <w:r w:rsidR="0050621E">
        <w:t xml:space="preserve"> (</w:t>
      </w:r>
      <w:r w:rsidR="00110EF5">
        <w:t>AWL</w:t>
      </w:r>
      <w:r w:rsidR="0050621E">
        <w:t xml:space="preserve"> LCD)</w:t>
      </w:r>
      <w:r w:rsidR="006B6D4E">
        <w:t>, which will contain conditions in relation to</w:t>
      </w:r>
      <w:r w:rsidR="000D480B">
        <w:t xml:space="preserve"> the</w:t>
      </w:r>
      <w:r w:rsidR="006B6D4E">
        <w:t xml:space="preserve"> </w:t>
      </w:r>
      <w:r w:rsidR="002A3BC0">
        <w:t xml:space="preserve">operation </w:t>
      </w:r>
      <w:r w:rsidR="006B6D4E">
        <w:t xml:space="preserve">of </w:t>
      </w:r>
      <w:r w:rsidR="00F54698">
        <w:t xml:space="preserve">radiocommunications </w:t>
      </w:r>
      <w:r w:rsidR="006B6D4E">
        <w:t>devices authorised under</w:t>
      </w:r>
      <w:r w:rsidR="00A23D71">
        <w:t xml:space="preserve"> the</w:t>
      </w:r>
      <w:r w:rsidR="006B6D4E">
        <w:t xml:space="preserve"> </w:t>
      </w:r>
      <w:r w:rsidR="00110EF5">
        <w:t>AWL</w:t>
      </w:r>
      <w:r w:rsidR="007A037C">
        <w:t xml:space="preserve"> transmitter</w:t>
      </w:r>
      <w:r w:rsidR="00526FD1">
        <w:t xml:space="preserve"> type. </w:t>
      </w:r>
      <w:r w:rsidR="0025788A" w:rsidRPr="007C47AA">
        <w:t xml:space="preserve"> </w:t>
      </w:r>
    </w:p>
    <w:p w14:paraId="20362FF7" w14:textId="1E0A9AFC" w:rsidR="00AC19A1" w:rsidRPr="009174F3" w:rsidRDefault="00686946" w:rsidP="00AC19A1">
      <w:r>
        <w:t xml:space="preserve">The ACMA invites comment from interested parties on the proposed </w:t>
      </w:r>
      <w:r w:rsidR="00110EF5">
        <w:t>AWL</w:t>
      </w:r>
      <w:r w:rsidR="007A037C">
        <w:t xml:space="preserve"> </w:t>
      </w:r>
      <w:r>
        <w:t>type and amendments to the apparatus licensing framework by</w:t>
      </w:r>
      <w:r w:rsidR="00095AAE">
        <w:t xml:space="preserve"> </w:t>
      </w:r>
      <w:r w:rsidR="00095AAE" w:rsidRPr="00095AAE">
        <w:rPr>
          <w:b/>
          <w:bCs/>
        </w:rPr>
        <w:t>COB, Friday 9 August 2019</w:t>
      </w:r>
      <w:r w:rsidR="00095AAE">
        <w:t>.</w:t>
      </w:r>
      <w:r>
        <w:t xml:space="preserve"> </w:t>
      </w:r>
    </w:p>
    <w:p w14:paraId="54D58CFD" w14:textId="77777777" w:rsidR="00715722" w:rsidRDefault="00715722" w:rsidP="00715722">
      <w:pPr>
        <w:pStyle w:val="Heading1"/>
      </w:pPr>
      <w:bookmarkStart w:id="1" w:name="_Toc433122125"/>
      <w:bookmarkStart w:id="2" w:name="_Toc11308293"/>
      <w:r>
        <w:lastRenderedPageBreak/>
        <w:t>Issue</w:t>
      </w:r>
      <w:r w:rsidRPr="00D9108C">
        <w:t>s</w:t>
      </w:r>
      <w:r>
        <w:t xml:space="preserve"> for comment</w:t>
      </w:r>
      <w:bookmarkEnd w:id="1"/>
      <w:bookmarkEnd w:id="2"/>
    </w:p>
    <w:p w14:paraId="1F8EB40F" w14:textId="17E0CA3B" w:rsidR="00D9108C" w:rsidRDefault="007843C8" w:rsidP="006117E8">
      <w:pPr>
        <w:spacing w:after="80"/>
      </w:pPr>
      <w:r>
        <w:t>T</w:t>
      </w:r>
      <w:r w:rsidR="00D9108C" w:rsidRPr="00D9108C">
        <w:t xml:space="preserve">he ACMA welcomes comment from interested stakeholders on the issues raised in this consultation paper or any other issues relevant to the proposed </w:t>
      </w:r>
      <w:r w:rsidR="00110EF5">
        <w:t>AWL</w:t>
      </w:r>
      <w:r w:rsidR="00331474">
        <w:t xml:space="preserve"> type</w:t>
      </w:r>
      <w:r w:rsidR="00D9108C">
        <w:t xml:space="preserve">. </w:t>
      </w:r>
      <w:r>
        <w:t>In particular, the ACMA seeks responses to the following questions:</w:t>
      </w:r>
    </w:p>
    <w:p w14:paraId="453BACE4" w14:textId="75FBE05F" w:rsidR="008456A4" w:rsidRDefault="0091749F" w:rsidP="006117E8">
      <w:pPr>
        <w:pStyle w:val="ListNumber"/>
      </w:pPr>
      <w:r>
        <w:t xml:space="preserve">Do you think the proposed characteristics of the </w:t>
      </w:r>
      <w:r w:rsidR="00110EF5">
        <w:t>AWL</w:t>
      </w:r>
      <w:r>
        <w:t xml:space="preserve"> type will support your current or intended network deployments? </w:t>
      </w:r>
      <w:r w:rsidR="00042CD6">
        <w:t xml:space="preserve">Are there any </w:t>
      </w:r>
      <w:r w:rsidR="009D76A3">
        <w:t xml:space="preserve">other </w:t>
      </w:r>
      <w:r w:rsidR="00042CD6">
        <w:t xml:space="preserve">kinds of deployments that you believe the </w:t>
      </w:r>
      <w:r w:rsidR="00110EF5">
        <w:t>AWL</w:t>
      </w:r>
      <w:r w:rsidR="00042CD6">
        <w:t xml:space="preserve"> type should support? </w:t>
      </w:r>
    </w:p>
    <w:p w14:paraId="23C14F69" w14:textId="34CA793B" w:rsidR="007843C8" w:rsidRPr="00D9108C" w:rsidRDefault="00222DC3" w:rsidP="006117E8">
      <w:pPr>
        <w:pStyle w:val="ListNumber"/>
      </w:pPr>
      <w:r>
        <w:t>Which bands</w:t>
      </w:r>
      <w:r w:rsidR="00542DA1">
        <w:t xml:space="preserve"> and/or geographic areas</w:t>
      </w:r>
      <w:r>
        <w:t xml:space="preserve"> do you believe would be conducive to the use of </w:t>
      </w:r>
      <w:r w:rsidR="007376F3">
        <w:t xml:space="preserve">an </w:t>
      </w:r>
      <w:r w:rsidR="00DF6B99">
        <w:t>AWL</w:t>
      </w:r>
      <w:r>
        <w:t>?</w:t>
      </w:r>
    </w:p>
    <w:p w14:paraId="631A19EE" w14:textId="5D6D558B" w:rsidR="00222DC3" w:rsidRDefault="00222DC3" w:rsidP="006117E8">
      <w:pPr>
        <w:pStyle w:val="ListNumber"/>
      </w:pPr>
      <w:r>
        <w:t xml:space="preserve">What technical and other matters do you believe the ACMA should consider in deciding to use </w:t>
      </w:r>
      <w:r w:rsidR="00B419E5">
        <w:t>AWL</w:t>
      </w:r>
      <w:r>
        <w:t xml:space="preserve"> licensing in a particular band?</w:t>
      </w:r>
    </w:p>
    <w:p w14:paraId="3569804A" w14:textId="756EF4A4" w:rsidR="00222DC3" w:rsidRPr="00D9108C" w:rsidRDefault="00222DC3" w:rsidP="006117E8">
      <w:pPr>
        <w:pStyle w:val="ListNumber"/>
      </w:pPr>
      <w:r>
        <w:t xml:space="preserve">Do you have any other comments on the </w:t>
      </w:r>
      <w:r w:rsidR="00DF6B99">
        <w:t>AWL</w:t>
      </w:r>
      <w:r>
        <w:t xml:space="preserve"> concept?</w:t>
      </w:r>
    </w:p>
    <w:p w14:paraId="409E5760" w14:textId="77777777" w:rsidR="00BE4C11" w:rsidRPr="000D76E0" w:rsidRDefault="00FA5A0B" w:rsidP="00777BA2">
      <w:pPr>
        <w:pStyle w:val="Heading1"/>
      </w:pPr>
      <w:bookmarkStart w:id="3" w:name="_Toc11308294"/>
      <w:r>
        <w:lastRenderedPageBreak/>
        <w:t>Background</w:t>
      </w:r>
      <w:bookmarkEnd w:id="3"/>
    </w:p>
    <w:p w14:paraId="4645B5B3" w14:textId="19C4EEED" w:rsidR="00D41C62" w:rsidRDefault="00D9108C" w:rsidP="00722BB3">
      <w:pPr>
        <w:pStyle w:val="Heading2"/>
        <w:spacing w:after="120"/>
      </w:pPr>
      <w:bookmarkStart w:id="4" w:name="_Toc11308295"/>
      <w:r>
        <w:t>Apparatus licensing framework</w:t>
      </w:r>
      <w:bookmarkEnd w:id="4"/>
    </w:p>
    <w:p w14:paraId="601A6956" w14:textId="54EB2528" w:rsidR="002A6F70" w:rsidRDefault="00C87A77" w:rsidP="006117E8">
      <w:pPr>
        <w:spacing w:after="80"/>
      </w:pPr>
      <w:r>
        <w:t xml:space="preserve">The apparatus licensing framework </w:t>
      </w:r>
      <w:r w:rsidR="002A3BC0">
        <w:t xml:space="preserve">is made up of a network </w:t>
      </w:r>
      <w:r w:rsidR="001812F7">
        <w:t xml:space="preserve">of </w:t>
      </w:r>
      <w:r>
        <w:t xml:space="preserve">regulatory instruments, technical planning documents and operational practices that </w:t>
      </w:r>
      <w:r w:rsidR="00326C92">
        <w:t xml:space="preserve">define the suite of available apparatus licence types and the conditions </w:t>
      </w:r>
      <w:r w:rsidR="002D0530">
        <w:t>applicable to the licen</w:t>
      </w:r>
      <w:r w:rsidR="002F0F4B">
        <w:t>ce</w:t>
      </w:r>
      <w:r w:rsidR="00F94B97">
        <w:rPr>
          <w:rStyle w:val="FootnoteReference"/>
        </w:rPr>
        <w:footnoteReference w:id="2"/>
      </w:r>
      <w:r w:rsidR="00326C92">
        <w:t xml:space="preserve">. </w:t>
      </w:r>
      <w:r w:rsidR="0008112B">
        <w:t>The principal e</w:t>
      </w:r>
      <w:r w:rsidR="00326C92">
        <w:t xml:space="preserve">lements </w:t>
      </w:r>
      <w:r w:rsidR="002A6F70">
        <w:t xml:space="preserve">of the apparatus licensing framework </w:t>
      </w:r>
      <w:r w:rsidR="0008112B">
        <w:t>are</w:t>
      </w:r>
      <w:r w:rsidR="002A6F70">
        <w:t>:</w:t>
      </w:r>
    </w:p>
    <w:p w14:paraId="036AEC4D" w14:textId="331C788C" w:rsidR="00C87A77" w:rsidRDefault="00326C92" w:rsidP="006633D6">
      <w:pPr>
        <w:pStyle w:val="ListBullet"/>
      </w:pPr>
      <w:r>
        <w:t>t</w:t>
      </w:r>
      <w:r w:rsidR="00C87A77">
        <w:t xml:space="preserve">he </w:t>
      </w:r>
      <w:r w:rsidR="00C87A77" w:rsidRPr="001A6DBE">
        <w:t>types</w:t>
      </w:r>
      <w:r w:rsidR="00C87A77">
        <w:t xml:space="preserve"> of apparatus licence the ACMA may issue</w:t>
      </w:r>
      <w:r w:rsidR="00851118">
        <w:t xml:space="preserve">, including </w:t>
      </w:r>
      <w:r>
        <w:t xml:space="preserve">the use, service or purpose associated with </w:t>
      </w:r>
      <w:r w:rsidR="00C87A77">
        <w:t>each apparatus licence type</w:t>
      </w:r>
    </w:p>
    <w:p w14:paraId="1D09E907" w14:textId="38A4191E" w:rsidR="005D2D33" w:rsidRDefault="00C87A77" w:rsidP="007B229A">
      <w:pPr>
        <w:pStyle w:val="ListBullet"/>
      </w:pPr>
      <w:r>
        <w:t xml:space="preserve">technical </w:t>
      </w:r>
      <w:r w:rsidR="001C7C56">
        <w:t xml:space="preserve">and </w:t>
      </w:r>
      <w:r>
        <w:t xml:space="preserve">non-technical conditions </w:t>
      </w:r>
      <w:r w:rsidR="001C7C56">
        <w:t xml:space="preserve">that restrict or limit operation of </w:t>
      </w:r>
      <w:r w:rsidR="001C77CB">
        <w:t xml:space="preserve">a </w:t>
      </w:r>
      <w:r w:rsidR="004A5D3D">
        <w:t xml:space="preserve">radiocommunications </w:t>
      </w:r>
      <w:r w:rsidR="005E7C29">
        <w:t xml:space="preserve">device </w:t>
      </w:r>
      <w:r w:rsidR="001C7C56">
        <w:t xml:space="preserve">under </w:t>
      </w:r>
      <w:r>
        <w:t>an apparatus licence</w:t>
      </w:r>
    </w:p>
    <w:p w14:paraId="5B63FCE3" w14:textId="185BC1B4" w:rsidR="00C87A77" w:rsidRDefault="002E1F55" w:rsidP="007B229A">
      <w:pPr>
        <w:pStyle w:val="ListBullet"/>
      </w:pPr>
      <w:r>
        <w:t xml:space="preserve">specifying </w:t>
      </w:r>
      <w:r w:rsidR="005D2D33">
        <w:t xml:space="preserve">information </w:t>
      </w:r>
      <w:r>
        <w:t xml:space="preserve">that </w:t>
      </w:r>
      <w:r w:rsidR="005D2D33">
        <w:t xml:space="preserve">must be included on the Register of Radiocommunications Licences (RRL) about </w:t>
      </w:r>
      <w:r>
        <w:t xml:space="preserve">radiocommunications </w:t>
      </w:r>
      <w:r w:rsidR="005D2D33">
        <w:t>devices operated under a</w:t>
      </w:r>
      <w:r w:rsidR="00B21F97">
        <w:t>n</w:t>
      </w:r>
      <w:r w:rsidR="005D2D33">
        <w:t xml:space="preserve"> apparatus licence </w:t>
      </w:r>
    </w:p>
    <w:p w14:paraId="3CDA7294" w14:textId="579CA722" w:rsidR="007C3BED" w:rsidRDefault="00C87A77" w:rsidP="00B91E1E">
      <w:pPr>
        <w:pStyle w:val="ListBullet"/>
      </w:pPr>
      <w:r>
        <w:t xml:space="preserve">tax and </w:t>
      </w:r>
      <w:r w:rsidR="00771ECA">
        <w:t xml:space="preserve">charging </w:t>
      </w:r>
      <w:r>
        <w:t>arrangements</w:t>
      </w:r>
      <w:r w:rsidR="001A6DBE">
        <w:t xml:space="preserve"> for the apparatus licen</w:t>
      </w:r>
      <w:r w:rsidR="008F657F">
        <w:t>sing</w:t>
      </w:r>
    </w:p>
    <w:p w14:paraId="3E3B28B1" w14:textId="20728073" w:rsidR="00851118" w:rsidRDefault="00D820C1">
      <w:pPr>
        <w:pStyle w:val="ListBullet"/>
      </w:pPr>
      <w:r>
        <w:t>the</w:t>
      </w:r>
      <w:r w:rsidR="00101E0D">
        <w:t xml:space="preserve"> </w:t>
      </w:r>
      <w:r w:rsidR="001C7C56">
        <w:t xml:space="preserve">regulatory and/or administrative processes for </w:t>
      </w:r>
      <w:r w:rsidR="00C317AE">
        <w:t xml:space="preserve">the </w:t>
      </w:r>
      <w:r w:rsidR="001C7C56">
        <w:t>issue of apparatus licences</w:t>
      </w:r>
    </w:p>
    <w:p w14:paraId="3F674D80" w14:textId="23F6C0D2" w:rsidR="00851118" w:rsidRDefault="00851118">
      <w:pPr>
        <w:pStyle w:val="ListBulletLast"/>
      </w:pPr>
      <w:r>
        <w:t>administrative technical planning documents (</w:t>
      </w:r>
      <w:r w:rsidR="008343AF">
        <w:t xml:space="preserve">for example, </w:t>
      </w:r>
      <w:r w:rsidR="0096772E">
        <w:t>R</w:t>
      </w:r>
      <w:r>
        <w:t xml:space="preserve">adiocommunications </w:t>
      </w:r>
      <w:r w:rsidR="0096772E">
        <w:t>A</w:t>
      </w:r>
      <w:r>
        <w:t xml:space="preserve">ssignment </w:t>
      </w:r>
      <w:r w:rsidR="0096772E">
        <w:t>Licensing Instructions</w:t>
      </w:r>
      <w:r w:rsidR="00C00568">
        <w:t>—</w:t>
      </w:r>
      <w:r>
        <w:t>RALIs).</w:t>
      </w:r>
    </w:p>
    <w:p w14:paraId="7EE0A865" w14:textId="6393FD3F" w:rsidR="001A6DBE" w:rsidRPr="007B229A" w:rsidRDefault="001A6DBE">
      <w:pPr>
        <w:pStyle w:val="Heading3"/>
      </w:pPr>
      <w:bookmarkStart w:id="5" w:name="_Toc11308296"/>
      <w:r w:rsidRPr="007B229A">
        <w:t>Apparatus licence types</w:t>
      </w:r>
      <w:bookmarkEnd w:id="5"/>
    </w:p>
    <w:p w14:paraId="5B09494D" w14:textId="01FEF5DF" w:rsidR="006758A6" w:rsidRDefault="007A07CC" w:rsidP="00D9108C">
      <w:r>
        <w:t>Under subsection 98(</w:t>
      </w:r>
      <w:r w:rsidR="00FD712E">
        <w:t>2</w:t>
      </w:r>
      <w:r>
        <w:t xml:space="preserve">) of the </w:t>
      </w:r>
      <w:hyperlink r:id="rId27" w:history="1">
        <w:r w:rsidR="00BC7501" w:rsidRPr="00914F4A">
          <w:rPr>
            <w:rStyle w:val="Hyperlink"/>
            <w:i/>
          </w:rPr>
          <w:t xml:space="preserve">Radiocommunications </w:t>
        </w:r>
        <w:r w:rsidRPr="00914F4A">
          <w:rPr>
            <w:rStyle w:val="Hyperlink"/>
            <w:i/>
          </w:rPr>
          <w:t>Ac</w:t>
        </w:r>
        <w:r w:rsidRPr="007B229A">
          <w:rPr>
            <w:rStyle w:val="Hyperlink"/>
            <w:i/>
          </w:rPr>
          <w:t>t</w:t>
        </w:r>
        <w:r w:rsidR="00BC7501" w:rsidRPr="0037060D">
          <w:rPr>
            <w:rStyle w:val="Hyperlink"/>
            <w:i/>
          </w:rPr>
          <w:t xml:space="preserve"> 1992</w:t>
        </w:r>
      </w:hyperlink>
      <w:r w:rsidR="00BC7501">
        <w:t xml:space="preserve"> (the Act)</w:t>
      </w:r>
      <w:r>
        <w:t xml:space="preserve">, </w:t>
      </w:r>
      <w:r w:rsidR="00D41C62">
        <w:t>the</w:t>
      </w:r>
      <w:r>
        <w:t xml:space="preserve"> ACMA may only issue </w:t>
      </w:r>
      <w:r w:rsidR="00C92616">
        <w:t xml:space="preserve">an apparatus </w:t>
      </w:r>
      <w:r>
        <w:t xml:space="preserve">licence of a type specified in </w:t>
      </w:r>
      <w:r w:rsidR="00C92616">
        <w:t xml:space="preserve">a determination made under </w:t>
      </w:r>
      <w:r w:rsidR="00592F64">
        <w:t>sub</w:t>
      </w:r>
      <w:r w:rsidR="00C92616">
        <w:t xml:space="preserve">section </w:t>
      </w:r>
      <w:r w:rsidR="00FD712E">
        <w:t xml:space="preserve">98(1) </w:t>
      </w:r>
      <w:r w:rsidR="00C92616">
        <w:t xml:space="preserve">of the Act. </w:t>
      </w:r>
      <w:r w:rsidR="008F559B">
        <w:t xml:space="preserve">Types may be determined for both transmitter licences and receiver licences. </w:t>
      </w:r>
      <w:r w:rsidR="00781CB3">
        <w:t>Consequently</w:t>
      </w:r>
      <w:r w:rsidR="00C92616">
        <w:t xml:space="preserve">, the ACMA has </w:t>
      </w:r>
      <w:r w:rsidR="00E56E8C">
        <w:t xml:space="preserve">made </w:t>
      </w:r>
      <w:r>
        <w:t xml:space="preserve">the </w:t>
      </w:r>
      <w:hyperlink r:id="rId28" w:history="1">
        <w:r w:rsidRPr="000D480B">
          <w:rPr>
            <w:rStyle w:val="Hyperlink"/>
          </w:rPr>
          <w:t>Radiocommunications (Specified Radiocommunications Receivers and Types of Transmitter Licences and Receiver Licences) Determination 2014</w:t>
        </w:r>
      </w:hyperlink>
      <w:r w:rsidR="00D41C62">
        <w:rPr>
          <w:i/>
        </w:rPr>
        <w:t xml:space="preserve"> </w:t>
      </w:r>
      <w:r w:rsidR="00D41C62">
        <w:t>(the Types Determination)</w:t>
      </w:r>
      <w:r w:rsidR="006758A6">
        <w:t xml:space="preserve">. </w:t>
      </w:r>
    </w:p>
    <w:p w14:paraId="62B4FC03" w14:textId="2C0E0B55" w:rsidR="00CE7F4B" w:rsidRDefault="006758A6" w:rsidP="00D9108C">
      <w:r>
        <w:t xml:space="preserve">The Types Determination currently lists </w:t>
      </w:r>
      <w:r w:rsidR="00DE5BE9">
        <w:t>1</w:t>
      </w:r>
      <w:r w:rsidR="00546BFC">
        <w:t>6</w:t>
      </w:r>
      <w:r w:rsidR="00DE5BE9">
        <w:t xml:space="preserve"> transmitter licence types</w:t>
      </w:r>
      <w:r w:rsidR="00441458">
        <w:t xml:space="preserve"> and </w:t>
      </w:r>
      <w:r w:rsidR="007C7C12">
        <w:t>five</w:t>
      </w:r>
      <w:r w:rsidR="002F0920">
        <w:t xml:space="preserve"> receiver licence types</w:t>
      </w:r>
      <w:r w:rsidR="00546BFC">
        <w:t>.</w:t>
      </w:r>
      <w:r w:rsidR="007A07CC">
        <w:t xml:space="preserve"> </w:t>
      </w:r>
      <w:r>
        <w:t xml:space="preserve">Each of the current apparatus licence types </w:t>
      </w:r>
      <w:r w:rsidR="008713C5">
        <w:t xml:space="preserve">is </w:t>
      </w:r>
      <w:r>
        <w:t xml:space="preserve">associated with a particular radiocommunications service (for example, land mobile, fixed, amateur, etc.). Typically, this service reflects a use and/or purpose identified in the </w:t>
      </w:r>
      <w:hyperlink r:id="rId29" w:history="1">
        <w:r w:rsidR="007678A0" w:rsidRPr="006D7975">
          <w:rPr>
            <w:rStyle w:val="Hyperlink"/>
            <w:i/>
          </w:rPr>
          <w:t>Australian Radio</w:t>
        </w:r>
        <w:r w:rsidR="006D7975" w:rsidRPr="006D7975">
          <w:rPr>
            <w:rStyle w:val="Hyperlink"/>
            <w:i/>
          </w:rPr>
          <w:t>frequency Spectrum Plan 2017</w:t>
        </w:r>
      </w:hyperlink>
      <w:r w:rsidR="00281CDC" w:rsidRPr="008C7430">
        <w:t>.</w:t>
      </w:r>
      <w:r w:rsidR="006D7975">
        <w:rPr>
          <w:i/>
        </w:rPr>
        <w:t xml:space="preserve"> </w:t>
      </w:r>
      <w:r w:rsidR="00E124FB">
        <w:t xml:space="preserve">The current apparatus </w:t>
      </w:r>
      <w:r w:rsidR="00B474DF">
        <w:t>licence types</w:t>
      </w:r>
      <w:r w:rsidR="00D41C62">
        <w:t xml:space="preserve"> </w:t>
      </w:r>
      <w:r w:rsidR="00E124FB">
        <w:t xml:space="preserve">are defined in the </w:t>
      </w:r>
      <w:hyperlink r:id="rId30" w:history="1">
        <w:r w:rsidR="00D41C62" w:rsidRPr="000D480B">
          <w:rPr>
            <w:rStyle w:val="Hyperlink"/>
          </w:rPr>
          <w:t>Radiocommunications (Interpretation) Determination 2015</w:t>
        </w:r>
      </w:hyperlink>
      <w:r w:rsidR="00D41C62">
        <w:rPr>
          <w:i/>
        </w:rPr>
        <w:t xml:space="preserve"> </w:t>
      </w:r>
      <w:r w:rsidR="00D41C62">
        <w:t xml:space="preserve">(the Interpretation Determination). </w:t>
      </w:r>
    </w:p>
    <w:p w14:paraId="25E9957A" w14:textId="6270B339" w:rsidR="001A6DBE" w:rsidRPr="007B229A" w:rsidRDefault="001A6DBE" w:rsidP="007B229A">
      <w:pPr>
        <w:pStyle w:val="Heading3"/>
      </w:pPr>
      <w:bookmarkStart w:id="6" w:name="_Toc11308297"/>
      <w:r w:rsidRPr="007B229A">
        <w:t>Licence conditions</w:t>
      </w:r>
      <w:bookmarkEnd w:id="6"/>
      <w:r w:rsidRPr="007B229A">
        <w:t xml:space="preserve"> </w:t>
      </w:r>
    </w:p>
    <w:p w14:paraId="7E2CBC34" w14:textId="35CAE6A5" w:rsidR="001C0FBC" w:rsidRDefault="001C0FBC" w:rsidP="00820510">
      <w:r>
        <w:t xml:space="preserve">The operation of a </w:t>
      </w:r>
      <w:r w:rsidR="008E3476">
        <w:t xml:space="preserve">radiocommunications </w:t>
      </w:r>
      <w:r w:rsidR="00B0596B">
        <w:t xml:space="preserve">device </w:t>
      </w:r>
      <w:r>
        <w:t>under a</w:t>
      </w:r>
      <w:r w:rsidR="007D63D0">
        <w:t>n apparatus</w:t>
      </w:r>
      <w:r>
        <w:t xml:space="preserve"> licence is subject to the conditions </w:t>
      </w:r>
      <w:r w:rsidR="00C65AC2">
        <w:t>specified in</w:t>
      </w:r>
      <w:r>
        <w:t xml:space="preserve"> the </w:t>
      </w:r>
      <w:r w:rsidR="006758A6">
        <w:t xml:space="preserve">individual </w:t>
      </w:r>
      <w:r>
        <w:t>licence</w:t>
      </w:r>
      <w:r w:rsidR="009514F6">
        <w:t xml:space="preserve"> and </w:t>
      </w:r>
      <w:r w:rsidR="00A01328">
        <w:t>conditions</w:t>
      </w:r>
      <w:r w:rsidR="00FE5072">
        <w:t xml:space="preserve"> </w:t>
      </w:r>
      <w:r w:rsidR="00C65AC2">
        <w:t xml:space="preserve">determined </w:t>
      </w:r>
      <w:r w:rsidR="00A01328">
        <w:t xml:space="preserve">in </w:t>
      </w:r>
      <w:r w:rsidR="007D63D0">
        <w:t xml:space="preserve">applicable </w:t>
      </w:r>
      <w:r w:rsidR="00A01328">
        <w:t>licence conditions determinations (LCDs)</w:t>
      </w:r>
      <w:r w:rsidR="007D63D0">
        <w:t xml:space="preserve"> made by the ACMA under paragraph 107(1)(f) of the Act</w:t>
      </w:r>
      <w:r>
        <w:t>.</w:t>
      </w:r>
      <w:r w:rsidR="00FF4564">
        <w:rPr>
          <w:rStyle w:val="FootnoteReference"/>
        </w:rPr>
        <w:footnoteReference w:id="3"/>
      </w:r>
      <w:r>
        <w:t xml:space="preserve"> </w:t>
      </w:r>
      <w:r w:rsidR="00FF4564">
        <w:t xml:space="preserve"> </w:t>
      </w:r>
      <w:r w:rsidR="007D63D0">
        <w:t>C</w:t>
      </w:r>
      <w:r>
        <w:t xml:space="preserve">onditions </w:t>
      </w:r>
      <w:r w:rsidR="007D63D0">
        <w:t xml:space="preserve">may be either technical </w:t>
      </w:r>
      <w:r w:rsidR="000D480B">
        <w:t>(for example,</w:t>
      </w:r>
      <w:r w:rsidR="003C5399">
        <w:t xml:space="preserve"> </w:t>
      </w:r>
      <w:r>
        <w:t>maximum total radiated power</w:t>
      </w:r>
      <w:r w:rsidR="004C6B2B">
        <w:t xml:space="preserve"> and </w:t>
      </w:r>
      <w:r>
        <w:t>frequency) and</w:t>
      </w:r>
      <w:r w:rsidR="00650565">
        <w:t xml:space="preserve">/or </w:t>
      </w:r>
      <w:r w:rsidR="007D63D0">
        <w:t xml:space="preserve">non-technical </w:t>
      </w:r>
      <w:r>
        <w:t>(</w:t>
      </w:r>
      <w:r w:rsidR="000D480B">
        <w:t>for example,</w:t>
      </w:r>
      <w:r w:rsidR="007D63D0">
        <w:t xml:space="preserve"> </w:t>
      </w:r>
      <w:r>
        <w:t>registration requirements, limitations on purpose, record</w:t>
      </w:r>
      <w:r w:rsidR="000348A3">
        <w:t>-</w:t>
      </w:r>
      <w:r>
        <w:t>keeping requirements).</w:t>
      </w:r>
    </w:p>
    <w:p w14:paraId="411E0C98" w14:textId="1AD42DFF" w:rsidR="00CE7F4B" w:rsidRDefault="0008112B" w:rsidP="00D9108C">
      <w:r>
        <w:t xml:space="preserve">While the </w:t>
      </w:r>
      <w:hyperlink r:id="rId31" w:history="1">
        <w:r w:rsidRPr="00465759">
          <w:rPr>
            <w:rStyle w:val="Hyperlink"/>
          </w:rPr>
          <w:t>Radiocommunications Licence Conditions (Apparatus Licence) Determination 2015</w:t>
        </w:r>
      </w:hyperlink>
      <w:r>
        <w:t xml:space="preserve"> applies </w:t>
      </w:r>
      <w:r w:rsidR="00401010">
        <w:t xml:space="preserve">across </w:t>
      </w:r>
      <w:r>
        <w:t xml:space="preserve">all apparatus licence types, the majority of </w:t>
      </w:r>
      <w:r w:rsidR="001A6DBE">
        <w:t xml:space="preserve">LCDs </w:t>
      </w:r>
      <w:r w:rsidR="00CE7F4B">
        <w:t>are aligned with</w:t>
      </w:r>
      <w:r w:rsidR="00F83DE9">
        <w:t xml:space="preserve"> particular</w:t>
      </w:r>
      <w:r w:rsidR="00CE7F4B">
        <w:t xml:space="preserve"> apparatus licence types. For example, the </w:t>
      </w:r>
      <w:hyperlink r:id="rId32" w:history="1">
        <w:r w:rsidR="00CE7F4B" w:rsidRPr="000D480B">
          <w:rPr>
            <w:rStyle w:val="Hyperlink"/>
          </w:rPr>
          <w:t>Radiocommunications Licence Conditions (Land Mobile</w:t>
        </w:r>
        <w:r w:rsidR="00F27D3A" w:rsidRPr="000D480B">
          <w:rPr>
            <w:rStyle w:val="Hyperlink"/>
          </w:rPr>
          <w:t xml:space="preserve"> Licence</w:t>
        </w:r>
        <w:r w:rsidR="00CE7F4B" w:rsidRPr="000D480B">
          <w:rPr>
            <w:rStyle w:val="Hyperlink"/>
          </w:rPr>
          <w:t>) Determination 20</w:t>
        </w:r>
        <w:r w:rsidR="00F27D3A" w:rsidRPr="000D480B">
          <w:rPr>
            <w:rStyle w:val="Hyperlink"/>
          </w:rPr>
          <w:t>15</w:t>
        </w:r>
      </w:hyperlink>
      <w:r w:rsidR="002A6F70">
        <w:rPr>
          <w:i/>
        </w:rPr>
        <w:t xml:space="preserve"> </w:t>
      </w:r>
      <w:r w:rsidR="00CE7F4B">
        <w:t xml:space="preserve">contains conditions that </w:t>
      </w:r>
      <w:r w:rsidR="001A6DBE">
        <w:t>apply to all land mobile apparatus licences</w:t>
      </w:r>
      <w:r w:rsidR="00CE7F4B">
        <w:t>.</w:t>
      </w:r>
    </w:p>
    <w:p w14:paraId="1AF8C4A6" w14:textId="5E834529" w:rsidR="005D2D33" w:rsidRDefault="005D2D33" w:rsidP="005D2D33">
      <w:pPr>
        <w:pStyle w:val="Heading3"/>
      </w:pPr>
      <w:bookmarkStart w:id="7" w:name="_Toc11308298"/>
      <w:r>
        <w:t>Register of Radiocommunications Licences</w:t>
      </w:r>
      <w:bookmarkEnd w:id="7"/>
    </w:p>
    <w:p w14:paraId="19748456" w14:textId="65868BDC" w:rsidR="004D273C" w:rsidRDefault="006F3E4D" w:rsidP="005D2D33">
      <w:r>
        <w:t xml:space="preserve">In order to aid licensees </w:t>
      </w:r>
      <w:r w:rsidR="004D273C">
        <w:t xml:space="preserve">in interference management and </w:t>
      </w:r>
      <w:r w:rsidR="007D63D0">
        <w:t xml:space="preserve">frequency </w:t>
      </w:r>
      <w:r w:rsidR="004D273C">
        <w:t>coordination,</w:t>
      </w:r>
      <w:r w:rsidR="007E5440">
        <w:t xml:space="preserve"> the Act</w:t>
      </w:r>
      <w:r w:rsidR="005D2D33">
        <w:t xml:space="preserve"> requires certain information about </w:t>
      </w:r>
      <w:r w:rsidR="008E6AE3">
        <w:t xml:space="preserve">apparatus </w:t>
      </w:r>
      <w:r w:rsidR="005D2D33">
        <w:t>licence</w:t>
      </w:r>
      <w:r w:rsidR="008E6AE3">
        <w:t>s</w:t>
      </w:r>
      <w:r w:rsidR="005D2D33">
        <w:t xml:space="preserve"> and</w:t>
      </w:r>
      <w:r w:rsidR="00A76642">
        <w:t xml:space="preserve"> radiocommunications</w:t>
      </w:r>
      <w:r w:rsidR="005D2D33">
        <w:t xml:space="preserve"> devices authorised by </w:t>
      </w:r>
      <w:r w:rsidR="008E6AE3">
        <w:t xml:space="preserve">apparatus </w:t>
      </w:r>
      <w:r w:rsidR="005D2D33">
        <w:t>licence</w:t>
      </w:r>
      <w:r w:rsidR="008E6AE3">
        <w:t xml:space="preserve">s </w:t>
      </w:r>
      <w:r w:rsidR="000348A3">
        <w:t xml:space="preserve">to </w:t>
      </w:r>
      <w:r w:rsidR="008E6AE3">
        <w:t>be included</w:t>
      </w:r>
      <w:r w:rsidR="005D2D33">
        <w:t xml:space="preserve"> </w:t>
      </w:r>
      <w:r w:rsidR="00A76642">
        <w:t>i</w:t>
      </w:r>
      <w:r w:rsidR="005D2D33">
        <w:t xml:space="preserve">n the </w:t>
      </w:r>
      <w:r w:rsidR="0010098A">
        <w:t xml:space="preserve">RRL. </w:t>
      </w:r>
      <w:r w:rsidR="00AE0388">
        <w:t xml:space="preserve">Section 147 of the Act prescribes that for each apparatus licence, the licensee’s name, postal address, </w:t>
      </w:r>
      <w:r w:rsidR="00FB76E6">
        <w:t xml:space="preserve">and </w:t>
      </w:r>
      <w:r w:rsidR="00AE0388">
        <w:t xml:space="preserve">the date of issue and expiry of the licence must be included </w:t>
      </w:r>
      <w:r w:rsidR="00A76642">
        <w:t>i</w:t>
      </w:r>
      <w:r w:rsidR="00AE0388">
        <w:t xml:space="preserve">n the RRL. </w:t>
      </w:r>
      <w:r w:rsidR="004C09F8">
        <w:t>T</w:t>
      </w:r>
      <w:r w:rsidR="00AE0388">
        <w:t xml:space="preserve">he ACMA </w:t>
      </w:r>
      <w:r w:rsidR="004C09F8">
        <w:t xml:space="preserve">may also </w:t>
      </w:r>
      <w:r w:rsidR="00AE0388">
        <w:t xml:space="preserve">determine further details about apparatus licences that </w:t>
      </w:r>
      <w:r w:rsidR="004C09F8">
        <w:t xml:space="preserve">must </w:t>
      </w:r>
      <w:r w:rsidR="00AE0388">
        <w:t xml:space="preserve">be contained within the RRL. </w:t>
      </w:r>
    </w:p>
    <w:p w14:paraId="1BF409A1" w14:textId="29D49477" w:rsidR="005D2D33" w:rsidRPr="00BF1463" w:rsidRDefault="005D2D33" w:rsidP="000D480B">
      <w:r>
        <w:t>The</w:t>
      </w:r>
      <w:r w:rsidR="004D273C">
        <w:t xml:space="preserve"> ACMA has made the</w:t>
      </w:r>
      <w:r>
        <w:t xml:space="preserve"> </w:t>
      </w:r>
      <w:hyperlink r:id="rId33" w:history="1">
        <w:r w:rsidRPr="006F3E4D">
          <w:rPr>
            <w:rStyle w:val="Hyperlink"/>
          </w:rPr>
          <w:t>Radiocommunications (Register of Radiocommunications Licences) Determination 2017</w:t>
        </w:r>
      </w:hyperlink>
      <w:r w:rsidR="006F3E4D">
        <w:t xml:space="preserve"> (the RRL Determination)</w:t>
      </w:r>
      <w:r w:rsidR="00A76642">
        <w:t xml:space="preserve"> pursuant to </w:t>
      </w:r>
      <w:r w:rsidR="00FB76E6">
        <w:t xml:space="preserve">sections 144, 147 and 149 </w:t>
      </w:r>
      <w:r w:rsidR="004D273C">
        <w:t>of the Act</w:t>
      </w:r>
      <w:r w:rsidR="007D63D0">
        <w:t xml:space="preserve">. The RRL Determination prescribes </w:t>
      </w:r>
      <w:r w:rsidR="00274BE8">
        <w:t xml:space="preserve">certain </w:t>
      </w:r>
      <w:r w:rsidR="007D63D0">
        <w:t xml:space="preserve">information that must be included on the RRL </w:t>
      </w:r>
      <w:r>
        <w:t xml:space="preserve">about apparatus licences </w:t>
      </w:r>
      <w:r w:rsidR="008E6AE3">
        <w:t>and devices operated under apparatus licences</w:t>
      </w:r>
      <w:r w:rsidR="00AE0388">
        <w:t>.</w:t>
      </w:r>
      <w:r w:rsidR="004C09F8">
        <w:rPr>
          <w:rStyle w:val="FootnoteReference"/>
        </w:rPr>
        <w:footnoteReference w:id="4"/>
      </w:r>
      <w:r w:rsidR="004C09F8">
        <w:t xml:space="preserve"> </w:t>
      </w:r>
    </w:p>
    <w:p w14:paraId="7C72FC1E" w14:textId="06F25D7A" w:rsidR="00851118" w:rsidRPr="00722BB3" w:rsidRDefault="00851118" w:rsidP="00C81C0B">
      <w:pPr>
        <w:pStyle w:val="Heading3"/>
      </w:pPr>
      <w:bookmarkStart w:id="8" w:name="_Toc11308299"/>
      <w:r w:rsidRPr="00722BB3">
        <w:t>Technical planning documents</w:t>
      </w:r>
      <w:bookmarkEnd w:id="8"/>
    </w:p>
    <w:p w14:paraId="5CCEB2CC" w14:textId="2DB26E0D" w:rsidR="00A6453D" w:rsidRDefault="00851118" w:rsidP="00851118">
      <w:r>
        <w:t xml:space="preserve">The ACMA publishes various technical planning instructions that assist licensees and accredited persons in coordinating </w:t>
      </w:r>
      <w:r w:rsidR="00F54698">
        <w:t xml:space="preserve">radiocommunications </w:t>
      </w:r>
      <w:r>
        <w:t xml:space="preserve">devices </w:t>
      </w:r>
      <w:r w:rsidR="00702B29">
        <w:t xml:space="preserve">and assigning frequencies </w:t>
      </w:r>
      <w:r>
        <w:t>that are proposed for operation under a</w:t>
      </w:r>
      <w:r w:rsidR="00720A43">
        <w:t>n apparatus</w:t>
      </w:r>
      <w:r>
        <w:t xml:space="preserve"> licence. </w:t>
      </w:r>
    </w:p>
    <w:p w14:paraId="623F1298" w14:textId="2DF2DED5" w:rsidR="00851118" w:rsidRDefault="00DC45B6" w:rsidP="00851118">
      <w:r>
        <w:t xml:space="preserve">RALIs are the </w:t>
      </w:r>
      <w:r w:rsidR="00A6453D">
        <w:t>most common technical instructions published by the ACMA</w:t>
      </w:r>
      <w:r>
        <w:t xml:space="preserve"> and </w:t>
      </w:r>
      <w:r w:rsidR="00851118">
        <w:t>typically apply on the basis of licence type (</w:t>
      </w:r>
      <w:r w:rsidR="00A77131">
        <w:t>for example,</w:t>
      </w:r>
      <w:r w:rsidR="00851118">
        <w:t xml:space="preserve"> </w:t>
      </w:r>
      <w:r w:rsidR="00017C79">
        <w:t xml:space="preserve">the </w:t>
      </w:r>
      <w:r w:rsidR="00851118">
        <w:t xml:space="preserve">land mobile </w:t>
      </w:r>
      <w:r w:rsidR="00017C79">
        <w:t>licence</w:t>
      </w:r>
      <w:r w:rsidR="008E76C2">
        <w:t>s</w:t>
      </w:r>
      <w:r w:rsidR="00017C79">
        <w:t xml:space="preserve"> </w:t>
      </w:r>
      <w:r w:rsidR="008E76C2">
        <w:t>are</w:t>
      </w:r>
      <w:r w:rsidR="00017C79">
        <w:t xml:space="preserve"> associated with </w:t>
      </w:r>
      <w:hyperlink r:id="rId34" w:history="1">
        <w:r w:rsidR="00851118" w:rsidRPr="002568C4">
          <w:rPr>
            <w:rStyle w:val="Hyperlink"/>
          </w:rPr>
          <w:t>RALI LM8</w:t>
        </w:r>
      </w:hyperlink>
      <w:r w:rsidR="00851118">
        <w:t xml:space="preserve">) and frequency band. </w:t>
      </w:r>
    </w:p>
    <w:p w14:paraId="28B92943" w14:textId="6FEBBC0A" w:rsidR="00851118" w:rsidRPr="002A2F9B" w:rsidRDefault="00720A43" w:rsidP="00851118">
      <w:r>
        <w:t xml:space="preserve">Accredited persons may have regard to </w:t>
      </w:r>
      <w:r w:rsidR="00A6453D">
        <w:t xml:space="preserve">RALIs </w:t>
      </w:r>
      <w:r>
        <w:t>when undertaking an assessment</w:t>
      </w:r>
      <w:r w:rsidR="00A6453D">
        <w:t xml:space="preserve"> </w:t>
      </w:r>
      <w:r>
        <w:t xml:space="preserve">prior to issuing </w:t>
      </w:r>
      <w:r w:rsidR="002B20A2">
        <w:t xml:space="preserve">a </w:t>
      </w:r>
      <w:r w:rsidR="00A6453D">
        <w:t>frequency assignment certificate</w:t>
      </w:r>
      <w:r w:rsidR="00E53530">
        <w:t xml:space="preserve"> (FAC)</w:t>
      </w:r>
      <w:r w:rsidR="00A6453D">
        <w:t xml:space="preserve"> as part of the administrative coordination process that typically precedes the issue of an apparatus licence. </w:t>
      </w:r>
      <w:r>
        <w:t>FACs</w:t>
      </w:r>
      <w:r w:rsidR="00AB059A">
        <w:t xml:space="preserve"> indicate that</w:t>
      </w:r>
      <w:r>
        <w:t xml:space="preserve"> radiocommunications</w:t>
      </w:r>
      <w:r w:rsidR="00AB059A">
        <w:t xml:space="preserve"> device(s) proposed for operation under a</w:t>
      </w:r>
      <w:r w:rsidR="00BD585A">
        <w:t>n apparatus</w:t>
      </w:r>
      <w:r w:rsidR="00AB059A">
        <w:t xml:space="preserve"> licence comply with</w:t>
      </w:r>
      <w:r w:rsidR="006F7436">
        <w:t xml:space="preserve"> the relevant</w:t>
      </w:r>
      <w:r w:rsidR="00AB059A">
        <w:t xml:space="preserve"> technical planning instructions (such as RALIs) and/or will not pose significant interference risk to other licensees. </w:t>
      </w:r>
      <w:r w:rsidR="00A6453D">
        <w:t>When deciding whether to issue an apparatus licence, the ACMA may take into account</w:t>
      </w:r>
      <w:r w:rsidR="00D77357">
        <w:t xml:space="preserve"> the issue of a FAC by an accredited person</w:t>
      </w:r>
      <w:r w:rsidR="00A6453D">
        <w:t>.</w:t>
      </w:r>
      <w:r w:rsidR="00E25C97">
        <w:rPr>
          <w:rStyle w:val="FootnoteReference"/>
        </w:rPr>
        <w:footnoteReference w:id="5"/>
      </w:r>
      <w:r w:rsidR="00A6453D">
        <w:t xml:space="preserve"> </w:t>
      </w:r>
    </w:p>
    <w:p w14:paraId="1BD5EC04" w14:textId="05D52582" w:rsidR="00E25C97" w:rsidRDefault="00E124FB" w:rsidP="00AB3936">
      <w:pPr>
        <w:pStyle w:val="Heading3"/>
      </w:pPr>
      <w:bookmarkStart w:id="9" w:name="_Toc11308300"/>
      <w:r w:rsidRPr="00722BB3">
        <w:t xml:space="preserve">Allocation, </w:t>
      </w:r>
      <w:r w:rsidR="00EF647A">
        <w:t>charges</w:t>
      </w:r>
      <w:r w:rsidR="00EF647A" w:rsidRPr="00722BB3">
        <w:t xml:space="preserve"> </w:t>
      </w:r>
      <w:r w:rsidR="00EF647A">
        <w:t xml:space="preserve">and </w:t>
      </w:r>
      <w:r w:rsidRPr="00722BB3">
        <w:t>taxation</w:t>
      </w:r>
      <w:bookmarkEnd w:id="9"/>
      <w:r w:rsidR="00DC45B6">
        <w:t xml:space="preserve"> </w:t>
      </w:r>
    </w:p>
    <w:p w14:paraId="15E4E23B" w14:textId="5C57E544" w:rsidR="00E25C97" w:rsidRDefault="0016084E" w:rsidP="00A14018">
      <w:r>
        <w:t>The ACMA may issue apparatus licences administratively (‘over the counter’) or by a price-based allocation process</w:t>
      </w:r>
      <w:r w:rsidR="00173950">
        <w:t xml:space="preserve">. A </w:t>
      </w:r>
      <w:r>
        <w:t>price-based allocation process</w:t>
      </w:r>
      <w:r w:rsidR="00173950">
        <w:t xml:space="preserve"> may only be used</w:t>
      </w:r>
      <w:r>
        <w:t xml:space="preserve"> for specified transmitter licences. </w:t>
      </w:r>
      <w:r w:rsidR="00A6453D">
        <w:t>T</w:t>
      </w:r>
      <w:r w:rsidR="00702B29">
        <w:t>he</w:t>
      </w:r>
      <w:r w:rsidR="00761ADC">
        <w:t xml:space="preserve"> </w:t>
      </w:r>
      <w:r w:rsidR="00A6453D">
        <w:t xml:space="preserve">ACMA’s </w:t>
      </w:r>
      <w:r w:rsidR="00761ADC">
        <w:t xml:space="preserve">practice has been to issue </w:t>
      </w:r>
      <w:r w:rsidR="00FD0FD0">
        <w:t xml:space="preserve">most </w:t>
      </w:r>
      <w:r w:rsidR="00761ADC">
        <w:t>apparatus licences by administrative means</w:t>
      </w:r>
      <w:r>
        <w:t>.</w:t>
      </w:r>
    </w:p>
    <w:p w14:paraId="2006FD26" w14:textId="0E67646F" w:rsidR="00E25C97" w:rsidRDefault="007D72D6" w:rsidP="00A14018">
      <w:r>
        <w:t xml:space="preserve">Apparatus licences are </w:t>
      </w:r>
      <w:r w:rsidR="00227FC2">
        <w:t>subject to</w:t>
      </w:r>
      <w:r w:rsidR="00E25C97">
        <w:t xml:space="preserve"> </w:t>
      </w:r>
      <w:hyperlink r:id="rId35" w:history="1">
        <w:r w:rsidR="00E25C97" w:rsidRPr="00E25C97">
          <w:rPr>
            <w:rStyle w:val="Hyperlink"/>
          </w:rPr>
          <w:t>apparatus licence</w:t>
        </w:r>
        <w:r w:rsidR="00227FC2" w:rsidRPr="00E25C97">
          <w:rPr>
            <w:rStyle w:val="Hyperlink"/>
          </w:rPr>
          <w:t xml:space="preserve"> fees</w:t>
        </w:r>
      </w:hyperlink>
      <w:r w:rsidR="00E25C97">
        <w:t xml:space="preserve"> including</w:t>
      </w:r>
      <w:r w:rsidR="00227FC2">
        <w:t xml:space="preserve"> </w:t>
      </w:r>
      <w:r w:rsidR="00E25C97">
        <w:t xml:space="preserve">administrative charges </w:t>
      </w:r>
      <w:r w:rsidR="00227FC2">
        <w:t xml:space="preserve">and annual taxation. </w:t>
      </w:r>
      <w:r w:rsidR="00E25C97">
        <w:t xml:space="preserve">Administrative charges seek to recover the direct costs of spectrum management such as costs incurred by the ACMA for licence issue and/or renewal. These charges are determined by the </w:t>
      </w:r>
      <w:hyperlink r:id="rId36" w:history="1">
        <w:r w:rsidR="00E25C97" w:rsidRPr="000D480B">
          <w:rPr>
            <w:rStyle w:val="Hyperlink"/>
          </w:rPr>
          <w:t>Radiocommunications (Charges) Determination 2017</w:t>
        </w:r>
      </w:hyperlink>
      <w:r w:rsidR="00E25C97">
        <w:t xml:space="preserve"> (Charges Determination)</w:t>
      </w:r>
      <w:r w:rsidR="00EF647A">
        <w:t>.</w:t>
      </w:r>
    </w:p>
    <w:p w14:paraId="56896229" w14:textId="115771F6" w:rsidR="00F60B69" w:rsidRPr="00A14018" w:rsidRDefault="00761ADC" w:rsidP="00A14018">
      <w:r>
        <w:t xml:space="preserve">The taxation arrangements for ‘over the counter’ apparatus licences are set out in </w:t>
      </w:r>
      <w:r w:rsidR="00B474DF">
        <w:t xml:space="preserve">the </w:t>
      </w:r>
      <w:hyperlink r:id="rId37" w:history="1">
        <w:r w:rsidR="002A2F9B" w:rsidRPr="000D480B">
          <w:rPr>
            <w:rStyle w:val="Hyperlink"/>
          </w:rPr>
          <w:t>Radiocommunications (Transmitter Licence Tax) Determination 2015</w:t>
        </w:r>
      </w:hyperlink>
      <w:r w:rsidR="002A2F9B" w:rsidRPr="000D480B">
        <w:t xml:space="preserve"> </w:t>
      </w:r>
      <w:r w:rsidRPr="00660DE6">
        <w:t xml:space="preserve">and the </w:t>
      </w:r>
      <w:hyperlink r:id="rId38" w:history="1">
        <w:r w:rsidR="000556DA" w:rsidRPr="000556DA">
          <w:rPr>
            <w:rStyle w:val="Hyperlink"/>
          </w:rPr>
          <w:t>Radiocommunications (Receiver Licence Tax) Determination 2015</w:t>
        </w:r>
      </w:hyperlink>
      <w:r w:rsidR="000556DA">
        <w:t xml:space="preserve"> (</w:t>
      </w:r>
      <w:r w:rsidR="003C3DF1">
        <w:t>the Transmitter Tax Determination and Receiver Tax Determination</w:t>
      </w:r>
      <w:r w:rsidR="000556DA">
        <w:t>)</w:t>
      </w:r>
      <w:r w:rsidR="000556DA" w:rsidRPr="000D480B">
        <w:t>.</w:t>
      </w:r>
      <w:r w:rsidR="002A2F9B">
        <w:t xml:space="preserve"> The </w:t>
      </w:r>
      <w:r w:rsidR="00E21E7F">
        <w:t>t</w:t>
      </w:r>
      <w:r w:rsidR="00234447">
        <w:t xml:space="preserve">ax </w:t>
      </w:r>
      <w:r w:rsidR="00E21E7F">
        <w:t>d</w:t>
      </w:r>
      <w:r w:rsidR="00234447">
        <w:t xml:space="preserve">eterminations specify </w:t>
      </w:r>
      <w:r w:rsidR="002A2F9B">
        <w:lastRenderedPageBreak/>
        <w:t>the annual tax amounts that licensees must pay fo</w:t>
      </w:r>
      <w:r w:rsidR="00426174">
        <w:t xml:space="preserve">r </w:t>
      </w:r>
      <w:r w:rsidR="008B3A57">
        <w:t xml:space="preserve">each </w:t>
      </w:r>
      <w:r w:rsidR="004D4056">
        <w:t>chargeable spectrum access.</w:t>
      </w:r>
      <w:r w:rsidR="00E17419" w:rsidDel="004D4056">
        <w:t xml:space="preserve"> </w:t>
      </w:r>
      <w:r w:rsidR="0049546E">
        <w:t xml:space="preserve">With limited exceptions </w:t>
      </w:r>
      <w:r w:rsidR="005873A9">
        <w:t>(</w:t>
      </w:r>
      <w:r w:rsidR="008343AF">
        <w:t xml:space="preserve">for example, </w:t>
      </w:r>
      <w:r w:rsidR="005873A9">
        <w:t>PMTS licences)</w:t>
      </w:r>
      <w:r w:rsidR="008343AF">
        <w:t>,</w:t>
      </w:r>
      <w:r w:rsidR="0049546E">
        <w:t xml:space="preserve"> the pricing formula</w:t>
      </w:r>
      <w:r w:rsidR="00880D9E">
        <w:t xml:space="preserve"> </w:t>
      </w:r>
      <w:r w:rsidR="00E17419">
        <w:t xml:space="preserve">for </w:t>
      </w:r>
      <w:r w:rsidR="0049546E">
        <w:t>‘chargeable spectrum access</w:t>
      </w:r>
      <w:r w:rsidR="00880D9E">
        <w:t>es</w:t>
      </w:r>
      <w:r w:rsidR="0049546E">
        <w:t xml:space="preserve">’ has </w:t>
      </w:r>
      <w:r w:rsidR="00596B6E">
        <w:t>applied</w:t>
      </w:r>
      <w:r w:rsidR="0049546E">
        <w:t xml:space="preserve"> a ‘per transmitter’ pricing approach.</w:t>
      </w:r>
      <w:r w:rsidR="004A330C">
        <w:t xml:space="preserve"> </w:t>
      </w:r>
    </w:p>
    <w:p w14:paraId="288CAA22" w14:textId="14660903" w:rsidR="00FF3C69" w:rsidRDefault="00FA5A0B" w:rsidP="00FF3C69">
      <w:pPr>
        <w:pStyle w:val="Heading1"/>
      </w:pPr>
      <w:bookmarkStart w:id="10" w:name="_Toc11308301"/>
      <w:r>
        <w:lastRenderedPageBreak/>
        <w:t>Discussion</w:t>
      </w:r>
      <w:bookmarkEnd w:id="10"/>
    </w:p>
    <w:p w14:paraId="281750C8" w14:textId="2FEA9789" w:rsidR="005210D3" w:rsidRDefault="005210D3" w:rsidP="00A6453D">
      <w:r>
        <w:t xml:space="preserve">As Australia’s use of spectrum evolves, the apparatus licensing framework must also develop to better meet emerging needs, encourage innovative use and broaden licensee choice. </w:t>
      </w:r>
      <w:r w:rsidR="003D4413">
        <w:t xml:space="preserve">As part of this development, </w:t>
      </w:r>
      <w:r>
        <w:t xml:space="preserve">the ACMA is exploring </w:t>
      </w:r>
      <w:r w:rsidR="00B115A4">
        <w:t xml:space="preserve">amending the apparatus licensing framework to </w:t>
      </w:r>
      <w:r w:rsidR="003D4413">
        <w:t>provid</w:t>
      </w:r>
      <w:r w:rsidR="00B115A4">
        <w:t xml:space="preserve">e </w:t>
      </w:r>
      <w:r>
        <w:t xml:space="preserve">a suitable licensing option for area-wide, multi-device deployments. </w:t>
      </w:r>
    </w:p>
    <w:p w14:paraId="0BFAB63B" w14:textId="77777777" w:rsidR="00AA7320" w:rsidRDefault="00A6453D" w:rsidP="00A6453D">
      <w:r w:rsidRPr="00722BB3">
        <w:t>Historically apparatus licences</w:t>
      </w:r>
      <w:r>
        <w:t xml:space="preserve"> have authorised licensees to operate specific radiocommunications devices or kinds of radiocommunications devices at identified geographic locations on specified frequencies. This form of licence is referred to as a ‘site-coordinated licence’. </w:t>
      </w:r>
    </w:p>
    <w:p w14:paraId="6A453976" w14:textId="293ACCC8" w:rsidR="00A6453D" w:rsidRDefault="00A6453D" w:rsidP="00A6453D">
      <w:r>
        <w:t>Over time, the ACMA has developed different approaches to provide more flexibility for licensees. This includes land mobile system and PMTS Class B apparatus licences, both of which permit licensees to operate multiple radiocommunications devices within a defined or notional geographic area. While land mobile system and PMTS Class B licences provide greater flexibility, both licence</w:t>
      </w:r>
      <w:r w:rsidR="009F5685">
        <w:t xml:space="preserve">s </w:t>
      </w:r>
      <w:r>
        <w:t xml:space="preserve">are restricted to uses and services associated with </w:t>
      </w:r>
      <w:r w:rsidR="007E5440">
        <w:t xml:space="preserve">the land mobile and </w:t>
      </w:r>
      <w:r w:rsidR="001852C2">
        <w:t>P</w:t>
      </w:r>
      <w:r w:rsidR="00C126A5">
        <w:t xml:space="preserve">ublic Telecommunications </w:t>
      </w:r>
      <w:r w:rsidR="001852C2">
        <w:t>S</w:t>
      </w:r>
      <w:r w:rsidR="00C126A5">
        <w:t>ervice</w:t>
      </w:r>
      <w:r w:rsidR="001852C2">
        <w:t xml:space="preserve"> (</w:t>
      </w:r>
      <w:r w:rsidR="007E5440">
        <w:t>P</w:t>
      </w:r>
      <w:r w:rsidR="00C126A5">
        <w:t>TS</w:t>
      </w:r>
      <w:r w:rsidR="001852C2">
        <w:t>)</w:t>
      </w:r>
      <w:r w:rsidR="007E5440">
        <w:t xml:space="preserve"> licence types respectively</w:t>
      </w:r>
      <w:r>
        <w:t>.</w:t>
      </w:r>
    </w:p>
    <w:p w14:paraId="0D70627A" w14:textId="5B505F10" w:rsidR="00C656A4" w:rsidRDefault="00A6453D" w:rsidP="00A6453D">
      <w:r>
        <w:t>In contrast, spectrum licences have generally been used to authorise large bandwidths of frequency across large geographic areas. Spectrum licences provide broad flexibility for area-wide deployments while being tradeable and capable of aggregation (individual spectrum licences may be combined into a single licence)</w:t>
      </w:r>
      <w:r w:rsidR="00A556C8">
        <w:t xml:space="preserve">. They </w:t>
      </w:r>
      <w:r w:rsidR="00032EC7">
        <w:t>may</w:t>
      </w:r>
      <w:r w:rsidR="008C2788">
        <w:t xml:space="preserve"> also</w:t>
      </w:r>
      <w:r w:rsidR="00032EC7">
        <w:t xml:space="preserve"> be disaggregated post allocation</w:t>
      </w:r>
      <w:r>
        <w:t xml:space="preserve">. However, the </w:t>
      </w:r>
      <w:r w:rsidR="0021029F">
        <w:t xml:space="preserve">typical </w:t>
      </w:r>
      <w:r>
        <w:t xml:space="preserve">scale, cost and limited availability </w:t>
      </w:r>
      <w:r w:rsidR="00E93305">
        <w:t xml:space="preserve">of spectrum licences </w:t>
      </w:r>
      <w:r>
        <w:t xml:space="preserve">means that </w:t>
      </w:r>
      <w:r w:rsidR="00E93305">
        <w:t xml:space="preserve">they </w:t>
      </w:r>
      <w:r>
        <w:t xml:space="preserve">may </w:t>
      </w:r>
      <w:r w:rsidR="002E242B">
        <w:t xml:space="preserve">not </w:t>
      </w:r>
      <w:r>
        <w:t xml:space="preserve">be </w:t>
      </w:r>
      <w:r w:rsidR="002E242B">
        <w:t>suitable</w:t>
      </w:r>
      <w:r>
        <w:t xml:space="preserve"> for authorising smaller-scale deployments. </w:t>
      </w:r>
    </w:p>
    <w:p w14:paraId="32F2D334" w14:textId="355BCDBE" w:rsidR="007A07CC" w:rsidRDefault="007A07CC" w:rsidP="007A07CC">
      <w:pPr>
        <w:pStyle w:val="Heading2"/>
      </w:pPr>
      <w:bookmarkStart w:id="11" w:name="_Toc11308302"/>
      <w:r>
        <w:t xml:space="preserve">The </w:t>
      </w:r>
      <w:r w:rsidR="0045694E">
        <w:t>area-wide</w:t>
      </w:r>
      <w:r>
        <w:t xml:space="preserve"> apparatus licence</w:t>
      </w:r>
      <w:r w:rsidR="00B92B82">
        <w:t xml:space="preserve"> concept</w:t>
      </w:r>
      <w:bookmarkEnd w:id="11"/>
    </w:p>
    <w:p w14:paraId="2CB416A9" w14:textId="7801D9FB" w:rsidR="002301BD" w:rsidRDefault="00A6453D" w:rsidP="00A6453D">
      <w:r>
        <w:t>To improve the flexibility of the apparatus licensing framework</w:t>
      </w:r>
      <w:r w:rsidR="00D519E4">
        <w:t xml:space="preserve"> </w:t>
      </w:r>
      <w:r>
        <w:t>the ACMA is proposing to develop</w:t>
      </w:r>
      <w:r w:rsidR="002301BD">
        <w:t xml:space="preserve"> a new transmitter licence type and a new receiver licence type. Both are proposed to be </w:t>
      </w:r>
      <w:r>
        <w:t xml:space="preserve">area-wide apparatus licence </w:t>
      </w:r>
      <w:r w:rsidR="002301BD">
        <w:t xml:space="preserve">types </w:t>
      </w:r>
      <w:r>
        <w:t>that may be used to authorise a variety of different services</w:t>
      </w:r>
      <w:r w:rsidR="002301BD">
        <w:t>. For brevity, the</w:t>
      </w:r>
      <w:r w:rsidR="000F6D98">
        <w:t>se proposed new types</w:t>
      </w:r>
      <w:r w:rsidR="002301BD">
        <w:t xml:space="preserve"> are referred to </w:t>
      </w:r>
      <w:r w:rsidR="000F6D98">
        <w:t xml:space="preserve">collectively </w:t>
      </w:r>
      <w:r w:rsidR="002301BD">
        <w:t xml:space="preserve">as </w:t>
      </w:r>
      <w:r>
        <w:t xml:space="preserve">the </w:t>
      </w:r>
      <w:r w:rsidR="00281C39">
        <w:t>‘area-wide’</w:t>
      </w:r>
      <w:r>
        <w:t xml:space="preserve"> licenc</w:t>
      </w:r>
      <w:r w:rsidR="002301BD">
        <w:t>e (</w:t>
      </w:r>
      <w:r w:rsidR="00110EF5">
        <w:t>AWL</w:t>
      </w:r>
      <w:r w:rsidR="002301BD">
        <w:t>) type.</w:t>
      </w:r>
      <w:r w:rsidR="005772BD">
        <w:rPr>
          <w:rStyle w:val="FootnoteReference"/>
        </w:rPr>
        <w:footnoteReference w:id="6"/>
      </w:r>
    </w:p>
    <w:p w14:paraId="365A326B" w14:textId="33F56AF3" w:rsidR="0051797E" w:rsidRDefault="00A6453D" w:rsidP="00A6453D">
      <w:r>
        <w:t xml:space="preserve">The ACMA believes that the </w:t>
      </w:r>
      <w:r w:rsidR="00110EF5">
        <w:t>AWL</w:t>
      </w:r>
      <w:r>
        <w:t xml:space="preserve"> </w:t>
      </w:r>
      <w:r w:rsidR="002301BD">
        <w:t xml:space="preserve">will be </w:t>
      </w:r>
      <w:r>
        <w:t xml:space="preserve">particularly conducive to scenarios where there are multiple radiocommunications devices operated within </w:t>
      </w:r>
      <w:r w:rsidR="000041D0">
        <w:t xml:space="preserve">smaller </w:t>
      </w:r>
      <w:r>
        <w:t>defined geographical area</w:t>
      </w:r>
      <w:r w:rsidR="009C5102">
        <w:t>s</w:t>
      </w:r>
      <w:r w:rsidR="007E5440">
        <w:t xml:space="preserve"> and specified frequenc</w:t>
      </w:r>
      <w:r w:rsidR="000041D0">
        <w:t xml:space="preserve">ies than those typically authorised by spectrum licences. </w:t>
      </w:r>
      <w:r w:rsidR="00C24C12">
        <w:t xml:space="preserve">The </w:t>
      </w:r>
      <w:r w:rsidR="00110EF5">
        <w:t>AWL</w:t>
      </w:r>
      <w:r w:rsidR="00C24C12">
        <w:t xml:space="preserve"> type concept is also consistent with the terms of reference of the Spectrum Review to promote more flexible licensing arrangements.</w:t>
      </w:r>
    </w:p>
    <w:p w14:paraId="351CB820" w14:textId="32DFF22E" w:rsidR="00A6453D" w:rsidRDefault="000F6D98" w:rsidP="00A6453D">
      <w:r>
        <w:lastRenderedPageBreak/>
        <w:t>A number of overseas jurisdictions have d</w:t>
      </w:r>
      <w:r w:rsidR="0051797E">
        <w:t>evelop</w:t>
      </w:r>
      <w:r>
        <w:t>ed</w:t>
      </w:r>
      <w:r w:rsidR="0051797E">
        <w:t xml:space="preserve"> a licensing option for small-area, multi-device deployments</w:t>
      </w:r>
      <w:r>
        <w:t xml:space="preserve">, including </w:t>
      </w:r>
      <w:r w:rsidR="0051797E">
        <w:t xml:space="preserve">for </w:t>
      </w:r>
      <w:r>
        <w:t xml:space="preserve">proposed </w:t>
      </w:r>
      <w:r w:rsidR="0051797E">
        <w:t>5G</w:t>
      </w:r>
      <w:r>
        <w:t xml:space="preserve"> applications</w:t>
      </w:r>
      <w:r w:rsidR="0051797E">
        <w:t>.</w:t>
      </w:r>
      <w:r w:rsidR="0017222D">
        <w:rPr>
          <w:rStyle w:val="FootnoteReference"/>
        </w:rPr>
        <w:footnoteReference w:id="7"/>
      </w:r>
      <w:r w:rsidR="0051797E">
        <w:t xml:space="preserve"> These overseas arrangements, while not exclusively restricted to industrial or commercial applications of spectrum, have often been utilised by a variety of ‘industry verticals’</w:t>
      </w:r>
      <w:r w:rsidR="00396837">
        <w:t>—</w:t>
      </w:r>
      <w:r w:rsidR="0051797E">
        <w:t>industries outside of the telecommunications industry who use spectrum to facilitate their operations (for example</w:t>
      </w:r>
      <w:r w:rsidR="003F3E8A">
        <w:t xml:space="preserve">, </w:t>
      </w:r>
      <w:r w:rsidR="0051797E">
        <w:t>mining and infrastructure).</w:t>
      </w:r>
      <w:r w:rsidR="00AB1FF5">
        <w:rPr>
          <w:rStyle w:val="FootnoteReference"/>
        </w:rPr>
        <w:footnoteReference w:id="8"/>
      </w:r>
    </w:p>
    <w:p w14:paraId="356C36BC" w14:textId="5B18948E" w:rsidR="007A07CC" w:rsidRDefault="007A07CC" w:rsidP="007A07CC">
      <w:r>
        <w:t>A</w:t>
      </w:r>
      <w:r w:rsidR="00281C39">
        <w:t>n</w:t>
      </w:r>
      <w:r>
        <w:t xml:space="preserve"> </w:t>
      </w:r>
      <w:r w:rsidR="00110EF5">
        <w:t>AWL</w:t>
      </w:r>
      <w:r>
        <w:t xml:space="preserve"> would authorise the operation of multiple radiocommunications devices in a particular frequency band within a particular geographic area, subject to </w:t>
      </w:r>
      <w:r w:rsidR="007751CD">
        <w:t>any conditions place</w:t>
      </w:r>
      <w:r w:rsidR="00BD25CE">
        <w:t>d</w:t>
      </w:r>
      <w:r>
        <w:t xml:space="preserve"> on</w:t>
      </w:r>
      <w:r w:rsidR="000709CB">
        <w:t>, or applicable to,</w:t>
      </w:r>
      <w:r>
        <w:t xml:space="preserve"> the licence.</w:t>
      </w:r>
    </w:p>
    <w:p w14:paraId="137CA7CF" w14:textId="1D756DEE" w:rsidR="007A07CC" w:rsidRDefault="00B92873" w:rsidP="00593343">
      <w:pPr>
        <w:spacing w:after="80"/>
      </w:pPr>
      <w:r>
        <w:t>K</w:t>
      </w:r>
      <w:r w:rsidR="007A07CC">
        <w:t>ey attributes of the</w:t>
      </w:r>
      <w:r w:rsidR="008B61EF">
        <w:t xml:space="preserve"> </w:t>
      </w:r>
      <w:r w:rsidR="00110EF5">
        <w:t>AWL</w:t>
      </w:r>
      <w:r w:rsidR="007A07CC">
        <w:t xml:space="preserve"> type:</w:t>
      </w:r>
    </w:p>
    <w:p w14:paraId="1D3EB9C7" w14:textId="0D040EA5" w:rsidR="00D57F09" w:rsidRDefault="000A2BE8" w:rsidP="000A2BE8">
      <w:pPr>
        <w:pStyle w:val="ListBullet"/>
      </w:pPr>
      <w:bookmarkStart w:id="12" w:name="_Hlk3895899"/>
      <w:r>
        <w:t>A</w:t>
      </w:r>
      <w:r w:rsidR="007A07CC">
        <w:t xml:space="preserve">rea-wide: </w:t>
      </w:r>
      <w:r>
        <w:t>L</w:t>
      </w:r>
      <w:r w:rsidR="007A07CC">
        <w:t xml:space="preserve">icences will authorise </w:t>
      </w:r>
      <w:r w:rsidR="005106E5">
        <w:t xml:space="preserve">one or more </w:t>
      </w:r>
      <w:r w:rsidR="0026523F">
        <w:t xml:space="preserve">radiocommunications devices </w:t>
      </w:r>
      <w:r w:rsidR="007A07CC">
        <w:t xml:space="preserve">in the geographic area at the frequency/frequencies specified </w:t>
      </w:r>
      <w:r w:rsidR="009C5102">
        <w:t>i</w:t>
      </w:r>
      <w:r w:rsidR="007A07CC">
        <w:t>n the licence</w:t>
      </w:r>
      <w:r w:rsidR="00A75CC9">
        <w:t>.</w:t>
      </w:r>
    </w:p>
    <w:p w14:paraId="687687FF" w14:textId="53F01BCC" w:rsidR="007A07CC" w:rsidRDefault="000A2BE8" w:rsidP="000A2BE8">
      <w:pPr>
        <w:pStyle w:val="ListBullet"/>
      </w:pPr>
      <w:r>
        <w:t>B</w:t>
      </w:r>
      <w:r w:rsidR="006F7436">
        <w:t>road</w:t>
      </w:r>
      <w:r>
        <w:t xml:space="preserve"> </w:t>
      </w:r>
      <w:r w:rsidR="00470AAF">
        <w:t>application</w:t>
      </w:r>
      <w:r w:rsidR="007A07CC">
        <w:t xml:space="preserve">: </w:t>
      </w:r>
      <w:bookmarkStart w:id="13" w:name="_Hlk7768886"/>
      <w:r>
        <w:t>T</w:t>
      </w:r>
      <w:r w:rsidR="007A07CC">
        <w:t xml:space="preserve">he </w:t>
      </w:r>
      <w:r w:rsidR="00C126A5">
        <w:t>licences</w:t>
      </w:r>
      <w:r w:rsidR="007A07CC">
        <w:t xml:space="preserve"> </w:t>
      </w:r>
      <w:r w:rsidR="00470AAF">
        <w:t xml:space="preserve">may be used for a wide range of </w:t>
      </w:r>
      <w:r w:rsidR="007A07CC">
        <w:t>purpose</w:t>
      </w:r>
      <w:r w:rsidR="00470AAF">
        <w:t>s</w:t>
      </w:r>
      <w:r w:rsidR="007A07CC">
        <w:t>, use</w:t>
      </w:r>
      <w:r w:rsidR="00470AAF">
        <w:t xml:space="preserve">s, </w:t>
      </w:r>
      <w:r w:rsidR="007A07CC">
        <w:t>service</w:t>
      </w:r>
      <w:r w:rsidR="00470AAF">
        <w:t>s, applications and technologies</w:t>
      </w:r>
      <w:r w:rsidR="007A07CC">
        <w:t>.</w:t>
      </w:r>
      <w:bookmarkEnd w:id="13"/>
      <w:r w:rsidR="007A07CC">
        <w:t xml:space="preserve"> </w:t>
      </w:r>
      <w:bookmarkStart w:id="14" w:name="_Hlk7768955"/>
      <w:r w:rsidR="007A07CC">
        <w:t>However, an individual licence</w:t>
      </w:r>
      <w:r w:rsidR="00DB6956">
        <w:t>, when issued,</w:t>
      </w:r>
      <w:r w:rsidR="007A07CC">
        <w:t xml:space="preserve"> may include special conditions that limit the operation of a </w:t>
      </w:r>
      <w:r w:rsidR="0026523F">
        <w:t xml:space="preserve">radiocommunications device </w:t>
      </w:r>
      <w:r w:rsidR="007A07CC">
        <w:t xml:space="preserve">under the licence to an identified purpose, use or service. </w:t>
      </w:r>
      <w:bookmarkEnd w:id="14"/>
    </w:p>
    <w:p w14:paraId="264C2239" w14:textId="06FCBCFC" w:rsidR="007A07CC" w:rsidRDefault="000A2BE8" w:rsidP="000A2BE8">
      <w:pPr>
        <w:pStyle w:val="ListBulletLast"/>
      </w:pPr>
      <w:r>
        <w:t>S</w:t>
      </w:r>
      <w:r w:rsidR="007A07CC">
        <w:t xml:space="preserve">calable: </w:t>
      </w:r>
      <w:r>
        <w:t>T</w:t>
      </w:r>
      <w:r w:rsidR="007A07CC">
        <w:t xml:space="preserve">he </w:t>
      </w:r>
      <w:r w:rsidR="00C126A5">
        <w:t>licences</w:t>
      </w:r>
      <w:r w:rsidR="007A07CC">
        <w:t xml:space="preserve"> will be capable of being adapted to </w:t>
      </w:r>
      <w:r w:rsidR="00AF2F23">
        <w:t>a v</w:t>
      </w:r>
      <w:r w:rsidR="007A07CC">
        <w:t>ar</w:t>
      </w:r>
      <w:r w:rsidR="00AF2F23">
        <w:t>iety of</w:t>
      </w:r>
      <w:r w:rsidR="007A07CC">
        <w:t xml:space="preserve"> </w:t>
      </w:r>
      <w:r w:rsidR="007751CD">
        <w:t>technologies</w:t>
      </w:r>
      <w:r w:rsidR="007A07CC">
        <w:t xml:space="preserve"> and/or uses, with different size </w:t>
      </w:r>
      <w:r w:rsidR="00C80282">
        <w:t xml:space="preserve">geographical </w:t>
      </w:r>
      <w:r w:rsidR="007A07CC">
        <w:t>areas</w:t>
      </w:r>
      <w:r w:rsidR="004807B3">
        <w:t xml:space="preserve"> and</w:t>
      </w:r>
      <w:r w:rsidR="00C80282">
        <w:t xml:space="preserve"> frequency</w:t>
      </w:r>
      <w:r w:rsidR="004807B3">
        <w:t xml:space="preserve"> bandwidths</w:t>
      </w:r>
      <w:r w:rsidR="007A07CC">
        <w:t>.</w:t>
      </w:r>
      <w:r w:rsidR="00185370">
        <w:t xml:space="preserve"> It is intended that the licence type may be used to authorise deployments in geographic areas smaller than those common to spectrum licences.   </w:t>
      </w:r>
    </w:p>
    <w:bookmarkEnd w:id="12"/>
    <w:p w14:paraId="303406D7" w14:textId="6B98F149" w:rsidR="00197A06" w:rsidRDefault="002D7A3C">
      <w:r>
        <w:t xml:space="preserve">These attributes will </w:t>
      </w:r>
      <w:r w:rsidR="00440941">
        <w:t xml:space="preserve">provide the foundation for </w:t>
      </w:r>
      <w:r>
        <w:t>a</w:t>
      </w:r>
      <w:r w:rsidR="00F43C0B">
        <w:t>n</w:t>
      </w:r>
      <w:r>
        <w:t xml:space="preserve"> apparatus licen</w:t>
      </w:r>
      <w:r w:rsidR="00DE2616">
        <w:t>ce</w:t>
      </w:r>
      <w:r>
        <w:t xml:space="preserve"> </w:t>
      </w:r>
      <w:r w:rsidR="004807B3">
        <w:t>type</w:t>
      </w:r>
      <w:r w:rsidR="000B5A2E">
        <w:t xml:space="preserve"> which </w:t>
      </w:r>
      <w:r w:rsidR="00F43C0B">
        <w:t xml:space="preserve">will be suitable for a wide range </w:t>
      </w:r>
      <w:r w:rsidR="000B5A2E">
        <w:t>of us</w:t>
      </w:r>
      <w:r w:rsidR="002221EA">
        <w:t>age</w:t>
      </w:r>
      <w:r w:rsidR="000B5A2E">
        <w:t xml:space="preserve"> and is adaptable to licensee need</w:t>
      </w:r>
      <w:r w:rsidR="008230BA">
        <w:t xml:space="preserve">s. For example, </w:t>
      </w:r>
      <w:r w:rsidR="00914DDB">
        <w:t xml:space="preserve">the </w:t>
      </w:r>
      <w:r w:rsidR="00110EF5">
        <w:t>AWL</w:t>
      </w:r>
      <w:r w:rsidR="00914DDB">
        <w:t xml:space="preserve"> type could be used to authorise </w:t>
      </w:r>
      <w:r w:rsidR="008230BA">
        <w:t>Internet of Things</w:t>
      </w:r>
      <w:r w:rsidR="00914DDB">
        <w:t xml:space="preserve"> (IoT) applications</w:t>
      </w:r>
      <w:r w:rsidR="008230BA">
        <w:t xml:space="preserve">. </w:t>
      </w:r>
      <w:r w:rsidR="00914DDB">
        <w:t>IoT applications are characterised by various interconnected devices that generate, exchange and consume data without human intervention. Thus, t</w:t>
      </w:r>
      <w:r w:rsidR="008230BA">
        <w:t>h</w:t>
      </w:r>
      <w:r w:rsidR="00914DDB">
        <w:t xml:space="preserve">e </w:t>
      </w:r>
      <w:r w:rsidR="00110EF5">
        <w:t>AWL</w:t>
      </w:r>
      <w:r w:rsidR="00914DDB">
        <w:t xml:space="preserve"> type could be used to authorise</w:t>
      </w:r>
      <w:r w:rsidR="008230BA">
        <w:t xml:space="preserve"> the </w:t>
      </w:r>
      <w:r w:rsidR="001C63F8">
        <w:t>automatic communication</w:t>
      </w:r>
      <w:r w:rsidR="008230BA">
        <w:t xml:space="preserve"> of </w:t>
      </w:r>
      <w:r w:rsidR="001C63F8">
        <w:t>messages</w:t>
      </w:r>
      <w:r w:rsidR="008230BA">
        <w:t xml:space="preserve"> </w:t>
      </w:r>
      <w:r w:rsidR="001C63F8">
        <w:t xml:space="preserve">between ‘things’ such as </w:t>
      </w:r>
      <w:r w:rsidR="000A2BE8">
        <w:t>remotely operated</w:t>
      </w:r>
      <w:r w:rsidR="001C63F8">
        <w:t xml:space="preserve"> or autonomous machines (machine-to-machine communications)</w:t>
      </w:r>
      <w:r w:rsidR="002862D7">
        <w:t xml:space="preserve"> that facilitate the application </w:t>
      </w:r>
      <w:r w:rsidR="00914DDB">
        <w:t>such as</w:t>
      </w:r>
      <w:r w:rsidR="002862D7">
        <w:t xml:space="preserve"> information about location, speed, direction, activity or battery level</w:t>
      </w:r>
      <w:r w:rsidR="001C63F8">
        <w:t>.</w:t>
      </w:r>
    </w:p>
    <w:p w14:paraId="3716193F" w14:textId="3D703F17" w:rsidR="008456A4" w:rsidRDefault="0050621E">
      <w:r>
        <w:t>The</w:t>
      </w:r>
      <w:r w:rsidR="008456A4">
        <w:t xml:space="preserve"> ACMA is proposing to establish a receiver-only version of the </w:t>
      </w:r>
      <w:r w:rsidR="00110EF5">
        <w:t>AWL</w:t>
      </w:r>
      <w:r w:rsidR="002F7F6C">
        <w:t xml:space="preserve"> type</w:t>
      </w:r>
      <w:r w:rsidR="00F37373">
        <w:t xml:space="preserve"> </w:t>
      </w:r>
      <w:r w:rsidR="00D11538">
        <w:t xml:space="preserve">to cater for possible future </w:t>
      </w:r>
      <w:r w:rsidR="00F37373">
        <w:t xml:space="preserve">demand for such a </w:t>
      </w:r>
      <w:r w:rsidR="00D11538">
        <w:t xml:space="preserve">(receiver-only) </w:t>
      </w:r>
      <w:r w:rsidR="00F37373">
        <w:t xml:space="preserve">licence </w:t>
      </w:r>
      <w:r w:rsidR="00D11538">
        <w:t>option</w:t>
      </w:r>
      <w:r w:rsidR="008456A4">
        <w:t xml:space="preserve">. </w:t>
      </w:r>
      <w:r w:rsidR="00F37373">
        <w:t>The intended purpose of a receiver licence is to provide receivers protection from interference through coordination and registration. As with</w:t>
      </w:r>
      <w:r w:rsidR="002F7F6C">
        <w:t xml:space="preserve"> existing receiver licences, </w:t>
      </w:r>
      <w:r w:rsidR="00F37373">
        <w:t xml:space="preserve">radiocommunications devices operated under the </w:t>
      </w:r>
      <w:r w:rsidR="003E0DDF">
        <w:t>area-wide</w:t>
      </w:r>
      <w:r w:rsidR="00F37373">
        <w:t xml:space="preserve"> receive licence would only be permitted to receive radiocommunications and would not be permitted to transmit radiocommunications of any kind. </w:t>
      </w:r>
    </w:p>
    <w:p w14:paraId="31C2FA2B" w14:textId="6C759734" w:rsidR="005C09D0" w:rsidRPr="00266FFF" w:rsidRDefault="005C09D0" w:rsidP="00593343">
      <w:pPr>
        <w:pStyle w:val="Heading3"/>
        <w:keepLines/>
      </w:pPr>
      <w:bookmarkStart w:id="15" w:name="_Toc11308303"/>
      <w:r w:rsidRPr="00266FFF">
        <w:lastRenderedPageBreak/>
        <w:t>Application to specific bands</w:t>
      </w:r>
      <w:bookmarkEnd w:id="15"/>
    </w:p>
    <w:p w14:paraId="6D6F2600" w14:textId="7690927B" w:rsidR="00CD6A9D" w:rsidRDefault="005C09D0" w:rsidP="00593343">
      <w:pPr>
        <w:keepNext/>
        <w:keepLines/>
        <w:spacing w:after="80"/>
      </w:pPr>
      <w:r>
        <w:t xml:space="preserve">The </w:t>
      </w:r>
      <w:r w:rsidR="00110EF5">
        <w:t>AWL</w:t>
      </w:r>
      <w:r>
        <w:t xml:space="preserve"> </w:t>
      </w:r>
      <w:r w:rsidRPr="00403C0D">
        <w:t>type</w:t>
      </w:r>
      <w:r>
        <w:t xml:space="preserve"> will not be </w:t>
      </w:r>
      <w:r w:rsidR="003C5399">
        <w:t>limited</w:t>
      </w:r>
      <w:r>
        <w:t xml:space="preserve"> to a particular </w:t>
      </w:r>
      <w:r w:rsidR="00A6453D">
        <w:t xml:space="preserve">frequency </w:t>
      </w:r>
      <w:r>
        <w:t xml:space="preserve">band. </w:t>
      </w:r>
      <w:r w:rsidR="00DA7397">
        <w:t xml:space="preserve">The </w:t>
      </w:r>
      <w:r w:rsidR="003C5399">
        <w:t xml:space="preserve">ACMA’s </w:t>
      </w:r>
      <w:r w:rsidR="00DA7397">
        <w:t xml:space="preserve">use of </w:t>
      </w:r>
      <w:r w:rsidR="00110EF5">
        <w:t>AWL</w:t>
      </w:r>
      <w:r w:rsidR="00784651">
        <w:t xml:space="preserve">s </w:t>
      </w:r>
      <w:r w:rsidR="00DA7397">
        <w:t xml:space="preserve">in any given band </w:t>
      </w:r>
      <w:r w:rsidR="003E6481">
        <w:t xml:space="preserve">on a regular basis </w:t>
      </w:r>
      <w:r w:rsidR="00DA7397">
        <w:t>will be contingent upon a</w:t>
      </w:r>
      <w:r w:rsidR="00A6453D">
        <w:t xml:space="preserve">n </w:t>
      </w:r>
      <w:r w:rsidR="00BB382A">
        <w:t>analysis</w:t>
      </w:r>
      <w:r w:rsidR="00A6453D">
        <w:t xml:space="preserve"> of the suitability of the licence type for the band</w:t>
      </w:r>
      <w:r w:rsidR="00BB382A">
        <w:t>. This analysis will:</w:t>
      </w:r>
    </w:p>
    <w:p w14:paraId="1846A18E" w14:textId="2AD8DCD6" w:rsidR="00BB382A" w:rsidRPr="00654BE4" w:rsidRDefault="00BB382A" w:rsidP="00593343">
      <w:pPr>
        <w:pStyle w:val="ListBullet"/>
        <w:keepNext/>
        <w:keepLines/>
      </w:pPr>
      <w:r w:rsidRPr="00654BE4">
        <w:t xml:space="preserve">assess the potential utility and benefit to spectral efficiency of issuing </w:t>
      </w:r>
      <w:r w:rsidR="00110EF5">
        <w:t>AWL</w:t>
      </w:r>
      <w:r w:rsidR="00784651" w:rsidRPr="00654BE4">
        <w:t xml:space="preserve">s </w:t>
      </w:r>
      <w:r w:rsidRPr="00654BE4">
        <w:t>in the relevant band</w:t>
      </w:r>
    </w:p>
    <w:p w14:paraId="223959E8" w14:textId="4AB4AE01" w:rsidR="00A6453D" w:rsidRPr="006222B5" w:rsidRDefault="00A6453D" w:rsidP="00593343">
      <w:pPr>
        <w:pStyle w:val="ListBullet"/>
        <w:keepNext/>
        <w:keepLines/>
      </w:pPr>
      <w:r w:rsidRPr="006222B5">
        <w:t xml:space="preserve">consider the technical and economic implications of allowing both </w:t>
      </w:r>
      <w:r w:rsidR="00110EF5">
        <w:t>AWL</w:t>
      </w:r>
      <w:r w:rsidRPr="006222B5">
        <w:t>s and other apparatus licence types to be issue</w:t>
      </w:r>
      <w:r w:rsidR="00987109">
        <w:t>d</w:t>
      </w:r>
      <w:r w:rsidRPr="006222B5">
        <w:t xml:space="preserve"> in the same frequency band</w:t>
      </w:r>
    </w:p>
    <w:p w14:paraId="655F2C4A" w14:textId="4B8276E4" w:rsidR="00BB382A" w:rsidRPr="00654BE4" w:rsidRDefault="00A6453D" w:rsidP="00593343">
      <w:pPr>
        <w:pStyle w:val="ListBullet"/>
        <w:keepNext/>
        <w:keepLines/>
      </w:pPr>
      <w:r w:rsidRPr="00D104A6">
        <w:t xml:space="preserve">identify </w:t>
      </w:r>
      <w:r w:rsidR="00BB382A" w:rsidRPr="00D104A6">
        <w:t xml:space="preserve">the technical conditions that should apply to </w:t>
      </w:r>
      <w:r w:rsidR="00F54698" w:rsidRPr="00654BE4">
        <w:t xml:space="preserve">radiocommunications </w:t>
      </w:r>
      <w:r w:rsidR="00BB382A" w:rsidRPr="00654BE4">
        <w:t>devices operating under the licence</w:t>
      </w:r>
      <w:r w:rsidRPr="00654BE4">
        <w:t xml:space="preserve"> and </w:t>
      </w:r>
      <w:r w:rsidR="00BB382A" w:rsidRPr="00654BE4">
        <w:t xml:space="preserve">the ‘boundary conditions’ </w:t>
      </w:r>
      <w:r w:rsidR="00844A58" w:rsidRPr="00654BE4">
        <w:t>(</w:t>
      </w:r>
      <w:r w:rsidR="00FB5FFD" w:rsidRPr="00654BE4">
        <w:t>for example, the</w:t>
      </w:r>
      <w:r w:rsidR="00844A58" w:rsidRPr="00654BE4">
        <w:t xml:space="preserve"> maximum </w:t>
      </w:r>
      <w:r w:rsidR="002E4BD9" w:rsidRPr="00654BE4">
        <w:t>signal</w:t>
      </w:r>
      <w:r w:rsidR="00844A58" w:rsidRPr="00654BE4">
        <w:t xml:space="preserve"> strength levels</w:t>
      </w:r>
      <w:r w:rsidR="00AF2F23" w:rsidRPr="00654BE4">
        <w:t xml:space="preserve"> </w:t>
      </w:r>
      <w:r w:rsidR="00403C0D" w:rsidRPr="00654BE4">
        <w:t>at the</w:t>
      </w:r>
      <w:r w:rsidR="003414DD" w:rsidRPr="00654BE4">
        <w:t xml:space="preserve"> geographical and/or frequency</w:t>
      </w:r>
      <w:r w:rsidR="00403C0D" w:rsidRPr="00654BE4">
        <w:t xml:space="preserve"> boundar</w:t>
      </w:r>
      <w:r w:rsidR="003414DD" w:rsidRPr="00654BE4">
        <w:t>ies of</w:t>
      </w:r>
      <w:r w:rsidR="00050535" w:rsidRPr="00654BE4">
        <w:t xml:space="preserve"> the licence</w:t>
      </w:r>
      <w:r w:rsidR="00844A58" w:rsidRPr="00654BE4">
        <w:t xml:space="preserve">) </w:t>
      </w:r>
      <w:r w:rsidR="00BB382A" w:rsidRPr="00654BE4">
        <w:t>to mitigate the risk of interference to neighbouring and/or adjacent spectrum users</w:t>
      </w:r>
    </w:p>
    <w:p w14:paraId="7E7CA2BF" w14:textId="31B8B50B" w:rsidR="00654BE4" w:rsidRPr="00D4444F" w:rsidRDefault="00BB382A" w:rsidP="00593343">
      <w:pPr>
        <w:pStyle w:val="ListBullet"/>
        <w:keepNext/>
        <w:keepLines/>
      </w:pPr>
      <w:r w:rsidRPr="00D4444F">
        <w:t>the minimum</w:t>
      </w:r>
      <w:r w:rsidR="00C72091">
        <w:t xml:space="preserve"> and/or maximum</w:t>
      </w:r>
      <w:r w:rsidRPr="00D4444F">
        <w:t xml:space="preserve"> </w:t>
      </w:r>
      <w:r w:rsidR="00AF2F23" w:rsidRPr="00D4444F">
        <w:t>geographic</w:t>
      </w:r>
      <w:r w:rsidRPr="00D4444F">
        <w:t xml:space="preserve"> </w:t>
      </w:r>
      <w:r w:rsidR="00AF2F23" w:rsidRPr="00D4444F">
        <w:t>area and frequency bandwidth</w:t>
      </w:r>
      <w:r w:rsidRPr="00D4444F">
        <w:t xml:space="preserve"> for licences issued in the band</w:t>
      </w:r>
    </w:p>
    <w:p w14:paraId="7B662247" w14:textId="1533BE9E" w:rsidR="00654BE4" w:rsidRDefault="00654BE4" w:rsidP="009C0397">
      <w:pPr>
        <w:pStyle w:val="ListBulletLast"/>
        <w:keepNext/>
        <w:keepLines/>
      </w:pPr>
      <w:r w:rsidRPr="00D4444F">
        <w:t xml:space="preserve">whether </w:t>
      </w:r>
      <w:r w:rsidR="00A75CC9">
        <w:t xml:space="preserve">radiocommunications </w:t>
      </w:r>
      <w:r w:rsidRPr="00AA7320">
        <w:t>devices</w:t>
      </w:r>
      <w:r w:rsidRPr="00D4444F">
        <w:t xml:space="preserve"> (or a subset of devices) authorised under the proposed </w:t>
      </w:r>
      <w:r w:rsidR="00110EF5">
        <w:t>AWL</w:t>
      </w:r>
      <w:r w:rsidRPr="00D4444F">
        <w:t>s should be required to be registered prior to operation (see further below).</w:t>
      </w:r>
    </w:p>
    <w:p w14:paraId="6FCDDC5F" w14:textId="6DDACB7E" w:rsidR="006B5A8E" w:rsidRDefault="006B5A8E" w:rsidP="00C81C0B">
      <w:r>
        <w:t>The technical condition</w:t>
      </w:r>
      <w:r w:rsidR="005351E0">
        <w:t xml:space="preserve">s, </w:t>
      </w:r>
      <w:r>
        <w:t xml:space="preserve">minimum </w:t>
      </w:r>
      <w:r w:rsidR="00EE75B9">
        <w:t>frequency bandwidth and geographic ar</w:t>
      </w:r>
      <w:r>
        <w:t>e</w:t>
      </w:r>
      <w:r w:rsidR="00EE75B9">
        <w:t>a</w:t>
      </w:r>
      <w:r>
        <w:t xml:space="preserve"> are expected to form the basis for calculating the price of licences issued in the band (see below under ‘Pricing and </w:t>
      </w:r>
      <w:r w:rsidR="009776DE">
        <w:t>licence issue</w:t>
      </w:r>
      <w:r>
        <w:t xml:space="preserve"> processes’).</w:t>
      </w:r>
    </w:p>
    <w:p w14:paraId="38D94734" w14:textId="6040E023" w:rsidR="009874C6" w:rsidRDefault="003E1654" w:rsidP="00C81C0B">
      <w:r w:rsidRPr="00916B2E">
        <w:t xml:space="preserve">The ACMA will consult prior to deciding to issue </w:t>
      </w:r>
      <w:r w:rsidR="006C6334" w:rsidRPr="00916B2E">
        <w:t>licence</w:t>
      </w:r>
      <w:r w:rsidR="00352652" w:rsidRPr="00916B2E">
        <w:t>s</w:t>
      </w:r>
      <w:r w:rsidR="006C6334" w:rsidRPr="00916B2E">
        <w:t xml:space="preserve"> of the </w:t>
      </w:r>
      <w:r w:rsidR="00110EF5">
        <w:t>AWL</w:t>
      </w:r>
      <w:r w:rsidR="00352652" w:rsidRPr="00916B2E">
        <w:t xml:space="preserve"> type</w:t>
      </w:r>
      <w:r w:rsidRPr="00916B2E">
        <w:t xml:space="preserve"> in a </w:t>
      </w:r>
      <w:r w:rsidR="00DC794B" w:rsidRPr="00916B2E">
        <w:t>new frequency</w:t>
      </w:r>
      <w:r w:rsidRPr="00916B2E">
        <w:t xml:space="preserve"> band. </w:t>
      </w:r>
      <w:r w:rsidR="00820510">
        <w:t>As noted in the recent</w:t>
      </w:r>
      <w:r w:rsidR="002221EA">
        <w:t xml:space="preserve"> consultation,</w:t>
      </w:r>
      <w:r w:rsidR="00820510">
        <w:t xml:space="preserve"> </w:t>
      </w:r>
      <w:hyperlink r:id="rId39" w:history="1">
        <w:r w:rsidR="00820510" w:rsidRPr="009C0397">
          <w:rPr>
            <w:rStyle w:val="Hyperlink"/>
            <w:rFonts w:ascii="HelveticaNeueW01-45Ligh" w:hAnsi="HelveticaNeueW01-45Ligh"/>
            <w:i/>
            <w:iCs/>
          </w:rPr>
          <w:t>Draft spectrum reallocation recommendation for the 26 GHz band in cities and regional centres</w:t>
        </w:r>
      </w:hyperlink>
      <w:r w:rsidR="00820510">
        <w:t>, t</w:t>
      </w:r>
      <w:r w:rsidR="004A2FFE" w:rsidRPr="00916B2E">
        <w:t xml:space="preserve">he ACMA is considering the use of a </w:t>
      </w:r>
      <w:r w:rsidR="00110EF5">
        <w:t>AWL</w:t>
      </w:r>
      <w:r w:rsidR="004A2FFE" w:rsidRPr="00916B2E">
        <w:t xml:space="preserve"> to authorise access </w:t>
      </w:r>
      <w:r w:rsidR="00985B6F" w:rsidRPr="00916B2E">
        <w:t>for wireless broadband services i</w:t>
      </w:r>
      <w:r w:rsidR="004976C3" w:rsidRPr="00916B2E">
        <w:t>n</w:t>
      </w:r>
      <w:r w:rsidR="00985B6F" w:rsidRPr="00916B2E">
        <w:t xml:space="preserve"> some parts of the </w:t>
      </w:r>
      <w:r w:rsidR="004A2FFE" w:rsidRPr="00916B2E">
        <w:t>26 GHz</w:t>
      </w:r>
      <w:r w:rsidR="00985B6F" w:rsidRPr="00916B2E">
        <w:t xml:space="preserve"> band</w:t>
      </w:r>
      <w:r w:rsidR="004A2FFE" w:rsidRPr="00916B2E">
        <w:t>.</w:t>
      </w:r>
    </w:p>
    <w:p w14:paraId="147A03AC" w14:textId="028D6060" w:rsidR="001D6AC0" w:rsidRDefault="008F62F6" w:rsidP="00C81C0B">
      <w:pPr>
        <w:pStyle w:val="Heading3"/>
      </w:pPr>
      <w:bookmarkStart w:id="16" w:name="_Toc11308304"/>
      <w:bookmarkStart w:id="17" w:name="_Toc1724904"/>
      <w:r w:rsidRPr="009874C6">
        <w:rPr>
          <w:rFonts w:cs="Times New Roman"/>
        </w:rPr>
        <w:t>Licence</w:t>
      </w:r>
      <w:r w:rsidRPr="009874C6">
        <w:t xml:space="preserve"> c</w:t>
      </w:r>
      <w:r w:rsidR="006020FC" w:rsidRPr="009874C6">
        <w:t>onditions</w:t>
      </w:r>
      <w:r w:rsidR="001D6AC0" w:rsidRPr="009874C6">
        <w:t xml:space="preserve"> and technical planning</w:t>
      </w:r>
      <w:bookmarkEnd w:id="16"/>
    </w:p>
    <w:bookmarkEnd w:id="17"/>
    <w:p w14:paraId="0830DF48" w14:textId="55450568" w:rsidR="00CC5F9D" w:rsidRDefault="00A6453D" w:rsidP="009C0397">
      <w:pPr>
        <w:spacing w:after="80"/>
      </w:pPr>
      <w:r>
        <w:t xml:space="preserve">Each </w:t>
      </w:r>
      <w:r w:rsidR="00110EF5">
        <w:t>AWL</w:t>
      </w:r>
      <w:r w:rsidR="0080128B">
        <w:t xml:space="preserve"> issued by the ACMA</w:t>
      </w:r>
      <w:r w:rsidR="00176480">
        <w:t xml:space="preserve"> </w:t>
      </w:r>
      <w:r w:rsidR="001459A1">
        <w:t>may</w:t>
      </w:r>
      <w:r w:rsidR="00176480">
        <w:t xml:space="preserve"> </w:t>
      </w:r>
      <w:r w:rsidR="0080128B">
        <w:t xml:space="preserve">include </w:t>
      </w:r>
      <w:r w:rsidR="00176480">
        <w:t>conditions</w:t>
      </w:r>
      <w:r w:rsidR="00AF2F23">
        <w:t xml:space="preserve"> which</w:t>
      </w:r>
      <w:r w:rsidR="0080128B">
        <w:t xml:space="preserve"> </w:t>
      </w:r>
      <w:r w:rsidR="00CC5F9D">
        <w:t>specify:</w:t>
      </w:r>
    </w:p>
    <w:p w14:paraId="1BE84E1B" w14:textId="67A3821F" w:rsidR="00CC5F9D" w:rsidRDefault="00CC5F9D" w:rsidP="000A2BE8">
      <w:pPr>
        <w:pStyle w:val="ListBullet"/>
      </w:pPr>
      <w:r>
        <w:t xml:space="preserve">the frequencies in which </w:t>
      </w:r>
      <w:r w:rsidR="00F54698">
        <w:t xml:space="preserve">radiocommunications </w:t>
      </w:r>
      <w:r w:rsidR="0080128B">
        <w:t xml:space="preserve">devices </w:t>
      </w:r>
      <w:r>
        <w:t>are authorised to operate</w:t>
      </w:r>
    </w:p>
    <w:p w14:paraId="3A09112A" w14:textId="1EBB185A" w:rsidR="00CC5F9D" w:rsidRDefault="00CC5F9D" w:rsidP="000A2BE8">
      <w:pPr>
        <w:pStyle w:val="ListBullet"/>
      </w:pPr>
      <w:r>
        <w:t xml:space="preserve">the geographical area in which </w:t>
      </w:r>
      <w:r w:rsidR="0002220D">
        <w:t>r</w:t>
      </w:r>
      <w:r w:rsidR="00C24624">
        <w:t>adiocommunic</w:t>
      </w:r>
      <w:r>
        <w:t>ations</w:t>
      </w:r>
      <w:r w:rsidR="0002220D">
        <w:t xml:space="preserve"> devices</w:t>
      </w:r>
      <w:r>
        <w:t xml:space="preserve"> may be operated</w:t>
      </w:r>
    </w:p>
    <w:p w14:paraId="39036834" w14:textId="268B3458" w:rsidR="00CC5F9D" w:rsidRDefault="00843D54" w:rsidP="00B91E1E">
      <w:pPr>
        <w:pStyle w:val="ListBullet"/>
      </w:pPr>
      <w:r>
        <w:t xml:space="preserve">the </w:t>
      </w:r>
      <w:r w:rsidR="00CC5F9D">
        <w:t>maximum</w:t>
      </w:r>
      <w:r w:rsidR="00696DFF">
        <w:t xml:space="preserve"> Equivalent Isotropically Radiated Power (EIRP) or </w:t>
      </w:r>
      <w:r w:rsidR="002568C4">
        <w:t>T</w:t>
      </w:r>
      <w:r w:rsidR="00CC5F9D">
        <w:t xml:space="preserve">otal </w:t>
      </w:r>
      <w:r w:rsidR="002568C4">
        <w:t xml:space="preserve">Radiated Power </w:t>
      </w:r>
      <w:r w:rsidR="00CC5F9D">
        <w:t>(TRP) levels for</w:t>
      </w:r>
      <w:r w:rsidR="0026523F">
        <w:t xml:space="preserve"> radiocommunications devices</w:t>
      </w:r>
      <w:r w:rsidR="00CC5F9D">
        <w:t xml:space="preserve"> operated under the licence</w:t>
      </w:r>
    </w:p>
    <w:p w14:paraId="1D0E34C0" w14:textId="5513504A" w:rsidR="00856167" w:rsidRDefault="00843D54">
      <w:pPr>
        <w:pStyle w:val="ListBullet"/>
        <w:rPr>
          <w:rFonts w:ascii="Calibri" w:hAnsi="Calibri"/>
        </w:rPr>
      </w:pPr>
      <w:r>
        <w:t xml:space="preserve">the </w:t>
      </w:r>
      <w:r w:rsidR="00856167">
        <w:t xml:space="preserve">maximum </w:t>
      </w:r>
      <w:r w:rsidR="001D46D6">
        <w:t>signal</w:t>
      </w:r>
      <w:r w:rsidR="00856167">
        <w:t xml:space="preserve"> level </w:t>
      </w:r>
      <w:r w:rsidR="001D46D6">
        <w:t>at</w:t>
      </w:r>
      <w:r w:rsidR="00856167">
        <w:t xml:space="preserve"> the boundary/edge of the licence area</w:t>
      </w:r>
    </w:p>
    <w:p w14:paraId="189506D8" w14:textId="5754C658" w:rsidR="00D0264D" w:rsidRDefault="008F62F6">
      <w:pPr>
        <w:pStyle w:val="ListBulletLast"/>
      </w:pPr>
      <w:r>
        <w:t xml:space="preserve">any other conditions relating to the operation of </w:t>
      </w:r>
      <w:r w:rsidR="008E3476">
        <w:t xml:space="preserve">radiocommunications </w:t>
      </w:r>
      <w:r w:rsidR="00C76D0E">
        <w:t xml:space="preserve">devices </w:t>
      </w:r>
      <w:r>
        <w:t>under the licence.</w:t>
      </w:r>
    </w:p>
    <w:p w14:paraId="7F8D5EE1" w14:textId="3EB21179" w:rsidR="00D41FA8" w:rsidRDefault="00D41FA8">
      <w:r>
        <w:t>T</w:t>
      </w:r>
      <w:r w:rsidRPr="00A71E75">
        <w:t xml:space="preserve">he technical conditions for </w:t>
      </w:r>
      <w:r w:rsidR="00950DC0">
        <w:t xml:space="preserve">radiocommunications </w:t>
      </w:r>
      <w:r w:rsidRPr="00A71E75">
        <w:t xml:space="preserve">transmitters </w:t>
      </w:r>
      <w:r>
        <w:t xml:space="preserve">(and </w:t>
      </w:r>
      <w:r w:rsidR="00950DC0">
        <w:t xml:space="preserve">radiocommunications </w:t>
      </w:r>
      <w:r>
        <w:t xml:space="preserve">receivers, if applicable), </w:t>
      </w:r>
      <w:r w:rsidRPr="00A71E75">
        <w:t xml:space="preserve">and </w:t>
      </w:r>
      <w:r>
        <w:t xml:space="preserve">the </w:t>
      </w:r>
      <w:r w:rsidRPr="00A71E75">
        <w:t>boundary conditions</w:t>
      </w:r>
      <w:r>
        <w:t xml:space="preserve"> for a</w:t>
      </w:r>
      <w:r w:rsidR="00281C39">
        <w:t>n</w:t>
      </w:r>
      <w:r>
        <w:t xml:space="preserve"> </w:t>
      </w:r>
      <w:r w:rsidR="00110EF5">
        <w:t>AWL</w:t>
      </w:r>
      <w:r>
        <w:t xml:space="preserve"> in a particular band </w:t>
      </w:r>
      <w:r w:rsidRPr="00A71E75">
        <w:t>will derive from band-specific planning considerations.</w:t>
      </w:r>
      <w:r w:rsidR="00D5590C">
        <w:t xml:space="preserve"> A</w:t>
      </w:r>
      <w:r w:rsidR="00281C39">
        <w:t>n</w:t>
      </w:r>
      <w:r w:rsidR="00D5590C">
        <w:t xml:space="preserve"> </w:t>
      </w:r>
      <w:r w:rsidR="00110EF5">
        <w:t>AWL</w:t>
      </w:r>
      <w:r w:rsidR="00D5590C">
        <w:t xml:space="preserve"> Licence Condition Determination will contain conditions that are common to all </w:t>
      </w:r>
      <w:r w:rsidR="00BF0CB0">
        <w:t xml:space="preserve">transmitter </w:t>
      </w:r>
      <w:r w:rsidR="00110EF5">
        <w:t>AWL</w:t>
      </w:r>
      <w:r w:rsidR="00D5590C">
        <w:t>s</w:t>
      </w:r>
      <w:r w:rsidR="00707600">
        <w:t xml:space="preserve"> and may include band-specific </w:t>
      </w:r>
      <w:r w:rsidR="00BF0CB0">
        <w:t xml:space="preserve">schedules </w:t>
      </w:r>
      <w:r w:rsidR="00707600">
        <w:t xml:space="preserve">containing conditions relevant to </w:t>
      </w:r>
      <w:r w:rsidR="00110EF5">
        <w:t>AWL</w:t>
      </w:r>
      <w:r w:rsidR="00707600">
        <w:t xml:space="preserve">s within the corresponding frequency band. </w:t>
      </w:r>
    </w:p>
    <w:p w14:paraId="0150A9A9" w14:textId="50551637" w:rsidR="006B5A8E" w:rsidRDefault="006B5A8E" w:rsidP="00C81C0B">
      <w:r>
        <w:t xml:space="preserve">Where necessary </w:t>
      </w:r>
      <w:r w:rsidR="0072681D">
        <w:t xml:space="preserve">or </w:t>
      </w:r>
      <w:r>
        <w:t>appropriate, the ACMA may publish technical planning information to assist</w:t>
      </w:r>
      <w:r w:rsidR="001459A1">
        <w:t xml:space="preserve"> in the production of a FAC.</w:t>
      </w:r>
      <w:r>
        <w:t xml:space="preserve"> This technical planning information</w:t>
      </w:r>
      <w:r w:rsidR="008D7AE5">
        <w:t xml:space="preserve"> is likely to be in the form of a RALI that is specific to the relevant band.</w:t>
      </w:r>
      <w:r>
        <w:t xml:space="preserve"> </w:t>
      </w:r>
    </w:p>
    <w:p w14:paraId="16BF4B75" w14:textId="5EE4B690" w:rsidR="00A6453D" w:rsidRPr="00820510" w:rsidRDefault="00A6453D" w:rsidP="000D480B">
      <w:r>
        <w:t>D</w:t>
      </w:r>
      <w:r w:rsidRPr="00820510">
        <w:t xml:space="preserve">epending on the interference risk associated with authorised uses under </w:t>
      </w:r>
      <w:r w:rsidRPr="000D480B">
        <w:t xml:space="preserve">the licence, a condition that radiocommunications devices (other than portable or mobile devices) </w:t>
      </w:r>
      <w:r w:rsidRPr="000D480B">
        <w:lastRenderedPageBreak/>
        <w:t>be registered prior to operation</w:t>
      </w:r>
      <w:r w:rsidR="001F7378">
        <w:t xml:space="preserve"> may be included on the licence or within the LCD</w:t>
      </w:r>
      <w:r w:rsidR="00D5590C">
        <w:t xml:space="preserve"> (see below).</w:t>
      </w:r>
    </w:p>
    <w:p w14:paraId="7E5AC8B7" w14:textId="6F0B8DD6" w:rsidR="0080128B" w:rsidRPr="00DD0CB2" w:rsidRDefault="0080128B" w:rsidP="00C81C0B">
      <w:pPr>
        <w:pStyle w:val="Heading3"/>
      </w:pPr>
      <w:bookmarkStart w:id="18" w:name="_Toc11308305"/>
      <w:r w:rsidRPr="009874C6">
        <w:rPr>
          <w:rFonts w:cs="Times New Roman"/>
        </w:rPr>
        <w:t>Device</w:t>
      </w:r>
      <w:r w:rsidRPr="00DD0CB2">
        <w:t xml:space="preserve"> coordination</w:t>
      </w:r>
      <w:r w:rsidR="006B5A8E">
        <w:t xml:space="preserve"> and registration</w:t>
      </w:r>
      <w:bookmarkEnd w:id="18"/>
    </w:p>
    <w:p w14:paraId="59CB2A8F" w14:textId="2CF6ED9B" w:rsidR="00654BE4" w:rsidRDefault="00110EF5" w:rsidP="00C81C0B">
      <w:r>
        <w:t>AWL</w:t>
      </w:r>
      <w:r w:rsidR="00F72EB2">
        <w:t>s</w:t>
      </w:r>
      <w:r w:rsidR="0080128B">
        <w:t xml:space="preserve"> will </w:t>
      </w:r>
      <w:r w:rsidR="008C2788">
        <w:t xml:space="preserve">not require coordination of devices prior to issue of the licence. Further, </w:t>
      </w:r>
      <w:r>
        <w:t>AWL</w:t>
      </w:r>
      <w:r w:rsidR="008C2788">
        <w:t xml:space="preserve">s will </w:t>
      </w:r>
      <w:r w:rsidR="0080128B">
        <w:t xml:space="preserve">generally </w:t>
      </w:r>
      <w:r w:rsidR="0072681D">
        <w:t xml:space="preserve">not </w:t>
      </w:r>
      <w:r w:rsidR="0080128B">
        <w:t>require</w:t>
      </w:r>
      <w:r w:rsidR="00F72EB2">
        <w:t xml:space="preserve"> </w:t>
      </w:r>
      <w:r w:rsidR="0080128B">
        <w:t>registration</w:t>
      </w:r>
      <w:r w:rsidR="001F7378">
        <w:t xml:space="preserve"> of devices</w:t>
      </w:r>
      <w:r w:rsidR="0080128B">
        <w:t xml:space="preserve"> prior to the </w:t>
      </w:r>
      <w:r w:rsidR="00C74386">
        <w:t xml:space="preserve">device </w:t>
      </w:r>
      <w:r w:rsidR="0045069C">
        <w:t xml:space="preserve">being </w:t>
      </w:r>
      <w:r w:rsidR="0080128B">
        <w:t xml:space="preserve">operated. </w:t>
      </w:r>
    </w:p>
    <w:p w14:paraId="6BECEDF9" w14:textId="776DF899" w:rsidR="0080128B" w:rsidRDefault="00343454" w:rsidP="00C81C0B">
      <w:r>
        <w:t>R</w:t>
      </w:r>
      <w:r w:rsidR="008C2788">
        <w:t xml:space="preserve">egistration of a device prior to operation </w:t>
      </w:r>
      <w:r>
        <w:t>under a</w:t>
      </w:r>
      <w:r w:rsidR="00281C39">
        <w:t>n</w:t>
      </w:r>
      <w:r>
        <w:t xml:space="preserve"> </w:t>
      </w:r>
      <w:r w:rsidR="00110EF5">
        <w:t>AWL</w:t>
      </w:r>
      <w:r>
        <w:t xml:space="preserve"> </w:t>
      </w:r>
      <w:r w:rsidR="008C2788">
        <w:t xml:space="preserve">should only be required if registration is necessary to manage the risk of interference with other devices. </w:t>
      </w:r>
      <w:r w:rsidR="00654BE4">
        <w:t xml:space="preserve">The ACMA will assess this interference risk as part of the technical planning and economic assessment process referred to above. </w:t>
      </w:r>
      <w:r w:rsidR="008C2788">
        <w:t xml:space="preserve">Where such a risk is identified, the </w:t>
      </w:r>
      <w:r w:rsidR="00110EF5">
        <w:t>AWL</w:t>
      </w:r>
      <w:r w:rsidR="008C2788">
        <w:t xml:space="preserve"> LCD or the </w:t>
      </w:r>
      <w:r w:rsidR="0080128B">
        <w:t xml:space="preserve">individual licence may </w:t>
      </w:r>
      <w:r w:rsidR="0080128B" w:rsidRPr="000D480B">
        <w:t>include</w:t>
      </w:r>
      <w:r w:rsidR="0080128B">
        <w:t xml:space="preserve"> conditions </w:t>
      </w:r>
      <w:r w:rsidR="009F5685">
        <w:t>requiring</w:t>
      </w:r>
      <w:r w:rsidR="00D5590C">
        <w:t xml:space="preserve"> </w:t>
      </w:r>
      <w:r w:rsidR="0080128B">
        <w:t>registration</w:t>
      </w:r>
      <w:r w:rsidR="009F3A49">
        <w:t xml:space="preserve"> </w:t>
      </w:r>
      <w:r w:rsidR="0080128B">
        <w:t xml:space="preserve">of </w:t>
      </w:r>
      <w:r w:rsidR="00B97865">
        <w:t xml:space="preserve">radiocommunications </w:t>
      </w:r>
      <w:r w:rsidR="00C74386">
        <w:t xml:space="preserve">devices </w:t>
      </w:r>
      <w:r w:rsidR="0080128B">
        <w:t>prior to operation.</w:t>
      </w:r>
      <w:r w:rsidR="00C4215C">
        <w:t xml:space="preserve"> </w:t>
      </w:r>
      <w:r w:rsidR="00D104A6">
        <w:t>Mobile or portable stations (</w:t>
      </w:r>
      <w:r w:rsidR="001459A1">
        <w:t>for example,</w:t>
      </w:r>
      <w:r w:rsidR="00D104A6">
        <w:t xml:space="preserve"> hand-held devices) will not require registration prior to operation. Even where the technical and economic assessment process identifies an interference rationale for device registration, it is expected that ‘low-power’ devices will not be required to be registered.</w:t>
      </w:r>
      <w:r w:rsidR="00D104A6">
        <w:rPr>
          <w:rStyle w:val="FootnoteReference"/>
        </w:rPr>
        <w:footnoteReference w:id="9"/>
      </w:r>
      <w:r w:rsidR="00D104A6">
        <w:t xml:space="preserve"> </w:t>
      </w:r>
    </w:p>
    <w:p w14:paraId="79DED68B" w14:textId="51DF76AD" w:rsidR="00F72EB2" w:rsidRDefault="00343454" w:rsidP="00C81C0B">
      <w:r>
        <w:t>T</w:t>
      </w:r>
      <w:r w:rsidR="00F72EB2">
        <w:t xml:space="preserve">he RRL Determination currently requires details </w:t>
      </w:r>
      <w:r w:rsidR="009F5685">
        <w:t>about</w:t>
      </w:r>
      <w:r w:rsidR="00F72EB2" w:rsidRPr="007C78E0">
        <w:t xml:space="preserve"> </w:t>
      </w:r>
      <w:r w:rsidR="00F72EB2" w:rsidRPr="009C0397">
        <w:t>all</w:t>
      </w:r>
      <w:r w:rsidR="00F72EB2">
        <w:t xml:space="preserve"> devices authorised under the licence to be included </w:t>
      </w:r>
      <w:r w:rsidR="002B1D6B">
        <w:t>i</w:t>
      </w:r>
      <w:r w:rsidR="00F72EB2">
        <w:t>n the RRL</w:t>
      </w:r>
      <w:r>
        <w:t>.</w:t>
      </w:r>
      <w:r w:rsidR="00654BE4">
        <w:t xml:space="preserve"> </w:t>
      </w:r>
      <w:r>
        <w:t>T</w:t>
      </w:r>
      <w:r w:rsidR="00F72EB2">
        <w:t>he ACMA is proposing to amend the RRL Determination so that licensees are only required to include details</w:t>
      </w:r>
      <w:r w:rsidR="009F5685">
        <w:t xml:space="preserve"> about</w:t>
      </w:r>
      <w:r w:rsidR="00F72EB2">
        <w:t xml:space="preserve"> devices authorised under a</w:t>
      </w:r>
      <w:r w:rsidR="00281C39">
        <w:t>n</w:t>
      </w:r>
      <w:r w:rsidR="00F72EB2">
        <w:t xml:space="preserve"> </w:t>
      </w:r>
      <w:r w:rsidR="00110EF5">
        <w:t>AWL</w:t>
      </w:r>
      <w:r w:rsidR="00F72EB2">
        <w:t xml:space="preserve"> if </w:t>
      </w:r>
      <w:r w:rsidR="00654BE4">
        <w:t xml:space="preserve">a condition applies to </w:t>
      </w:r>
      <w:r w:rsidR="00F72EB2">
        <w:t xml:space="preserve">the licence </w:t>
      </w:r>
      <w:r w:rsidR="00654BE4">
        <w:t xml:space="preserve">that </w:t>
      </w:r>
      <w:r w:rsidR="00F72EB2">
        <w:t>requires the device</w:t>
      </w:r>
      <w:r w:rsidR="00654BE4">
        <w:t>(s)</w:t>
      </w:r>
      <w:r w:rsidR="00F72EB2">
        <w:t xml:space="preserve"> to be registered. Should a licensee not be required to register a device, the </w:t>
      </w:r>
      <w:r w:rsidR="00110EF5">
        <w:t>AWL</w:t>
      </w:r>
      <w:r w:rsidR="00F72EB2">
        <w:t xml:space="preserve"> LCD will require licensees to provide information about radiocommunications devices operated under </w:t>
      </w:r>
      <w:r w:rsidR="002B1D6B">
        <w:t xml:space="preserve">the licence </w:t>
      </w:r>
      <w:r w:rsidR="00F72EB2">
        <w:t xml:space="preserve">upon written request. </w:t>
      </w:r>
    </w:p>
    <w:p w14:paraId="0173222A" w14:textId="15C639BD" w:rsidR="00670136" w:rsidRDefault="00654BE4" w:rsidP="00C81C0B">
      <w:r>
        <w:t xml:space="preserve">Consistent with the approach adopted currently for PMTS Class B licences, </w:t>
      </w:r>
      <w:r w:rsidR="00670136">
        <w:t xml:space="preserve">the ACMA </w:t>
      </w:r>
      <w:r>
        <w:t xml:space="preserve">will </w:t>
      </w:r>
      <w:r w:rsidR="00670136">
        <w:t xml:space="preserve">take into consideration </w:t>
      </w:r>
      <w:r>
        <w:t xml:space="preserve">the production of a </w:t>
      </w:r>
      <w:r w:rsidR="00E53530">
        <w:t xml:space="preserve">FAC </w:t>
      </w:r>
      <w:r w:rsidR="00D37B4B">
        <w:t xml:space="preserve">in deciding whether to register the device. Where device registration is required, the ACMA expects to publish a RALI to provide technical and administrative assistance to licensees and </w:t>
      </w:r>
      <w:r w:rsidR="007C78E0">
        <w:t>a</w:t>
      </w:r>
      <w:r w:rsidR="00D37B4B">
        <w:t xml:space="preserve">ccredited </w:t>
      </w:r>
      <w:r w:rsidR="007C78E0">
        <w:t>p</w:t>
      </w:r>
      <w:r w:rsidR="00D37B4B">
        <w:t xml:space="preserve">ersons in ensuring that devices are properly coordinated. </w:t>
      </w:r>
    </w:p>
    <w:p w14:paraId="675DD386" w14:textId="71E9FDF1" w:rsidR="00533476" w:rsidRDefault="0080128B">
      <w:pPr>
        <w:pStyle w:val="Heading3"/>
      </w:pPr>
      <w:bookmarkStart w:id="19" w:name="_Toc11308306"/>
      <w:r w:rsidRPr="00722BB3">
        <w:t>Pricing</w:t>
      </w:r>
      <w:r w:rsidR="0013434B">
        <w:t xml:space="preserve"> and </w:t>
      </w:r>
      <w:r w:rsidR="009776DE">
        <w:t>licence issue</w:t>
      </w:r>
      <w:r w:rsidR="00D41FA8">
        <w:t xml:space="preserve"> process</w:t>
      </w:r>
      <w:bookmarkEnd w:id="19"/>
    </w:p>
    <w:p w14:paraId="24893083" w14:textId="2BFAD9B9" w:rsidR="0016084E" w:rsidRDefault="0016084E" w:rsidP="00C81C0B">
      <w:r w:rsidRPr="0016084E">
        <w:t>Apparatus licences have traditionally been allocated and priced via an administrative (‘over the counter’) process. However, the ACMA may also determine a price-based issue process for specified transmitter licences under s</w:t>
      </w:r>
      <w:r>
        <w:t>ubsection </w:t>
      </w:r>
      <w:r w:rsidRPr="0016084E">
        <w:t>106(1) of the Act</w:t>
      </w:r>
      <w:r>
        <w:t>.</w:t>
      </w:r>
    </w:p>
    <w:p w14:paraId="10974A15" w14:textId="0431684A" w:rsidR="007C78E0" w:rsidRDefault="006C71AE" w:rsidP="00D67BB6">
      <w:r>
        <w:t xml:space="preserve">In deciding whether to use administrative or price-based allocation for </w:t>
      </w:r>
      <w:r w:rsidR="00110EF5">
        <w:t>AWL</w:t>
      </w:r>
      <w:r w:rsidR="00F27082">
        <w:t>s</w:t>
      </w:r>
      <w:r>
        <w:t xml:space="preserve"> in a particular band, the ACMA will have regard to a range of factors, including the expected demand for the licences and the administrative efficiency of running a price-based process</w:t>
      </w:r>
      <w:r w:rsidR="00D50D61">
        <w:t xml:space="preserve"> (including determining an appropriate starting price)</w:t>
      </w:r>
      <w:r>
        <w:t>.</w:t>
      </w:r>
    </w:p>
    <w:p w14:paraId="338F6492" w14:textId="5ABC9B1B" w:rsidR="0013434B" w:rsidRPr="000D480B" w:rsidRDefault="0013434B" w:rsidP="009C0397">
      <w:pPr>
        <w:pStyle w:val="BodySubHeader"/>
        <w:keepNext/>
        <w:keepLines/>
      </w:pPr>
      <w:r w:rsidRPr="000D480B">
        <w:lastRenderedPageBreak/>
        <w:t>Administrative pricing</w:t>
      </w:r>
    </w:p>
    <w:p w14:paraId="78C0B2BF" w14:textId="105EFBF7" w:rsidR="00283E9C" w:rsidRDefault="00A42FF2" w:rsidP="009C0397">
      <w:pPr>
        <w:keepNext/>
        <w:keepLines/>
      </w:pPr>
      <w:r>
        <w:t>Administrative pricing of apparatus licences typically has two components, namely</w:t>
      </w:r>
      <w:r w:rsidR="000E63AF">
        <w:t>:</w:t>
      </w:r>
      <w:r w:rsidR="000E63AF" w:rsidDel="000E63AF">
        <w:t xml:space="preserve"> </w:t>
      </w:r>
      <w:r w:rsidR="000E63AF">
        <w:t>a</w:t>
      </w:r>
      <w:r w:rsidRPr="000008A3">
        <w:t xml:space="preserve">n issue or renewal charge determined by the </w:t>
      </w:r>
      <w:r w:rsidR="00EA7EBD" w:rsidRPr="000D480B">
        <w:t>Charges Determination</w:t>
      </w:r>
      <w:r w:rsidR="000E63AF">
        <w:rPr>
          <w:rStyle w:val="FootnoteReference"/>
        </w:rPr>
        <w:footnoteReference w:id="10"/>
      </w:r>
      <w:r w:rsidR="000E63AF">
        <w:t>; and a taxation charge</w:t>
      </w:r>
      <w:r w:rsidR="00A86658">
        <w:t xml:space="preserve"> for access to spectrum. Taxes for apparatus licences issued </w:t>
      </w:r>
      <w:r w:rsidR="00E37254">
        <w:t>‘</w:t>
      </w:r>
      <w:r w:rsidR="00A86658">
        <w:t>over</w:t>
      </w:r>
      <w:r w:rsidR="00E37254">
        <w:t xml:space="preserve"> </w:t>
      </w:r>
      <w:r w:rsidR="00A86658">
        <w:t>the</w:t>
      </w:r>
      <w:r w:rsidR="00E37254">
        <w:t xml:space="preserve"> </w:t>
      </w:r>
      <w:r w:rsidR="00A86658">
        <w:t>counter</w:t>
      </w:r>
      <w:r w:rsidR="00E37254">
        <w:t>’</w:t>
      </w:r>
      <w:r w:rsidR="00A86658">
        <w:t xml:space="preserve"> are determined currently via the Transmitter Tax Determination </w:t>
      </w:r>
      <w:r w:rsidR="00184D73">
        <w:t xml:space="preserve">or </w:t>
      </w:r>
      <w:r w:rsidR="00A86658">
        <w:t xml:space="preserve">the Receiver </w:t>
      </w:r>
      <w:r w:rsidR="00A86658">
        <w:rPr>
          <w:bCs/>
        </w:rPr>
        <w:t>Tax Determination.</w:t>
      </w:r>
      <w:r w:rsidR="007D6318" w:rsidRPr="00722BB3">
        <w:rPr>
          <w:bCs/>
        </w:rPr>
        <w:t xml:space="preserve"> </w:t>
      </w:r>
    </w:p>
    <w:p w14:paraId="0DCD9E28" w14:textId="1F524CD9" w:rsidR="00257898" w:rsidRDefault="00257898">
      <w:r>
        <w:t xml:space="preserve">The ACMA </w:t>
      </w:r>
      <w:r w:rsidRPr="000B0225">
        <w:t xml:space="preserve">proposes to adopt a consistent approach to the pricing of </w:t>
      </w:r>
      <w:r w:rsidR="00110EF5">
        <w:t>AWL</w:t>
      </w:r>
      <w:r w:rsidRPr="000B0225">
        <w:t xml:space="preserve">s across multiple bands </w:t>
      </w:r>
      <w:r>
        <w:t>using</w:t>
      </w:r>
      <w:r w:rsidRPr="000B0225">
        <w:t xml:space="preserve"> set of parameters (</w:t>
      </w:r>
      <w:r>
        <w:t>for example,</w:t>
      </w:r>
      <w:r w:rsidRPr="000B0225">
        <w:t xml:space="preserve"> frequency band, lot size, population coverage), with weighting of each parameter needing to be considered </w:t>
      </w:r>
      <w:r w:rsidRPr="00A71E75">
        <w:t xml:space="preserve">on a </w:t>
      </w:r>
      <w:r w:rsidR="00383F80">
        <w:t>band-by</w:t>
      </w:r>
      <w:r w:rsidRPr="00A71E75">
        <w:t xml:space="preserve">-band basis. </w:t>
      </w:r>
    </w:p>
    <w:p w14:paraId="2DF0CB6E" w14:textId="1B9CEAF8" w:rsidR="000D02A3" w:rsidRDefault="00C45FB6">
      <w:r>
        <w:t>As t</w:t>
      </w:r>
      <w:r w:rsidR="00A860AD">
        <w:t>a</w:t>
      </w:r>
      <w:r w:rsidR="000D02A3">
        <w:t xml:space="preserve">x </w:t>
      </w:r>
      <w:r w:rsidR="00791B86">
        <w:t xml:space="preserve">arrangements </w:t>
      </w:r>
      <w:r w:rsidR="000D02A3">
        <w:t xml:space="preserve">for the </w:t>
      </w:r>
      <w:r w:rsidR="00110EF5">
        <w:t>AWL</w:t>
      </w:r>
      <w:r w:rsidR="000D02A3">
        <w:t xml:space="preserve"> will be determined on a </w:t>
      </w:r>
      <w:r w:rsidR="00383F80">
        <w:t>band-by</w:t>
      </w:r>
      <w:r w:rsidR="000D02A3">
        <w:t>-band basis</w:t>
      </w:r>
      <w:r>
        <w:t xml:space="preserve">, </w:t>
      </w:r>
      <w:r w:rsidR="006C3AF8" w:rsidRPr="00A71E75">
        <w:t>the</w:t>
      </w:r>
      <w:r>
        <w:t xml:space="preserve"> </w:t>
      </w:r>
      <w:r w:rsidR="007F44C6">
        <w:t>Transmitter Tax Determination and Receiver Tax Determination</w:t>
      </w:r>
      <w:r>
        <w:t xml:space="preserve"> will require amendment </w:t>
      </w:r>
      <w:r w:rsidR="008E1FC9">
        <w:t>each time</w:t>
      </w:r>
      <w:r w:rsidR="00902B72">
        <w:t xml:space="preserve"> the ACMA decides to issue the </w:t>
      </w:r>
      <w:r w:rsidR="00110EF5">
        <w:t>AWL</w:t>
      </w:r>
      <w:r w:rsidR="00AB4141">
        <w:t xml:space="preserve"> type</w:t>
      </w:r>
      <w:r w:rsidR="00902B72">
        <w:t xml:space="preserve"> </w:t>
      </w:r>
      <w:r w:rsidR="00E365F8">
        <w:t>in a new band.</w:t>
      </w:r>
      <w:r w:rsidR="007549F6">
        <w:t xml:space="preserve"> </w:t>
      </w:r>
      <w:r w:rsidR="00A86658">
        <w:t>T</w:t>
      </w:r>
      <w:r w:rsidR="00CE7BE3">
        <w:t xml:space="preserve">he ACMA will consult </w:t>
      </w:r>
      <w:r w:rsidR="00A86658">
        <w:t xml:space="preserve">on amendments to the Tax Determinations prior to a decision </w:t>
      </w:r>
      <w:r w:rsidR="00187A3B">
        <w:t xml:space="preserve">to issue </w:t>
      </w:r>
      <w:r w:rsidR="00110EF5">
        <w:t>AWL</w:t>
      </w:r>
      <w:r w:rsidR="00A86658">
        <w:t>s</w:t>
      </w:r>
      <w:r w:rsidR="00187A3B">
        <w:t xml:space="preserve"> in </w:t>
      </w:r>
      <w:r w:rsidR="00A86658">
        <w:t xml:space="preserve">the relevant </w:t>
      </w:r>
      <w:r w:rsidR="00187A3B">
        <w:t xml:space="preserve">band. </w:t>
      </w:r>
      <w:r w:rsidR="00791B86">
        <w:t xml:space="preserve"> </w:t>
      </w:r>
      <w:r w:rsidR="000D02A3">
        <w:t xml:space="preserve"> </w:t>
      </w:r>
    </w:p>
    <w:p w14:paraId="579ED72C" w14:textId="77777777" w:rsidR="00FA61BE" w:rsidRDefault="00FA61BE">
      <w:pPr>
        <w:spacing w:after="0" w:line="240" w:lineRule="auto"/>
      </w:pPr>
      <w:r>
        <w:br w:type="page"/>
      </w:r>
    </w:p>
    <w:p w14:paraId="1421B8AD" w14:textId="1D94401B" w:rsidR="00B92B82" w:rsidRDefault="00B52446" w:rsidP="000D480B">
      <w:pPr>
        <w:pStyle w:val="Heading1"/>
      </w:pPr>
      <w:bookmarkStart w:id="20" w:name="_Toc11308307"/>
      <w:r>
        <w:lastRenderedPageBreak/>
        <w:t>Proposed amendments</w:t>
      </w:r>
      <w:r w:rsidR="00B92B82">
        <w:t xml:space="preserve"> to the apparatus licensing framework</w:t>
      </w:r>
      <w:bookmarkEnd w:id="20"/>
    </w:p>
    <w:p w14:paraId="1A8489CE" w14:textId="6DEEFE83" w:rsidR="007A07CC" w:rsidRDefault="00A85487" w:rsidP="007A07CC">
      <w:r>
        <w:t>T</w:t>
      </w:r>
      <w:r w:rsidR="001044DA">
        <w:t xml:space="preserve">he ACMA </w:t>
      </w:r>
      <w:r w:rsidR="0029357F">
        <w:t xml:space="preserve">is proposing </w:t>
      </w:r>
      <w:r w:rsidR="00CC1857">
        <w:t xml:space="preserve">regulatory changes </w:t>
      </w:r>
      <w:r w:rsidR="0029357F">
        <w:t xml:space="preserve">to certain </w:t>
      </w:r>
      <w:r w:rsidR="001044DA">
        <w:t>elements of the apparatus licensing framework</w:t>
      </w:r>
      <w:r>
        <w:t xml:space="preserve"> to create the </w:t>
      </w:r>
      <w:r w:rsidR="00110EF5">
        <w:t>AWL</w:t>
      </w:r>
      <w:r>
        <w:t xml:space="preserve"> type</w:t>
      </w:r>
      <w:r w:rsidR="0029357F">
        <w:t>.</w:t>
      </w:r>
      <w:r w:rsidR="00AB3936">
        <w:t xml:space="preserve"> </w:t>
      </w:r>
      <w:r w:rsidR="00CC1857">
        <w:t>Drafts of the relevant instruments are attached to this consultation paper</w:t>
      </w:r>
      <w:r w:rsidR="003F3E8A">
        <w:t>.</w:t>
      </w:r>
    </w:p>
    <w:p w14:paraId="3E7B11F1" w14:textId="3AE0D7A6" w:rsidR="00AB3936" w:rsidRDefault="00AB3936" w:rsidP="00AB3936">
      <w:pPr>
        <w:pStyle w:val="Heading2"/>
      </w:pPr>
      <w:bookmarkStart w:id="21" w:name="_Toc11308308"/>
      <w:r>
        <w:t xml:space="preserve">Draft </w:t>
      </w:r>
      <w:r w:rsidRPr="00AB3936">
        <w:t>Radiocommunications Legislation (2019 Measures No. 1) Instrument 2019</w:t>
      </w:r>
      <w:bookmarkEnd w:id="21"/>
    </w:p>
    <w:p w14:paraId="5EBDD9DD" w14:textId="2E459541" w:rsidR="00AB3936" w:rsidRPr="00AB3936" w:rsidRDefault="00CC1857">
      <w:r>
        <w:t>This omnibus instrument contains amendments to existing legislative instruments that make up the apparatus licensing framework.</w:t>
      </w:r>
    </w:p>
    <w:p w14:paraId="38D9F097" w14:textId="19B65744" w:rsidR="008A6006" w:rsidRPr="00146F7C" w:rsidRDefault="007A07CC" w:rsidP="009C0397">
      <w:pPr>
        <w:pStyle w:val="Heading3"/>
      </w:pPr>
      <w:bookmarkStart w:id="22" w:name="_Toc1724906"/>
      <w:bookmarkStart w:id="23" w:name="_Hlk1631075"/>
      <w:bookmarkStart w:id="24" w:name="_Toc11308309"/>
      <w:r w:rsidRPr="00146F7C">
        <w:t>Radiocommunications (Specified Radiocommunications Receivers and Types of Transmitter Licences and Receiver Licences) Determination 2014</w:t>
      </w:r>
      <w:bookmarkStart w:id="25" w:name="_Toc1724907"/>
      <w:bookmarkEnd w:id="22"/>
      <w:bookmarkEnd w:id="23"/>
      <w:bookmarkEnd w:id="24"/>
      <w:r w:rsidR="002D323D" w:rsidRPr="00146F7C">
        <w:t xml:space="preserve"> </w:t>
      </w:r>
    </w:p>
    <w:p w14:paraId="500E8F18" w14:textId="10F7B56E" w:rsidR="00470D6D" w:rsidRDefault="00E81B27" w:rsidP="00E81B27">
      <w:r>
        <w:t>The</w:t>
      </w:r>
      <w:r w:rsidR="008811CA">
        <w:t xml:space="preserve"> ACMA</w:t>
      </w:r>
      <w:r>
        <w:t xml:space="preserve"> propose</w:t>
      </w:r>
      <w:r w:rsidR="008811CA">
        <w:t>s</w:t>
      </w:r>
      <w:r>
        <w:t xml:space="preserve"> </w:t>
      </w:r>
      <w:r w:rsidR="008811CA">
        <w:t xml:space="preserve">to </w:t>
      </w:r>
      <w:r>
        <w:t xml:space="preserve">amend the Types Determination </w:t>
      </w:r>
      <w:r w:rsidR="008811CA">
        <w:t xml:space="preserve">to </w:t>
      </w:r>
      <w:r>
        <w:t xml:space="preserve">add the </w:t>
      </w:r>
      <w:r w:rsidR="00110EF5">
        <w:t>AWL</w:t>
      </w:r>
      <w:r>
        <w:t xml:space="preserve"> type to Schedule 1</w:t>
      </w:r>
      <w:r w:rsidR="00CF6DA6">
        <w:t xml:space="preserve"> </w:t>
      </w:r>
      <w:r w:rsidR="007D4582">
        <w:t xml:space="preserve">for transmitters </w:t>
      </w:r>
      <w:r w:rsidR="00CF6DA6">
        <w:t>and Schedule 2</w:t>
      </w:r>
      <w:r w:rsidR="007D4582">
        <w:t xml:space="preserve"> for receivers</w:t>
      </w:r>
      <w:r w:rsidR="00EB7FBE">
        <w:t xml:space="preserve">. </w:t>
      </w:r>
      <w:r w:rsidR="0080128B">
        <w:t xml:space="preserve">This will enable the </w:t>
      </w:r>
      <w:r>
        <w:t xml:space="preserve">ACMA </w:t>
      </w:r>
      <w:r w:rsidR="0080128B">
        <w:t xml:space="preserve">to </w:t>
      </w:r>
      <w:r>
        <w:t xml:space="preserve">issue </w:t>
      </w:r>
      <w:r w:rsidR="00CF6DA6">
        <w:t>both a transmitter and receiver</w:t>
      </w:r>
      <w:r w:rsidR="00470D6D">
        <w:t xml:space="preserve"> apparatus licence of t</w:t>
      </w:r>
      <w:r w:rsidR="004E558F">
        <w:t xml:space="preserve">he </w:t>
      </w:r>
      <w:r w:rsidR="00110EF5">
        <w:t>AWL</w:t>
      </w:r>
      <w:r w:rsidR="004E558F">
        <w:t xml:space="preserve"> </w:t>
      </w:r>
      <w:r w:rsidR="00470D6D">
        <w:t xml:space="preserve">type. </w:t>
      </w:r>
    </w:p>
    <w:p w14:paraId="663F69FE" w14:textId="77777777" w:rsidR="008A6006" w:rsidRPr="00146F7C" w:rsidRDefault="007A07CC" w:rsidP="009C0397">
      <w:pPr>
        <w:pStyle w:val="Heading3"/>
      </w:pPr>
      <w:bookmarkStart w:id="26" w:name="_Toc11308310"/>
      <w:r w:rsidRPr="00146F7C">
        <w:t>Radiocommunications (Interpretation) Determination 2015</w:t>
      </w:r>
      <w:bookmarkStart w:id="27" w:name="_Toc1724908"/>
      <w:bookmarkEnd w:id="25"/>
      <w:bookmarkEnd w:id="26"/>
    </w:p>
    <w:bookmarkEnd w:id="27"/>
    <w:p w14:paraId="20514768" w14:textId="1701B0FE" w:rsidR="007C23F6" w:rsidRDefault="00470D6D" w:rsidP="008A6006">
      <w:r>
        <w:t xml:space="preserve">The </w:t>
      </w:r>
      <w:r w:rsidR="008811CA">
        <w:t xml:space="preserve">ACMA proposes to </w:t>
      </w:r>
      <w:r>
        <w:t xml:space="preserve">amend the Interpretation Determination </w:t>
      </w:r>
      <w:r w:rsidR="008811CA">
        <w:t xml:space="preserve">to </w:t>
      </w:r>
      <w:r w:rsidR="00001DC2">
        <w:t xml:space="preserve">add a </w:t>
      </w:r>
      <w:r w:rsidR="00BB7779">
        <w:t>definition for a</w:t>
      </w:r>
      <w:r w:rsidR="007C78E0">
        <w:t>n</w:t>
      </w:r>
      <w:r w:rsidR="00BB7779">
        <w:t xml:space="preserve"> </w:t>
      </w:r>
      <w:r w:rsidR="00110EF5">
        <w:t>AWL</w:t>
      </w:r>
      <w:r w:rsidR="00BB7779">
        <w:t xml:space="preserve">. </w:t>
      </w:r>
    </w:p>
    <w:p w14:paraId="7FDF5778" w14:textId="36EFBDF1" w:rsidR="007C23F6" w:rsidRDefault="007C23F6" w:rsidP="009C0397">
      <w:pPr>
        <w:spacing w:after="80"/>
      </w:pPr>
      <w:r>
        <w:t>The proposed definition of a</w:t>
      </w:r>
      <w:r w:rsidR="007C78E0">
        <w:t>n</w:t>
      </w:r>
      <w:r>
        <w:t xml:space="preserve"> </w:t>
      </w:r>
      <w:r w:rsidR="00110EF5">
        <w:t>AWL</w:t>
      </w:r>
      <w:r>
        <w:t xml:space="preserve"> is based on the following attributes:</w:t>
      </w:r>
    </w:p>
    <w:p w14:paraId="7CEA9E8D" w14:textId="3856FAAB" w:rsidR="007C23F6" w:rsidRPr="000A2BE8" w:rsidRDefault="007C23F6" w:rsidP="000A2BE8">
      <w:pPr>
        <w:pStyle w:val="ListBullet"/>
      </w:pPr>
      <w:r w:rsidRPr="000A2BE8">
        <w:t xml:space="preserve">the licence </w:t>
      </w:r>
      <w:r w:rsidR="00C72329" w:rsidRPr="000A2BE8">
        <w:t xml:space="preserve">will </w:t>
      </w:r>
      <w:r w:rsidRPr="000A2BE8">
        <w:t xml:space="preserve">authorise </w:t>
      </w:r>
      <w:r w:rsidR="00C72329" w:rsidRPr="000A2BE8">
        <w:t xml:space="preserve">the operation </w:t>
      </w:r>
      <w:r w:rsidRPr="000A2BE8">
        <w:t xml:space="preserve">one or more </w:t>
      </w:r>
      <w:r w:rsidR="00EC236A" w:rsidRPr="000A2BE8">
        <w:t>radiocommunications devices</w:t>
      </w:r>
      <w:r w:rsidRPr="000A2BE8">
        <w:t>;</w:t>
      </w:r>
    </w:p>
    <w:p w14:paraId="46F47433" w14:textId="2366176D" w:rsidR="00C72329" w:rsidRDefault="007C23F6" w:rsidP="00B91E1E">
      <w:pPr>
        <w:pStyle w:val="ListBullet"/>
      </w:pPr>
      <w:r w:rsidRPr="00B91E1E">
        <w:t xml:space="preserve">the </w:t>
      </w:r>
      <w:r w:rsidR="00C72329" w:rsidRPr="00B91E1E">
        <w:t xml:space="preserve">licence will authorise the operation of </w:t>
      </w:r>
      <w:r w:rsidR="0026523F" w:rsidRPr="002715C9">
        <w:t xml:space="preserve">radiocommunications devices </w:t>
      </w:r>
      <w:r w:rsidR="00C72329" w:rsidRPr="002715C9">
        <w:t>that are operated</w:t>
      </w:r>
      <w:r w:rsidR="00C72329">
        <w:t>:</w:t>
      </w:r>
    </w:p>
    <w:p w14:paraId="5EF8453F" w14:textId="0F526F5A" w:rsidR="00C72329" w:rsidRPr="000A2BE8" w:rsidRDefault="00C72329">
      <w:pPr>
        <w:pStyle w:val="ListBullet2"/>
      </w:pPr>
      <w:r w:rsidRPr="000A2BE8">
        <w:t xml:space="preserve">in </w:t>
      </w:r>
      <w:r w:rsidR="007C23F6" w:rsidRPr="000A2BE8">
        <w:t>the frequency band</w:t>
      </w:r>
      <w:r w:rsidRPr="000A2BE8">
        <w:t xml:space="preserve">(s) specified </w:t>
      </w:r>
      <w:r w:rsidR="00383F80" w:rsidRPr="000A2BE8">
        <w:t>i</w:t>
      </w:r>
      <w:r w:rsidRPr="000A2BE8">
        <w:t>n the licence;</w:t>
      </w:r>
      <w:r w:rsidR="007C23F6" w:rsidRPr="000A2BE8">
        <w:t xml:space="preserve"> </w:t>
      </w:r>
    </w:p>
    <w:p w14:paraId="5C75B945" w14:textId="68869BD2" w:rsidR="00C72329" w:rsidRPr="000A2BE8" w:rsidRDefault="00C72329">
      <w:pPr>
        <w:pStyle w:val="ListBullet2"/>
      </w:pPr>
      <w:r w:rsidRPr="000A2BE8">
        <w:t xml:space="preserve">are located within the geographical area specified </w:t>
      </w:r>
      <w:r w:rsidR="00383F80" w:rsidRPr="000A2BE8">
        <w:t>i</w:t>
      </w:r>
      <w:r w:rsidR="0009520F" w:rsidRPr="000A2BE8">
        <w:t xml:space="preserve">n </w:t>
      </w:r>
      <w:r w:rsidRPr="000A2BE8">
        <w:t>the licence</w:t>
      </w:r>
      <w:r w:rsidR="00655F52" w:rsidRPr="000A2BE8">
        <w:t>;</w:t>
      </w:r>
    </w:p>
    <w:p w14:paraId="5B8156C8" w14:textId="0F14B61C" w:rsidR="007C23F6" w:rsidRPr="002715C9" w:rsidRDefault="0009520F">
      <w:pPr>
        <w:pStyle w:val="ListBullet2"/>
        <w:spacing w:after="240"/>
      </w:pPr>
      <w:r w:rsidRPr="000A2BE8">
        <w:t xml:space="preserve">in accordance with any </w:t>
      </w:r>
      <w:r w:rsidR="007C23F6" w:rsidRPr="000A2BE8">
        <w:t xml:space="preserve">other conditions </w:t>
      </w:r>
      <w:r w:rsidR="00383F80" w:rsidRPr="000A2BE8">
        <w:t>i</w:t>
      </w:r>
      <w:r w:rsidR="007C23F6" w:rsidRPr="000A2BE8">
        <w:t>n the licence</w:t>
      </w:r>
      <w:r w:rsidRPr="000A2BE8">
        <w:t xml:space="preserve"> </w:t>
      </w:r>
      <w:r w:rsidR="00E96908" w:rsidRPr="000A2BE8">
        <w:t xml:space="preserve">or within an applicable LCD </w:t>
      </w:r>
      <w:r w:rsidRPr="00B91E1E">
        <w:t xml:space="preserve">(for example, </w:t>
      </w:r>
      <w:r w:rsidR="00533978" w:rsidRPr="00B91E1E">
        <w:t>boundary conditions</w:t>
      </w:r>
      <w:r w:rsidRPr="002715C9">
        <w:t>)</w:t>
      </w:r>
      <w:r w:rsidR="00655F52" w:rsidRPr="002715C9">
        <w:t>.</w:t>
      </w:r>
    </w:p>
    <w:p w14:paraId="35D37EF8" w14:textId="498BB0F5" w:rsidR="007049C8" w:rsidRDefault="00E357DF">
      <w:r>
        <w:t xml:space="preserve">The </w:t>
      </w:r>
      <w:r w:rsidR="00110EF5">
        <w:t>AWL</w:t>
      </w:r>
      <w:r>
        <w:t xml:space="preserve"> type definition also incorporate</w:t>
      </w:r>
      <w:r w:rsidR="00BA3A6D">
        <w:t>s</w:t>
      </w:r>
      <w:r>
        <w:t xml:space="preserve"> and develop</w:t>
      </w:r>
      <w:r w:rsidR="00BA3A6D">
        <w:t>s</w:t>
      </w:r>
      <w:r>
        <w:t xml:space="preserve"> several other definitions to satisfy requirement of the Act and other instruments (for example, defining a</w:t>
      </w:r>
      <w:r w:rsidR="003E0DDF">
        <w:t>n area-wide</w:t>
      </w:r>
      <w:r>
        <w:t xml:space="preserve"> station to identify a kind of radiocommunications transmitter, or </w:t>
      </w:r>
      <w:r w:rsidR="003E0DDF">
        <w:t>an area-wide</w:t>
      </w:r>
      <w:r>
        <w:t xml:space="preserve"> service)</w:t>
      </w:r>
      <w:r w:rsidR="007049C8">
        <w:t>.</w:t>
      </w:r>
      <w:r w:rsidR="00BA3A6D">
        <w:t xml:space="preserve"> T</w:t>
      </w:r>
      <w:r>
        <w:t xml:space="preserve">hese </w:t>
      </w:r>
      <w:r w:rsidR="00A85487">
        <w:t xml:space="preserve">are </w:t>
      </w:r>
      <w:r>
        <w:t>defined broadly to enable licensees</w:t>
      </w:r>
      <w:r w:rsidR="003A4EA4">
        <w:t xml:space="preserve"> </w:t>
      </w:r>
      <w:r w:rsidR="006F2D0C">
        <w:t xml:space="preserve">to </w:t>
      </w:r>
      <w:r w:rsidR="003A4EA4">
        <w:t>have</w:t>
      </w:r>
      <w:r>
        <w:t xml:space="preserve"> high levels of flexibility</w:t>
      </w:r>
      <w:r w:rsidR="00710BF6">
        <w:t xml:space="preserve"> </w:t>
      </w:r>
      <w:r w:rsidR="00973E7D">
        <w:t>relating to</w:t>
      </w:r>
      <w:r w:rsidR="00710BF6">
        <w:t xml:space="preserve"> </w:t>
      </w:r>
      <w:r w:rsidR="00082B2F">
        <w:t xml:space="preserve">device </w:t>
      </w:r>
      <w:r w:rsidR="00710BF6">
        <w:t>deployment</w:t>
      </w:r>
      <w:r>
        <w:t xml:space="preserve">. </w:t>
      </w:r>
    </w:p>
    <w:p w14:paraId="58CD7290" w14:textId="1223EEEA" w:rsidR="00107017" w:rsidRPr="00146F7C" w:rsidRDefault="00107017" w:rsidP="009C0397">
      <w:pPr>
        <w:pStyle w:val="Heading3"/>
      </w:pPr>
      <w:bookmarkStart w:id="28" w:name="_Toc11308311"/>
      <w:bookmarkStart w:id="29" w:name="_Toc1724909"/>
      <w:r w:rsidRPr="00146F7C">
        <w:t>Radiocommunications (Register of Radiocommunications Licence) Determination 2017</w:t>
      </w:r>
      <w:bookmarkEnd w:id="28"/>
    </w:p>
    <w:p w14:paraId="07913F22" w14:textId="151459EE" w:rsidR="00107017" w:rsidRDefault="00107017">
      <w:r>
        <w:t xml:space="preserve">The </w:t>
      </w:r>
      <w:r w:rsidR="008811CA">
        <w:t xml:space="preserve">ACMA proposes to </w:t>
      </w:r>
      <w:r>
        <w:t xml:space="preserve">amend the RRL Determination </w:t>
      </w:r>
      <w:r w:rsidR="008811CA">
        <w:t xml:space="preserve">to </w:t>
      </w:r>
      <w:r w:rsidR="0007426D">
        <w:t>qualify the application of</w:t>
      </w:r>
      <w:r w:rsidR="008811CA">
        <w:t xml:space="preserve"> </w:t>
      </w:r>
      <w:r w:rsidR="0007426D">
        <w:t xml:space="preserve">section 10 </w:t>
      </w:r>
      <w:r w:rsidR="00720BD1">
        <w:t xml:space="preserve">of the Determination </w:t>
      </w:r>
      <w:r w:rsidR="0007426D">
        <w:t xml:space="preserve">to </w:t>
      </w:r>
      <w:r w:rsidR="00110EF5">
        <w:t>AWL</w:t>
      </w:r>
      <w:r w:rsidR="0007426D">
        <w:t xml:space="preserve">s. The amendment will provide that, for </w:t>
      </w:r>
      <w:r w:rsidR="0036634E">
        <w:t xml:space="preserve">radiocommunications </w:t>
      </w:r>
      <w:r w:rsidR="0007426D">
        <w:t>devices authorised under a</w:t>
      </w:r>
      <w:r w:rsidR="007C78E0">
        <w:t>n</w:t>
      </w:r>
      <w:r w:rsidR="0007426D">
        <w:t xml:space="preserve"> </w:t>
      </w:r>
      <w:r w:rsidR="00110EF5">
        <w:t>AWL</w:t>
      </w:r>
      <w:r w:rsidR="0007426D">
        <w:t xml:space="preserve">, the device information requirements under subsections 10(4), 10(5), 10(6) and 10(7) will apply only if the licence </w:t>
      </w:r>
      <w:r w:rsidR="00383F80">
        <w:t xml:space="preserve">is subject to </w:t>
      </w:r>
      <w:r w:rsidR="0007426D">
        <w:t xml:space="preserve">a condition requiring </w:t>
      </w:r>
      <w:r w:rsidR="007B5122">
        <w:t xml:space="preserve">the </w:t>
      </w:r>
      <w:r w:rsidR="0007426D">
        <w:t xml:space="preserve">licensee </w:t>
      </w:r>
      <w:r w:rsidR="0036634E">
        <w:t xml:space="preserve">to </w:t>
      </w:r>
      <w:r w:rsidR="0098065C">
        <w:t xml:space="preserve">register </w:t>
      </w:r>
      <w:r w:rsidR="0036634E">
        <w:t xml:space="preserve">radiocommunications </w:t>
      </w:r>
      <w:r w:rsidR="0098065C">
        <w:t>devices</w:t>
      </w:r>
      <w:r w:rsidR="0007426D">
        <w:t xml:space="preserve"> prior to operation.</w:t>
      </w:r>
      <w:r w:rsidR="00DB3DC0">
        <w:t xml:space="preserve"> </w:t>
      </w:r>
      <w:r w:rsidR="0007426D">
        <w:t xml:space="preserve"> </w:t>
      </w:r>
    </w:p>
    <w:p w14:paraId="18CA0CD8" w14:textId="7B0C4991" w:rsidR="000B07DF" w:rsidRPr="004F4E1E" w:rsidRDefault="00D63C2E" w:rsidP="00146F7C">
      <w:pPr>
        <w:pStyle w:val="Heading2"/>
      </w:pPr>
      <w:bookmarkStart w:id="30" w:name="_Toc11308312"/>
      <w:r>
        <w:lastRenderedPageBreak/>
        <w:t xml:space="preserve">Draft </w:t>
      </w:r>
      <w:r w:rsidR="00F5233A" w:rsidRPr="00820510">
        <w:t>Radiocommunications Licence Conditions (</w:t>
      </w:r>
      <w:r w:rsidR="00281C39">
        <w:t xml:space="preserve">Area-Wide </w:t>
      </w:r>
      <w:r w:rsidR="00F5233A" w:rsidRPr="00820510">
        <w:t xml:space="preserve">Licence) </w:t>
      </w:r>
      <w:r w:rsidR="00F5233A" w:rsidRPr="004F4E1E">
        <w:t>Determination 2019</w:t>
      </w:r>
      <w:bookmarkEnd w:id="29"/>
      <w:bookmarkEnd w:id="30"/>
    </w:p>
    <w:p w14:paraId="274AD93C" w14:textId="627DF072" w:rsidR="007049C8" w:rsidRDefault="007A07CC" w:rsidP="007A07CC">
      <w:r>
        <w:t xml:space="preserve">The </w:t>
      </w:r>
      <w:r w:rsidR="000B5A2E">
        <w:t>ACMA is proposing to make</w:t>
      </w:r>
      <w:r>
        <w:t xml:space="preserve"> </w:t>
      </w:r>
      <w:r w:rsidR="003B27E3">
        <w:t>the Radiocommunications Licence Conditions (</w:t>
      </w:r>
      <w:r w:rsidR="003E0DDF">
        <w:t>Area-Wide</w:t>
      </w:r>
      <w:r w:rsidR="003B27E3">
        <w:t xml:space="preserve"> </w:t>
      </w:r>
      <w:r w:rsidR="00F5233A">
        <w:t>L</w:t>
      </w:r>
      <w:r w:rsidR="003B27E3">
        <w:t>icence) Determination 2019</w:t>
      </w:r>
      <w:r w:rsidR="00605EEF">
        <w:t xml:space="preserve"> (the </w:t>
      </w:r>
      <w:r w:rsidR="00110EF5">
        <w:t>AWL</w:t>
      </w:r>
      <w:r w:rsidR="00605EEF">
        <w:t xml:space="preserve"> LCD)</w:t>
      </w:r>
      <w:r w:rsidR="00434DF5">
        <w:t xml:space="preserve">. </w:t>
      </w:r>
      <w:r w:rsidR="0050621E">
        <w:t xml:space="preserve">The </w:t>
      </w:r>
      <w:r w:rsidR="00720C87">
        <w:t xml:space="preserve">proposed </w:t>
      </w:r>
      <w:r w:rsidR="00110EF5">
        <w:t>AWL</w:t>
      </w:r>
      <w:r w:rsidR="0050621E">
        <w:t xml:space="preserve"> LCD </w:t>
      </w:r>
      <w:r w:rsidR="00720C87">
        <w:t xml:space="preserve">would </w:t>
      </w:r>
      <w:r w:rsidR="0050621E">
        <w:t>appl</w:t>
      </w:r>
      <w:r w:rsidR="00720C87">
        <w:t>y</w:t>
      </w:r>
      <w:r w:rsidR="0050621E">
        <w:t xml:space="preserve"> </w:t>
      </w:r>
      <w:r w:rsidR="003A15A2">
        <w:t xml:space="preserve">only </w:t>
      </w:r>
      <w:r w:rsidR="0050621E">
        <w:t xml:space="preserve">to the </w:t>
      </w:r>
      <w:r w:rsidR="00110EF5">
        <w:t>AWL</w:t>
      </w:r>
      <w:r w:rsidR="003A15A2">
        <w:t xml:space="preserve"> apparatus </w:t>
      </w:r>
      <w:r w:rsidR="00DE45AF">
        <w:t>licence type</w:t>
      </w:r>
      <w:r w:rsidR="0050621E">
        <w:t>.</w:t>
      </w:r>
    </w:p>
    <w:p w14:paraId="4797153E" w14:textId="7E83746E" w:rsidR="00A86574" w:rsidRDefault="00A86574">
      <w:r>
        <w:t xml:space="preserve">The proposed </w:t>
      </w:r>
      <w:r w:rsidR="00110EF5">
        <w:t>AWL</w:t>
      </w:r>
      <w:r>
        <w:t xml:space="preserve"> LCD will have a general part that will contain conditions applicable to all </w:t>
      </w:r>
      <w:r w:rsidR="00110EF5">
        <w:t>AWL</w:t>
      </w:r>
      <w:r>
        <w:t xml:space="preserve">s and ‘band-specific’ </w:t>
      </w:r>
      <w:r w:rsidR="00674F84">
        <w:t xml:space="preserve">schedules </w:t>
      </w:r>
      <w:r>
        <w:t xml:space="preserve">that will likely contain conditions that are specific to </w:t>
      </w:r>
      <w:r w:rsidR="00110EF5">
        <w:t>AWL</w:t>
      </w:r>
      <w:r>
        <w:t>s issued in the corresponding band (for example, technical conditions that vary with frequency).</w:t>
      </w:r>
      <w:r w:rsidR="008811CA">
        <w:rPr>
          <w:rStyle w:val="FootnoteReference"/>
        </w:rPr>
        <w:footnoteReference w:id="11"/>
      </w:r>
      <w:r>
        <w:t xml:space="preserve"> </w:t>
      </w:r>
    </w:p>
    <w:p w14:paraId="3256EED7" w14:textId="14169F1E" w:rsidR="00F8297E" w:rsidRDefault="008811CA">
      <w:r>
        <w:t xml:space="preserve">Under the general part of </w:t>
      </w:r>
      <w:r w:rsidR="00A86574">
        <w:t xml:space="preserve">the </w:t>
      </w:r>
      <w:r w:rsidR="007A07CC">
        <w:t>proposed</w:t>
      </w:r>
      <w:r w:rsidR="007049C8">
        <w:t xml:space="preserve"> </w:t>
      </w:r>
      <w:r w:rsidR="00110EF5">
        <w:t>AWL</w:t>
      </w:r>
      <w:r w:rsidR="005E400C">
        <w:t xml:space="preserve"> LCD</w:t>
      </w:r>
      <w:r w:rsidR="007A07CC">
        <w:t xml:space="preserve">, if the licence does not include a condition requiring the licensee to register a </w:t>
      </w:r>
      <w:r w:rsidR="0026523F">
        <w:t>radiocommunications device</w:t>
      </w:r>
      <w:r w:rsidR="007A07CC">
        <w:t xml:space="preserve">, the licensee </w:t>
      </w:r>
      <w:r w:rsidR="00C605A7">
        <w:t xml:space="preserve">must </w:t>
      </w:r>
      <w:r w:rsidR="007A07CC">
        <w:t>provide certain operation</w:t>
      </w:r>
      <w:r w:rsidR="007049C8">
        <w:t xml:space="preserve">al and </w:t>
      </w:r>
      <w:r w:rsidR="007A07CC">
        <w:t xml:space="preserve">technical details of </w:t>
      </w:r>
      <w:r w:rsidR="0026523F">
        <w:t xml:space="preserve">radiocommunications devices </w:t>
      </w:r>
      <w:r w:rsidR="007A07CC">
        <w:t>operated under the licence upon wri</w:t>
      </w:r>
      <w:r>
        <w:t xml:space="preserve">tten </w:t>
      </w:r>
      <w:r w:rsidR="007A07CC">
        <w:t>request</w:t>
      </w:r>
      <w:r w:rsidR="00674F84">
        <w:t xml:space="preserve"> by any person</w:t>
      </w:r>
      <w:r w:rsidR="007A07CC">
        <w:t xml:space="preserve">. The purpose of this </w:t>
      </w:r>
      <w:r w:rsidR="00C605A7">
        <w:t xml:space="preserve">condition </w:t>
      </w:r>
      <w:r w:rsidR="007A07CC">
        <w:t>is to aid in the management and resolution of interference issues.</w:t>
      </w:r>
      <w:r w:rsidR="00741B33">
        <w:rPr>
          <w:rStyle w:val="FootnoteReference"/>
        </w:rPr>
        <w:footnoteReference w:id="12"/>
      </w:r>
      <w:r w:rsidR="007A07CC">
        <w:t xml:space="preserve"> </w:t>
      </w:r>
    </w:p>
    <w:p w14:paraId="5C310123" w14:textId="42E2FED1" w:rsidR="008811CA" w:rsidRDefault="004F4E1E" w:rsidP="00846ACD">
      <w:pPr>
        <w:pStyle w:val="Heading2"/>
      </w:pPr>
      <w:bookmarkStart w:id="31" w:name="_Toc11308313"/>
      <w:r w:rsidRPr="000D480B">
        <w:t xml:space="preserve">Use of </w:t>
      </w:r>
      <w:r w:rsidR="0097707C">
        <w:t>AWL</w:t>
      </w:r>
      <w:r w:rsidRPr="000D480B">
        <w:t>s in a particular band</w:t>
      </w:r>
      <w:bookmarkEnd w:id="31"/>
    </w:p>
    <w:p w14:paraId="44D09B3C" w14:textId="48CAB8A2" w:rsidR="004F4E1E" w:rsidRDefault="004F4E1E" w:rsidP="009C0397">
      <w:pPr>
        <w:spacing w:after="80"/>
      </w:pPr>
      <w:r>
        <w:t xml:space="preserve">The </w:t>
      </w:r>
      <w:r w:rsidR="001D0488">
        <w:t xml:space="preserve">proposed </w:t>
      </w:r>
      <w:r>
        <w:t>and amended instruments described above are necessary to establish the foundation</w:t>
      </w:r>
      <w:r w:rsidR="001D0488">
        <w:t>s</w:t>
      </w:r>
      <w:r>
        <w:t xml:space="preserve"> of the </w:t>
      </w:r>
      <w:r w:rsidR="00110EF5">
        <w:t>AWL</w:t>
      </w:r>
      <w:r>
        <w:t xml:space="preserve"> type. </w:t>
      </w:r>
      <w:r w:rsidR="00566071" w:rsidRPr="00566071">
        <w:t xml:space="preserve">Where the ACMA proposes to use </w:t>
      </w:r>
      <w:r w:rsidR="00110EF5">
        <w:t>AWL</w:t>
      </w:r>
      <w:r w:rsidR="00566071" w:rsidRPr="00566071">
        <w:t xml:space="preserve">s on a regular basis in a particular band, the ACMA </w:t>
      </w:r>
      <w:r w:rsidR="00566071">
        <w:t xml:space="preserve">expects to </w:t>
      </w:r>
      <w:r w:rsidR="00056E2C">
        <w:t>consult publicly on a</w:t>
      </w:r>
      <w:r>
        <w:t>dditional regulatory changes and administrative documents prior to the issue of a</w:t>
      </w:r>
      <w:r w:rsidR="007C78E0">
        <w:t>n</w:t>
      </w:r>
      <w:r>
        <w:t xml:space="preserve"> </w:t>
      </w:r>
      <w:r w:rsidR="00110EF5">
        <w:t>AWL</w:t>
      </w:r>
      <w:r>
        <w:t xml:space="preserve"> in a particular band. </w:t>
      </w:r>
      <w:r w:rsidR="00056E2C">
        <w:t>The ACMA anticipates that, at a minimum, public consultation will cover:</w:t>
      </w:r>
    </w:p>
    <w:p w14:paraId="34861A4C" w14:textId="164DC2DF" w:rsidR="00056E2C" w:rsidRDefault="00BE4735" w:rsidP="00BE4735">
      <w:pPr>
        <w:pStyle w:val="ListBullet"/>
      </w:pPr>
      <w:r>
        <w:t>t</w:t>
      </w:r>
      <w:r w:rsidR="00056E2C">
        <w:t xml:space="preserve">he ACMA’s analysis of the technical and economic implications of issuing </w:t>
      </w:r>
      <w:r w:rsidR="00110EF5">
        <w:t>AWL</w:t>
      </w:r>
      <w:r w:rsidR="00056E2C">
        <w:t>s in a particular band</w:t>
      </w:r>
    </w:p>
    <w:p w14:paraId="0E37687F" w14:textId="44FF40ED" w:rsidR="00056E2C" w:rsidRDefault="00BE4735" w:rsidP="00BE4735">
      <w:pPr>
        <w:pStyle w:val="ListBullet"/>
      </w:pPr>
      <w:r>
        <w:t>p</w:t>
      </w:r>
      <w:r w:rsidR="00056E2C">
        <w:t xml:space="preserve">roposed technical conditions (including transmitter conditions and boundary conditions) for </w:t>
      </w:r>
      <w:r w:rsidR="00110EF5">
        <w:t>AWL</w:t>
      </w:r>
      <w:r w:rsidR="00056E2C">
        <w:t xml:space="preserve">s in the relevant band, including amendments to the </w:t>
      </w:r>
      <w:r w:rsidR="00110EF5">
        <w:t>AWL</w:t>
      </w:r>
      <w:r w:rsidR="00056E2C">
        <w:t xml:space="preserve"> </w:t>
      </w:r>
      <w:r w:rsidR="00162A0A">
        <w:t>LCD</w:t>
      </w:r>
      <w:r w:rsidR="00056E2C">
        <w:t xml:space="preserve"> to give effect to ‘band-wide’ technical </w:t>
      </w:r>
      <w:r w:rsidR="002B3526">
        <w:t>conditions</w:t>
      </w:r>
    </w:p>
    <w:p w14:paraId="1BEAD86F" w14:textId="1CDB00E6" w:rsidR="002B3526" w:rsidRDefault="00BE4735" w:rsidP="00BE4735">
      <w:pPr>
        <w:pStyle w:val="ListBullet"/>
      </w:pPr>
      <w:r>
        <w:t>p</w:t>
      </w:r>
      <w:r w:rsidR="002B3526">
        <w:t>roposed technical and/or administrative guidance (</w:t>
      </w:r>
      <w:r w:rsidR="003C5399">
        <w:t>for example, a</w:t>
      </w:r>
      <w:r w:rsidR="002B3526">
        <w:t xml:space="preserve"> RALI) relevant to the coordination and registration of a </w:t>
      </w:r>
      <w:r w:rsidR="0023782F">
        <w:t xml:space="preserve">radiocommunications </w:t>
      </w:r>
      <w:r w:rsidR="002B3526">
        <w:t>transmitter</w:t>
      </w:r>
    </w:p>
    <w:p w14:paraId="64126D4B" w14:textId="50475067" w:rsidR="00056E2C" w:rsidRPr="000D480B" w:rsidRDefault="00BE4735" w:rsidP="009C0397">
      <w:pPr>
        <w:pStyle w:val="ListBullet"/>
      </w:pPr>
      <w:r>
        <w:t>p</w:t>
      </w:r>
      <w:r w:rsidR="00056E2C">
        <w:t xml:space="preserve">roposed amendments to the Tax Determinations (including proposed taxation arrangements) for </w:t>
      </w:r>
      <w:r w:rsidR="00110EF5">
        <w:t>AWL</w:t>
      </w:r>
      <w:r w:rsidR="00056E2C">
        <w:t>s issued in the relevant band</w:t>
      </w:r>
      <w:r w:rsidR="0089543B">
        <w:t xml:space="preserve"> (including receivers, if proposed for issue). </w:t>
      </w:r>
    </w:p>
    <w:p w14:paraId="2732298F" w14:textId="77777777" w:rsidR="00FF3C69" w:rsidRPr="006D46E5" w:rsidRDefault="00FF3C69" w:rsidP="00FF3C69">
      <w:pPr>
        <w:pStyle w:val="Heading1"/>
      </w:pPr>
      <w:bookmarkStart w:id="32" w:name="_Toc298924672"/>
      <w:bookmarkStart w:id="33" w:name="_Toc300909555"/>
      <w:bookmarkStart w:id="34" w:name="_Toc348105636"/>
      <w:bookmarkStart w:id="35" w:name="_Toc11308314"/>
      <w:r w:rsidRPr="006D46E5">
        <w:lastRenderedPageBreak/>
        <w:t>Invitation to comment</w:t>
      </w:r>
      <w:bookmarkEnd w:id="32"/>
      <w:bookmarkEnd w:id="33"/>
      <w:bookmarkEnd w:id="34"/>
      <w:bookmarkEnd w:id="35"/>
    </w:p>
    <w:p w14:paraId="04D6061B" w14:textId="31885196" w:rsidR="00635984" w:rsidRDefault="00635984" w:rsidP="00635984">
      <w:pPr>
        <w:pStyle w:val="Heading2"/>
      </w:pPr>
      <w:bookmarkStart w:id="36" w:name="_Toc442879670"/>
      <w:bookmarkStart w:id="37" w:name="_Toc11308315"/>
      <w:r>
        <w:t>Making a submission</w:t>
      </w:r>
      <w:bookmarkEnd w:id="36"/>
      <w:bookmarkEnd w:id="37"/>
    </w:p>
    <w:p w14:paraId="21B4EB0A" w14:textId="77777777" w:rsidR="00635984" w:rsidRDefault="00635984" w:rsidP="00635984">
      <w:r>
        <w:t xml:space="preserve">The ACMA invites comments on the issues set out in this discussion paper. </w:t>
      </w:r>
    </w:p>
    <w:p w14:paraId="34A99F12" w14:textId="77777777" w:rsidR="00635984" w:rsidRDefault="00790B37" w:rsidP="00635984">
      <w:pPr>
        <w:pStyle w:val="ListBullet"/>
      </w:pPr>
      <w:hyperlink r:id="rId40" w:history="1">
        <w:r w:rsidR="00635984">
          <w:rPr>
            <w:rStyle w:val="Hyperlink"/>
          </w:rPr>
          <w:t>Online submissions</w:t>
        </w:r>
      </w:hyperlink>
      <w:r w:rsidR="00635984">
        <w:t xml:space="preserve"> can be made via the comment function or by uploading a document. Submissions in Microsoft Word or Rich Text Format are preferred.</w:t>
      </w:r>
    </w:p>
    <w:p w14:paraId="6A485778" w14:textId="77777777" w:rsidR="00635984" w:rsidRDefault="00635984" w:rsidP="00635984">
      <w:pPr>
        <w:pStyle w:val="ListBullet"/>
      </w:pPr>
      <w:r>
        <w:t xml:space="preserve">Submissions by post can be sent to: </w:t>
      </w:r>
    </w:p>
    <w:p w14:paraId="667ADBB6" w14:textId="77777777" w:rsidR="006F7E7C" w:rsidRPr="007A07CC" w:rsidRDefault="006F7E7C" w:rsidP="006F7E7C">
      <w:pPr>
        <w:pStyle w:val="ACMANormalTabbed"/>
        <w:tabs>
          <w:tab w:val="num" w:pos="295"/>
        </w:tabs>
        <w:spacing w:after="0"/>
        <w:ind w:left="295"/>
      </w:pPr>
      <w:r w:rsidRPr="007A07CC">
        <w:t>The Manager</w:t>
      </w:r>
    </w:p>
    <w:p w14:paraId="124BB8DA" w14:textId="2A09D165" w:rsidR="006F7E7C" w:rsidRPr="007A07CC" w:rsidRDefault="00C4215C" w:rsidP="006F7E7C">
      <w:pPr>
        <w:pStyle w:val="ACMANormalTabbed"/>
        <w:spacing w:after="0"/>
        <w:ind w:left="295"/>
      </w:pPr>
      <w:r>
        <w:t>Spectrum Management Outlook and Strategy</w:t>
      </w:r>
      <w:r w:rsidR="009A3791">
        <w:t xml:space="preserve"> Section</w:t>
      </w:r>
    </w:p>
    <w:p w14:paraId="7DFF2D9A" w14:textId="77777777" w:rsidR="006F7E7C" w:rsidRPr="007A07CC" w:rsidRDefault="006F7E7C" w:rsidP="006F7E7C">
      <w:pPr>
        <w:pStyle w:val="ACMANormalTabbed"/>
        <w:spacing w:after="0"/>
        <w:ind w:left="295"/>
      </w:pPr>
      <w:r w:rsidRPr="007A07CC">
        <w:t xml:space="preserve">Spectrum </w:t>
      </w:r>
      <w:r>
        <w:t xml:space="preserve">Allocations </w:t>
      </w:r>
      <w:r w:rsidRPr="007A07CC">
        <w:t>Branch</w:t>
      </w:r>
    </w:p>
    <w:p w14:paraId="00E427A2" w14:textId="77777777" w:rsidR="003C21F1" w:rsidRDefault="006F7E7C" w:rsidP="003C21F1">
      <w:pPr>
        <w:pStyle w:val="ACMANormalTabbed"/>
        <w:spacing w:after="0"/>
        <w:ind w:left="295"/>
      </w:pPr>
      <w:r w:rsidRPr="007A07CC">
        <w:t>Australian Communications and Media Authority</w:t>
      </w:r>
    </w:p>
    <w:p w14:paraId="7098E326" w14:textId="77777777" w:rsidR="003C21F1" w:rsidRDefault="003C21F1" w:rsidP="003C21F1">
      <w:pPr>
        <w:pStyle w:val="ACMANormalTabbed"/>
        <w:spacing w:after="0"/>
        <w:ind w:left="295"/>
      </w:pPr>
      <w:r>
        <w:t>PO Box 13112</w:t>
      </w:r>
    </w:p>
    <w:p w14:paraId="024EB163" w14:textId="77777777" w:rsidR="003C21F1" w:rsidRDefault="003C21F1" w:rsidP="003C21F1">
      <w:pPr>
        <w:pStyle w:val="ACMANormalTabbed"/>
        <w:spacing w:after="0"/>
        <w:ind w:left="295"/>
      </w:pPr>
      <w:r>
        <w:t>Law Courts</w:t>
      </w:r>
    </w:p>
    <w:p w14:paraId="289F4036" w14:textId="1FF7E248" w:rsidR="003C21F1" w:rsidRDefault="003C21F1" w:rsidP="003C21F1">
      <w:pPr>
        <w:pStyle w:val="ACMANormalTabbed"/>
        <w:spacing w:after="0"/>
        <w:ind w:left="295"/>
      </w:pPr>
      <w:r>
        <w:t>Melbourne VIC 8010</w:t>
      </w:r>
    </w:p>
    <w:p w14:paraId="03B0AA4C" w14:textId="77777777" w:rsidR="003C21F1" w:rsidRPr="003C21F1" w:rsidRDefault="003C21F1" w:rsidP="003C21F1">
      <w:pPr>
        <w:pStyle w:val="ACMANormalTabbed"/>
        <w:spacing w:after="0"/>
        <w:ind w:left="295"/>
        <w:rPr>
          <w:rStyle w:val="Strong"/>
          <w:b w:val="0"/>
          <w:bCs w:val="0"/>
        </w:rPr>
      </w:pPr>
    </w:p>
    <w:p w14:paraId="46D3F9AD" w14:textId="5D4691ED" w:rsidR="00635984" w:rsidRDefault="00635984" w:rsidP="00635984">
      <w:pPr>
        <w:rPr>
          <w:rStyle w:val="Strong"/>
        </w:rPr>
      </w:pPr>
      <w:r>
        <w:rPr>
          <w:rStyle w:val="Strong"/>
        </w:rPr>
        <w:t>The closing date for submissions is</w:t>
      </w:r>
      <w:r w:rsidR="00790B37">
        <w:rPr>
          <w:rStyle w:val="Strong"/>
        </w:rPr>
        <w:t xml:space="preserve"> </w:t>
      </w:r>
      <w:r w:rsidR="00790B37" w:rsidRPr="00095AAE">
        <w:rPr>
          <w:b/>
          <w:bCs/>
        </w:rPr>
        <w:t>COB, Friday 9 August 2019</w:t>
      </w:r>
      <w:r w:rsidR="00F74DA3">
        <w:rPr>
          <w:rStyle w:val="Strong"/>
        </w:rPr>
        <w:t>.</w:t>
      </w:r>
    </w:p>
    <w:p w14:paraId="4D1E4A5F" w14:textId="634E4565" w:rsidR="00635984" w:rsidRDefault="00635984" w:rsidP="00635984">
      <w:pPr>
        <w:rPr>
          <w:szCs w:val="20"/>
        </w:rPr>
      </w:pPr>
      <w:r>
        <w:t xml:space="preserve">Consultation enquiries can be emailed </w:t>
      </w:r>
      <w:r>
        <w:rPr>
          <w:szCs w:val="20"/>
        </w:rPr>
        <w:t xml:space="preserve">to </w:t>
      </w:r>
      <w:hyperlink r:id="rId41" w:history="1">
        <w:r w:rsidR="006F7E7C" w:rsidRPr="00C81C0B">
          <w:rPr>
            <w:rStyle w:val="Hyperlink"/>
          </w:rPr>
          <w:t>LicensingDesign@acma.gov.au</w:t>
        </w:r>
      </w:hyperlink>
      <w:r w:rsidR="00F74DA3">
        <w:t>.</w:t>
      </w:r>
    </w:p>
    <w:p w14:paraId="1E180744" w14:textId="77777777" w:rsidR="00635984" w:rsidRDefault="00635984" w:rsidP="00635984">
      <w:pPr>
        <w:pStyle w:val="BodySubHeader"/>
      </w:pPr>
      <w:r>
        <w:t>Publication of submissions</w:t>
      </w:r>
    </w:p>
    <w:p w14:paraId="1ADB6CA2" w14:textId="77777777" w:rsidR="00635984" w:rsidRDefault="00635984" w:rsidP="00635984">
      <w:r>
        <w:t>The ACMA publishes submissions on our website</w:t>
      </w:r>
      <w:r>
        <w:rPr>
          <w:rFonts w:cs="Arial"/>
        </w:rPr>
        <w:t>, including personal information (such as names and conta</w:t>
      </w:r>
      <w:bookmarkStart w:id="38" w:name="_GoBack"/>
      <w:bookmarkEnd w:id="38"/>
      <w:r>
        <w:rPr>
          <w:rFonts w:cs="Arial"/>
        </w:rPr>
        <w:t>ct details)</w:t>
      </w:r>
      <w:r>
        <w:t xml:space="preserve">, except for information that you have claimed (and we have accepted) is confidential. </w:t>
      </w:r>
    </w:p>
    <w:p w14:paraId="6EE34DC7" w14:textId="77777777" w:rsidR="00635984" w:rsidRDefault="00635984" w:rsidP="00635984">
      <w:r>
        <w:t>Confidential information will not be published or otherwise released unless required or authorised by law.</w:t>
      </w:r>
    </w:p>
    <w:p w14:paraId="212BBDB6" w14:textId="77777777" w:rsidR="00635984" w:rsidRDefault="00635984" w:rsidP="00635984">
      <w:pPr>
        <w:pStyle w:val="BodySubHeader"/>
      </w:pPr>
      <w:r>
        <w:t>Privacy</w:t>
      </w:r>
    </w:p>
    <w:p w14:paraId="2619B0AE" w14:textId="77777777" w:rsidR="00635984" w:rsidRDefault="00790B37" w:rsidP="00635984">
      <w:pPr>
        <w:spacing w:after="0"/>
      </w:pPr>
      <w:hyperlink r:id="rId42" w:history="1">
        <w:r w:rsidR="00635984" w:rsidRPr="00234403">
          <w:rPr>
            <w:rStyle w:val="Hyperlink"/>
            <w:i/>
          </w:rPr>
          <w:t>Privacy and consultation</w:t>
        </w:r>
      </w:hyperlink>
      <w:r w:rsidR="00635984">
        <w:t xml:space="preserve"> provides information about the ACMA’s collection of personal information during consultation and how we handle that information.  </w:t>
      </w:r>
    </w:p>
    <w:p w14:paraId="429BDA94" w14:textId="77777777" w:rsidR="00635984" w:rsidRDefault="00635984" w:rsidP="00635984">
      <w:pPr>
        <w:spacing w:after="0"/>
      </w:pPr>
    </w:p>
    <w:p w14:paraId="701D31A9" w14:textId="77777777" w:rsidR="00635984" w:rsidRPr="0041233F" w:rsidRDefault="00635984" w:rsidP="00635984">
      <w:r>
        <w:t xml:space="preserve">Information on the </w:t>
      </w:r>
      <w:r>
        <w:rPr>
          <w:i/>
        </w:rPr>
        <w:t xml:space="preserve">Privacy Act 1988 </w:t>
      </w:r>
      <w:r>
        <w:t xml:space="preserve">and the ACMA’s privacy policy (including how to access or correct personal information, how to make a privacy complaint and how we will deal with the complaint) is available at </w:t>
      </w:r>
      <w:hyperlink r:id="rId43" w:tooltip="ACMA Privacy Policy" w:history="1">
        <w:r>
          <w:rPr>
            <w:rStyle w:val="Hyperlink"/>
          </w:rPr>
          <w:t>acma.gov.au/privacypolicy</w:t>
        </w:r>
      </w:hyperlink>
      <w:r>
        <w:t xml:space="preserve">. </w:t>
      </w:r>
    </w:p>
    <w:p w14:paraId="62918CDE" w14:textId="77777777" w:rsidR="00635984" w:rsidRDefault="00635984" w:rsidP="00851F3F"/>
    <w:sectPr w:rsidR="00635984" w:rsidSect="00C77380">
      <w:headerReference w:type="even" r:id="rId44"/>
      <w:headerReference w:type="default" r:id="rId45"/>
      <w:footerReference w:type="even" r:id="rId46"/>
      <w:footerReference w:type="default" r:id="rId47"/>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B9C24" w14:textId="77777777" w:rsidR="003F0E08" w:rsidRDefault="003F0E08">
      <w:r>
        <w:separator/>
      </w:r>
    </w:p>
  </w:endnote>
  <w:endnote w:type="continuationSeparator" w:id="0">
    <w:p w14:paraId="47CB35A6" w14:textId="77777777" w:rsidR="003F0E08" w:rsidRDefault="003F0E08">
      <w:r>
        <w:continuationSeparator/>
      </w:r>
    </w:p>
  </w:endnote>
  <w:endnote w:type="continuationNotice" w:id="1">
    <w:p w14:paraId="0301D5BE" w14:textId="77777777" w:rsidR="003F0E08" w:rsidRDefault="003F0E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W01-45Ligh">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625FA" w14:textId="77777777" w:rsidR="00635984" w:rsidRPr="00A5474E" w:rsidRDefault="00635984" w:rsidP="00A5474E">
    <w:pPr>
      <w:pStyle w:val="Footer"/>
    </w:pPr>
    <w:r>
      <w:rPr>
        <w:noProof/>
      </w:rPr>
      <w:drawing>
        <wp:inline distT="0" distB="0" distL="0" distR="0" wp14:anchorId="38200B40" wp14:editId="405C5F01">
          <wp:extent cx="3483864" cy="249613"/>
          <wp:effectExtent l="0" t="0" r="0" b="0"/>
          <wp:docPr id="3" name="Picture 3"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838C1" w14:textId="77777777" w:rsidR="00635984" w:rsidRDefault="00635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DDDE" w14:textId="77777777" w:rsidR="00635984" w:rsidRDefault="006359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FA4A" w14:textId="77777777" w:rsidR="00635984" w:rsidRPr="00622A3B" w:rsidRDefault="0063598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0307B563" w14:textId="77777777" w:rsidR="00635984" w:rsidRPr="00A5474E" w:rsidRDefault="00635984"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06498" w14:textId="77777777" w:rsidR="00635984" w:rsidRPr="00622A3B" w:rsidRDefault="0063598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54DFE41F" w14:textId="77777777" w:rsidR="00635984" w:rsidRPr="00A5474E" w:rsidRDefault="00635984"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D5D" w14:textId="77777777" w:rsidR="00635984" w:rsidRPr="00622A3B" w:rsidRDefault="00635984"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3BFEEF12" w14:textId="77777777" w:rsidR="00635984" w:rsidRPr="00A5474E" w:rsidRDefault="00635984"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4618F" w14:textId="77777777" w:rsidR="00635984" w:rsidRPr="00622A3B" w:rsidRDefault="00635984"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0AF7799" w14:textId="77777777" w:rsidR="00635984" w:rsidRPr="00A5474E" w:rsidRDefault="00635984"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A24B9" w14:textId="77777777" w:rsidR="00635984" w:rsidRPr="00622A3B" w:rsidRDefault="00635984"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7F5F7FDB" w14:textId="77777777" w:rsidR="00635984" w:rsidRPr="00A5474E" w:rsidRDefault="00635984"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0C9D6" w14:textId="77777777" w:rsidR="003F0E08" w:rsidRDefault="003F0E08">
      <w:r>
        <w:separator/>
      </w:r>
    </w:p>
  </w:footnote>
  <w:footnote w:type="continuationSeparator" w:id="0">
    <w:p w14:paraId="014FDCB8" w14:textId="77777777" w:rsidR="003F0E08" w:rsidRDefault="003F0E08">
      <w:r>
        <w:continuationSeparator/>
      </w:r>
    </w:p>
  </w:footnote>
  <w:footnote w:type="continuationNotice" w:id="1">
    <w:p w14:paraId="12754866" w14:textId="77777777" w:rsidR="003F0E08" w:rsidRDefault="003F0E08">
      <w:pPr>
        <w:spacing w:after="0" w:line="240" w:lineRule="auto"/>
      </w:pPr>
    </w:p>
  </w:footnote>
  <w:footnote w:id="2">
    <w:p w14:paraId="19D133C4" w14:textId="680B3092" w:rsidR="00635984" w:rsidRDefault="00635984" w:rsidP="003B72C7">
      <w:pPr>
        <w:pStyle w:val="Footer"/>
        <w:spacing w:after="0"/>
      </w:pPr>
      <w:r>
        <w:rPr>
          <w:rStyle w:val="FootnoteReference"/>
        </w:rPr>
        <w:footnoteRef/>
      </w:r>
      <w:r>
        <w:t xml:space="preserve">Radiocommunications devices refers to both radiocommunications transmitters and radiocommunications receivers.  </w:t>
      </w:r>
    </w:p>
  </w:footnote>
  <w:footnote w:id="3">
    <w:p w14:paraId="0542CA6F" w14:textId="1E87AE1E" w:rsidR="00635984" w:rsidRDefault="00635984" w:rsidP="009C0397">
      <w:pPr>
        <w:pStyle w:val="Footer"/>
        <w:spacing w:after="0"/>
      </w:pPr>
      <w:r>
        <w:rPr>
          <w:rStyle w:val="FootnoteReference"/>
        </w:rPr>
        <w:footnoteRef/>
      </w:r>
      <w:r>
        <w:t xml:space="preserve"> Additional requirements applicable to operators of amateur and maritime licences are contained within the </w:t>
      </w:r>
      <w:hyperlink r:id="rId1" w:history="1">
        <w:r w:rsidRPr="00FF4564">
          <w:rPr>
            <w:rStyle w:val="Hyperlink"/>
          </w:rPr>
          <w:t>Radiocommunications (Qualified Operators) Determination 2016</w:t>
        </w:r>
      </w:hyperlink>
      <w:r>
        <w:t xml:space="preserve"> made under section 119 of the Act. </w:t>
      </w:r>
    </w:p>
  </w:footnote>
  <w:footnote w:id="4">
    <w:p w14:paraId="677D7D44" w14:textId="18D1F703" w:rsidR="00635984" w:rsidRDefault="00635984" w:rsidP="003B72C7">
      <w:pPr>
        <w:pStyle w:val="FootnoteText"/>
        <w:spacing w:after="0"/>
      </w:pPr>
      <w:r>
        <w:rPr>
          <w:rStyle w:val="FootnoteReference"/>
        </w:rPr>
        <w:footnoteRef/>
      </w:r>
      <w:r>
        <w:t xml:space="preserve">  Information relating to use under ‘classified licences’ is not made publicly available.</w:t>
      </w:r>
    </w:p>
  </w:footnote>
  <w:footnote w:id="5">
    <w:p w14:paraId="64C91861" w14:textId="10B4FEB4" w:rsidR="00635984" w:rsidRDefault="00635984" w:rsidP="003B72C7">
      <w:pPr>
        <w:pStyle w:val="FootnoteText"/>
        <w:spacing w:after="0"/>
      </w:pPr>
      <w:r>
        <w:rPr>
          <w:rStyle w:val="FootnoteReference"/>
        </w:rPr>
        <w:footnoteRef/>
      </w:r>
      <w:r>
        <w:t xml:space="preserve"> See subsection 100(4A) of the Act. </w:t>
      </w:r>
    </w:p>
  </w:footnote>
  <w:footnote w:id="6">
    <w:p w14:paraId="2DCCC3A8" w14:textId="7A146738" w:rsidR="005772BD" w:rsidRPr="00F43C0B" w:rsidRDefault="005772BD" w:rsidP="005772BD">
      <w:pPr>
        <w:pStyle w:val="Footer"/>
        <w:spacing w:after="0" w:line="240" w:lineRule="atLeast"/>
      </w:pPr>
      <w:r>
        <w:rPr>
          <w:rStyle w:val="FootnoteReference"/>
        </w:rPr>
        <w:footnoteRef/>
      </w:r>
      <w:r>
        <w:t xml:space="preserve"> </w:t>
      </w:r>
      <w:r w:rsidR="00A97163">
        <w:t xml:space="preserve">The area-wide licence type was originally referred to in the </w:t>
      </w:r>
      <w:hyperlink r:id="rId2" w:history="1">
        <w:r w:rsidR="00A97163" w:rsidRPr="00234403">
          <w:rPr>
            <w:rStyle w:val="Hyperlink"/>
            <w:i/>
          </w:rPr>
          <w:t>Draft five-year spectrum outlook 2019</w:t>
        </w:r>
        <w:r w:rsidR="00F74DA3" w:rsidRPr="00234403">
          <w:rPr>
            <w:rStyle w:val="Hyperlink"/>
            <w:i/>
          </w:rPr>
          <w:t>–</w:t>
        </w:r>
        <w:r w:rsidR="00A97163" w:rsidRPr="00234403">
          <w:rPr>
            <w:rStyle w:val="Hyperlink"/>
            <w:i/>
          </w:rPr>
          <w:t>23</w:t>
        </w:r>
      </w:hyperlink>
      <w:r w:rsidR="00A97163">
        <w:t xml:space="preserve"> as the ‘spectrum space’ apparatus licence. </w:t>
      </w:r>
      <w:r w:rsidRPr="009C0397">
        <w:rPr>
          <w:color w:val="000000" w:themeColor="text1"/>
        </w:rPr>
        <w:t xml:space="preserve">The term ‘area-wide’ has been chosen to reflect the fact that the licence will authorise the operation of radiocommunications devices within a defined geographic area. The ACMA notes that ‘area-wide’ is currently used as a colloquial description of various licensing options under existing licence types (for examples, PTS and land mobile). The new licence type should not be confused with these existing licensing options. </w:t>
      </w:r>
    </w:p>
    <w:p w14:paraId="237ABD21" w14:textId="77777777" w:rsidR="005772BD" w:rsidRDefault="005772BD" w:rsidP="005772BD">
      <w:pPr>
        <w:pStyle w:val="FootnoteText"/>
      </w:pPr>
    </w:p>
  </w:footnote>
  <w:footnote w:id="7">
    <w:p w14:paraId="7BAE77CC" w14:textId="312D1917" w:rsidR="00635984" w:rsidRDefault="00635984">
      <w:pPr>
        <w:pStyle w:val="FootnoteText"/>
      </w:pPr>
      <w:r>
        <w:rPr>
          <w:rStyle w:val="FootnoteReference"/>
        </w:rPr>
        <w:footnoteRef/>
      </w:r>
      <w:r>
        <w:t xml:space="preserve"> For example,</w:t>
      </w:r>
      <w:r w:rsidR="00C126A5">
        <w:t xml:space="preserve"> Radio Spectrum Policy Group,</w:t>
      </w:r>
      <w:r>
        <w:t xml:space="preserve"> </w:t>
      </w:r>
      <w:r w:rsidRPr="002B77BC">
        <w:rPr>
          <w:rFonts w:cs="Arial"/>
        </w:rPr>
        <w:t>‘</w:t>
      </w:r>
      <w:hyperlink r:id="rId3" w:history="1">
        <w:r w:rsidRPr="00396837">
          <w:rPr>
            <w:rStyle w:val="Hyperlink"/>
            <w:rFonts w:cs="Arial"/>
          </w:rPr>
          <w:t>RSPG Opinion on 5G implementation challenges (RSPG19-007)</w:t>
        </w:r>
      </w:hyperlink>
      <w:r w:rsidRPr="002B77BC">
        <w:rPr>
          <w:rFonts w:cs="Arial"/>
        </w:rPr>
        <w:t>’</w:t>
      </w:r>
      <w:r w:rsidR="00C126A5">
        <w:rPr>
          <w:rFonts w:cs="Arial"/>
        </w:rPr>
        <w:t>; Ofcom,</w:t>
      </w:r>
      <w:r w:rsidRPr="002B77BC">
        <w:rPr>
          <w:rFonts w:cs="Arial"/>
        </w:rPr>
        <w:t>‘</w:t>
      </w:r>
      <w:hyperlink r:id="rId4" w:history="1">
        <w:r w:rsidRPr="00396837">
          <w:rPr>
            <w:rStyle w:val="Hyperlink"/>
            <w:rFonts w:cs="Arial"/>
          </w:rPr>
          <w:t>Supporting the expanding role of wireless innovation in UK industry’</w:t>
        </w:r>
      </w:hyperlink>
      <w:r w:rsidR="002221EA">
        <w:rPr>
          <w:rFonts w:cs="Arial"/>
        </w:rPr>
        <w:t>;</w:t>
      </w:r>
      <w:r w:rsidR="00C126A5">
        <w:rPr>
          <w:rFonts w:cs="Arial"/>
        </w:rPr>
        <w:t xml:space="preserve"> Communications Authority Hong Kong,</w:t>
      </w:r>
      <w:r w:rsidRPr="002B77BC">
        <w:rPr>
          <w:rFonts w:cs="Arial"/>
        </w:rPr>
        <w:t xml:space="preserve"> ‘</w:t>
      </w:r>
      <w:hyperlink r:id="rId5" w:history="1">
        <w:r w:rsidRPr="00396837">
          <w:rPr>
            <w:rStyle w:val="Hyperlink"/>
            <w:rFonts w:cs="Arial"/>
          </w:rPr>
          <w:t xml:space="preserve">Guidelines for the </w:t>
        </w:r>
        <w:r w:rsidR="00C126A5">
          <w:rPr>
            <w:rStyle w:val="Hyperlink"/>
            <w:rFonts w:cs="Arial"/>
          </w:rPr>
          <w:t>s</w:t>
        </w:r>
        <w:r w:rsidRPr="00396837">
          <w:rPr>
            <w:rStyle w:val="Hyperlink"/>
            <w:rFonts w:cs="Arial"/>
          </w:rPr>
          <w:t xml:space="preserve">ubmission of </w:t>
        </w:r>
        <w:r w:rsidR="00C126A5">
          <w:rPr>
            <w:rStyle w:val="Hyperlink"/>
            <w:rFonts w:cs="Arial"/>
          </w:rPr>
          <w:t>p</w:t>
        </w:r>
        <w:r w:rsidRPr="00396837">
          <w:rPr>
            <w:rStyle w:val="Hyperlink"/>
            <w:rFonts w:cs="Arial"/>
          </w:rPr>
          <w:t xml:space="preserve">roposals </w:t>
        </w:r>
        <w:r w:rsidR="00C126A5">
          <w:rPr>
            <w:rStyle w:val="Hyperlink"/>
            <w:rFonts w:cs="Arial"/>
          </w:rPr>
          <w:t>a</w:t>
        </w:r>
        <w:r w:rsidRPr="00396837">
          <w:rPr>
            <w:rStyle w:val="Hyperlink"/>
            <w:rFonts w:cs="Arial"/>
          </w:rPr>
          <w:t xml:space="preserve">pplying for the </w:t>
        </w:r>
        <w:r w:rsidR="00C126A5">
          <w:rPr>
            <w:rStyle w:val="Hyperlink"/>
            <w:rFonts w:cs="Arial"/>
          </w:rPr>
          <w:t>w</w:t>
        </w:r>
        <w:r w:rsidRPr="00396837">
          <w:rPr>
            <w:rStyle w:val="Hyperlink"/>
            <w:rFonts w:cs="Arial"/>
          </w:rPr>
          <w:t xml:space="preserve">ireless Internet of Things </w:t>
        </w:r>
        <w:r w:rsidR="00C126A5">
          <w:rPr>
            <w:rStyle w:val="Hyperlink"/>
            <w:rFonts w:cs="Arial"/>
          </w:rPr>
          <w:t>l</w:t>
        </w:r>
        <w:r w:rsidRPr="00396837">
          <w:rPr>
            <w:rStyle w:val="Hyperlink"/>
            <w:rFonts w:cs="Arial"/>
          </w:rPr>
          <w:t>icence</w:t>
        </w:r>
      </w:hyperlink>
      <w:r w:rsidRPr="002B77BC">
        <w:rPr>
          <w:rFonts w:cs="Arial"/>
        </w:rPr>
        <w:t>’</w:t>
      </w:r>
      <w:r w:rsidR="00C126A5">
        <w:rPr>
          <w:rFonts w:cs="Arial"/>
        </w:rPr>
        <w:t>.</w:t>
      </w:r>
    </w:p>
  </w:footnote>
  <w:footnote w:id="8">
    <w:p w14:paraId="1D22F7B8" w14:textId="1211E127" w:rsidR="00635984" w:rsidRDefault="00635984" w:rsidP="009C0397">
      <w:pPr>
        <w:pStyle w:val="FootnoteText"/>
        <w:spacing w:after="0"/>
      </w:pPr>
      <w:r>
        <w:rPr>
          <w:rStyle w:val="FootnoteReference"/>
        </w:rPr>
        <w:footnoteRef/>
      </w:r>
      <w:r>
        <w:t xml:space="preserve"> Examples of relevant (international) cases: </w:t>
      </w:r>
      <w:r>
        <w:rPr>
          <w:rFonts w:cs="Arial"/>
        </w:rPr>
        <w:t>itnews, ‘</w:t>
      </w:r>
      <w:hyperlink r:id="rId6" w:history="1">
        <w:r w:rsidRPr="00396837">
          <w:rPr>
            <w:rStyle w:val="Hyperlink"/>
            <w:rFonts w:cs="Arial"/>
          </w:rPr>
          <w:t>Cows given 5G collars that talk to robotic milking system</w:t>
        </w:r>
      </w:hyperlink>
      <w:r>
        <w:rPr>
          <w:rFonts w:cs="Arial"/>
        </w:rPr>
        <w:t>’</w:t>
      </w:r>
      <w:r w:rsidR="002221EA">
        <w:rPr>
          <w:rFonts w:cs="Arial"/>
        </w:rPr>
        <w:t>;</w:t>
      </w:r>
      <w:r>
        <w:rPr>
          <w:rFonts w:cs="Arial"/>
        </w:rPr>
        <w:t xml:space="preserve"> </w:t>
      </w:r>
      <w:r w:rsidR="00396837">
        <w:rPr>
          <w:rFonts w:cs="Arial"/>
        </w:rPr>
        <w:t xml:space="preserve">Venture Beat, </w:t>
      </w:r>
      <w:r>
        <w:rPr>
          <w:rFonts w:cs="Arial"/>
        </w:rPr>
        <w:t>‘</w:t>
      </w:r>
      <w:hyperlink r:id="rId7" w:history="1">
        <w:r w:rsidR="002221EA" w:rsidRPr="002221EA">
          <w:rPr>
            <w:rStyle w:val="Hyperlink"/>
            <w:rFonts w:cs="Arial"/>
          </w:rPr>
          <w:t>Inside Nokia’s factory of the future</w:t>
        </w:r>
      </w:hyperlink>
      <w:r w:rsidR="002221EA" w:rsidRPr="009C0397">
        <w:t>’</w:t>
      </w:r>
      <w:r w:rsidR="002221EA">
        <w:rPr>
          <w:rFonts w:cs="Arial"/>
        </w:rPr>
        <w:t xml:space="preserve">; </w:t>
      </w:r>
      <w:r w:rsidR="00396837" w:rsidRPr="009C0397">
        <w:rPr>
          <w:rStyle w:val="Hyperlink"/>
          <w:rFonts w:cs="Arial"/>
          <w:color w:val="000000" w:themeColor="text1"/>
          <w:u w:val="none"/>
        </w:rPr>
        <w:t>Healthcare IT News</w:t>
      </w:r>
      <w:r w:rsidR="002221EA">
        <w:rPr>
          <w:rStyle w:val="Hyperlink"/>
          <w:rFonts w:cs="Arial"/>
          <w:color w:val="000000" w:themeColor="text1"/>
          <w:u w:val="none"/>
        </w:rPr>
        <w:t>,</w:t>
      </w:r>
      <w:r>
        <w:rPr>
          <w:rFonts w:cs="Arial"/>
        </w:rPr>
        <w:t xml:space="preserve"> ‘</w:t>
      </w:r>
      <w:hyperlink r:id="rId8" w:history="1">
        <w:r w:rsidRPr="00396837">
          <w:rPr>
            <w:rStyle w:val="Hyperlink"/>
            <w:rFonts w:cs="Arial"/>
          </w:rPr>
          <w:t>The Journey to 5G’</w:t>
        </w:r>
      </w:hyperlink>
      <w:r>
        <w:rPr>
          <w:rFonts w:cs="Arial"/>
        </w:rPr>
        <w:t>;</w:t>
      </w:r>
      <w:r w:rsidR="00396837">
        <w:rPr>
          <w:rFonts w:cs="Arial"/>
        </w:rPr>
        <w:t xml:space="preserve"> Nokia,</w:t>
      </w:r>
      <w:r>
        <w:rPr>
          <w:rFonts w:cs="Arial"/>
        </w:rPr>
        <w:t xml:space="preserve"> ‘</w:t>
      </w:r>
      <w:hyperlink r:id="rId9" w:history="1">
        <w:r w:rsidRPr="00396837">
          <w:rPr>
            <w:rStyle w:val="Hyperlink"/>
            <w:rFonts w:cs="Arial"/>
          </w:rPr>
          <w:t>A healthy birth for the 5G hospital’</w:t>
        </w:r>
      </w:hyperlink>
      <w:r>
        <w:rPr>
          <w:rFonts w:cs="Arial"/>
        </w:rPr>
        <w:t>,</w:t>
      </w:r>
      <w:r w:rsidR="002221EA">
        <w:rPr>
          <w:rFonts w:cs="Arial"/>
        </w:rPr>
        <w:t xml:space="preserve"> ZD Net, </w:t>
      </w:r>
      <w:r>
        <w:rPr>
          <w:rFonts w:cs="Arial"/>
        </w:rPr>
        <w:t>‘</w:t>
      </w:r>
      <w:hyperlink r:id="rId10" w:history="1">
        <w:r w:rsidR="002221EA" w:rsidRPr="002221EA">
          <w:rPr>
            <w:rStyle w:val="Hyperlink"/>
            <w:rFonts w:cs="Arial"/>
          </w:rPr>
          <w:t>Spark NZ tests 5G autonomous car</w:t>
        </w:r>
      </w:hyperlink>
      <w:r w:rsidR="002221EA" w:rsidRPr="009C0397">
        <w:t>’</w:t>
      </w:r>
      <w:r w:rsidR="002221EA">
        <w:rPr>
          <w:rFonts w:cs="Arial"/>
        </w:rPr>
        <w:t>.</w:t>
      </w:r>
    </w:p>
  </w:footnote>
  <w:footnote w:id="9">
    <w:p w14:paraId="0E030322" w14:textId="460B4A74" w:rsidR="00635984" w:rsidRDefault="00635984">
      <w:pPr>
        <w:pStyle w:val="FootnoteText"/>
      </w:pPr>
      <w:r>
        <w:rPr>
          <w:rStyle w:val="FootnoteReference"/>
        </w:rPr>
        <w:footnoteRef/>
      </w:r>
      <w:r>
        <w:t xml:space="preserve"> ‘Low power’ will be determined on the basis of the technical conditions in the relevant band.</w:t>
      </w:r>
    </w:p>
  </w:footnote>
  <w:footnote w:id="10">
    <w:p w14:paraId="67A6557B" w14:textId="77777777" w:rsidR="00635984" w:rsidRPr="000E63AF" w:rsidRDefault="00635984" w:rsidP="005F42E1">
      <w:pPr>
        <w:pStyle w:val="FootnoteText"/>
        <w:spacing w:after="0"/>
      </w:pPr>
      <w:r>
        <w:rPr>
          <w:rStyle w:val="FootnoteReference"/>
        </w:rPr>
        <w:footnoteRef/>
      </w:r>
      <w:r>
        <w:t xml:space="preserve"> </w:t>
      </w:r>
      <w:r w:rsidRPr="000D480B">
        <w:rPr>
          <w:color w:val="323232"/>
          <w:szCs w:val="24"/>
        </w:rPr>
        <w:t xml:space="preserve">Under the </w:t>
      </w:r>
      <w:r w:rsidRPr="00820510">
        <w:t>Charges</w:t>
      </w:r>
      <w:r w:rsidRPr="000D480B">
        <w:rPr>
          <w:color w:val="323232"/>
          <w:szCs w:val="24"/>
        </w:rPr>
        <w:t xml:space="preserve"> Determination, the issue charge will be based on the per hour general service cha</w:t>
      </w:r>
      <w:r w:rsidRPr="000E63AF">
        <w:t>rge. The charge for renewing a licence is set out in Schedule 2 Part 8 at $4.</w:t>
      </w:r>
    </w:p>
    <w:p w14:paraId="49486EEB" w14:textId="33CC2CCA" w:rsidR="00635984" w:rsidRDefault="00635984">
      <w:pPr>
        <w:pStyle w:val="FootnoteText"/>
      </w:pPr>
    </w:p>
  </w:footnote>
  <w:footnote w:id="11">
    <w:p w14:paraId="261FD06A" w14:textId="1CA97C5C" w:rsidR="00635984" w:rsidRDefault="00635984" w:rsidP="005F42E1">
      <w:pPr>
        <w:pStyle w:val="FootnoteText"/>
        <w:spacing w:after="0"/>
      </w:pPr>
      <w:r>
        <w:rPr>
          <w:rStyle w:val="FootnoteReference"/>
        </w:rPr>
        <w:footnoteRef/>
      </w:r>
      <w:r>
        <w:t xml:space="preserve"> </w:t>
      </w:r>
      <w:r w:rsidRPr="008811CA">
        <w:t xml:space="preserve">The licence itself is expected to include conditions relating to spectrum access (for example, the frequency and area in which the licensee is authorised to operate) and may also include conditions relating to the operation of </w:t>
      </w:r>
      <w:r>
        <w:t xml:space="preserve">radiocommunications </w:t>
      </w:r>
      <w:r w:rsidRPr="008811CA">
        <w:t xml:space="preserve">devices under the licence, including registration, unwanted emissions, and managing interference. It is also likely that </w:t>
      </w:r>
      <w:r>
        <w:t xml:space="preserve">a range of </w:t>
      </w:r>
      <w:r w:rsidRPr="008811CA">
        <w:t xml:space="preserve">conditions that are common to all </w:t>
      </w:r>
      <w:r>
        <w:t>AWL</w:t>
      </w:r>
      <w:r w:rsidRPr="008811CA">
        <w:t xml:space="preserve">s in a band </w:t>
      </w:r>
      <w:r>
        <w:t>w</w:t>
      </w:r>
      <w:r w:rsidRPr="008811CA">
        <w:t xml:space="preserve">ould be placed in the LCD rather than </w:t>
      </w:r>
      <w:r>
        <w:t>i</w:t>
      </w:r>
      <w:r w:rsidRPr="008811CA">
        <w:t>n the licence.</w:t>
      </w:r>
    </w:p>
  </w:footnote>
  <w:footnote w:id="12">
    <w:p w14:paraId="5A98D1D0" w14:textId="36B9DC58" w:rsidR="00635984" w:rsidRDefault="00635984" w:rsidP="005F42E1">
      <w:pPr>
        <w:pStyle w:val="FootnoteText"/>
        <w:spacing w:after="0"/>
      </w:pPr>
      <w:r>
        <w:rPr>
          <w:rStyle w:val="FootnoteReference"/>
        </w:rPr>
        <w:footnoteRef/>
      </w:r>
      <w:r>
        <w:t xml:space="preserve"> The existing </w:t>
      </w:r>
      <w:r w:rsidRPr="005F42E1">
        <w:t>Radiocommunications Licence Conditions (Apparatus Licence) Determination 2015</w:t>
      </w:r>
      <w:r>
        <w:rPr>
          <w:i/>
        </w:rPr>
        <w:t xml:space="preserve"> </w:t>
      </w:r>
      <w:r>
        <w:t>will also be applicable to AWLs. That instrument imposes conditions dealing with matters such as electromagnetic radiation requirements and record</w:t>
      </w:r>
      <w:r w:rsidR="007C78E0">
        <w:t>-</w:t>
      </w:r>
      <w:r>
        <w:t xml:space="preserve">keeping rules.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09157" w14:textId="77777777" w:rsidR="00635984" w:rsidRPr="00A5474E" w:rsidRDefault="00635984" w:rsidP="00A5474E">
    <w:pPr>
      <w:pStyle w:val="Header"/>
    </w:pPr>
    <w:r>
      <w:rPr>
        <w:noProof/>
      </w:rPr>
      <w:drawing>
        <wp:inline distT="0" distB="0" distL="0" distR="0" wp14:anchorId="0F8BE4A9" wp14:editId="04CFEF68">
          <wp:extent cx="6388100" cy="520700"/>
          <wp:effectExtent l="0" t="0" r="0" b="12700"/>
          <wp:docPr id="2" name="Picture 2"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F979" w14:textId="77777777" w:rsidR="00635984" w:rsidRPr="00A5474E" w:rsidRDefault="00635984"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70C8B" w14:textId="77777777" w:rsidR="00635984" w:rsidRDefault="006359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1C7F8" w14:textId="77777777" w:rsidR="00635984" w:rsidRDefault="006359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635984" w14:paraId="0BF76D48" w14:textId="77777777" w:rsidTr="00611CE4">
      <w:trPr>
        <w:trHeight w:hRule="exact" w:val="988"/>
      </w:trPr>
      <w:tc>
        <w:tcPr>
          <w:tcW w:w="7678" w:type="dxa"/>
          <w:shd w:val="clear" w:color="auto" w:fill="auto"/>
        </w:tcPr>
        <w:p w14:paraId="6A8F0674" w14:textId="77777777" w:rsidR="00635984" w:rsidRDefault="00635984" w:rsidP="00971914">
          <w:pPr>
            <w:pStyle w:val="Header"/>
          </w:pPr>
        </w:p>
      </w:tc>
    </w:tr>
    <w:tr w:rsidR="00635984" w14:paraId="51B44523" w14:textId="77777777" w:rsidTr="00611CE4">
      <w:tc>
        <w:tcPr>
          <w:tcW w:w="7678" w:type="dxa"/>
          <w:shd w:val="clear" w:color="auto" w:fill="auto"/>
        </w:tcPr>
        <w:p w14:paraId="2E280E2B" w14:textId="77777777" w:rsidR="00635984" w:rsidRDefault="00635984" w:rsidP="00971914">
          <w:pPr>
            <w:pStyle w:val="GridTable31"/>
          </w:pPr>
          <w:r>
            <w:t xml:space="preserve">Contents </w:t>
          </w:r>
          <w:r w:rsidRPr="00915B1C">
            <w:rPr>
              <w:b w:val="0"/>
              <w:spacing w:val="0"/>
              <w:sz w:val="28"/>
              <w:szCs w:val="28"/>
            </w:rPr>
            <w:t>(Continued)</w:t>
          </w:r>
        </w:p>
      </w:tc>
    </w:tr>
    <w:tr w:rsidR="00635984" w14:paraId="597AD5DA" w14:textId="77777777" w:rsidTr="00611CE4">
      <w:trPr>
        <w:trHeight w:val="1220"/>
      </w:trPr>
      <w:tc>
        <w:tcPr>
          <w:tcW w:w="7678" w:type="dxa"/>
          <w:shd w:val="clear" w:color="auto" w:fill="auto"/>
        </w:tcPr>
        <w:p w14:paraId="0BCD2E6D" w14:textId="77777777" w:rsidR="00635984" w:rsidRDefault="00635984" w:rsidP="00971914"/>
      </w:tc>
    </w:tr>
  </w:tbl>
  <w:p w14:paraId="586AE642" w14:textId="77777777" w:rsidR="00635984" w:rsidRDefault="0063598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635984" w14:paraId="234AB263" w14:textId="77777777" w:rsidTr="00611CE4">
      <w:trPr>
        <w:trHeight w:hRule="exact" w:val="988"/>
      </w:trPr>
      <w:tc>
        <w:tcPr>
          <w:tcW w:w="7678" w:type="dxa"/>
          <w:shd w:val="clear" w:color="auto" w:fill="auto"/>
        </w:tcPr>
        <w:p w14:paraId="46220C9D" w14:textId="77777777" w:rsidR="00635984" w:rsidRDefault="00635984" w:rsidP="00971914">
          <w:pPr>
            <w:pStyle w:val="Header"/>
          </w:pPr>
        </w:p>
      </w:tc>
    </w:tr>
    <w:tr w:rsidR="00635984" w14:paraId="3592500F" w14:textId="77777777" w:rsidTr="00611CE4">
      <w:tc>
        <w:tcPr>
          <w:tcW w:w="7678" w:type="dxa"/>
          <w:shd w:val="clear" w:color="auto" w:fill="auto"/>
        </w:tcPr>
        <w:p w14:paraId="03AA4128" w14:textId="77777777" w:rsidR="00635984" w:rsidRDefault="00635984" w:rsidP="00971914">
          <w:pPr>
            <w:pStyle w:val="GridTable31"/>
          </w:pPr>
          <w:r>
            <w:t xml:space="preserve">Contents </w:t>
          </w:r>
          <w:r w:rsidRPr="00915B1C">
            <w:rPr>
              <w:b w:val="0"/>
              <w:spacing w:val="0"/>
              <w:sz w:val="28"/>
              <w:szCs w:val="28"/>
            </w:rPr>
            <w:t>(Continued)</w:t>
          </w:r>
        </w:p>
      </w:tc>
    </w:tr>
    <w:tr w:rsidR="00635984" w14:paraId="6E60D9E9" w14:textId="77777777" w:rsidTr="00611CE4">
      <w:trPr>
        <w:trHeight w:val="1220"/>
      </w:trPr>
      <w:tc>
        <w:tcPr>
          <w:tcW w:w="7678" w:type="dxa"/>
          <w:shd w:val="clear" w:color="auto" w:fill="auto"/>
        </w:tcPr>
        <w:p w14:paraId="49160F96" w14:textId="77777777" w:rsidR="00635984" w:rsidRDefault="00635984" w:rsidP="00971914"/>
      </w:tc>
    </w:tr>
  </w:tbl>
  <w:p w14:paraId="1494B97B" w14:textId="77777777" w:rsidR="00635984" w:rsidRPr="00A5474E" w:rsidRDefault="00635984"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3C709" w14:textId="77777777" w:rsidR="00635984" w:rsidRDefault="0063598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84005" w14:textId="77777777" w:rsidR="00635984" w:rsidRDefault="00635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1"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3" w15:restartNumberingAfterBreak="0">
    <w:nsid w:val="FFFFFF89"/>
    <w:multiLevelType w:val="singleLevel"/>
    <w:tmpl w:val="A6E8ACF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64C416E"/>
    <w:multiLevelType w:val="hybridMultilevel"/>
    <w:tmpl w:val="BF3AB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797DB4"/>
    <w:multiLevelType w:val="hybridMultilevel"/>
    <w:tmpl w:val="643E3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15:restartNumberingAfterBreak="0">
    <w:nsid w:val="37876A8F"/>
    <w:multiLevelType w:val="hybridMultilevel"/>
    <w:tmpl w:val="E3AAB6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7D5583"/>
    <w:multiLevelType w:val="hybridMultilevel"/>
    <w:tmpl w:val="CE94B8E8"/>
    <w:lvl w:ilvl="0" w:tplc="647C725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970639"/>
    <w:multiLevelType w:val="hybridMultilevel"/>
    <w:tmpl w:val="C6727C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11"/>
  </w:num>
  <w:num w:numId="7">
    <w:abstractNumId w:val="9"/>
  </w:num>
  <w:num w:numId="8">
    <w:abstractNumId w:val="10"/>
  </w:num>
  <w:num w:numId="9">
    <w:abstractNumId w:val="12"/>
  </w:num>
  <w:num w:numId="10">
    <w:abstractNumId w:val="5"/>
  </w:num>
  <w:num w:numId="11">
    <w:abstractNumId w:val="7"/>
  </w:num>
  <w:num w:numId="12">
    <w:abstractNumId w:val="8"/>
  </w:num>
  <w:num w:numId="13">
    <w:abstractNumId w:val="4"/>
  </w:num>
  <w:num w:numId="14">
    <w:abstractNumId w:val="13"/>
  </w:num>
  <w:num w:numId="15">
    <w:abstractNumId w:val="3"/>
  </w:num>
  <w:num w:numId="16">
    <w:abstractNumId w:val="3"/>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A0B"/>
    <w:rsid w:val="000008A3"/>
    <w:rsid w:val="00001DC2"/>
    <w:rsid w:val="00002D09"/>
    <w:rsid w:val="000041D0"/>
    <w:rsid w:val="00010667"/>
    <w:rsid w:val="00012540"/>
    <w:rsid w:val="000125B7"/>
    <w:rsid w:val="000129D5"/>
    <w:rsid w:val="00012A62"/>
    <w:rsid w:val="000137A2"/>
    <w:rsid w:val="000141BD"/>
    <w:rsid w:val="00015AE7"/>
    <w:rsid w:val="00016E21"/>
    <w:rsid w:val="0001719C"/>
    <w:rsid w:val="00017C79"/>
    <w:rsid w:val="0002220D"/>
    <w:rsid w:val="0002224E"/>
    <w:rsid w:val="0002426B"/>
    <w:rsid w:val="000245E5"/>
    <w:rsid w:val="00024822"/>
    <w:rsid w:val="0002626E"/>
    <w:rsid w:val="00026F91"/>
    <w:rsid w:val="00027461"/>
    <w:rsid w:val="00032EC7"/>
    <w:rsid w:val="000348A3"/>
    <w:rsid w:val="00035F59"/>
    <w:rsid w:val="00037AB2"/>
    <w:rsid w:val="0004062C"/>
    <w:rsid w:val="00041B68"/>
    <w:rsid w:val="00042CD6"/>
    <w:rsid w:val="000436E4"/>
    <w:rsid w:val="0004764C"/>
    <w:rsid w:val="0005011A"/>
    <w:rsid w:val="0005045A"/>
    <w:rsid w:val="00050535"/>
    <w:rsid w:val="00051C1E"/>
    <w:rsid w:val="000539F9"/>
    <w:rsid w:val="00054C27"/>
    <w:rsid w:val="00054DD8"/>
    <w:rsid w:val="000556DA"/>
    <w:rsid w:val="00055EC3"/>
    <w:rsid w:val="000563CE"/>
    <w:rsid w:val="00056E2C"/>
    <w:rsid w:val="000659B6"/>
    <w:rsid w:val="0006686F"/>
    <w:rsid w:val="0006722A"/>
    <w:rsid w:val="000702DF"/>
    <w:rsid w:val="0007055D"/>
    <w:rsid w:val="000709CB"/>
    <w:rsid w:val="00070AAB"/>
    <w:rsid w:val="0007255A"/>
    <w:rsid w:val="000732CF"/>
    <w:rsid w:val="00073FC0"/>
    <w:rsid w:val="0007426D"/>
    <w:rsid w:val="00074612"/>
    <w:rsid w:val="00075B96"/>
    <w:rsid w:val="000800E6"/>
    <w:rsid w:val="0008112B"/>
    <w:rsid w:val="0008196A"/>
    <w:rsid w:val="00082B2F"/>
    <w:rsid w:val="00083016"/>
    <w:rsid w:val="0008509C"/>
    <w:rsid w:val="000851D8"/>
    <w:rsid w:val="0008613D"/>
    <w:rsid w:val="0008783F"/>
    <w:rsid w:val="000903EB"/>
    <w:rsid w:val="000915ED"/>
    <w:rsid w:val="0009209D"/>
    <w:rsid w:val="0009519B"/>
    <w:rsid w:val="0009520F"/>
    <w:rsid w:val="00095AAE"/>
    <w:rsid w:val="000969BD"/>
    <w:rsid w:val="000969BF"/>
    <w:rsid w:val="000A02DE"/>
    <w:rsid w:val="000A0C22"/>
    <w:rsid w:val="000A1400"/>
    <w:rsid w:val="000A2BE8"/>
    <w:rsid w:val="000A3C43"/>
    <w:rsid w:val="000A4A51"/>
    <w:rsid w:val="000A4C60"/>
    <w:rsid w:val="000A5D2B"/>
    <w:rsid w:val="000A650A"/>
    <w:rsid w:val="000B07DF"/>
    <w:rsid w:val="000B5A2E"/>
    <w:rsid w:val="000B5DE3"/>
    <w:rsid w:val="000B6E2F"/>
    <w:rsid w:val="000C0A57"/>
    <w:rsid w:val="000C230C"/>
    <w:rsid w:val="000C48CF"/>
    <w:rsid w:val="000C4C02"/>
    <w:rsid w:val="000C6AB4"/>
    <w:rsid w:val="000C7AD9"/>
    <w:rsid w:val="000D02A3"/>
    <w:rsid w:val="000D02B0"/>
    <w:rsid w:val="000D292E"/>
    <w:rsid w:val="000D46F6"/>
    <w:rsid w:val="000D480B"/>
    <w:rsid w:val="000D5A7D"/>
    <w:rsid w:val="000D71D9"/>
    <w:rsid w:val="000D76E0"/>
    <w:rsid w:val="000D7E8B"/>
    <w:rsid w:val="000E0DEB"/>
    <w:rsid w:val="000E222B"/>
    <w:rsid w:val="000E334A"/>
    <w:rsid w:val="000E3466"/>
    <w:rsid w:val="000E3A1F"/>
    <w:rsid w:val="000E4449"/>
    <w:rsid w:val="000E52EB"/>
    <w:rsid w:val="000E6097"/>
    <w:rsid w:val="000E63AF"/>
    <w:rsid w:val="000E78A1"/>
    <w:rsid w:val="000F2CF0"/>
    <w:rsid w:val="000F2F29"/>
    <w:rsid w:val="000F347F"/>
    <w:rsid w:val="000F3F19"/>
    <w:rsid w:val="000F4046"/>
    <w:rsid w:val="000F573D"/>
    <w:rsid w:val="000F6D98"/>
    <w:rsid w:val="000F7157"/>
    <w:rsid w:val="0010098A"/>
    <w:rsid w:val="00101E0D"/>
    <w:rsid w:val="00103829"/>
    <w:rsid w:val="0010397D"/>
    <w:rsid w:val="001044DA"/>
    <w:rsid w:val="00106300"/>
    <w:rsid w:val="00107017"/>
    <w:rsid w:val="00110A7A"/>
    <w:rsid w:val="00110EF5"/>
    <w:rsid w:val="00111F47"/>
    <w:rsid w:val="00111FCE"/>
    <w:rsid w:val="0011535E"/>
    <w:rsid w:val="001229A5"/>
    <w:rsid w:val="0012489B"/>
    <w:rsid w:val="001270D4"/>
    <w:rsid w:val="00130017"/>
    <w:rsid w:val="00130F91"/>
    <w:rsid w:val="00131921"/>
    <w:rsid w:val="0013434B"/>
    <w:rsid w:val="001349ED"/>
    <w:rsid w:val="00137424"/>
    <w:rsid w:val="00140318"/>
    <w:rsid w:val="00140E6D"/>
    <w:rsid w:val="00141AD9"/>
    <w:rsid w:val="0014428C"/>
    <w:rsid w:val="001459A1"/>
    <w:rsid w:val="00145AE5"/>
    <w:rsid w:val="001468B2"/>
    <w:rsid w:val="00146CE6"/>
    <w:rsid w:val="00146F7C"/>
    <w:rsid w:val="001516A3"/>
    <w:rsid w:val="00152903"/>
    <w:rsid w:val="00153FD5"/>
    <w:rsid w:val="0015614F"/>
    <w:rsid w:val="001577C2"/>
    <w:rsid w:val="0016084E"/>
    <w:rsid w:val="00162A0A"/>
    <w:rsid w:val="001633C4"/>
    <w:rsid w:val="00163D31"/>
    <w:rsid w:val="00163D7B"/>
    <w:rsid w:val="001704D5"/>
    <w:rsid w:val="00171591"/>
    <w:rsid w:val="00171F58"/>
    <w:rsid w:val="0017222D"/>
    <w:rsid w:val="00173950"/>
    <w:rsid w:val="00173981"/>
    <w:rsid w:val="00176480"/>
    <w:rsid w:val="00176BEC"/>
    <w:rsid w:val="0017719D"/>
    <w:rsid w:val="001812F7"/>
    <w:rsid w:val="00183FD7"/>
    <w:rsid w:val="00184D73"/>
    <w:rsid w:val="001852C2"/>
    <w:rsid w:val="00185370"/>
    <w:rsid w:val="00185CAB"/>
    <w:rsid w:val="001874D5"/>
    <w:rsid w:val="001875B7"/>
    <w:rsid w:val="00187A3B"/>
    <w:rsid w:val="00187C9C"/>
    <w:rsid w:val="00187CB3"/>
    <w:rsid w:val="0019050A"/>
    <w:rsid w:val="00190E4B"/>
    <w:rsid w:val="001910D4"/>
    <w:rsid w:val="00196325"/>
    <w:rsid w:val="001976E3"/>
    <w:rsid w:val="00197A06"/>
    <w:rsid w:val="001A1A9E"/>
    <w:rsid w:val="001A44EC"/>
    <w:rsid w:val="001A6DBE"/>
    <w:rsid w:val="001B0B61"/>
    <w:rsid w:val="001B5138"/>
    <w:rsid w:val="001B58AA"/>
    <w:rsid w:val="001B5B34"/>
    <w:rsid w:val="001B66BC"/>
    <w:rsid w:val="001B67F8"/>
    <w:rsid w:val="001B73C4"/>
    <w:rsid w:val="001B7E48"/>
    <w:rsid w:val="001C0FBC"/>
    <w:rsid w:val="001C13E6"/>
    <w:rsid w:val="001C17CE"/>
    <w:rsid w:val="001C36CA"/>
    <w:rsid w:val="001C44D1"/>
    <w:rsid w:val="001C5F2C"/>
    <w:rsid w:val="001C63F8"/>
    <w:rsid w:val="001C6673"/>
    <w:rsid w:val="001C67CF"/>
    <w:rsid w:val="001C6AEE"/>
    <w:rsid w:val="001C6EEB"/>
    <w:rsid w:val="001C7630"/>
    <w:rsid w:val="001C77CB"/>
    <w:rsid w:val="001C7C56"/>
    <w:rsid w:val="001D0488"/>
    <w:rsid w:val="001D0704"/>
    <w:rsid w:val="001D3F9E"/>
    <w:rsid w:val="001D4379"/>
    <w:rsid w:val="001D46D6"/>
    <w:rsid w:val="001D6798"/>
    <w:rsid w:val="001D6AC0"/>
    <w:rsid w:val="001D6D15"/>
    <w:rsid w:val="001D7A6D"/>
    <w:rsid w:val="001E55DE"/>
    <w:rsid w:val="001F7344"/>
    <w:rsid w:val="001F7378"/>
    <w:rsid w:val="001F7558"/>
    <w:rsid w:val="001F78F1"/>
    <w:rsid w:val="00201221"/>
    <w:rsid w:val="00202280"/>
    <w:rsid w:val="00205B57"/>
    <w:rsid w:val="0021029F"/>
    <w:rsid w:val="00214295"/>
    <w:rsid w:val="002157E0"/>
    <w:rsid w:val="00215BAC"/>
    <w:rsid w:val="00216A57"/>
    <w:rsid w:val="0022204F"/>
    <w:rsid w:val="002221EA"/>
    <w:rsid w:val="00222916"/>
    <w:rsid w:val="00222DC3"/>
    <w:rsid w:val="0022334F"/>
    <w:rsid w:val="00223EEF"/>
    <w:rsid w:val="00224067"/>
    <w:rsid w:val="00226819"/>
    <w:rsid w:val="00227FC2"/>
    <w:rsid w:val="002301BD"/>
    <w:rsid w:val="00233101"/>
    <w:rsid w:val="00233212"/>
    <w:rsid w:val="00233817"/>
    <w:rsid w:val="00234403"/>
    <w:rsid w:val="00234447"/>
    <w:rsid w:val="00234AFF"/>
    <w:rsid w:val="002367FF"/>
    <w:rsid w:val="00236B74"/>
    <w:rsid w:val="0023782F"/>
    <w:rsid w:val="0024076E"/>
    <w:rsid w:val="00240CE9"/>
    <w:rsid w:val="00242D69"/>
    <w:rsid w:val="002434BA"/>
    <w:rsid w:val="00245198"/>
    <w:rsid w:val="00246089"/>
    <w:rsid w:val="00246093"/>
    <w:rsid w:val="00246702"/>
    <w:rsid w:val="00247944"/>
    <w:rsid w:val="00247C59"/>
    <w:rsid w:val="00247F2E"/>
    <w:rsid w:val="00250ADC"/>
    <w:rsid w:val="00250B07"/>
    <w:rsid w:val="002513EA"/>
    <w:rsid w:val="00251D7C"/>
    <w:rsid w:val="0025220F"/>
    <w:rsid w:val="00253A95"/>
    <w:rsid w:val="0025460F"/>
    <w:rsid w:val="002568C4"/>
    <w:rsid w:val="00257553"/>
    <w:rsid w:val="0025788A"/>
    <w:rsid w:val="00257898"/>
    <w:rsid w:val="0026074F"/>
    <w:rsid w:val="00260FB2"/>
    <w:rsid w:val="00262128"/>
    <w:rsid w:val="0026523F"/>
    <w:rsid w:val="002711CD"/>
    <w:rsid w:val="002715C9"/>
    <w:rsid w:val="0027165D"/>
    <w:rsid w:val="00271E18"/>
    <w:rsid w:val="00273CEB"/>
    <w:rsid w:val="00274BE8"/>
    <w:rsid w:val="00275DE9"/>
    <w:rsid w:val="00276BC2"/>
    <w:rsid w:val="00277614"/>
    <w:rsid w:val="00281B19"/>
    <w:rsid w:val="00281C39"/>
    <w:rsid w:val="00281C89"/>
    <w:rsid w:val="00281CDC"/>
    <w:rsid w:val="0028282F"/>
    <w:rsid w:val="00283E9C"/>
    <w:rsid w:val="0028555C"/>
    <w:rsid w:val="002862D7"/>
    <w:rsid w:val="00286BD6"/>
    <w:rsid w:val="00286C4F"/>
    <w:rsid w:val="00286EB1"/>
    <w:rsid w:val="002901B1"/>
    <w:rsid w:val="0029357F"/>
    <w:rsid w:val="0029593B"/>
    <w:rsid w:val="00296A7E"/>
    <w:rsid w:val="00297FC5"/>
    <w:rsid w:val="002A0417"/>
    <w:rsid w:val="002A0B77"/>
    <w:rsid w:val="002A16D8"/>
    <w:rsid w:val="002A1BC8"/>
    <w:rsid w:val="002A2CD8"/>
    <w:rsid w:val="002A2F9B"/>
    <w:rsid w:val="002A3BC0"/>
    <w:rsid w:val="002A3EF2"/>
    <w:rsid w:val="002A6702"/>
    <w:rsid w:val="002A6F70"/>
    <w:rsid w:val="002B0DED"/>
    <w:rsid w:val="002B19A2"/>
    <w:rsid w:val="002B1D6B"/>
    <w:rsid w:val="002B20A2"/>
    <w:rsid w:val="002B3526"/>
    <w:rsid w:val="002B381A"/>
    <w:rsid w:val="002B4B0A"/>
    <w:rsid w:val="002B4FCC"/>
    <w:rsid w:val="002B5E7E"/>
    <w:rsid w:val="002B7408"/>
    <w:rsid w:val="002B75DC"/>
    <w:rsid w:val="002B7AEB"/>
    <w:rsid w:val="002B7CFD"/>
    <w:rsid w:val="002C210F"/>
    <w:rsid w:val="002D0530"/>
    <w:rsid w:val="002D323D"/>
    <w:rsid w:val="002D3600"/>
    <w:rsid w:val="002D3867"/>
    <w:rsid w:val="002D3A91"/>
    <w:rsid w:val="002D4526"/>
    <w:rsid w:val="002D7A3C"/>
    <w:rsid w:val="002E1F16"/>
    <w:rsid w:val="002E1F55"/>
    <w:rsid w:val="002E242B"/>
    <w:rsid w:val="002E4BD9"/>
    <w:rsid w:val="002E4DDC"/>
    <w:rsid w:val="002F045A"/>
    <w:rsid w:val="002F0920"/>
    <w:rsid w:val="002F0F4B"/>
    <w:rsid w:val="002F5CC7"/>
    <w:rsid w:val="002F686C"/>
    <w:rsid w:val="002F7F6C"/>
    <w:rsid w:val="00302480"/>
    <w:rsid w:val="003039A2"/>
    <w:rsid w:val="0030544F"/>
    <w:rsid w:val="00306B7A"/>
    <w:rsid w:val="00306EF3"/>
    <w:rsid w:val="00307063"/>
    <w:rsid w:val="00307EC1"/>
    <w:rsid w:val="00312FE3"/>
    <w:rsid w:val="00313944"/>
    <w:rsid w:val="00315342"/>
    <w:rsid w:val="003155E8"/>
    <w:rsid w:val="003165E6"/>
    <w:rsid w:val="0032127B"/>
    <w:rsid w:val="003215B5"/>
    <w:rsid w:val="00321C42"/>
    <w:rsid w:val="003221CF"/>
    <w:rsid w:val="003233ED"/>
    <w:rsid w:val="003234DE"/>
    <w:rsid w:val="003238A4"/>
    <w:rsid w:val="00324D9F"/>
    <w:rsid w:val="003252B7"/>
    <w:rsid w:val="00326C92"/>
    <w:rsid w:val="00327948"/>
    <w:rsid w:val="00327E50"/>
    <w:rsid w:val="0033000F"/>
    <w:rsid w:val="00331474"/>
    <w:rsid w:val="0033162C"/>
    <w:rsid w:val="00332011"/>
    <w:rsid w:val="00332518"/>
    <w:rsid w:val="00332925"/>
    <w:rsid w:val="003332ED"/>
    <w:rsid w:val="003336D8"/>
    <w:rsid w:val="00334E49"/>
    <w:rsid w:val="00334ECA"/>
    <w:rsid w:val="003355EE"/>
    <w:rsid w:val="003368DC"/>
    <w:rsid w:val="00340303"/>
    <w:rsid w:val="003404D5"/>
    <w:rsid w:val="003414DD"/>
    <w:rsid w:val="00342147"/>
    <w:rsid w:val="00343454"/>
    <w:rsid w:val="00344549"/>
    <w:rsid w:val="00345927"/>
    <w:rsid w:val="00345BD9"/>
    <w:rsid w:val="00346B48"/>
    <w:rsid w:val="00350584"/>
    <w:rsid w:val="00351857"/>
    <w:rsid w:val="00351DD8"/>
    <w:rsid w:val="00352652"/>
    <w:rsid w:val="003545E8"/>
    <w:rsid w:val="0035588B"/>
    <w:rsid w:val="0035725F"/>
    <w:rsid w:val="003577CE"/>
    <w:rsid w:val="00360BF4"/>
    <w:rsid w:val="003610E1"/>
    <w:rsid w:val="00362B72"/>
    <w:rsid w:val="003639A1"/>
    <w:rsid w:val="00364E02"/>
    <w:rsid w:val="00364EBD"/>
    <w:rsid w:val="0036634E"/>
    <w:rsid w:val="003671BE"/>
    <w:rsid w:val="0036780E"/>
    <w:rsid w:val="0037060D"/>
    <w:rsid w:val="00372485"/>
    <w:rsid w:val="003725EF"/>
    <w:rsid w:val="00373200"/>
    <w:rsid w:val="00375EF5"/>
    <w:rsid w:val="003767A5"/>
    <w:rsid w:val="00377944"/>
    <w:rsid w:val="00377EF8"/>
    <w:rsid w:val="00381D15"/>
    <w:rsid w:val="00383868"/>
    <w:rsid w:val="00383F80"/>
    <w:rsid w:val="00385254"/>
    <w:rsid w:val="00387979"/>
    <w:rsid w:val="00396837"/>
    <w:rsid w:val="003978C8"/>
    <w:rsid w:val="003A04DB"/>
    <w:rsid w:val="003A15A2"/>
    <w:rsid w:val="003A3324"/>
    <w:rsid w:val="003A4EA4"/>
    <w:rsid w:val="003A5939"/>
    <w:rsid w:val="003A5982"/>
    <w:rsid w:val="003A5C5A"/>
    <w:rsid w:val="003A5F5B"/>
    <w:rsid w:val="003A6EF9"/>
    <w:rsid w:val="003A789A"/>
    <w:rsid w:val="003B12EC"/>
    <w:rsid w:val="003B27E3"/>
    <w:rsid w:val="003B39DB"/>
    <w:rsid w:val="003B6EC2"/>
    <w:rsid w:val="003B72C7"/>
    <w:rsid w:val="003C21F1"/>
    <w:rsid w:val="003C3DF1"/>
    <w:rsid w:val="003C50B4"/>
    <w:rsid w:val="003C5399"/>
    <w:rsid w:val="003C6D10"/>
    <w:rsid w:val="003C77E0"/>
    <w:rsid w:val="003C7CC1"/>
    <w:rsid w:val="003C7F2D"/>
    <w:rsid w:val="003D1632"/>
    <w:rsid w:val="003D17D7"/>
    <w:rsid w:val="003D2678"/>
    <w:rsid w:val="003D2D71"/>
    <w:rsid w:val="003D4413"/>
    <w:rsid w:val="003D71A3"/>
    <w:rsid w:val="003D79C1"/>
    <w:rsid w:val="003E0DDF"/>
    <w:rsid w:val="003E1654"/>
    <w:rsid w:val="003E1E10"/>
    <w:rsid w:val="003E2997"/>
    <w:rsid w:val="003E2B8A"/>
    <w:rsid w:val="003E610E"/>
    <w:rsid w:val="003E6481"/>
    <w:rsid w:val="003E6F5C"/>
    <w:rsid w:val="003E7430"/>
    <w:rsid w:val="003E7C68"/>
    <w:rsid w:val="003F0E08"/>
    <w:rsid w:val="003F10EE"/>
    <w:rsid w:val="003F16F6"/>
    <w:rsid w:val="003F3E8A"/>
    <w:rsid w:val="003F4DC7"/>
    <w:rsid w:val="003F5235"/>
    <w:rsid w:val="003F7E48"/>
    <w:rsid w:val="00400BA8"/>
    <w:rsid w:val="00401010"/>
    <w:rsid w:val="004027E4"/>
    <w:rsid w:val="00403C0D"/>
    <w:rsid w:val="004049A9"/>
    <w:rsid w:val="00410254"/>
    <w:rsid w:val="0041071D"/>
    <w:rsid w:val="00414AFC"/>
    <w:rsid w:val="004151A7"/>
    <w:rsid w:val="00415310"/>
    <w:rsid w:val="00415994"/>
    <w:rsid w:val="004161AA"/>
    <w:rsid w:val="004167C8"/>
    <w:rsid w:val="004214F4"/>
    <w:rsid w:val="00421709"/>
    <w:rsid w:val="00421AB6"/>
    <w:rsid w:val="00422A17"/>
    <w:rsid w:val="00423763"/>
    <w:rsid w:val="00426174"/>
    <w:rsid w:val="0042762F"/>
    <w:rsid w:val="00427DC7"/>
    <w:rsid w:val="00430389"/>
    <w:rsid w:val="00431161"/>
    <w:rsid w:val="00431613"/>
    <w:rsid w:val="00431792"/>
    <w:rsid w:val="0043297A"/>
    <w:rsid w:val="00432EB2"/>
    <w:rsid w:val="00434DF5"/>
    <w:rsid w:val="00434F1A"/>
    <w:rsid w:val="0043714F"/>
    <w:rsid w:val="00437B88"/>
    <w:rsid w:val="0044045B"/>
    <w:rsid w:val="00440941"/>
    <w:rsid w:val="00441458"/>
    <w:rsid w:val="00442DDC"/>
    <w:rsid w:val="004435B7"/>
    <w:rsid w:val="004438B5"/>
    <w:rsid w:val="00447037"/>
    <w:rsid w:val="0045069C"/>
    <w:rsid w:val="0045124D"/>
    <w:rsid w:val="00454596"/>
    <w:rsid w:val="00454D3C"/>
    <w:rsid w:val="0045605D"/>
    <w:rsid w:val="0045694E"/>
    <w:rsid w:val="0046135B"/>
    <w:rsid w:val="00461D47"/>
    <w:rsid w:val="00465759"/>
    <w:rsid w:val="00466E7C"/>
    <w:rsid w:val="00470AAF"/>
    <w:rsid w:val="00470D6D"/>
    <w:rsid w:val="00470ED0"/>
    <w:rsid w:val="004718CC"/>
    <w:rsid w:val="00471AEB"/>
    <w:rsid w:val="00476986"/>
    <w:rsid w:val="00476A5E"/>
    <w:rsid w:val="004807B3"/>
    <w:rsid w:val="00480B7D"/>
    <w:rsid w:val="00481489"/>
    <w:rsid w:val="00481695"/>
    <w:rsid w:val="00482A7D"/>
    <w:rsid w:val="004836EA"/>
    <w:rsid w:val="004858A5"/>
    <w:rsid w:val="00490BC9"/>
    <w:rsid w:val="00494009"/>
    <w:rsid w:val="0049546E"/>
    <w:rsid w:val="00495A96"/>
    <w:rsid w:val="00495BB3"/>
    <w:rsid w:val="004976C3"/>
    <w:rsid w:val="004A22EF"/>
    <w:rsid w:val="004A2FFE"/>
    <w:rsid w:val="004A31CA"/>
    <w:rsid w:val="004A330C"/>
    <w:rsid w:val="004A56BB"/>
    <w:rsid w:val="004A5A88"/>
    <w:rsid w:val="004A5D3D"/>
    <w:rsid w:val="004A760B"/>
    <w:rsid w:val="004A7718"/>
    <w:rsid w:val="004B1751"/>
    <w:rsid w:val="004B2199"/>
    <w:rsid w:val="004B3987"/>
    <w:rsid w:val="004B6B62"/>
    <w:rsid w:val="004C0253"/>
    <w:rsid w:val="004C09F8"/>
    <w:rsid w:val="004C4D40"/>
    <w:rsid w:val="004C6B2B"/>
    <w:rsid w:val="004D273C"/>
    <w:rsid w:val="004D4056"/>
    <w:rsid w:val="004D56FF"/>
    <w:rsid w:val="004D72B2"/>
    <w:rsid w:val="004D7C1C"/>
    <w:rsid w:val="004E0244"/>
    <w:rsid w:val="004E39D3"/>
    <w:rsid w:val="004E508A"/>
    <w:rsid w:val="004E558F"/>
    <w:rsid w:val="004E616D"/>
    <w:rsid w:val="004E7595"/>
    <w:rsid w:val="004F1705"/>
    <w:rsid w:val="004F1BDE"/>
    <w:rsid w:val="004F2CEE"/>
    <w:rsid w:val="004F4E1E"/>
    <w:rsid w:val="004F556E"/>
    <w:rsid w:val="004F591C"/>
    <w:rsid w:val="004F6125"/>
    <w:rsid w:val="004F6AC6"/>
    <w:rsid w:val="004F77FC"/>
    <w:rsid w:val="004F7F44"/>
    <w:rsid w:val="00503709"/>
    <w:rsid w:val="005037B4"/>
    <w:rsid w:val="00503AD8"/>
    <w:rsid w:val="00503E49"/>
    <w:rsid w:val="00503FF8"/>
    <w:rsid w:val="005040B9"/>
    <w:rsid w:val="0050621E"/>
    <w:rsid w:val="005064FA"/>
    <w:rsid w:val="005079BF"/>
    <w:rsid w:val="005101CB"/>
    <w:rsid w:val="005106E5"/>
    <w:rsid w:val="0051269A"/>
    <w:rsid w:val="0051359E"/>
    <w:rsid w:val="00513EED"/>
    <w:rsid w:val="00515685"/>
    <w:rsid w:val="0051797E"/>
    <w:rsid w:val="0052025D"/>
    <w:rsid w:val="005210D3"/>
    <w:rsid w:val="005219E7"/>
    <w:rsid w:val="00522322"/>
    <w:rsid w:val="005242F7"/>
    <w:rsid w:val="00524B45"/>
    <w:rsid w:val="0052500C"/>
    <w:rsid w:val="005253E0"/>
    <w:rsid w:val="00525DAF"/>
    <w:rsid w:val="00526FD1"/>
    <w:rsid w:val="00531342"/>
    <w:rsid w:val="00531389"/>
    <w:rsid w:val="00531711"/>
    <w:rsid w:val="00531B9A"/>
    <w:rsid w:val="00531D15"/>
    <w:rsid w:val="00532DD3"/>
    <w:rsid w:val="00533476"/>
    <w:rsid w:val="00533978"/>
    <w:rsid w:val="00533A2C"/>
    <w:rsid w:val="005351E0"/>
    <w:rsid w:val="005374EF"/>
    <w:rsid w:val="00537604"/>
    <w:rsid w:val="00541CB3"/>
    <w:rsid w:val="00542377"/>
    <w:rsid w:val="0054292B"/>
    <w:rsid w:val="00542DA1"/>
    <w:rsid w:val="005435C6"/>
    <w:rsid w:val="00543C59"/>
    <w:rsid w:val="00546A8A"/>
    <w:rsid w:val="00546BFC"/>
    <w:rsid w:val="005476EB"/>
    <w:rsid w:val="00547CCA"/>
    <w:rsid w:val="00551782"/>
    <w:rsid w:val="005537D9"/>
    <w:rsid w:val="00554D86"/>
    <w:rsid w:val="00556D1C"/>
    <w:rsid w:val="005572A0"/>
    <w:rsid w:val="00561D5E"/>
    <w:rsid w:val="00561D92"/>
    <w:rsid w:val="00563130"/>
    <w:rsid w:val="005637B0"/>
    <w:rsid w:val="00563EF1"/>
    <w:rsid w:val="00564BEC"/>
    <w:rsid w:val="00566071"/>
    <w:rsid w:val="00566AB4"/>
    <w:rsid w:val="00571AA6"/>
    <w:rsid w:val="005728FF"/>
    <w:rsid w:val="00575AC5"/>
    <w:rsid w:val="0057605D"/>
    <w:rsid w:val="005772BD"/>
    <w:rsid w:val="00577492"/>
    <w:rsid w:val="005777FE"/>
    <w:rsid w:val="00577B45"/>
    <w:rsid w:val="00581347"/>
    <w:rsid w:val="005816A6"/>
    <w:rsid w:val="00581AC4"/>
    <w:rsid w:val="00581AC9"/>
    <w:rsid w:val="005829CF"/>
    <w:rsid w:val="005849F8"/>
    <w:rsid w:val="00584B11"/>
    <w:rsid w:val="00587236"/>
    <w:rsid w:val="005873A9"/>
    <w:rsid w:val="00587828"/>
    <w:rsid w:val="00592F64"/>
    <w:rsid w:val="00593343"/>
    <w:rsid w:val="005938DF"/>
    <w:rsid w:val="00594E9C"/>
    <w:rsid w:val="00595DB9"/>
    <w:rsid w:val="0059632A"/>
    <w:rsid w:val="00596B6E"/>
    <w:rsid w:val="005A099B"/>
    <w:rsid w:val="005A1400"/>
    <w:rsid w:val="005A1731"/>
    <w:rsid w:val="005A2D9C"/>
    <w:rsid w:val="005A4CAC"/>
    <w:rsid w:val="005A55FE"/>
    <w:rsid w:val="005A6A11"/>
    <w:rsid w:val="005B0DDD"/>
    <w:rsid w:val="005B1D6C"/>
    <w:rsid w:val="005B3D9D"/>
    <w:rsid w:val="005B4ADA"/>
    <w:rsid w:val="005B7A40"/>
    <w:rsid w:val="005C040B"/>
    <w:rsid w:val="005C09D0"/>
    <w:rsid w:val="005D0AF6"/>
    <w:rsid w:val="005D2502"/>
    <w:rsid w:val="005D2D33"/>
    <w:rsid w:val="005D40BB"/>
    <w:rsid w:val="005D47F3"/>
    <w:rsid w:val="005D49BF"/>
    <w:rsid w:val="005D4AA5"/>
    <w:rsid w:val="005D5B51"/>
    <w:rsid w:val="005D6F4E"/>
    <w:rsid w:val="005D7C73"/>
    <w:rsid w:val="005E04E9"/>
    <w:rsid w:val="005E1AFB"/>
    <w:rsid w:val="005E3ACD"/>
    <w:rsid w:val="005E400C"/>
    <w:rsid w:val="005E7226"/>
    <w:rsid w:val="005E730C"/>
    <w:rsid w:val="005E7A57"/>
    <w:rsid w:val="005E7C29"/>
    <w:rsid w:val="005F24B0"/>
    <w:rsid w:val="005F3AAD"/>
    <w:rsid w:val="005F42E1"/>
    <w:rsid w:val="006014D7"/>
    <w:rsid w:val="0060155E"/>
    <w:rsid w:val="006020FC"/>
    <w:rsid w:val="0060384F"/>
    <w:rsid w:val="00604315"/>
    <w:rsid w:val="006045C2"/>
    <w:rsid w:val="00604E26"/>
    <w:rsid w:val="006052CF"/>
    <w:rsid w:val="00605EEF"/>
    <w:rsid w:val="00607B8D"/>
    <w:rsid w:val="006103D4"/>
    <w:rsid w:val="006117E8"/>
    <w:rsid w:val="006119F5"/>
    <w:rsid w:val="00611CE4"/>
    <w:rsid w:val="00611F5C"/>
    <w:rsid w:val="00614D7B"/>
    <w:rsid w:val="006161DA"/>
    <w:rsid w:val="00616225"/>
    <w:rsid w:val="00616E09"/>
    <w:rsid w:val="006222B5"/>
    <w:rsid w:val="00622A3B"/>
    <w:rsid w:val="00622EEA"/>
    <w:rsid w:val="0062396C"/>
    <w:rsid w:val="00623FF9"/>
    <w:rsid w:val="00627D4E"/>
    <w:rsid w:val="00631280"/>
    <w:rsid w:val="00632AC7"/>
    <w:rsid w:val="00632B89"/>
    <w:rsid w:val="006334CC"/>
    <w:rsid w:val="00634478"/>
    <w:rsid w:val="00634707"/>
    <w:rsid w:val="00635984"/>
    <w:rsid w:val="006416FC"/>
    <w:rsid w:val="00644373"/>
    <w:rsid w:val="006443FB"/>
    <w:rsid w:val="006455FD"/>
    <w:rsid w:val="00645915"/>
    <w:rsid w:val="006460C9"/>
    <w:rsid w:val="00647DB9"/>
    <w:rsid w:val="00650553"/>
    <w:rsid w:val="00650565"/>
    <w:rsid w:val="00650C13"/>
    <w:rsid w:val="006519C3"/>
    <w:rsid w:val="00651DFF"/>
    <w:rsid w:val="00652B30"/>
    <w:rsid w:val="00653458"/>
    <w:rsid w:val="00654BE4"/>
    <w:rsid w:val="00655F52"/>
    <w:rsid w:val="00656345"/>
    <w:rsid w:val="00656DC6"/>
    <w:rsid w:val="00660DE6"/>
    <w:rsid w:val="00660EC6"/>
    <w:rsid w:val="00662121"/>
    <w:rsid w:val="0066221D"/>
    <w:rsid w:val="006633D6"/>
    <w:rsid w:val="00664110"/>
    <w:rsid w:val="00664A7D"/>
    <w:rsid w:val="00664D17"/>
    <w:rsid w:val="00666520"/>
    <w:rsid w:val="00666B77"/>
    <w:rsid w:val="00667A79"/>
    <w:rsid w:val="00667C5B"/>
    <w:rsid w:val="00670136"/>
    <w:rsid w:val="00670D71"/>
    <w:rsid w:val="006727C5"/>
    <w:rsid w:val="00673557"/>
    <w:rsid w:val="006746B6"/>
    <w:rsid w:val="00674F84"/>
    <w:rsid w:val="00675811"/>
    <w:rsid w:val="006758A6"/>
    <w:rsid w:val="00677287"/>
    <w:rsid w:val="00680EAF"/>
    <w:rsid w:val="00682CA9"/>
    <w:rsid w:val="0068614F"/>
    <w:rsid w:val="00686946"/>
    <w:rsid w:val="00687A18"/>
    <w:rsid w:val="00691EB8"/>
    <w:rsid w:val="00692CDE"/>
    <w:rsid w:val="00693073"/>
    <w:rsid w:val="00693D6E"/>
    <w:rsid w:val="00694CA8"/>
    <w:rsid w:val="00696DFF"/>
    <w:rsid w:val="00696E20"/>
    <w:rsid w:val="006977FF"/>
    <w:rsid w:val="006A01FA"/>
    <w:rsid w:val="006A0E9E"/>
    <w:rsid w:val="006A0F8D"/>
    <w:rsid w:val="006A25C7"/>
    <w:rsid w:val="006A4AAD"/>
    <w:rsid w:val="006A6C67"/>
    <w:rsid w:val="006A6DA2"/>
    <w:rsid w:val="006A7AB2"/>
    <w:rsid w:val="006B216C"/>
    <w:rsid w:val="006B5717"/>
    <w:rsid w:val="006B582F"/>
    <w:rsid w:val="006B5A8E"/>
    <w:rsid w:val="006B5EB2"/>
    <w:rsid w:val="006B6D4E"/>
    <w:rsid w:val="006B70C1"/>
    <w:rsid w:val="006C0CEB"/>
    <w:rsid w:val="006C39E7"/>
    <w:rsid w:val="006C3AF8"/>
    <w:rsid w:val="006C3B1E"/>
    <w:rsid w:val="006C47FD"/>
    <w:rsid w:val="006C4B60"/>
    <w:rsid w:val="006C5C19"/>
    <w:rsid w:val="006C6334"/>
    <w:rsid w:val="006C70A0"/>
    <w:rsid w:val="006C71AE"/>
    <w:rsid w:val="006D016E"/>
    <w:rsid w:val="006D16F3"/>
    <w:rsid w:val="006D245F"/>
    <w:rsid w:val="006D27CB"/>
    <w:rsid w:val="006D2F08"/>
    <w:rsid w:val="006D38ED"/>
    <w:rsid w:val="006D4390"/>
    <w:rsid w:val="006D576C"/>
    <w:rsid w:val="006D5865"/>
    <w:rsid w:val="006D7975"/>
    <w:rsid w:val="006D7998"/>
    <w:rsid w:val="006E1631"/>
    <w:rsid w:val="006E2DDD"/>
    <w:rsid w:val="006E4B1B"/>
    <w:rsid w:val="006E5445"/>
    <w:rsid w:val="006E6672"/>
    <w:rsid w:val="006E7D93"/>
    <w:rsid w:val="006F02AC"/>
    <w:rsid w:val="006F1758"/>
    <w:rsid w:val="006F2D0C"/>
    <w:rsid w:val="006F31DF"/>
    <w:rsid w:val="006F3E4D"/>
    <w:rsid w:val="006F3FCE"/>
    <w:rsid w:val="006F44D3"/>
    <w:rsid w:val="006F4CDE"/>
    <w:rsid w:val="006F5858"/>
    <w:rsid w:val="006F6F57"/>
    <w:rsid w:val="006F7436"/>
    <w:rsid w:val="006F7E7C"/>
    <w:rsid w:val="006F7F93"/>
    <w:rsid w:val="00701BF4"/>
    <w:rsid w:val="007029A3"/>
    <w:rsid w:val="00702B29"/>
    <w:rsid w:val="00702E06"/>
    <w:rsid w:val="00702F97"/>
    <w:rsid w:val="007037D2"/>
    <w:rsid w:val="007049C8"/>
    <w:rsid w:val="0070695D"/>
    <w:rsid w:val="00706E4E"/>
    <w:rsid w:val="00707287"/>
    <w:rsid w:val="00707600"/>
    <w:rsid w:val="0070791C"/>
    <w:rsid w:val="00710B89"/>
    <w:rsid w:val="00710BF6"/>
    <w:rsid w:val="0071383C"/>
    <w:rsid w:val="007141A7"/>
    <w:rsid w:val="00714A52"/>
    <w:rsid w:val="00715722"/>
    <w:rsid w:val="00717543"/>
    <w:rsid w:val="00717850"/>
    <w:rsid w:val="00720A43"/>
    <w:rsid w:val="00720BD1"/>
    <w:rsid w:val="00720C87"/>
    <w:rsid w:val="00721032"/>
    <w:rsid w:val="007218B1"/>
    <w:rsid w:val="00721B55"/>
    <w:rsid w:val="00722BB3"/>
    <w:rsid w:val="00723E72"/>
    <w:rsid w:val="0072681D"/>
    <w:rsid w:val="00726CE4"/>
    <w:rsid w:val="00730183"/>
    <w:rsid w:val="00730F24"/>
    <w:rsid w:val="00734143"/>
    <w:rsid w:val="007341D6"/>
    <w:rsid w:val="00736819"/>
    <w:rsid w:val="007376F3"/>
    <w:rsid w:val="00737E47"/>
    <w:rsid w:val="007408F3"/>
    <w:rsid w:val="00740EAC"/>
    <w:rsid w:val="00741B33"/>
    <w:rsid w:val="00744956"/>
    <w:rsid w:val="00745282"/>
    <w:rsid w:val="00745A5C"/>
    <w:rsid w:val="0074605F"/>
    <w:rsid w:val="00747B93"/>
    <w:rsid w:val="00747E94"/>
    <w:rsid w:val="007549F6"/>
    <w:rsid w:val="00754C83"/>
    <w:rsid w:val="007563BB"/>
    <w:rsid w:val="00761331"/>
    <w:rsid w:val="00761ADC"/>
    <w:rsid w:val="00763409"/>
    <w:rsid w:val="007635E6"/>
    <w:rsid w:val="00765DF8"/>
    <w:rsid w:val="00766749"/>
    <w:rsid w:val="007678A0"/>
    <w:rsid w:val="00767C1B"/>
    <w:rsid w:val="007714A9"/>
    <w:rsid w:val="00771ECA"/>
    <w:rsid w:val="00774F88"/>
    <w:rsid w:val="00774FDB"/>
    <w:rsid w:val="007751CD"/>
    <w:rsid w:val="00777BA2"/>
    <w:rsid w:val="00777C11"/>
    <w:rsid w:val="00780B70"/>
    <w:rsid w:val="00781408"/>
    <w:rsid w:val="00781CB3"/>
    <w:rsid w:val="007843C8"/>
    <w:rsid w:val="00784651"/>
    <w:rsid w:val="00784F7F"/>
    <w:rsid w:val="00785E0F"/>
    <w:rsid w:val="00786AE0"/>
    <w:rsid w:val="0078770B"/>
    <w:rsid w:val="007878BD"/>
    <w:rsid w:val="00790B37"/>
    <w:rsid w:val="00791B86"/>
    <w:rsid w:val="00792BDD"/>
    <w:rsid w:val="00793309"/>
    <w:rsid w:val="00796F25"/>
    <w:rsid w:val="007A037C"/>
    <w:rsid w:val="007A07CC"/>
    <w:rsid w:val="007A2613"/>
    <w:rsid w:val="007A2E98"/>
    <w:rsid w:val="007A3BA3"/>
    <w:rsid w:val="007A6CC0"/>
    <w:rsid w:val="007A7FEC"/>
    <w:rsid w:val="007B0299"/>
    <w:rsid w:val="007B1499"/>
    <w:rsid w:val="007B1BBF"/>
    <w:rsid w:val="007B229A"/>
    <w:rsid w:val="007B2960"/>
    <w:rsid w:val="007B2B0E"/>
    <w:rsid w:val="007B355D"/>
    <w:rsid w:val="007B5122"/>
    <w:rsid w:val="007B5D36"/>
    <w:rsid w:val="007B6027"/>
    <w:rsid w:val="007B6FBD"/>
    <w:rsid w:val="007B7980"/>
    <w:rsid w:val="007C0DEF"/>
    <w:rsid w:val="007C23F6"/>
    <w:rsid w:val="007C3BED"/>
    <w:rsid w:val="007C47AA"/>
    <w:rsid w:val="007C5604"/>
    <w:rsid w:val="007C5D5A"/>
    <w:rsid w:val="007C607F"/>
    <w:rsid w:val="007C78E0"/>
    <w:rsid w:val="007C79DD"/>
    <w:rsid w:val="007C7C12"/>
    <w:rsid w:val="007C7E64"/>
    <w:rsid w:val="007D066B"/>
    <w:rsid w:val="007D112B"/>
    <w:rsid w:val="007D1A97"/>
    <w:rsid w:val="007D2CD6"/>
    <w:rsid w:val="007D3063"/>
    <w:rsid w:val="007D3CEB"/>
    <w:rsid w:val="007D4582"/>
    <w:rsid w:val="007D4D6C"/>
    <w:rsid w:val="007D5244"/>
    <w:rsid w:val="007D6318"/>
    <w:rsid w:val="007D63D0"/>
    <w:rsid w:val="007D72D6"/>
    <w:rsid w:val="007D7CF4"/>
    <w:rsid w:val="007E0702"/>
    <w:rsid w:val="007E5440"/>
    <w:rsid w:val="007E5E58"/>
    <w:rsid w:val="007E7683"/>
    <w:rsid w:val="007F0A4A"/>
    <w:rsid w:val="007F0BFF"/>
    <w:rsid w:val="007F0C84"/>
    <w:rsid w:val="007F0EEC"/>
    <w:rsid w:val="007F2AE6"/>
    <w:rsid w:val="007F44C6"/>
    <w:rsid w:val="007F49FA"/>
    <w:rsid w:val="007F54C4"/>
    <w:rsid w:val="007F6598"/>
    <w:rsid w:val="007F6B8C"/>
    <w:rsid w:val="007F6E9A"/>
    <w:rsid w:val="00800677"/>
    <w:rsid w:val="0080128B"/>
    <w:rsid w:val="00802E98"/>
    <w:rsid w:val="0080342D"/>
    <w:rsid w:val="008044D4"/>
    <w:rsid w:val="00804D83"/>
    <w:rsid w:val="00810AB4"/>
    <w:rsid w:val="008113C5"/>
    <w:rsid w:val="00813554"/>
    <w:rsid w:val="008145AD"/>
    <w:rsid w:val="00817B56"/>
    <w:rsid w:val="00820510"/>
    <w:rsid w:val="00821A88"/>
    <w:rsid w:val="008230BA"/>
    <w:rsid w:val="0082495D"/>
    <w:rsid w:val="00824EF9"/>
    <w:rsid w:val="00826658"/>
    <w:rsid w:val="00831155"/>
    <w:rsid w:val="00831AC3"/>
    <w:rsid w:val="008343AF"/>
    <w:rsid w:val="00835977"/>
    <w:rsid w:val="00836788"/>
    <w:rsid w:val="008367DD"/>
    <w:rsid w:val="00836FAF"/>
    <w:rsid w:val="00837181"/>
    <w:rsid w:val="008403E2"/>
    <w:rsid w:val="00840829"/>
    <w:rsid w:val="008408FF"/>
    <w:rsid w:val="00840AF4"/>
    <w:rsid w:val="0084237F"/>
    <w:rsid w:val="008425D9"/>
    <w:rsid w:val="00843D54"/>
    <w:rsid w:val="0084410F"/>
    <w:rsid w:val="00844A58"/>
    <w:rsid w:val="00845664"/>
    <w:rsid w:val="008456A4"/>
    <w:rsid w:val="0084641D"/>
    <w:rsid w:val="00846ACD"/>
    <w:rsid w:val="00851118"/>
    <w:rsid w:val="0085170D"/>
    <w:rsid w:val="00851F3F"/>
    <w:rsid w:val="00856167"/>
    <w:rsid w:val="00856902"/>
    <w:rsid w:val="00856EDC"/>
    <w:rsid w:val="008623B5"/>
    <w:rsid w:val="0086640E"/>
    <w:rsid w:val="00866E7B"/>
    <w:rsid w:val="00867495"/>
    <w:rsid w:val="008709C5"/>
    <w:rsid w:val="00870ABA"/>
    <w:rsid w:val="008710E1"/>
    <w:rsid w:val="008713C5"/>
    <w:rsid w:val="008716E5"/>
    <w:rsid w:val="00872CB3"/>
    <w:rsid w:val="00872F94"/>
    <w:rsid w:val="00873D58"/>
    <w:rsid w:val="00880D9E"/>
    <w:rsid w:val="008811CA"/>
    <w:rsid w:val="00881CA9"/>
    <w:rsid w:val="008828A5"/>
    <w:rsid w:val="00883628"/>
    <w:rsid w:val="00885377"/>
    <w:rsid w:val="00885544"/>
    <w:rsid w:val="00885FE5"/>
    <w:rsid w:val="0088634E"/>
    <w:rsid w:val="00886ACC"/>
    <w:rsid w:val="00890EED"/>
    <w:rsid w:val="0089149A"/>
    <w:rsid w:val="00893AB8"/>
    <w:rsid w:val="008940EF"/>
    <w:rsid w:val="0089543B"/>
    <w:rsid w:val="008A04C8"/>
    <w:rsid w:val="008A10D4"/>
    <w:rsid w:val="008A1B2B"/>
    <w:rsid w:val="008A3622"/>
    <w:rsid w:val="008A6006"/>
    <w:rsid w:val="008A6913"/>
    <w:rsid w:val="008B08FB"/>
    <w:rsid w:val="008B0A4C"/>
    <w:rsid w:val="008B27C6"/>
    <w:rsid w:val="008B3A57"/>
    <w:rsid w:val="008B61EF"/>
    <w:rsid w:val="008B70F3"/>
    <w:rsid w:val="008B71C4"/>
    <w:rsid w:val="008B76DF"/>
    <w:rsid w:val="008C10F4"/>
    <w:rsid w:val="008C2788"/>
    <w:rsid w:val="008C36ED"/>
    <w:rsid w:val="008C65F7"/>
    <w:rsid w:val="008C7315"/>
    <w:rsid w:val="008C7430"/>
    <w:rsid w:val="008C756E"/>
    <w:rsid w:val="008C7E79"/>
    <w:rsid w:val="008D2CFF"/>
    <w:rsid w:val="008D43D1"/>
    <w:rsid w:val="008D7AE5"/>
    <w:rsid w:val="008E0DE3"/>
    <w:rsid w:val="008E1FC9"/>
    <w:rsid w:val="008E29E7"/>
    <w:rsid w:val="008E3476"/>
    <w:rsid w:val="008E4767"/>
    <w:rsid w:val="008E6AE3"/>
    <w:rsid w:val="008E76C2"/>
    <w:rsid w:val="008E7A8C"/>
    <w:rsid w:val="008F3D0B"/>
    <w:rsid w:val="008F559B"/>
    <w:rsid w:val="008F62F6"/>
    <w:rsid w:val="008F657F"/>
    <w:rsid w:val="00901138"/>
    <w:rsid w:val="00902B72"/>
    <w:rsid w:val="00903285"/>
    <w:rsid w:val="00903D6A"/>
    <w:rsid w:val="0090435C"/>
    <w:rsid w:val="00906F40"/>
    <w:rsid w:val="0090731E"/>
    <w:rsid w:val="00910929"/>
    <w:rsid w:val="009139F3"/>
    <w:rsid w:val="00914DDB"/>
    <w:rsid w:val="00914F4A"/>
    <w:rsid w:val="00915B1C"/>
    <w:rsid w:val="00916B2E"/>
    <w:rsid w:val="0091749F"/>
    <w:rsid w:val="009174F3"/>
    <w:rsid w:val="0091797D"/>
    <w:rsid w:val="00917E60"/>
    <w:rsid w:val="009232E6"/>
    <w:rsid w:val="00923CBA"/>
    <w:rsid w:val="009249A1"/>
    <w:rsid w:val="00926703"/>
    <w:rsid w:val="00927691"/>
    <w:rsid w:val="00927A5F"/>
    <w:rsid w:val="00932F72"/>
    <w:rsid w:val="00935B63"/>
    <w:rsid w:val="00936F15"/>
    <w:rsid w:val="0094078F"/>
    <w:rsid w:val="00940FA3"/>
    <w:rsid w:val="00941FB0"/>
    <w:rsid w:val="009426D4"/>
    <w:rsid w:val="00943A51"/>
    <w:rsid w:val="009469EE"/>
    <w:rsid w:val="00947F25"/>
    <w:rsid w:val="00950159"/>
    <w:rsid w:val="00950DC0"/>
    <w:rsid w:val="00951327"/>
    <w:rsid w:val="009514F6"/>
    <w:rsid w:val="009522A1"/>
    <w:rsid w:val="0095490B"/>
    <w:rsid w:val="00960A33"/>
    <w:rsid w:val="00962569"/>
    <w:rsid w:val="0096259F"/>
    <w:rsid w:val="0096772E"/>
    <w:rsid w:val="009701E7"/>
    <w:rsid w:val="00971914"/>
    <w:rsid w:val="00973E7D"/>
    <w:rsid w:val="00973F45"/>
    <w:rsid w:val="00974363"/>
    <w:rsid w:val="00975C27"/>
    <w:rsid w:val="0097707C"/>
    <w:rsid w:val="009776DE"/>
    <w:rsid w:val="00977895"/>
    <w:rsid w:val="00980203"/>
    <w:rsid w:val="0098065C"/>
    <w:rsid w:val="00981898"/>
    <w:rsid w:val="00981F78"/>
    <w:rsid w:val="009836C3"/>
    <w:rsid w:val="009851A5"/>
    <w:rsid w:val="00985B6F"/>
    <w:rsid w:val="00987109"/>
    <w:rsid w:val="009874C6"/>
    <w:rsid w:val="0099002D"/>
    <w:rsid w:val="009901ED"/>
    <w:rsid w:val="009936D1"/>
    <w:rsid w:val="0099577C"/>
    <w:rsid w:val="0099582B"/>
    <w:rsid w:val="0099607A"/>
    <w:rsid w:val="009A3791"/>
    <w:rsid w:val="009A3A07"/>
    <w:rsid w:val="009B2513"/>
    <w:rsid w:val="009B2601"/>
    <w:rsid w:val="009B4240"/>
    <w:rsid w:val="009B4E9E"/>
    <w:rsid w:val="009C0397"/>
    <w:rsid w:val="009C0F6E"/>
    <w:rsid w:val="009C1690"/>
    <w:rsid w:val="009C2813"/>
    <w:rsid w:val="009C3D38"/>
    <w:rsid w:val="009C3EBB"/>
    <w:rsid w:val="009C5102"/>
    <w:rsid w:val="009C6881"/>
    <w:rsid w:val="009C7759"/>
    <w:rsid w:val="009D043D"/>
    <w:rsid w:val="009D07C8"/>
    <w:rsid w:val="009D6C71"/>
    <w:rsid w:val="009D76A3"/>
    <w:rsid w:val="009E0631"/>
    <w:rsid w:val="009E1290"/>
    <w:rsid w:val="009E16D0"/>
    <w:rsid w:val="009E365A"/>
    <w:rsid w:val="009E38FD"/>
    <w:rsid w:val="009E43A8"/>
    <w:rsid w:val="009E5C24"/>
    <w:rsid w:val="009E5CB7"/>
    <w:rsid w:val="009E6AEA"/>
    <w:rsid w:val="009E6C78"/>
    <w:rsid w:val="009E722C"/>
    <w:rsid w:val="009F0796"/>
    <w:rsid w:val="009F13D6"/>
    <w:rsid w:val="009F2FDB"/>
    <w:rsid w:val="009F3A49"/>
    <w:rsid w:val="009F40F3"/>
    <w:rsid w:val="009F4C6B"/>
    <w:rsid w:val="009F555F"/>
    <w:rsid w:val="009F5685"/>
    <w:rsid w:val="009F681A"/>
    <w:rsid w:val="009F7134"/>
    <w:rsid w:val="009F78A8"/>
    <w:rsid w:val="009F7EE0"/>
    <w:rsid w:val="00A01328"/>
    <w:rsid w:val="00A02AD6"/>
    <w:rsid w:val="00A02CA8"/>
    <w:rsid w:val="00A07096"/>
    <w:rsid w:val="00A07318"/>
    <w:rsid w:val="00A07FE3"/>
    <w:rsid w:val="00A11370"/>
    <w:rsid w:val="00A11C14"/>
    <w:rsid w:val="00A1350C"/>
    <w:rsid w:val="00A13909"/>
    <w:rsid w:val="00A14018"/>
    <w:rsid w:val="00A224CE"/>
    <w:rsid w:val="00A22522"/>
    <w:rsid w:val="00A23D71"/>
    <w:rsid w:val="00A24AFD"/>
    <w:rsid w:val="00A24F5C"/>
    <w:rsid w:val="00A31CD1"/>
    <w:rsid w:val="00A32F96"/>
    <w:rsid w:val="00A33A00"/>
    <w:rsid w:val="00A33EAF"/>
    <w:rsid w:val="00A34C04"/>
    <w:rsid w:val="00A36571"/>
    <w:rsid w:val="00A40871"/>
    <w:rsid w:val="00A412AB"/>
    <w:rsid w:val="00A4151F"/>
    <w:rsid w:val="00A4193E"/>
    <w:rsid w:val="00A41E50"/>
    <w:rsid w:val="00A42FF2"/>
    <w:rsid w:val="00A440E0"/>
    <w:rsid w:val="00A442EF"/>
    <w:rsid w:val="00A45B97"/>
    <w:rsid w:val="00A5060B"/>
    <w:rsid w:val="00A51ACB"/>
    <w:rsid w:val="00A51D1A"/>
    <w:rsid w:val="00A5405A"/>
    <w:rsid w:val="00A5418D"/>
    <w:rsid w:val="00A5474E"/>
    <w:rsid w:val="00A556C8"/>
    <w:rsid w:val="00A56CB2"/>
    <w:rsid w:val="00A61D93"/>
    <w:rsid w:val="00A640EB"/>
    <w:rsid w:val="00A64234"/>
    <w:rsid w:val="00A6453D"/>
    <w:rsid w:val="00A70ADF"/>
    <w:rsid w:val="00A71466"/>
    <w:rsid w:val="00A71E75"/>
    <w:rsid w:val="00A72F31"/>
    <w:rsid w:val="00A74B5E"/>
    <w:rsid w:val="00A75CC9"/>
    <w:rsid w:val="00A75D41"/>
    <w:rsid w:val="00A75E4A"/>
    <w:rsid w:val="00A7624B"/>
    <w:rsid w:val="00A76642"/>
    <w:rsid w:val="00A77131"/>
    <w:rsid w:val="00A80208"/>
    <w:rsid w:val="00A81BED"/>
    <w:rsid w:val="00A81EC4"/>
    <w:rsid w:val="00A83EBF"/>
    <w:rsid w:val="00A85487"/>
    <w:rsid w:val="00A860AD"/>
    <w:rsid w:val="00A86574"/>
    <w:rsid w:val="00A86658"/>
    <w:rsid w:val="00A91670"/>
    <w:rsid w:val="00A91B91"/>
    <w:rsid w:val="00A93940"/>
    <w:rsid w:val="00A941C3"/>
    <w:rsid w:val="00A9626A"/>
    <w:rsid w:val="00A967FD"/>
    <w:rsid w:val="00A97163"/>
    <w:rsid w:val="00AA2DE5"/>
    <w:rsid w:val="00AA45C8"/>
    <w:rsid w:val="00AA5AA4"/>
    <w:rsid w:val="00AA6D75"/>
    <w:rsid w:val="00AA6DC6"/>
    <w:rsid w:val="00AA7320"/>
    <w:rsid w:val="00AA75A3"/>
    <w:rsid w:val="00AB059A"/>
    <w:rsid w:val="00AB156C"/>
    <w:rsid w:val="00AB1F58"/>
    <w:rsid w:val="00AB1FF5"/>
    <w:rsid w:val="00AB3936"/>
    <w:rsid w:val="00AB4141"/>
    <w:rsid w:val="00AB61E8"/>
    <w:rsid w:val="00AB6814"/>
    <w:rsid w:val="00AC0296"/>
    <w:rsid w:val="00AC04BA"/>
    <w:rsid w:val="00AC0E39"/>
    <w:rsid w:val="00AC19A1"/>
    <w:rsid w:val="00AC4920"/>
    <w:rsid w:val="00AD2B6E"/>
    <w:rsid w:val="00AD3082"/>
    <w:rsid w:val="00AD32B4"/>
    <w:rsid w:val="00AD3ACF"/>
    <w:rsid w:val="00AD4AD0"/>
    <w:rsid w:val="00AD4C96"/>
    <w:rsid w:val="00AD4CF3"/>
    <w:rsid w:val="00AD5436"/>
    <w:rsid w:val="00AD56C6"/>
    <w:rsid w:val="00AD5983"/>
    <w:rsid w:val="00AD60CD"/>
    <w:rsid w:val="00AD62A8"/>
    <w:rsid w:val="00AD6C8C"/>
    <w:rsid w:val="00AE0388"/>
    <w:rsid w:val="00AE091D"/>
    <w:rsid w:val="00AE21D6"/>
    <w:rsid w:val="00AE3B60"/>
    <w:rsid w:val="00AE53A1"/>
    <w:rsid w:val="00AE590E"/>
    <w:rsid w:val="00AE5BA9"/>
    <w:rsid w:val="00AF02D0"/>
    <w:rsid w:val="00AF2484"/>
    <w:rsid w:val="00AF2F23"/>
    <w:rsid w:val="00AF5395"/>
    <w:rsid w:val="00AF63E7"/>
    <w:rsid w:val="00AF6E17"/>
    <w:rsid w:val="00AF7B68"/>
    <w:rsid w:val="00B0165D"/>
    <w:rsid w:val="00B01B60"/>
    <w:rsid w:val="00B031F3"/>
    <w:rsid w:val="00B04D64"/>
    <w:rsid w:val="00B052A4"/>
    <w:rsid w:val="00B0596B"/>
    <w:rsid w:val="00B115A4"/>
    <w:rsid w:val="00B11685"/>
    <w:rsid w:val="00B125DE"/>
    <w:rsid w:val="00B134B4"/>
    <w:rsid w:val="00B13FDD"/>
    <w:rsid w:val="00B14BF3"/>
    <w:rsid w:val="00B1508F"/>
    <w:rsid w:val="00B204A8"/>
    <w:rsid w:val="00B21F97"/>
    <w:rsid w:val="00B22EB2"/>
    <w:rsid w:val="00B2335B"/>
    <w:rsid w:val="00B24605"/>
    <w:rsid w:val="00B265D0"/>
    <w:rsid w:val="00B27442"/>
    <w:rsid w:val="00B27F6A"/>
    <w:rsid w:val="00B30D5B"/>
    <w:rsid w:val="00B31167"/>
    <w:rsid w:val="00B329D8"/>
    <w:rsid w:val="00B32BB9"/>
    <w:rsid w:val="00B33AE1"/>
    <w:rsid w:val="00B37C38"/>
    <w:rsid w:val="00B37F9C"/>
    <w:rsid w:val="00B419E5"/>
    <w:rsid w:val="00B41DA5"/>
    <w:rsid w:val="00B4288C"/>
    <w:rsid w:val="00B43262"/>
    <w:rsid w:val="00B44100"/>
    <w:rsid w:val="00B46CBA"/>
    <w:rsid w:val="00B46F94"/>
    <w:rsid w:val="00B474DF"/>
    <w:rsid w:val="00B50C5B"/>
    <w:rsid w:val="00B50CA4"/>
    <w:rsid w:val="00B52446"/>
    <w:rsid w:val="00B525EC"/>
    <w:rsid w:val="00B54973"/>
    <w:rsid w:val="00B54E35"/>
    <w:rsid w:val="00B576BE"/>
    <w:rsid w:val="00B6003C"/>
    <w:rsid w:val="00B61F03"/>
    <w:rsid w:val="00B6246D"/>
    <w:rsid w:val="00B626E4"/>
    <w:rsid w:val="00B64DFA"/>
    <w:rsid w:val="00B66B62"/>
    <w:rsid w:val="00B66C6D"/>
    <w:rsid w:val="00B675D2"/>
    <w:rsid w:val="00B72F4A"/>
    <w:rsid w:val="00B82869"/>
    <w:rsid w:val="00B83C27"/>
    <w:rsid w:val="00B83DD0"/>
    <w:rsid w:val="00B84BC3"/>
    <w:rsid w:val="00B84BDD"/>
    <w:rsid w:val="00B900BF"/>
    <w:rsid w:val="00B911CF"/>
    <w:rsid w:val="00B91274"/>
    <w:rsid w:val="00B91E1E"/>
    <w:rsid w:val="00B92812"/>
    <w:rsid w:val="00B92873"/>
    <w:rsid w:val="00B92B82"/>
    <w:rsid w:val="00B97865"/>
    <w:rsid w:val="00BA3A6D"/>
    <w:rsid w:val="00BA3BBB"/>
    <w:rsid w:val="00BA5F0B"/>
    <w:rsid w:val="00BA6B4F"/>
    <w:rsid w:val="00BB00D2"/>
    <w:rsid w:val="00BB1E60"/>
    <w:rsid w:val="00BB2A8B"/>
    <w:rsid w:val="00BB382A"/>
    <w:rsid w:val="00BB40D8"/>
    <w:rsid w:val="00BB4121"/>
    <w:rsid w:val="00BB45A1"/>
    <w:rsid w:val="00BB7686"/>
    <w:rsid w:val="00BB7779"/>
    <w:rsid w:val="00BC23F9"/>
    <w:rsid w:val="00BC2976"/>
    <w:rsid w:val="00BC3421"/>
    <w:rsid w:val="00BC732C"/>
    <w:rsid w:val="00BC7372"/>
    <w:rsid w:val="00BC7501"/>
    <w:rsid w:val="00BD0C8B"/>
    <w:rsid w:val="00BD1A88"/>
    <w:rsid w:val="00BD2577"/>
    <w:rsid w:val="00BD25CE"/>
    <w:rsid w:val="00BD3F6B"/>
    <w:rsid w:val="00BD5331"/>
    <w:rsid w:val="00BD585A"/>
    <w:rsid w:val="00BD6E73"/>
    <w:rsid w:val="00BE0BB7"/>
    <w:rsid w:val="00BE2580"/>
    <w:rsid w:val="00BE266D"/>
    <w:rsid w:val="00BE3938"/>
    <w:rsid w:val="00BE4735"/>
    <w:rsid w:val="00BE4C11"/>
    <w:rsid w:val="00BE6584"/>
    <w:rsid w:val="00BE71C0"/>
    <w:rsid w:val="00BE7623"/>
    <w:rsid w:val="00BE7F3B"/>
    <w:rsid w:val="00BF0CB0"/>
    <w:rsid w:val="00BF1463"/>
    <w:rsid w:val="00BF2420"/>
    <w:rsid w:val="00BF610C"/>
    <w:rsid w:val="00BF623C"/>
    <w:rsid w:val="00C00568"/>
    <w:rsid w:val="00C0060B"/>
    <w:rsid w:val="00C0277D"/>
    <w:rsid w:val="00C0488A"/>
    <w:rsid w:val="00C053A1"/>
    <w:rsid w:val="00C126A5"/>
    <w:rsid w:val="00C12FFE"/>
    <w:rsid w:val="00C16198"/>
    <w:rsid w:val="00C17E89"/>
    <w:rsid w:val="00C2083D"/>
    <w:rsid w:val="00C22723"/>
    <w:rsid w:val="00C24624"/>
    <w:rsid w:val="00C24A53"/>
    <w:rsid w:val="00C24C12"/>
    <w:rsid w:val="00C252CC"/>
    <w:rsid w:val="00C25BBD"/>
    <w:rsid w:val="00C26113"/>
    <w:rsid w:val="00C30385"/>
    <w:rsid w:val="00C317AE"/>
    <w:rsid w:val="00C32C64"/>
    <w:rsid w:val="00C34A05"/>
    <w:rsid w:val="00C4032F"/>
    <w:rsid w:val="00C41FD7"/>
    <w:rsid w:val="00C4215C"/>
    <w:rsid w:val="00C44047"/>
    <w:rsid w:val="00C45155"/>
    <w:rsid w:val="00C45FB6"/>
    <w:rsid w:val="00C46EB2"/>
    <w:rsid w:val="00C5043A"/>
    <w:rsid w:val="00C50AC2"/>
    <w:rsid w:val="00C51389"/>
    <w:rsid w:val="00C52475"/>
    <w:rsid w:val="00C5498F"/>
    <w:rsid w:val="00C55235"/>
    <w:rsid w:val="00C605A7"/>
    <w:rsid w:val="00C619FF"/>
    <w:rsid w:val="00C64CD0"/>
    <w:rsid w:val="00C656A4"/>
    <w:rsid w:val="00C65AC2"/>
    <w:rsid w:val="00C6684F"/>
    <w:rsid w:val="00C673F1"/>
    <w:rsid w:val="00C70E70"/>
    <w:rsid w:val="00C718F8"/>
    <w:rsid w:val="00C71B26"/>
    <w:rsid w:val="00C72091"/>
    <w:rsid w:val="00C72329"/>
    <w:rsid w:val="00C74386"/>
    <w:rsid w:val="00C74844"/>
    <w:rsid w:val="00C749B2"/>
    <w:rsid w:val="00C74FC1"/>
    <w:rsid w:val="00C75F8D"/>
    <w:rsid w:val="00C769B2"/>
    <w:rsid w:val="00C76D0E"/>
    <w:rsid w:val="00C77097"/>
    <w:rsid w:val="00C77380"/>
    <w:rsid w:val="00C80282"/>
    <w:rsid w:val="00C81C0B"/>
    <w:rsid w:val="00C87A77"/>
    <w:rsid w:val="00C87CB4"/>
    <w:rsid w:val="00C92616"/>
    <w:rsid w:val="00C927C9"/>
    <w:rsid w:val="00C9584C"/>
    <w:rsid w:val="00C97736"/>
    <w:rsid w:val="00CA210A"/>
    <w:rsid w:val="00CA2563"/>
    <w:rsid w:val="00CA345A"/>
    <w:rsid w:val="00CA753F"/>
    <w:rsid w:val="00CB12C5"/>
    <w:rsid w:val="00CB1E82"/>
    <w:rsid w:val="00CB4BA8"/>
    <w:rsid w:val="00CB52D7"/>
    <w:rsid w:val="00CB6446"/>
    <w:rsid w:val="00CB6ECF"/>
    <w:rsid w:val="00CC0F9C"/>
    <w:rsid w:val="00CC148B"/>
    <w:rsid w:val="00CC1857"/>
    <w:rsid w:val="00CC3A44"/>
    <w:rsid w:val="00CC5798"/>
    <w:rsid w:val="00CC5F9D"/>
    <w:rsid w:val="00CC6732"/>
    <w:rsid w:val="00CD0FCC"/>
    <w:rsid w:val="00CD146A"/>
    <w:rsid w:val="00CD6A9D"/>
    <w:rsid w:val="00CE0164"/>
    <w:rsid w:val="00CE26B8"/>
    <w:rsid w:val="00CE3C96"/>
    <w:rsid w:val="00CE450B"/>
    <w:rsid w:val="00CE51A8"/>
    <w:rsid w:val="00CE7BE3"/>
    <w:rsid w:val="00CE7F4B"/>
    <w:rsid w:val="00CF2169"/>
    <w:rsid w:val="00CF369B"/>
    <w:rsid w:val="00CF66F1"/>
    <w:rsid w:val="00CF6DA6"/>
    <w:rsid w:val="00CF797E"/>
    <w:rsid w:val="00D00E28"/>
    <w:rsid w:val="00D022E8"/>
    <w:rsid w:val="00D0264D"/>
    <w:rsid w:val="00D0269E"/>
    <w:rsid w:val="00D02BD5"/>
    <w:rsid w:val="00D03A26"/>
    <w:rsid w:val="00D05D6C"/>
    <w:rsid w:val="00D104A6"/>
    <w:rsid w:val="00D11538"/>
    <w:rsid w:val="00D14DE1"/>
    <w:rsid w:val="00D14FCF"/>
    <w:rsid w:val="00D15810"/>
    <w:rsid w:val="00D16D4E"/>
    <w:rsid w:val="00D16FE3"/>
    <w:rsid w:val="00D2027E"/>
    <w:rsid w:val="00D20363"/>
    <w:rsid w:val="00D20DBF"/>
    <w:rsid w:val="00D21DAE"/>
    <w:rsid w:val="00D2583A"/>
    <w:rsid w:val="00D27F41"/>
    <w:rsid w:val="00D30A50"/>
    <w:rsid w:val="00D32321"/>
    <w:rsid w:val="00D327E1"/>
    <w:rsid w:val="00D355C0"/>
    <w:rsid w:val="00D36441"/>
    <w:rsid w:val="00D37B4B"/>
    <w:rsid w:val="00D4064E"/>
    <w:rsid w:val="00D41C62"/>
    <w:rsid w:val="00D41FA8"/>
    <w:rsid w:val="00D4341F"/>
    <w:rsid w:val="00D4444F"/>
    <w:rsid w:val="00D44E9B"/>
    <w:rsid w:val="00D47AEB"/>
    <w:rsid w:val="00D50AB2"/>
    <w:rsid w:val="00D50D61"/>
    <w:rsid w:val="00D50DB9"/>
    <w:rsid w:val="00D51302"/>
    <w:rsid w:val="00D519E4"/>
    <w:rsid w:val="00D52C43"/>
    <w:rsid w:val="00D5590C"/>
    <w:rsid w:val="00D564F1"/>
    <w:rsid w:val="00D57AEB"/>
    <w:rsid w:val="00D57F09"/>
    <w:rsid w:val="00D623B5"/>
    <w:rsid w:val="00D63C2E"/>
    <w:rsid w:val="00D6507F"/>
    <w:rsid w:val="00D6776E"/>
    <w:rsid w:val="00D67BB6"/>
    <w:rsid w:val="00D730BC"/>
    <w:rsid w:val="00D73912"/>
    <w:rsid w:val="00D76B21"/>
    <w:rsid w:val="00D77357"/>
    <w:rsid w:val="00D802C0"/>
    <w:rsid w:val="00D820C1"/>
    <w:rsid w:val="00D84589"/>
    <w:rsid w:val="00D85226"/>
    <w:rsid w:val="00D87B94"/>
    <w:rsid w:val="00D9108C"/>
    <w:rsid w:val="00D92D49"/>
    <w:rsid w:val="00D92EC1"/>
    <w:rsid w:val="00D936A4"/>
    <w:rsid w:val="00D95BBA"/>
    <w:rsid w:val="00D964E9"/>
    <w:rsid w:val="00D967D4"/>
    <w:rsid w:val="00D96DEA"/>
    <w:rsid w:val="00D971C6"/>
    <w:rsid w:val="00D97F08"/>
    <w:rsid w:val="00DA4E41"/>
    <w:rsid w:val="00DA7397"/>
    <w:rsid w:val="00DA7643"/>
    <w:rsid w:val="00DB0344"/>
    <w:rsid w:val="00DB117A"/>
    <w:rsid w:val="00DB21A3"/>
    <w:rsid w:val="00DB3DC0"/>
    <w:rsid w:val="00DB43CA"/>
    <w:rsid w:val="00DB5173"/>
    <w:rsid w:val="00DB60FA"/>
    <w:rsid w:val="00DB6956"/>
    <w:rsid w:val="00DB7873"/>
    <w:rsid w:val="00DC187B"/>
    <w:rsid w:val="00DC45B6"/>
    <w:rsid w:val="00DC794B"/>
    <w:rsid w:val="00DD1A43"/>
    <w:rsid w:val="00DD1E24"/>
    <w:rsid w:val="00DD73C2"/>
    <w:rsid w:val="00DE05F2"/>
    <w:rsid w:val="00DE2616"/>
    <w:rsid w:val="00DE319B"/>
    <w:rsid w:val="00DE45AF"/>
    <w:rsid w:val="00DE5BE9"/>
    <w:rsid w:val="00DF34FE"/>
    <w:rsid w:val="00DF56AA"/>
    <w:rsid w:val="00DF56AF"/>
    <w:rsid w:val="00DF632D"/>
    <w:rsid w:val="00DF6B99"/>
    <w:rsid w:val="00DF6F30"/>
    <w:rsid w:val="00DF78E7"/>
    <w:rsid w:val="00DF7C71"/>
    <w:rsid w:val="00E0283D"/>
    <w:rsid w:val="00E03495"/>
    <w:rsid w:val="00E03B9C"/>
    <w:rsid w:val="00E072BE"/>
    <w:rsid w:val="00E079B6"/>
    <w:rsid w:val="00E110E0"/>
    <w:rsid w:val="00E12023"/>
    <w:rsid w:val="00E124FB"/>
    <w:rsid w:val="00E15371"/>
    <w:rsid w:val="00E16EAD"/>
    <w:rsid w:val="00E17419"/>
    <w:rsid w:val="00E176EE"/>
    <w:rsid w:val="00E179D3"/>
    <w:rsid w:val="00E21E7F"/>
    <w:rsid w:val="00E24104"/>
    <w:rsid w:val="00E25C97"/>
    <w:rsid w:val="00E26CEB"/>
    <w:rsid w:val="00E2702C"/>
    <w:rsid w:val="00E302D0"/>
    <w:rsid w:val="00E304F1"/>
    <w:rsid w:val="00E30E5D"/>
    <w:rsid w:val="00E35707"/>
    <w:rsid w:val="00E357DF"/>
    <w:rsid w:val="00E3642D"/>
    <w:rsid w:val="00E365F8"/>
    <w:rsid w:val="00E36AA1"/>
    <w:rsid w:val="00E37254"/>
    <w:rsid w:val="00E40765"/>
    <w:rsid w:val="00E41ECB"/>
    <w:rsid w:val="00E446BE"/>
    <w:rsid w:val="00E51293"/>
    <w:rsid w:val="00E53530"/>
    <w:rsid w:val="00E54FDB"/>
    <w:rsid w:val="00E5617D"/>
    <w:rsid w:val="00E563D7"/>
    <w:rsid w:val="00E56E8C"/>
    <w:rsid w:val="00E57C5A"/>
    <w:rsid w:val="00E64B75"/>
    <w:rsid w:val="00E663F4"/>
    <w:rsid w:val="00E666F2"/>
    <w:rsid w:val="00E66DD4"/>
    <w:rsid w:val="00E70A24"/>
    <w:rsid w:val="00E7310E"/>
    <w:rsid w:val="00E748CC"/>
    <w:rsid w:val="00E75415"/>
    <w:rsid w:val="00E775B1"/>
    <w:rsid w:val="00E8152A"/>
    <w:rsid w:val="00E81B27"/>
    <w:rsid w:val="00E93305"/>
    <w:rsid w:val="00E93629"/>
    <w:rsid w:val="00E93B5C"/>
    <w:rsid w:val="00E94CEC"/>
    <w:rsid w:val="00E956EA"/>
    <w:rsid w:val="00E96908"/>
    <w:rsid w:val="00E97127"/>
    <w:rsid w:val="00EA014F"/>
    <w:rsid w:val="00EA04EF"/>
    <w:rsid w:val="00EA16FA"/>
    <w:rsid w:val="00EA6F19"/>
    <w:rsid w:val="00EA6FDD"/>
    <w:rsid w:val="00EA7EBD"/>
    <w:rsid w:val="00EB1F8B"/>
    <w:rsid w:val="00EB6B21"/>
    <w:rsid w:val="00EB7090"/>
    <w:rsid w:val="00EB7FBE"/>
    <w:rsid w:val="00EC1100"/>
    <w:rsid w:val="00EC1BBE"/>
    <w:rsid w:val="00EC236A"/>
    <w:rsid w:val="00EC2864"/>
    <w:rsid w:val="00EC5CD7"/>
    <w:rsid w:val="00ED147E"/>
    <w:rsid w:val="00ED55D7"/>
    <w:rsid w:val="00ED5ADD"/>
    <w:rsid w:val="00EE324D"/>
    <w:rsid w:val="00EE384D"/>
    <w:rsid w:val="00EE5FB3"/>
    <w:rsid w:val="00EE75B9"/>
    <w:rsid w:val="00EE7F79"/>
    <w:rsid w:val="00EF0CD5"/>
    <w:rsid w:val="00EF338A"/>
    <w:rsid w:val="00EF647A"/>
    <w:rsid w:val="00EF715A"/>
    <w:rsid w:val="00F01F34"/>
    <w:rsid w:val="00F0382A"/>
    <w:rsid w:val="00F06E14"/>
    <w:rsid w:val="00F1094C"/>
    <w:rsid w:val="00F145B2"/>
    <w:rsid w:val="00F14AAF"/>
    <w:rsid w:val="00F177BC"/>
    <w:rsid w:val="00F179D4"/>
    <w:rsid w:val="00F17DD0"/>
    <w:rsid w:val="00F219C3"/>
    <w:rsid w:val="00F23653"/>
    <w:rsid w:val="00F24B7A"/>
    <w:rsid w:val="00F2621B"/>
    <w:rsid w:val="00F26520"/>
    <w:rsid w:val="00F27082"/>
    <w:rsid w:val="00F27B30"/>
    <w:rsid w:val="00F27D3A"/>
    <w:rsid w:val="00F31FE9"/>
    <w:rsid w:val="00F33C56"/>
    <w:rsid w:val="00F347C7"/>
    <w:rsid w:val="00F34848"/>
    <w:rsid w:val="00F3502B"/>
    <w:rsid w:val="00F37373"/>
    <w:rsid w:val="00F40DFB"/>
    <w:rsid w:val="00F42405"/>
    <w:rsid w:val="00F42844"/>
    <w:rsid w:val="00F42D46"/>
    <w:rsid w:val="00F43C0B"/>
    <w:rsid w:val="00F4496C"/>
    <w:rsid w:val="00F44F3A"/>
    <w:rsid w:val="00F51F10"/>
    <w:rsid w:val="00F5233A"/>
    <w:rsid w:val="00F529A5"/>
    <w:rsid w:val="00F54698"/>
    <w:rsid w:val="00F56C3D"/>
    <w:rsid w:val="00F572AD"/>
    <w:rsid w:val="00F60B69"/>
    <w:rsid w:val="00F60F00"/>
    <w:rsid w:val="00F614C0"/>
    <w:rsid w:val="00F677D1"/>
    <w:rsid w:val="00F71E34"/>
    <w:rsid w:val="00F72EB2"/>
    <w:rsid w:val="00F739FB"/>
    <w:rsid w:val="00F74DA3"/>
    <w:rsid w:val="00F76C5A"/>
    <w:rsid w:val="00F809CF"/>
    <w:rsid w:val="00F8297E"/>
    <w:rsid w:val="00F83848"/>
    <w:rsid w:val="00F83DE9"/>
    <w:rsid w:val="00F85C11"/>
    <w:rsid w:val="00F87618"/>
    <w:rsid w:val="00F94B97"/>
    <w:rsid w:val="00F968E5"/>
    <w:rsid w:val="00F9752F"/>
    <w:rsid w:val="00F975E9"/>
    <w:rsid w:val="00FA141F"/>
    <w:rsid w:val="00FA1949"/>
    <w:rsid w:val="00FA1B7D"/>
    <w:rsid w:val="00FA50B6"/>
    <w:rsid w:val="00FA5A0B"/>
    <w:rsid w:val="00FA61BE"/>
    <w:rsid w:val="00FB0449"/>
    <w:rsid w:val="00FB055B"/>
    <w:rsid w:val="00FB1593"/>
    <w:rsid w:val="00FB1C01"/>
    <w:rsid w:val="00FB5FFD"/>
    <w:rsid w:val="00FB76E6"/>
    <w:rsid w:val="00FC07B9"/>
    <w:rsid w:val="00FC0CC0"/>
    <w:rsid w:val="00FC4E21"/>
    <w:rsid w:val="00FC5108"/>
    <w:rsid w:val="00FC592D"/>
    <w:rsid w:val="00FC5F6D"/>
    <w:rsid w:val="00FC62D7"/>
    <w:rsid w:val="00FD0107"/>
    <w:rsid w:val="00FD09FC"/>
    <w:rsid w:val="00FD0FD0"/>
    <w:rsid w:val="00FD1B83"/>
    <w:rsid w:val="00FD2C2F"/>
    <w:rsid w:val="00FD3B31"/>
    <w:rsid w:val="00FD508B"/>
    <w:rsid w:val="00FD712E"/>
    <w:rsid w:val="00FE1823"/>
    <w:rsid w:val="00FE487A"/>
    <w:rsid w:val="00FE5072"/>
    <w:rsid w:val="00FE7A02"/>
    <w:rsid w:val="00FF0569"/>
    <w:rsid w:val="00FF12AD"/>
    <w:rsid w:val="00FF206E"/>
    <w:rsid w:val="00FF3C69"/>
    <w:rsid w:val="00FF4564"/>
    <w:rsid w:val="00FF6E0A"/>
    <w:rsid w:val="00FF78A4"/>
    <w:rsid w:val="02E679A0"/>
    <w:rsid w:val="6CCF1E7B"/>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7A9C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basedOn w:val="Normal"/>
    <w:semiHidden/>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styleId="UnresolvedMention">
    <w:name w:val="Unresolved Mention"/>
    <w:basedOn w:val="DefaultParagraphFont"/>
    <w:uiPriority w:val="99"/>
    <w:semiHidden/>
    <w:unhideWhenUsed/>
    <w:rsid w:val="00BC7501"/>
    <w:rPr>
      <w:color w:val="605E5C"/>
      <w:shd w:val="clear" w:color="auto" w:fill="E1DFDD"/>
    </w:rPr>
  </w:style>
  <w:style w:type="paragraph" w:styleId="ListParagraph">
    <w:name w:val="List Paragraph"/>
    <w:basedOn w:val="Normal"/>
    <w:uiPriority w:val="34"/>
    <w:qFormat/>
    <w:rsid w:val="007C47AA"/>
    <w:pPr>
      <w:ind w:left="720"/>
      <w:contextualSpacing/>
    </w:pPr>
  </w:style>
  <w:style w:type="character" w:customStyle="1" w:styleId="Heading2Char">
    <w:name w:val="Heading 2 Char"/>
    <w:basedOn w:val="DefaultParagraphFont"/>
    <w:link w:val="Heading2"/>
    <w:rsid w:val="00635984"/>
    <w:rPr>
      <w:rFonts w:ascii="Arial" w:hAnsi="Arial" w:cs="Arial"/>
      <w:b/>
      <w:bCs/>
      <w:iCs/>
      <w:sz w:val="28"/>
      <w:szCs w:val="28"/>
    </w:rPr>
  </w:style>
  <w:style w:type="paragraph" w:styleId="Revision">
    <w:name w:val="Revision"/>
    <w:hidden/>
    <w:semiHidden/>
    <w:rsid w:val="00364EB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6567">
      <w:bodyDiv w:val="1"/>
      <w:marLeft w:val="0"/>
      <w:marRight w:val="0"/>
      <w:marTop w:val="0"/>
      <w:marBottom w:val="0"/>
      <w:divBdr>
        <w:top w:val="none" w:sz="0" w:space="0" w:color="auto"/>
        <w:left w:val="none" w:sz="0" w:space="0" w:color="auto"/>
        <w:bottom w:val="none" w:sz="0" w:space="0" w:color="auto"/>
        <w:right w:val="none" w:sz="0" w:space="0" w:color="auto"/>
      </w:divBdr>
    </w:div>
    <w:div w:id="586814110">
      <w:bodyDiv w:val="1"/>
      <w:marLeft w:val="0"/>
      <w:marRight w:val="0"/>
      <w:marTop w:val="0"/>
      <w:marBottom w:val="0"/>
      <w:divBdr>
        <w:top w:val="none" w:sz="0" w:space="0" w:color="auto"/>
        <w:left w:val="none" w:sz="0" w:space="0" w:color="auto"/>
        <w:bottom w:val="none" w:sz="0" w:space="0" w:color="auto"/>
        <w:right w:val="none" w:sz="0" w:space="0" w:color="auto"/>
      </w:divBdr>
    </w:div>
    <w:div w:id="706568653">
      <w:bodyDiv w:val="1"/>
      <w:marLeft w:val="0"/>
      <w:marRight w:val="0"/>
      <w:marTop w:val="0"/>
      <w:marBottom w:val="0"/>
      <w:divBdr>
        <w:top w:val="none" w:sz="0" w:space="0" w:color="auto"/>
        <w:left w:val="none" w:sz="0" w:space="0" w:color="auto"/>
        <w:bottom w:val="none" w:sz="0" w:space="0" w:color="auto"/>
        <w:right w:val="none" w:sz="0" w:space="0" w:color="auto"/>
      </w:divBdr>
    </w:div>
    <w:div w:id="747575263">
      <w:bodyDiv w:val="1"/>
      <w:marLeft w:val="0"/>
      <w:marRight w:val="0"/>
      <w:marTop w:val="0"/>
      <w:marBottom w:val="0"/>
      <w:divBdr>
        <w:top w:val="none" w:sz="0" w:space="0" w:color="auto"/>
        <w:left w:val="none" w:sz="0" w:space="0" w:color="auto"/>
        <w:bottom w:val="none" w:sz="0" w:space="0" w:color="auto"/>
        <w:right w:val="none" w:sz="0" w:space="0" w:color="auto"/>
      </w:divBdr>
    </w:div>
    <w:div w:id="869148039">
      <w:bodyDiv w:val="1"/>
      <w:marLeft w:val="0"/>
      <w:marRight w:val="0"/>
      <w:marTop w:val="0"/>
      <w:marBottom w:val="0"/>
      <w:divBdr>
        <w:top w:val="none" w:sz="0" w:space="0" w:color="auto"/>
        <w:left w:val="none" w:sz="0" w:space="0" w:color="auto"/>
        <w:bottom w:val="none" w:sz="0" w:space="0" w:color="auto"/>
        <w:right w:val="none" w:sz="0" w:space="0" w:color="auto"/>
      </w:divBdr>
    </w:div>
    <w:div w:id="1253588947">
      <w:bodyDiv w:val="1"/>
      <w:marLeft w:val="0"/>
      <w:marRight w:val="0"/>
      <w:marTop w:val="0"/>
      <w:marBottom w:val="0"/>
      <w:divBdr>
        <w:top w:val="none" w:sz="0" w:space="0" w:color="auto"/>
        <w:left w:val="none" w:sz="0" w:space="0" w:color="auto"/>
        <w:bottom w:val="none" w:sz="0" w:space="0" w:color="auto"/>
        <w:right w:val="none" w:sz="0" w:space="0" w:color="auto"/>
      </w:divBdr>
    </w:div>
    <w:div w:id="1368263011">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4037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Details/F2017L01069" TargetMode="External"/><Relationship Id="rId39" Type="http://schemas.openxmlformats.org/officeDocument/2006/relationships/hyperlink" Target="https://www.acma.gov.au/theACMA/draft-spectrum-reallocation-recommendation-for-the-26-ghz-band"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s://www.acma.gov.au/Industry/Spectrum/Spectrum-planning/Current-APs-info-and-resources/rali-lm8---frequency-assignment-requirements-for-the-land-mobile-servce" TargetMode="External"/><Relationship Id="rId42" Type="http://schemas.openxmlformats.org/officeDocument/2006/relationships/hyperlink" Target="https://www.acma.gov.au/theACMA/About/Corporate/Accountability/privacy-and-consultations" TargetMode="External"/><Relationship Id="rId47"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legislation.gov.au/Details/F2016C00284" TargetMode="External"/><Relationship Id="rId33" Type="http://schemas.openxmlformats.org/officeDocument/2006/relationships/hyperlink" Target="https://www.legislation.gov.au/Details/F2017L01069" TargetMode="External"/><Relationship Id="rId38" Type="http://schemas.openxmlformats.org/officeDocument/2006/relationships/hyperlink" Target="https://www.legislation.gov.au/Details/F2019C00196" TargetMode="External"/><Relationship Id="rId46"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theacma/australian-radiofrequency-spectrum-plan-spectrum-planning-acma" TargetMode="External"/><Relationship Id="rId41" Type="http://schemas.openxmlformats.org/officeDocument/2006/relationships/hyperlink" Target="mailto:SSAL@acm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legislation.gov.au/Details/F2014L01790" TargetMode="External"/><Relationship Id="rId32" Type="http://schemas.openxmlformats.org/officeDocument/2006/relationships/hyperlink" Target="https://www.legislation.gov.au/Details/F2015L00831" TargetMode="External"/><Relationship Id="rId37" Type="http://schemas.openxmlformats.org/officeDocument/2006/relationships/hyperlink" Target="https://www.legislation.gov.au/Details/F2019C00167" TargetMode="External"/><Relationship Id="rId40" Type="http://schemas.openxmlformats.org/officeDocument/2006/relationships/hyperlink" Target="http://www.acma.gov.au/theACMA/Consultations/Consultations" TargetMode="Externa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legislation.gov.au/Details/F2014L01790" TargetMode="External"/><Relationship Id="rId36" Type="http://schemas.openxmlformats.org/officeDocument/2006/relationships/hyperlink" Target="https://www.legislation.gov.au/Details/F2018C00916" TargetMode="Externa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legislation.gov.au/Details/F2015L00210"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Details/C2018C00336" TargetMode="External"/><Relationship Id="rId30" Type="http://schemas.openxmlformats.org/officeDocument/2006/relationships/hyperlink" Target="https://www.legislation.gov.au/Details/F2016C00284" TargetMode="External"/><Relationship Id="rId35" Type="http://schemas.openxmlformats.org/officeDocument/2006/relationships/hyperlink" Target="https://www.acma.gov.au/theACMA/About/Making-payments/Apparatus-licence-fees/apparatus-licence-fees-acma" TargetMode="External"/><Relationship Id="rId43" Type="http://schemas.openxmlformats.org/officeDocument/2006/relationships/hyperlink" Target="http://www.acma.gov.au/privacypolicy" TargetMode="External"/><Relationship Id="rId48"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healthcareitnews.com/news/journey-5g" TargetMode="External"/><Relationship Id="rId3" Type="http://schemas.openxmlformats.org/officeDocument/2006/relationships/hyperlink" Target="http://www.rspg-spectrum.eu/rspg-opinions-main-deliverables/" TargetMode="External"/><Relationship Id="rId7" Type="http://schemas.openxmlformats.org/officeDocument/2006/relationships/hyperlink" Target="https://venturebeat.com/2019/04/10/inside-nokias-factory-of-the-future-robots-data-automation-5g-and-even-some-humans/" TargetMode="External"/><Relationship Id="rId2" Type="http://schemas.openxmlformats.org/officeDocument/2006/relationships/hyperlink" Target="https://www.acma.gov.au/theACMA/draft-five-year-spectrum-outlook-2019-23" TargetMode="External"/><Relationship Id="rId1" Type="http://schemas.openxmlformats.org/officeDocument/2006/relationships/hyperlink" Target="https://www.legislation.gov.au/Details/F2016L00375" TargetMode="External"/><Relationship Id="rId6" Type="http://schemas.openxmlformats.org/officeDocument/2006/relationships/hyperlink" Target="https://www.itnews.com.au/news/cows-given-5g-collars-that-talk-to-robotic-milking-system-523770" TargetMode="External"/><Relationship Id="rId5" Type="http://schemas.openxmlformats.org/officeDocument/2006/relationships/hyperlink" Target="https://www.coms-auth.hk/en/policies_regulations/cop_guidelines/telecomm/index_yr_all-ca_28-sb_all-p_1.html" TargetMode="External"/><Relationship Id="rId10" Type="http://schemas.openxmlformats.org/officeDocument/2006/relationships/hyperlink" Target="https://www.zdnet.com/article/spark-nz-tests-5g-autonomous-car/" TargetMode="External"/><Relationship Id="rId4" Type="http://schemas.openxmlformats.org/officeDocument/2006/relationships/hyperlink" Target="https://www.ofcom.org.uk/spectrum/spectrum-management/supporting-role-wireless-innovation-uk-industry" TargetMode="External"/><Relationship Id="rId9" Type="http://schemas.openxmlformats.org/officeDocument/2006/relationships/hyperlink" Target="https://www.nokia.com/blog/healthy-birth-5g-hospi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37D10-1B05-4623-A62D-3A9A4C2F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4815</Words>
  <Characters>27446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2019-06-13T02:43:00Z</dcterms:created>
  <dcterms:modified xsi:type="dcterms:W3CDTF">2019-06-26T23:26:00Z</dcterms:modified>
  <cp:category/>
</cp:coreProperties>
</file>