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231DD78" w14:textId="0A222E5D" w:rsidR="00F06E14" w:rsidRDefault="00AB40D2" w:rsidP="000C51F8">
      <w:pPr>
        <w:pStyle w:val="ACMAReportTitle"/>
      </w:pPr>
      <w:r>
        <w:t xml:space="preserve">Draft </w:t>
      </w:r>
      <w:r w:rsidR="001E638F">
        <w:t xml:space="preserve">spectrum </w:t>
      </w:r>
      <w:r>
        <w:t>reallocation recommendation for the</w:t>
      </w:r>
      <w:r w:rsidR="00BF3689">
        <w:t xml:space="preserve"> </w:t>
      </w:r>
      <w:r w:rsidR="005849C4">
        <w:t>26 GHz band</w:t>
      </w:r>
      <w:r w:rsidR="00F76CDA">
        <w:t xml:space="preserve"> in </w:t>
      </w:r>
      <w:r w:rsidR="008A3422">
        <w:t>c</w:t>
      </w:r>
      <w:r w:rsidR="00212E28">
        <w:t>ities and</w:t>
      </w:r>
      <w:r w:rsidR="00BF3689">
        <w:t xml:space="preserve"> </w:t>
      </w:r>
      <w:r w:rsidR="008A3422">
        <w:t>r</w:t>
      </w:r>
      <w:r w:rsidR="000C51F8">
        <w:t xml:space="preserve">egional centres </w:t>
      </w:r>
    </w:p>
    <w:p w14:paraId="2131533B" w14:textId="40F717BF" w:rsidR="00800426" w:rsidRPr="00436719" w:rsidRDefault="00800426" w:rsidP="000C51F8">
      <w:pPr>
        <w:pStyle w:val="ACMAReportTitle"/>
        <w:rPr>
          <w:b w:val="0"/>
        </w:rPr>
      </w:pPr>
      <w:r w:rsidRPr="00436719">
        <w:rPr>
          <w:b w:val="0"/>
        </w:rPr>
        <w:t xml:space="preserve">Consultation </w:t>
      </w:r>
      <w:r w:rsidR="00306D86">
        <w:rPr>
          <w:b w:val="0"/>
        </w:rPr>
        <w:t>p</w:t>
      </w:r>
      <w:r w:rsidRPr="00436719">
        <w:rPr>
          <w:b w:val="0"/>
        </w:rPr>
        <w:t>aper</w:t>
      </w:r>
    </w:p>
    <w:p w14:paraId="66434FB6" w14:textId="75D41A5F" w:rsidR="00E066E1" w:rsidRDefault="00F70E72" w:rsidP="00BB53BC">
      <w:pPr>
        <w:pStyle w:val="ReportDate"/>
      </w:pPr>
      <w:r>
        <w:t>May</w:t>
      </w:r>
      <w:r w:rsidR="00E066E1">
        <w:t xml:space="preserve"> 201</w:t>
      </w:r>
      <w:r>
        <w:t>9</w:t>
      </w:r>
    </w:p>
    <w:p w14:paraId="34F230FE" w14:textId="77777777" w:rsidR="00C97736" w:rsidRPr="000D76E0" w:rsidRDefault="00C97736" w:rsidP="0041071D">
      <w:pPr>
        <w:rPr>
          <w:rFonts w:cs="Arial"/>
        </w:rPr>
      </w:pPr>
    </w:p>
    <w:p w14:paraId="4A4E4A87" w14:textId="77777777" w:rsidR="00C97736" w:rsidRPr="000D76E0" w:rsidRDefault="00C97736" w:rsidP="0041071D">
      <w:pPr>
        <w:rPr>
          <w:rFonts w:cs="Arial"/>
        </w:rPr>
        <w:sectPr w:rsidR="00C97736" w:rsidRPr="000D76E0" w:rsidSect="004F556E">
          <w:headerReference w:type="default" r:id="rId8"/>
          <w:footerReference w:type="default" r:id="rId9"/>
          <w:headerReference w:type="first" r:id="rId10"/>
          <w:pgSz w:w="11906" w:h="16838" w:code="9"/>
          <w:pgMar w:top="3924" w:right="1797" w:bottom="1440" w:left="1134" w:header="709" w:footer="454" w:gutter="0"/>
          <w:cols w:space="708"/>
          <w:docGrid w:linePitch="360"/>
        </w:sectPr>
      </w:pPr>
    </w:p>
    <w:p w14:paraId="388DF71C" w14:textId="77777777" w:rsidR="0005011A" w:rsidRPr="00F44F3A" w:rsidRDefault="0005011A" w:rsidP="00FC07B9">
      <w:pPr>
        <w:pStyle w:val="ACMACorporateAddressHeader"/>
      </w:pPr>
      <w:r w:rsidRPr="00F44F3A">
        <w:lastRenderedPageBreak/>
        <w:t>Canberra</w:t>
      </w:r>
    </w:p>
    <w:p w14:paraId="394DAD63" w14:textId="77777777" w:rsidR="0005011A" w:rsidRPr="00FC07B9" w:rsidRDefault="0005011A" w:rsidP="00FC07B9">
      <w:pPr>
        <w:pStyle w:val="ACMACorporateAddresses"/>
      </w:pPr>
      <w:r w:rsidRPr="00FC07B9">
        <w:t xml:space="preserve">Red Building </w:t>
      </w:r>
      <w:r w:rsidRPr="00FC07B9">
        <w:br/>
        <w:t>Benjamin Offices</w:t>
      </w:r>
      <w:r w:rsidRPr="00FC07B9">
        <w:br/>
        <w:t xml:space="preserve">Chan Street </w:t>
      </w:r>
      <w:r w:rsidRPr="00FC07B9">
        <w:br/>
        <w:t>Belconnen ACT</w:t>
      </w:r>
    </w:p>
    <w:p w14:paraId="74017BFD" w14:textId="77777777" w:rsidR="0005011A" w:rsidRPr="00FC07B9" w:rsidRDefault="0005011A" w:rsidP="00FC07B9">
      <w:pPr>
        <w:pStyle w:val="ACMACorporateAddresses"/>
      </w:pPr>
      <w:r w:rsidRPr="00FC07B9">
        <w:t>PO Box 78</w:t>
      </w:r>
      <w:r w:rsidRPr="00FC07B9">
        <w:br/>
        <w:t>Belconnen ACT 2616</w:t>
      </w:r>
    </w:p>
    <w:p w14:paraId="77FE8E9F" w14:textId="77777777" w:rsidR="00FE1823" w:rsidRPr="00FC07B9" w:rsidRDefault="0005011A" w:rsidP="00FC07B9">
      <w:pPr>
        <w:pStyle w:val="ACMACorporateAddresses"/>
      </w:pPr>
      <w:r w:rsidRPr="00FC07B9">
        <w:t>T</w:t>
      </w:r>
      <w:r w:rsidR="00537604" w:rsidRPr="00FC07B9">
        <w:tab/>
      </w:r>
      <w:r w:rsidRPr="00FC07B9">
        <w:t>+61 2 6219 5555</w:t>
      </w:r>
      <w:r w:rsidRPr="00FC07B9">
        <w:br/>
        <w:t>F</w:t>
      </w:r>
      <w:r w:rsidR="00537604" w:rsidRPr="00FC07B9">
        <w:tab/>
      </w:r>
      <w:r w:rsidRPr="00FC07B9">
        <w:t>+61 2 6219 5353</w:t>
      </w:r>
    </w:p>
    <w:p w14:paraId="7BB25162" w14:textId="77777777" w:rsidR="0005011A" w:rsidRPr="00F44F3A" w:rsidRDefault="0005011A" w:rsidP="00FC07B9">
      <w:pPr>
        <w:pStyle w:val="ACMACorporateAddressHeader"/>
      </w:pPr>
      <w:r w:rsidRPr="00F44F3A">
        <w:t>Melbourne</w:t>
      </w:r>
    </w:p>
    <w:p w14:paraId="02E924E6" w14:textId="77777777" w:rsidR="0005011A" w:rsidRPr="00F44F3A" w:rsidRDefault="0005011A" w:rsidP="00FC07B9">
      <w:pPr>
        <w:pStyle w:val="ACMACorporateAddresses"/>
      </w:pPr>
      <w:r w:rsidRPr="00F44F3A">
        <w:t xml:space="preserve">Level 32 </w:t>
      </w:r>
      <w:r w:rsidRPr="00F44F3A">
        <w:br/>
        <w:t>Melbourne Central Tower</w:t>
      </w:r>
      <w:r w:rsidRPr="00F44F3A">
        <w:br/>
        <w:t xml:space="preserve">360 Elizabeth Street </w:t>
      </w:r>
      <w:r w:rsidR="008C10F4" w:rsidRPr="00F44F3A">
        <w:br/>
      </w:r>
      <w:r w:rsidRPr="00F44F3A">
        <w:t>Melbourne VIC</w:t>
      </w:r>
    </w:p>
    <w:p w14:paraId="45394E9E" w14:textId="77777777" w:rsidR="0005011A" w:rsidRPr="00F44F3A" w:rsidRDefault="0005011A" w:rsidP="00FC07B9">
      <w:pPr>
        <w:pStyle w:val="ACMACorporateAddresses"/>
      </w:pPr>
      <w:r w:rsidRPr="00F44F3A">
        <w:t>PO Box 13112</w:t>
      </w:r>
      <w:r w:rsidRPr="00F44F3A">
        <w:br/>
        <w:t xml:space="preserve">Law Courts </w:t>
      </w:r>
      <w:r w:rsidRPr="00F44F3A">
        <w:br/>
        <w:t>Melbourne VIC 8010</w:t>
      </w:r>
    </w:p>
    <w:p w14:paraId="4289CCAE" w14:textId="77777777" w:rsidR="0005011A" w:rsidRPr="00F44F3A" w:rsidRDefault="0005011A" w:rsidP="00FC07B9">
      <w:pPr>
        <w:pStyle w:val="ACMACorporateAddresses"/>
      </w:pPr>
      <w:r w:rsidRPr="00F44F3A">
        <w:t>T</w:t>
      </w:r>
      <w:r w:rsidR="00140318" w:rsidRPr="00F44F3A">
        <w:tab/>
      </w:r>
      <w:r w:rsidRPr="00F44F3A">
        <w:t>+61 3 9963 6800</w:t>
      </w:r>
      <w:r w:rsidRPr="00F44F3A">
        <w:br/>
        <w:t>F</w:t>
      </w:r>
      <w:r w:rsidR="00140318" w:rsidRPr="00F44F3A">
        <w:tab/>
      </w:r>
      <w:r w:rsidRPr="00F44F3A">
        <w:t>+61 3 9963 6899</w:t>
      </w:r>
    </w:p>
    <w:p w14:paraId="3B7E126B" w14:textId="77777777" w:rsidR="0005011A" w:rsidRPr="00F44F3A" w:rsidRDefault="0005011A" w:rsidP="00FC07B9">
      <w:pPr>
        <w:pStyle w:val="ACMACorporateAddressHeader"/>
      </w:pPr>
      <w:r w:rsidRPr="00F44F3A">
        <w:t>Sydney</w:t>
      </w:r>
    </w:p>
    <w:p w14:paraId="6E95593A" w14:textId="77777777" w:rsidR="0005011A" w:rsidRPr="00F44F3A" w:rsidRDefault="0005011A" w:rsidP="00FC07B9">
      <w:pPr>
        <w:pStyle w:val="ACMACorporateAddresses"/>
      </w:pPr>
      <w:r w:rsidRPr="00F44F3A">
        <w:t xml:space="preserve">Level 5 </w:t>
      </w:r>
      <w:r w:rsidRPr="00F44F3A">
        <w:br/>
        <w:t>The Bay Centre</w:t>
      </w:r>
      <w:r w:rsidRPr="00F44F3A">
        <w:br/>
        <w:t xml:space="preserve">65 Pirrama Road </w:t>
      </w:r>
      <w:r w:rsidRPr="00F44F3A">
        <w:br/>
        <w:t>Pyrmont NSW</w:t>
      </w:r>
    </w:p>
    <w:p w14:paraId="728CF569" w14:textId="77777777" w:rsidR="0005011A" w:rsidRPr="00F44F3A" w:rsidRDefault="0005011A" w:rsidP="00FC07B9">
      <w:pPr>
        <w:pStyle w:val="ACMACorporateAddresses"/>
      </w:pPr>
      <w:r w:rsidRPr="00F44F3A">
        <w:t>PO Box Q500</w:t>
      </w:r>
      <w:r w:rsidRPr="00F44F3A">
        <w:br/>
        <w:t xml:space="preserve">Queen Victoria Building </w:t>
      </w:r>
      <w:r w:rsidRPr="00F44F3A">
        <w:br/>
        <w:t>NSW 1230</w:t>
      </w:r>
    </w:p>
    <w:p w14:paraId="24AFBA5A" w14:textId="77777777" w:rsidR="0005011A" w:rsidRPr="00F44F3A" w:rsidRDefault="0005011A" w:rsidP="00FC07B9">
      <w:pPr>
        <w:pStyle w:val="ACMACorporateAddresses"/>
      </w:pPr>
      <w:r w:rsidRPr="00F44F3A">
        <w:t>T</w:t>
      </w:r>
      <w:r w:rsidR="00140318" w:rsidRPr="00F44F3A">
        <w:tab/>
      </w:r>
      <w:r w:rsidRPr="00F44F3A">
        <w:t>+61 2 9334 7700</w:t>
      </w:r>
      <w:r w:rsidR="00140318" w:rsidRPr="00F44F3A">
        <w:t xml:space="preserve"> or</w:t>
      </w:r>
      <w:r w:rsidRPr="00F44F3A">
        <w:t xml:space="preserve"> 1800 226 667</w:t>
      </w:r>
      <w:r w:rsidRPr="00F44F3A">
        <w:br/>
        <w:t>F</w:t>
      </w:r>
      <w:r w:rsidR="00140318" w:rsidRPr="00F44F3A">
        <w:tab/>
      </w:r>
      <w:r w:rsidRPr="00F44F3A">
        <w:t>+61 2 9334 7799</w:t>
      </w:r>
    </w:p>
    <w:p w14:paraId="048CD641" w14:textId="77777777" w:rsidR="00140318" w:rsidRPr="006D46E5" w:rsidRDefault="00140318" w:rsidP="00FC07B9">
      <w:pPr>
        <w:pStyle w:val="ACMACopyrightHeader"/>
      </w:pPr>
      <w:r w:rsidRPr="00140318">
        <w:t>Copyright notice</w:t>
      </w:r>
    </w:p>
    <w:p w14:paraId="2A044100" w14:textId="77777777" w:rsidR="00140318" w:rsidRPr="006D46E5" w:rsidRDefault="00623FF9" w:rsidP="00623FF9">
      <w:pPr>
        <w:pStyle w:val="ACMACClogo"/>
      </w:pPr>
      <w:r w:rsidRPr="00623FF9">
        <w:rPr>
          <w:noProof/>
        </w:rPr>
        <w:drawing>
          <wp:inline distT="0" distB="0" distL="0" distR="0" wp14:anchorId="5FE523C5" wp14:editId="749A19B3">
            <wp:extent cx="838200" cy="295275"/>
            <wp:effectExtent l="0" t="0" r="0" b="0"/>
            <wp:docPr id="1" name="Picture 1" title="Creative Commons logo">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1"/>
                    </pic:cNvPr>
                    <pic:cNvPicPr>
                      <a:picLocks noChangeAspect="1" noChangeArrowheads="1"/>
                    </pic:cNvPicPr>
                  </pic:nvPicPr>
                  <pic:blipFill>
                    <a:blip r:embed="rId12" cstate="print"/>
                    <a:srcRect/>
                    <a:stretch>
                      <a:fillRect/>
                    </a:stretch>
                  </pic:blipFill>
                  <pic:spPr bwMode="auto">
                    <a:xfrm>
                      <a:off x="0" y="0"/>
                      <a:ext cx="838200" cy="295275"/>
                    </a:xfrm>
                    <a:prstGeom prst="rect">
                      <a:avLst/>
                    </a:prstGeom>
                    <a:noFill/>
                  </pic:spPr>
                </pic:pic>
              </a:graphicData>
            </a:graphic>
          </wp:inline>
        </w:drawing>
      </w:r>
    </w:p>
    <w:p w14:paraId="095013B5" w14:textId="77777777" w:rsidR="00D710CF" w:rsidRDefault="00D710CF" w:rsidP="00FC07B9">
      <w:pPr>
        <w:pStyle w:val="ACMACorporateAddresses"/>
      </w:pPr>
    </w:p>
    <w:p w14:paraId="2142C910" w14:textId="77777777" w:rsidR="00D710CF" w:rsidRDefault="00596819" w:rsidP="00D710CF">
      <w:pPr>
        <w:pStyle w:val="ACMACorporateAddresses"/>
        <w:rPr>
          <w:rStyle w:val="Hyperlink"/>
        </w:rPr>
      </w:pPr>
      <w:hyperlink r:id="rId13" w:history="1">
        <w:r w:rsidR="00D710CF">
          <w:rPr>
            <w:rStyle w:val="Hyperlink"/>
          </w:rPr>
          <w:t>https://creativecommons.org/licenses/by/4.0/</w:t>
        </w:r>
      </w:hyperlink>
    </w:p>
    <w:p w14:paraId="1A282975" w14:textId="77777777" w:rsidR="00D710CF" w:rsidRDefault="00D710CF" w:rsidP="00D710CF">
      <w:pPr>
        <w:pStyle w:val="ACMACorporateAddresses"/>
      </w:pPr>
      <w:r>
        <w:t xml:space="preserve">With the exception of coats of arms, logos, emblems, images, other third-party material or devices protected by a trademark, this content is made available under the terms of the Creative Commons Attribution 4.0 International (CC BY 4.0) licence. </w:t>
      </w:r>
    </w:p>
    <w:p w14:paraId="11CB1B4A" w14:textId="77777777" w:rsidR="00D710CF" w:rsidRDefault="00D710CF" w:rsidP="00D710CF">
      <w:pPr>
        <w:pStyle w:val="ACMACorporateAddresses"/>
      </w:pPr>
      <w:r>
        <w:t>We request attribution as © Commonwealth of Australia (Australian Communications and Media Authority) 2019.</w:t>
      </w:r>
    </w:p>
    <w:p w14:paraId="37E298AF" w14:textId="77777777" w:rsidR="00D710CF" w:rsidRDefault="00D710CF" w:rsidP="00D710CF">
      <w:pPr>
        <w:pStyle w:val="ACMACorporateAddresses"/>
      </w:pPr>
      <w:r>
        <w:t>All other rights are reserved.</w:t>
      </w:r>
    </w:p>
    <w:p w14:paraId="0B085143" w14:textId="77777777" w:rsidR="00D710CF" w:rsidRDefault="00D710CF" w:rsidP="00D710CF">
      <w:pPr>
        <w:pStyle w:val="ACMACorporateAddresses"/>
      </w:pPr>
      <w:r>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59222917" w14:textId="77777777" w:rsidR="00D710CF" w:rsidRDefault="00D710CF" w:rsidP="00D710CF">
      <w:pPr>
        <w:pStyle w:val="ACMACorporateAddresses"/>
      </w:pPr>
      <w:r>
        <w:t>Written enquiries may be sent to:</w:t>
      </w:r>
    </w:p>
    <w:p w14:paraId="0E8F4893" w14:textId="77777777" w:rsidR="00D710CF" w:rsidRDefault="00D710CF" w:rsidP="00D710CF">
      <w:pPr>
        <w:pStyle w:val="ACMACorporateAddresses"/>
        <w:rPr>
          <w:rStyle w:val="Hyperlink"/>
        </w:rPr>
      </w:pPr>
      <w:r>
        <w:t>Manager, Editorial Services</w:t>
      </w:r>
      <w:r>
        <w:br/>
        <w:t>PO Box 13112</w:t>
      </w:r>
      <w:r>
        <w:br/>
        <w:t>Law Courts</w:t>
      </w:r>
      <w:r>
        <w:br/>
        <w:t>Melbourne VIC 8010</w:t>
      </w:r>
      <w:r>
        <w:br/>
        <w:t xml:space="preserve">Email: </w:t>
      </w:r>
      <w:hyperlink r:id="rId14" w:history="1">
        <w:r>
          <w:rPr>
            <w:rStyle w:val="Hyperlink"/>
          </w:rPr>
          <w:t>info@acma.gov.au</w:t>
        </w:r>
      </w:hyperlink>
    </w:p>
    <w:p w14:paraId="33A8687A" w14:textId="77777777" w:rsidR="00D16FE3" w:rsidRPr="00D16FE3" w:rsidRDefault="00D16FE3" w:rsidP="00D16FE3">
      <w:pPr>
        <w:pStyle w:val="ACMACorporateAddresses"/>
        <w:sectPr w:rsidR="00D16FE3" w:rsidRPr="00D16FE3">
          <w:headerReference w:type="even" r:id="rId15"/>
          <w:headerReference w:type="default" r:id="rId16"/>
          <w:footerReference w:type="even" r:id="rId17"/>
          <w:footerReference w:type="default" r:id="rId18"/>
          <w:pgSz w:w="11906" w:h="16838" w:code="9"/>
          <w:pgMar w:top="3924" w:right="1797" w:bottom="697" w:left="1134" w:header="709" w:footer="119" w:gutter="0"/>
          <w:cols w:space="708"/>
          <w:docGrid w:linePitch="360"/>
        </w:sectPr>
      </w:pPr>
    </w:p>
    <w:p w14:paraId="05AA5409" w14:textId="52B3C673" w:rsidR="00D34197" w:rsidRDefault="007A6CC0">
      <w:pPr>
        <w:pStyle w:val="TOC1"/>
        <w:rPr>
          <w:rFonts w:asciiTheme="minorHAnsi" w:eastAsiaTheme="minorEastAsia" w:hAnsiTheme="minorHAnsi" w:cstheme="minorBidi"/>
          <w:b w:val="0"/>
          <w:spacing w:val="0"/>
          <w:sz w:val="22"/>
          <w:szCs w:val="22"/>
        </w:rPr>
      </w:pPr>
      <w:r>
        <w:lastRenderedPageBreak/>
        <w:fldChar w:fldCharType="begin"/>
      </w:r>
      <w:r w:rsidRPr="00D06CF7">
        <w:instrText xml:space="preserve"> TOC \o "1-3" \t "ACMA_ExecSummaryHeading,1" </w:instrText>
      </w:r>
      <w:r>
        <w:fldChar w:fldCharType="separate"/>
      </w:r>
      <w:r w:rsidR="00D34197">
        <w:t>Executive summary</w:t>
      </w:r>
      <w:r w:rsidR="00D34197">
        <w:tab/>
      </w:r>
      <w:r w:rsidR="00D34197">
        <w:fldChar w:fldCharType="begin"/>
      </w:r>
      <w:r w:rsidR="00D34197">
        <w:instrText xml:space="preserve"> PAGEREF _Toc8207109 \h </w:instrText>
      </w:r>
      <w:r w:rsidR="00D34197">
        <w:fldChar w:fldCharType="separate"/>
      </w:r>
      <w:r w:rsidR="00D34197">
        <w:t>1</w:t>
      </w:r>
      <w:r w:rsidR="00D34197">
        <w:fldChar w:fldCharType="end"/>
      </w:r>
    </w:p>
    <w:p w14:paraId="726699CF" w14:textId="7060A1EE" w:rsidR="00D34197" w:rsidRDefault="00D34197">
      <w:pPr>
        <w:pStyle w:val="TOC1"/>
        <w:rPr>
          <w:rFonts w:asciiTheme="minorHAnsi" w:eastAsiaTheme="minorEastAsia" w:hAnsiTheme="minorHAnsi" w:cstheme="minorBidi"/>
          <w:b w:val="0"/>
          <w:spacing w:val="0"/>
          <w:sz w:val="22"/>
          <w:szCs w:val="22"/>
        </w:rPr>
      </w:pPr>
      <w:r>
        <w:t>Introduction</w:t>
      </w:r>
      <w:r>
        <w:tab/>
      </w:r>
      <w:r>
        <w:fldChar w:fldCharType="begin"/>
      </w:r>
      <w:r>
        <w:instrText xml:space="preserve"> PAGEREF _Toc8207110 \h </w:instrText>
      </w:r>
      <w:r>
        <w:fldChar w:fldCharType="separate"/>
      </w:r>
      <w:r>
        <w:t>4</w:t>
      </w:r>
      <w:r>
        <w:fldChar w:fldCharType="end"/>
      </w:r>
    </w:p>
    <w:p w14:paraId="65279168" w14:textId="40DF0250" w:rsidR="00D34197" w:rsidRDefault="00D34197">
      <w:pPr>
        <w:pStyle w:val="TOC2"/>
        <w:rPr>
          <w:rFonts w:asciiTheme="minorHAnsi" w:eastAsiaTheme="minorEastAsia" w:hAnsiTheme="minorHAnsi" w:cstheme="minorBidi"/>
          <w:spacing w:val="0"/>
          <w:sz w:val="22"/>
          <w:szCs w:val="22"/>
        </w:rPr>
      </w:pPr>
      <w:r>
        <w:t>Draft recommendation</w:t>
      </w:r>
      <w:r>
        <w:tab/>
      </w:r>
      <w:r>
        <w:fldChar w:fldCharType="begin"/>
      </w:r>
      <w:r>
        <w:instrText xml:space="preserve"> PAGEREF _Toc8207111 \h </w:instrText>
      </w:r>
      <w:r>
        <w:fldChar w:fldCharType="separate"/>
      </w:r>
      <w:r>
        <w:t>4</w:t>
      </w:r>
      <w:r>
        <w:fldChar w:fldCharType="end"/>
      </w:r>
    </w:p>
    <w:p w14:paraId="3A0242AF" w14:textId="0033AC67" w:rsidR="00D34197" w:rsidRDefault="00D34197">
      <w:pPr>
        <w:pStyle w:val="TOC2"/>
        <w:rPr>
          <w:rFonts w:asciiTheme="minorHAnsi" w:eastAsiaTheme="minorEastAsia" w:hAnsiTheme="minorHAnsi" w:cstheme="minorBidi"/>
          <w:spacing w:val="0"/>
          <w:sz w:val="22"/>
          <w:szCs w:val="22"/>
        </w:rPr>
      </w:pPr>
      <w:r>
        <w:t>Background</w:t>
      </w:r>
      <w:r>
        <w:tab/>
      </w:r>
      <w:r>
        <w:fldChar w:fldCharType="begin"/>
      </w:r>
      <w:r>
        <w:instrText xml:space="preserve"> PAGEREF _Toc8207112 \h </w:instrText>
      </w:r>
      <w:r>
        <w:fldChar w:fldCharType="separate"/>
      </w:r>
      <w:r>
        <w:t>6</w:t>
      </w:r>
      <w:r>
        <w:fldChar w:fldCharType="end"/>
      </w:r>
    </w:p>
    <w:p w14:paraId="03C50FBD" w14:textId="21D724CB" w:rsidR="00D34197" w:rsidRDefault="00D34197">
      <w:pPr>
        <w:pStyle w:val="TOC3"/>
        <w:rPr>
          <w:rFonts w:asciiTheme="minorHAnsi" w:eastAsiaTheme="minorEastAsia" w:hAnsiTheme="minorHAnsi" w:cstheme="minorBidi"/>
        </w:rPr>
      </w:pPr>
      <w:r>
        <w:t>Process to date</w:t>
      </w:r>
      <w:r>
        <w:tab/>
      </w:r>
      <w:r>
        <w:fldChar w:fldCharType="begin"/>
      </w:r>
      <w:r>
        <w:instrText xml:space="preserve"> PAGEREF _Toc8207113 \h </w:instrText>
      </w:r>
      <w:r>
        <w:fldChar w:fldCharType="separate"/>
      </w:r>
      <w:r>
        <w:t>6</w:t>
      </w:r>
      <w:r>
        <w:fldChar w:fldCharType="end"/>
      </w:r>
    </w:p>
    <w:p w14:paraId="39F9892C" w14:textId="0D986542" w:rsidR="00D34197" w:rsidRDefault="00D34197">
      <w:pPr>
        <w:pStyle w:val="TOC2"/>
        <w:rPr>
          <w:rFonts w:asciiTheme="minorHAnsi" w:eastAsiaTheme="minorEastAsia" w:hAnsiTheme="minorHAnsi" w:cstheme="minorBidi"/>
          <w:spacing w:val="0"/>
          <w:sz w:val="22"/>
          <w:szCs w:val="22"/>
        </w:rPr>
      </w:pPr>
      <w:r>
        <w:t>Legislative and policy environment</w:t>
      </w:r>
      <w:r>
        <w:tab/>
      </w:r>
      <w:r>
        <w:fldChar w:fldCharType="begin"/>
      </w:r>
      <w:r>
        <w:instrText xml:space="preserve"> PAGEREF _Toc8207114 \h </w:instrText>
      </w:r>
      <w:r>
        <w:fldChar w:fldCharType="separate"/>
      </w:r>
      <w:r>
        <w:t>7</w:t>
      </w:r>
      <w:r>
        <w:fldChar w:fldCharType="end"/>
      </w:r>
    </w:p>
    <w:p w14:paraId="351029B6" w14:textId="0030B109" w:rsidR="00D34197" w:rsidRDefault="00D34197">
      <w:pPr>
        <w:pStyle w:val="TOC3"/>
        <w:rPr>
          <w:rFonts w:asciiTheme="minorHAnsi" w:eastAsiaTheme="minorEastAsia" w:hAnsiTheme="minorHAnsi" w:cstheme="minorBidi"/>
        </w:rPr>
      </w:pPr>
      <w:r>
        <w:t>Guiding legislation</w:t>
      </w:r>
      <w:r>
        <w:tab/>
      </w:r>
      <w:r>
        <w:fldChar w:fldCharType="begin"/>
      </w:r>
      <w:r>
        <w:instrText xml:space="preserve"> PAGEREF _Toc8207115 \h </w:instrText>
      </w:r>
      <w:r>
        <w:fldChar w:fldCharType="separate"/>
      </w:r>
      <w:r>
        <w:t>7</w:t>
      </w:r>
      <w:r>
        <w:fldChar w:fldCharType="end"/>
      </w:r>
    </w:p>
    <w:p w14:paraId="481D04F5" w14:textId="46430992" w:rsidR="00D34197" w:rsidRDefault="00D34197">
      <w:pPr>
        <w:pStyle w:val="TOC3"/>
        <w:rPr>
          <w:rFonts w:asciiTheme="minorHAnsi" w:eastAsiaTheme="minorEastAsia" w:hAnsiTheme="minorHAnsi" w:cstheme="minorBidi"/>
        </w:rPr>
      </w:pPr>
      <w:r>
        <w:t>Principles for spectrum management</w:t>
      </w:r>
      <w:r>
        <w:tab/>
      </w:r>
      <w:r>
        <w:fldChar w:fldCharType="begin"/>
      </w:r>
      <w:r>
        <w:instrText xml:space="preserve"> PAGEREF _Toc8207116 \h </w:instrText>
      </w:r>
      <w:r>
        <w:fldChar w:fldCharType="separate"/>
      </w:r>
      <w:r>
        <w:t>7</w:t>
      </w:r>
      <w:r>
        <w:fldChar w:fldCharType="end"/>
      </w:r>
    </w:p>
    <w:p w14:paraId="1C53FCAE" w14:textId="324FC136" w:rsidR="00D34197" w:rsidRDefault="00D34197">
      <w:pPr>
        <w:pStyle w:val="TOC3"/>
        <w:rPr>
          <w:rFonts w:asciiTheme="minorHAnsi" w:eastAsiaTheme="minorEastAsia" w:hAnsiTheme="minorHAnsi" w:cstheme="minorBidi"/>
        </w:rPr>
      </w:pPr>
      <w:r>
        <w:t>Reallocation process</w:t>
      </w:r>
      <w:r>
        <w:tab/>
      </w:r>
      <w:r>
        <w:fldChar w:fldCharType="begin"/>
      </w:r>
      <w:r>
        <w:instrText xml:space="preserve"> PAGEREF _Toc8207117 \h </w:instrText>
      </w:r>
      <w:r>
        <w:fldChar w:fldCharType="separate"/>
      </w:r>
      <w:r>
        <w:t>8</w:t>
      </w:r>
      <w:r>
        <w:fldChar w:fldCharType="end"/>
      </w:r>
    </w:p>
    <w:p w14:paraId="5D11523C" w14:textId="30DE510D" w:rsidR="00D34197" w:rsidRDefault="00D34197">
      <w:pPr>
        <w:pStyle w:val="TOC2"/>
        <w:rPr>
          <w:rFonts w:asciiTheme="minorHAnsi" w:eastAsiaTheme="minorEastAsia" w:hAnsiTheme="minorHAnsi" w:cstheme="minorBidi"/>
          <w:spacing w:val="0"/>
          <w:sz w:val="22"/>
          <w:szCs w:val="22"/>
        </w:rPr>
      </w:pPr>
      <w:r>
        <w:t>Proposal—terms of the draft recommendation</w:t>
      </w:r>
      <w:r>
        <w:tab/>
      </w:r>
      <w:r>
        <w:fldChar w:fldCharType="begin"/>
      </w:r>
      <w:r>
        <w:instrText xml:space="preserve"> PAGEREF _Toc8207118 \h </w:instrText>
      </w:r>
      <w:r>
        <w:fldChar w:fldCharType="separate"/>
      </w:r>
      <w:r>
        <w:t>9</w:t>
      </w:r>
      <w:r>
        <w:fldChar w:fldCharType="end"/>
      </w:r>
    </w:p>
    <w:p w14:paraId="7C8CBC62" w14:textId="28AC8A56" w:rsidR="00D34197" w:rsidRDefault="00D34197">
      <w:pPr>
        <w:pStyle w:val="TOC1"/>
        <w:rPr>
          <w:rFonts w:asciiTheme="minorHAnsi" w:eastAsiaTheme="minorEastAsia" w:hAnsiTheme="minorHAnsi" w:cstheme="minorBidi"/>
          <w:b w:val="0"/>
          <w:spacing w:val="0"/>
          <w:sz w:val="22"/>
          <w:szCs w:val="22"/>
        </w:rPr>
      </w:pPr>
      <w:r>
        <w:t>Licence type</w:t>
      </w:r>
      <w:r>
        <w:tab/>
      </w:r>
      <w:r>
        <w:fldChar w:fldCharType="begin"/>
      </w:r>
      <w:r>
        <w:instrText xml:space="preserve"> PAGEREF _Toc8207119 \h </w:instrText>
      </w:r>
      <w:r>
        <w:fldChar w:fldCharType="separate"/>
      </w:r>
      <w:r>
        <w:t>11</w:t>
      </w:r>
      <w:r>
        <w:fldChar w:fldCharType="end"/>
      </w:r>
    </w:p>
    <w:p w14:paraId="3E23EDB8" w14:textId="5933116A" w:rsidR="00D34197" w:rsidRDefault="00D34197">
      <w:pPr>
        <w:pStyle w:val="TOC3"/>
        <w:rPr>
          <w:rFonts w:asciiTheme="minorHAnsi" w:eastAsiaTheme="minorEastAsia" w:hAnsiTheme="minorHAnsi" w:cstheme="minorBidi"/>
        </w:rPr>
      </w:pPr>
      <w:r>
        <w:t>Preferred licence type for the 26 GHz band in defined areas</w:t>
      </w:r>
      <w:r>
        <w:tab/>
      </w:r>
      <w:r>
        <w:fldChar w:fldCharType="begin"/>
      </w:r>
      <w:r>
        <w:instrText xml:space="preserve"> PAGEREF _Toc8207120 \h </w:instrText>
      </w:r>
      <w:r>
        <w:fldChar w:fldCharType="separate"/>
      </w:r>
      <w:r>
        <w:t>12</w:t>
      </w:r>
      <w:r>
        <w:fldChar w:fldCharType="end"/>
      </w:r>
    </w:p>
    <w:p w14:paraId="036377E6" w14:textId="3A4CAF74" w:rsidR="00D34197" w:rsidRDefault="00D34197">
      <w:pPr>
        <w:pStyle w:val="TOC1"/>
        <w:rPr>
          <w:rFonts w:asciiTheme="minorHAnsi" w:eastAsiaTheme="minorEastAsia" w:hAnsiTheme="minorHAnsi" w:cstheme="minorBidi"/>
          <w:b w:val="0"/>
          <w:spacing w:val="0"/>
          <w:sz w:val="22"/>
          <w:szCs w:val="22"/>
        </w:rPr>
      </w:pPr>
      <w:r>
        <w:t>Specified parts of the spectrum</w:t>
      </w:r>
      <w:r>
        <w:tab/>
      </w:r>
      <w:r>
        <w:fldChar w:fldCharType="begin"/>
      </w:r>
      <w:r>
        <w:instrText xml:space="preserve"> PAGEREF _Toc8207121 \h </w:instrText>
      </w:r>
      <w:r>
        <w:fldChar w:fldCharType="separate"/>
      </w:r>
      <w:r>
        <w:t>13</w:t>
      </w:r>
      <w:r>
        <w:fldChar w:fldCharType="end"/>
      </w:r>
    </w:p>
    <w:p w14:paraId="19FB740B" w14:textId="0E651B6D" w:rsidR="00D34197" w:rsidRDefault="00D34197">
      <w:pPr>
        <w:pStyle w:val="TOC2"/>
        <w:rPr>
          <w:rFonts w:asciiTheme="minorHAnsi" w:eastAsiaTheme="minorEastAsia" w:hAnsiTheme="minorHAnsi" w:cstheme="minorBidi"/>
          <w:spacing w:val="0"/>
          <w:sz w:val="22"/>
          <w:szCs w:val="22"/>
        </w:rPr>
      </w:pPr>
      <w:r>
        <w:t>Frequency boundaries</w:t>
      </w:r>
      <w:r>
        <w:tab/>
      </w:r>
      <w:r>
        <w:fldChar w:fldCharType="begin"/>
      </w:r>
      <w:r>
        <w:instrText xml:space="preserve"> PAGEREF _Toc8207122 \h </w:instrText>
      </w:r>
      <w:r>
        <w:fldChar w:fldCharType="separate"/>
      </w:r>
      <w:r>
        <w:t>13</w:t>
      </w:r>
      <w:r>
        <w:fldChar w:fldCharType="end"/>
      </w:r>
    </w:p>
    <w:p w14:paraId="5E9F9A65" w14:textId="3F660417" w:rsidR="00D34197" w:rsidRDefault="00D34197">
      <w:pPr>
        <w:pStyle w:val="TOC2"/>
        <w:rPr>
          <w:rFonts w:asciiTheme="minorHAnsi" w:eastAsiaTheme="minorEastAsia" w:hAnsiTheme="minorHAnsi" w:cstheme="minorBidi"/>
          <w:spacing w:val="0"/>
          <w:sz w:val="22"/>
          <w:szCs w:val="22"/>
        </w:rPr>
      </w:pPr>
      <w:r>
        <w:t>Geographic boundaries</w:t>
      </w:r>
      <w:r>
        <w:tab/>
      </w:r>
      <w:r>
        <w:fldChar w:fldCharType="begin"/>
      </w:r>
      <w:r>
        <w:instrText xml:space="preserve"> PAGEREF _Toc8207123 \h </w:instrText>
      </w:r>
      <w:r>
        <w:fldChar w:fldCharType="separate"/>
      </w:r>
      <w:r>
        <w:t>13</w:t>
      </w:r>
      <w:r>
        <w:fldChar w:fldCharType="end"/>
      </w:r>
    </w:p>
    <w:p w14:paraId="2BF2EAB6" w14:textId="05CE2F93" w:rsidR="00D34197" w:rsidRDefault="00D34197">
      <w:pPr>
        <w:pStyle w:val="TOC3"/>
        <w:rPr>
          <w:rFonts w:asciiTheme="minorHAnsi" w:eastAsiaTheme="minorEastAsia" w:hAnsiTheme="minorHAnsi" w:cstheme="minorBidi"/>
        </w:rPr>
      </w:pPr>
      <w:r>
        <w:t>Canberra area</w:t>
      </w:r>
      <w:r>
        <w:tab/>
      </w:r>
      <w:r>
        <w:fldChar w:fldCharType="begin"/>
      </w:r>
      <w:r>
        <w:instrText xml:space="preserve"> PAGEREF _Toc8207124 \h </w:instrText>
      </w:r>
      <w:r>
        <w:fldChar w:fldCharType="separate"/>
      </w:r>
      <w:r>
        <w:t>14</w:t>
      </w:r>
      <w:r>
        <w:fldChar w:fldCharType="end"/>
      </w:r>
    </w:p>
    <w:p w14:paraId="21230FAD" w14:textId="6DD7B391" w:rsidR="00D34197" w:rsidRDefault="00D34197">
      <w:pPr>
        <w:pStyle w:val="TOC3"/>
        <w:rPr>
          <w:rFonts w:asciiTheme="minorHAnsi" w:eastAsiaTheme="minorEastAsia" w:hAnsiTheme="minorHAnsi" w:cstheme="minorBidi"/>
        </w:rPr>
      </w:pPr>
      <w:r>
        <w:t>Areas with additional conditions</w:t>
      </w:r>
      <w:r>
        <w:tab/>
      </w:r>
      <w:r>
        <w:fldChar w:fldCharType="begin"/>
      </w:r>
      <w:r>
        <w:instrText xml:space="preserve"> PAGEREF _Toc8207125 \h </w:instrText>
      </w:r>
      <w:r>
        <w:fldChar w:fldCharType="separate"/>
      </w:r>
      <w:r>
        <w:t>15</w:t>
      </w:r>
      <w:r>
        <w:fldChar w:fldCharType="end"/>
      </w:r>
    </w:p>
    <w:p w14:paraId="591D253B" w14:textId="5E9C3C68" w:rsidR="00D34197" w:rsidRDefault="00D34197">
      <w:pPr>
        <w:pStyle w:val="TOC1"/>
        <w:rPr>
          <w:rFonts w:asciiTheme="minorHAnsi" w:eastAsiaTheme="minorEastAsia" w:hAnsiTheme="minorHAnsi" w:cstheme="minorBidi"/>
          <w:b w:val="0"/>
          <w:spacing w:val="0"/>
          <w:sz w:val="22"/>
          <w:szCs w:val="22"/>
        </w:rPr>
      </w:pPr>
      <w:r>
        <w:t>Reallocation period and deadline</w:t>
      </w:r>
      <w:r>
        <w:tab/>
      </w:r>
      <w:r>
        <w:fldChar w:fldCharType="begin"/>
      </w:r>
      <w:r>
        <w:instrText xml:space="preserve"> PAGEREF _Toc8207126 \h </w:instrText>
      </w:r>
      <w:r>
        <w:fldChar w:fldCharType="separate"/>
      </w:r>
      <w:r>
        <w:t>18</w:t>
      </w:r>
      <w:r>
        <w:fldChar w:fldCharType="end"/>
      </w:r>
    </w:p>
    <w:p w14:paraId="4E2A29EA" w14:textId="3E603FB0" w:rsidR="00D34197" w:rsidRDefault="00D34197">
      <w:pPr>
        <w:pStyle w:val="TOC2"/>
        <w:rPr>
          <w:rFonts w:asciiTheme="minorHAnsi" w:eastAsiaTheme="minorEastAsia" w:hAnsiTheme="minorHAnsi" w:cstheme="minorBidi"/>
          <w:spacing w:val="0"/>
          <w:sz w:val="22"/>
          <w:szCs w:val="22"/>
        </w:rPr>
      </w:pPr>
      <w:r>
        <w:t>Reallocation period and deadline</w:t>
      </w:r>
      <w:r>
        <w:tab/>
      </w:r>
      <w:r>
        <w:fldChar w:fldCharType="begin"/>
      </w:r>
      <w:r>
        <w:instrText xml:space="preserve"> PAGEREF _Toc8207127 \h </w:instrText>
      </w:r>
      <w:r>
        <w:fldChar w:fldCharType="separate"/>
      </w:r>
      <w:r>
        <w:t>18</w:t>
      </w:r>
      <w:r>
        <w:fldChar w:fldCharType="end"/>
      </w:r>
    </w:p>
    <w:p w14:paraId="4296DBE9" w14:textId="0BACAAEA" w:rsidR="00D34197" w:rsidRDefault="00D34197">
      <w:pPr>
        <w:pStyle w:val="TOC3"/>
        <w:rPr>
          <w:rFonts w:asciiTheme="minorHAnsi" w:eastAsiaTheme="minorEastAsia" w:hAnsiTheme="minorHAnsi" w:cstheme="minorBidi"/>
        </w:rPr>
      </w:pPr>
      <w:r>
        <w:t>Existing services</w:t>
      </w:r>
      <w:r>
        <w:tab/>
      </w:r>
      <w:r>
        <w:fldChar w:fldCharType="begin"/>
      </w:r>
      <w:r>
        <w:instrText xml:space="preserve"> PAGEREF _Toc8207128 \h </w:instrText>
      </w:r>
      <w:r>
        <w:fldChar w:fldCharType="separate"/>
      </w:r>
      <w:r>
        <w:t>18</w:t>
      </w:r>
      <w:r>
        <w:fldChar w:fldCharType="end"/>
      </w:r>
    </w:p>
    <w:p w14:paraId="307F54AF" w14:textId="0A362956" w:rsidR="00D34197" w:rsidRDefault="00D34197">
      <w:pPr>
        <w:pStyle w:val="TOC3"/>
        <w:rPr>
          <w:rFonts w:asciiTheme="minorHAnsi" w:eastAsiaTheme="minorEastAsia" w:hAnsiTheme="minorHAnsi" w:cstheme="minorBidi"/>
        </w:rPr>
      </w:pPr>
      <w:r>
        <w:t>Reallocation period</w:t>
      </w:r>
      <w:r>
        <w:tab/>
      </w:r>
      <w:r>
        <w:fldChar w:fldCharType="begin"/>
      </w:r>
      <w:r>
        <w:instrText xml:space="preserve"> PAGEREF _Toc8207129 \h </w:instrText>
      </w:r>
      <w:r>
        <w:fldChar w:fldCharType="separate"/>
      </w:r>
      <w:r>
        <w:t>19</w:t>
      </w:r>
      <w:r>
        <w:fldChar w:fldCharType="end"/>
      </w:r>
    </w:p>
    <w:p w14:paraId="1FE08BA7" w14:textId="3D2F5FA3" w:rsidR="00D34197" w:rsidRDefault="00D34197">
      <w:pPr>
        <w:pStyle w:val="TOC3"/>
        <w:rPr>
          <w:rFonts w:asciiTheme="minorHAnsi" w:eastAsiaTheme="minorEastAsia" w:hAnsiTheme="minorHAnsi" w:cstheme="minorBidi"/>
        </w:rPr>
      </w:pPr>
      <w:r>
        <w:t>Reallocation deadline</w:t>
      </w:r>
      <w:r>
        <w:tab/>
      </w:r>
      <w:r>
        <w:fldChar w:fldCharType="begin"/>
      </w:r>
      <w:r>
        <w:instrText xml:space="preserve"> PAGEREF _Toc8207130 \h </w:instrText>
      </w:r>
      <w:r>
        <w:fldChar w:fldCharType="separate"/>
      </w:r>
      <w:r>
        <w:t>20</w:t>
      </w:r>
      <w:r>
        <w:fldChar w:fldCharType="end"/>
      </w:r>
    </w:p>
    <w:p w14:paraId="045A437D" w14:textId="2B71674D" w:rsidR="00D34197" w:rsidRDefault="00D34197">
      <w:pPr>
        <w:pStyle w:val="TOC1"/>
        <w:rPr>
          <w:rFonts w:asciiTheme="minorHAnsi" w:eastAsiaTheme="minorEastAsia" w:hAnsiTheme="minorHAnsi" w:cstheme="minorBidi"/>
          <w:b w:val="0"/>
          <w:spacing w:val="0"/>
          <w:sz w:val="22"/>
          <w:szCs w:val="22"/>
        </w:rPr>
      </w:pPr>
      <w:r>
        <w:t>Other matters relevant to a price-based allocation of the  26 GHz band</w:t>
      </w:r>
      <w:r>
        <w:tab/>
      </w:r>
      <w:r>
        <w:fldChar w:fldCharType="begin"/>
      </w:r>
      <w:r>
        <w:instrText xml:space="preserve"> PAGEREF _Toc8207131 \h </w:instrText>
      </w:r>
      <w:r>
        <w:fldChar w:fldCharType="separate"/>
      </w:r>
      <w:r>
        <w:t>21</w:t>
      </w:r>
      <w:r>
        <w:fldChar w:fldCharType="end"/>
      </w:r>
    </w:p>
    <w:p w14:paraId="15DBC045" w14:textId="4F378654" w:rsidR="00D34197" w:rsidRDefault="00D34197">
      <w:pPr>
        <w:pStyle w:val="TOC2"/>
        <w:rPr>
          <w:rFonts w:asciiTheme="minorHAnsi" w:eastAsiaTheme="minorEastAsia" w:hAnsiTheme="minorHAnsi" w:cstheme="minorBidi"/>
          <w:spacing w:val="0"/>
          <w:sz w:val="22"/>
          <w:szCs w:val="22"/>
        </w:rPr>
      </w:pPr>
      <w:r>
        <w:t>Licence term</w:t>
      </w:r>
      <w:r>
        <w:tab/>
      </w:r>
      <w:r>
        <w:fldChar w:fldCharType="begin"/>
      </w:r>
      <w:r>
        <w:instrText xml:space="preserve"> PAGEREF _Toc8207132 \h </w:instrText>
      </w:r>
      <w:r>
        <w:fldChar w:fldCharType="separate"/>
      </w:r>
      <w:r>
        <w:t>21</w:t>
      </w:r>
      <w:r>
        <w:fldChar w:fldCharType="end"/>
      </w:r>
    </w:p>
    <w:p w14:paraId="2A6BD0D6" w14:textId="372A9CFA" w:rsidR="00D34197" w:rsidRDefault="00D34197">
      <w:pPr>
        <w:pStyle w:val="TOC3"/>
        <w:rPr>
          <w:rFonts w:asciiTheme="minorHAnsi" w:eastAsiaTheme="minorEastAsia" w:hAnsiTheme="minorHAnsi" w:cstheme="minorBidi"/>
        </w:rPr>
      </w:pPr>
      <w:r>
        <w:t>Licence commencement and expiry</w:t>
      </w:r>
      <w:r>
        <w:tab/>
      </w:r>
      <w:r>
        <w:fldChar w:fldCharType="begin"/>
      </w:r>
      <w:r>
        <w:instrText xml:space="preserve"> PAGEREF _Toc8207133 \h </w:instrText>
      </w:r>
      <w:r>
        <w:fldChar w:fldCharType="separate"/>
      </w:r>
      <w:r>
        <w:t>21</w:t>
      </w:r>
      <w:r>
        <w:fldChar w:fldCharType="end"/>
      </w:r>
    </w:p>
    <w:p w14:paraId="05377D4F" w14:textId="469B97E0" w:rsidR="00D34197" w:rsidRDefault="00D34197">
      <w:pPr>
        <w:pStyle w:val="TOC2"/>
        <w:rPr>
          <w:rFonts w:asciiTheme="minorHAnsi" w:eastAsiaTheme="minorEastAsia" w:hAnsiTheme="minorHAnsi" w:cstheme="minorBidi"/>
          <w:spacing w:val="0"/>
          <w:sz w:val="22"/>
          <w:szCs w:val="22"/>
        </w:rPr>
      </w:pPr>
      <w:r>
        <w:t>Allocation methodology</w:t>
      </w:r>
      <w:r>
        <w:tab/>
      </w:r>
      <w:r>
        <w:fldChar w:fldCharType="begin"/>
      </w:r>
      <w:r>
        <w:instrText xml:space="preserve"> PAGEREF _Toc8207134 \h </w:instrText>
      </w:r>
      <w:r>
        <w:fldChar w:fldCharType="separate"/>
      </w:r>
      <w:r>
        <w:t>21</w:t>
      </w:r>
      <w:r>
        <w:fldChar w:fldCharType="end"/>
      </w:r>
    </w:p>
    <w:p w14:paraId="3CCEF1D4" w14:textId="460C1E02" w:rsidR="00D34197" w:rsidRDefault="00D34197">
      <w:pPr>
        <w:pStyle w:val="TOC3"/>
        <w:rPr>
          <w:rFonts w:asciiTheme="minorHAnsi" w:eastAsiaTheme="minorEastAsia" w:hAnsiTheme="minorHAnsi" w:cstheme="minorBidi"/>
        </w:rPr>
      </w:pPr>
      <w:r>
        <w:t>Simple clock auction</w:t>
      </w:r>
      <w:r>
        <w:tab/>
      </w:r>
      <w:r>
        <w:fldChar w:fldCharType="begin"/>
      </w:r>
      <w:r>
        <w:instrText xml:space="preserve"> PAGEREF _Toc8207135 \h </w:instrText>
      </w:r>
      <w:r>
        <w:fldChar w:fldCharType="separate"/>
      </w:r>
      <w:r>
        <w:t>22</w:t>
      </w:r>
      <w:r>
        <w:fldChar w:fldCharType="end"/>
      </w:r>
    </w:p>
    <w:p w14:paraId="6A201958" w14:textId="148C4B74" w:rsidR="00D34197" w:rsidRDefault="00D34197">
      <w:pPr>
        <w:pStyle w:val="TOC3"/>
        <w:rPr>
          <w:rFonts w:asciiTheme="minorHAnsi" w:eastAsiaTheme="minorEastAsia" w:hAnsiTheme="minorHAnsi" w:cstheme="minorBidi"/>
        </w:rPr>
      </w:pPr>
      <w:r>
        <w:t>Simultaneous multi-round ascending auction formats</w:t>
      </w:r>
      <w:r>
        <w:tab/>
      </w:r>
      <w:r>
        <w:fldChar w:fldCharType="begin"/>
      </w:r>
      <w:r>
        <w:instrText xml:space="preserve"> PAGEREF _Toc8207136 \h </w:instrText>
      </w:r>
      <w:r>
        <w:fldChar w:fldCharType="separate"/>
      </w:r>
      <w:r>
        <w:t>22</w:t>
      </w:r>
      <w:r>
        <w:fldChar w:fldCharType="end"/>
      </w:r>
    </w:p>
    <w:p w14:paraId="6C79422C" w14:textId="26A6187A" w:rsidR="00D34197" w:rsidRDefault="00D34197">
      <w:pPr>
        <w:pStyle w:val="TOC3"/>
        <w:rPr>
          <w:rFonts w:asciiTheme="minorHAnsi" w:eastAsiaTheme="minorEastAsia" w:hAnsiTheme="minorHAnsi" w:cstheme="minorBidi"/>
        </w:rPr>
      </w:pPr>
      <w:r>
        <w:t>Enhanced SMRA</w:t>
      </w:r>
      <w:r>
        <w:tab/>
      </w:r>
      <w:r>
        <w:fldChar w:fldCharType="begin"/>
      </w:r>
      <w:r>
        <w:instrText xml:space="preserve"> PAGEREF _Toc8207137 \h </w:instrText>
      </w:r>
      <w:r>
        <w:fldChar w:fldCharType="separate"/>
      </w:r>
      <w:r>
        <w:t>23</w:t>
      </w:r>
      <w:r>
        <w:fldChar w:fldCharType="end"/>
      </w:r>
    </w:p>
    <w:p w14:paraId="02EC7FD5" w14:textId="518D4ABC" w:rsidR="00D34197" w:rsidRDefault="00D34197">
      <w:pPr>
        <w:pStyle w:val="TOC3"/>
        <w:rPr>
          <w:rFonts w:asciiTheme="minorHAnsi" w:eastAsiaTheme="minorEastAsia" w:hAnsiTheme="minorHAnsi" w:cstheme="minorBidi"/>
        </w:rPr>
      </w:pPr>
      <w:r>
        <w:lastRenderedPageBreak/>
        <w:t>Package bidding formats</w:t>
      </w:r>
      <w:r>
        <w:tab/>
      </w:r>
      <w:r>
        <w:fldChar w:fldCharType="begin"/>
      </w:r>
      <w:r>
        <w:instrText xml:space="preserve"> PAGEREF _Toc8207138 \h </w:instrText>
      </w:r>
      <w:r>
        <w:fldChar w:fldCharType="separate"/>
      </w:r>
      <w:r>
        <w:t>24</w:t>
      </w:r>
      <w:r>
        <w:fldChar w:fldCharType="end"/>
      </w:r>
    </w:p>
    <w:p w14:paraId="45F0CCF2" w14:textId="2F66C5A2" w:rsidR="00D34197" w:rsidRDefault="00D34197">
      <w:pPr>
        <w:pStyle w:val="TOC3"/>
        <w:rPr>
          <w:rFonts w:asciiTheme="minorHAnsi" w:eastAsiaTheme="minorEastAsia" w:hAnsiTheme="minorHAnsi" w:cstheme="minorBidi"/>
        </w:rPr>
      </w:pPr>
      <w:r>
        <w:t>ACMA preliminary preferred view</w:t>
      </w:r>
      <w:r>
        <w:tab/>
      </w:r>
      <w:r>
        <w:fldChar w:fldCharType="begin"/>
      </w:r>
      <w:r>
        <w:instrText xml:space="preserve"> PAGEREF _Toc8207139 \h </w:instrText>
      </w:r>
      <w:r>
        <w:fldChar w:fldCharType="separate"/>
      </w:r>
      <w:r>
        <w:t>25</w:t>
      </w:r>
      <w:r>
        <w:fldChar w:fldCharType="end"/>
      </w:r>
    </w:p>
    <w:p w14:paraId="41F32D18" w14:textId="51020033" w:rsidR="00D34197" w:rsidRDefault="00D34197">
      <w:pPr>
        <w:pStyle w:val="TOC2"/>
        <w:rPr>
          <w:rFonts w:asciiTheme="minorHAnsi" w:eastAsiaTheme="minorEastAsia" w:hAnsiTheme="minorHAnsi" w:cstheme="minorBidi"/>
          <w:spacing w:val="0"/>
          <w:sz w:val="22"/>
          <w:szCs w:val="22"/>
        </w:rPr>
      </w:pPr>
      <w:r>
        <w:t>Lot configuration</w:t>
      </w:r>
      <w:r>
        <w:tab/>
      </w:r>
      <w:r>
        <w:fldChar w:fldCharType="begin"/>
      </w:r>
      <w:r>
        <w:instrText xml:space="preserve"> PAGEREF _Toc8207140 \h </w:instrText>
      </w:r>
      <w:r>
        <w:fldChar w:fldCharType="separate"/>
      </w:r>
      <w:r>
        <w:t>26</w:t>
      </w:r>
      <w:r>
        <w:fldChar w:fldCharType="end"/>
      </w:r>
    </w:p>
    <w:p w14:paraId="2915BFA5" w14:textId="7100E970" w:rsidR="00D34197" w:rsidRDefault="00D34197">
      <w:pPr>
        <w:pStyle w:val="TOC3"/>
        <w:rPr>
          <w:rFonts w:asciiTheme="minorHAnsi" w:eastAsiaTheme="minorEastAsia" w:hAnsiTheme="minorHAnsi" w:cstheme="minorBidi"/>
        </w:rPr>
      </w:pPr>
      <w:r>
        <w:t>Spectrum demand</w:t>
      </w:r>
      <w:r>
        <w:tab/>
      </w:r>
      <w:r>
        <w:fldChar w:fldCharType="begin"/>
      </w:r>
      <w:r>
        <w:instrText xml:space="preserve"> PAGEREF _Toc8207141 \h </w:instrText>
      </w:r>
      <w:r>
        <w:fldChar w:fldCharType="separate"/>
      </w:r>
      <w:r>
        <w:t>26</w:t>
      </w:r>
      <w:r>
        <w:fldChar w:fldCharType="end"/>
      </w:r>
    </w:p>
    <w:p w14:paraId="4265F32F" w14:textId="40A76D96" w:rsidR="00D34197" w:rsidRDefault="00D34197">
      <w:pPr>
        <w:pStyle w:val="TOC3"/>
        <w:rPr>
          <w:rFonts w:asciiTheme="minorHAnsi" w:eastAsiaTheme="minorEastAsia" w:hAnsiTheme="minorHAnsi" w:cstheme="minorBidi"/>
        </w:rPr>
      </w:pPr>
      <w:r>
        <w:t>Frequency lot configuration</w:t>
      </w:r>
      <w:r>
        <w:tab/>
      </w:r>
      <w:r>
        <w:fldChar w:fldCharType="begin"/>
      </w:r>
      <w:r>
        <w:instrText xml:space="preserve"> PAGEREF _Toc8207142 \h </w:instrText>
      </w:r>
      <w:r>
        <w:fldChar w:fldCharType="separate"/>
      </w:r>
      <w:r>
        <w:t>26</w:t>
      </w:r>
      <w:r>
        <w:fldChar w:fldCharType="end"/>
      </w:r>
    </w:p>
    <w:p w14:paraId="5C2F2E89" w14:textId="3D867015" w:rsidR="00D34197" w:rsidRDefault="00D34197">
      <w:pPr>
        <w:pStyle w:val="TOC3"/>
        <w:rPr>
          <w:rFonts w:asciiTheme="minorHAnsi" w:eastAsiaTheme="minorEastAsia" w:hAnsiTheme="minorHAnsi" w:cstheme="minorBidi"/>
        </w:rPr>
      </w:pPr>
      <w:r>
        <w:t>ACMA preliminary preferred view</w:t>
      </w:r>
      <w:r>
        <w:tab/>
      </w:r>
      <w:r>
        <w:fldChar w:fldCharType="begin"/>
      </w:r>
      <w:r>
        <w:instrText xml:space="preserve"> PAGEREF _Toc8207143 \h </w:instrText>
      </w:r>
      <w:r>
        <w:fldChar w:fldCharType="separate"/>
      </w:r>
      <w:r>
        <w:t>28</w:t>
      </w:r>
      <w:r>
        <w:fldChar w:fldCharType="end"/>
      </w:r>
    </w:p>
    <w:p w14:paraId="19191D28" w14:textId="4546C163" w:rsidR="00D34197" w:rsidRDefault="00D34197">
      <w:pPr>
        <w:pStyle w:val="TOC2"/>
        <w:rPr>
          <w:rFonts w:asciiTheme="minorHAnsi" w:eastAsiaTheme="minorEastAsia" w:hAnsiTheme="minorHAnsi" w:cstheme="minorBidi"/>
          <w:spacing w:val="0"/>
          <w:sz w:val="22"/>
          <w:szCs w:val="22"/>
        </w:rPr>
      </w:pPr>
      <w:r>
        <w:t>Geographic areas</w:t>
      </w:r>
      <w:r>
        <w:tab/>
      </w:r>
      <w:r>
        <w:fldChar w:fldCharType="begin"/>
      </w:r>
      <w:r>
        <w:instrText xml:space="preserve"> PAGEREF _Toc8207144 \h </w:instrText>
      </w:r>
      <w:r>
        <w:fldChar w:fldCharType="separate"/>
      </w:r>
      <w:r>
        <w:t>29</w:t>
      </w:r>
      <w:r>
        <w:fldChar w:fldCharType="end"/>
      </w:r>
    </w:p>
    <w:p w14:paraId="738043C5" w14:textId="2984500D" w:rsidR="00D34197" w:rsidRDefault="00D34197">
      <w:pPr>
        <w:pStyle w:val="TOC3"/>
        <w:rPr>
          <w:rFonts w:asciiTheme="minorHAnsi" w:eastAsiaTheme="minorEastAsia" w:hAnsiTheme="minorHAnsi" w:cstheme="minorBidi"/>
        </w:rPr>
      </w:pPr>
      <w:r>
        <w:t>ACMA preliminary preferred view</w:t>
      </w:r>
      <w:r>
        <w:tab/>
      </w:r>
      <w:r>
        <w:fldChar w:fldCharType="begin"/>
      </w:r>
      <w:r>
        <w:instrText xml:space="preserve"> PAGEREF _Toc8207145 \h </w:instrText>
      </w:r>
      <w:r>
        <w:fldChar w:fldCharType="separate"/>
      </w:r>
      <w:r>
        <w:t>30</w:t>
      </w:r>
      <w:r>
        <w:fldChar w:fldCharType="end"/>
      </w:r>
    </w:p>
    <w:p w14:paraId="1AB4DE45" w14:textId="61AC1213" w:rsidR="00D34197" w:rsidRDefault="00D34197">
      <w:pPr>
        <w:pStyle w:val="TOC1"/>
        <w:rPr>
          <w:rFonts w:asciiTheme="minorHAnsi" w:eastAsiaTheme="minorEastAsia" w:hAnsiTheme="minorHAnsi" w:cstheme="minorBidi"/>
          <w:b w:val="0"/>
          <w:spacing w:val="0"/>
          <w:sz w:val="22"/>
          <w:szCs w:val="22"/>
        </w:rPr>
      </w:pPr>
      <w:r>
        <w:t>Next steps</w:t>
      </w:r>
      <w:r>
        <w:tab/>
      </w:r>
      <w:r>
        <w:fldChar w:fldCharType="begin"/>
      </w:r>
      <w:r>
        <w:instrText xml:space="preserve"> PAGEREF _Toc8207146 \h </w:instrText>
      </w:r>
      <w:r>
        <w:fldChar w:fldCharType="separate"/>
      </w:r>
      <w:r>
        <w:t>32</w:t>
      </w:r>
      <w:r>
        <w:fldChar w:fldCharType="end"/>
      </w:r>
    </w:p>
    <w:p w14:paraId="27BFC0BA" w14:textId="4FDF57BA" w:rsidR="00D34197" w:rsidRDefault="00D34197">
      <w:pPr>
        <w:pStyle w:val="TOC1"/>
        <w:rPr>
          <w:rFonts w:asciiTheme="minorHAnsi" w:eastAsiaTheme="minorEastAsia" w:hAnsiTheme="minorHAnsi" w:cstheme="minorBidi"/>
          <w:b w:val="0"/>
          <w:spacing w:val="0"/>
          <w:sz w:val="22"/>
          <w:szCs w:val="22"/>
        </w:rPr>
      </w:pPr>
      <w:r>
        <w:t>Invitation to comment</w:t>
      </w:r>
      <w:r>
        <w:tab/>
      </w:r>
      <w:r>
        <w:fldChar w:fldCharType="begin"/>
      </w:r>
      <w:r>
        <w:instrText xml:space="preserve"> PAGEREF _Toc8207147 \h </w:instrText>
      </w:r>
      <w:r>
        <w:fldChar w:fldCharType="separate"/>
      </w:r>
      <w:r>
        <w:t>34</w:t>
      </w:r>
      <w:r>
        <w:fldChar w:fldCharType="end"/>
      </w:r>
    </w:p>
    <w:p w14:paraId="02517A3D" w14:textId="4E8FA771" w:rsidR="00D34197" w:rsidRDefault="00D34197">
      <w:pPr>
        <w:pStyle w:val="TOC2"/>
        <w:rPr>
          <w:rFonts w:asciiTheme="minorHAnsi" w:eastAsiaTheme="minorEastAsia" w:hAnsiTheme="minorHAnsi" w:cstheme="minorBidi"/>
          <w:spacing w:val="0"/>
          <w:sz w:val="22"/>
          <w:szCs w:val="22"/>
        </w:rPr>
      </w:pPr>
      <w:r>
        <w:t>Making a submission</w:t>
      </w:r>
      <w:r>
        <w:tab/>
      </w:r>
      <w:r>
        <w:fldChar w:fldCharType="begin"/>
      </w:r>
      <w:r>
        <w:instrText xml:space="preserve"> PAGEREF _Toc8207148 \h </w:instrText>
      </w:r>
      <w:r>
        <w:fldChar w:fldCharType="separate"/>
      </w:r>
      <w:r>
        <w:t>34</w:t>
      </w:r>
      <w:r>
        <w:fldChar w:fldCharType="end"/>
      </w:r>
    </w:p>
    <w:p w14:paraId="0ACB2166" w14:textId="52484D8A" w:rsidR="00D34197" w:rsidRDefault="00D34197">
      <w:pPr>
        <w:pStyle w:val="TOC1"/>
        <w:rPr>
          <w:rFonts w:asciiTheme="minorHAnsi" w:eastAsiaTheme="minorEastAsia" w:hAnsiTheme="minorHAnsi" w:cstheme="minorBidi"/>
          <w:b w:val="0"/>
          <w:spacing w:val="0"/>
          <w:sz w:val="22"/>
          <w:szCs w:val="22"/>
        </w:rPr>
      </w:pPr>
      <w:r>
        <w:t>Attachment A—Section 153G notice</w:t>
      </w:r>
      <w:r>
        <w:tab/>
      </w:r>
      <w:r>
        <w:fldChar w:fldCharType="begin"/>
      </w:r>
      <w:r>
        <w:instrText xml:space="preserve"> PAGEREF _Toc8207149 \h </w:instrText>
      </w:r>
      <w:r>
        <w:fldChar w:fldCharType="separate"/>
      </w:r>
      <w:r>
        <w:t>35</w:t>
      </w:r>
      <w:r>
        <w:fldChar w:fldCharType="end"/>
      </w:r>
    </w:p>
    <w:p w14:paraId="2DCCF21E" w14:textId="6A81F10B" w:rsidR="00D34197" w:rsidRDefault="00D34197">
      <w:pPr>
        <w:pStyle w:val="TOC1"/>
        <w:rPr>
          <w:rFonts w:asciiTheme="minorHAnsi" w:eastAsiaTheme="minorEastAsia" w:hAnsiTheme="minorHAnsi" w:cstheme="minorBidi"/>
          <w:b w:val="0"/>
          <w:spacing w:val="0"/>
          <w:sz w:val="22"/>
          <w:szCs w:val="22"/>
        </w:rPr>
      </w:pPr>
      <w:r>
        <w:t>Attachment B— Spectrum reallocation process</w:t>
      </w:r>
      <w:r>
        <w:tab/>
      </w:r>
      <w:r>
        <w:fldChar w:fldCharType="begin"/>
      </w:r>
      <w:r>
        <w:instrText xml:space="preserve"> PAGEREF _Toc8207150 \h </w:instrText>
      </w:r>
      <w:r>
        <w:fldChar w:fldCharType="separate"/>
      </w:r>
      <w:r>
        <w:t>39</w:t>
      </w:r>
      <w:r>
        <w:fldChar w:fldCharType="end"/>
      </w:r>
    </w:p>
    <w:p w14:paraId="2A712BE0" w14:textId="2E308C38" w:rsidR="00D34197" w:rsidRDefault="00D34197">
      <w:pPr>
        <w:pStyle w:val="TOC2"/>
        <w:rPr>
          <w:rFonts w:asciiTheme="minorHAnsi" w:eastAsiaTheme="minorEastAsia" w:hAnsiTheme="minorHAnsi" w:cstheme="minorBidi"/>
          <w:spacing w:val="0"/>
          <w:sz w:val="22"/>
          <w:szCs w:val="22"/>
        </w:rPr>
      </w:pPr>
      <w:r>
        <w:t>Main steps in the reallocation process</w:t>
      </w:r>
      <w:r>
        <w:tab/>
      </w:r>
      <w:r>
        <w:fldChar w:fldCharType="begin"/>
      </w:r>
      <w:r>
        <w:instrText xml:space="preserve"> PAGEREF _Toc8207151 \h </w:instrText>
      </w:r>
      <w:r>
        <w:fldChar w:fldCharType="separate"/>
      </w:r>
      <w:r>
        <w:t>39</w:t>
      </w:r>
      <w:r>
        <w:fldChar w:fldCharType="end"/>
      </w:r>
    </w:p>
    <w:p w14:paraId="52AD09CD" w14:textId="685C2E2F" w:rsidR="00D34197" w:rsidRDefault="00D34197">
      <w:pPr>
        <w:pStyle w:val="TOC1"/>
        <w:rPr>
          <w:rFonts w:asciiTheme="minorHAnsi" w:eastAsiaTheme="minorEastAsia" w:hAnsiTheme="minorHAnsi" w:cstheme="minorBidi"/>
          <w:b w:val="0"/>
          <w:spacing w:val="0"/>
          <w:sz w:val="22"/>
          <w:szCs w:val="22"/>
        </w:rPr>
      </w:pPr>
      <w:r>
        <w:t>Attachment C—HCIS for FSS footprints</w:t>
      </w:r>
      <w:r>
        <w:tab/>
      </w:r>
      <w:r>
        <w:fldChar w:fldCharType="begin"/>
      </w:r>
      <w:r>
        <w:instrText xml:space="preserve"> PAGEREF _Toc8207152 \h </w:instrText>
      </w:r>
      <w:r>
        <w:fldChar w:fldCharType="separate"/>
      </w:r>
      <w:r>
        <w:t>42</w:t>
      </w:r>
      <w:r>
        <w:fldChar w:fldCharType="end"/>
      </w:r>
    </w:p>
    <w:p w14:paraId="02E68A50" w14:textId="5AF1B49A" w:rsidR="000A4A51" w:rsidRPr="000D76E0" w:rsidRDefault="007A6CC0">
      <w:pPr>
        <w:rPr>
          <w:rFonts w:cs="Arial"/>
        </w:rPr>
      </w:pPr>
      <w:r>
        <w:rPr>
          <w:rFonts w:cs="Arial"/>
          <w:b/>
          <w:noProof/>
          <w:spacing w:val="-14"/>
          <w:sz w:val="28"/>
        </w:rPr>
        <w:fldChar w:fldCharType="end"/>
      </w:r>
    </w:p>
    <w:p w14:paraId="6154D682" w14:textId="77777777" w:rsidR="004D56FF" w:rsidRPr="000D76E0" w:rsidRDefault="004D56FF">
      <w:pPr>
        <w:rPr>
          <w:rFonts w:cs="Arial"/>
        </w:rPr>
        <w:sectPr w:rsidR="004D56FF" w:rsidRPr="000D76E0" w:rsidSect="00C77380">
          <w:headerReference w:type="even" r:id="rId19"/>
          <w:headerReference w:type="default" r:id="rId20"/>
          <w:footerReference w:type="even" r:id="rId21"/>
          <w:footerReference w:type="default" r:id="rId22"/>
          <w:footerReference w:type="first" r:id="rId23"/>
          <w:pgSz w:w="11906" w:h="16838" w:code="9"/>
          <w:pgMar w:top="3646" w:right="3101" w:bottom="1134" w:left="1134" w:header="709" w:footer="119" w:gutter="0"/>
          <w:cols w:space="708"/>
          <w:titlePg/>
          <w:docGrid w:linePitch="360"/>
        </w:sectPr>
      </w:pPr>
    </w:p>
    <w:p w14:paraId="0EB622F5" w14:textId="77777777" w:rsidR="009D6C71" w:rsidRPr="009174F3" w:rsidRDefault="009D6C71" w:rsidP="009174F3">
      <w:pPr>
        <w:pStyle w:val="ACMAExecSummaryHeading"/>
      </w:pPr>
      <w:bookmarkStart w:id="0" w:name="_Toc8207109"/>
      <w:r w:rsidRPr="009174F3">
        <w:lastRenderedPageBreak/>
        <w:t>Executive summary</w:t>
      </w:r>
      <w:bookmarkEnd w:id="0"/>
    </w:p>
    <w:p w14:paraId="7FF9ACEA" w14:textId="2D884067" w:rsidR="004315A4" w:rsidRDefault="008A3422" w:rsidP="00AB40D2">
      <w:r>
        <w:t>S</w:t>
      </w:r>
      <w:r w:rsidR="004315A4">
        <w:t>ubmissions</w:t>
      </w:r>
      <w:r>
        <w:t xml:space="preserve"> are invited</w:t>
      </w:r>
      <w:r w:rsidR="004315A4">
        <w:t xml:space="preserve"> on </w:t>
      </w:r>
      <w:r w:rsidR="004315A4">
        <w:rPr>
          <w:szCs w:val="20"/>
        </w:rPr>
        <w:t xml:space="preserve">a </w:t>
      </w:r>
      <w:r w:rsidR="004315A4" w:rsidRPr="00954CD3">
        <w:rPr>
          <w:szCs w:val="20"/>
        </w:rPr>
        <w:t xml:space="preserve">draft recommendation to the </w:t>
      </w:r>
      <w:r w:rsidR="00560546">
        <w:rPr>
          <w:szCs w:val="20"/>
        </w:rPr>
        <w:t>m</w:t>
      </w:r>
      <w:r w:rsidR="004315A4" w:rsidRPr="00954CD3">
        <w:rPr>
          <w:szCs w:val="20"/>
        </w:rPr>
        <w:t xml:space="preserve">inister </w:t>
      </w:r>
      <w:r w:rsidR="00560546">
        <w:rPr>
          <w:szCs w:val="20"/>
        </w:rPr>
        <w:t xml:space="preserve">responsible </w:t>
      </w:r>
      <w:r w:rsidR="004315A4" w:rsidRPr="00954CD3">
        <w:rPr>
          <w:szCs w:val="20"/>
        </w:rPr>
        <w:t xml:space="preserve">for </w:t>
      </w:r>
      <w:r w:rsidR="00560546">
        <w:rPr>
          <w:szCs w:val="20"/>
        </w:rPr>
        <w:t>the c</w:t>
      </w:r>
      <w:r w:rsidR="004315A4" w:rsidRPr="00954CD3">
        <w:rPr>
          <w:szCs w:val="20"/>
        </w:rPr>
        <w:t>ommunications</w:t>
      </w:r>
      <w:r w:rsidR="00560546">
        <w:rPr>
          <w:szCs w:val="20"/>
        </w:rPr>
        <w:t xml:space="preserve"> portfolio</w:t>
      </w:r>
      <w:r w:rsidR="005C46C6">
        <w:rPr>
          <w:szCs w:val="20"/>
        </w:rPr>
        <w:t xml:space="preserve"> (the minister)</w:t>
      </w:r>
      <w:r w:rsidR="004315A4">
        <w:rPr>
          <w:szCs w:val="20"/>
        </w:rPr>
        <w:t xml:space="preserve"> </w:t>
      </w:r>
      <w:r w:rsidR="00621882">
        <w:rPr>
          <w:szCs w:val="20"/>
        </w:rPr>
        <w:t>to</w:t>
      </w:r>
      <w:r w:rsidR="004315A4" w:rsidRPr="00954CD3">
        <w:rPr>
          <w:szCs w:val="20"/>
        </w:rPr>
        <w:t xml:space="preserve"> make</w:t>
      </w:r>
      <w:r w:rsidR="004315A4">
        <w:rPr>
          <w:szCs w:val="20"/>
        </w:rPr>
        <w:t xml:space="preserve"> a</w:t>
      </w:r>
      <w:r w:rsidR="004315A4" w:rsidRPr="00954CD3">
        <w:rPr>
          <w:szCs w:val="20"/>
        </w:rPr>
        <w:t xml:space="preserve"> declaration</w:t>
      </w:r>
      <w:r w:rsidR="004315A4">
        <w:rPr>
          <w:szCs w:val="20"/>
        </w:rPr>
        <w:t xml:space="preserve"> </w:t>
      </w:r>
      <w:r w:rsidR="00D671EB">
        <w:rPr>
          <w:szCs w:val="20"/>
        </w:rPr>
        <w:t>reallocating spectrum for spectrum licensing in</w:t>
      </w:r>
      <w:r w:rsidR="004315A4" w:rsidRPr="00954CD3">
        <w:rPr>
          <w:szCs w:val="20"/>
        </w:rPr>
        <w:t xml:space="preserve"> </w:t>
      </w:r>
      <w:r w:rsidR="004315A4">
        <w:rPr>
          <w:szCs w:val="20"/>
        </w:rPr>
        <w:t xml:space="preserve">the frequency range 25.1–27.5 GHz </w:t>
      </w:r>
      <w:r w:rsidR="00575175">
        <w:rPr>
          <w:szCs w:val="20"/>
        </w:rPr>
        <w:t xml:space="preserve">(the 26 GHz band) </w:t>
      </w:r>
      <w:r w:rsidR="00D671EB">
        <w:rPr>
          <w:szCs w:val="20"/>
        </w:rPr>
        <w:t>in 34 areas consisting</w:t>
      </w:r>
      <w:r w:rsidR="00D671EB">
        <w:t xml:space="preserve"> of </w:t>
      </w:r>
      <w:r w:rsidR="00D671EB">
        <w:rPr>
          <w:szCs w:val="20"/>
        </w:rPr>
        <w:t>cities</w:t>
      </w:r>
      <w:r w:rsidR="00D671EB">
        <w:t xml:space="preserve"> and </w:t>
      </w:r>
      <w:r w:rsidR="000C51F8">
        <w:t>regional centres</w:t>
      </w:r>
      <w:r w:rsidR="004315A4">
        <w:rPr>
          <w:szCs w:val="20"/>
        </w:rPr>
        <w:t>.</w:t>
      </w:r>
      <w:r w:rsidR="00251E98" w:rsidRPr="00251E98">
        <w:t xml:space="preserve"> </w:t>
      </w:r>
    </w:p>
    <w:p w14:paraId="1C10A46C" w14:textId="17B853C4" w:rsidR="004315A4" w:rsidRDefault="004530C3" w:rsidP="004315A4">
      <w:r>
        <w:t xml:space="preserve">The </w:t>
      </w:r>
      <w:r w:rsidR="00910BBA">
        <w:t>frequency range 24.25</w:t>
      </w:r>
      <w:r w:rsidR="00B40ED5">
        <w:rPr>
          <w:szCs w:val="20"/>
        </w:rPr>
        <w:t>–</w:t>
      </w:r>
      <w:r w:rsidR="00910BBA">
        <w:t>27.5 GHz (the</w:t>
      </w:r>
      <w:r w:rsidR="00575175">
        <w:t xml:space="preserve"> wider</w:t>
      </w:r>
      <w:r w:rsidR="00910BBA">
        <w:t xml:space="preserve"> </w:t>
      </w:r>
      <w:r>
        <w:t>26 GHz band</w:t>
      </w:r>
      <w:r w:rsidR="00910BBA">
        <w:t>)</w:t>
      </w:r>
      <w:r w:rsidR="00D46831">
        <w:t xml:space="preserve"> </w:t>
      </w:r>
      <w:r w:rsidR="00247BA6">
        <w:t>has been identified</w:t>
      </w:r>
      <w:r w:rsidR="00E50CEC">
        <w:t xml:space="preserve"> internationally and by the ACMA</w:t>
      </w:r>
      <w:r w:rsidR="00247BA6">
        <w:t xml:space="preserve"> </w:t>
      </w:r>
      <w:r w:rsidR="00C3288F">
        <w:t xml:space="preserve">for delivery </w:t>
      </w:r>
      <w:r w:rsidR="00C3288F" w:rsidRPr="00D05406">
        <w:t xml:space="preserve">of </w:t>
      </w:r>
      <w:bookmarkStart w:id="1" w:name="_Hlk6498452"/>
      <w:r w:rsidR="00C3288F" w:rsidRPr="00D05406">
        <w:t>millimetre wave</w:t>
      </w:r>
      <w:r w:rsidR="006D7F9D" w:rsidRPr="00D05406">
        <w:t xml:space="preserve"> (</w:t>
      </w:r>
      <w:proofErr w:type="spellStart"/>
      <w:r w:rsidR="00CA20E3" w:rsidRPr="00D05406">
        <w:t>mm</w:t>
      </w:r>
      <w:r w:rsidR="006D7F9D" w:rsidRPr="00D05406">
        <w:t>Wave</w:t>
      </w:r>
      <w:proofErr w:type="spellEnd"/>
      <w:r w:rsidR="006D7F9D" w:rsidRPr="00D05406">
        <w:t>)</w:t>
      </w:r>
      <w:bookmarkEnd w:id="1"/>
      <w:r w:rsidR="007C2908" w:rsidRPr="00D05406">
        <w:t xml:space="preserve"> 5</w:t>
      </w:r>
      <w:r w:rsidR="007C2908" w:rsidRPr="001E121D">
        <w:t>th</w:t>
      </w:r>
      <w:r w:rsidR="007C2908" w:rsidRPr="00D05406">
        <w:t xml:space="preserve"> generation (5G) </w:t>
      </w:r>
      <w:r w:rsidR="008C02A2" w:rsidRPr="00D05406">
        <w:t xml:space="preserve">wireless </w:t>
      </w:r>
      <w:r w:rsidR="00CA20E3" w:rsidRPr="00D05406">
        <w:t xml:space="preserve">broadband </w:t>
      </w:r>
      <w:r w:rsidR="00D440D0" w:rsidRPr="00D05406">
        <w:t>services</w:t>
      </w:r>
      <w:r w:rsidR="009A15B1" w:rsidRPr="00D05406">
        <w:t>.</w:t>
      </w:r>
      <w:r w:rsidR="004155D8">
        <w:rPr>
          <w:rStyle w:val="FootnoteReference"/>
        </w:rPr>
        <w:footnoteReference w:id="2"/>
      </w:r>
      <w:r w:rsidR="009A15B1" w:rsidRPr="00D05406">
        <w:t xml:space="preserve"> </w:t>
      </w:r>
      <w:r w:rsidR="00C80BC6" w:rsidRPr="001E121D">
        <w:t>This band</w:t>
      </w:r>
      <w:r w:rsidR="004155D8">
        <w:t xml:space="preserve"> </w:t>
      </w:r>
      <w:r w:rsidR="00C80BC6" w:rsidRPr="001E121D">
        <w:t xml:space="preserve">is </w:t>
      </w:r>
      <w:r w:rsidR="005C46C6">
        <w:t>one of</w:t>
      </w:r>
      <w:r w:rsidR="00C80BC6" w:rsidRPr="001E121D">
        <w:t xml:space="preserve"> the first of the </w:t>
      </w:r>
      <w:proofErr w:type="spellStart"/>
      <w:r w:rsidR="00C80BC6" w:rsidRPr="001E121D">
        <w:t>mmWave</w:t>
      </w:r>
      <w:proofErr w:type="spellEnd"/>
      <w:r w:rsidR="00C80BC6" w:rsidRPr="001E121D">
        <w:t xml:space="preserve"> bands to be </w:t>
      </w:r>
      <w:r w:rsidR="006D11D6">
        <w:t xml:space="preserve">widely </w:t>
      </w:r>
      <w:r w:rsidR="00C80BC6" w:rsidRPr="001E121D">
        <w:t>allocated internationally for wireless broadband services.</w:t>
      </w:r>
      <w:r w:rsidR="0023552A" w:rsidRPr="001E121D">
        <w:t xml:space="preserve"> </w:t>
      </w:r>
    </w:p>
    <w:p w14:paraId="7076D96B" w14:textId="22722A3D" w:rsidR="00A365B3" w:rsidRDefault="001678F6" w:rsidP="007D4572">
      <w:pPr>
        <w:spacing w:after="80"/>
        <w:contextualSpacing/>
      </w:pPr>
      <w:bookmarkStart w:id="2" w:name="_Hlk3895844"/>
      <w:r>
        <w:t>Earlier this year</w:t>
      </w:r>
      <w:r w:rsidR="004238E8">
        <w:t>,</w:t>
      </w:r>
      <w:r>
        <w:t xml:space="preserve"> </w:t>
      </w:r>
      <w:r w:rsidR="006D11D6">
        <w:t xml:space="preserve">following extensive consultation with stakeholders, technical studies and engagement both domestically and internationally, </w:t>
      </w:r>
      <w:r>
        <w:t>t</w:t>
      </w:r>
      <w:r w:rsidR="00024643">
        <w:t xml:space="preserve">he ACMA </w:t>
      </w:r>
      <w:r w:rsidR="0021558C">
        <w:t xml:space="preserve">completed </w:t>
      </w:r>
      <w:r w:rsidR="000B6210">
        <w:t>a</w:t>
      </w:r>
      <w:r w:rsidR="00220439">
        <w:t xml:space="preserve"> review</w:t>
      </w:r>
      <w:r w:rsidR="0021558C">
        <w:t xml:space="preserve"> of the </w:t>
      </w:r>
      <w:r w:rsidR="00C34C76">
        <w:t xml:space="preserve">wider </w:t>
      </w:r>
      <w:r w:rsidR="0021558C">
        <w:t>26 GHz band</w:t>
      </w:r>
      <w:r w:rsidR="00546CDB">
        <w:t xml:space="preserve">. </w:t>
      </w:r>
      <w:bookmarkEnd w:id="2"/>
      <w:r w:rsidR="00C81822">
        <w:t xml:space="preserve">As indicated in the </w:t>
      </w:r>
      <w:bookmarkStart w:id="3" w:name="_Hlk6498463"/>
      <w:r w:rsidR="00333EBE">
        <w:fldChar w:fldCharType="begin"/>
      </w:r>
      <w:r w:rsidR="00333EBE">
        <w:instrText xml:space="preserve"> HYPERLINK "https://acma.gov.au/theACMA/-/media/9C1539075B074218AE7A88578F8C9178.ashx" </w:instrText>
      </w:r>
      <w:r w:rsidR="00333EBE">
        <w:fldChar w:fldCharType="separate"/>
      </w:r>
      <w:r w:rsidR="00C81822" w:rsidRPr="00120497">
        <w:rPr>
          <w:rStyle w:val="Hyperlink"/>
          <w:i/>
        </w:rPr>
        <w:t>Future use of the 26 GHz ban</w:t>
      </w:r>
      <w:r w:rsidR="008921CD">
        <w:rPr>
          <w:rStyle w:val="Hyperlink"/>
          <w:i/>
        </w:rPr>
        <w:t>d—Planning decisions and preliminary views</w:t>
      </w:r>
      <w:bookmarkStart w:id="4" w:name="_Hlk3890244"/>
      <w:r w:rsidR="00333EBE">
        <w:rPr>
          <w:rStyle w:val="Hyperlink"/>
          <w:i/>
        </w:rPr>
        <w:fldChar w:fldCharType="end"/>
      </w:r>
      <w:r w:rsidR="007335E2" w:rsidRPr="00120497">
        <w:t xml:space="preserve"> </w:t>
      </w:r>
      <w:r w:rsidR="00806A5D">
        <w:t xml:space="preserve">paper </w:t>
      </w:r>
      <w:r w:rsidR="007335E2" w:rsidRPr="00120497">
        <w:t>(</w:t>
      </w:r>
      <w:r w:rsidR="007335E2">
        <w:t>the decision paper)</w:t>
      </w:r>
      <w:bookmarkEnd w:id="3"/>
      <w:r w:rsidR="001E628F">
        <w:t xml:space="preserve"> </w:t>
      </w:r>
      <w:bookmarkEnd w:id="4"/>
      <w:r w:rsidR="001D36F7">
        <w:t xml:space="preserve">released in </w:t>
      </w:r>
      <w:r w:rsidR="00D0251D">
        <w:t>April 2019</w:t>
      </w:r>
      <w:r w:rsidR="00E11C99">
        <w:t>,</w:t>
      </w:r>
      <w:r w:rsidR="001D36F7">
        <w:t xml:space="preserve"> </w:t>
      </w:r>
      <w:r w:rsidR="003C7BD8">
        <w:t xml:space="preserve">the ACMA </w:t>
      </w:r>
      <w:r w:rsidR="000B6210">
        <w:t>proposes</w:t>
      </w:r>
      <w:r w:rsidR="001A5EEC">
        <w:t xml:space="preserve"> to</w:t>
      </w:r>
      <w:r w:rsidR="00BC2713">
        <w:t xml:space="preserve"> e</w:t>
      </w:r>
      <w:r w:rsidR="003B7060">
        <w:t>nable the introduction of</w:t>
      </w:r>
      <w:r w:rsidR="00BC2713">
        <w:t xml:space="preserve"> wireless broadband service</w:t>
      </w:r>
      <w:r w:rsidR="003B7060">
        <w:t xml:space="preserve">s in the band </w:t>
      </w:r>
      <w:r w:rsidR="00931748">
        <w:t>by</w:t>
      </w:r>
      <w:r w:rsidR="00A365B3">
        <w:t>:</w:t>
      </w:r>
    </w:p>
    <w:p w14:paraId="0049D550" w14:textId="6F60C45A" w:rsidR="0022385D" w:rsidRDefault="00806A5D" w:rsidP="007D4572">
      <w:pPr>
        <w:pStyle w:val="ListBullet"/>
        <w:tabs>
          <w:tab w:val="clear" w:pos="1996"/>
          <w:tab w:val="num" w:pos="295"/>
        </w:tabs>
        <w:ind w:left="295"/>
        <w:contextualSpacing/>
      </w:pPr>
      <w:r w:rsidRPr="00FF3306">
        <w:t>i</w:t>
      </w:r>
      <w:r w:rsidR="00931748" w:rsidRPr="00FF3306">
        <w:t>dentifying</w:t>
      </w:r>
      <w:r w:rsidR="00931748">
        <w:t xml:space="preserve"> </w:t>
      </w:r>
      <w:r w:rsidR="006D11D6">
        <w:t xml:space="preserve">the frequency range </w:t>
      </w:r>
      <w:r w:rsidR="00F34E9E">
        <w:t>25.1</w:t>
      </w:r>
      <w:r w:rsidR="00C34C76" w:rsidRPr="00C34C76">
        <w:t>–</w:t>
      </w:r>
      <w:r w:rsidR="00757C8C">
        <w:t>27.5 GHz</w:t>
      </w:r>
      <w:r w:rsidR="009C1BC8">
        <w:t xml:space="preserve"> (2.4 GHz total)</w:t>
      </w:r>
      <w:r w:rsidR="009759AF">
        <w:t xml:space="preserve"> </w:t>
      </w:r>
      <w:r w:rsidR="008B3D2A">
        <w:t xml:space="preserve">for </w:t>
      </w:r>
      <w:r w:rsidR="0072568B">
        <w:t>spectrum licensing</w:t>
      </w:r>
      <w:r w:rsidR="00FA3ADC">
        <w:t xml:space="preserve"> in </w:t>
      </w:r>
      <w:r w:rsidR="000B377E">
        <w:t>34</w:t>
      </w:r>
      <w:r w:rsidR="00823506">
        <w:t xml:space="preserve"> </w:t>
      </w:r>
      <w:r w:rsidR="00212E28">
        <w:t xml:space="preserve">cities </w:t>
      </w:r>
      <w:r w:rsidR="00FA3ADC">
        <w:t>and</w:t>
      </w:r>
      <w:r w:rsidR="00323AE9">
        <w:t xml:space="preserve"> </w:t>
      </w:r>
      <w:r w:rsidR="00823506">
        <w:t>regional centres</w:t>
      </w:r>
      <w:r w:rsidR="009C1BC8" w:rsidDel="009C1BC8">
        <w:t xml:space="preserve"> </w:t>
      </w:r>
    </w:p>
    <w:p w14:paraId="7E1C8BCC" w14:textId="6E599685" w:rsidR="00355275" w:rsidRDefault="00806A5D" w:rsidP="007D4572">
      <w:pPr>
        <w:pStyle w:val="ListBulletLast"/>
        <w:tabs>
          <w:tab w:val="clear" w:pos="1996"/>
          <w:tab w:val="num" w:pos="295"/>
        </w:tabs>
        <w:ind w:left="295"/>
      </w:pPr>
      <w:r>
        <w:t>i</w:t>
      </w:r>
      <w:r w:rsidR="006C20CA">
        <w:t xml:space="preserve">dentifying a </w:t>
      </w:r>
      <w:r w:rsidR="0082414F">
        <w:t xml:space="preserve">range of </w:t>
      </w:r>
      <w:r w:rsidR="006442CF">
        <w:t>apparatus and class licensing measures to facilitate a broad range of wireless broadband uses</w:t>
      </w:r>
      <w:r w:rsidR="00355275">
        <w:t>.</w:t>
      </w:r>
    </w:p>
    <w:p w14:paraId="600BC630" w14:textId="2B05ED13" w:rsidR="00AB40D2" w:rsidRDefault="00AB40D2" w:rsidP="00F642C9">
      <w:pPr>
        <w:spacing w:before="120" w:after="120" w:line="240" w:lineRule="auto"/>
      </w:pPr>
      <w:r>
        <w:rPr>
          <w:szCs w:val="20"/>
        </w:rPr>
        <w:t xml:space="preserve">Before </w:t>
      </w:r>
      <w:r w:rsidR="000B6210">
        <w:rPr>
          <w:szCs w:val="20"/>
        </w:rPr>
        <w:t xml:space="preserve">the ACMA may </w:t>
      </w:r>
      <w:r>
        <w:rPr>
          <w:szCs w:val="20"/>
        </w:rPr>
        <w:t>mak</w:t>
      </w:r>
      <w:r w:rsidR="000B6210">
        <w:rPr>
          <w:szCs w:val="20"/>
        </w:rPr>
        <w:t>e</w:t>
      </w:r>
      <w:r w:rsidR="00E21652">
        <w:rPr>
          <w:szCs w:val="20"/>
        </w:rPr>
        <w:t xml:space="preserve"> </w:t>
      </w:r>
      <w:r>
        <w:rPr>
          <w:szCs w:val="20"/>
        </w:rPr>
        <w:t xml:space="preserve">a recommendation to the </w:t>
      </w:r>
      <w:r w:rsidDel="00F65097">
        <w:rPr>
          <w:szCs w:val="20"/>
        </w:rPr>
        <w:t>minister</w:t>
      </w:r>
      <w:r w:rsidR="000B6210">
        <w:rPr>
          <w:szCs w:val="20"/>
        </w:rPr>
        <w:t xml:space="preserve"> to reallocate spectrum</w:t>
      </w:r>
      <w:r>
        <w:rPr>
          <w:szCs w:val="20"/>
        </w:rPr>
        <w:t>, the ACMA must</w:t>
      </w:r>
      <w:r w:rsidR="00FF3306">
        <w:rPr>
          <w:rStyle w:val="ilfuvd"/>
          <w:rFonts w:cs="Arial"/>
          <w:color w:val="222222"/>
        </w:rPr>
        <w:t>—</w:t>
      </w:r>
      <w:r>
        <w:rPr>
          <w:szCs w:val="20"/>
        </w:rPr>
        <w:t xml:space="preserve">under </w:t>
      </w:r>
      <w:r w:rsidRPr="000D72EF">
        <w:t>Part</w:t>
      </w:r>
      <w:r>
        <w:t> </w:t>
      </w:r>
      <w:r w:rsidRPr="000D72EF">
        <w:t xml:space="preserve">3.6 of the </w:t>
      </w:r>
      <w:bookmarkStart w:id="5" w:name="_Hlk6497436"/>
      <w:r w:rsidRPr="004D4924">
        <w:rPr>
          <w:i/>
        </w:rPr>
        <w:t>Radiocommunications Act</w:t>
      </w:r>
      <w:r w:rsidR="0065107D">
        <w:rPr>
          <w:i/>
        </w:rPr>
        <w:t> </w:t>
      </w:r>
      <w:r w:rsidRPr="004D4924">
        <w:rPr>
          <w:i/>
        </w:rPr>
        <w:t>1992</w:t>
      </w:r>
      <w:r>
        <w:rPr>
          <w:i/>
        </w:rPr>
        <w:t xml:space="preserve"> </w:t>
      </w:r>
      <w:r w:rsidRPr="00F56DA6">
        <w:t>(the Act)</w:t>
      </w:r>
      <w:bookmarkEnd w:id="5"/>
      <w:r w:rsidR="00FF3306">
        <w:rPr>
          <w:rStyle w:val="ilfuvd"/>
          <w:rFonts w:cs="Arial"/>
          <w:color w:val="222222"/>
        </w:rPr>
        <w:t>—</w:t>
      </w:r>
      <w:r w:rsidRPr="000D72EF">
        <w:t>consult with stakeholders</w:t>
      </w:r>
      <w:r w:rsidR="007F3664">
        <w:t xml:space="preserve"> on the recommendation it should make</w:t>
      </w:r>
      <w:r>
        <w:t xml:space="preserve">. In particular, under section 153G of the Act, the ACMA must invite comments on the terms of the draft recommendation from potentially affected apparatus licensees. </w:t>
      </w:r>
    </w:p>
    <w:p w14:paraId="431F9FEB" w14:textId="03BB5B3A" w:rsidR="00DD63AA" w:rsidRDefault="00AB40D2" w:rsidP="00AB40D2">
      <w:r w:rsidRPr="00CE5EB6">
        <w:t>Attachment A</w:t>
      </w:r>
      <w:r>
        <w:t xml:space="preserve"> to this paper contains a notice inviting such comments. To help interested parties prepare their comments, this paper outlines </w:t>
      </w:r>
      <w:r w:rsidRPr="009C5A85">
        <w:t>the ACMA</w:t>
      </w:r>
      <w:r>
        <w:t>’s proposed</w:t>
      </w:r>
      <w:r w:rsidRPr="009C5A85">
        <w:t xml:space="preserve"> </w:t>
      </w:r>
      <w:r w:rsidR="005C46C6">
        <w:t xml:space="preserve">terms </w:t>
      </w:r>
      <w:r>
        <w:t>for each element of the draft recommendation (</w:t>
      </w:r>
      <w:r w:rsidR="00E62DF6">
        <w:t>Table 1</w:t>
      </w:r>
      <w:r>
        <w:t xml:space="preserve">) and the background to each </w:t>
      </w:r>
      <w:r w:rsidR="005C46C6">
        <w:t>element</w:t>
      </w:r>
      <w:r>
        <w:t>.</w:t>
      </w:r>
    </w:p>
    <w:p w14:paraId="493FA4B2" w14:textId="44F9AB27" w:rsidR="00AB40D2" w:rsidRDefault="00AB40D2" w:rsidP="007F3664">
      <w:pPr>
        <w:pStyle w:val="ACMATableHeader"/>
        <w:keepNext/>
        <w:keepLines/>
        <w:tabs>
          <w:tab w:val="clear" w:pos="964"/>
          <w:tab w:val="num" w:pos="-2154"/>
        </w:tabs>
      </w:pPr>
      <w:bookmarkStart w:id="6" w:name="_Ref4141806"/>
      <w:r>
        <w:lastRenderedPageBreak/>
        <w:t xml:space="preserve">Terms of the draft </w:t>
      </w:r>
      <w:r w:rsidRPr="00394D59">
        <w:t>recommendation</w:t>
      </w:r>
      <w:bookmarkEnd w:id="6"/>
    </w:p>
    <w:tbl>
      <w:tblPr>
        <w:tblW w:w="9503" w:type="dxa"/>
        <w:tblBorders>
          <w:top w:val="single" w:sz="4" w:space="0" w:color="auto"/>
          <w:bottom w:val="single" w:sz="4" w:space="0" w:color="auto"/>
          <w:insideH w:val="single" w:sz="4" w:space="0" w:color="auto"/>
        </w:tblBorders>
        <w:tblLayout w:type="fixed"/>
        <w:tblCellMar>
          <w:top w:w="85" w:type="dxa"/>
          <w:bottom w:w="85" w:type="dxa"/>
        </w:tblCellMar>
        <w:tblLook w:val="01E0" w:firstRow="1" w:lastRow="1" w:firstColumn="1" w:lastColumn="1" w:noHBand="0" w:noVBand="0"/>
        <w:tblCaption w:val="Table title to go here"/>
        <w:tblDescription w:val="Table description to go here"/>
      </w:tblPr>
      <w:tblGrid>
        <w:gridCol w:w="2615"/>
        <w:gridCol w:w="6888"/>
      </w:tblGrid>
      <w:tr w:rsidR="00866E47" w:rsidRPr="006D46E5" w14:paraId="113FF466" w14:textId="77777777" w:rsidTr="007F3664">
        <w:tc>
          <w:tcPr>
            <w:tcW w:w="2615" w:type="dxa"/>
            <w:shd w:val="clear" w:color="auto" w:fill="404040" w:themeFill="text1" w:themeFillTint="BF"/>
          </w:tcPr>
          <w:p w14:paraId="557B7BBA" w14:textId="77777777" w:rsidR="00866E47" w:rsidRPr="006D46E5" w:rsidRDefault="00866E47" w:rsidP="001F0B7A">
            <w:pPr>
              <w:pStyle w:val="TableHeading"/>
              <w:keepNext/>
              <w:keepLines/>
              <w:rPr>
                <w:rFonts w:cs="Arial"/>
                <w:color w:val="FFFFFF" w:themeColor="background1"/>
              </w:rPr>
            </w:pPr>
            <w:r>
              <w:rPr>
                <w:rFonts w:cs="Arial"/>
                <w:color w:val="FFFFFF" w:themeColor="background1"/>
              </w:rPr>
              <w:t>Element of draft recommendation</w:t>
            </w:r>
          </w:p>
        </w:tc>
        <w:tc>
          <w:tcPr>
            <w:tcW w:w="6888" w:type="dxa"/>
            <w:shd w:val="clear" w:color="auto" w:fill="404040" w:themeFill="text1" w:themeFillTint="BF"/>
          </w:tcPr>
          <w:p w14:paraId="7D46693B" w14:textId="77777777" w:rsidR="00866E47" w:rsidRPr="006D46E5" w:rsidRDefault="00866E47" w:rsidP="001F0B7A">
            <w:pPr>
              <w:pStyle w:val="TableHeading"/>
              <w:keepNext/>
              <w:keepLines/>
              <w:rPr>
                <w:rFonts w:cs="Arial"/>
                <w:color w:val="FFFFFF" w:themeColor="background1"/>
              </w:rPr>
            </w:pPr>
            <w:r>
              <w:rPr>
                <w:rFonts w:cs="Arial"/>
                <w:color w:val="FFFFFF" w:themeColor="background1"/>
              </w:rPr>
              <w:t>The ACMA’s proposed recommendation</w:t>
            </w:r>
          </w:p>
        </w:tc>
      </w:tr>
      <w:tr w:rsidR="00866E47" w:rsidRPr="006D46E5" w14:paraId="0BA17660" w14:textId="77777777" w:rsidTr="007F3664">
        <w:tc>
          <w:tcPr>
            <w:tcW w:w="2615" w:type="dxa"/>
            <w:tcBorders>
              <w:bottom w:val="single" w:sz="4" w:space="0" w:color="auto"/>
            </w:tcBorders>
          </w:tcPr>
          <w:p w14:paraId="5D8F9930" w14:textId="77777777" w:rsidR="00866E47" w:rsidRPr="006D46E5" w:rsidRDefault="00866E47" w:rsidP="001F0B7A">
            <w:pPr>
              <w:pStyle w:val="TableBody"/>
              <w:keepNext/>
              <w:keepLines/>
              <w:rPr>
                <w:rFonts w:cs="Arial"/>
              </w:rPr>
            </w:pPr>
            <w:r>
              <w:rPr>
                <w:rFonts w:cs="Arial"/>
              </w:rPr>
              <w:t>Licence type</w:t>
            </w:r>
          </w:p>
        </w:tc>
        <w:tc>
          <w:tcPr>
            <w:tcW w:w="6888" w:type="dxa"/>
            <w:tcBorders>
              <w:bottom w:val="single" w:sz="4" w:space="0" w:color="auto"/>
            </w:tcBorders>
          </w:tcPr>
          <w:p w14:paraId="68F49FC0" w14:textId="77777777" w:rsidR="00866E47" w:rsidRPr="006D46E5" w:rsidRDefault="00866E47" w:rsidP="001F0B7A">
            <w:pPr>
              <w:pStyle w:val="TableBody"/>
              <w:keepNext/>
              <w:keepLines/>
              <w:rPr>
                <w:rFonts w:cs="Arial"/>
              </w:rPr>
            </w:pPr>
            <w:r>
              <w:rPr>
                <w:rFonts w:cs="Arial"/>
              </w:rPr>
              <w:t>Spectrum licences</w:t>
            </w:r>
          </w:p>
        </w:tc>
      </w:tr>
      <w:tr w:rsidR="00866E47" w:rsidRPr="006D46E5" w14:paraId="6281D614" w14:textId="77777777" w:rsidTr="007F3664">
        <w:tc>
          <w:tcPr>
            <w:tcW w:w="2615" w:type="dxa"/>
            <w:shd w:val="clear" w:color="auto" w:fill="F2F2F2" w:themeFill="background1" w:themeFillShade="F2"/>
          </w:tcPr>
          <w:p w14:paraId="4C46EA63" w14:textId="77777777" w:rsidR="00866E47" w:rsidRPr="006D46E5" w:rsidRDefault="00866E47" w:rsidP="001F0B7A">
            <w:pPr>
              <w:pStyle w:val="TableBody"/>
              <w:keepNext/>
              <w:keepLines/>
              <w:rPr>
                <w:rFonts w:cs="Arial"/>
              </w:rPr>
            </w:pPr>
            <w:r>
              <w:rPr>
                <w:rFonts w:cs="Arial"/>
              </w:rPr>
              <w:t>Parts of the spectrum</w:t>
            </w:r>
          </w:p>
        </w:tc>
        <w:tc>
          <w:tcPr>
            <w:tcW w:w="6888" w:type="dxa"/>
            <w:shd w:val="clear" w:color="auto" w:fill="F2F2F2" w:themeFill="background1" w:themeFillShade="F2"/>
          </w:tcPr>
          <w:p w14:paraId="579AA391" w14:textId="42BA6C33" w:rsidR="00866E47" w:rsidRPr="006D46E5" w:rsidRDefault="00866E47" w:rsidP="001F0B7A">
            <w:pPr>
              <w:pStyle w:val="TableBody"/>
              <w:keepNext/>
              <w:keepLines/>
              <w:rPr>
                <w:rFonts w:cs="Arial"/>
              </w:rPr>
            </w:pPr>
            <w:r>
              <w:rPr>
                <w:rFonts w:cs="Arial"/>
              </w:rPr>
              <w:t>25.1</w:t>
            </w:r>
            <w:bookmarkStart w:id="7" w:name="_Hlk4680220"/>
            <w:r w:rsidR="00667037">
              <w:rPr>
                <w:rFonts w:cs="Arial"/>
              </w:rPr>
              <w:t>–</w:t>
            </w:r>
            <w:bookmarkEnd w:id="7"/>
            <w:r>
              <w:rPr>
                <w:rFonts w:cs="Arial"/>
              </w:rPr>
              <w:t xml:space="preserve">27.5 GHz in </w:t>
            </w:r>
            <w:r w:rsidR="002A0408">
              <w:rPr>
                <w:rFonts w:cs="Arial"/>
              </w:rPr>
              <w:t xml:space="preserve">34 </w:t>
            </w:r>
            <w:r w:rsidR="00ED6AB9">
              <w:rPr>
                <w:rFonts w:cs="Arial"/>
              </w:rPr>
              <w:t>specified</w:t>
            </w:r>
            <w:r w:rsidR="002A0408">
              <w:rPr>
                <w:rFonts w:cs="Arial"/>
              </w:rPr>
              <w:t xml:space="preserve"> </w:t>
            </w:r>
            <w:r w:rsidR="005E6853">
              <w:rPr>
                <w:rFonts w:cs="Arial"/>
              </w:rPr>
              <w:t xml:space="preserve">cities and </w:t>
            </w:r>
            <w:r w:rsidR="00823506">
              <w:rPr>
                <w:rFonts w:cs="Arial"/>
              </w:rPr>
              <w:t>regional centres</w:t>
            </w:r>
          </w:p>
        </w:tc>
      </w:tr>
      <w:tr w:rsidR="00866E47" w:rsidRPr="006D46E5" w14:paraId="688981C4" w14:textId="77777777" w:rsidTr="007F3664">
        <w:tc>
          <w:tcPr>
            <w:tcW w:w="2615" w:type="dxa"/>
            <w:tcBorders>
              <w:bottom w:val="single" w:sz="4" w:space="0" w:color="auto"/>
            </w:tcBorders>
          </w:tcPr>
          <w:p w14:paraId="29FEA664" w14:textId="77777777" w:rsidR="00866E47" w:rsidRPr="006D46E5" w:rsidRDefault="00866E47" w:rsidP="001F0B7A">
            <w:pPr>
              <w:pStyle w:val="TableBody"/>
              <w:keepNext/>
              <w:keepLines/>
              <w:rPr>
                <w:rFonts w:cs="Arial"/>
              </w:rPr>
            </w:pPr>
            <w:r>
              <w:rPr>
                <w:rFonts w:cs="Arial"/>
              </w:rPr>
              <w:t>Reallocation period</w:t>
            </w:r>
          </w:p>
        </w:tc>
        <w:tc>
          <w:tcPr>
            <w:tcW w:w="6888" w:type="dxa"/>
            <w:tcBorders>
              <w:bottom w:val="single" w:sz="4" w:space="0" w:color="auto"/>
            </w:tcBorders>
          </w:tcPr>
          <w:p w14:paraId="29421E1A" w14:textId="2A9B078D" w:rsidR="00866E47" w:rsidRPr="006D46E5" w:rsidRDefault="00866E47" w:rsidP="001F0B7A">
            <w:pPr>
              <w:pStyle w:val="TableBody"/>
              <w:keepNext/>
              <w:keepLines/>
              <w:rPr>
                <w:rFonts w:cs="Arial"/>
              </w:rPr>
            </w:pPr>
            <w:r>
              <w:rPr>
                <w:rFonts w:cs="Arial"/>
              </w:rPr>
              <w:t>Two</w:t>
            </w:r>
            <w:r w:rsidR="00AB592F">
              <w:rPr>
                <w:rFonts w:cs="Arial"/>
              </w:rPr>
              <w:t>-</w:t>
            </w:r>
            <w:r w:rsidR="00442D59">
              <w:rPr>
                <w:rFonts w:cs="Arial"/>
              </w:rPr>
              <w:t>and</w:t>
            </w:r>
            <w:r w:rsidR="00AB592F">
              <w:rPr>
                <w:rFonts w:cs="Arial"/>
              </w:rPr>
              <w:t>-</w:t>
            </w:r>
            <w:r w:rsidR="00442D59">
              <w:rPr>
                <w:rFonts w:cs="Arial"/>
              </w:rPr>
              <w:t>a</w:t>
            </w:r>
            <w:r w:rsidR="00AB592F">
              <w:rPr>
                <w:rFonts w:cs="Arial"/>
              </w:rPr>
              <w:t>-</w:t>
            </w:r>
            <w:r w:rsidR="00442D59">
              <w:rPr>
                <w:rFonts w:cs="Arial"/>
              </w:rPr>
              <w:t>half</w:t>
            </w:r>
            <w:r w:rsidR="00CA41E3">
              <w:rPr>
                <w:rFonts w:cs="Arial"/>
              </w:rPr>
              <w:t xml:space="preserve"> </w:t>
            </w:r>
            <w:r>
              <w:rPr>
                <w:rFonts w:cs="Arial"/>
              </w:rPr>
              <w:t>years</w:t>
            </w:r>
          </w:p>
        </w:tc>
      </w:tr>
      <w:tr w:rsidR="00866E47" w:rsidRPr="006D46E5" w14:paraId="75DCFDFD" w14:textId="77777777" w:rsidTr="007F3664">
        <w:tc>
          <w:tcPr>
            <w:tcW w:w="2615" w:type="dxa"/>
            <w:shd w:val="clear" w:color="auto" w:fill="F2F2F2" w:themeFill="background1" w:themeFillShade="F2"/>
          </w:tcPr>
          <w:p w14:paraId="7E44307D" w14:textId="77777777" w:rsidR="00866E47" w:rsidRPr="006D46E5" w:rsidRDefault="00866E47" w:rsidP="001F0B7A">
            <w:pPr>
              <w:pStyle w:val="TableBody"/>
              <w:keepNext/>
              <w:keepLines/>
              <w:rPr>
                <w:rFonts w:cs="Arial"/>
              </w:rPr>
            </w:pPr>
            <w:r>
              <w:rPr>
                <w:rFonts w:cs="Arial"/>
              </w:rPr>
              <w:t>Reallocation deadline</w:t>
            </w:r>
          </w:p>
        </w:tc>
        <w:tc>
          <w:tcPr>
            <w:tcW w:w="6888" w:type="dxa"/>
            <w:shd w:val="clear" w:color="auto" w:fill="F2F2F2" w:themeFill="background1" w:themeFillShade="F2"/>
          </w:tcPr>
          <w:p w14:paraId="19052805" w14:textId="1EEA293E" w:rsidR="00866E47" w:rsidRPr="006D46E5" w:rsidRDefault="00530459" w:rsidP="001F0B7A">
            <w:pPr>
              <w:pStyle w:val="TableBody"/>
              <w:keepNext/>
              <w:keepLines/>
              <w:rPr>
                <w:rFonts w:cs="Arial"/>
              </w:rPr>
            </w:pPr>
            <w:r>
              <w:rPr>
                <w:rFonts w:cs="Arial"/>
              </w:rPr>
              <w:t xml:space="preserve">12 </w:t>
            </w:r>
            <w:r w:rsidR="00866E47">
              <w:rPr>
                <w:rFonts w:cs="Arial"/>
              </w:rPr>
              <w:t>months before the end of the reallocation period</w:t>
            </w:r>
          </w:p>
        </w:tc>
      </w:tr>
    </w:tbl>
    <w:p w14:paraId="5228FCB3" w14:textId="77777777" w:rsidR="001E6A7E" w:rsidRPr="00EE0712" w:rsidRDefault="001E6A7E" w:rsidP="001F0B7A">
      <w:pPr>
        <w:pStyle w:val="ACMASpaceaftertable"/>
      </w:pPr>
    </w:p>
    <w:p w14:paraId="1946FDA8" w14:textId="1C21284E" w:rsidR="00AB40D2" w:rsidRDefault="00AB40D2">
      <w:r>
        <w:t xml:space="preserve">If the </w:t>
      </w:r>
      <w:r w:rsidR="009117AA">
        <w:t>ACMA mak</w:t>
      </w:r>
      <w:r w:rsidR="00797815">
        <w:t>e</w:t>
      </w:r>
      <w:r w:rsidR="009117AA">
        <w:t xml:space="preserve">s a recommendation on these proposed terms and the </w:t>
      </w:r>
      <w:r>
        <w:t xml:space="preserve">minister accepts the ACMA’s recommendation and makes a reallocation declaration for </w:t>
      </w:r>
      <w:r w:rsidR="00C549A9">
        <w:t xml:space="preserve">the </w:t>
      </w:r>
      <w:r w:rsidR="00C34C76">
        <w:t>26</w:t>
      </w:r>
      <w:r w:rsidR="00B36E4E">
        <w:t> </w:t>
      </w:r>
      <w:r w:rsidR="00474D14">
        <w:rPr>
          <w:rFonts w:cs="Arial"/>
        </w:rPr>
        <w:t>GHz</w:t>
      </w:r>
      <w:r w:rsidR="00C34C76">
        <w:rPr>
          <w:rFonts w:cs="Arial"/>
        </w:rPr>
        <w:t xml:space="preserve"> band</w:t>
      </w:r>
      <w:r>
        <w:t xml:space="preserve">, the ACMA </w:t>
      </w:r>
      <w:r w:rsidR="00B36E4E">
        <w:t>proposes to</w:t>
      </w:r>
      <w:r>
        <w:t xml:space="preserve"> conduct a price-based allocation of the spectrum. </w:t>
      </w:r>
    </w:p>
    <w:p w14:paraId="120AA416" w14:textId="1D2918F2" w:rsidR="00465075" w:rsidRDefault="00465075" w:rsidP="00465075">
      <w:r>
        <w:t xml:space="preserve">As the government is currently in a caretaker period, it is noted that the spectrum management policies of an incoming government may have implications for future </w:t>
      </w:r>
      <w:r w:rsidR="00D93606">
        <w:t xml:space="preserve">spectrum </w:t>
      </w:r>
      <w:r>
        <w:t>planning arrangements.</w:t>
      </w:r>
    </w:p>
    <w:p w14:paraId="20067F98" w14:textId="6855ADD7" w:rsidR="00AB40D2" w:rsidRDefault="00AB40D2" w:rsidP="00EA306A">
      <w:pPr>
        <w:spacing w:after="80"/>
        <w:rPr>
          <w:szCs w:val="20"/>
        </w:rPr>
      </w:pPr>
      <w:r>
        <w:t>In the interests of facilitating an efficient reallocation process,</w:t>
      </w:r>
      <w:r w:rsidDel="001A51E8">
        <w:t xml:space="preserve"> this</w:t>
      </w:r>
      <w:r w:rsidR="008D5FD2">
        <w:t xml:space="preserve"> </w:t>
      </w:r>
      <w:r>
        <w:t>paper also provides information on matters relevant to such an allocation and invites preliminary comment</w:t>
      </w:r>
      <w:r w:rsidR="005E6853">
        <w:t>s</w:t>
      </w:r>
      <w:r>
        <w:rPr>
          <w:szCs w:val="20"/>
        </w:rPr>
        <w:t xml:space="preserve">. </w:t>
      </w:r>
      <w:r>
        <w:t>These matters include:</w:t>
      </w:r>
    </w:p>
    <w:p w14:paraId="3459A56A" w14:textId="5C571A0D" w:rsidR="00AB40D2" w:rsidRDefault="002446FA" w:rsidP="00EA306A">
      <w:pPr>
        <w:pStyle w:val="ListBullet"/>
        <w:tabs>
          <w:tab w:val="clear" w:pos="1996"/>
          <w:tab w:val="num" w:pos="295"/>
        </w:tabs>
        <w:ind w:left="295"/>
      </w:pPr>
      <w:r>
        <w:t xml:space="preserve">the </w:t>
      </w:r>
      <w:r w:rsidR="00AB40D2">
        <w:t>licence term</w:t>
      </w:r>
    </w:p>
    <w:p w14:paraId="6E2B9A03" w14:textId="5982E96F" w:rsidR="00AB40D2" w:rsidRDefault="00C97BE8" w:rsidP="00EA306A">
      <w:pPr>
        <w:pStyle w:val="ListBullet"/>
        <w:tabs>
          <w:tab w:val="clear" w:pos="1996"/>
          <w:tab w:val="num" w:pos="295"/>
        </w:tabs>
        <w:ind w:left="295"/>
      </w:pPr>
      <w:r>
        <w:t xml:space="preserve">allocation </w:t>
      </w:r>
      <w:r w:rsidR="00AB40D2">
        <w:t>methodology</w:t>
      </w:r>
    </w:p>
    <w:p w14:paraId="19C0625F" w14:textId="578634D8" w:rsidR="00AB40D2" w:rsidRPr="001A51E8" w:rsidRDefault="00AB40D2" w:rsidP="00EA306A">
      <w:pPr>
        <w:pStyle w:val="ListBulletLast"/>
        <w:tabs>
          <w:tab w:val="clear" w:pos="1996"/>
          <w:tab w:val="num" w:pos="295"/>
        </w:tabs>
        <w:ind w:left="295"/>
      </w:pPr>
      <w:r w:rsidRPr="001A51E8">
        <w:t>lot configuration</w:t>
      </w:r>
      <w:r w:rsidR="009A1411">
        <w:t>.</w:t>
      </w:r>
    </w:p>
    <w:p w14:paraId="78E1F7D9" w14:textId="3F13F5A1" w:rsidR="00E37402" w:rsidRPr="002A4077" w:rsidRDefault="00E37402">
      <w:r>
        <w:t xml:space="preserve">The ACMA emphasises that views on these matters would only be relevant </w:t>
      </w:r>
      <w:r w:rsidR="00577FC4">
        <w:t>if</w:t>
      </w:r>
      <w:r w:rsidR="00B36E4E">
        <w:t xml:space="preserve"> </w:t>
      </w:r>
      <w:r w:rsidR="00C83C51">
        <w:t xml:space="preserve">the </w:t>
      </w:r>
      <w:r w:rsidR="00B36E4E">
        <w:t>ACMA makes the propos</w:t>
      </w:r>
      <w:r w:rsidR="00E21652">
        <w:t>e</w:t>
      </w:r>
      <w:r w:rsidR="00B36E4E">
        <w:t>d recommendation and</w:t>
      </w:r>
      <w:r>
        <w:t xml:space="preserve"> the </w:t>
      </w:r>
      <w:r w:rsidR="00D62084">
        <w:t>m</w:t>
      </w:r>
      <w:r>
        <w:t xml:space="preserve">inister accepts the ACMA’s recommendation. </w:t>
      </w:r>
      <w:r w:rsidR="00AB40D2">
        <w:t xml:space="preserve">If a reallocation declaration is made, stakeholders will have additional opportunities to comment on these matters, as part of the consultation process on the allocation instruments. </w:t>
      </w:r>
    </w:p>
    <w:p w14:paraId="26429629" w14:textId="43E98142" w:rsidR="00AB40D2" w:rsidRPr="002D5170" w:rsidRDefault="00AB40D2" w:rsidP="00EA306A">
      <w:pPr>
        <w:pStyle w:val="BodySubHeader"/>
      </w:pPr>
      <w:r>
        <w:t xml:space="preserve">Licence </w:t>
      </w:r>
      <w:r w:rsidR="002446FA">
        <w:t>t</w:t>
      </w:r>
      <w:r>
        <w:t>erm</w:t>
      </w:r>
    </w:p>
    <w:p w14:paraId="63875E89" w14:textId="187043DD" w:rsidR="00AB40D2" w:rsidRDefault="00AB40D2">
      <w:pPr>
        <w:rPr>
          <w:szCs w:val="20"/>
        </w:rPr>
      </w:pPr>
      <w:r>
        <w:rPr>
          <w:szCs w:val="20"/>
        </w:rPr>
        <w:t>The ACMA propose</w:t>
      </w:r>
      <w:r w:rsidR="00667037">
        <w:rPr>
          <w:szCs w:val="20"/>
        </w:rPr>
        <w:t>s</w:t>
      </w:r>
      <w:r>
        <w:rPr>
          <w:szCs w:val="20"/>
        </w:rPr>
        <w:t xml:space="preserve"> </w:t>
      </w:r>
      <w:r w:rsidR="00667037">
        <w:rPr>
          <w:szCs w:val="20"/>
        </w:rPr>
        <w:t xml:space="preserve">that </w:t>
      </w:r>
      <w:r>
        <w:rPr>
          <w:szCs w:val="20"/>
        </w:rPr>
        <w:t xml:space="preserve">spectrum licences </w:t>
      </w:r>
      <w:r w:rsidR="004C73A2">
        <w:rPr>
          <w:szCs w:val="20"/>
        </w:rPr>
        <w:t xml:space="preserve">in the </w:t>
      </w:r>
      <w:r w:rsidR="00C34C76">
        <w:rPr>
          <w:szCs w:val="20"/>
        </w:rPr>
        <w:t>26</w:t>
      </w:r>
      <w:r w:rsidR="004C73A2">
        <w:rPr>
          <w:szCs w:val="20"/>
        </w:rPr>
        <w:t xml:space="preserve"> GHz </w:t>
      </w:r>
      <w:r w:rsidR="00C34C76">
        <w:rPr>
          <w:szCs w:val="20"/>
        </w:rPr>
        <w:t xml:space="preserve">band </w:t>
      </w:r>
      <w:r w:rsidR="009366D6">
        <w:rPr>
          <w:szCs w:val="20"/>
        </w:rPr>
        <w:t xml:space="preserve">would </w:t>
      </w:r>
      <w:r w:rsidR="0063094A">
        <w:t>have</w:t>
      </w:r>
      <w:r w:rsidR="009366D6">
        <w:rPr>
          <w:szCs w:val="20"/>
        </w:rPr>
        <w:t xml:space="preserve"> a 15</w:t>
      </w:r>
      <w:r w:rsidR="00BF3689">
        <w:rPr>
          <w:szCs w:val="20"/>
        </w:rPr>
        <w:t>-</w:t>
      </w:r>
      <w:r w:rsidR="009366D6">
        <w:rPr>
          <w:szCs w:val="20"/>
        </w:rPr>
        <w:t xml:space="preserve">year </w:t>
      </w:r>
      <w:r w:rsidR="005C5F58">
        <w:rPr>
          <w:szCs w:val="20"/>
        </w:rPr>
        <w:t>licence term</w:t>
      </w:r>
      <w:r w:rsidR="009117AA">
        <w:rPr>
          <w:szCs w:val="20"/>
        </w:rPr>
        <w:t xml:space="preserve">, </w:t>
      </w:r>
      <w:r w:rsidR="00800426">
        <w:rPr>
          <w:szCs w:val="20"/>
        </w:rPr>
        <w:t>being</w:t>
      </w:r>
      <w:r w:rsidR="009117AA">
        <w:rPr>
          <w:szCs w:val="20"/>
        </w:rPr>
        <w:t xml:space="preserve"> the maximum term permitted under the Act</w:t>
      </w:r>
      <w:r w:rsidR="005C5F58">
        <w:rPr>
          <w:szCs w:val="20"/>
        </w:rPr>
        <w:t xml:space="preserve">. </w:t>
      </w:r>
    </w:p>
    <w:p w14:paraId="25B7968C" w14:textId="77777777" w:rsidR="00AB40D2" w:rsidRPr="002D5170" w:rsidRDefault="00AB40D2" w:rsidP="00EA306A">
      <w:pPr>
        <w:pStyle w:val="BodySubHeader"/>
      </w:pPr>
      <w:r w:rsidRPr="007B06F5">
        <w:t>Allocation methodology</w:t>
      </w:r>
    </w:p>
    <w:p w14:paraId="0F17498F" w14:textId="003242AE" w:rsidR="00AB40D2" w:rsidRDefault="00AB40D2">
      <w:pPr>
        <w:rPr>
          <w:szCs w:val="20"/>
        </w:rPr>
      </w:pPr>
      <w:r>
        <w:t xml:space="preserve">The ACMA considers that an enhanced </w:t>
      </w:r>
      <w:r w:rsidRPr="00F46FCD">
        <w:t>simultaneous multi-round</w:t>
      </w:r>
      <w:r>
        <w:t xml:space="preserve"> ascending (ESMRA) auction would be the most appropriate methodology for the allocation of spectrum</w:t>
      </w:r>
      <w:r w:rsidR="008B3847">
        <w:t xml:space="preserve"> licences</w:t>
      </w:r>
      <w:r>
        <w:t xml:space="preserve"> in the </w:t>
      </w:r>
      <w:r w:rsidR="003641A3">
        <w:t>26</w:t>
      </w:r>
      <w:r>
        <w:t xml:space="preserve"> GHz band.</w:t>
      </w:r>
      <w:r w:rsidRPr="0029774C">
        <w:rPr>
          <w:szCs w:val="20"/>
        </w:rPr>
        <w:t xml:space="preserve"> </w:t>
      </w:r>
      <w:r>
        <w:rPr>
          <w:szCs w:val="20"/>
        </w:rPr>
        <w:t>This two-stage auction methodology</w:t>
      </w:r>
      <w:r w:rsidR="002446FA">
        <w:rPr>
          <w:szCs w:val="20"/>
        </w:rPr>
        <w:t>,</w:t>
      </w:r>
      <w:r>
        <w:rPr>
          <w:szCs w:val="20"/>
        </w:rPr>
        <w:t xml:space="preserve"> comprising a</w:t>
      </w:r>
      <w:r w:rsidR="00142DA3">
        <w:rPr>
          <w:szCs w:val="20"/>
        </w:rPr>
        <w:t xml:space="preserve">n allocation </w:t>
      </w:r>
      <w:r>
        <w:rPr>
          <w:szCs w:val="20"/>
        </w:rPr>
        <w:t>stage with frequency-generic lots and an assignment stage</w:t>
      </w:r>
      <w:r w:rsidR="002446FA">
        <w:rPr>
          <w:szCs w:val="20"/>
        </w:rPr>
        <w:t>,</w:t>
      </w:r>
      <w:r>
        <w:rPr>
          <w:szCs w:val="20"/>
        </w:rPr>
        <w:t xml:space="preserve"> would be administratively efficient and give prospective licensees flexibility in securing spectrum suited to their business plans.</w:t>
      </w:r>
      <w:r w:rsidR="00305CD8">
        <w:rPr>
          <w:szCs w:val="20"/>
        </w:rPr>
        <w:t xml:space="preserve"> It is </w:t>
      </w:r>
      <w:r w:rsidR="0063094A">
        <w:rPr>
          <w:szCs w:val="20"/>
        </w:rPr>
        <w:t xml:space="preserve">the same </w:t>
      </w:r>
      <w:r w:rsidR="00305CD8">
        <w:rPr>
          <w:szCs w:val="20"/>
        </w:rPr>
        <w:t xml:space="preserve">auction methodology </w:t>
      </w:r>
      <w:r w:rsidR="0063094A">
        <w:rPr>
          <w:szCs w:val="20"/>
        </w:rPr>
        <w:t xml:space="preserve">that the ACMA successfully </w:t>
      </w:r>
      <w:r w:rsidR="00305CD8">
        <w:rPr>
          <w:szCs w:val="20"/>
        </w:rPr>
        <w:t>used in the recent 3.6 GHz auctio</w:t>
      </w:r>
      <w:r w:rsidR="0063094A">
        <w:rPr>
          <w:szCs w:val="20"/>
        </w:rPr>
        <w:t xml:space="preserve">n. </w:t>
      </w:r>
    </w:p>
    <w:p w14:paraId="72D0D658" w14:textId="77777777" w:rsidR="001E6A7E" w:rsidRDefault="001E6A7E">
      <w:pPr>
        <w:spacing w:after="0" w:line="240" w:lineRule="auto"/>
        <w:rPr>
          <w:b/>
          <w:i/>
        </w:rPr>
      </w:pPr>
      <w:r>
        <w:br w:type="page"/>
      </w:r>
    </w:p>
    <w:p w14:paraId="0C312BC2" w14:textId="77F7A70F" w:rsidR="00AB40D2" w:rsidRPr="002D5170" w:rsidRDefault="00AB40D2" w:rsidP="00EA306A">
      <w:pPr>
        <w:pStyle w:val="BodySubHeader"/>
      </w:pPr>
      <w:r w:rsidRPr="002D5170">
        <w:lastRenderedPageBreak/>
        <w:t>Lot configuration</w:t>
      </w:r>
    </w:p>
    <w:p w14:paraId="64D3A1EC" w14:textId="52F4DCFE" w:rsidR="008B3847" w:rsidRDefault="00AB40D2" w:rsidP="00EA306A">
      <w:pPr>
        <w:spacing w:after="80"/>
      </w:pPr>
      <w:r>
        <w:t xml:space="preserve">The </w:t>
      </w:r>
      <w:r w:rsidRPr="00FB289C">
        <w:t xml:space="preserve">ACMA </w:t>
      </w:r>
      <w:r>
        <w:t>propose</w:t>
      </w:r>
      <w:r w:rsidR="00357559">
        <w:t>s</w:t>
      </w:r>
      <w:r w:rsidRPr="00FB289C">
        <w:t xml:space="preserve"> to </w:t>
      </w:r>
      <w:r w:rsidR="00C97BE8">
        <w:t>allocate</w:t>
      </w:r>
      <w:r w:rsidR="00C97BE8" w:rsidRPr="00FB289C">
        <w:t xml:space="preserve"> </w:t>
      </w:r>
      <w:r w:rsidRPr="00FB289C">
        <w:t>lots</w:t>
      </w:r>
      <w:r w:rsidR="008B3847">
        <w:t xml:space="preserve"> in:</w:t>
      </w:r>
    </w:p>
    <w:p w14:paraId="3E39CE68" w14:textId="4B1B8E9E" w:rsidR="008B3847" w:rsidRDefault="009579E2" w:rsidP="00EA306A">
      <w:pPr>
        <w:pStyle w:val="ListBullet"/>
        <w:tabs>
          <w:tab w:val="clear" w:pos="1996"/>
          <w:tab w:val="num" w:pos="295"/>
        </w:tabs>
        <w:ind w:left="295"/>
      </w:pPr>
      <w:r>
        <w:t xml:space="preserve">34 </w:t>
      </w:r>
      <w:r w:rsidR="002A5BEA">
        <w:t xml:space="preserve">areas consisting of </w:t>
      </w:r>
      <w:r>
        <w:t xml:space="preserve">cities and regional </w:t>
      </w:r>
      <w:r w:rsidR="002A5BEA">
        <w:t>centres</w:t>
      </w:r>
      <w:r>
        <w:t xml:space="preserve"> </w:t>
      </w:r>
    </w:p>
    <w:p w14:paraId="1EF33917" w14:textId="14DDCA9A" w:rsidR="008B3847" w:rsidRDefault="008B3847" w:rsidP="00EA306A">
      <w:pPr>
        <w:pStyle w:val="ListBulletLast"/>
        <w:tabs>
          <w:tab w:val="clear" w:pos="1996"/>
          <w:tab w:val="num" w:pos="295"/>
        </w:tabs>
        <w:ind w:left="295"/>
      </w:pPr>
      <w:r>
        <w:t>100 MHz blocks</w:t>
      </w:r>
      <w:r w:rsidR="00BD0E57">
        <w:t>.</w:t>
      </w:r>
    </w:p>
    <w:p w14:paraId="0B66F8E3" w14:textId="7F4AE6FE" w:rsidR="00AB40D2" w:rsidRPr="009A1411" w:rsidRDefault="008B3847">
      <w:r>
        <w:t>This would</w:t>
      </w:r>
      <w:r w:rsidR="00953E2B">
        <w:t xml:space="preserve"> accommodate </w:t>
      </w:r>
      <w:proofErr w:type="spellStart"/>
      <w:r w:rsidR="00CE3C72">
        <w:t>mmWave</w:t>
      </w:r>
      <w:proofErr w:type="spellEnd"/>
      <w:r w:rsidR="00B37530">
        <w:t xml:space="preserve"> 5G applications</w:t>
      </w:r>
      <w:r w:rsidR="002B51EF">
        <w:t>,</w:t>
      </w:r>
      <w:r w:rsidR="00B37530">
        <w:t xml:space="preserve"> with </w:t>
      </w:r>
      <w:r w:rsidR="00953E2B">
        <w:t xml:space="preserve">the </w:t>
      </w:r>
      <w:r w:rsidR="00AB40D2" w:rsidRPr="009B3C56">
        <w:t>likely use of the band</w:t>
      </w:r>
      <w:r w:rsidR="00A031F5" w:rsidRPr="009B3C56">
        <w:t xml:space="preserve"> being wide-area </w:t>
      </w:r>
      <w:r w:rsidR="009B3C56" w:rsidRPr="009B3C56">
        <w:t xml:space="preserve">wireless broadband through either </w:t>
      </w:r>
      <w:r w:rsidR="00A031F5" w:rsidRPr="009B3C56">
        <w:t>mobile or fixed network operator deployments</w:t>
      </w:r>
      <w:r>
        <w:t>.</w:t>
      </w:r>
      <w:r w:rsidR="00576B2F">
        <w:t xml:space="preserve"> </w:t>
      </w:r>
      <w:r w:rsidR="00C56772">
        <w:t>The 100 MHz blocks would provide flexibility for bidders to obtain their desired allocation</w:t>
      </w:r>
      <w:r w:rsidR="00323DDB">
        <w:t xml:space="preserve"> and would enable consolidation into larger holdings if desired</w:t>
      </w:r>
      <w:r w:rsidR="001733D9">
        <w:t>.</w:t>
      </w:r>
    </w:p>
    <w:p w14:paraId="0866CA79" w14:textId="2B6543F8" w:rsidR="00AB40D2" w:rsidRPr="002B51EF" w:rsidRDefault="00AB40D2" w:rsidP="00EA306A">
      <w:pPr>
        <w:pStyle w:val="Heading1"/>
      </w:pPr>
      <w:bookmarkStart w:id="8" w:name="_Toc408494347"/>
      <w:bookmarkStart w:id="9" w:name="_Toc408846584"/>
      <w:bookmarkStart w:id="10" w:name="_Toc409015453"/>
      <w:bookmarkStart w:id="11" w:name="_Toc409528615"/>
      <w:bookmarkStart w:id="12" w:name="_Toc409016946"/>
      <w:bookmarkStart w:id="13" w:name="_Toc496277308"/>
      <w:bookmarkStart w:id="14" w:name="_Toc496277707"/>
      <w:bookmarkStart w:id="15" w:name="_Toc496527219"/>
      <w:bookmarkStart w:id="16" w:name="_Toc496527394"/>
      <w:bookmarkStart w:id="17" w:name="_Toc8207110"/>
      <w:r w:rsidRPr="002B51EF">
        <w:lastRenderedPageBreak/>
        <w:t>Introduction</w:t>
      </w:r>
      <w:bookmarkEnd w:id="8"/>
      <w:bookmarkEnd w:id="9"/>
      <w:bookmarkEnd w:id="10"/>
      <w:bookmarkEnd w:id="11"/>
      <w:bookmarkEnd w:id="12"/>
      <w:bookmarkEnd w:id="13"/>
      <w:bookmarkEnd w:id="14"/>
      <w:bookmarkEnd w:id="15"/>
      <w:bookmarkEnd w:id="16"/>
      <w:bookmarkEnd w:id="17"/>
    </w:p>
    <w:p w14:paraId="6FAD400C" w14:textId="66ED5563" w:rsidR="00DD63AA" w:rsidRDefault="00DD63AA" w:rsidP="002B51EF">
      <w:bookmarkStart w:id="18" w:name="_Toc496277309"/>
      <w:bookmarkStart w:id="19" w:name="_Toc496277708"/>
      <w:bookmarkStart w:id="20" w:name="_Toc496527220"/>
      <w:bookmarkStart w:id="21" w:name="_Toc496527395"/>
      <w:bookmarkStart w:id="22" w:name="_Toc298924672"/>
      <w:bookmarkStart w:id="23" w:name="_Toc300909555"/>
      <w:bookmarkStart w:id="24" w:name="_Toc348105636"/>
      <w:r>
        <w:t>In its decision paper</w:t>
      </w:r>
      <w:r w:rsidR="002B51EF">
        <w:t xml:space="preserve">, </w:t>
      </w:r>
      <w:r>
        <w:t xml:space="preserve">the ACMA formed the view that a combination of measures will best maximise the overall public benefit derived from use of the </w:t>
      </w:r>
      <w:r w:rsidR="00C34C76">
        <w:t xml:space="preserve">wider </w:t>
      </w:r>
      <w:r>
        <w:t xml:space="preserve">26 GHz band. </w:t>
      </w:r>
      <w:r w:rsidR="00E62DF6">
        <w:t xml:space="preserve">Figure 1 </w:t>
      </w:r>
      <w:r>
        <w:t xml:space="preserve">below details the proposed arrangements </w:t>
      </w:r>
      <w:r w:rsidR="00142DA3">
        <w:t xml:space="preserve">for </w:t>
      </w:r>
      <w:r w:rsidR="002634C9">
        <w:t xml:space="preserve">wireless broadband services </w:t>
      </w:r>
      <w:r w:rsidR="00142DA3">
        <w:t>in</w:t>
      </w:r>
      <w:r>
        <w:t xml:space="preserve"> the </w:t>
      </w:r>
      <w:r w:rsidR="002634C9">
        <w:t xml:space="preserve">wider 26 GHz </w:t>
      </w:r>
      <w:r>
        <w:t>band</w:t>
      </w:r>
      <w:r w:rsidR="00142DA3">
        <w:rPr>
          <w:rStyle w:val="FootnoteReference"/>
        </w:rPr>
        <w:footnoteReference w:id="3"/>
      </w:r>
      <w:r>
        <w:t>.</w:t>
      </w:r>
    </w:p>
    <w:p w14:paraId="758E0A9C" w14:textId="4B593D30" w:rsidR="00DD63AA" w:rsidRDefault="00DD63AA" w:rsidP="00DD63AA">
      <w:pPr>
        <w:pStyle w:val="ACMAFigureHeader"/>
        <w:keepNext/>
        <w:keepLines/>
        <w:tabs>
          <w:tab w:val="num" w:pos="-962"/>
        </w:tabs>
      </w:pPr>
      <w:r>
        <w:t xml:space="preserve">Planned arrangements for wireless broadband services in the </w:t>
      </w:r>
      <w:r w:rsidR="00640CF4">
        <w:t xml:space="preserve">wider </w:t>
      </w:r>
      <w:r>
        <w:t>26 GHz band</w:t>
      </w:r>
    </w:p>
    <w:p w14:paraId="653A01E6" w14:textId="77777777" w:rsidR="00DD63AA" w:rsidRDefault="00DD63AA" w:rsidP="00DD63AA">
      <w:pPr>
        <w:pStyle w:val="ListBullet"/>
        <w:numPr>
          <w:ilvl w:val="0"/>
          <w:numId w:val="0"/>
        </w:numPr>
        <w:tabs>
          <w:tab w:val="left" w:pos="720"/>
        </w:tabs>
        <w:spacing w:before="120" w:after="120" w:line="240" w:lineRule="auto"/>
      </w:pPr>
      <w:r>
        <w:rPr>
          <w:noProof/>
        </w:rPr>
        <w:drawing>
          <wp:inline distT="0" distB="0" distL="0" distR="0" wp14:anchorId="1407C797" wp14:editId="0FB5CFFF">
            <wp:extent cx="4860290" cy="1529715"/>
            <wp:effectExtent l="0" t="0" r="0" b="0"/>
            <wp:docPr id="17" name="Picture 17" descr="Planned arrangements for wireless broadband services in the wider 26 GHz band including the spectrum licens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60290" cy="1529715"/>
                    </a:xfrm>
                    <a:prstGeom prst="rect">
                      <a:avLst/>
                    </a:prstGeom>
                    <a:noFill/>
                    <a:ln>
                      <a:noFill/>
                    </a:ln>
                  </pic:spPr>
                </pic:pic>
              </a:graphicData>
            </a:graphic>
          </wp:inline>
        </w:drawing>
      </w:r>
    </w:p>
    <w:p w14:paraId="7D67BEE0" w14:textId="39F19E11" w:rsidR="00DD63AA" w:rsidRDefault="00DD63AA" w:rsidP="00DD63AA">
      <w:pPr>
        <w:pStyle w:val="ListBullet"/>
        <w:numPr>
          <w:ilvl w:val="0"/>
          <w:numId w:val="15"/>
        </w:numPr>
        <w:tabs>
          <w:tab w:val="clear" w:pos="720"/>
          <w:tab w:val="num" w:pos="-2114"/>
        </w:tabs>
        <w:spacing w:before="120" w:after="120" w:line="240" w:lineRule="auto"/>
      </w:pPr>
      <w:r>
        <w:t>Class-licensing for indoor use</w:t>
      </w:r>
      <w:r w:rsidR="00263A00">
        <w:t>—</w:t>
      </w:r>
      <w:r>
        <w:t>Australia-wide</w:t>
      </w:r>
    </w:p>
    <w:p w14:paraId="10128DEA" w14:textId="0549C99F" w:rsidR="00DD63AA" w:rsidRDefault="00DD63AA" w:rsidP="00DD63AA">
      <w:pPr>
        <w:pStyle w:val="ListBullet"/>
        <w:numPr>
          <w:ilvl w:val="0"/>
          <w:numId w:val="16"/>
        </w:numPr>
        <w:tabs>
          <w:tab w:val="clear" w:pos="720"/>
          <w:tab w:val="num" w:pos="-2114"/>
        </w:tabs>
        <w:spacing w:before="120" w:after="120" w:line="240" w:lineRule="auto"/>
      </w:pPr>
      <w:r>
        <w:t>Class-licensing for indoor and outdoor use</w:t>
      </w:r>
      <w:r w:rsidR="00263A00">
        <w:t>—</w:t>
      </w:r>
      <w:r>
        <w:t>Australia-wide</w:t>
      </w:r>
    </w:p>
    <w:p w14:paraId="32DB0B46" w14:textId="7AC88B43" w:rsidR="00DD63AA" w:rsidRDefault="00DD63AA" w:rsidP="00DD63AA">
      <w:pPr>
        <w:pStyle w:val="ListBullet"/>
        <w:numPr>
          <w:ilvl w:val="0"/>
          <w:numId w:val="17"/>
        </w:numPr>
        <w:tabs>
          <w:tab w:val="clear" w:pos="720"/>
          <w:tab w:val="num" w:pos="-2114"/>
        </w:tabs>
        <w:spacing w:before="120" w:after="120" w:line="240" w:lineRule="auto"/>
      </w:pPr>
      <w:r>
        <w:t>Spectrum licensing</w:t>
      </w:r>
      <w:r w:rsidR="00263A00">
        <w:t>—</w:t>
      </w:r>
      <w:r>
        <w:t xml:space="preserve">defined areas. Includes additional conditions to protect </w:t>
      </w:r>
      <w:r w:rsidR="00B36E4E">
        <w:t>space research service (</w:t>
      </w:r>
      <w:r>
        <w:t>SRS</w:t>
      </w:r>
      <w:r w:rsidR="00B36E4E">
        <w:t>)</w:t>
      </w:r>
      <w:r>
        <w:t xml:space="preserve"> earth stations</w:t>
      </w:r>
    </w:p>
    <w:p w14:paraId="184C37ED" w14:textId="2646F32E" w:rsidR="00DD63AA" w:rsidRDefault="00DD63AA" w:rsidP="00DD63AA">
      <w:pPr>
        <w:pStyle w:val="ListBullet"/>
        <w:numPr>
          <w:ilvl w:val="0"/>
          <w:numId w:val="18"/>
        </w:numPr>
        <w:tabs>
          <w:tab w:val="clear" w:pos="720"/>
          <w:tab w:val="num" w:pos="-2114"/>
        </w:tabs>
        <w:spacing w:before="120" w:after="120" w:line="240" w:lineRule="auto"/>
      </w:pPr>
      <w:r>
        <w:t>Spectrum licensing with additional</w:t>
      </w:r>
      <w:r w:rsidR="00EF0B40">
        <w:t xml:space="preserve"> fixed satellite service</w:t>
      </w:r>
      <w:r>
        <w:t xml:space="preserve"> </w:t>
      </w:r>
      <w:r w:rsidR="00EF0B40">
        <w:t>(</w:t>
      </w:r>
      <w:r>
        <w:t>FSS</w:t>
      </w:r>
      <w:r w:rsidR="00EF0B40">
        <w:t>)</w:t>
      </w:r>
      <w:r>
        <w:t xml:space="preserve"> coexistence conditions within certain areas.</w:t>
      </w:r>
    </w:p>
    <w:p w14:paraId="3F0A3B1E" w14:textId="7A937383" w:rsidR="00DD63AA" w:rsidRDefault="00DD63AA" w:rsidP="00DD63AA">
      <w:pPr>
        <w:pStyle w:val="ListBullet"/>
        <w:numPr>
          <w:ilvl w:val="0"/>
          <w:numId w:val="19"/>
        </w:numPr>
        <w:tabs>
          <w:tab w:val="clear" w:pos="720"/>
          <w:tab w:val="num" w:pos="-2114"/>
        </w:tabs>
        <w:spacing w:before="120" w:after="120" w:line="240" w:lineRule="auto"/>
      </w:pPr>
      <w:r>
        <w:t>Apparatus licensing</w:t>
      </w:r>
      <w:r w:rsidR="00263A00">
        <w:t>—</w:t>
      </w:r>
      <w:r>
        <w:t>Australia-wide</w:t>
      </w:r>
    </w:p>
    <w:p w14:paraId="068AB456" w14:textId="31116E1A" w:rsidR="00DD63AA" w:rsidRDefault="00DD63AA" w:rsidP="00DD63AA">
      <w:pPr>
        <w:pStyle w:val="ListBullet"/>
        <w:numPr>
          <w:ilvl w:val="0"/>
          <w:numId w:val="20"/>
        </w:numPr>
        <w:tabs>
          <w:tab w:val="clear" w:pos="720"/>
          <w:tab w:val="num" w:pos="-2114"/>
        </w:tabs>
        <w:spacing w:before="120" w:after="120" w:line="240" w:lineRule="auto"/>
      </w:pPr>
      <w:r>
        <w:t>Apparatus licensing</w:t>
      </w:r>
      <w:r w:rsidR="00263A00">
        <w:t>—</w:t>
      </w:r>
      <w:r>
        <w:t>Australia-wide except defined areas. Includes additional conditions to protect SRS earth stations.</w:t>
      </w:r>
    </w:p>
    <w:p w14:paraId="1234F0D5" w14:textId="04B9B178" w:rsidR="00DD63AA" w:rsidRDefault="00DD63AA" w:rsidP="00DD63AA">
      <w:pPr>
        <w:pStyle w:val="ListBullet"/>
        <w:numPr>
          <w:ilvl w:val="0"/>
          <w:numId w:val="21"/>
        </w:numPr>
        <w:tabs>
          <w:tab w:val="clear" w:pos="720"/>
          <w:tab w:val="num" w:pos="-2114"/>
        </w:tabs>
        <w:spacing w:before="120" w:after="120" w:line="240" w:lineRule="auto"/>
      </w:pPr>
      <w:r>
        <w:t>Apparatus licensing with additional conditions to protect FSS uplinks</w:t>
      </w:r>
      <w:r w:rsidR="00263A00">
        <w:t>—</w:t>
      </w:r>
      <w:r>
        <w:t>Australia-wide except defined areas. New FSS earth stations will also be permitted, on a first-in-time coordinated basis with apparatus licensed wireless broadband services.</w:t>
      </w:r>
    </w:p>
    <w:p w14:paraId="6A724BA9" w14:textId="76D2332D" w:rsidR="00AB40D2" w:rsidRPr="00263A00" w:rsidRDefault="00AB40D2" w:rsidP="00263A00">
      <w:pPr>
        <w:pStyle w:val="Heading2"/>
      </w:pPr>
      <w:bookmarkStart w:id="25" w:name="_Toc8207111"/>
      <w:r w:rsidRPr="00263A00">
        <w:t>Draft recommendation</w:t>
      </w:r>
      <w:bookmarkEnd w:id="18"/>
      <w:bookmarkEnd w:id="19"/>
      <w:bookmarkEnd w:id="20"/>
      <w:bookmarkEnd w:id="21"/>
      <w:bookmarkEnd w:id="25"/>
    </w:p>
    <w:p w14:paraId="5DFABA4E" w14:textId="53B9E101" w:rsidR="00AB592F" w:rsidRDefault="00064ABA" w:rsidP="00A1595E">
      <w:r>
        <w:rPr>
          <w:szCs w:val="20"/>
        </w:rPr>
        <w:t>T</w:t>
      </w:r>
      <w:r w:rsidR="00AB40D2" w:rsidRPr="003644C9">
        <w:rPr>
          <w:szCs w:val="20"/>
        </w:rPr>
        <w:t xml:space="preserve">he ACMA has prepared a draft recommendation to the </w:t>
      </w:r>
      <w:r w:rsidR="00ED0F4A">
        <w:rPr>
          <w:szCs w:val="20"/>
        </w:rPr>
        <w:t>m</w:t>
      </w:r>
      <w:r w:rsidR="00AB40D2" w:rsidRPr="003644C9">
        <w:rPr>
          <w:szCs w:val="20"/>
        </w:rPr>
        <w:t>inister</w:t>
      </w:r>
      <w:r w:rsidR="002446FA">
        <w:rPr>
          <w:szCs w:val="20"/>
        </w:rPr>
        <w:t>,</w:t>
      </w:r>
      <w:r w:rsidR="00AB40D2">
        <w:rPr>
          <w:szCs w:val="20"/>
        </w:rPr>
        <w:t xml:space="preserve"> </w:t>
      </w:r>
      <w:r w:rsidR="0023300C">
        <w:rPr>
          <w:szCs w:val="20"/>
        </w:rPr>
        <w:t>recommending</w:t>
      </w:r>
      <w:r w:rsidR="00AB40D2" w:rsidRPr="003644C9">
        <w:rPr>
          <w:szCs w:val="20"/>
        </w:rPr>
        <w:t xml:space="preserve"> </w:t>
      </w:r>
      <w:r w:rsidR="00142DA3">
        <w:rPr>
          <w:szCs w:val="20"/>
        </w:rPr>
        <w:t>they</w:t>
      </w:r>
      <w:r w:rsidR="00AB40D2" w:rsidRPr="003644C9">
        <w:rPr>
          <w:szCs w:val="20"/>
        </w:rPr>
        <w:t xml:space="preserve"> make a spectrum reallocation declaration for </w:t>
      </w:r>
      <w:r w:rsidR="009B3C56">
        <w:rPr>
          <w:szCs w:val="20"/>
        </w:rPr>
        <w:t xml:space="preserve">the </w:t>
      </w:r>
      <w:r w:rsidR="00EF0B40">
        <w:rPr>
          <w:szCs w:val="20"/>
        </w:rPr>
        <w:t xml:space="preserve">reallocation of the </w:t>
      </w:r>
      <w:r w:rsidR="00640CF4">
        <w:rPr>
          <w:szCs w:val="20"/>
        </w:rPr>
        <w:t>26</w:t>
      </w:r>
      <w:r w:rsidR="00B2368D">
        <w:rPr>
          <w:szCs w:val="20"/>
        </w:rPr>
        <w:t xml:space="preserve"> GH</w:t>
      </w:r>
      <w:r w:rsidR="00AB40D2" w:rsidRPr="003644C9">
        <w:rPr>
          <w:szCs w:val="20"/>
        </w:rPr>
        <w:t>z</w:t>
      </w:r>
      <w:r w:rsidR="002446FA">
        <w:rPr>
          <w:szCs w:val="20"/>
        </w:rPr>
        <w:t xml:space="preserve"> </w:t>
      </w:r>
      <w:r w:rsidR="00640CF4">
        <w:rPr>
          <w:szCs w:val="20"/>
        </w:rPr>
        <w:t xml:space="preserve">band </w:t>
      </w:r>
      <w:r w:rsidR="00EF0B40">
        <w:rPr>
          <w:szCs w:val="20"/>
        </w:rPr>
        <w:t xml:space="preserve">by way of </w:t>
      </w:r>
      <w:r w:rsidR="00736FBA">
        <w:rPr>
          <w:szCs w:val="20"/>
        </w:rPr>
        <w:t xml:space="preserve">spectrum licensing in </w:t>
      </w:r>
      <w:r w:rsidR="00C17C85">
        <w:rPr>
          <w:szCs w:val="20"/>
        </w:rPr>
        <w:t>34</w:t>
      </w:r>
      <w:r w:rsidR="00AB592F">
        <w:rPr>
          <w:szCs w:val="20"/>
        </w:rPr>
        <w:t xml:space="preserve"> cities and </w:t>
      </w:r>
      <w:r w:rsidR="00C17C85">
        <w:rPr>
          <w:szCs w:val="20"/>
        </w:rPr>
        <w:t>regional centres</w:t>
      </w:r>
      <w:r w:rsidR="0033404B">
        <w:rPr>
          <w:szCs w:val="20"/>
        </w:rPr>
        <w:t xml:space="preserve"> (which will be referred</w:t>
      </w:r>
      <w:r w:rsidR="00AB592F">
        <w:rPr>
          <w:szCs w:val="20"/>
        </w:rPr>
        <w:t xml:space="preserve"> to </w:t>
      </w:r>
      <w:r w:rsidR="0033404B">
        <w:rPr>
          <w:szCs w:val="20"/>
        </w:rPr>
        <w:t>as</w:t>
      </w:r>
      <w:r w:rsidR="00736FBA">
        <w:rPr>
          <w:szCs w:val="20"/>
        </w:rPr>
        <w:t xml:space="preserve"> </w:t>
      </w:r>
      <w:r w:rsidR="00FD6F52">
        <w:rPr>
          <w:szCs w:val="20"/>
        </w:rPr>
        <w:t>‘</w:t>
      </w:r>
      <w:r w:rsidR="00736FBA">
        <w:rPr>
          <w:szCs w:val="20"/>
        </w:rPr>
        <w:t>defined areas</w:t>
      </w:r>
      <w:r w:rsidR="00FD6F52">
        <w:rPr>
          <w:szCs w:val="20"/>
        </w:rPr>
        <w:t>’</w:t>
      </w:r>
      <w:r w:rsidR="0033404B">
        <w:rPr>
          <w:szCs w:val="20"/>
        </w:rPr>
        <w:t xml:space="preserve"> in </w:t>
      </w:r>
      <w:r w:rsidR="00E97354">
        <w:rPr>
          <w:szCs w:val="20"/>
        </w:rPr>
        <w:t>the remainder</w:t>
      </w:r>
      <w:r w:rsidR="00AB592F">
        <w:rPr>
          <w:szCs w:val="20"/>
        </w:rPr>
        <w:t xml:space="preserve"> of </w:t>
      </w:r>
      <w:r w:rsidR="0033404B">
        <w:rPr>
          <w:szCs w:val="20"/>
        </w:rPr>
        <w:t>this paper)</w:t>
      </w:r>
      <w:r w:rsidR="00736FBA">
        <w:rPr>
          <w:szCs w:val="20"/>
        </w:rPr>
        <w:t>.</w:t>
      </w:r>
      <w:r w:rsidR="00C1217D">
        <w:rPr>
          <w:szCs w:val="20"/>
        </w:rPr>
        <w:t>These areas</w:t>
      </w:r>
      <w:r w:rsidR="00AB592F">
        <w:rPr>
          <w:szCs w:val="20"/>
        </w:rPr>
        <w:t xml:space="preserve"> </w:t>
      </w:r>
      <w:r w:rsidR="00AB592F">
        <w:t xml:space="preserve">consist of population centres greater than 50,000 and smaller centres </w:t>
      </w:r>
      <w:r w:rsidR="003051AE">
        <w:t>which are either</w:t>
      </w:r>
      <w:r w:rsidR="00AB592F">
        <w:t xml:space="preserve"> holiday centres or</w:t>
      </w:r>
      <w:r w:rsidR="003051AE">
        <w:t xml:space="preserve"> contain</w:t>
      </w:r>
      <w:r w:rsidR="00AB592F">
        <w:t xml:space="preserve"> university campuses which have seasonal population increases.</w:t>
      </w:r>
    </w:p>
    <w:p w14:paraId="04B09F85" w14:textId="29B94AEB" w:rsidR="00AB40D2" w:rsidRDefault="000B2917">
      <w:pPr>
        <w:rPr>
          <w:szCs w:val="20"/>
        </w:rPr>
      </w:pPr>
      <w:r>
        <w:rPr>
          <w:szCs w:val="20"/>
        </w:rPr>
        <w:lastRenderedPageBreak/>
        <w:t>T</w:t>
      </w:r>
      <w:r w:rsidR="00277D20">
        <w:rPr>
          <w:szCs w:val="20"/>
        </w:rPr>
        <w:t xml:space="preserve">he defined areas are described </w:t>
      </w:r>
      <w:r w:rsidR="00AB40D2" w:rsidRPr="003644C9">
        <w:rPr>
          <w:szCs w:val="20"/>
        </w:rPr>
        <w:t>by the hierarchical cell identification scheme (HCIS</w:t>
      </w:r>
      <w:r w:rsidR="000A7740">
        <w:rPr>
          <w:szCs w:val="20"/>
        </w:rPr>
        <w:t>)</w:t>
      </w:r>
      <w:r w:rsidR="000A7740" w:rsidRPr="003644C9">
        <w:rPr>
          <w:szCs w:val="20"/>
        </w:rPr>
        <w:t xml:space="preserve"> </w:t>
      </w:r>
      <w:r w:rsidR="00AB40D2" w:rsidRPr="003644C9">
        <w:rPr>
          <w:szCs w:val="20"/>
        </w:rPr>
        <w:t xml:space="preserve">identifiers </w:t>
      </w:r>
      <w:r w:rsidR="00AB40D2">
        <w:rPr>
          <w:szCs w:val="20"/>
        </w:rPr>
        <w:t>liste</w:t>
      </w:r>
      <w:r w:rsidR="00AB40D2" w:rsidRPr="003644C9">
        <w:rPr>
          <w:szCs w:val="20"/>
        </w:rPr>
        <w:t xml:space="preserve">d in </w:t>
      </w:r>
      <w:r w:rsidR="00AB40D2" w:rsidRPr="003644C9">
        <w:t>Attachment</w:t>
      </w:r>
      <w:r w:rsidR="00AB40D2">
        <w:t> </w:t>
      </w:r>
      <w:r w:rsidR="00AB40D2" w:rsidRPr="003644C9">
        <w:t>A</w:t>
      </w:r>
      <w:r w:rsidR="00AB40D2" w:rsidRPr="003644C9">
        <w:rPr>
          <w:szCs w:val="20"/>
        </w:rPr>
        <w:t>.</w:t>
      </w:r>
      <w:r w:rsidR="00AB40D2" w:rsidRPr="003644C9">
        <w:rPr>
          <w:rStyle w:val="FootnoteReference"/>
          <w:szCs w:val="20"/>
        </w:rPr>
        <w:footnoteReference w:id="4"/>
      </w:r>
      <w:r w:rsidR="00AB40D2" w:rsidRPr="003644C9">
        <w:rPr>
          <w:szCs w:val="20"/>
        </w:rPr>
        <w:t xml:space="preserve"> </w:t>
      </w:r>
      <w:r w:rsidR="00E62DF6">
        <w:rPr>
          <w:szCs w:val="20"/>
        </w:rPr>
        <w:t xml:space="preserve">Figure 2 </w:t>
      </w:r>
      <w:r w:rsidR="00AB40D2" w:rsidRPr="003644C9">
        <w:rPr>
          <w:szCs w:val="20"/>
        </w:rPr>
        <w:t xml:space="preserve">provides an illustrative map of </w:t>
      </w:r>
      <w:r w:rsidR="00655D0E">
        <w:rPr>
          <w:szCs w:val="20"/>
        </w:rPr>
        <w:t>the</w:t>
      </w:r>
      <w:r w:rsidR="00AB40D2" w:rsidRPr="003644C9">
        <w:rPr>
          <w:szCs w:val="20"/>
        </w:rPr>
        <w:t xml:space="preserve"> </w:t>
      </w:r>
      <w:r w:rsidR="00DF6F18">
        <w:rPr>
          <w:szCs w:val="20"/>
        </w:rPr>
        <w:t>areas</w:t>
      </w:r>
      <w:r w:rsidR="00AB40D2" w:rsidRPr="003644C9" w:rsidDel="000B2917">
        <w:rPr>
          <w:szCs w:val="20"/>
        </w:rPr>
        <w:t xml:space="preserve"> </w:t>
      </w:r>
      <w:r w:rsidR="00AB40D2" w:rsidRPr="003644C9">
        <w:rPr>
          <w:szCs w:val="20"/>
        </w:rPr>
        <w:t>described by the HCIS identifiers</w:t>
      </w:r>
      <w:r w:rsidR="00AB40D2">
        <w:rPr>
          <w:szCs w:val="20"/>
        </w:rPr>
        <w:t>.</w:t>
      </w:r>
    </w:p>
    <w:p w14:paraId="4EE6D8E6" w14:textId="75E576E5" w:rsidR="00B90FFA" w:rsidRPr="00A74B5E" w:rsidRDefault="00B90FFA" w:rsidP="00B32C5B">
      <w:pPr>
        <w:pStyle w:val="ACMAFigureHeader"/>
        <w:keepNext/>
        <w:keepLines/>
        <w:tabs>
          <w:tab w:val="num" w:pos="-1814"/>
        </w:tabs>
        <w:ind w:left="0" w:firstLine="0"/>
      </w:pPr>
      <w:bookmarkStart w:id="26" w:name="_Ref4141745"/>
      <w:r w:rsidRPr="003B30C9">
        <w:t>M</w:t>
      </w:r>
      <w:r w:rsidRPr="00CB1C8B">
        <w:t xml:space="preserve">ap of </w:t>
      </w:r>
      <w:r w:rsidR="00B32C5B">
        <w:t>defined areas</w:t>
      </w:r>
      <w:r w:rsidR="00B32C5B" w:rsidRPr="00CB1C8B">
        <w:t xml:space="preserve"> </w:t>
      </w:r>
      <w:r w:rsidR="00B32C5B">
        <w:t xml:space="preserve">proposed for spectrum licensing in </w:t>
      </w:r>
      <w:r w:rsidR="00640CF4">
        <w:t>the 26</w:t>
      </w:r>
      <w:r w:rsidR="000C4172">
        <w:t xml:space="preserve"> GHz </w:t>
      </w:r>
      <w:r w:rsidR="00640CF4">
        <w:t>band</w:t>
      </w:r>
      <w:bookmarkEnd w:id="26"/>
    </w:p>
    <w:p w14:paraId="416088D9" w14:textId="1B6EDE37" w:rsidR="00C61A43" w:rsidRDefault="00C61A43">
      <w:pPr>
        <w:keepNext/>
        <w:keepLines/>
        <w:spacing w:after="0"/>
      </w:pPr>
      <w:r>
        <w:rPr>
          <w:noProof/>
        </w:rPr>
        <w:drawing>
          <wp:inline distT="0" distB="0" distL="0" distR="0" wp14:anchorId="074FA2A0" wp14:editId="10ACEBB5">
            <wp:extent cx="4871085" cy="4481830"/>
            <wp:effectExtent l="0" t="0" r="5715" b="0"/>
            <wp:docPr id="26" name="Picture 26" descr="Map of defined areas proposed for spectrum licensing in the 26 GHz band. This includes the 34 cities and regional cent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871085" cy="4481830"/>
                    </a:xfrm>
                    <a:prstGeom prst="rect">
                      <a:avLst/>
                    </a:prstGeom>
                  </pic:spPr>
                </pic:pic>
              </a:graphicData>
            </a:graphic>
          </wp:inline>
        </w:drawing>
      </w:r>
    </w:p>
    <w:p w14:paraId="700F1415" w14:textId="5328756D" w:rsidR="00E243BA" w:rsidRPr="000C4172" w:rsidRDefault="00655D0E">
      <w:pPr>
        <w:pStyle w:val="ACMASpaceaftertable"/>
        <w:rPr>
          <w:sz w:val="16"/>
          <w:szCs w:val="20"/>
        </w:rPr>
      </w:pPr>
      <w:r w:rsidRPr="000C4172">
        <w:rPr>
          <w:i/>
          <w:iCs/>
          <w:sz w:val="16"/>
          <w:szCs w:val="20"/>
        </w:rPr>
        <w:t xml:space="preserve">Note: </w:t>
      </w:r>
      <w:r w:rsidR="00263A00">
        <w:rPr>
          <w:i/>
          <w:iCs/>
          <w:sz w:val="16"/>
          <w:szCs w:val="20"/>
        </w:rPr>
        <w:t>T</w:t>
      </w:r>
      <w:r w:rsidRPr="000C4172">
        <w:rPr>
          <w:i/>
          <w:iCs/>
          <w:sz w:val="16"/>
          <w:szCs w:val="20"/>
        </w:rPr>
        <w:t>he Sunshine Coast, Toowoomba and Lismore defined areas are coloured blue only to distinguish them from the Brisbane defined area.</w:t>
      </w:r>
    </w:p>
    <w:p w14:paraId="37E48A38" w14:textId="7FC972DC" w:rsidR="00AB40D2" w:rsidRPr="003644C9" w:rsidRDefault="00AB40D2">
      <w:pPr>
        <w:rPr>
          <w:szCs w:val="20"/>
        </w:rPr>
      </w:pPr>
      <w:r w:rsidRPr="003644C9">
        <w:rPr>
          <w:szCs w:val="20"/>
        </w:rPr>
        <w:t xml:space="preserve">In preparing a final recommendation to the minister under section 153F of </w:t>
      </w:r>
      <w:r>
        <w:rPr>
          <w:szCs w:val="20"/>
        </w:rPr>
        <w:t xml:space="preserve">the </w:t>
      </w:r>
      <w:r w:rsidRPr="003644C9">
        <w:rPr>
          <w:szCs w:val="20"/>
        </w:rPr>
        <w:t xml:space="preserve">Act, the ACMA must </w:t>
      </w:r>
      <w:r w:rsidR="00EF0B40">
        <w:rPr>
          <w:szCs w:val="20"/>
        </w:rPr>
        <w:t xml:space="preserve">have regard to </w:t>
      </w:r>
      <w:r w:rsidRPr="003644C9">
        <w:rPr>
          <w:szCs w:val="20"/>
        </w:rPr>
        <w:t xml:space="preserve">any comments received from potentially affected apparatus licensees. If the </w:t>
      </w:r>
      <w:r w:rsidR="00EF0B40">
        <w:rPr>
          <w:szCs w:val="20"/>
        </w:rPr>
        <w:t xml:space="preserve">ACMA makes the proposed final recommendation and the </w:t>
      </w:r>
      <w:r w:rsidRPr="003644C9">
        <w:rPr>
          <w:szCs w:val="20"/>
        </w:rPr>
        <w:t xml:space="preserve">minister accepts such a recommendation and makes a spectrum reallocation declaration for the </w:t>
      </w:r>
      <w:r w:rsidR="00640CF4">
        <w:rPr>
          <w:szCs w:val="20"/>
        </w:rPr>
        <w:t>26</w:t>
      </w:r>
      <w:r w:rsidR="00277D20">
        <w:rPr>
          <w:szCs w:val="20"/>
        </w:rPr>
        <w:t xml:space="preserve"> GHz</w:t>
      </w:r>
      <w:r w:rsidR="00640CF4">
        <w:rPr>
          <w:szCs w:val="20"/>
        </w:rPr>
        <w:t xml:space="preserve"> band</w:t>
      </w:r>
      <w:r w:rsidRPr="003644C9">
        <w:rPr>
          <w:szCs w:val="20"/>
        </w:rPr>
        <w:t>, this enable</w:t>
      </w:r>
      <w:r w:rsidR="00064ABA">
        <w:rPr>
          <w:szCs w:val="20"/>
        </w:rPr>
        <w:t>s</w:t>
      </w:r>
      <w:r w:rsidRPr="003644C9">
        <w:rPr>
          <w:szCs w:val="20"/>
        </w:rPr>
        <w:t xml:space="preserve"> the ACMA to allocate the spectrum via a price-based mechanism in accordance with </w:t>
      </w:r>
      <w:r w:rsidR="00EF0B40">
        <w:rPr>
          <w:szCs w:val="20"/>
        </w:rPr>
        <w:t xml:space="preserve">procedures to be determined under </w:t>
      </w:r>
      <w:r w:rsidRPr="003644C9">
        <w:rPr>
          <w:szCs w:val="20"/>
        </w:rPr>
        <w:t xml:space="preserve">section 60 of the Act. </w:t>
      </w:r>
    </w:p>
    <w:p w14:paraId="5D3DA719" w14:textId="656B8FEF" w:rsidR="00AB40D2" w:rsidRPr="003644C9" w:rsidRDefault="00AB40D2" w:rsidP="00A846DE">
      <w:pPr>
        <w:rPr>
          <w:szCs w:val="20"/>
        </w:rPr>
      </w:pPr>
      <w:r w:rsidRPr="003644C9">
        <w:rPr>
          <w:szCs w:val="20"/>
        </w:rPr>
        <w:t>Th</w:t>
      </w:r>
      <w:r w:rsidR="00B35F07">
        <w:rPr>
          <w:szCs w:val="20"/>
        </w:rPr>
        <w:t>is</w:t>
      </w:r>
      <w:r w:rsidRPr="003644C9">
        <w:rPr>
          <w:szCs w:val="20"/>
        </w:rPr>
        <w:t xml:space="preserve"> paper provide</w:t>
      </w:r>
      <w:r w:rsidR="00837063">
        <w:rPr>
          <w:szCs w:val="20"/>
        </w:rPr>
        <w:t>s</w:t>
      </w:r>
      <w:r w:rsidRPr="003644C9">
        <w:rPr>
          <w:szCs w:val="20"/>
        </w:rPr>
        <w:t xml:space="preserve"> </w:t>
      </w:r>
      <w:r>
        <w:rPr>
          <w:szCs w:val="20"/>
        </w:rPr>
        <w:t xml:space="preserve">context and information about current and </w:t>
      </w:r>
      <w:r w:rsidRPr="003644C9">
        <w:rPr>
          <w:szCs w:val="20"/>
        </w:rPr>
        <w:t xml:space="preserve">proposed arrangements in </w:t>
      </w:r>
      <w:r w:rsidR="000004F0">
        <w:rPr>
          <w:szCs w:val="20"/>
        </w:rPr>
        <w:t xml:space="preserve">the </w:t>
      </w:r>
      <w:r w:rsidR="00640CF4">
        <w:rPr>
          <w:szCs w:val="20"/>
        </w:rPr>
        <w:t>26</w:t>
      </w:r>
      <w:r w:rsidR="004155E5">
        <w:rPr>
          <w:szCs w:val="20"/>
        </w:rPr>
        <w:t xml:space="preserve"> GHz</w:t>
      </w:r>
      <w:r w:rsidR="00640CF4">
        <w:rPr>
          <w:szCs w:val="20"/>
        </w:rPr>
        <w:t xml:space="preserve"> band</w:t>
      </w:r>
      <w:r w:rsidR="00837063">
        <w:rPr>
          <w:szCs w:val="20"/>
        </w:rPr>
        <w:t xml:space="preserve"> to</w:t>
      </w:r>
      <w:r w:rsidRPr="003644C9">
        <w:rPr>
          <w:szCs w:val="20"/>
        </w:rPr>
        <w:t xml:space="preserve"> assist potentially affected apparatus licensees and other interested stakeholders </w:t>
      </w:r>
      <w:r w:rsidR="00E00F7A">
        <w:rPr>
          <w:szCs w:val="20"/>
        </w:rPr>
        <w:t xml:space="preserve">in commenting </w:t>
      </w:r>
      <w:r w:rsidRPr="003644C9">
        <w:rPr>
          <w:szCs w:val="20"/>
        </w:rPr>
        <w:t xml:space="preserve">on the terms of the draft reallocation recommendation. </w:t>
      </w:r>
      <w:r w:rsidR="00E00F7A">
        <w:rPr>
          <w:szCs w:val="20"/>
        </w:rPr>
        <w:t xml:space="preserve">The ACMA is open to </w:t>
      </w:r>
      <w:r w:rsidRPr="003644C9">
        <w:rPr>
          <w:szCs w:val="20"/>
        </w:rPr>
        <w:t xml:space="preserve">submissions on other matters relevant to a </w:t>
      </w:r>
      <w:r w:rsidRPr="003644C9">
        <w:rPr>
          <w:szCs w:val="20"/>
        </w:rPr>
        <w:lastRenderedPageBreak/>
        <w:t xml:space="preserve">price-based allocation of </w:t>
      </w:r>
      <w:r w:rsidR="00640CF4">
        <w:rPr>
          <w:szCs w:val="20"/>
        </w:rPr>
        <w:t>the 26</w:t>
      </w:r>
      <w:r w:rsidR="004155E5">
        <w:rPr>
          <w:szCs w:val="20"/>
        </w:rPr>
        <w:t xml:space="preserve"> GHz</w:t>
      </w:r>
      <w:r w:rsidR="00640CF4">
        <w:rPr>
          <w:szCs w:val="20"/>
        </w:rPr>
        <w:t xml:space="preserve"> band</w:t>
      </w:r>
      <w:r w:rsidR="00EF0B40">
        <w:rPr>
          <w:szCs w:val="20"/>
        </w:rPr>
        <w:t xml:space="preserve"> that w</w:t>
      </w:r>
      <w:r w:rsidR="00E00F7A">
        <w:rPr>
          <w:szCs w:val="20"/>
        </w:rPr>
        <w:t>ill</w:t>
      </w:r>
      <w:r w:rsidR="00700C6F">
        <w:rPr>
          <w:szCs w:val="20"/>
        </w:rPr>
        <w:t xml:space="preserve"> </w:t>
      </w:r>
      <w:r w:rsidR="00EF0B40">
        <w:rPr>
          <w:szCs w:val="20"/>
        </w:rPr>
        <w:t>need to be determined by the ACMA</w:t>
      </w:r>
      <w:r w:rsidRPr="003644C9">
        <w:rPr>
          <w:szCs w:val="20"/>
        </w:rPr>
        <w:t>, should the minister accept the ACMA’s</w:t>
      </w:r>
      <w:r w:rsidR="00EF0B40">
        <w:rPr>
          <w:szCs w:val="20"/>
        </w:rPr>
        <w:t xml:space="preserve"> proposed</w:t>
      </w:r>
      <w:r w:rsidRPr="003644C9">
        <w:rPr>
          <w:szCs w:val="20"/>
        </w:rPr>
        <w:t xml:space="preserve"> reallocation recommendation. These matters include the allocation methodology that the ACMA </w:t>
      </w:r>
      <w:r w:rsidR="00EF0B40">
        <w:rPr>
          <w:szCs w:val="20"/>
        </w:rPr>
        <w:t>may</w:t>
      </w:r>
      <w:r w:rsidRPr="003644C9">
        <w:rPr>
          <w:szCs w:val="20"/>
        </w:rPr>
        <w:t xml:space="preserve"> use and the way that spectrum should be configured </w:t>
      </w:r>
      <w:r>
        <w:rPr>
          <w:szCs w:val="20"/>
        </w:rPr>
        <w:t>for allocation</w:t>
      </w:r>
      <w:r w:rsidRPr="003644C9">
        <w:rPr>
          <w:szCs w:val="20"/>
        </w:rPr>
        <w:t>.</w:t>
      </w:r>
    </w:p>
    <w:p w14:paraId="3A99F979" w14:textId="77777777" w:rsidR="00AB40D2" w:rsidRPr="00954CD3" w:rsidRDefault="00AB40D2">
      <w:pPr>
        <w:rPr>
          <w:szCs w:val="20"/>
        </w:rPr>
      </w:pPr>
      <w:r w:rsidRPr="003644C9">
        <w:rPr>
          <w:szCs w:val="20"/>
        </w:rPr>
        <w:t>The ACMA welcomes views and comments from interested parties on all matters included in this paper.</w:t>
      </w:r>
      <w:r>
        <w:rPr>
          <w:szCs w:val="20"/>
        </w:rPr>
        <w:t xml:space="preserve"> </w:t>
      </w:r>
    </w:p>
    <w:p w14:paraId="06D2437D" w14:textId="77777777" w:rsidR="00AB40D2" w:rsidRPr="00C96A7F" w:rsidRDefault="00AB40D2" w:rsidP="00EA306A">
      <w:pPr>
        <w:pStyle w:val="Heading2"/>
      </w:pPr>
      <w:bookmarkStart w:id="27" w:name="_Toc408494348"/>
      <w:bookmarkStart w:id="28" w:name="_Toc408846585"/>
      <w:bookmarkStart w:id="29" w:name="_Toc409015454"/>
      <w:bookmarkStart w:id="30" w:name="_Toc409528616"/>
      <w:bookmarkStart w:id="31" w:name="_Toc409016947"/>
      <w:bookmarkStart w:id="32" w:name="_Toc496277310"/>
      <w:bookmarkStart w:id="33" w:name="_Toc496277709"/>
      <w:bookmarkStart w:id="34" w:name="_Toc496527221"/>
      <w:bookmarkStart w:id="35" w:name="_Toc496527396"/>
      <w:bookmarkStart w:id="36" w:name="_Toc8207112"/>
      <w:r w:rsidRPr="00C96A7F">
        <w:t>Background</w:t>
      </w:r>
      <w:bookmarkEnd w:id="27"/>
      <w:bookmarkEnd w:id="28"/>
      <w:bookmarkEnd w:id="29"/>
      <w:bookmarkEnd w:id="30"/>
      <w:bookmarkEnd w:id="31"/>
      <w:bookmarkEnd w:id="32"/>
      <w:bookmarkEnd w:id="33"/>
      <w:bookmarkEnd w:id="34"/>
      <w:bookmarkEnd w:id="35"/>
      <w:bookmarkEnd w:id="36"/>
    </w:p>
    <w:p w14:paraId="4B73D745" w14:textId="6357F09D" w:rsidR="00AB40D2" w:rsidRPr="00C96A7F" w:rsidRDefault="00AB40D2" w:rsidP="00C96A7F">
      <w:pPr>
        <w:pStyle w:val="Heading3"/>
      </w:pPr>
      <w:bookmarkStart w:id="37" w:name="_Toc409528619"/>
      <w:bookmarkStart w:id="38" w:name="_Toc496277311"/>
      <w:bookmarkStart w:id="39" w:name="_Toc496277710"/>
      <w:bookmarkStart w:id="40" w:name="_Toc496527222"/>
      <w:bookmarkStart w:id="41" w:name="_Toc496527397"/>
      <w:bookmarkStart w:id="42" w:name="_Toc8207113"/>
      <w:bookmarkStart w:id="43" w:name="_Toc409015457"/>
      <w:bookmarkStart w:id="44" w:name="_Toc409528621"/>
      <w:bookmarkStart w:id="45" w:name="_Toc409016950"/>
      <w:bookmarkEnd w:id="37"/>
      <w:r w:rsidRPr="00C96A7F">
        <w:t>Pr</w:t>
      </w:r>
      <w:r w:rsidR="00F525D6" w:rsidRPr="00C96A7F">
        <w:t>ocess to date</w:t>
      </w:r>
      <w:bookmarkEnd w:id="38"/>
      <w:bookmarkEnd w:id="39"/>
      <w:bookmarkEnd w:id="40"/>
      <w:bookmarkEnd w:id="41"/>
      <w:bookmarkEnd w:id="42"/>
    </w:p>
    <w:bookmarkEnd w:id="43"/>
    <w:bookmarkEnd w:id="44"/>
    <w:bookmarkEnd w:id="45"/>
    <w:p w14:paraId="38D85811" w14:textId="6E486139" w:rsidR="00F76EB2" w:rsidRDefault="009A6B49">
      <w:r>
        <w:t xml:space="preserve">Work towards the standardisation and </w:t>
      </w:r>
      <w:r w:rsidR="00EE2544">
        <w:t>harmonisation</w:t>
      </w:r>
      <w:r>
        <w:t xml:space="preserve"> for </w:t>
      </w:r>
      <w:proofErr w:type="spellStart"/>
      <w:r>
        <w:t>mmWave</w:t>
      </w:r>
      <w:proofErr w:type="spellEnd"/>
      <w:r>
        <w:t xml:space="preserve"> bands for 5G is well advanced, with a strong focus internationally on the use of </w:t>
      </w:r>
      <w:proofErr w:type="spellStart"/>
      <w:r>
        <w:t>mmWave</w:t>
      </w:r>
      <w:proofErr w:type="spellEnd"/>
      <w:r>
        <w:t xml:space="preserve"> bands to provide </w:t>
      </w:r>
      <w:r w:rsidR="00A919E3">
        <w:t>for short-range</w:t>
      </w:r>
      <w:r w:rsidR="00746765">
        <w:t>,</w:t>
      </w:r>
      <w:r w:rsidR="00A919E3">
        <w:t xml:space="preserve"> high capacity services. The </w:t>
      </w:r>
      <w:r w:rsidR="00C96A7F">
        <w:t>r</w:t>
      </w:r>
      <w:r w:rsidR="00A919E3">
        <w:t xml:space="preserve">adiocommunications </w:t>
      </w:r>
      <w:r w:rsidR="00C96A7F">
        <w:t>s</w:t>
      </w:r>
      <w:r w:rsidR="00A919E3">
        <w:t>ector of the International Telecommunication Union has included as a key</w:t>
      </w:r>
      <w:r w:rsidR="00FF3986">
        <w:t xml:space="preserve"> agenda</w:t>
      </w:r>
      <w:r w:rsidR="00A919E3">
        <w:t xml:space="preserve"> item </w:t>
      </w:r>
      <w:r w:rsidR="00FF3986">
        <w:t xml:space="preserve">on the 2019 World Radiocommunication Conference (WRC-19) </w:t>
      </w:r>
      <w:r w:rsidR="00A919E3">
        <w:t>examin</w:t>
      </w:r>
      <w:r w:rsidR="00FF3986">
        <w:t>ation of</w:t>
      </w:r>
      <w:r w:rsidR="00A919E3">
        <w:t xml:space="preserve"> bands above </w:t>
      </w:r>
      <w:r w:rsidR="009D5F1A">
        <w:t>24.25</w:t>
      </w:r>
      <w:r w:rsidR="00A919E3">
        <w:t xml:space="preserve"> GHz for wireless broadband</w:t>
      </w:r>
      <w:r w:rsidR="00FF3986">
        <w:t xml:space="preserve"> 5G services. </w:t>
      </w:r>
    </w:p>
    <w:p w14:paraId="43C6D320" w14:textId="3DE1D06B" w:rsidR="00F525D6" w:rsidRDefault="00F76EB2">
      <w:r>
        <w:t>Separately</w:t>
      </w:r>
      <w:r w:rsidR="00CD21F4">
        <w:t>,</w:t>
      </w:r>
      <w:r>
        <w:t xml:space="preserve"> a </w:t>
      </w:r>
      <w:r w:rsidR="00FF3986">
        <w:t>number of countries</w:t>
      </w:r>
      <w:r>
        <w:t xml:space="preserve"> are considering </w:t>
      </w:r>
      <w:r w:rsidR="001D70F3">
        <w:t xml:space="preserve">allocation </w:t>
      </w:r>
      <w:r>
        <w:t xml:space="preserve">of </w:t>
      </w:r>
      <w:proofErr w:type="spellStart"/>
      <w:r>
        <w:t>mmWave</w:t>
      </w:r>
      <w:proofErr w:type="spellEnd"/>
      <w:r>
        <w:t xml:space="preserve"> bands</w:t>
      </w:r>
      <w:r w:rsidR="001D70F3" w:rsidRPr="001D70F3">
        <w:t xml:space="preserve"> </w:t>
      </w:r>
      <w:r w:rsidR="001D70F3">
        <w:t>prior to the WRC</w:t>
      </w:r>
      <w:r w:rsidR="005659DD">
        <w:t>-</w:t>
      </w:r>
      <w:r w:rsidR="001D70F3">
        <w:t>19</w:t>
      </w:r>
      <w:r w:rsidR="00D41514">
        <w:t>;</w:t>
      </w:r>
      <w:r w:rsidR="00B32C5B">
        <w:t xml:space="preserve"> the USA, Korea, Italy and Hong Kong have already completed an allocation</w:t>
      </w:r>
      <w:r w:rsidR="001D70F3">
        <w:t xml:space="preserve">. </w:t>
      </w:r>
      <w:r w:rsidR="009B3C56">
        <w:t>Similarly, t</w:t>
      </w:r>
      <w:r w:rsidR="001D70F3">
        <w:t>he</w:t>
      </w:r>
      <w:r w:rsidR="00FF3986">
        <w:t xml:space="preserve"> ACMA </w:t>
      </w:r>
      <w:r>
        <w:t xml:space="preserve">first </w:t>
      </w:r>
      <w:r w:rsidR="00FF3986">
        <w:t xml:space="preserve">foreshadowed potential allocations </w:t>
      </w:r>
      <w:r w:rsidR="0019275F">
        <w:t xml:space="preserve">of the </w:t>
      </w:r>
      <w:r w:rsidR="00640CF4">
        <w:t xml:space="preserve">wider </w:t>
      </w:r>
      <w:r w:rsidR="0019275F">
        <w:t>26</w:t>
      </w:r>
      <w:r w:rsidR="00BF645C">
        <w:t> </w:t>
      </w:r>
      <w:r w:rsidR="0019275F">
        <w:t xml:space="preserve">GHz band </w:t>
      </w:r>
      <w:r w:rsidR="00FF3986">
        <w:t xml:space="preserve">in its </w:t>
      </w:r>
      <w:hyperlink r:id="rId26" w:history="1">
        <w:r w:rsidR="00FF3986" w:rsidRPr="00135D70">
          <w:rPr>
            <w:rStyle w:val="Hyperlink"/>
            <w:i/>
          </w:rPr>
          <w:t>Five</w:t>
        </w:r>
        <w:r w:rsidR="00363E8D">
          <w:rPr>
            <w:rStyle w:val="Hyperlink"/>
            <w:i/>
          </w:rPr>
          <w:t>-y</w:t>
        </w:r>
        <w:r w:rsidR="00FF3986" w:rsidRPr="00135D70">
          <w:rPr>
            <w:rStyle w:val="Hyperlink"/>
            <w:i/>
          </w:rPr>
          <w:t xml:space="preserve">ear </w:t>
        </w:r>
        <w:r w:rsidR="00363E8D">
          <w:rPr>
            <w:rStyle w:val="Hyperlink"/>
            <w:i/>
          </w:rPr>
          <w:t>s</w:t>
        </w:r>
        <w:r w:rsidR="00FF3986" w:rsidRPr="00135D70">
          <w:rPr>
            <w:rStyle w:val="Hyperlink"/>
            <w:i/>
          </w:rPr>
          <w:t xml:space="preserve">pectrum </w:t>
        </w:r>
        <w:r w:rsidR="00363E8D">
          <w:rPr>
            <w:rStyle w:val="Hyperlink"/>
            <w:i/>
          </w:rPr>
          <w:t>o</w:t>
        </w:r>
        <w:r w:rsidR="00FF3986" w:rsidRPr="00135D70">
          <w:rPr>
            <w:rStyle w:val="Hyperlink"/>
            <w:i/>
          </w:rPr>
          <w:t>utlook (FYSO) 2016</w:t>
        </w:r>
        <w:r w:rsidR="00297EA1">
          <w:rPr>
            <w:rStyle w:val="Hyperlink"/>
            <w:i/>
          </w:rPr>
          <w:t>–</w:t>
        </w:r>
        <w:r w:rsidR="00FF3986" w:rsidRPr="00135D70">
          <w:rPr>
            <w:rStyle w:val="Hyperlink"/>
            <w:i/>
          </w:rPr>
          <w:t>20</w:t>
        </w:r>
      </w:hyperlink>
      <w:r w:rsidR="00FF3986">
        <w:t>.</w:t>
      </w:r>
    </w:p>
    <w:p w14:paraId="7C080CFD" w14:textId="22F7A250" w:rsidR="00F525D6" w:rsidRDefault="00B32C5B" w:rsidP="00135D70">
      <w:pPr>
        <w:spacing w:after="80"/>
      </w:pPr>
      <w:r>
        <w:t>In Australia, t</w:t>
      </w:r>
      <w:r w:rsidR="00A05993">
        <w:t>he following consultation has taken place:</w:t>
      </w:r>
    </w:p>
    <w:p w14:paraId="461A5FA1" w14:textId="22F349A0" w:rsidR="00AB40D2" w:rsidRPr="00B12369" w:rsidRDefault="00DD109B" w:rsidP="00242CF0">
      <w:pPr>
        <w:pStyle w:val="ListBullet"/>
        <w:numPr>
          <w:ilvl w:val="0"/>
          <w:numId w:val="31"/>
        </w:numPr>
        <w:ind w:left="295" w:hanging="295"/>
        <w:rPr>
          <w:snapToGrid w:val="0"/>
        </w:rPr>
      </w:pPr>
      <w:r>
        <w:rPr>
          <w:snapToGrid w:val="0"/>
        </w:rPr>
        <w:t>i</w:t>
      </w:r>
      <w:r w:rsidR="00A05993" w:rsidRPr="00B32C5B">
        <w:rPr>
          <w:snapToGrid w:val="0"/>
        </w:rPr>
        <w:t>n September 2017</w:t>
      </w:r>
      <w:r w:rsidR="00746765" w:rsidRPr="00B32C5B">
        <w:rPr>
          <w:snapToGrid w:val="0"/>
        </w:rPr>
        <w:t>,</w:t>
      </w:r>
      <w:r w:rsidR="00A05993" w:rsidRPr="00B32C5B">
        <w:rPr>
          <w:snapToGrid w:val="0"/>
        </w:rPr>
        <w:t xml:space="preserve"> the ACMA hosted a spectrum tune-up</w:t>
      </w:r>
      <w:r w:rsidR="008A1EC3" w:rsidRPr="00B32C5B">
        <w:rPr>
          <w:snapToGrid w:val="0"/>
        </w:rPr>
        <w:t xml:space="preserve"> to update industry on current thinking on the use of various </w:t>
      </w:r>
      <w:proofErr w:type="spellStart"/>
      <w:r w:rsidR="008A1EC3" w:rsidRPr="00B32C5B">
        <w:rPr>
          <w:snapToGrid w:val="0"/>
        </w:rPr>
        <w:t>mmWave</w:t>
      </w:r>
      <w:proofErr w:type="spellEnd"/>
      <w:r w:rsidR="008A1EC3" w:rsidRPr="00B32C5B">
        <w:rPr>
          <w:snapToGrid w:val="0"/>
        </w:rPr>
        <w:t xml:space="preserve"> bands including the </w:t>
      </w:r>
      <w:r w:rsidR="00640CF4">
        <w:rPr>
          <w:snapToGrid w:val="0"/>
        </w:rPr>
        <w:t xml:space="preserve">wider </w:t>
      </w:r>
      <w:r w:rsidR="008A1EC3" w:rsidRPr="00B32C5B">
        <w:rPr>
          <w:snapToGrid w:val="0"/>
        </w:rPr>
        <w:t>26 GHz band</w:t>
      </w:r>
    </w:p>
    <w:p w14:paraId="61261DF8" w14:textId="5FB6CE45" w:rsidR="007E67DC" w:rsidRPr="00B32C5B" w:rsidRDefault="00DD109B" w:rsidP="00242CF0">
      <w:pPr>
        <w:pStyle w:val="ListBullet"/>
        <w:numPr>
          <w:ilvl w:val="0"/>
          <w:numId w:val="31"/>
        </w:numPr>
        <w:ind w:left="295" w:hanging="295"/>
        <w:rPr>
          <w:rStyle w:val="Hyperlink"/>
          <w:snapToGrid w:val="0"/>
          <w:color w:val="auto"/>
        </w:rPr>
      </w:pPr>
      <w:r>
        <w:rPr>
          <w:snapToGrid w:val="0"/>
        </w:rPr>
        <w:t>i</w:t>
      </w:r>
      <w:r w:rsidR="008A1EC3" w:rsidRPr="00B32C5B">
        <w:rPr>
          <w:snapToGrid w:val="0"/>
        </w:rPr>
        <w:t xml:space="preserve">n </w:t>
      </w:r>
      <w:r w:rsidR="008A1EC3" w:rsidRPr="00135D70">
        <w:rPr>
          <w:snapToGrid w:val="0"/>
        </w:rPr>
        <w:t>September 2018</w:t>
      </w:r>
      <w:r w:rsidR="00746765" w:rsidRPr="00135D70">
        <w:rPr>
          <w:snapToGrid w:val="0"/>
        </w:rPr>
        <w:t>,</w:t>
      </w:r>
      <w:r w:rsidR="008A1EC3" w:rsidRPr="00135D70">
        <w:rPr>
          <w:snapToGrid w:val="0"/>
        </w:rPr>
        <w:t xml:space="preserve"> the</w:t>
      </w:r>
      <w:r w:rsidR="008A1EC3" w:rsidRPr="00B32C5B">
        <w:rPr>
          <w:snapToGrid w:val="0"/>
        </w:rPr>
        <w:t xml:space="preserve"> ACMA </w:t>
      </w:r>
      <w:r w:rsidR="00851B8D">
        <w:rPr>
          <w:snapToGrid w:val="0"/>
        </w:rPr>
        <w:t xml:space="preserve">began its </w:t>
      </w:r>
      <w:r w:rsidR="008A1EC3" w:rsidRPr="00B32C5B">
        <w:rPr>
          <w:snapToGrid w:val="0"/>
        </w:rPr>
        <w:t xml:space="preserve">preliminary </w:t>
      </w:r>
      <w:r w:rsidR="001F5CF0" w:rsidRPr="00B32C5B">
        <w:rPr>
          <w:snapToGrid w:val="0"/>
        </w:rPr>
        <w:t>re</w:t>
      </w:r>
      <w:r w:rsidR="008A1EC3" w:rsidRPr="00B32C5B">
        <w:rPr>
          <w:snapToGrid w:val="0"/>
        </w:rPr>
        <w:t xml:space="preserve">planning stage with the release of the </w:t>
      </w:r>
      <w:hyperlink r:id="rId27" w:history="1">
        <w:r w:rsidR="00442D59" w:rsidRPr="002308DD">
          <w:rPr>
            <w:rStyle w:val="Hyperlink"/>
            <w:i/>
          </w:rPr>
          <w:t>Wireless broadband in the 26 GHz band</w:t>
        </w:r>
      </w:hyperlink>
      <w:r w:rsidR="00442D59">
        <w:t xml:space="preserve"> </w:t>
      </w:r>
      <w:r w:rsidR="00363E8D">
        <w:t xml:space="preserve">options paper </w:t>
      </w:r>
      <w:r w:rsidR="00442D59">
        <w:t xml:space="preserve">(the </w:t>
      </w:r>
      <w:r w:rsidR="007E67DC" w:rsidRPr="00BD0E57">
        <w:rPr>
          <w:rStyle w:val="Hyperlink"/>
          <w:snapToGrid w:val="0"/>
          <w:color w:val="auto"/>
          <w:u w:val="none"/>
        </w:rPr>
        <w:t>options paper</w:t>
      </w:r>
      <w:r w:rsidR="00442D59" w:rsidRPr="00BD0E57">
        <w:rPr>
          <w:rStyle w:val="Hyperlink"/>
          <w:snapToGrid w:val="0"/>
          <w:color w:val="auto"/>
          <w:u w:val="none"/>
        </w:rPr>
        <w:t>)</w:t>
      </w:r>
    </w:p>
    <w:p w14:paraId="58A9CF1E" w14:textId="00AC1A88" w:rsidR="00AB40D2" w:rsidRPr="00B32C5B" w:rsidRDefault="003A31FD" w:rsidP="00242CF0">
      <w:pPr>
        <w:pStyle w:val="ListBulletLast"/>
        <w:numPr>
          <w:ilvl w:val="0"/>
          <w:numId w:val="31"/>
        </w:numPr>
        <w:ind w:left="295" w:hanging="295"/>
        <w:rPr>
          <w:snapToGrid w:val="0"/>
        </w:rPr>
      </w:pPr>
      <w:r>
        <w:rPr>
          <w:snapToGrid w:val="0"/>
        </w:rPr>
        <w:t>i</w:t>
      </w:r>
      <w:r w:rsidR="008A1EC3" w:rsidRPr="00B32C5B">
        <w:rPr>
          <w:snapToGrid w:val="0"/>
        </w:rPr>
        <w:t xml:space="preserve">n </w:t>
      </w:r>
      <w:r w:rsidR="0036112E">
        <w:rPr>
          <w:snapToGrid w:val="0"/>
        </w:rPr>
        <w:t>April</w:t>
      </w:r>
      <w:r w:rsidR="008A1EC3" w:rsidRPr="00B32C5B">
        <w:rPr>
          <w:snapToGrid w:val="0"/>
        </w:rPr>
        <w:t xml:space="preserve"> 201</w:t>
      </w:r>
      <w:r w:rsidR="001F5CF0" w:rsidRPr="00B32C5B">
        <w:rPr>
          <w:snapToGrid w:val="0"/>
        </w:rPr>
        <w:t>9</w:t>
      </w:r>
      <w:r w:rsidR="00746765" w:rsidRPr="00B32C5B">
        <w:rPr>
          <w:snapToGrid w:val="0"/>
        </w:rPr>
        <w:t>,</w:t>
      </w:r>
      <w:r w:rsidR="001F5CF0" w:rsidRPr="00B32C5B">
        <w:rPr>
          <w:snapToGrid w:val="0"/>
        </w:rPr>
        <w:t xml:space="preserve"> the</w:t>
      </w:r>
      <w:r w:rsidR="00C43EA3" w:rsidRPr="00B32C5B">
        <w:rPr>
          <w:snapToGrid w:val="0"/>
        </w:rPr>
        <w:t xml:space="preserve"> </w:t>
      </w:r>
      <w:r w:rsidR="001F5CF0" w:rsidRPr="00B32C5B">
        <w:rPr>
          <w:snapToGrid w:val="0"/>
        </w:rPr>
        <w:t xml:space="preserve">ACMA </w:t>
      </w:r>
      <w:r w:rsidR="00C43EA3" w:rsidRPr="00B32C5B">
        <w:rPr>
          <w:snapToGrid w:val="0"/>
        </w:rPr>
        <w:t>released</w:t>
      </w:r>
      <w:r w:rsidR="001F5CF0" w:rsidRPr="00B32C5B">
        <w:rPr>
          <w:snapToGrid w:val="0"/>
        </w:rPr>
        <w:t xml:space="preserve"> </w:t>
      </w:r>
      <w:r w:rsidR="00E22029" w:rsidRPr="00B32C5B">
        <w:rPr>
          <w:snapToGrid w:val="0"/>
        </w:rPr>
        <w:t xml:space="preserve">the </w:t>
      </w:r>
      <w:r w:rsidR="001F5CF0" w:rsidRPr="00DA77CB">
        <w:rPr>
          <w:snapToGrid w:val="0"/>
        </w:rPr>
        <w:t>decision paper</w:t>
      </w:r>
      <w:r w:rsidR="00E22029" w:rsidRPr="00DA77CB">
        <w:rPr>
          <w:snapToGrid w:val="0"/>
        </w:rPr>
        <w:t>.</w:t>
      </w:r>
      <w:r w:rsidR="00305CD8" w:rsidRPr="00B32C5B">
        <w:rPr>
          <w:snapToGrid w:val="0"/>
          <w:u w:val="single"/>
        </w:rPr>
        <w:t xml:space="preserve"> </w:t>
      </w:r>
    </w:p>
    <w:p w14:paraId="23D21CD1" w14:textId="111A96C1" w:rsidR="00706429" w:rsidRDefault="00AB40D2" w:rsidP="003F08FF">
      <w:pPr>
        <w:spacing w:after="80"/>
        <w:rPr>
          <w:rFonts w:cs="Arial"/>
          <w:snapToGrid w:val="0"/>
          <w:szCs w:val="20"/>
        </w:rPr>
      </w:pPr>
      <w:r w:rsidRPr="00B36EC7">
        <w:rPr>
          <w:rFonts w:cs="Arial"/>
          <w:snapToGrid w:val="0"/>
          <w:szCs w:val="20"/>
        </w:rPr>
        <w:t>The options paper sought industry feedback on a number of options for replanning the</w:t>
      </w:r>
      <w:r>
        <w:rPr>
          <w:rFonts w:cs="Arial"/>
          <w:snapToGrid w:val="0"/>
          <w:szCs w:val="20"/>
        </w:rPr>
        <w:t xml:space="preserve"> </w:t>
      </w:r>
      <w:r w:rsidR="00640CF4">
        <w:rPr>
          <w:rFonts w:cs="Arial"/>
          <w:snapToGrid w:val="0"/>
          <w:szCs w:val="20"/>
        </w:rPr>
        <w:t xml:space="preserve">wider </w:t>
      </w:r>
      <w:r w:rsidR="001F5CF0">
        <w:rPr>
          <w:rFonts w:cs="Arial"/>
          <w:snapToGrid w:val="0"/>
          <w:szCs w:val="20"/>
        </w:rPr>
        <w:t xml:space="preserve">26 GHz </w:t>
      </w:r>
      <w:r w:rsidRPr="00B36EC7">
        <w:rPr>
          <w:rFonts w:cs="Arial"/>
          <w:snapToGrid w:val="0"/>
          <w:szCs w:val="20"/>
        </w:rPr>
        <w:t>band and identified an ACMA preferred option</w:t>
      </w:r>
      <w:r w:rsidR="004155E5">
        <w:rPr>
          <w:rFonts w:cs="Arial"/>
          <w:snapToGrid w:val="0"/>
          <w:szCs w:val="20"/>
        </w:rPr>
        <w:t>. The</w:t>
      </w:r>
      <w:r w:rsidR="001F5CF0">
        <w:rPr>
          <w:rFonts w:cs="Arial"/>
          <w:snapToGrid w:val="0"/>
          <w:szCs w:val="20"/>
        </w:rPr>
        <w:t xml:space="preserve"> decisio</w:t>
      </w:r>
      <w:r w:rsidR="00E00F7A">
        <w:rPr>
          <w:rFonts w:cs="Arial"/>
          <w:snapToGrid w:val="0"/>
          <w:szCs w:val="20"/>
        </w:rPr>
        <w:t>n</w:t>
      </w:r>
      <w:r w:rsidR="001F5CF0">
        <w:rPr>
          <w:rFonts w:cs="Arial"/>
          <w:snapToGrid w:val="0"/>
          <w:szCs w:val="20"/>
        </w:rPr>
        <w:t xml:space="preserve"> paper </w:t>
      </w:r>
      <w:r w:rsidR="00B6645F">
        <w:rPr>
          <w:rFonts w:cs="Arial"/>
          <w:snapToGrid w:val="0"/>
          <w:szCs w:val="20"/>
        </w:rPr>
        <w:t xml:space="preserve">sets out </w:t>
      </w:r>
      <w:r w:rsidR="004155E5">
        <w:rPr>
          <w:rFonts w:cs="Arial"/>
          <w:snapToGrid w:val="0"/>
          <w:szCs w:val="20"/>
        </w:rPr>
        <w:t>a</w:t>
      </w:r>
      <w:r w:rsidR="00BA1B55">
        <w:rPr>
          <w:rFonts w:cs="Arial"/>
          <w:snapToGrid w:val="0"/>
          <w:szCs w:val="20"/>
        </w:rPr>
        <w:t xml:space="preserve"> </w:t>
      </w:r>
      <w:r w:rsidR="004155E5">
        <w:rPr>
          <w:rFonts w:cs="Arial"/>
          <w:snapToGrid w:val="0"/>
          <w:szCs w:val="20"/>
        </w:rPr>
        <w:t>number</w:t>
      </w:r>
      <w:r w:rsidR="00BA1B55">
        <w:rPr>
          <w:rFonts w:cs="Arial"/>
          <w:snapToGrid w:val="0"/>
          <w:szCs w:val="20"/>
        </w:rPr>
        <w:t xml:space="preserve"> of</w:t>
      </w:r>
      <w:r w:rsidR="00851B8D">
        <w:rPr>
          <w:rFonts w:cs="Arial"/>
          <w:snapToGrid w:val="0"/>
          <w:szCs w:val="20"/>
        </w:rPr>
        <w:t xml:space="preserve"> planning</w:t>
      </w:r>
      <w:r w:rsidR="00BA1B55">
        <w:rPr>
          <w:rFonts w:cs="Arial"/>
          <w:snapToGrid w:val="0"/>
          <w:szCs w:val="20"/>
        </w:rPr>
        <w:t xml:space="preserve"> </w:t>
      </w:r>
      <w:r w:rsidR="00BA1B55" w:rsidRPr="00BD5C6E">
        <w:rPr>
          <w:rFonts w:cs="Arial"/>
          <w:snapToGrid w:val="0"/>
          <w:szCs w:val="20"/>
        </w:rPr>
        <w:t>decisions</w:t>
      </w:r>
      <w:r w:rsidR="00BD5C6E" w:rsidRPr="00BD5C6E">
        <w:rPr>
          <w:rFonts w:cs="Arial"/>
          <w:snapToGrid w:val="0"/>
          <w:szCs w:val="20"/>
        </w:rPr>
        <w:t xml:space="preserve"> </w:t>
      </w:r>
      <w:r w:rsidR="00DA77CB">
        <w:rPr>
          <w:rFonts w:cs="Arial"/>
          <w:snapToGrid w:val="0"/>
          <w:szCs w:val="20"/>
        </w:rPr>
        <w:t>and proposed</w:t>
      </w:r>
      <w:r w:rsidR="0003708B">
        <w:rPr>
          <w:rFonts w:cs="Arial"/>
          <w:snapToGrid w:val="0"/>
          <w:szCs w:val="20"/>
        </w:rPr>
        <w:t xml:space="preserve"> </w:t>
      </w:r>
      <w:r w:rsidR="00BD5C6E" w:rsidRPr="00BD5C6E">
        <w:rPr>
          <w:rFonts w:cs="Arial"/>
          <w:snapToGrid w:val="0"/>
          <w:szCs w:val="20"/>
        </w:rPr>
        <w:t>measures to accommodate multiple uses of the band including</w:t>
      </w:r>
      <w:r w:rsidR="003B411E">
        <w:rPr>
          <w:rFonts w:cs="Arial"/>
          <w:snapToGrid w:val="0"/>
          <w:szCs w:val="20"/>
        </w:rPr>
        <w:t>:</w:t>
      </w:r>
    </w:p>
    <w:p w14:paraId="2DC4CE2A" w14:textId="77777777" w:rsidR="001A3FF6" w:rsidRPr="001A3FF6" w:rsidRDefault="001A3FF6" w:rsidP="00242CF0">
      <w:pPr>
        <w:pStyle w:val="ListBullet"/>
        <w:numPr>
          <w:ilvl w:val="0"/>
          <w:numId w:val="31"/>
        </w:numPr>
        <w:ind w:left="295" w:hanging="295"/>
        <w:rPr>
          <w:snapToGrid w:val="0"/>
        </w:rPr>
      </w:pPr>
      <w:r w:rsidRPr="001A3FF6">
        <w:rPr>
          <w:snapToGrid w:val="0"/>
        </w:rPr>
        <w:t>24.25–24.7 GHz—class licensed access for wireless broadband limited to private property (including domestic, industrial, business, commercial and government) and restricted to indoor use only (Australia-wide)</w:t>
      </w:r>
    </w:p>
    <w:p w14:paraId="7225EF08" w14:textId="337FA25A" w:rsidR="001A3FF6" w:rsidRPr="001A3FF6" w:rsidRDefault="001A3FF6" w:rsidP="00242CF0">
      <w:pPr>
        <w:pStyle w:val="ListBullet"/>
        <w:numPr>
          <w:ilvl w:val="0"/>
          <w:numId w:val="31"/>
        </w:numPr>
        <w:ind w:left="295" w:hanging="295"/>
        <w:rPr>
          <w:snapToGrid w:val="0"/>
        </w:rPr>
      </w:pPr>
      <w:r w:rsidRPr="001A3FF6">
        <w:rPr>
          <w:snapToGrid w:val="0"/>
        </w:rPr>
        <w:t>24.7–25.1 GHz—apparatus licensing, potentially using a new ‘spectrum-space’ apparatus licence type</w:t>
      </w:r>
      <w:r w:rsidRPr="001A3FF6">
        <w:rPr>
          <w:snapToGrid w:val="0"/>
          <w:vertAlign w:val="superscript"/>
        </w:rPr>
        <w:footnoteReference w:id="5"/>
      </w:r>
      <w:r w:rsidRPr="001A3FF6">
        <w:rPr>
          <w:snapToGrid w:val="0"/>
        </w:rPr>
        <w:t xml:space="preserve"> and co-frequency class licensing (indoor and outdoor use) limited to private property (including domestic, industrial, business, commercial and government) for wireless broadband (Australia-wide)</w:t>
      </w:r>
    </w:p>
    <w:p w14:paraId="344FF494" w14:textId="54D72D4C" w:rsidR="001A3FF6" w:rsidRPr="001A3FF6" w:rsidRDefault="001A3FF6" w:rsidP="00242CF0">
      <w:pPr>
        <w:pStyle w:val="ListBullet"/>
        <w:numPr>
          <w:ilvl w:val="0"/>
          <w:numId w:val="31"/>
        </w:numPr>
        <w:ind w:left="295" w:hanging="295"/>
        <w:rPr>
          <w:snapToGrid w:val="0"/>
        </w:rPr>
      </w:pPr>
      <w:r w:rsidRPr="001A3FF6">
        <w:rPr>
          <w:snapToGrid w:val="0"/>
        </w:rPr>
        <w:t xml:space="preserve">25.1–27 GHz—spectrum licensing for wide-area wireless broadband in </w:t>
      </w:r>
      <w:r w:rsidR="003433B0">
        <w:rPr>
          <w:snapToGrid w:val="0"/>
        </w:rPr>
        <w:t>cities</w:t>
      </w:r>
      <w:r w:rsidRPr="001A3FF6">
        <w:rPr>
          <w:snapToGrid w:val="0"/>
        </w:rPr>
        <w:t xml:space="preserve"> and regional centres (referred to as defined areas in this paper). Apparatus licensing (potentially using a new spectrum-space apparatus licence type) for wireless broadband elsewhere. Existing SRS earth stations in the range 25.5–27 GHz will be able to continue to operate with proposed licence conditions included on new wireless broadband licences to ensure coexistence.</w:t>
      </w:r>
      <w:r w:rsidRPr="001A3FF6">
        <w:rPr>
          <w:snapToGrid w:val="0"/>
          <w:vertAlign w:val="superscript"/>
        </w:rPr>
        <w:footnoteReference w:id="6"/>
      </w:r>
      <w:r w:rsidRPr="001A3FF6">
        <w:rPr>
          <w:snapToGrid w:val="0"/>
          <w:vertAlign w:val="superscript"/>
        </w:rPr>
        <w:t xml:space="preserve"> </w:t>
      </w:r>
      <w:r w:rsidRPr="001A3FF6">
        <w:rPr>
          <w:snapToGrid w:val="0"/>
        </w:rPr>
        <w:t xml:space="preserve">New SRS earth stations (if </w:t>
      </w:r>
      <w:r w:rsidRPr="001A3FF6">
        <w:rPr>
          <w:snapToGrid w:val="0"/>
        </w:rPr>
        <w:lastRenderedPageBreak/>
        <w:t>any) may also be permitted on a first-in-time coordinated basis outside of defined areas (note that ‘defined areas’ pertains to areas potentially subject to spectrum licensing)</w:t>
      </w:r>
    </w:p>
    <w:p w14:paraId="7A66902D" w14:textId="011E884A" w:rsidR="001A3FF6" w:rsidRPr="001A3FF6" w:rsidRDefault="001A3FF6" w:rsidP="003F08FF">
      <w:pPr>
        <w:pStyle w:val="ListBulletLast"/>
        <w:tabs>
          <w:tab w:val="clear" w:pos="1996"/>
          <w:tab w:val="num" w:pos="295"/>
        </w:tabs>
        <w:ind w:left="295"/>
        <w:rPr>
          <w:snapToGrid w:val="0"/>
        </w:rPr>
      </w:pPr>
      <w:r w:rsidRPr="001A3FF6">
        <w:rPr>
          <w:snapToGrid w:val="0"/>
        </w:rPr>
        <w:t>27–27.5 GHz—as for the 25.1–27 GHz band but with additional proposed licence conditions applied to wireless broadband licences within NBN satellite gateway uplink footprints. Existing FSS earth stations can continue to operate in the band.</w:t>
      </w:r>
      <w:r w:rsidR="009156F0">
        <w:rPr>
          <w:rStyle w:val="FootnoteReference"/>
          <w:snapToGrid w:val="0"/>
        </w:rPr>
        <w:footnoteReference w:id="7"/>
      </w:r>
      <w:r w:rsidRPr="001A3FF6">
        <w:rPr>
          <w:snapToGrid w:val="0"/>
        </w:rPr>
        <w:t xml:space="preserve"> New FSS earth stations may also be permitted on a first-in-time coordinated basis outside of defined areas (note that ‘defined areas’ pertains to areas potentially subject to spectrum licensing).</w:t>
      </w:r>
    </w:p>
    <w:p w14:paraId="7D831686" w14:textId="21BEA168" w:rsidR="00AB40D2" w:rsidRDefault="00AB40D2">
      <w:pPr>
        <w:rPr>
          <w:rFonts w:cs="Arial"/>
          <w:snapToGrid w:val="0"/>
          <w:szCs w:val="20"/>
        </w:rPr>
      </w:pPr>
      <w:r>
        <w:rPr>
          <w:rFonts w:cs="Arial"/>
          <w:snapToGrid w:val="0"/>
          <w:szCs w:val="20"/>
        </w:rPr>
        <w:t xml:space="preserve">This paper is the first step in the proposed process to allocate spectrum licences in the </w:t>
      </w:r>
      <w:r w:rsidR="00BD5C6E">
        <w:rPr>
          <w:rFonts w:cs="Arial"/>
          <w:snapToGrid w:val="0"/>
          <w:szCs w:val="20"/>
        </w:rPr>
        <w:t>26</w:t>
      </w:r>
      <w:r>
        <w:rPr>
          <w:rFonts w:cs="Arial"/>
          <w:snapToGrid w:val="0"/>
          <w:szCs w:val="20"/>
        </w:rPr>
        <w:t xml:space="preserve"> GHz band.</w:t>
      </w:r>
    </w:p>
    <w:p w14:paraId="4B4E2249" w14:textId="77777777" w:rsidR="00F424E7" w:rsidRPr="003D057E" w:rsidRDefault="00F424E7" w:rsidP="003D057E">
      <w:pPr>
        <w:pStyle w:val="Heading2"/>
      </w:pPr>
      <w:bookmarkStart w:id="46" w:name="_Toc525132230"/>
      <w:bookmarkStart w:id="47" w:name="_Toc521585768"/>
      <w:bookmarkStart w:id="48" w:name="_Toc519765102"/>
      <w:bookmarkStart w:id="49" w:name="_Ref498436813"/>
      <w:bookmarkStart w:id="50" w:name="_Ref498078173"/>
      <w:bookmarkStart w:id="51" w:name="_Toc468705310"/>
      <w:bookmarkStart w:id="52" w:name="_Toc468438955"/>
      <w:bookmarkStart w:id="53" w:name="_Toc466017060"/>
      <w:bookmarkStart w:id="54" w:name="_Ref461109606"/>
      <w:bookmarkStart w:id="55" w:name="_Toc457809930"/>
      <w:bookmarkStart w:id="56" w:name="_Toc6923095"/>
      <w:bookmarkStart w:id="57" w:name="_Toc8207114"/>
      <w:bookmarkStart w:id="58" w:name="_Toc496277314"/>
      <w:bookmarkStart w:id="59" w:name="_Toc496277713"/>
      <w:bookmarkStart w:id="60" w:name="_Toc496527223"/>
      <w:bookmarkStart w:id="61" w:name="_Toc496527398"/>
      <w:r w:rsidRPr="003D057E">
        <w:t>Legislative and policy environment</w:t>
      </w:r>
      <w:bookmarkEnd w:id="46"/>
      <w:bookmarkEnd w:id="47"/>
      <w:bookmarkEnd w:id="48"/>
      <w:bookmarkEnd w:id="49"/>
      <w:bookmarkEnd w:id="50"/>
      <w:bookmarkEnd w:id="51"/>
      <w:bookmarkEnd w:id="52"/>
      <w:bookmarkEnd w:id="53"/>
      <w:bookmarkEnd w:id="54"/>
      <w:bookmarkEnd w:id="55"/>
      <w:bookmarkEnd w:id="56"/>
      <w:bookmarkEnd w:id="57"/>
    </w:p>
    <w:p w14:paraId="0F862BEE" w14:textId="77777777" w:rsidR="00F424E7" w:rsidRDefault="00F424E7" w:rsidP="00F424E7">
      <w:r>
        <w:t>Managing spectrum efficiently and effectively for the benefit of all Australians is a key priority for the ACMA</w:t>
      </w:r>
      <w:r>
        <w:rPr>
          <w:vertAlign w:val="superscript"/>
        </w:rPr>
        <w:footnoteReference w:id="8"/>
      </w:r>
      <w:r>
        <w:t xml:space="preserve">. The ACMA draws on a range of legislative and administrative tools in executing these functions. </w:t>
      </w:r>
    </w:p>
    <w:p w14:paraId="29500209" w14:textId="77777777" w:rsidR="00F424E7" w:rsidRPr="003D057E" w:rsidRDefault="00F424E7" w:rsidP="003D057E">
      <w:pPr>
        <w:pStyle w:val="Heading3"/>
      </w:pPr>
      <w:bookmarkStart w:id="62" w:name="_Toc6923096"/>
      <w:bookmarkStart w:id="63" w:name="_Toc8207115"/>
      <w:r w:rsidRPr="003D057E">
        <w:t>Guiding legislation</w:t>
      </w:r>
      <w:bookmarkEnd w:id="62"/>
      <w:bookmarkEnd w:id="63"/>
    </w:p>
    <w:p w14:paraId="7D6ACC10" w14:textId="77777777" w:rsidR="00F424E7" w:rsidRDefault="00F424E7" w:rsidP="00F424E7">
      <w:pPr>
        <w:spacing w:after="80"/>
      </w:pPr>
      <w:r>
        <w:t xml:space="preserve">Section 9 of the </w:t>
      </w:r>
      <w:r>
        <w:rPr>
          <w:i/>
        </w:rPr>
        <w:t>Australian Communications and Media Authority Act 2005</w:t>
      </w:r>
      <w:r>
        <w:t xml:space="preserve"> (ACMA Act) sets out the spectrum management functions of the ACMA, including to:</w:t>
      </w:r>
    </w:p>
    <w:p w14:paraId="052375E1" w14:textId="77777777" w:rsidR="00F424E7" w:rsidRDefault="00F424E7" w:rsidP="00F424E7">
      <w:pPr>
        <w:pStyle w:val="ListBullet"/>
        <w:tabs>
          <w:tab w:val="clear" w:pos="1996"/>
          <w:tab w:val="num" w:pos="295"/>
        </w:tabs>
        <w:spacing w:line="240" w:lineRule="auto"/>
        <w:ind w:left="295"/>
      </w:pPr>
      <w:r>
        <w:t xml:space="preserve">manage the radiofrequency spectrum in accordance with the </w:t>
      </w:r>
      <w:r>
        <w:rPr>
          <w:i/>
        </w:rPr>
        <w:t>Radiocommunications Act 1992</w:t>
      </w:r>
      <w:r>
        <w:t xml:space="preserve"> (the Act)</w:t>
      </w:r>
    </w:p>
    <w:p w14:paraId="3C6DFA27" w14:textId="77777777" w:rsidR="00F424E7" w:rsidRDefault="00F424E7" w:rsidP="003F08FF">
      <w:pPr>
        <w:pStyle w:val="ListBulletLast"/>
        <w:tabs>
          <w:tab w:val="clear" w:pos="1996"/>
          <w:tab w:val="num" w:pos="295"/>
        </w:tabs>
        <w:ind w:left="295"/>
      </w:pPr>
      <w:r>
        <w:t xml:space="preserve">advise and assist the radiocommunications </w:t>
      </w:r>
      <w:r w:rsidRPr="003D057E">
        <w:t>community</w:t>
      </w:r>
      <w:r>
        <w:t>.</w:t>
      </w:r>
    </w:p>
    <w:p w14:paraId="62227399" w14:textId="77777777" w:rsidR="00F424E7" w:rsidRDefault="00F424E7" w:rsidP="003D057E">
      <w:pPr>
        <w:spacing w:after="80"/>
      </w:pPr>
      <w:r>
        <w:t>Consistent with the spectrum management functions set out in the ACMA Act, the object of the Act is to provide for management of the radiofrequency spectrum in order to (among other goals):</w:t>
      </w:r>
    </w:p>
    <w:bookmarkEnd w:id="58"/>
    <w:bookmarkEnd w:id="59"/>
    <w:bookmarkEnd w:id="60"/>
    <w:bookmarkEnd w:id="61"/>
    <w:p w14:paraId="5E51DDCA" w14:textId="41144441" w:rsidR="00AB40D2" w:rsidRPr="006468A3" w:rsidRDefault="00427AC0" w:rsidP="00427AC0">
      <w:pPr>
        <w:pStyle w:val="ListBullet"/>
        <w:tabs>
          <w:tab w:val="clear" w:pos="1996"/>
          <w:tab w:val="num" w:pos="-827"/>
        </w:tabs>
        <w:ind w:left="295"/>
      </w:pPr>
      <w:r>
        <w:t>m</w:t>
      </w:r>
      <w:r w:rsidR="00AB40D2" w:rsidRPr="006468A3">
        <w:t>aximise, by ensuring the efficient allocation and use of the spectrum, the overall public benefit derived from using the radiofrequency spectrum</w:t>
      </w:r>
    </w:p>
    <w:p w14:paraId="05B666E1" w14:textId="1972A073" w:rsidR="00AB40D2" w:rsidRPr="006468A3" w:rsidRDefault="00427AC0" w:rsidP="00190AE7">
      <w:pPr>
        <w:pStyle w:val="ListBullet"/>
        <w:tabs>
          <w:tab w:val="clear" w:pos="1996"/>
          <w:tab w:val="num" w:pos="-827"/>
        </w:tabs>
        <w:ind w:left="295"/>
      </w:pPr>
      <w:r>
        <w:t>p</w:t>
      </w:r>
      <w:r w:rsidR="00AB40D2" w:rsidRPr="006468A3">
        <w:t>rovide a responsive and flexible approach to meeting the needs of users of the spectrum</w:t>
      </w:r>
    </w:p>
    <w:p w14:paraId="419566B5" w14:textId="65C8D1A8" w:rsidR="00AB40D2" w:rsidRPr="006468A3" w:rsidRDefault="00427AC0" w:rsidP="00190AE7">
      <w:pPr>
        <w:pStyle w:val="ListBullet"/>
        <w:tabs>
          <w:tab w:val="clear" w:pos="1996"/>
          <w:tab w:val="num" w:pos="-827"/>
        </w:tabs>
        <w:ind w:left="295"/>
      </w:pPr>
      <w:r>
        <w:t>e</w:t>
      </w:r>
      <w:r w:rsidR="008A2C32" w:rsidRPr="008A2C32">
        <w:t>ncourage the use of efficient radiocommunication technologies so that a wide range of services of an adequate quality can be provided</w:t>
      </w:r>
    </w:p>
    <w:p w14:paraId="1B920499" w14:textId="64200ACC" w:rsidR="00AB40D2" w:rsidRPr="006468A3" w:rsidRDefault="00427AC0" w:rsidP="003F08FF">
      <w:pPr>
        <w:pStyle w:val="ListBulletLast"/>
        <w:tabs>
          <w:tab w:val="clear" w:pos="1996"/>
          <w:tab w:val="num" w:pos="295"/>
        </w:tabs>
        <w:ind w:left="295"/>
      </w:pPr>
      <w:r>
        <w:t>s</w:t>
      </w:r>
      <w:r w:rsidR="00AB40D2" w:rsidRPr="006468A3">
        <w:t>upport the communications policy objectives of the Commonwealth Government.</w:t>
      </w:r>
      <w:bookmarkStart w:id="64" w:name="_Toc408494352"/>
      <w:bookmarkStart w:id="65" w:name="_Toc408846591"/>
      <w:bookmarkStart w:id="66" w:name="_Toc409015460"/>
      <w:bookmarkStart w:id="67" w:name="_Toc409528624"/>
      <w:bookmarkStart w:id="68" w:name="_Toc409016953"/>
    </w:p>
    <w:p w14:paraId="252277B5" w14:textId="60D09F4B" w:rsidR="009035F3" w:rsidRPr="006468A3" w:rsidRDefault="009035F3" w:rsidP="00CA6736">
      <w:pPr>
        <w:pStyle w:val="ListBullet"/>
        <w:numPr>
          <w:ilvl w:val="0"/>
          <w:numId w:val="0"/>
        </w:numPr>
        <w:spacing w:after="240"/>
      </w:pPr>
      <w:r>
        <w:t xml:space="preserve">The ACMA’s </w:t>
      </w:r>
      <w:r w:rsidR="00901C5F">
        <w:t>draft</w:t>
      </w:r>
      <w:r w:rsidR="00800426">
        <w:t xml:space="preserve"> </w:t>
      </w:r>
      <w:r>
        <w:t>recommendation set out in this paper is informed by and consistent with these goals.</w:t>
      </w:r>
    </w:p>
    <w:p w14:paraId="4BC72910" w14:textId="0948CE3E" w:rsidR="00AB40D2" w:rsidRPr="006468A3" w:rsidRDefault="00AB40D2">
      <w:pPr>
        <w:pStyle w:val="Heading3"/>
        <w:spacing w:line="276" w:lineRule="auto"/>
      </w:pPr>
      <w:bookmarkStart w:id="69" w:name="_Toc496277316"/>
      <w:bookmarkStart w:id="70" w:name="_Toc496277715"/>
      <w:bookmarkStart w:id="71" w:name="_Toc496527225"/>
      <w:bookmarkStart w:id="72" w:name="_Toc496527400"/>
      <w:bookmarkStart w:id="73" w:name="_Toc8207116"/>
      <w:r w:rsidRPr="006468A3">
        <w:t>Principles for spectrum management</w:t>
      </w:r>
      <w:bookmarkEnd w:id="64"/>
      <w:bookmarkEnd w:id="65"/>
      <w:bookmarkEnd w:id="66"/>
      <w:bookmarkEnd w:id="67"/>
      <w:bookmarkEnd w:id="68"/>
      <w:bookmarkEnd w:id="69"/>
      <w:bookmarkEnd w:id="70"/>
      <w:bookmarkEnd w:id="71"/>
      <w:bookmarkEnd w:id="72"/>
      <w:bookmarkEnd w:id="73"/>
    </w:p>
    <w:p w14:paraId="327F2F98" w14:textId="45DBD090" w:rsidR="00AB40D2" w:rsidRPr="006468A3" w:rsidRDefault="00AB40D2" w:rsidP="003F08FF">
      <w:pPr>
        <w:spacing w:after="80"/>
      </w:pPr>
      <w:r w:rsidRPr="006468A3">
        <w:t xml:space="preserve">The ACMA’s </w:t>
      </w:r>
      <w:r w:rsidR="00901C5F">
        <w:t>draft</w:t>
      </w:r>
      <w:r w:rsidR="00800426">
        <w:t xml:space="preserve"> </w:t>
      </w:r>
      <w:r w:rsidRPr="006468A3">
        <w:t xml:space="preserve">recommendation also </w:t>
      </w:r>
      <w:r>
        <w:t>promotes</w:t>
      </w:r>
      <w:r w:rsidRPr="006468A3">
        <w:t xml:space="preserve"> the principles:</w:t>
      </w:r>
    </w:p>
    <w:p w14:paraId="54519975" w14:textId="27581501" w:rsidR="00AB40D2" w:rsidRPr="006468A3" w:rsidRDefault="003821A8" w:rsidP="00190AE7">
      <w:pPr>
        <w:pStyle w:val="ListBullet"/>
        <w:numPr>
          <w:ilvl w:val="0"/>
          <w:numId w:val="11"/>
        </w:numPr>
        <w:tabs>
          <w:tab w:val="num" w:pos="-2823"/>
        </w:tabs>
        <w:ind w:left="295" w:hanging="295"/>
        <w:rPr>
          <w:rFonts w:cs="Arial"/>
        </w:rPr>
      </w:pPr>
      <w:r>
        <w:rPr>
          <w:rFonts w:cs="Arial"/>
        </w:rPr>
        <w:t>p</w:t>
      </w:r>
      <w:r w:rsidR="00AB40D2" w:rsidRPr="006468A3">
        <w:rPr>
          <w:rFonts w:cs="Arial"/>
        </w:rPr>
        <w:t>rinciple 1—</w:t>
      </w:r>
      <w:r w:rsidR="00427AC0">
        <w:rPr>
          <w:rFonts w:cs="Arial"/>
        </w:rPr>
        <w:t>a</w:t>
      </w:r>
      <w:r w:rsidR="00AB40D2" w:rsidRPr="006468A3">
        <w:rPr>
          <w:rFonts w:cs="Arial"/>
        </w:rPr>
        <w:t>llocate spectrum to the highest value use or uses</w:t>
      </w:r>
    </w:p>
    <w:p w14:paraId="59790308" w14:textId="6EBFB849" w:rsidR="00AB40D2" w:rsidRPr="006468A3" w:rsidRDefault="003821A8" w:rsidP="00190AE7">
      <w:pPr>
        <w:pStyle w:val="ListBullet"/>
        <w:numPr>
          <w:ilvl w:val="0"/>
          <w:numId w:val="11"/>
        </w:numPr>
        <w:tabs>
          <w:tab w:val="num" w:pos="-2823"/>
        </w:tabs>
        <w:ind w:left="295" w:hanging="295"/>
        <w:rPr>
          <w:rFonts w:cs="Arial"/>
        </w:rPr>
      </w:pPr>
      <w:r>
        <w:rPr>
          <w:rFonts w:cs="Arial"/>
        </w:rPr>
        <w:t>p</w:t>
      </w:r>
      <w:r w:rsidR="00AB40D2" w:rsidRPr="006468A3">
        <w:rPr>
          <w:rFonts w:cs="Arial"/>
        </w:rPr>
        <w:t>rinciple 2—</w:t>
      </w:r>
      <w:r>
        <w:rPr>
          <w:rFonts w:cs="Arial"/>
        </w:rPr>
        <w:t>e</w:t>
      </w:r>
      <w:r w:rsidR="00AB40D2" w:rsidRPr="006468A3">
        <w:rPr>
          <w:rFonts w:cs="Arial"/>
        </w:rPr>
        <w:t>nable and encourage spectrum to move to its highest value use or uses</w:t>
      </w:r>
    </w:p>
    <w:p w14:paraId="12762878" w14:textId="5E5D83CC" w:rsidR="00AB40D2" w:rsidRPr="006468A3" w:rsidRDefault="003821A8" w:rsidP="00190AE7">
      <w:pPr>
        <w:pStyle w:val="ListBullet"/>
        <w:numPr>
          <w:ilvl w:val="0"/>
          <w:numId w:val="11"/>
        </w:numPr>
        <w:tabs>
          <w:tab w:val="num" w:pos="-2823"/>
        </w:tabs>
        <w:ind w:left="295" w:hanging="295"/>
        <w:rPr>
          <w:rFonts w:cs="Arial"/>
        </w:rPr>
      </w:pPr>
      <w:r>
        <w:rPr>
          <w:rFonts w:cs="Arial"/>
        </w:rPr>
        <w:t>p</w:t>
      </w:r>
      <w:r w:rsidR="00AB40D2" w:rsidRPr="006468A3">
        <w:rPr>
          <w:rFonts w:cs="Arial"/>
        </w:rPr>
        <w:t>rinciple 3—</w:t>
      </w:r>
      <w:r>
        <w:rPr>
          <w:rFonts w:cs="Arial"/>
        </w:rPr>
        <w:t>u</w:t>
      </w:r>
      <w:r w:rsidR="00AB40D2" w:rsidRPr="006468A3">
        <w:rPr>
          <w:rFonts w:cs="Arial"/>
        </w:rPr>
        <w:t>se the least cost and least restrictive approach to achieving policy objectives</w:t>
      </w:r>
    </w:p>
    <w:p w14:paraId="59FB3FE9" w14:textId="4B1049F7" w:rsidR="00AB40D2" w:rsidRPr="006468A3" w:rsidRDefault="003821A8" w:rsidP="00190AE7">
      <w:pPr>
        <w:pStyle w:val="ListBullet"/>
        <w:numPr>
          <w:ilvl w:val="0"/>
          <w:numId w:val="11"/>
        </w:numPr>
        <w:tabs>
          <w:tab w:val="num" w:pos="-2823"/>
        </w:tabs>
        <w:ind w:left="295" w:hanging="295"/>
        <w:rPr>
          <w:rFonts w:cs="Arial"/>
        </w:rPr>
      </w:pPr>
      <w:r>
        <w:rPr>
          <w:rFonts w:cs="Arial"/>
        </w:rPr>
        <w:lastRenderedPageBreak/>
        <w:t>p</w:t>
      </w:r>
      <w:r w:rsidR="00AB40D2" w:rsidRPr="006468A3">
        <w:rPr>
          <w:rFonts w:cs="Arial"/>
        </w:rPr>
        <w:t>rinciple 4—To the extent possible, promote both certainty and flexibility</w:t>
      </w:r>
    </w:p>
    <w:p w14:paraId="16CFAFF4" w14:textId="7D02120D" w:rsidR="00AB40D2" w:rsidRPr="006468A3" w:rsidRDefault="003821A8" w:rsidP="003F08FF">
      <w:pPr>
        <w:pStyle w:val="ListBulletLast"/>
        <w:tabs>
          <w:tab w:val="clear" w:pos="1996"/>
          <w:tab w:val="num" w:pos="295"/>
        </w:tabs>
        <w:ind w:left="295"/>
      </w:pPr>
      <w:r>
        <w:t>p</w:t>
      </w:r>
      <w:r w:rsidR="00AB40D2" w:rsidRPr="006468A3">
        <w:t>rinciple 5—Balance the cost of interference and the benefits of greater spectrum utilisation</w:t>
      </w:r>
    </w:p>
    <w:p w14:paraId="389DE31B" w14:textId="2F9E4528" w:rsidR="00AB40D2" w:rsidRDefault="00AB40D2">
      <w:r w:rsidRPr="006468A3">
        <w:t>In arriving at regulatory decisions, the ACMA considers a range of factors identified in its spectrum management decision framework (</w:t>
      </w:r>
      <w:r w:rsidRPr="00775713">
        <w:t xml:space="preserve">Figure </w:t>
      </w:r>
      <w:r w:rsidR="00974B59">
        <w:t>3</w:t>
      </w:r>
      <w:r w:rsidRPr="006468A3">
        <w:t>).</w:t>
      </w:r>
    </w:p>
    <w:p w14:paraId="70515CEF" w14:textId="7F38A813" w:rsidR="003952A0" w:rsidRPr="006468A3" w:rsidRDefault="003952A0" w:rsidP="00151794">
      <w:pPr>
        <w:pStyle w:val="ACMAFigureHeader"/>
        <w:keepNext/>
        <w:keepLines/>
        <w:tabs>
          <w:tab w:val="num" w:pos="-1246"/>
        </w:tabs>
        <w:ind w:left="0" w:firstLine="0"/>
      </w:pPr>
      <w:r w:rsidRPr="006468A3">
        <w:t>Spectrum management decision framework</w:t>
      </w:r>
    </w:p>
    <w:p w14:paraId="052FE7F5" w14:textId="052CCD3F" w:rsidR="00A330FF" w:rsidRPr="00001B08" w:rsidRDefault="00A330FF">
      <w:pPr>
        <w:pStyle w:val="ACMASpaceaftertable"/>
      </w:pPr>
      <w:r>
        <w:rPr>
          <w:noProof/>
        </w:rPr>
        <w:drawing>
          <wp:inline distT="0" distB="0" distL="0" distR="0" wp14:anchorId="22CA957F" wp14:editId="1CDED02A">
            <wp:extent cx="4871085" cy="2957195"/>
            <wp:effectExtent l="0" t="0" r="5715" b="0"/>
            <wp:docPr id="11" name="Picture 11" descr="ACMA's spectrum management decision framework. "/>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28">
                      <a:extLst>
                        <a:ext uri="{28A0092B-C50C-407E-A947-70E740481C1C}">
                          <a14:useLocalDpi xmlns:a14="http://schemas.microsoft.com/office/drawing/2010/main" val="0"/>
                        </a:ext>
                      </a:extLst>
                    </a:blip>
                    <a:srcRect l="8746" r="7675"/>
                    <a:stretch/>
                  </pic:blipFill>
                  <pic:spPr bwMode="auto">
                    <a:xfrm>
                      <a:off x="0" y="0"/>
                      <a:ext cx="4871085" cy="2957195"/>
                    </a:xfrm>
                    <a:prstGeom prst="rect">
                      <a:avLst/>
                    </a:prstGeom>
                    <a:noFill/>
                    <a:ln>
                      <a:noFill/>
                    </a:ln>
                    <a:extLst>
                      <a:ext uri="{53640926-AAD7-44D8-BBD7-CCE9431645EC}">
                        <a14:shadowObscured xmlns:a14="http://schemas.microsoft.com/office/drawing/2010/main"/>
                      </a:ext>
                    </a:extLst>
                  </pic:spPr>
                </pic:pic>
              </a:graphicData>
            </a:graphic>
          </wp:inline>
        </w:drawing>
      </w:r>
    </w:p>
    <w:p w14:paraId="3713FA77" w14:textId="77777777" w:rsidR="00AB40D2" w:rsidRPr="006468A3" w:rsidRDefault="00AB40D2">
      <w:pPr>
        <w:pStyle w:val="Heading3"/>
      </w:pPr>
      <w:bookmarkStart w:id="74" w:name="_Toc314998855"/>
      <w:bookmarkStart w:id="75" w:name="_Toc408494353"/>
      <w:bookmarkStart w:id="76" w:name="_Toc408846592"/>
      <w:bookmarkStart w:id="77" w:name="_Toc409015461"/>
      <w:bookmarkStart w:id="78" w:name="_Toc409528625"/>
      <w:bookmarkStart w:id="79" w:name="_Toc409016954"/>
      <w:bookmarkStart w:id="80" w:name="_Toc496277317"/>
      <w:bookmarkStart w:id="81" w:name="_Toc496277716"/>
      <w:bookmarkStart w:id="82" w:name="_Toc496527226"/>
      <w:bookmarkStart w:id="83" w:name="_Toc496527401"/>
      <w:bookmarkStart w:id="84" w:name="_Toc8207117"/>
      <w:bookmarkEnd w:id="74"/>
      <w:r w:rsidRPr="006468A3">
        <w:t>Reallocation process</w:t>
      </w:r>
      <w:bookmarkEnd w:id="75"/>
      <w:bookmarkEnd w:id="76"/>
      <w:bookmarkEnd w:id="77"/>
      <w:bookmarkEnd w:id="78"/>
      <w:bookmarkEnd w:id="79"/>
      <w:bookmarkEnd w:id="80"/>
      <w:bookmarkEnd w:id="81"/>
      <w:bookmarkEnd w:id="82"/>
      <w:bookmarkEnd w:id="83"/>
      <w:bookmarkEnd w:id="84"/>
    </w:p>
    <w:p w14:paraId="147C80FF" w14:textId="711B007E" w:rsidR="00AB40D2" w:rsidRPr="006468A3" w:rsidRDefault="00AB40D2">
      <w:r w:rsidRPr="006468A3">
        <w:t xml:space="preserve">Part 3.6 of the Act sets out the processes for the reallocation of encumbered spectrum. </w:t>
      </w:r>
      <w:r w:rsidR="005423FA">
        <w:t xml:space="preserve">The main steps of the process </w:t>
      </w:r>
      <w:r w:rsidR="00DA3C8E">
        <w:t xml:space="preserve">including allocation </w:t>
      </w:r>
      <w:r w:rsidR="005423FA">
        <w:t>are detailed in</w:t>
      </w:r>
      <w:r w:rsidRPr="006468A3">
        <w:t xml:space="preserve"> Attachment B.</w:t>
      </w:r>
    </w:p>
    <w:p w14:paraId="0F07C41F" w14:textId="33EECF2C" w:rsidR="00AB40D2" w:rsidRPr="006468A3" w:rsidRDefault="004B070A">
      <w:r>
        <w:t xml:space="preserve">Under the Act, the minister may make encumbered spectrum available for reallocation by the issuing </w:t>
      </w:r>
      <w:r w:rsidR="004D36CC">
        <w:t xml:space="preserve">of spectrum or apparatus licences by making a reallocation declaration. </w:t>
      </w:r>
      <w:r w:rsidR="00AB40D2" w:rsidRPr="006468A3">
        <w:t xml:space="preserve">Under section 153E of the Act, the minister must not make a spectrum reallocation declaration for a particular part or parts of the spectrum unless, during the previous 180 days, the ACMA has given the minister a recommendation under section 153F of the Act </w:t>
      </w:r>
      <w:r w:rsidR="00DB3511">
        <w:t>in relation to</w:t>
      </w:r>
      <w:r w:rsidR="00DB3511" w:rsidRPr="006468A3">
        <w:t xml:space="preserve"> </w:t>
      </w:r>
      <w:r w:rsidR="00AB40D2" w:rsidRPr="006468A3">
        <w:t>that part</w:t>
      </w:r>
      <w:r w:rsidR="00DB3511">
        <w:t>,</w:t>
      </w:r>
      <w:r w:rsidR="00AB40D2" w:rsidRPr="006468A3">
        <w:t xml:space="preserve"> or </w:t>
      </w:r>
      <w:r w:rsidR="00DB3511">
        <w:t>those</w:t>
      </w:r>
      <w:r w:rsidR="00AB40D2" w:rsidRPr="006468A3">
        <w:t xml:space="preserve"> parts</w:t>
      </w:r>
      <w:r w:rsidR="001A21B6">
        <w:t>,</w:t>
      </w:r>
      <w:r w:rsidR="00AB40D2" w:rsidRPr="006468A3">
        <w:t xml:space="preserve"> of the spectrum.</w:t>
      </w:r>
    </w:p>
    <w:p w14:paraId="46871506" w14:textId="584BAB92" w:rsidR="00AB40D2" w:rsidRPr="006468A3" w:rsidRDefault="00AB40D2">
      <w:r w:rsidRPr="006468A3">
        <w:t xml:space="preserve">Before the ACMA </w:t>
      </w:r>
      <w:r w:rsidR="00DB3511">
        <w:t>may</w:t>
      </w:r>
      <w:r w:rsidRPr="006468A3">
        <w:t xml:space="preserve"> make a recommendation to the minister under section 153F, it must, under subsection 153</w:t>
      </w:r>
      <w:proofErr w:type="gramStart"/>
      <w:r w:rsidRPr="006468A3">
        <w:t>G(</w:t>
      </w:r>
      <w:proofErr w:type="gramEnd"/>
      <w:r w:rsidRPr="006468A3">
        <w:t>1), prepare a written notice stating that it has prepared a draft version of the recommendation and set out the terms of the draft recommendation. The ACMA must, as far as practicable, make reasonable efforts to give each potentially affected apparatus licensee a copy of the notice</w:t>
      </w:r>
      <w:r w:rsidR="00DB3511">
        <w:t>,</w:t>
      </w:r>
      <w:r w:rsidRPr="006468A3">
        <w:t xml:space="preserve"> and </w:t>
      </w:r>
      <w:r w:rsidR="00DB3511">
        <w:t xml:space="preserve">must also </w:t>
      </w:r>
      <w:r w:rsidRPr="006468A3">
        <w:t>publish a copy on its website. The notice must invite potentially affected apparatus licensees to give written comments to the ACMA about the draft version of the recommendation</w:t>
      </w:r>
      <w:r w:rsidR="00DB3511">
        <w:t xml:space="preserve"> within a specified period </w:t>
      </w:r>
      <w:r w:rsidR="00DA3C8E">
        <w:t>being at</w:t>
      </w:r>
      <w:r w:rsidR="00DB3511">
        <w:t xml:space="preserve"> least 28 days from the date the notice was given</w:t>
      </w:r>
      <w:r w:rsidRPr="006468A3">
        <w:t xml:space="preserve">. The ACMA must </w:t>
      </w:r>
      <w:r w:rsidR="00DB3511">
        <w:t xml:space="preserve">have regard to any </w:t>
      </w:r>
      <w:r w:rsidRPr="006468A3">
        <w:t xml:space="preserve">comments </w:t>
      </w:r>
      <w:r w:rsidR="00DB3511">
        <w:t xml:space="preserve">received </w:t>
      </w:r>
      <w:r w:rsidRPr="006468A3">
        <w:t>in preparing its final recommendation to the minister.</w:t>
      </w:r>
    </w:p>
    <w:p w14:paraId="401F82D9" w14:textId="77777777" w:rsidR="00AB40D2" w:rsidRPr="006468A3" w:rsidRDefault="00AB40D2" w:rsidP="003F08FF">
      <w:pPr>
        <w:spacing w:after="80"/>
      </w:pPr>
      <w:r w:rsidRPr="006468A3">
        <w:t>In its recommendation to the minister under section 153F, the ACMA must include:</w:t>
      </w:r>
    </w:p>
    <w:p w14:paraId="13EBA4F6" w14:textId="68ECF27A" w:rsidR="00AB40D2" w:rsidRPr="006468A3" w:rsidRDefault="002D7ED9" w:rsidP="00A1595E">
      <w:pPr>
        <w:pStyle w:val="ListBullet"/>
        <w:numPr>
          <w:ilvl w:val="0"/>
          <w:numId w:val="32"/>
        </w:numPr>
        <w:ind w:left="295" w:hanging="295"/>
        <w:rPr>
          <w:rFonts w:cs="Arial"/>
        </w:rPr>
      </w:pPr>
      <w:r w:rsidRPr="002D7ED9">
        <w:rPr>
          <w:rFonts w:cs="Arial"/>
        </w:rPr>
        <w:t>the identification of the specified parts of the spectrum (subsection 153</w:t>
      </w:r>
      <w:proofErr w:type="gramStart"/>
      <w:r w:rsidRPr="002D7ED9">
        <w:rPr>
          <w:rFonts w:cs="Arial"/>
        </w:rPr>
        <w:t>F(</w:t>
      </w:r>
      <w:proofErr w:type="gramEnd"/>
      <w:r w:rsidRPr="002D7ED9">
        <w:rPr>
          <w:rFonts w:cs="Arial"/>
        </w:rPr>
        <w:t>1)), which is done by reference to frequency and geographic area</w:t>
      </w:r>
    </w:p>
    <w:p w14:paraId="52243AF2" w14:textId="6A01EF4E" w:rsidR="00AB40D2" w:rsidRPr="006468A3" w:rsidRDefault="002D7ED9" w:rsidP="00A1595E">
      <w:pPr>
        <w:pStyle w:val="ListBulletLast"/>
        <w:numPr>
          <w:ilvl w:val="0"/>
          <w:numId w:val="32"/>
        </w:numPr>
        <w:ind w:left="295" w:hanging="295"/>
      </w:pPr>
      <w:r w:rsidRPr="002D7ED9">
        <w:lastRenderedPageBreak/>
        <w:t>a suggested reallocation period within which the reallocation process is to be completed (subsection 153</w:t>
      </w:r>
      <w:proofErr w:type="gramStart"/>
      <w:r w:rsidRPr="002D7ED9">
        <w:t>F(</w:t>
      </w:r>
      <w:proofErr w:type="gramEnd"/>
      <w:r w:rsidRPr="002D7ED9">
        <w:t>2)).</w:t>
      </w:r>
      <w:r w:rsidR="00AB40D2" w:rsidRPr="006468A3">
        <w:t xml:space="preserve"> </w:t>
      </w:r>
    </w:p>
    <w:p w14:paraId="78A31FA2" w14:textId="1295270F" w:rsidR="00AB40D2" w:rsidRPr="006468A3" w:rsidRDefault="00AB40D2">
      <w:r w:rsidRPr="006468A3">
        <w:t xml:space="preserve">The </w:t>
      </w:r>
      <w:r w:rsidR="008700F4">
        <w:t xml:space="preserve">reallocation </w:t>
      </w:r>
      <w:r w:rsidRPr="006468A3">
        <w:t xml:space="preserve">period must begin within 28 days of the spectrum reallocation declaration being made by the minister and must run for at least two years. During this time, incumbent apparatus licensees may continue to operate </w:t>
      </w:r>
      <w:r w:rsidR="00DB3511">
        <w:t xml:space="preserve">radiocommunications </w:t>
      </w:r>
      <w:r w:rsidRPr="006468A3">
        <w:t>devices in accordance with their apparatus licences. At the end of the reallocation period, incumbent licensees’ apparatus licences are cancelled (section 153H of the Act).</w:t>
      </w:r>
    </w:p>
    <w:p w14:paraId="4487CA86" w14:textId="77777777" w:rsidR="00AB40D2" w:rsidRPr="006468A3" w:rsidRDefault="00AB40D2" w:rsidP="003F08FF">
      <w:pPr>
        <w:spacing w:after="80"/>
      </w:pPr>
      <w:r w:rsidRPr="006468A3">
        <w:t>A reallocation declaration made by the minister under section 153B of the Act must specify:</w:t>
      </w:r>
    </w:p>
    <w:p w14:paraId="28714EA6" w14:textId="7F082856" w:rsidR="00AB40D2" w:rsidRPr="006468A3" w:rsidRDefault="001A21B6" w:rsidP="00A1595E">
      <w:pPr>
        <w:pStyle w:val="ListBullet"/>
        <w:numPr>
          <w:ilvl w:val="0"/>
          <w:numId w:val="33"/>
        </w:numPr>
        <w:ind w:left="295" w:hanging="295"/>
        <w:rPr>
          <w:rFonts w:cs="Arial"/>
        </w:rPr>
      </w:pPr>
      <w:r w:rsidRPr="001A21B6">
        <w:rPr>
          <w:rFonts w:cs="Arial"/>
        </w:rPr>
        <w:t>for each part of the spectrum the subject of the reallocation declaration, whether the part should be reallocated by issuing spectrum or apparatus licences</w:t>
      </w:r>
    </w:p>
    <w:p w14:paraId="1DE2F339" w14:textId="163B34D4" w:rsidR="00AB40D2" w:rsidRPr="006468A3" w:rsidRDefault="00AB40D2" w:rsidP="00A1595E">
      <w:pPr>
        <w:pStyle w:val="ListBulletLast"/>
        <w:numPr>
          <w:ilvl w:val="0"/>
          <w:numId w:val="33"/>
        </w:numPr>
        <w:ind w:left="295" w:hanging="295"/>
      </w:pPr>
      <w:r w:rsidRPr="006468A3">
        <w:t>the reallocation deadline</w:t>
      </w:r>
      <w:r w:rsidR="00DB3511">
        <w:t xml:space="preserve"> that applies to the declaration</w:t>
      </w:r>
      <w:r w:rsidRPr="006468A3">
        <w:t>.</w:t>
      </w:r>
    </w:p>
    <w:p w14:paraId="26999F09" w14:textId="77006CCA" w:rsidR="00AB40D2" w:rsidRPr="006468A3" w:rsidRDefault="00AB40D2">
      <w:r w:rsidRPr="006468A3">
        <w:t xml:space="preserve">The reallocation deadline sets the date by which the ACMA must have allocated at least one licence for the reallocated spectrum. </w:t>
      </w:r>
      <w:r w:rsidR="00DB3511">
        <w:t>If no such licences are allocated before that date, the reallocation declaration is taken to be</w:t>
      </w:r>
      <w:r w:rsidR="00CA21BF">
        <w:t xml:space="preserve"> automatically </w:t>
      </w:r>
      <w:r w:rsidR="00DB3511">
        <w:t xml:space="preserve">revoked (see section 153K). </w:t>
      </w:r>
      <w:r w:rsidRPr="006468A3">
        <w:t>The reallocation deadline must be at least 12 months before the end of the reallocation period.</w:t>
      </w:r>
    </w:p>
    <w:p w14:paraId="61A7860E" w14:textId="6F0B4A93" w:rsidR="00AB40D2" w:rsidRDefault="00AB40D2">
      <w:r w:rsidRPr="006468A3">
        <w:t>The ACMA will include proposals on these matters in its recommendation to the minister.</w:t>
      </w:r>
    </w:p>
    <w:p w14:paraId="74494989" w14:textId="77777777" w:rsidR="00AB40D2" w:rsidRPr="006468A3" w:rsidRDefault="00AB40D2">
      <w:pPr>
        <w:pStyle w:val="Heading2"/>
      </w:pPr>
      <w:bookmarkStart w:id="85" w:name="_Toc408494354"/>
      <w:bookmarkStart w:id="86" w:name="_Toc408846593"/>
      <w:bookmarkStart w:id="87" w:name="_Toc409015462"/>
      <w:bookmarkStart w:id="88" w:name="_Toc409528626"/>
      <w:bookmarkStart w:id="89" w:name="_Toc409016955"/>
      <w:bookmarkStart w:id="90" w:name="_Toc496277318"/>
      <w:bookmarkStart w:id="91" w:name="_Toc496277717"/>
      <w:bookmarkStart w:id="92" w:name="_Toc496527228"/>
      <w:bookmarkStart w:id="93" w:name="_Toc496527403"/>
      <w:bookmarkStart w:id="94" w:name="_Toc8207118"/>
      <w:r w:rsidRPr="00872271">
        <w:t>Proposal—terms of the draft recommendation</w:t>
      </w:r>
      <w:bookmarkEnd w:id="85"/>
      <w:bookmarkEnd w:id="86"/>
      <w:bookmarkEnd w:id="87"/>
      <w:bookmarkEnd w:id="88"/>
      <w:bookmarkEnd w:id="89"/>
      <w:bookmarkEnd w:id="90"/>
      <w:bookmarkEnd w:id="91"/>
      <w:bookmarkEnd w:id="92"/>
      <w:bookmarkEnd w:id="93"/>
      <w:bookmarkEnd w:id="94"/>
    </w:p>
    <w:p w14:paraId="3A96F8AB" w14:textId="617E881E" w:rsidR="00AB40D2" w:rsidRPr="006468A3" w:rsidRDefault="00AB40D2">
      <w:r w:rsidRPr="006468A3">
        <w:t>The ACMA has prepared a draft recommendation</w:t>
      </w:r>
      <w:r>
        <w:t xml:space="preserve"> </w:t>
      </w:r>
      <w:r w:rsidRPr="006468A3">
        <w:t xml:space="preserve">that the </w:t>
      </w:r>
      <w:r w:rsidR="00F72597">
        <w:t>m</w:t>
      </w:r>
      <w:r w:rsidRPr="006468A3">
        <w:t>inister make a spectrum reallocation declaration</w:t>
      </w:r>
      <w:r>
        <w:t xml:space="preserve"> </w:t>
      </w:r>
      <w:r w:rsidR="00974B59">
        <w:t xml:space="preserve">for the specified </w:t>
      </w:r>
      <w:r w:rsidR="009E1E41">
        <w:t xml:space="preserve">parts of the </w:t>
      </w:r>
      <w:r w:rsidR="00974B59">
        <w:t xml:space="preserve">spectrum in the </w:t>
      </w:r>
      <w:r w:rsidR="000A412E">
        <w:t>26</w:t>
      </w:r>
      <w:r>
        <w:t xml:space="preserve"> </w:t>
      </w:r>
      <w:r w:rsidRPr="006468A3">
        <w:t xml:space="preserve">GHz band. </w:t>
      </w:r>
    </w:p>
    <w:p w14:paraId="2B3A17FD" w14:textId="4E3AA0C2" w:rsidR="0084455E" w:rsidRDefault="00AB40D2">
      <w:r w:rsidRPr="006468A3">
        <w:t xml:space="preserve">The ACMA considers that the arrangements proposed in the draft recommendation meet the </w:t>
      </w:r>
      <w:r w:rsidR="00C87AB4">
        <w:t xml:space="preserve">goals under the </w:t>
      </w:r>
      <w:r w:rsidRPr="006468A3">
        <w:t>object of the Act</w:t>
      </w:r>
      <w:r w:rsidR="004F396D">
        <w:t>.</w:t>
      </w:r>
      <w:r w:rsidR="00375CE3">
        <w:t xml:space="preserve"> </w:t>
      </w:r>
      <w:r w:rsidR="00E62DF6">
        <w:t xml:space="preserve">Table 2 </w:t>
      </w:r>
      <w:r w:rsidR="004E07A5">
        <w:t>below</w:t>
      </w:r>
      <w:r w:rsidR="00AC33D8">
        <w:t xml:space="preserve"> </w:t>
      </w:r>
      <w:r w:rsidRPr="006468A3">
        <w:t>provides a summary of the terms of the draft recommendation.</w:t>
      </w:r>
    </w:p>
    <w:p w14:paraId="6EB6FFE0" w14:textId="7CC3809B" w:rsidR="00AB40D2" w:rsidRDefault="00F72597" w:rsidP="00167866">
      <w:pPr>
        <w:pStyle w:val="ACMATableHeader"/>
        <w:keepNext/>
        <w:keepLines/>
        <w:tabs>
          <w:tab w:val="clear" w:pos="964"/>
          <w:tab w:val="num" w:pos="-2438"/>
        </w:tabs>
        <w:ind w:left="0" w:firstLine="0"/>
      </w:pPr>
      <w:bookmarkStart w:id="95" w:name="_Ref4142950"/>
      <w:r w:rsidRPr="006468A3">
        <w:t>Terms of the draft recommendation</w:t>
      </w:r>
      <w:bookmarkEnd w:id="95"/>
    </w:p>
    <w:tbl>
      <w:tblPr>
        <w:tblW w:w="9503" w:type="dxa"/>
        <w:tblBorders>
          <w:top w:val="single" w:sz="4" w:space="0" w:color="auto"/>
          <w:bottom w:val="single" w:sz="4" w:space="0" w:color="auto"/>
          <w:insideH w:val="single" w:sz="4" w:space="0" w:color="auto"/>
        </w:tblBorders>
        <w:tblLayout w:type="fixed"/>
        <w:tblCellMar>
          <w:top w:w="85" w:type="dxa"/>
          <w:bottom w:w="85" w:type="dxa"/>
        </w:tblCellMar>
        <w:tblLook w:val="01E0" w:firstRow="1" w:lastRow="1" w:firstColumn="1" w:lastColumn="1" w:noHBand="0" w:noVBand="0"/>
        <w:tblCaption w:val="Table title to go here"/>
        <w:tblDescription w:val="Table description to go here"/>
      </w:tblPr>
      <w:tblGrid>
        <w:gridCol w:w="2615"/>
        <w:gridCol w:w="6888"/>
      </w:tblGrid>
      <w:tr w:rsidR="00866E47" w:rsidRPr="006D46E5" w14:paraId="230CECDF" w14:textId="77777777" w:rsidTr="00167866">
        <w:tc>
          <w:tcPr>
            <w:tcW w:w="2615" w:type="dxa"/>
            <w:shd w:val="clear" w:color="auto" w:fill="404040" w:themeFill="text1" w:themeFillTint="BF"/>
          </w:tcPr>
          <w:p w14:paraId="0FD17315" w14:textId="77777777" w:rsidR="00866E47" w:rsidRPr="006D46E5" w:rsidRDefault="00866E47" w:rsidP="00A1595E">
            <w:pPr>
              <w:pStyle w:val="TableHeading"/>
              <w:keepNext/>
              <w:keepLines/>
              <w:rPr>
                <w:rFonts w:cs="Arial"/>
                <w:color w:val="FFFFFF" w:themeColor="background1"/>
              </w:rPr>
            </w:pPr>
            <w:bookmarkStart w:id="96" w:name="_Hlk4070287"/>
            <w:r>
              <w:rPr>
                <w:rFonts w:cs="Arial"/>
                <w:color w:val="FFFFFF" w:themeColor="background1"/>
              </w:rPr>
              <w:t>Element of draft recommendation</w:t>
            </w:r>
          </w:p>
        </w:tc>
        <w:tc>
          <w:tcPr>
            <w:tcW w:w="6888" w:type="dxa"/>
            <w:shd w:val="clear" w:color="auto" w:fill="404040" w:themeFill="text1" w:themeFillTint="BF"/>
          </w:tcPr>
          <w:p w14:paraId="7138972F" w14:textId="77777777" w:rsidR="00866E47" w:rsidRPr="006D46E5" w:rsidRDefault="00866E47" w:rsidP="00A1595E">
            <w:pPr>
              <w:pStyle w:val="TableHeading"/>
              <w:keepNext/>
              <w:keepLines/>
              <w:rPr>
                <w:rFonts w:cs="Arial"/>
                <w:color w:val="FFFFFF" w:themeColor="background1"/>
              </w:rPr>
            </w:pPr>
            <w:r>
              <w:rPr>
                <w:rFonts w:cs="Arial"/>
                <w:color w:val="FFFFFF" w:themeColor="background1"/>
              </w:rPr>
              <w:t>The ACMA’s proposed recommendation</w:t>
            </w:r>
          </w:p>
        </w:tc>
      </w:tr>
      <w:tr w:rsidR="00866E47" w:rsidRPr="006D46E5" w14:paraId="4A5C2EB8" w14:textId="77777777" w:rsidTr="00167866">
        <w:tc>
          <w:tcPr>
            <w:tcW w:w="2615" w:type="dxa"/>
            <w:tcBorders>
              <w:bottom w:val="single" w:sz="4" w:space="0" w:color="auto"/>
            </w:tcBorders>
          </w:tcPr>
          <w:p w14:paraId="41E7F829" w14:textId="77777777" w:rsidR="00866E47" w:rsidRPr="006D46E5" w:rsidRDefault="00866E47" w:rsidP="00A1595E">
            <w:pPr>
              <w:pStyle w:val="TableBody"/>
              <w:keepNext/>
              <w:keepLines/>
              <w:rPr>
                <w:rFonts w:cs="Arial"/>
              </w:rPr>
            </w:pPr>
            <w:r>
              <w:rPr>
                <w:rFonts w:cs="Arial"/>
              </w:rPr>
              <w:t>Licence type</w:t>
            </w:r>
          </w:p>
        </w:tc>
        <w:tc>
          <w:tcPr>
            <w:tcW w:w="6888" w:type="dxa"/>
            <w:tcBorders>
              <w:bottom w:val="single" w:sz="4" w:space="0" w:color="auto"/>
            </w:tcBorders>
          </w:tcPr>
          <w:p w14:paraId="7B280BDE" w14:textId="77777777" w:rsidR="00866E47" w:rsidRPr="006D46E5" w:rsidRDefault="00866E47" w:rsidP="00A1595E">
            <w:pPr>
              <w:pStyle w:val="TableBody"/>
              <w:keepNext/>
              <w:keepLines/>
              <w:rPr>
                <w:rFonts w:cs="Arial"/>
              </w:rPr>
            </w:pPr>
            <w:r>
              <w:rPr>
                <w:rFonts w:cs="Arial"/>
              </w:rPr>
              <w:t>Spectrum licences</w:t>
            </w:r>
          </w:p>
        </w:tc>
      </w:tr>
      <w:tr w:rsidR="00866E47" w:rsidRPr="006D46E5" w14:paraId="4FE0EF91" w14:textId="77777777" w:rsidTr="00167866">
        <w:tc>
          <w:tcPr>
            <w:tcW w:w="2615" w:type="dxa"/>
            <w:shd w:val="clear" w:color="auto" w:fill="F2F2F2" w:themeFill="background1" w:themeFillShade="F2"/>
          </w:tcPr>
          <w:p w14:paraId="4D793869" w14:textId="77777777" w:rsidR="00866E47" w:rsidRPr="006D46E5" w:rsidRDefault="00866E47" w:rsidP="00A1595E">
            <w:pPr>
              <w:pStyle w:val="TableBody"/>
              <w:keepNext/>
              <w:keepLines/>
              <w:rPr>
                <w:rFonts w:cs="Arial"/>
              </w:rPr>
            </w:pPr>
            <w:r>
              <w:rPr>
                <w:rFonts w:cs="Arial"/>
              </w:rPr>
              <w:t>Parts of the spectrum</w:t>
            </w:r>
          </w:p>
        </w:tc>
        <w:tc>
          <w:tcPr>
            <w:tcW w:w="6888" w:type="dxa"/>
            <w:shd w:val="clear" w:color="auto" w:fill="F2F2F2" w:themeFill="background1" w:themeFillShade="F2"/>
          </w:tcPr>
          <w:p w14:paraId="3E75FFBE" w14:textId="42F71683" w:rsidR="00866E47" w:rsidRPr="006D46E5" w:rsidRDefault="00866E47" w:rsidP="00A1595E">
            <w:pPr>
              <w:pStyle w:val="TableBody"/>
              <w:keepNext/>
              <w:keepLines/>
              <w:rPr>
                <w:rFonts w:cs="Arial"/>
              </w:rPr>
            </w:pPr>
            <w:r>
              <w:rPr>
                <w:rFonts w:cs="Arial"/>
              </w:rPr>
              <w:t>25.1</w:t>
            </w:r>
            <w:r w:rsidR="00DA0235">
              <w:rPr>
                <w:rFonts w:cs="Arial"/>
              </w:rPr>
              <w:t>–</w:t>
            </w:r>
            <w:r>
              <w:rPr>
                <w:rFonts w:cs="Arial"/>
              </w:rPr>
              <w:t xml:space="preserve">27.5 GHz in </w:t>
            </w:r>
            <w:r w:rsidR="002A0408">
              <w:rPr>
                <w:rFonts w:cs="Arial"/>
              </w:rPr>
              <w:t xml:space="preserve">34 </w:t>
            </w:r>
            <w:r w:rsidR="004F396D">
              <w:rPr>
                <w:rFonts w:cs="Arial"/>
              </w:rPr>
              <w:t>specified</w:t>
            </w:r>
            <w:r w:rsidR="002A0408">
              <w:rPr>
                <w:rFonts w:cs="Arial"/>
              </w:rPr>
              <w:t xml:space="preserve"> </w:t>
            </w:r>
            <w:r w:rsidR="0084455E">
              <w:rPr>
                <w:rFonts w:cs="Arial"/>
              </w:rPr>
              <w:t xml:space="preserve">cities and </w:t>
            </w:r>
            <w:r w:rsidR="001A5383">
              <w:rPr>
                <w:rFonts w:cs="Arial"/>
              </w:rPr>
              <w:t>regional centres</w:t>
            </w:r>
          </w:p>
        </w:tc>
      </w:tr>
      <w:tr w:rsidR="00866E47" w:rsidRPr="006D46E5" w14:paraId="11C35FE4" w14:textId="77777777" w:rsidTr="00167866">
        <w:tc>
          <w:tcPr>
            <w:tcW w:w="2615" w:type="dxa"/>
            <w:tcBorders>
              <w:bottom w:val="single" w:sz="4" w:space="0" w:color="auto"/>
            </w:tcBorders>
          </w:tcPr>
          <w:p w14:paraId="03537BD3" w14:textId="77777777" w:rsidR="00866E47" w:rsidRPr="006D46E5" w:rsidRDefault="00866E47" w:rsidP="00A1595E">
            <w:pPr>
              <w:pStyle w:val="TableBody"/>
              <w:keepNext/>
              <w:keepLines/>
              <w:rPr>
                <w:rFonts w:cs="Arial"/>
              </w:rPr>
            </w:pPr>
            <w:r>
              <w:rPr>
                <w:rFonts w:cs="Arial"/>
              </w:rPr>
              <w:t>Reallocation period</w:t>
            </w:r>
          </w:p>
        </w:tc>
        <w:tc>
          <w:tcPr>
            <w:tcW w:w="6888" w:type="dxa"/>
            <w:tcBorders>
              <w:bottom w:val="single" w:sz="4" w:space="0" w:color="auto"/>
            </w:tcBorders>
          </w:tcPr>
          <w:p w14:paraId="34C20194" w14:textId="03140C28" w:rsidR="00866E47" w:rsidRPr="006D46E5" w:rsidRDefault="00866E47" w:rsidP="00A1595E">
            <w:pPr>
              <w:pStyle w:val="TableBody"/>
              <w:keepNext/>
              <w:keepLines/>
              <w:rPr>
                <w:rFonts w:cs="Arial"/>
              </w:rPr>
            </w:pPr>
            <w:r>
              <w:rPr>
                <w:rFonts w:cs="Arial"/>
              </w:rPr>
              <w:t>Two</w:t>
            </w:r>
            <w:r w:rsidR="009A26FF">
              <w:rPr>
                <w:rFonts w:cs="Arial"/>
              </w:rPr>
              <w:t>-</w:t>
            </w:r>
            <w:r w:rsidR="001A77EE">
              <w:rPr>
                <w:rFonts w:cs="Arial"/>
              </w:rPr>
              <w:t>and</w:t>
            </w:r>
            <w:r w:rsidR="009A26FF">
              <w:rPr>
                <w:rFonts w:cs="Arial"/>
              </w:rPr>
              <w:t>-</w:t>
            </w:r>
            <w:r w:rsidR="001A77EE">
              <w:rPr>
                <w:rFonts w:cs="Arial"/>
              </w:rPr>
              <w:t>a</w:t>
            </w:r>
            <w:r w:rsidR="009A26FF">
              <w:rPr>
                <w:rFonts w:cs="Arial"/>
              </w:rPr>
              <w:t>-</w:t>
            </w:r>
            <w:r w:rsidR="001A77EE">
              <w:rPr>
                <w:rFonts w:cs="Arial"/>
              </w:rPr>
              <w:t xml:space="preserve">half </w:t>
            </w:r>
            <w:r>
              <w:rPr>
                <w:rFonts w:cs="Arial"/>
              </w:rPr>
              <w:t xml:space="preserve">years </w:t>
            </w:r>
          </w:p>
        </w:tc>
      </w:tr>
      <w:tr w:rsidR="00866E47" w:rsidRPr="006D46E5" w14:paraId="74018A49" w14:textId="77777777" w:rsidTr="00167866">
        <w:tc>
          <w:tcPr>
            <w:tcW w:w="2615" w:type="dxa"/>
            <w:shd w:val="clear" w:color="auto" w:fill="F2F2F2" w:themeFill="background1" w:themeFillShade="F2"/>
          </w:tcPr>
          <w:p w14:paraId="0F425F22" w14:textId="77777777" w:rsidR="00866E47" w:rsidRPr="006D46E5" w:rsidRDefault="00866E47" w:rsidP="00A1595E">
            <w:pPr>
              <w:pStyle w:val="TableBody"/>
              <w:keepNext/>
              <w:keepLines/>
              <w:rPr>
                <w:rFonts w:cs="Arial"/>
              </w:rPr>
            </w:pPr>
            <w:r>
              <w:rPr>
                <w:rFonts w:cs="Arial"/>
              </w:rPr>
              <w:t>Reallocation deadline</w:t>
            </w:r>
          </w:p>
        </w:tc>
        <w:tc>
          <w:tcPr>
            <w:tcW w:w="6888" w:type="dxa"/>
            <w:shd w:val="clear" w:color="auto" w:fill="F2F2F2" w:themeFill="background1" w:themeFillShade="F2"/>
          </w:tcPr>
          <w:p w14:paraId="004862C3" w14:textId="490851B2" w:rsidR="00866E47" w:rsidRPr="006D46E5" w:rsidRDefault="00866E47" w:rsidP="00A1595E">
            <w:pPr>
              <w:pStyle w:val="TableBody"/>
              <w:keepNext/>
              <w:keepLines/>
              <w:rPr>
                <w:rFonts w:cs="Arial"/>
              </w:rPr>
            </w:pPr>
            <w:r>
              <w:rPr>
                <w:rFonts w:cs="Arial"/>
              </w:rPr>
              <w:t>12 months before the end of the reallocation period</w:t>
            </w:r>
          </w:p>
        </w:tc>
      </w:tr>
    </w:tbl>
    <w:p w14:paraId="1FEC43B5" w14:textId="27F87C90" w:rsidR="00AB40D2" w:rsidRPr="00EE0712" w:rsidRDefault="00AB40D2">
      <w:pPr>
        <w:pStyle w:val="ACMASpaceaftertable"/>
      </w:pPr>
      <w:bookmarkStart w:id="97" w:name="_Hlk5006452"/>
      <w:bookmarkEnd w:id="96"/>
    </w:p>
    <w:bookmarkEnd w:id="97"/>
    <w:p w14:paraId="3D32799F" w14:textId="2A0A6DF6" w:rsidR="00AB40D2" w:rsidRPr="006468A3" w:rsidRDefault="00AB40D2">
      <w:proofErr w:type="gramStart"/>
      <w:r w:rsidRPr="007E67DC">
        <w:t>Firstly</w:t>
      </w:r>
      <w:proofErr w:type="gramEnd"/>
      <w:r w:rsidR="00E666CA">
        <w:t xml:space="preserve"> this</w:t>
      </w:r>
      <w:r w:rsidRPr="007E67DC">
        <w:t xml:space="preserve"> paper briefly discusses the features of </w:t>
      </w:r>
      <w:r w:rsidR="00FC07D0" w:rsidRPr="007E67DC">
        <w:t xml:space="preserve">class, </w:t>
      </w:r>
      <w:r w:rsidRPr="007E67DC">
        <w:t>apparatus and spectrum licensing, and why the ACMA considers spectrum licensing</w:t>
      </w:r>
      <w:r w:rsidR="00801D59">
        <w:t xml:space="preserve"> </w:t>
      </w:r>
      <w:r w:rsidRPr="007E67DC">
        <w:t xml:space="preserve">to be the most suitable long-term licensing arrangement in </w:t>
      </w:r>
      <w:r w:rsidR="00640CF4">
        <w:t>the 26</w:t>
      </w:r>
      <w:r w:rsidR="001A5383">
        <w:t xml:space="preserve"> GHz</w:t>
      </w:r>
      <w:r w:rsidR="00640CF4">
        <w:t xml:space="preserve"> band</w:t>
      </w:r>
      <w:r w:rsidRPr="006468A3">
        <w:t>.</w:t>
      </w:r>
    </w:p>
    <w:p w14:paraId="7F48E90E" w14:textId="2D91C23F" w:rsidR="00AB40D2" w:rsidRPr="006468A3" w:rsidRDefault="00AB40D2">
      <w:r w:rsidRPr="006468A3">
        <w:t>Second</w:t>
      </w:r>
      <w:r>
        <w:t>ly</w:t>
      </w:r>
      <w:r w:rsidRPr="006468A3">
        <w:t xml:space="preserve">, </w:t>
      </w:r>
      <w:r w:rsidR="00E00F7A">
        <w:t xml:space="preserve">it identifies options under consideration by the ACMA </w:t>
      </w:r>
      <w:r w:rsidRPr="006468A3">
        <w:t>in developing its recommendation on parts of the spectrum to be reallocated</w:t>
      </w:r>
      <w:r w:rsidR="00CD4249">
        <w:t xml:space="preserve"> by issuing spectrum licences</w:t>
      </w:r>
      <w:r w:rsidRPr="006468A3">
        <w:t xml:space="preserve">. </w:t>
      </w:r>
    </w:p>
    <w:p w14:paraId="4793D9CE" w14:textId="77777777" w:rsidR="00AB40D2" w:rsidRPr="006468A3" w:rsidRDefault="00AB40D2">
      <w:r w:rsidRPr="006468A3">
        <w:lastRenderedPageBreak/>
        <w:t>Third</w:t>
      </w:r>
      <w:r>
        <w:t>ly</w:t>
      </w:r>
      <w:r w:rsidRPr="006468A3">
        <w:t xml:space="preserve">, the paper includes further detail on matters relevant to the proposed reallocation period and reallocation deadline. </w:t>
      </w:r>
    </w:p>
    <w:p w14:paraId="3A8E8168" w14:textId="379CE597" w:rsidR="00AB40D2" w:rsidRDefault="00AB40D2">
      <w:r w:rsidRPr="006468A3">
        <w:rPr>
          <w:szCs w:val="20"/>
        </w:rPr>
        <w:t xml:space="preserve">Finally, the paper discusses other matters relevant to the price-based allocation of the spectrum, including the ACMA’s </w:t>
      </w:r>
      <w:r>
        <w:rPr>
          <w:szCs w:val="20"/>
        </w:rPr>
        <w:t xml:space="preserve">preliminary view on </w:t>
      </w:r>
      <w:r w:rsidR="00CD4249">
        <w:rPr>
          <w:szCs w:val="20"/>
        </w:rPr>
        <w:t xml:space="preserve">the </w:t>
      </w:r>
      <w:r w:rsidRPr="006468A3">
        <w:rPr>
          <w:szCs w:val="20"/>
        </w:rPr>
        <w:t>allocation methodology and lot configuration</w:t>
      </w:r>
      <w:r w:rsidR="00CD4249">
        <w:rPr>
          <w:szCs w:val="20"/>
        </w:rPr>
        <w:t xml:space="preserve"> that may be used</w:t>
      </w:r>
      <w:r w:rsidRPr="006468A3">
        <w:rPr>
          <w:szCs w:val="20"/>
        </w:rPr>
        <w:t xml:space="preserve">. </w:t>
      </w:r>
      <w:r>
        <w:rPr>
          <w:szCs w:val="20"/>
        </w:rPr>
        <w:t xml:space="preserve">Subject to this consultation, and to the </w:t>
      </w:r>
      <w:r w:rsidR="00F72597">
        <w:rPr>
          <w:szCs w:val="20"/>
        </w:rPr>
        <w:t>m</w:t>
      </w:r>
      <w:r>
        <w:rPr>
          <w:szCs w:val="20"/>
        </w:rPr>
        <w:t>inister accepting the ACMA’s proposed recommendation, t</w:t>
      </w:r>
      <w:r w:rsidRPr="006468A3">
        <w:rPr>
          <w:szCs w:val="20"/>
        </w:rPr>
        <w:t xml:space="preserve">he ACMA </w:t>
      </w:r>
      <w:r w:rsidR="00494596">
        <w:rPr>
          <w:szCs w:val="20"/>
        </w:rPr>
        <w:t xml:space="preserve">proposes an </w:t>
      </w:r>
      <w:r w:rsidR="00C97BE8">
        <w:rPr>
          <w:szCs w:val="20"/>
        </w:rPr>
        <w:t xml:space="preserve">allocation </w:t>
      </w:r>
      <w:r>
        <w:rPr>
          <w:szCs w:val="20"/>
        </w:rPr>
        <w:t xml:space="preserve">would </w:t>
      </w:r>
      <w:r w:rsidR="00494596">
        <w:rPr>
          <w:szCs w:val="20"/>
        </w:rPr>
        <w:t>be conducted</w:t>
      </w:r>
      <w:r>
        <w:rPr>
          <w:szCs w:val="20"/>
        </w:rPr>
        <w:t xml:space="preserve"> in </w:t>
      </w:r>
      <w:r w:rsidR="00494596">
        <w:rPr>
          <w:szCs w:val="20"/>
        </w:rPr>
        <w:t xml:space="preserve">the third </w:t>
      </w:r>
      <w:r w:rsidR="00C97BE8">
        <w:rPr>
          <w:szCs w:val="20"/>
        </w:rPr>
        <w:t>or fou</w:t>
      </w:r>
      <w:r w:rsidR="00731D1D">
        <w:rPr>
          <w:szCs w:val="20"/>
        </w:rPr>
        <w:t>r</w:t>
      </w:r>
      <w:r w:rsidR="00C97BE8">
        <w:rPr>
          <w:szCs w:val="20"/>
        </w:rPr>
        <w:t xml:space="preserve">th </w:t>
      </w:r>
      <w:r w:rsidR="00494596">
        <w:rPr>
          <w:szCs w:val="20"/>
        </w:rPr>
        <w:t>quarter of 2020</w:t>
      </w:r>
      <w:r>
        <w:rPr>
          <w:szCs w:val="20"/>
        </w:rPr>
        <w:t xml:space="preserve"> </w:t>
      </w:r>
      <w:r w:rsidRPr="006468A3">
        <w:rPr>
          <w:szCs w:val="20"/>
        </w:rPr>
        <w:t xml:space="preserve">and considers it desirable that stakeholders have the opportunity to consider </w:t>
      </w:r>
      <w:r>
        <w:rPr>
          <w:szCs w:val="20"/>
        </w:rPr>
        <w:t xml:space="preserve">potential </w:t>
      </w:r>
      <w:r w:rsidRPr="006468A3">
        <w:rPr>
          <w:szCs w:val="20"/>
        </w:rPr>
        <w:t xml:space="preserve">allocation issues at </w:t>
      </w:r>
      <w:r w:rsidR="00CD4249">
        <w:rPr>
          <w:szCs w:val="20"/>
        </w:rPr>
        <w:t xml:space="preserve">this </w:t>
      </w:r>
      <w:r w:rsidRPr="006468A3">
        <w:rPr>
          <w:szCs w:val="20"/>
        </w:rPr>
        <w:t>early stage of the process.</w:t>
      </w:r>
      <w:r>
        <w:rPr>
          <w:szCs w:val="20"/>
        </w:rPr>
        <w:t xml:space="preserve"> </w:t>
      </w:r>
    </w:p>
    <w:p w14:paraId="08073E03" w14:textId="00C3D9C8" w:rsidR="00AB40D2" w:rsidRPr="008303EC" w:rsidRDefault="00AB40D2">
      <w:pPr>
        <w:pStyle w:val="Heading1"/>
      </w:pPr>
      <w:bookmarkStart w:id="98" w:name="_Toc408494355"/>
      <w:bookmarkStart w:id="99" w:name="_Toc408846594"/>
      <w:bookmarkStart w:id="100" w:name="_Toc409015463"/>
      <w:bookmarkStart w:id="101" w:name="_Toc409528627"/>
      <w:bookmarkStart w:id="102" w:name="_Toc409016956"/>
      <w:bookmarkStart w:id="103" w:name="_Toc496277319"/>
      <w:bookmarkStart w:id="104" w:name="_Toc496277718"/>
      <w:bookmarkStart w:id="105" w:name="_Toc496527229"/>
      <w:bookmarkStart w:id="106" w:name="_Toc496527404"/>
      <w:bookmarkStart w:id="107" w:name="_Toc8207119"/>
      <w:r w:rsidRPr="00C57A55">
        <w:lastRenderedPageBreak/>
        <w:t>Licence type</w:t>
      </w:r>
      <w:bookmarkEnd w:id="98"/>
      <w:bookmarkEnd w:id="99"/>
      <w:bookmarkEnd w:id="100"/>
      <w:bookmarkEnd w:id="101"/>
      <w:bookmarkEnd w:id="102"/>
      <w:bookmarkEnd w:id="103"/>
      <w:bookmarkEnd w:id="104"/>
      <w:bookmarkEnd w:id="105"/>
      <w:bookmarkEnd w:id="106"/>
      <w:bookmarkEnd w:id="107"/>
    </w:p>
    <w:p w14:paraId="18E2BAA8" w14:textId="62B259D0" w:rsidR="00AB40D2" w:rsidRPr="00872271" w:rsidRDefault="00AB40D2">
      <w:r w:rsidRPr="00872271">
        <w:t xml:space="preserve">Under section 153B of the Act, the minister may declare that the spectrum is to be reallocated by </w:t>
      </w:r>
      <w:r>
        <w:t xml:space="preserve">issuing </w:t>
      </w:r>
      <w:r w:rsidRPr="00872271">
        <w:t xml:space="preserve">spectrum or apparatus licences. </w:t>
      </w:r>
      <w:r w:rsidRPr="00872271">
        <w:rPr>
          <w:rFonts w:cs="Arial"/>
        </w:rPr>
        <w:t>Under either option, incumbent apparatus licensees would have their licences cancelled at the end of the reallocation period</w:t>
      </w:r>
      <w:r w:rsidR="00CD4249">
        <w:rPr>
          <w:rFonts w:cs="Arial"/>
        </w:rPr>
        <w:t xml:space="preserve"> (see section 153 H)</w:t>
      </w:r>
      <w:r w:rsidRPr="00872271">
        <w:rPr>
          <w:rFonts w:cs="Arial"/>
        </w:rPr>
        <w:t>.</w:t>
      </w:r>
      <w:r w:rsidRPr="00872271" w:rsidDel="008C73FE">
        <w:rPr>
          <w:rFonts w:cs="Arial"/>
        </w:rPr>
        <w:t xml:space="preserve"> </w:t>
      </w:r>
      <w:r w:rsidRPr="00872271">
        <w:t>Under subsection 153</w:t>
      </w:r>
      <w:proofErr w:type="gramStart"/>
      <w:r w:rsidRPr="00872271">
        <w:t>F(</w:t>
      </w:r>
      <w:proofErr w:type="gramEnd"/>
      <w:r w:rsidRPr="00872271">
        <w:t xml:space="preserve">3), when the ACMA gives the minister a recommendation to make a spectrum reallocation declaration, the ACMA </w:t>
      </w:r>
      <w:r w:rsidR="00CD4249">
        <w:t>may</w:t>
      </w:r>
      <w:r w:rsidRPr="00872271">
        <w:t xml:space="preserve"> include a recommendation about any matters it considers appropriate. While the ACMA is not required to make a recommendation to the minister about licence type, it intends to </w:t>
      </w:r>
      <w:proofErr w:type="gramStart"/>
      <w:r w:rsidRPr="00872271">
        <w:t xml:space="preserve">make a recommendation </w:t>
      </w:r>
      <w:bookmarkStart w:id="108" w:name="_Hlk3472656"/>
      <w:r w:rsidR="007C3EAD">
        <w:t>that</w:t>
      </w:r>
      <w:proofErr w:type="gramEnd"/>
      <w:r w:rsidRPr="00872271">
        <w:t xml:space="preserve"> </w:t>
      </w:r>
      <w:r w:rsidR="00F1277B">
        <w:t xml:space="preserve">the </w:t>
      </w:r>
      <w:r w:rsidR="00640CF4">
        <w:t>26</w:t>
      </w:r>
      <w:r w:rsidR="00144C14">
        <w:t> </w:t>
      </w:r>
      <w:r w:rsidR="007C3EAD">
        <w:t xml:space="preserve">GHz </w:t>
      </w:r>
      <w:r w:rsidR="00640CF4">
        <w:t xml:space="preserve">band </w:t>
      </w:r>
      <w:r>
        <w:t xml:space="preserve">be </w:t>
      </w:r>
      <w:r w:rsidR="00CD4249">
        <w:t xml:space="preserve">reallocated by the issuing of </w:t>
      </w:r>
      <w:r>
        <w:t>spectrum licen</w:t>
      </w:r>
      <w:r w:rsidR="00CD4249">
        <w:t>ces</w:t>
      </w:r>
      <w:r w:rsidR="007C3EAD">
        <w:t xml:space="preserve"> in </w:t>
      </w:r>
      <w:r w:rsidR="00CD4249">
        <w:t xml:space="preserve">the </w:t>
      </w:r>
      <w:r w:rsidR="00F1277B">
        <w:t xml:space="preserve">defined areas. </w:t>
      </w:r>
      <w:bookmarkEnd w:id="108"/>
    </w:p>
    <w:p w14:paraId="4A19DB2A" w14:textId="1509ACF8" w:rsidR="00AB40D2" w:rsidRPr="00872271" w:rsidRDefault="00AB40D2" w:rsidP="003F08FF">
      <w:pPr>
        <w:spacing w:after="80"/>
      </w:pPr>
      <w:r w:rsidRPr="00872271">
        <w:t>Under the Act, it is unlawful to operate a radiocommunications device in Australia unless it is authorised by a radiocommunications licence</w:t>
      </w:r>
      <w:r w:rsidR="0022719B">
        <w:rPr>
          <w:rStyle w:val="FootnoteReference"/>
        </w:rPr>
        <w:footnoteReference w:id="9"/>
      </w:r>
      <w:r w:rsidRPr="00872271">
        <w:t xml:space="preserve">. The ACMA can issue three types of licences to authorise the use of spectrum: </w:t>
      </w:r>
    </w:p>
    <w:p w14:paraId="5CF9C88D" w14:textId="77777777" w:rsidR="00AB40D2" w:rsidRPr="00872271" w:rsidRDefault="00AB40D2" w:rsidP="00B15590">
      <w:pPr>
        <w:pStyle w:val="ListBullet"/>
        <w:tabs>
          <w:tab w:val="clear" w:pos="1996"/>
          <w:tab w:val="num" w:pos="-1122"/>
        </w:tabs>
        <w:ind w:left="295"/>
        <w:rPr>
          <w:rFonts w:cs="Arial"/>
        </w:rPr>
      </w:pPr>
      <w:r w:rsidRPr="00872271">
        <w:rPr>
          <w:rFonts w:cs="Arial"/>
        </w:rPr>
        <w:t>class licences</w:t>
      </w:r>
    </w:p>
    <w:p w14:paraId="758FB172" w14:textId="77777777" w:rsidR="00AB40D2" w:rsidRPr="00872271" w:rsidRDefault="00AB40D2" w:rsidP="00B15590">
      <w:pPr>
        <w:pStyle w:val="ListBullet"/>
        <w:tabs>
          <w:tab w:val="clear" w:pos="1996"/>
          <w:tab w:val="num" w:pos="-1122"/>
        </w:tabs>
        <w:ind w:left="295"/>
        <w:rPr>
          <w:rFonts w:cs="Arial"/>
        </w:rPr>
      </w:pPr>
      <w:r w:rsidRPr="00872271">
        <w:rPr>
          <w:rFonts w:cs="Arial"/>
        </w:rPr>
        <w:t>apparatus licences</w:t>
      </w:r>
    </w:p>
    <w:p w14:paraId="249755A8" w14:textId="77777777" w:rsidR="00AB40D2" w:rsidRPr="00872271" w:rsidRDefault="00AB40D2" w:rsidP="00B15590">
      <w:pPr>
        <w:pStyle w:val="ListBulletLast"/>
        <w:tabs>
          <w:tab w:val="clear" w:pos="1996"/>
          <w:tab w:val="num" w:pos="-1122"/>
        </w:tabs>
        <w:ind w:left="295"/>
      </w:pPr>
      <w:r w:rsidRPr="00872271">
        <w:t>spectrum licences.</w:t>
      </w:r>
    </w:p>
    <w:p w14:paraId="5CBDCF98" w14:textId="77777777" w:rsidR="00AB40D2" w:rsidRPr="00872271" w:rsidRDefault="00AB40D2" w:rsidP="003F08FF">
      <w:pPr>
        <w:spacing w:after="80"/>
      </w:pPr>
      <w:r w:rsidRPr="00872271">
        <w:t>The appropriate licence type for a particular part of the spectrum will be determined by a range of factors including, but not limited to:</w:t>
      </w:r>
    </w:p>
    <w:p w14:paraId="78D1D195" w14:textId="77777777" w:rsidR="00AB40D2" w:rsidRPr="00872271" w:rsidRDefault="00AB40D2" w:rsidP="00B15590">
      <w:pPr>
        <w:pStyle w:val="ListBullet"/>
        <w:numPr>
          <w:ilvl w:val="0"/>
          <w:numId w:val="12"/>
        </w:numPr>
        <w:tabs>
          <w:tab w:val="num" w:pos="-2823"/>
        </w:tabs>
        <w:ind w:left="295" w:hanging="295"/>
      </w:pPr>
      <w:r w:rsidRPr="00872271">
        <w:rPr>
          <w:rFonts w:cs="Arial"/>
        </w:rPr>
        <w:t>the</w:t>
      </w:r>
      <w:r w:rsidRPr="00872271">
        <w:t xml:space="preserve"> potential uses of that part of the spectrum</w:t>
      </w:r>
    </w:p>
    <w:p w14:paraId="24623964" w14:textId="77777777" w:rsidR="00AB40D2" w:rsidRPr="00872271" w:rsidRDefault="00AB40D2" w:rsidP="00B15590">
      <w:pPr>
        <w:pStyle w:val="ListBullet"/>
        <w:numPr>
          <w:ilvl w:val="0"/>
          <w:numId w:val="12"/>
        </w:numPr>
        <w:tabs>
          <w:tab w:val="num" w:pos="-2823"/>
        </w:tabs>
        <w:ind w:left="295" w:hanging="295"/>
      </w:pPr>
      <w:r w:rsidRPr="00872271">
        <w:t>the likely number of possible users</w:t>
      </w:r>
    </w:p>
    <w:p w14:paraId="67407955" w14:textId="139910A5" w:rsidR="00AB40D2" w:rsidRPr="00872271" w:rsidRDefault="00AB40D2" w:rsidP="00B15590">
      <w:pPr>
        <w:pStyle w:val="ListBullet"/>
        <w:numPr>
          <w:ilvl w:val="0"/>
          <w:numId w:val="12"/>
        </w:numPr>
        <w:tabs>
          <w:tab w:val="num" w:pos="-2823"/>
        </w:tabs>
        <w:ind w:left="295" w:hanging="295"/>
      </w:pPr>
      <w:r w:rsidRPr="00872271">
        <w:t>whether potential users are likely to seek access to one site or a</w:t>
      </w:r>
      <w:r w:rsidR="00CD4249">
        <w:t xml:space="preserve">cross a </w:t>
      </w:r>
      <w:r w:rsidRPr="00872271">
        <w:t>defined access area</w:t>
      </w:r>
    </w:p>
    <w:p w14:paraId="2F7BA113" w14:textId="77777777" w:rsidR="00AB40D2" w:rsidRPr="00872271" w:rsidRDefault="00AB40D2" w:rsidP="00B15590">
      <w:pPr>
        <w:pStyle w:val="ListBulletLast"/>
        <w:tabs>
          <w:tab w:val="clear" w:pos="1996"/>
          <w:tab w:val="num" w:pos="-1122"/>
        </w:tabs>
        <w:ind w:left="295"/>
      </w:pPr>
      <w:r w:rsidRPr="00872271">
        <w:t xml:space="preserve">whether all likely future high-value uses can be accommodated in a single technical framework. </w:t>
      </w:r>
    </w:p>
    <w:p w14:paraId="3D5BFFFC" w14:textId="51C08220" w:rsidR="00AB40D2" w:rsidRPr="00872271" w:rsidRDefault="00AB40D2">
      <w:pPr>
        <w:rPr>
          <w:rFonts w:cs="Arial"/>
        </w:rPr>
      </w:pPr>
      <w:r w:rsidRPr="00872271">
        <w:rPr>
          <w:rFonts w:cs="Arial"/>
        </w:rPr>
        <w:t xml:space="preserve">Class licences provide broad spectrum access arrangements that are open to all users and </w:t>
      </w:r>
      <w:r w:rsidR="001E0728">
        <w:rPr>
          <w:rFonts w:cs="Arial"/>
        </w:rPr>
        <w:t xml:space="preserve">generally </w:t>
      </w:r>
      <w:r w:rsidRPr="00872271">
        <w:rPr>
          <w:rFonts w:cs="Arial"/>
        </w:rPr>
        <w:t xml:space="preserve">operate on the basis that users are not provided with protection from interference. </w:t>
      </w:r>
      <w:r w:rsidR="007C42CA">
        <w:rPr>
          <w:rFonts w:cs="Arial"/>
        </w:rPr>
        <w:t xml:space="preserve">They </w:t>
      </w:r>
      <w:r w:rsidR="007C42CA" w:rsidRPr="007C42CA">
        <w:rPr>
          <w:rFonts w:cs="Arial"/>
        </w:rPr>
        <w:t xml:space="preserve">are </w:t>
      </w:r>
      <w:r w:rsidR="002A0408">
        <w:rPr>
          <w:rFonts w:cs="Arial"/>
        </w:rPr>
        <w:t xml:space="preserve">made by way of legislative instrument, authorising anyone who complies with the requirements of that instrument to operate a particular radiocommunications device </w:t>
      </w:r>
      <w:r w:rsidR="007C42CA" w:rsidRPr="007C42CA">
        <w:rPr>
          <w:rFonts w:cs="Arial"/>
        </w:rPr>
        <w:t xml:space="preserve">without the need to apply to the ACMA </w:t>
      </w:r>
      <w:r w:rsidR="002A0408">
        <w:rPr>
          <w:rFonts w:cs="Arial"/>
        </w:rPr>
        <w:t>or</w:t>
      </w:r>
      <w:r w:rsidR="008D592C">
        <w:rPr>
          <w:rFonts w:cs="Arial"/>
        </w:rPr>
        <w:t xml:space="preserve"> be</w:t>
      </w:r>
      <w:r w:rsidR="002A0408">
        <w:rPr>
          <w:rFonts w:cs="Arial"/>
        </w:rPr>
        <w:t xml:space="preserve"> issue</w:t>
      </w:r>
      <w:r w:rsidR="008D592C">
        <w:rPr>
          <w:rFonts w:cs="Arial"/>
        </w:rPr>
        <w:t>d</w:t>
      </w:r>
      <w:r w:rsidR="002A0408">
        <w:rPr>
          <w:rFonts w:cs="Arial"/>
        </w:rPr>
        <w:t xml:space="preserve"> an individual licence.</w:t>
      </w:r>
      <w:r w:rsidR="007C42CA" w:rsidRPr="007C42CA">
        <w:rPr>
          <w:rFonts w:cs="Arial"/>
        </w:rPr>
        <w:t xml:space="preserve"> These </w:t>
      </w:r>
      <w:r w:rsidR="00534FC0">
        <w:rPr>
          <w:rFonts w:cs="Arial"/>
        </w:rPr>
        <w:t>requirements</w:t>
      </w:r>
      <w:r w:rsidR="007C42CA" w:rsidRPr="007C42CA">
        <w:rPr>
          <w:rFonts w:cs="Arial"/>
        </w:rPr>
        <w:t xml:space="preserve"> </w:t>
      </w:r>
      <w:r w:rsidR="00970210">
        <w:rPr>
          <w:rFonts w:cs="Arial"/>
        </w:rPr>
        <w:t xml:space="preserve">may relate to the </w:t>
      </w:r>
      <w:r w:rsidR="008D592C">
        <w:rPr>
          <w:rFonts w:cs="Arial"/>
        </w:rPr>
        <w:t>type</w:t>
      </w:r>
      <w:r w:rsidR="00970210">
        <w:rPr>
          <w:rFonts w:cs="Arial"/>
        </w:rPr>
        <w:t xml:space="preserve"> of radiocommunications device </w:t>
      </w:r>
      <w:r w:rsidR="008D592C">
        <w:rPr>
          <w:rFonts w:cs="Arial"/>
        </w:rPr>
        <w:t>that can be used, the</w:t>
      </w:r>
      <w:r w:rsidR="00970210">
        <w:rPr>
          <w:rFonts w:cs="Arial"/>
        </w:rPr>
        <w:t xml:space="preserve"> technical</w:t>
      </w:r>
      <w:r w:rsidR="008D592C">
        <w:rPr>
          <w:rFonts w:cs="Arial"/>
        </w:rPr>
        <w:t xml:space="preserve"> parameters that apply and </w:t>
      </w:r>
      <w:r w:rsidR="00970210">
        <w:rPr>
          <w:rFonts w:cs="Arial"/>
        </w:rPr>
        <w:t>for what purposes it may be operated.</w:t>
      </w:r>
    </w:p>
    <w:p w14:paraId="5642CA8E" w14:textId="39B4B8B0" w:rsidR="00AB40D2" w:rsidRPr="00872271" w:rsidRDefault="00AB40D2">
      <w:r w:rsidRPr="00872271">
        <w:t xml:space="preserve">Apparatus licences </w:t>
      </w:r>
      <w:r>
        <w:t xml:space="preserve">are a </w:t>
      </w:r>
      <w:r w:rsidR="00DD5BB9">
        <w:t>type</w:t>
      </w:r>
      <w:r>
        <w:t xml:space="preserve"> of individual </w:t>
      </w:r>
      <w:r w:rsidR="00D33D99">
        <w:t>licence tha</w:t>
      </w:r>
      <w:r w:rsidR="00E21652">
        <w:t>t</w:t>
      </w:r>
      <w:r w:rsidR="00D33D99">
        <w:t xml:space="preserve"> may be issued to a person to authorise the operation of a radiocommunications device</w:t>
      </w:r>
      <w:r>
        <w:t>.</w:t>
      </w:r>
      <w:r w:rsidR="00D33D99">
        <w:t xml:space="preserve"> </w:t>
      </w:r>
      <w:r>
        <w:t xml:space="preserve">Most commonly, they </w:t>
      </w:r>
      <w:r w:rsidRPr="00872271">
        <w:t xml:space="preserve">authorise the licensee to use a specified device in a specified frequency </w:t>
      </w:r>
      <w:r w:rsidR="00EF25E4">
        <w:t>range</w:t>
      </w:r>
      <w:r w:rsidRPr="00872271">
        <w:t>, generally at a specified location</w:t>
      </w:r>
      <w:r>
        <w:t xml:space="preserve"> and for a particular type of service</w:t>
      </w:r>
      <w:r w:rsidRPr="00872271">
        <w:t>. Apparatus licences are the most common kind of licence issued by the ACMA</w:t>
      </w:r>
      <w:r w:rsidR="006D4B9E">
        <w:t>.</w:t>
      </w:r>
      <w:r>
        <w:t xml:space="preserve"> </w:t>
      </w:r>
    </w:p>
    <w:p w14:paraId="46F03EC9" w14:textId="37DEBD19" w:rsidR="00AB40D2" w:rsidRDefault="00AB40D2">
      <w:r w:rsidRPr="00872271">
        <w:t xml:space="preserve">Spectrum licences authorise the use </w:t>
      </w:r>
      <w:r w:rsidR="00CB2C26">
        <w:t xml:space="preserve">of a </w:t>
      </w:r>
      <w:r w:rsidRPr="00872271">
        <w:t xml:space="preserve">specified frequency </w:t>
      </w:r>
      <w:r w:rsidR="00EF25E4">
        <w:t>range</w:t>
      </w:r>
      <w:r w:rsidRPr="00872271">
        <w:t xml:space="preserve"> anywhere within the geographic and frequency boundaries of the spectrum space. </w:t>
      </w:r>
      <w:r>
        <w:t xml:space="preserve">While </w:t>
      </w:r>
      <w:r w:rsidR="00AC10DF">
        <w:t>the</w:t>
      </w:r>
      <w:r>
        <w:t xml:space="preserve"> </w:t>
      </w:r>
      <w:r w:rsidR="00087C62">
        <w:t>technical framework for the spectrum band</w:t>
      </w:r>
      <w:r w:rsidR="00D33D99">
        <w:t xml:space="preserve"> may be </w:t>
      </w:r>
      <w:r>
        <w:t xml:space="preserve">optimised for a particular use, licensees are free to </w:t>
      </w:r>
      <w:r w:rsidR="00D33D99">
        <w:t>operate radiocommunications devices in this spectrum space</w:t>
      </w:r>
      <w:r w:rsidR="006D4B9E">
        <w:t xml:space="preserve"> </w:t>
      </w:r>
      <w:r>
        <w:t xml:space="preserve">for any service </w:t>
      </w:r>
      <w:r>
        <w:lastRenderedPageBreak/>
        <w:t xml:space="preserve">that </w:t>
      </w:r>
      <w:r w:rsidR="006D4B9E">
        <w:t xml:space="preserve">satisfies </w:t>
      </w:r>
      <w:r w:rsidR="002D6FE0">
        <w:t xml:space="preserve">the </w:t>
      </w:r>
      <w:r w:rsidR="006D4B9E">
        <w:t xml:space="preserve">conditions of the licence and </w:t>
      </w:r>
      <w:r>
        <w:t xml:space="preserve">technical framework for the band. </w:t>
      </w:r>
      <w:r w:rsidRPr="00872271">
        <w:t xml:space="preserve">Spectrum licences are </w:t>
      </w:r>
      <w:r w:rsidR="002D6FE0">
        <w:t xml:space="preserve">generally </w:t>
      </w:r>
      <w:r w:rsidRPr="00872271">
        <w:t>tradeable</w:t>
      </w:r>
      <w:r w:rsidR="002D6FE0">
        <w:t xml:space="preserve"> in full or in part.</w:t>
      </w:r>
    </w:p>
    <w:p w14:paraId="5F324B98" w14:textId="5B461504" w:rsidR="00235CB1" w:rsidRDefault="00235CB1" w:rsidP="003E3D9D">
      <w:pPr>
        <w:pStyle w:val="Heading3"/>
      </w:pPr>
      <w:bookmarkStart w:id="109" w:name="_Toc8207120"/>
      <w:r>
        <w:t>Preferred licence type for the 26 GHz band</w:t>
      </w:r>
      <w:r w:rsidR="002A0348">
        <w:t xml:space="preserve"> in defined areas</w:t>
      </w:r>
      <w:bookmarkEnd w:id="109"/>
    </w:p>
    <w:p w14:paraId="4679C0FE" w14:textId="615F16F5" w:rsidR="0084308F" w:rsidRDefault="00EA3A8E" w:rsidP="00442D59">
      <w:bookmarkStart w:id="110" w:name="_Hlk5265505"/>
      <w:r>
        <w:t>T</w:t>
      </w:r>
      <w:r w:rsidR="00442D59">
        <w:t xml:space="preserve">he ACMA considers spectrum licensing the </w:t>
      </w:r>
      <w:r w:rsidR="00640CF4">
        <w:t>26</w:t>
      </w:r>
      <w:r w:rsidR="00442D59">
        <w:t xml:space="preserve"> GHz </w:t>
      </w:r>
      <w:r w:rsidR="00640CF4">
        <w:t xml:space="preserve">band </w:t>
      </w:r>
      <w:r w:rsidR="00442D59">
        <w:t>in the defined areas</w:t>
      </w:r>
      <w:r w:rsidR="00235CB1">
        <w:t>,</w:t>
      </w:r>
      <w:r w:rsidR="00442D59">
        <w:t xml:space="preserve"> </w:t>
      </w:r>
      <w:r w:rsidR="00ED08F8">
        <w:t>in addition to catering for other licensing options across the wider 26 GHz band</w:t>
      </w:r>
      <w:r w:rsidR="00235CB1">
        <w:t>,</w:t>
      </w:r>
      <w:r w:rsidR="00ED08F8">
        <w:t xml:space="preserve"> </w:t>
      </w:r>
      <w:r w:rsidR="00442D59">
        <w:t>to be the most appropriate course of action.</w:t>
      </w:r>
    </w:p>
    <w:p w14:paraId="1B3335BE" w14:textId="10812BCB" w:rsidR="004B596D" w:rsidRDefault="005F251E" w:rsidP="00442D59">
      <w:r>
        <w:t xml:space="preserve">The ACMA is of the view that </w:t>
      </w:r>
      <w:r w:rsidR="004B596D">
        <w:t>cities and regional centres (the defined areas</w:t>
      </w:r>
      <w:r w:rsidR="00F97780">
        <w:t xml:space="preserve"> outlined in Figure 2) </w:t>
      </w:r>
      <w:r w:rsidR="004B596D">
        <w:t>will attract the highest demand from wireless (fixed or mobile) broadband service providers wh</w:t>
      </w:r>
      <w:r w:rsidR="0027640D">
        <w:t>ich</w:t>
      </w:r>
      <w:r w:rsidR="004B596D">
        <w:t xml:space="preserve"> are likely </w:t>
      </w:r>
      <w:r w:rsidR="009F2FC2">
        <w:t xml:space="preserve">to </w:t>
      </w:r>
      <w:r w:rsidR="004B596D">
        <w:t>create wide</w:t>
      </w:r>
      <w:r w:rsidR="00F97780">
        <w:t xml:space="preserve"> </w:t>
      </w:r>
      <w:r w:rsidR="004B596D">
        <w:t>area networks where there is relatively consistent demand for the service across the area</w:t>
      </w:r>
      <w:r w:rsidR="00F97780">
        <w:t>.</w:t>
      </w:r>
    </w:p>
    <w:p w14:paraId="5D3E7011" w14:textId="33B0C57E" w:rsidR="00F97780" w:rsidRDefault="00F97780" w:rsidP="00F97780">
      <w:pPr>
        <w:pStyle w:val="CommentText"/>
      </w:pPr>
      <w:r>
        <w:t xml:space="preserve">In these cases, spectrum licensing is preferable over site-based apparatus licensing as it gives licensees certainty about the geography and frequencies of their holdings across a wider area </w:t>
      </w:r>
      <w:r w:rsidR="0084308F">
        <w:t xml:space="preserve">to support a </w:t>
      </w:r>
      <w:r>
        <w:t xml:space="preserve">technology-flexible rollout. If the spectrum was apparatus licensed, then it would be cumbersome for entities to get a separate apparatus licence for every device they deploy. In addition, if different entities obtained spectrum in a defined area at the same frequency, there would be a need for significant interference management arrangements. This may result in </w:t>
      </w:r>
      <w:r w:rsidR="00FD6F52">
        <w:t>‘</w:t>
      </w:r>
      <w:r>
        <w:t>dead zones</w:t>
      </w:r>
      <w:r w:rsidR="00FD6F52">
        <w:t>’</w:t>
      </w:r>
      <w:r>
        <w:t xml:space="preserve"> and decrease the utility of the spectrum (compared with spectrum licensing arrangements).</w:t>
      </w:r>
    </w:p>
    <w:p w14:paraId="5AB9AF2D" w14:textId="5830FBEA" w:rsidR="00F97780" w:rsidRDefault="00F97780" w:rsidP="00F97780">
      <w:pPr>
        <w:pStyle w:val="CommentText"/>
      </w:pPr>
      <w:r>
        <w:t>The ACMA also considers that spectrum licensing is more appropriate than wide area apparatus licences</w:t>
      </w:r>
      <w:r w:rsidR="00C50A4B">
        <w:t xml:space="preserve"> in the defined areas</w:t>
      </w:r>
      <w:r w:rsidR="002C2EB3">
        <w:rPr>
          <w:rStyle w:val="FootnoteReference"/>
        </w:rPr>
        <w:footnoteReference w:id="10"/>
      </w:r>
      <w:r>
        <w:t>. While wide area apparatus licences would address many of the limitation</w:t>
      </w:r>
      <w:r w:rsidR="0092135B">
        <w:t>s</w:t>
      </w:r>
      <w:r>
        <w:t xml:space="preserve"> of site-based apparatus licences, the duration of spectrum licences is an important consideration. Spectrum licences have a significantly longer term than apparatus licences, being 15 years rather than five years. This allows for more certainty of tenure, which is important considering the often long lifespans of the infrastructure licensees are likely to deploy. </w:t>
      </w:r>
    </w:p>
    <w:p w14:paraId="174058C2" w14:textId="76B6ABC0" w:rsidR="00F97780" w:rsidRDefault="00F97780" w:rsidP="00F97780">
      <w:pPr>
        <w:rPr>
          <w:szCs w:val="20"/>
        </w:rPr>
      </w:pPr>
      <w:r>
        <w:t xml:space="preserve">Spectrum licensing </w:t>
      </w:r>
      <w:r w:rsidR="00B51AA2">
        <w:t>in the 26 GHz band in the def</w:t>
      </w:r>
      <w:r w:rsidR="00C02765">
        <w:t>ined areas</w:t>
      </w:r>
      <w:r w:rsidR="00323DDB">
        <w:t xml:space="preserve">—combined </w:t>
      </w:r>
      <w:r w:rsidR="00C02765">
        <w:t>with the proposed apparatus and class licensing arrangements outside the defined areas</w:t>
      </w:r>
      <w:r w:rsidR="00323DDB">
        <w:t>—</w:t>
      </w:r>
      <w:r>
        <w:t xml:space="preserve">is likely to facilitate the </w:t>
      </w:r>
      <w:r w:rsidR="00C02765">
        <w:t xml:space="preserve">wider </w:t>
      </w:r>
      <w:r>
        <w:t>26 GHz band spectrum moving to its highest value use.</w:t>
      </w:r>
    </w:p>
    <w:bookmarkEnd w:id="110"/>
    <w:p w14:paraId="72A3A149" w14:textId="1D004C02" w:rsidR="00AB40D2" w:rsidRPr="00872271" w:rsidRDefault="00AB40D2">
      <w:pPr>
        <w:keepNext/>
        <w:keepLines/>
        <w:pBdr>
          <w:top w:val="single" w:sz="4" w:space="1" w:color="auto"/>
          <w:left w:val="single" w:sz="4" w:space="4" w:color="auto"/>
          <w:bottom w:val="single" w:sz="4" w:space="1" w:color="auto"/>
          <w:right w:val="single" w:sz="4" w:space="4" w:color="auto"/>
        </w:pBdr>
        <w:shd w:val="clear" w:color="auto" w:fill="F2F2F2" w:themeFill="background1" w:themeFillShade="F2"/>
        <w:rPr>
          <w:b/>
        </w:rPr>
      </w:pPr>
      <w:r w:rsidRPr="00872271">
        <w:rPr>
          <w:b/>
        </w:rPr>
        <w:t xml:space="preserve">The </w:t>
      </w:r>
      <w:r w:rsidR="00A74CC4">
        <w:rPr>
          <w:b/>
        </w:rPr>
        <w:t xml:space="preserve">licence type for the </w:t>
      </w:r>
      <w:r w:rsidR="00640CF4">
        <w:rPr>
          <w:b/>
        </w:rPr>
        <w:t>26</w:t>
      </w:r>
      <w:r w:rsidR="00A74CC4" w:rsidRPr="00A74CC4">
        <w:rPr>
          <w:b/>
        </w:rPr>
        <w:t xml:space="preserve"> GHz </w:t>
      </w:r>
      <w:r w:rsidR="00640CF4">
        <w:rPr>
          <w:b/>
        </w:rPr>
        <w:t xml:space="preserve">band </w:t>
      </w:r>
      <w:r w:rsidR="00A74CC4" w:rsidRPr="00A74CC4">
        <w:rPr>
          <w:b/>
        </w:rPr>
        <w:t>in</w:t>
      </w:r>
      <w:r w:rsidRPr="00872271">
        <w:rPr>
          <w:b/>
        </w:rPr>
        <w:t xml:space="preserve"> </w:t>
      </w:r>
      <w:r w:rsidR="001C206B">
        <w:rPr>
          <w:b/>
        </w:rPr>
        <w:t>defined areas</w:t>
      </w:r>
      <w:r w:rsidR="005812C3">
        <w:rPr>
          <w:b/>
        </w:rPr>
        <w:t xml:space="preserve"> </w:t>
      </w:r>
    </w:p>
    <w:p w14:paraId="0A6F6D47" w14:textId="69A6743D" w:rsidR="00AB40D2" w:rsidRPr="00872271" w:rsidRDefault="00AB40D2">
      <w:pPr>
        <w:keepNext/>
        <w:keepLines/>
        <w:pBdr>
          <w:top w:val="single" w:sz="4" w:space="1" w:color="auto"/>
          <w:left w:val="single" w:sz="4" w:space="4" w:color="auto"/>
          <w:bottom w:val="single" w:sz="4" w:space="1" w:color="auto"/>
          <w:right w:val="single" w:sz="4" w:space="4" w:color="auto"/>
        </w:pBdr>
        <w:shd w:val="clear" w:color="auto" w:fill="F2F2F2" w:themeFill="background1" w:themeFillShade="F2"/>
      </w:pPr>
      <w:r w:rsidRPr="00872271">
        <w:t>The ACMA proposes to recommend that any reallocation declaration</w:t>
      </w:r>
      <w:r>
        <w:t xml:space="preserve"> </w:t>
      </w:r>
      <w:r w:rsidRPr="00872271">
        <w:t xml:space="preserve">made by the minister should state </w:t>
      </w:r>
      <w:r w:rsidR="00342FB5" w:rsidRPr="00342FB5">
        <w:t xml:space="preserve">that </w:t>
      </w:r>
      <w:r w:rsidR="001C206B">
        <w:t xml:space="preserve">the </w:t>
      </w:r>
      <w:r w:rsidR="000004F0">
        <w:t>26</w:t>
      </w:r>
      <w:r w:rsidR="00342FB5" w:rsidRPr="00342FB5">
        <w:t xml:space="preserve"> GHz</w:t>
      </w:r>
      <w:r w:rsidR="00640CF4">
        <w:t xml:space="preserve"> </w:t>
      </w:r>
      <w:r w:rsidR="000004F0">
        <w:t xml:space="preserve">band </w:t>
      </w:r>
      <w:r w:rsidR="00342FB5" w:rsidRPr="00342FB5">
        <w:t>be spectrum licen</w:t>
      </w:r>
      <w:r w:rsidR="00CC2C16">
        <w:t>s</w:t>
      </w:r>
      <w:r w:rsidR="00342FB5" w:rsidRPr="00342FB5">
        <w:t>ed in</w:t>
      </w:r>
      <w:r w:rsidR="00A74CC4">
        <w:t xml:space="preserve"> </w:t>
      </w:r>
      <w:r w:rsidR="00BD7EA7">
        <w:t>defined areas</w:t>
      </w:r>
      <w:r w:rsidR="00342FB5" w:rsidRPr="00342FB5">
        <w:t xml:space="preserve"> </w:t>
      </w:r>
      <w:r>
        <w:t xml:space="preserve">(as described in the </w:t>
      </w:r>
      <w:r w:rsidR="00F45CE5">
        <w:t>n</w:t>
      </w:r>
      <w:r>
        <w:t>otice in Attachment A)</w:t>
      </w:r>
      <w:r w:rsidRPr="00872271">
        <w:t>.</w:t>
      </w:r>
    </w:p>
    <w:p w14:paraId="2FB6ACA8" w14:textId="63EA2B7E" w:rsidR="00AB40D2" w:rsidRPr="009C5A85" w:rsidRDefault="00AB40D2" w:rsidP="0051214E">
      <w:pPr>
        <w:pStyle w:val="Heading1"/>
      </w:pPr>
      <w:bookmarkStart w:id="111" w:name="_Toc398017318"/>
      <w:bookmarkStart w:id="112" w:name="_Toc293404377"/>
      <w:bookmarkStart w:id="113" w:name="_Toc408494358"/>
      <w:bookmarkStart w:id="114" w:name="_Toc408846599"/>
      <w:bookmarkStart w:id="115" w:name="_Toc409015468"/>
      <w:bookmarkStart w:id="116" w:name="_Toc409528632"/>
      <w:bookmarkStart w:id="117" w:name="_Toc409016961"/>
      <w:bookmarkStart w:id="118" w:name="_Toc496277320"/>
      <w:bookmarkStart w:id="119" w:name="_Toc496277719"/>
      <w:bookmarkStart w:id="120" w:name="_Toc496527230"/>
      <w:bookmarkStart w:id="121" w:name="_Toc496527405"/>
      <w:bookmarkStart w:id="122" w:name="_Toc8207121"/>
      <w:bookmarkEnd w:id="111"/>
      <w:r w:rsidRPr="00027EED">
        <w:lastRenderedPageBreak/>
        <w:t>Specified parts of the spectrum</w:t>
      </w:r>
      <w:bookmarkEnd w:id="112"/>
      <w:bookmarkEnd w:id="113"/>
      <w:bookmarkEnd w:id="114"/>
      <w:bookmarkEnd w:id="115"/>
      <w:bookmarkEnd w:id="116"/>
      <w:bookmarkEnd w:id="117"/>
      <w:bookmarkEnd w:id="118"/>
      <w:bookmarkEnd w:id="119"/>
      <w:bookmarkEnd w:id="120"/>
      <w:bookmarkEnd w:id="121"/>
      <w:bookmarkEnd w:id="122"/>
    </w:p>
    <w:p w14:paraId="0E0A70E4" w14:textId="4EA6185A" w:rsidR="00AB40D2" w:rsidRPr="0023668A" w:rsidRDefault="00AB40D2">
      <w:r w:rsidRPr="0023668A">
        <w:t>The ACMA may give the minister a recommendation to make a spectrum reallocation declaration for one or more specified parts of the spectrum. Parts of the spectrum may be defined by their frequency range and geographical boundaries.</w:t>
      </w:r>
    </w:p>
    <w:p w14:paraId="3C11AB35" w14:textId="308D8A4F" w:rsidR="00AB40D2" w:rsidRPr="0023668A" w:rsidRDefault="00AB40D2">
      <w:r w:rsidRPr="0023668A">
        <w:t>In determining an appropriate recommendation, the ACMA considers numerous factors. For example, international trends and</w:t>
      </w:r>
      <w:r>
        <w:t xml:space="preserve"> anticipated</w:t>
      </w:r>
      <w:r w:rsidRPr="0023668A">
        <w:t xml:space="preserve"> future spectrum uses help provide a platform to establish if there is demand for the spectrum. Matters such as the </w:t>
      </w:r>
      <w:r>
        <w:t>technology to be deployed</w:t>
      </w:r>
      <w:r w:rsidRPr="0023668A">
        <w:rPr>
          <w:rFonts w:cs="Arial"/>
        </w:rPr>
        <w:t xml:space="preserve"> </w:t>
      </w:r>
      <w:r w:rsidRPr="0023668A">
        <w:t>and current use of a band may influence the amount of spectrum that should be considered for reallocation.</w:t>
      </w:r>
    </w:p>
    <w:p w14:paraId="4E26F732" w14:textId="77777777" w:rsidR="00AB40D2" w:rsidRPr="00B61C3D" w:rsidRDefault="00AB40D2">
      <w:r w:rsidRPr="0023668A">
        <w:t>These matters are not exclusive and the ACMA may take other issues into consideration when determining an appropriate recommendation.</w:t>
      </w:r>
    </w:p>
    <w:p w14:paraId="6395DAF4" w14:textId="1A94C3CC" w:rsidR="00AB40D2" w:rsidRPr="00802C5D" w:rsidRDefault="00AB40D2" w:rsidP="00802C5D">
      <w:pPr>
        <w:pStyle w:val="Heading2"/>
      </w:pPr>
      <w:bookmarkStart w:id="123" w:name="_Toc271908166"/>
      <w:bookmarkStart w:id="124" w:name="_Toc274750389"/>
      <w:bookmarkStart w:id="125" w:name="_Toc398017328"/>
      <w:bookmarkStart w:id="126" w:name="_Toc268157355"/>
      <w:bookmarkStart w:id="127" w:name="_Toc293404378"/>
      <w:bookmarkStart w:id="128" w:name="_Toc408494359"/>
      <w:bookmarkStart w:id="129" w:name="_Toc408846600"/>
      <w:bookmarkStart w:id="130" w:name="_Toc409015469"/>
      <w:bookmarkStart w:id="131" w:name="_Toc409528633"/>
      <w:bookmarkStart w:id="132" w:name="_Toc409016962"/>
      <w:bookmarkStart w:id="133" w:name="_Toc496277321"/>
      <w:bookmarkStart w:id="134" w:name="_Toc496277720"/>
      <w:bookmarkStart w:id="135" w:name="_Toc496527231"/>
      <w:bookmarkStart w:id="136" w:name="_Toc496527406"/>
      <w:bookmarkStart w:id="137" w:name="_Toc8207122"/>
      <w:bookmarkEnd w:id="123"/>
      <w:bookmarkEnd w:id="124"/>
      <w:bookmarkEnd w:id="125"/>
      <w:bookmarkEnd w:id="126"/>
      <w:r w:rsidRPr="00802C5D">
        <w:t>Frequency boundaries</w:t>
      </w:r>
      <w:bookmarkEnd w:id="127"/>
      <w:bookmarkEnd w:id="128"/>
      <w:bookmarkEnd w:id="129"/>
      <w:bookmarkEnd w:id="130"/>
      <w:bookmarkEnd w:id="131"/>
      <w:bookmarkEnd w:id="132"/>
      <w:bookmarkEnd w:id="133"/>
      <w:bookmarkEnd w:id="134"/>
      <w:bookmarkEnd w:id="135"/>
      <w:bookmarkEnd w:id="136"/>
      <w:bookmarkEnd w:id="137"/>
    </w:p>
    <w:p w14:paraId="06FD9D28" w14:textId="3F566CF3" w:rsidR="00AB40D2" w:rsidRPr="00E2124E" w:rsidRDefault="00AB40D2">
      <w:r>
        <w:t xml:space="preserve">The ACMA proposes that the minister’s reallocation declaration </w:t>
      </w:r>
      <w:r w:rsidR="000D5A44">
        <w:t xml:space="preserve">should </w:t>
      </w:r>
      <w:r>
        <w:t>specif</w:t>
      </w:r>
      <w:r w:rsidR="000D5A44">
        <w:t>y</w:t>
      </w:r>
      <w:r>
        <w:t xml:space="preserve"> </w:t>
      </w:r>
      <w:r w:rsidRPr="009C5A85">
        <w:rPr>
          <w:rFonts w:cs="Arial"/>
        </w:rPr>
        <w:t xml:space="preserve">the </w:t>
      </w:r>
      <w:r w:rsidR="000004F0">
        <w:rPr>
          <w:rFonts w:cs="Arial"/>
        </w:rPr>
        <w:t>26</w:t>
      </w:r>
      <w:r w:rsidR="00E679A9">
        <w:rPr>
          <w:rFonts w:cs="Arial"/>
        </w:rPr>
        <w:t> </w:t>
      </w:r>
      <w:r w:rsidR="002072E6">
        <w:rPr>
          <w:rFonts w:cs="Arial"/>
        </w:rPr>
        <w:t>G</w:t>
      </w:r>
      <w:r>
        <w:rPr>
          <w:rFonts w:cs="Arial"/>
        </w:rPr>
        <w:t>Hz</w:t>
      </w:r>
      <w:r w:rsidRPr="009C5A85">
        <w:rPr>
          <w:rFonts w:cs="Arial"/>
        </w:rPr>
        <w:t xml:space="preserve"> </w:t>
      </w:r>
      <w:r w:rsidR="000004F0">
        <w:rPr>
          <w:rFonts w:cs="Arial"/>
        </w:rPr>
        <w:t xml:space="preserve">band </w:t>
      </w:r>
      <w:r w:rsidR="00F974E4">
        <w:t xml:space="preserve">in </w:t>
      </w:r>
      <w:r w:rsidR="00B30377">
        <w:t>the defined areas</w:t>
      </w:r>
      <w:r>
        <w:t xml:space="preserve">. As outlined in the </w:t>
      </w:r>
      <w:hyperlink r:id="rId29" w:history="1">
        <w:r w:rsidRPr="00E425DA">
          <w:t>decision paper</w:t>
        </w:r>
      </w:hyperlink>
      <w:r>
        <w:t xml:space="preserve">, the anticipated use of the </w:t>
      </w:r>
      <w:r w:rsidR="0070013F">
        <w:t>26</w:t>
      </w:r>
      <w:r w:rsidR="00097B6D">
        <w:t xml:space="preserve"> GHz </w:t>
      </w:r>
      <w:r w:rsidR="008367E0">
        <w:t xml:space="preserve">band </w:t>
      </w:r>
      <w:r w:rsidR="00436D1B">
        <w:t xml:space="preserve">proposed for spectrum licensing </w:t>
      </w:r>
      <w:r>
        <w:t>is for</w:t>
      </w:r>
      <w:r w:rsidR="00F0229F">
        <w:t xml:space="preserve"> wide-area wireless broadband</w:t>
      </w:r>
      <w:r w:rsidR="00F974E4">
        <w:t>.</w:t>
      </w:r>
    </w:p>
    <w:p w14:paraId="16B9F178" w14:textId="2C823F40" w:rsidR="00AB40D2" w:rsidRPr="00605D02" w:rsidRDefault="00101536">
      <w:pPr>
        <w:keepNext/>
        <w:keepLines/>
        <w:pBdr>
          <w:top w:val="single" w:sz="4" w:space="1" w:color="auto"/>
          <w:left w:val="single" w:sz="4" w:space="4" w:color="auto"/>
          <w:bottom w:val="single" w:sz="4" w:space="1" w:color="auto"/>
          <w:right w:val="single" w:sz="4" w:space="4" w:color="auto"/>
        </w:pBdr>
        <w:shd w:val="clear" w:color="auto" w:fill="F2F2F2" w:themeFill="background1" w:themeFillShade="F2"/>
      </w:pPr>
      <w:bookmarkStart w:id="138" w:name="_Toc293404381"/>
      <w:r>
        <w:rPr>
          <w:b/>
        </w:rPr>
        <w:t xml:space="preserve">The </w:t>
      </w:r>
      <w:r w:rsidR="005865D8">
        <w:rPr>
          <w:b/>
        </w:rPr>
        <w:t>26 GHz band</w:t>
      </w:r>
      <w:r w:rsidR="005220CA">
        <w:rPr>
          <w:b/>
        </w:rPr>
        <w:t xml:space="preserve"> defined areas f</w:t>
      </w:r>
      <w:r w:rsidR="005865D8">
        <w:rPr>
          <w:b/>
        </w:rPr>
        <w:t xml:space="preserve">requency boundaries </w:t>
      </w:r>
    </w:p>
    <w:p w14:paraId="6FDE1E6F" w14:textId="27D9B06C" w:rsidR="00AB40D2" w:rsidRDefault="00166BC2">
      <w:pPr>
        <w:keepNext/>
        <w:keepLines/>
        <w:pBdr>
          <w:top w:val="single" w:sz="4" w:space="1" w:color="auto"/>
          <w:left w:val="single" w:sz="4" w:space="4" w:color="auto"/>
          <w:bottom w:val="single" w:sz="4" w:space="1" w:color="auto"/>
          <w:right w:val="single" w:sz="4" w:space="4" w:color="auto"/>
        </w:pBdr>
        <w:shd w:val="clear" w:color="auto" w:fill="F2F2F2" w:themeFill="background1" w:themeFillShade="F2"/>
      </w:pPr>
      <w:r>
        <w:rPr>
          <w:rFonts w:cs="Arial"/>
        </w:rPr>
        <w:t>T</w:t>
      </w:r>
      <w:r w:rsidR="00AB40D2" w:rsidRPr="009C5A85">
        <w:rPr>
          <w:rFonts w:cs="Arial"/>
        </w:rPr>
        <w:t xml:space="preserve">he ACMA </w:t>
      </w:r>
      <w:r w:rsidR="00AB40D2">
        <w:rPr>
          <w:rFonts w:cs="Arial"/>
        </w:rPr>
        <w:t>proposes</w:t>
      </w:r>
      <w:r w:rsidR="00AB40D2" w:rsidRPr="009C5A85">
        <w:rPr>
          <w:rFonts w:cs="Arial"/>
        </w:rPr>
        <w:t xml:space="preserve"> to recommend</w:t>
      </w:r>
      <w:r w:rsidR="00AB40D2" w:rsidRPr="009C5A85" w:rsidDel="005028A0">
        <w:rPr>
          <w:rFonts w:cs="Arial"/>
        </w:rPr>
        <w:t xml:space="preserve"> </w:t>
      </w:r>
      <w:r w:rsidR="00800426">
        <w:rPr>
          <w:rFonts w:cs="Arial"/>
        </w:rPr>
        <w:t xml:space="preserve">that </w:t>
      </w:r>
      <w:r w:rsidR="00AB40D2" w:rsidRPr="009C5A85">
        <w:rPr>
          <w:rFonts w:cs="Arial"/>
        </w:rPr>
        <w:t xml:space="preserve">the minister </w:t>
      </w:r>
      <w:r w:rsidR="00AB40D2">
        <w:rPr>
          <w:rFonts w:cs="Arial"/>
        </w:rPr>
        <w:t>declare</w:t>
      </w:r>
      <w:r w:rsidR="00AB40D2" w:rsidRPr="009C5A85">
        <w:rPr>
          <w:rFonts w:cs="Arial"/>
        </w:rPr>
        <w:t xml:space="preserve"> </w:t>
      </w:r>
      <w:r w:rsidR="00AB40D2">
        <w:rPr>
          <w:rFonts w:cs="Arial"/>
        </w:rPr>
        <w:t xml:space="preserve">for reallocation </w:t>
      </w:r>
      <w:r w:rsidR="00AB40D2" w:rsidRPr="009C5A85">
        <w:rPr>
          <w:rFonts w:cs="Arial"/>
        </w:rPr>
        <w:t xml:space="preserve">the </w:t>
      </w:r>
      <w:r w:rsidR="008367E0">
        <w:rPr>
          <w:rFonts w:cs="Arial"/>
        </w:rPr>
        <w:t>26</w:t>
      </w:r>
      <w:r w:rsidR="001A755A">
        <w:rPr>
          <w:rFonts w:cs="Arial"/>
        </w:rPr>
        <w:t xml:space="preserve"> </w:t>
      </w:r>
      <w:r w:rsidR="002072E6">
        <w:rPr>
          <w:rFonts w:cs="Arial"/>
        </w:rPr>
        <w:t>GHz</w:t>
      </w:r>
      <w:r w:rsidR="00AB40D2" w:rsidRPr="009C5A85">
        <w:rPr>
          <w:rFonts w:cs="Arial"/>
        </w:rPr>
        <w:t xml:space="preserve"> </w:t>
      </w:r>
      <w:r w:rsidR="008367E0">
        <w:rPr>
          <w:rFonts w:cs="Arial"/>
        </w:rPr>
        <w:t>band</w:t>
      </w:r>
      <w:r w:rsidR="00AB40D2" w:rsidRPr="009C5A85">
        <w:rPr>
          <w:rFonts w:cs="Arial"/>
        </w:rPr>
        <w:t xml:space="preserve"> </w:t>
      </w:r>
      <w:r w:rsidR="00AB40D2">
        <w:rPr>
          <w:rFonts w:cs="Arial"/>
        </w:rPr>
        <w:t>(</w:t>
      </w:r>
      <w:r w:rsidR="002072E6">
        <w:rPr>
          <w:rFonts w:cs="Arial"/>
        </w:rPr>
        <w:t>2</w:t>
      </w:r>
      <w:r w:rsidR="003F1A7A">
        <w:rPr>
          <w:rFonts w:cs="Arial"/>
        </w:rPr>
        <w:t>.</w:t>
      </w:r>
      <w:r w:rsidR="002072E6">
        <w:rPr>
          <w:rFonts w:cs="Arial"/>
        </w:rPr>
        <w:t>4</w:t>
      </w:r>
      <w:r w:rsidR="00AB40D2">
        <w:rPr>
          <w:rFonts w:cs="Arial"/>
        </w:rPr>
        <w:t xml:space="preserve"> </w:t>
      </w:r>
      <w:r w:rsidR="003F1A7A">
        <w:rPr>
          <w:rFonts w:cs="Arial"/>
        </w:rPr>
        <w:t>GHz</w:t>
      </w:r>
      <w:r w:rsidR="00AB40D2" w:rsidRPr="009C5A85">
        <w:rPr>
          <w:rFonts w:cs="Arial"/>
        </w:rPr>
        <w:t xml:space="preserve"> of spectrum</w:t>
      </w:r>
      <w:r w:rsidR="00AB40D2">
        <w:rPr>
          <w:rFonts w:cs="Arial"/>
        </w:rPr>
        <w:t>)</w:t>
      </w:r>
      <w:r>
        <w:rPr>
          <w:rFonts w:cs="Arial"/>
        </w:rPr>
        <w:t xml:space="preserve"> </w:t>
      </w:r>
      <w:bookmarkStart w:id="139" w:name="_Hlk3896794"/>
      <w:r>
        <w:rPr>
          <w:rFonts w:cs="Arial"/>
        </w:rPr>
        <w:t xml:space="preserve">in </w:t>
      </w:r>
      <w:bookmarkEnd w:id="139"/>
      <w:r w:rsidR="00B30377">
        <w:rPr>
          <w:rFonts w:cs="Arial"/>
        </w:rPr>
        <w:t>the defined areas</w:t>
      </w:r>
      <w:r w:rsidR="00AB40D2" w:rsidRPr="009C5A85">
        <w:rPr>
          <w:rFonts w:cs="Arial"/>
        </w:rPr>
        <w:t>.</w:t>
      </w:r>
      <w:r w:rsidR="00AB40D2">
        <w:rPr>
          <w:rFonts w:cs="Arial"/>
        </w:rPr>
        <w:t xml:space="preserve"> </w:t>
      </w:r>
    </w:p>
    <w:p w14:paraId="37428109" w14:textId="77777777" w:rsidR="00AB40D2" w:rsidRPr="009C5A85" w:rsidRDefault="00AB40D2">
      <w:pPr>
        <w:pStyle w:val="Heading2"/>
        <w:keepLines/>
      </w:pPr>
      <w:bookmarkStart w:id="140" w:name="_Toc408494362"/>
      <w:bookmarkStart w:id="141" w:name="_Toc408846603"/>
      <w:bookmarkStart w:id="142" w:name="_Toc409015473"/>
      <w:bookmarkStart w:id="143" w:name="_Toc409528637"/>
      <w:bookmarkStart w:id="144" w:name="_Toc409016966"/>
      <w:bookmarkStart w:id="145" w:name="_Toc496277322"/>
      <w:bookmarkStart w:id="146" w:name="_Toc496277721"/>
      <w:bookmarkStart w:id="147" w:name="_Toc496527232"/>
      <w:bookmarkStart w:id="148" w:name="_Toc496527407"/>
      <w:bookmarkStart w:id="149" w:name="_Toc8207123"/>
      <w:r w:rsidRPr="009C5A85">
        <w:t>Geographic boundaries</w:t>
      </w:r>
      <w:bookmarkEnd w:id="138"/>
      <w:bookmarkEnd w:id="140"/>
      <w:bookmarkEnd w:id="141"/>
      <w:bookmarkEnd w:id="142"/>
      <w:bookmarkEnd w:id="143"/>
      <w:bookmarkEnd w:id="144"/>
      <w:bookmarkEnd w:id="145"/>
      <w:bookmarkEnd w:id="146"/>
      <w:bookmarkEnd w:id="147"/>
      <w:bookmarkEnd w:id="148"/>
      <w:bookmarkEnd w:id="149"/>
    </w:p>
    <w:p w14:paraId="35B96C5B" w14:textId="6DEB2929" w:rsidR="00234035" w:rsidRDefault="000E1A88">
      <w:r>
        <w:rPr>
          <w:rFonts w:cs="Arial"/>
          <w:szCs w:val="20"/>
        </w:rPr>
        <w:t xml:space="preserve">The ACMA considers that the geographic areas displayed in Figure 4 below and described in the notice at </w:t>
      </w:r>
      <w:r w:rsidRPr="00042B8A">
        <w:rPr>
          <w:rFonts w:cs="Arial"/>
          <w:szCs w:val="20"/>
        </w:rPr>
        <w:t xml:space="preserve">Attachment </w:t>
      </w:r>
      <w:r>
        <w:rPr>
          <w:rFonts w:cs="Arial"/>
          <w:szCs w:val="20"/>
        </w:rPr>
        <w:t>A cover the most likely areas of highest demand for wireless broadband services</w:t>
      </w:r>
      <w:r w:rsidR="00D447A6">
        <w:rPr>
          <w:rFonts w:cs="Arial"/>
          <w:szCs w:val="20"/>
        </w:rPr>
        <w:t>,</w:t>
      </w:r>
      <w:r>
        <w:rPr>
          <w:rFonts w:cs="Arial"/>
          <w:szCs w:val="20"/>
        </w:rPr>
        <w:t xml:space="preserve"> as identified in the </w:t>
      </w:r>
      <w:hyperlink r:id="rId30" w:history="1">
        <w:r w:rsidRPr="00E425DA">
          <w:rPr>
            <w:rFonts w:cs="Arial"/>
            <w:szCs w:val="20"/>
          </w:rPr>
          <w:t>decision paper</w:t>
        </w:r>
      </w:hyperlink>
      <w:r>
        <w:rPr>
          <w:rFonts w:cs="Arial"/>
        </w:rPr>
        <w:t xml:space="preserve">. Introducing spectrum licensing in these areas </w:t>
      </w:r>
      <w:r>
        <w:rPr>
          <w:rFonts w:cs="Arial"/>
          <w:szCs w:val="20"/>
        </w:rPr>
        <w:t>would provide a flexible and practical approach to allocation and simplify arrangements for current and prospective licensees.</w:t>
      </w:r>
    </w:p>
    <w:p w14:paraId="1A9100D1" w14:textId="281E72F6" w:rsidR="004024F8" w:rsidRDefault="00B72CEE" w:rsidP="00CD5377">
      <w:pPr>
        <w:pStyle w:val="ACMAFigureHeader"/>
        <w:keepNext/>
        <w:keepLines/>
        <w:tabs>
          <w:tab w:val="num" w:pos="-959"/>
        </w:tabs>
        <w:ind w:left="0" w:firstLine="0"/>
      </w:pPr>
      <w:bookmarkStart w:id="150" w:name="_Ref4145770"/>
      <w:bookmarkStart w:id="151" w:name="_Hlk3383764"/>
      <w:r>
        <w:lastRenderedPageBreak/>
        <w:t xml:space="preserve">Map of </w:t>
      </w:r>
      <w:r w:rsidR="00101536">
        <w:t>the 26</w:t>
      </w:r>
      <w:r w:rsidR="00CD5377">
        <w:t xml:space="preserve"> GHz</w:t>
      </w:r>
      <w:r>
        <w:t xml:space="preserve"> </w:t>
      </w:r>
      <w:r w:rsidR="00101536">
        <w:t xml:space="preserve">band </w:t>
      </w:r>
      <w:r>
        <w:t>d</w:t>
      </w:r>
      <w:r w:rsidR="005A7F58">
        <w:t xml:space="preserve">efined </w:t>
      </w:r>
      <w:r w:rsidR="004024F8">
        <w:t>area</w:t>
      </w:r>
      <w:r w:rsidR="002072E6">
        <w:t>s</w:t>
      </w:r>
      <w:bookmarkEnd w:id="150"/>
    </w:p>
    <w:bookmarkEnd w:id="151"/>
    <w:p w14:paraId="3E97DA71" w14:textId="69E3A975" w:rsidR="007F2F6D" w:rsidRDefault="007F2F6D">
      <w:pPr>
        <w:rPr>
          <w:rFonts w:cs="Arial"/>
          <w:szCs w:val="20"/>
        </w:rPr>
      </w:pPr>
      <w:r>
        <w:rPr>
          <w:noProof/>
        </w:rPr>
        <w:drawing>
          <wp:inline distT="0" distB="0" distL="0" distR="0" wp14:anchorId="5DE8EBC2" wp14:editId="2F8C9EDC">
            <wp:extent cx="4714875" cy="4338104"/>
            <wp:effectExtent l="0" t="0" r="0" b="5715"/>
            <wp:docPr id="15" name="Picture 15" descr="Map of defined areas proposed for spectrum licensing in the 26 GHz b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723665" cy="4346192"/>
                    </a:xfrm>
                    <a:prstGeom prst="rect">
                      <a:avLst/>
                    </a:prstGeom>
                  </pic:spPr>
                </pic:pic>
              </a:graphicData>
            </a:graphic>
          </wp:inline>
        </w:drawing>
      </w:r>
    </w:p>
    <w:p w14:paraId="26DC66F5" w14:textId="299370F1" w:rsidR="004E6D09" w:rsidRPr="0081138E" w:rsidRDefault="004E6D09" w:rsidP="004E6D09">
      <w:pPr>
        <w:pStyle w:val="ACMASpaceaftertable"/>
        <w:rPr>
          <w:sz w:val="16"/>
          <w:szCs w:val="20"/>
        </w:rPr>
      </w:pPr>
      <w:r w:rsidRPr="0081138E">
        <w:rPr>
          <w:i/>
          <w:iCs/>
          <w:sz w:val="16"/>
          <w:szCs w:val="20"/>
        </w:rPr>
        <w:t xml:space="preserve">Note: </w:t>
      </w:r>
      <w:r w:rsidR="008344D5">
        <w:rPr>
          <w:i/>
          <w:iCs/>
          <w:sz w:val="16"/>
          <w:szCs w:val="20"/>
        </w:rPr>
        <w:t>T</w:t>
      </w:r>
      <w:r w:rsidRPr="0081138E">
        <w:rPr>
          <w:i/>
          <w:iCs/>
          <w:sz w:val="16"/>
          <w:szCs w:val="20"/>
        </w:rPr>
        <w:t>he Sunshine Coast, Toowoomba and Lismore defined areas are coloured blue only to distinguish them from the Brisbane defined area.</w:t>
      </w:r>
    </w:p>
    <w:p w14:paraId="0BBC032B" w14:textId="0FD4106F" w:rsidR="008C5D95" w:rsidRDefault="00D547E6" w:rsidP="008C5D95">
      <w:r>
        <w:t>Submissions to the options paper</w:t>
      </w:r>
      <w:r w:rsidR="00D12AA8">
        <w:t xml:space="preserve"> suggested </w:t>
      </w:r>
      <w:r w:rsidR="00F96D43">
        <w:t xml:space="preserve">additional </w:t>
      </w:r>
      <w:r w:rsidR="00D12AA8">
        <w:t xml:space="preserve">criteria to </w:t>
      </w:r>
      <w:r w:rsidR="00C10DAA">
        <w:t xml:space="preserve">increase the number of areas </w:t>
      </w:r>
      <w:r w:rsidR="00D12AA8">
        <w:t xml:space="preserve">and modify </w:t>
      </w:r>
      <w:r w:rsidR="00781599">
        <w:t xml:space="preserve">several </w:t>
      </w:r>
      <w:r w:rsidR="00C10DAA">
        <w:t xml:space="preserve">of </w:t>
      </w:r>
      <w:r w:rsidR="00D12AA8">
        <w:t xml:space="preserve">the geographic areas </w:t>
      </w:r>
      <w:r w:rsidR="00F96D43">
        <w:t>proposed</w:t>
      </w:r>
      <w:r w:rsidR="00830BD3">
        <w:t xml:space="preserve"> for spectrum licensing</w:t>
      </w:r>
      <w:r w:rsidR="00D12AA8">
        <w:t>.</w:t>
      </w:r>
      <w:r w:rsidR="00830BD3">
        <w:t xml:space="preserve"> The decision paper provides detail on why areas </w:t>
      </w:r>
      <w:r w:rsidR="00FB0DBA">
        <w:t xml:space="preserve">should be </w:t>
      </w:r>
      <w:r w:rsidR="00830BD3">
        <w:t>included or modified.</w:t>
      </w:r>
      <w:r w:rsidR="00AC5D1B">
        <w:t xml:space="preserve"> </w:t>
      </w:r>
      <w:r w:rsidR="00FE2561">
        <w:t>T</w:t>
      </w:r>
      <w:r w:rsidR="00B00E5A">
        <w:t>wo</w:t>
      </w:r>
      <w:r w:rsidR="00AC5D1B">
        <w:t xml:space="preserve"> </w:t>
      </w:r>
      <w:r w:rsidR="00FE2561">
        <w:t>other</w:t>
      </w:r>
      <w:r w:rsidR="00AC5D1B">
        <w:t xml:space="preserve"> </w:t>
      </w:r>
      <w:r w:rsidR="00B00E5A">
        <w:t xml:space="preserve">matters relating to </w:t>
      </w:r>
      <w:r w:rsidR="00AC5D1B">
        <w:t>areas</w:t>
      </w:r>
      <w:r w:rsidR="00B00E5A">
        <w:t xml:space="preserve"> that</w:t>
      </w:r>
      <w:r w:rsidR="00AC5D1B">
        <w:t xml:space="preserve"> impact the operation of spectrum licences in the </w:t>
      </w:r>
      <w:r w:rsidR="00101536">
        <w:t>26</w:t>
      </w:r>
      <w:r w:rsidR="00AC5D1B">
        <w:t xml:space="preserve"> GHz </w:t>
      </w:r>
      <w:r w:rsidR="00101536">
        <w:t>band</w:t>
      </w:r>
      <w:r w:rsidR="00AC5D1B">
        <w:t xml:space="preserve"> are outlined below.</w:t>
      </w:r>
    </w:p>
    <w:p w14:paraId="0ACE3775" w14:textId="1C186D8A" w:rsidR="008C5D95" w:rsidRDefault="00031C12" w:rsidP="008C5D95">
      <w:pPr>
        <w:pStyle w:val="Heading3"/>
      </w:pPr>
      <w:bookmarkStart w:id="152" w:name="_Toc8207124"/>
      <w:bookmarkStart w:id="153" w:name="_Hlk5194017"/>
      <w:r>
        <w:t>Canberra area</w:t>
      </w:r>
      <w:bookmarkEnd w:id="152"/>
    </w:p>
    <w:p w14:paraId="229CDF12" w14:textId="71E63F4F" w:rsidR="008C5D95" w:rsidRPr="00EA50F0" w:rsidRDefault="00540206" w:rsidP="00EA50F0">
      <w:pPr>
        <w:rPr>
          <w:rFonts w:cs="Arial"/>
          <w:b/>
          <w:szCs w:val="20"/>
        </w:rPr>
      </w:pPr>
      <w:r>
        <w:t>The Canberra Deep Space Communication Complex (</w:t>
      </w:r>
      <w:r w:rsidR="001F4279">
        <w:t>CDSCC</w:t>
      </w:r>
      <w:r>
        <w:t>) is located west of Canberra</w:t>
      </w:r>
      <w:r w:rsidR="009F4E38">
        <w:t>,</w:t>
      </w:r>
      <w:r w:rsidR="001F4279">
        <w:t xml:space="preserve"> </w:t>
      </w:r>
      <w:r w:rsidR="004F2308">
        <w:t>at</w:t>
      </w:r>
      <w:r w:rsidR="001F4279">
        <w:t xml:space="preserve"> Tidbinbilla</w:t>
      </w:r>
      <w:r>
        <w:t xml:space="preserve">. To help manage coexistence </w:t>
      </w:r>
      <w:r w:rsidRPr="0023348A">
        <w:t>of potential spectrum licensed services and the CDSCC</w:t>
      </w:r>
      <w:r>
        <w:t>, the proposed Canberra area would exclude the CDSCC</w:t>
      </w:r>
      <w:r w:rsidR="00885493">
        <w:t xml:space="preserve"> as</w:t>
      </w:r>
      <w:r>
        <w:t xml:space="preserve"> depicted </w:t>
      </w:r>
      <w:r w:rsidR="00885493">
        <w:t xml:space="preserve">by </w:t>
      </w:r>
      <w:r w:rsidR="004F2308">
        <w:t>the</w:t>
      </w:r>
      <w:r w:rsidR="00885493">
        <w:t xml:space="preserve"> red area </w:t>
      </w:r>
      <w:r>
        <w:t xml:space="preserve">in Figure 5. In addition, a </w:t>
      </w:r>
      <w:r w:rsidR="004172FB">
        <w:t>proposed</w:t>
      </w:r>
      <w:r>
        <w:t xml:space="preserve"> licence condition would be included to restrict the deployment of spectrum licensed services in the dark green areas in Figure 5. </w:t>
      </w:r>
      <w:r w:rsidRPr="0023348A">
        <w:t>This arrangement would permit the deployment of base stations closer to the western boundary</w:t>
      </w:r>
      <w:r>
        <w:t xml:space="preserve"> of the light green </w:t>
      </w:r>
      <w:r w:rsidR="00885493">
        <w:t>area</w:t>
      </w:r>
      <w:r w:rsidRPr="0023348A">
        <w:t xml:space="preserve"> than would be possible if the </w:t>
      </w:r>
      <w:r>
        <w:t xml:space="preserve">dark green </w:t>
      </w:r>
      <w:r w:rsidR="00885493">
        <w:t>areas</w:t>
      </w:r>
      <w:r>
        <w:t xml:space="preserve"> were not included as part of the </w:t>
      </w:r>
      <w:r w:rsidRPr="0023348A">
        <w:t>Canberra area.</w:t>
      </w:r>
      <w:r>
        <w:t xml:space="preserve"> Further details are provided in the </w:t>
      </w:r>
      <w:r w:rsidR="00885493">
        <w:t>d</w:t>
      </w:r>
      <w:r>
        <w:t>ecision paper.</w:t>
      </w:r>
    </w:p>
    <w:bookmarkEnd w:id="153"/>
    <w:p w14:paraId="27015E7B" w14:textId="1DA8BA4F" w:rsidR="00885493" w:rsidRDefault="008C5D95" w:rsidP="00885493">
      <w:pPr>
        <w:pStyle w:val="ACMAFigureHeader"/>
        <w:keepNext/>
        <w:keepLines/>
        <w:tabs>
          <w:tab w:val="num" w:pos="-959"/>
        </w:tabs>
        <w:ind w:left="0" w:firstLine="0"/>
      </w:pPr>
      <w:r>
        <w:lastRenderedPageBreak/>
        <w:t>Canberra area</w:t>
      </w:r>
    </w:p>
    <w:p w14:paraId="71C7CB65" w14:textId="0A0C48FC" w:rsidR="00885493" w:rsidRDefault="0093505D" w:rsidP="00AC4090">
      <w:pPr>
        <w:pStyle w:val="ACMAFigureHeader"/>
        <w:keepNext/>
        <w:keepLines/>
        <w:numPr>
          <w:ilvl w:val="0"/>
          <w:numId w:val="0"/>
        </w:numPr>
        <w:ind w:left="1021" w:hanging="1021"/>
      </w:pPr>
      <w:r>
        <w:rPr>
          <w:noProof/>
        </w:rPr>
        <w:drawing>
          <wp:inline distT="0" distB="0" distL="0" distR="0" wp14:anchorId="1458A6BE" wp14:editId="6DE46930">
            <wp:extent cx="4871085" cy="5027295"/>
            <wp:effectExtent l="0" t="0" r="5715" b="1905"/>
            <wp:docPr id="3" name="Picture 3" descr="Canberra area and relationship with the CDSCC exclusion ar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871085" cy="5027295"/>
                    </a:xfrm>
                    <a:prstGeom prst="rect">
                      <a:avLst/>
                    </a:prstGeom>
                  </pic:spPr>
                </pic:pic>
              </a:graphicData>
            </a:graphic>
          </wp:inline>
        </w:drawing>
      </w:r>
    </w:p>
    <w:p w14:paraId="0FD50E2A" w14:textId="37F20C3A" w:rsidR="00885493" w:rsidRDefault="00730364" w:rsidP="00644B45">
      <w:pPr>
        <w:pStyle w:val="ACMANotes"/>
      </w:pPr>
      <w:r w:rsidRPr="004D523D">
        <w:rPr>
          <w:b/>
        </w:rPr>
        <w:t>Key:</w:t>
      </w:r>
      <w:r w:rsidR="003F08FF">
        <w:rPr>
          <w:b/>
        </w:rPr>
        <w:br/>
      </w:r>
      <w:r w:rsidR="00E52189">
        <w:t>Light gr</w:t>
      </w:r>
      <w:r>
        <w:t>een</w:t>
      </w:r>
      <w:r w:rsidRPr="004D523D">
        <w:t xml:space="preserve">: </w:t>
      </w:r>
      <w:r w:rsidR="00540206">
        <w:t xml:space="preserve">Parts of the </w:t>
      </w:r>
      <w:r w:rsidRPr="004D523D">
        <w:t>Canberra area</w:t>
      </w:r>
      <w:r w:rsidR="00540206">
        <w:t xml:space="preserve"> where spectrum licenced services could be deployed</w:t>
      </w:r>
      <w:r w:rsidR="009140F4">
        <w:t>.</w:t>
      </w:r>
      <w:r w:rsidRPr="004D523D">
        <w:br/>
      </w:r>
      <w:r w:rsidR="001D2871">
        <w:t xml:space="preserve">Dark </w:t>
      </w:r>
      <w:r w:rsidR="00AB5433">
        <w:t>g</w:t>
      </w:r>
      <w:r w:rsidR="001D2871">
        <w:t xml:space="preserve">reen: </w:t>
      </w:r>
      <w:r w:rsidR="00540206">
        <w:t>Part</w:t>
      </w:r>
      <w:r w:rsidR="004D3002">
        <w:t xml:space="preserve">s </w:t>
      </w:r>
      <w:r w:rsidR="00540206">
        <w:t>of the Canberra area where no services would be permitted</w:t>
      </w:r>
      <w:r w:rsidR="009140F4">
        <w:t>.</w:t>
      </w:r>
      <w:r w:rsidR="003F08FF">
        <w:br/>
      </w:r>
      <w:r w:rsidR="00885493">
        <w:t>Red:</w:t>
      </w:r>
      <w:r w:rsidR="00E058CD">
        <w:t xml:space="preserve"> </w:t>
      </w:r>
      <w:r w:rsidR="00885493">
        <w:t>CDSCC exclusion area</w:t>
      </w:r>
      <w:r w:rsidR="009140F4">
        <w:t>.</w:t>
      </w:r>
    </w:p>
    <w:p w14:paraId="00F371BE" w14:textId="77777777" w:rsidR="00E058CD" w:rsidRPr="00730364" w:rsidRDefault="00E058CD" w:rsidP="003F08FF">
      <w:pPr>
        <w:pStyle w:val="ACMASpaceaftertable"/>
      </w:pPr>
    </w:p>
    <w:p w14:paraId="6BF8A7B5" w14:textId="77777777" w:rsidR="00D63988" w:rsidRDefault="00D63988" w:rsidP="00D63988">
      <w:pPr>
        <w:pStyle w:val="Heading3"/>
      </w:pPr>
      <w:bookmarkStart w:id="154" w:name="_Toc8207125"/>
      <w:r>
        <w:t>Areas with additional conditions</w:t>
      </w:r>
      <w:bookmarkEnd w:id="154"/>
    </w:p>
    <w:p w14:paraId="16050E6E" w14:textId="3BCF6D19" w:rsidR="00817991" w:rsidRDefault="007C0F49">
      <w:r>
        <w:t xml:space="preserve">The decision paper sets out a number of </w:t>
      </w:r>
      <w:r w:rsidR="00436D1B">
        <w:t>def</w:t>
      </w:r>
      <w:r w:rsidR="009E6536">
        <w:t>i</w:t>
      </w:r>
      <w:r w:rsidR="00436D1B">
        <w:t xml:space="preserve">ned </w:t>
      </w:r>
      <w:r>
        <w:t>areas that w</w:t>
      </w:r>
      <w:r w:rsidR="00DF0DEF">
        <w:t>oul</w:t>
      </w:r>
      <w:r w:rsidR="00835785">
        <w:t>d</w:t>
      </w:r>
      <w:r>
        <w:t xml:space="preserve"> require additional conditions</w:t>
      </w:r>
      <w:r w:rsidR="00817991">
        <w:t xml:space="preserve"> be placed on any spectrum licence in order to </w:t>
      </w:r>
      <w:r w:rsidR="003A03F6">
        <w:t xml:space="preserve">promote confidence in coexistence with incumbent </w:t>
      </w:r>
      <w:r w:rsidR="00817991">
        <w:t>services</w:t>
      </w:r>
      <w:r>
        <w:t xml:space="preserve">. </w:t>
      </w:r>
      <w:r w:rsidR="00817991">
        <w:t>These areas have no impact on the geographic areas to be reallocated and are included here only for clarity.</w:t>
      </w:r>
    </w:p>
    <w:p w14:paraId="2D7B5C2E" w14:textId="0A29369F" w:rsidR="007C0F49" w:rsidRDefault="00C924D6">
      <w:r>
        <w:t>These</w:t>
      </w:r>
      <w:r w:rsidR="007C0F49">
        <w:t xml:space="preserve"> conditions w</w:t>
      </w:r>
      <w:r>
        <w:t>ould</w:t>
      </w:r>
      <w:r w:rsidR="007C0F49">
        <w:t xml:space="preserve"> be applied to </w:t>
      </w:r>
      <w:r w:rsidR="00336497">
        <w:t xml:space="preserve">spectrum licences </w:t>
      </w:r>
      <w:r w:rsidR="009E6536">
        <w:t xml:space="preserve">covering </w:t>
      </w:r>
      <w:r w:rsidR="00336497">
        <w:t>the frequency range 27</w:t>
      </w:r>
      <w:r w:rsidR="00D33FAE">
        <w:t>.0–</w:t>
      </w:r>
      <w:r w:rsidR="00336497">
        <w:t xml:space="preserve">27.5 GHz to </w:t>
      </w:r>
      <w:r w:rsidR="003A03F6">
        <w:t xml:space="preserve">act as a safeguard to ensure </w:t>
      </w:r>
      <w:r w:rsidR="00737A27">
        <w:t>existing</w:t>
      </w:r>
      <w:r w:rsidR="00EB15A1">
        <w:t xml:space="preserve"> </w:t>
      </w:r>
      <w:bookmarkStart w:id="155" w:name="_Hlk5368657"/>
      <w:r w:rsidR="00336497">
        <w:t xml:space="preserve">FSS </w:t>
      </w:r>
      <w:r w:rsidR="004D5A04">
        <w:t xml:space="preserve">gateway </w:t>
      </w:r>
      <w:r w:rsidR="003A03F6">
        <w:t>uplinks</w:t>
      </w:r>
      <w:r w:rsidR="00AB5433">
        <w:t xml:space="preserve"> </w:t>
      </w:r>
      <w:bookmarkEnd w:id="155"/>
      <w:r w:rsidR="00AB5433">
        <w:t>would</w:t>
      </w:r>
      <w:r w:rsidR="003A03F6">
        <w:t xml:space="preserve"> be protected</w:t>
      </w:r>
      <w:r w:rsidR="00336497">
        <w:t xml:space="preserve">. </w:t>
      </w:r>
      <w:r w:rsidR="001B09F8">
        <w:t>Figure 6 i</w:t>
      </w:r>
      <w:r w:rsidR="00EB15A1">
        <w:t>ndicate</w:t>
      </w:r>
      <w:r w:rsidR="00E43764">
        <w:t>s t</w:t>
      </w:r>
      <w:r w:rsidR="00336497">
        <w:t xml:space="preserve">he </w:t>
      </w:r>
      <w:r w:rsidR="004D5A04">
        <w:t xml:space="preserve">-3 dB </w:t>
      </w:r>
      <w:r w:rsidR="0028145F">
        <w:t>footprint</w:t>
      </w:r>
      <w:r w:rsidR="00D63988">
        <w:t xml:space="preserve"> </w:t>
      </w:r>
      <w:r w:rsidR="00336497">
        <w:t xml:space="preserve">of </w:t>
      </w:r>
      <w:r w:rsidR="00E43764">
        <w:t>the</w:t>
      </w:r>
      <w:r w:rsidR="00336497">
        <w:t xml:space="preserve"> Western Australian FSS earth station</w:t>
      </w:r>
      <w:r w:rsidR="00C327F0">
        <w:t xml:space="preserve"> (Waroona)</w:t>
      </w:r>
      <w:r w:rsidR="00336497">
        <w:t xml:space="preserve"> </w:t>
      </w:r>
      <w:r w:rsidR="009C1E9C">
        <w:t>in relation to</w:t>
      </w:r>
      <w:r w:rsidR="00336497">
        <w:t xml:space="preserve"> the</w:t>
      </w:r>
      <w:r w:rsidR="007C0F49">
        <w:t xml:space="preserve"> Perth</w:t>
      </w:r>
      <w:r w:rsidR="005220CA">
        <w:t xml:space="preserve">, </w:t>
      </w:r>
      <w:r w:rsidR="007C0F49">
        <w:t>Bunbury and Margaret River</w:t>
      </w:r>
      <w:r w:rsidR="00D63988">
        <w:t xml:space="preserve"> </w:t>
      </w:r>
      <w:r w:rsidR="004172FB">
        <w:t xml:space="preserve">defined </w:t>
      </w:r>
      <w:r w:rsidR="00D63988">
        <w:t>areas</w:t>
      </w:r>
      <w:r w:rsidR="00336497">
        <w:t xml:space="preserve">. </w:t>
      </w:r>
      <w:r w:rsidR="00D33FAE">
        <w:t xml:space="preserve">The </w:t>
      </w:r>
      <w:r w:rsidR="00336497">
        <w:t xml:space="preserve">Hobart </w:t>
      </w:r>
      <w:r w:rsidR="004172FB">
        <w:t xml:space="preserve">defined </w:t>
      </w:r>
      <w:r w:rsidR="00336497">
        <w:t>area</w:t>
      </w:r>
      <w:r w:rsidR="009C1E9C">
        <w:t xml:space="preserve"> in relation to</w:t>
      </w:r>
      <w:r w:rsidR="00336497" w:rsidDel="009C1E9C">
        <w:t xml:space="preserve"> </w:t>
      </w:r>
      <w:r w:rsidR="00336497">
        <w:t>the Geev</w:t>
      </w:r>
      <w:r w:rsidR="00D33FAE">
        <w:t>e</w:t>
      </w:r>
      <w:r w:rsidR="00336497">
        <w:t xml:space="preserve">ston FSS earth station </w:t>
      </w:r>
      <w:r w:rsidR="004D5A04">
        <w:t xml:space="preserve">-3 dB </w:t>
      </w:r>
      <w:r w:rsidR="0028145F">
        <w:t>footprint</w:t>
      </w:r>
      <w:r w:rsidR="00E43764">
        <w:t xml:space="preserve"> </w:t>
      </w:r>
      <w:r w:rsidR="009C1E9C">
        <w:t>i</w:t>
      </w:r>
      <w:r w:rsidR="00E43764">
        <w:t xml:space="preserve">s indicated in </w:t>
      </w:r>
      <w:r w:rsidR="001B09F8">
        <w:t>Figure 7</w:t>
      </w:r>
      <w:r w:rsidR="00A36DD2">
        <w:t>.</w:t>
      </w:r>
      <w:r w:rsidR="001B09F8">
        <w:t xml:space="preserve"> </w:t>
      </w:r>
      <w:r w:rsidR="009F26CB">
        <w:t xml:space="preserve">Attachment </w:t>
      </w:r>
      <w:r w:rsidR="002B6AD9">
        <w:t xml:space="preserve">C </w:t>
      </w:r>
      <w:r w:rsidR="009F26CB">
        <w:t>provides the HCIS</w:t>
      </w:r>
      <w:r w:rsidR="00D63988">
        <w:t xml:space="preserve"> identifiers</w:t>
      </w:r>
      <w:r w:rsidR="009F26CB">
        <w:t xml:space="preserve"> for the two FSS earth station </w:t>
      </w:r>
      <w:r w:rsidR="0028145F">
        <w:t>footprints</w:t>
      </w:r>
      <w:r w:rsidR="009F26CB">
        <w:t>.</w:t>
      </w:r>
    </w:p>
    <w:p w14:paraId="4C4D74BF" w14:textId="5FFF42FD" w:rsidR="00E43764" w:rsidRDefault="003122DB" w:rsidP="00B15590">
      <w:pPr>
        <w:pStyle w:val="ACMAFigureHeader"/>
        <w:keepNext/>
        <w:keepLines/>
      </w:pPr>
      <w:bookmarkStart w:id="156" w:name="_Ref4146324"/>
      <w:r>
        <w:lastRenderedPageBreak/>
        <w:t>Waroona</w:t>
      </w:r>
      <w:r w:rsidR="00EA50F0">
        <w:t xml:space="preserve"> </w:t>
      </w:r>
      <w:r w:rsidR="004D5A04">
        <w:t xml:space="preserve">-3 dB </w:t>
      </w:r>
      <w:r w:rsidR="0028145F">
        <w:t xml:space="preserve">footprint </w:t>
      </w:r>
      <w:r w:rsidR="00103963">
        <w:t>and the</w:t>
      </w:r>
      <w:r w:rsidR="00E43764">
        <w:t xml:space="preserve"> Western Australian areas</w:t>
      </w:r>
      <w:bookmarkEnd w:id="156"/>
    </w:p>
    <w:p w14:paraId="15C9466C" w14:textId="35ED1727" w:rsidR="00A47EF0" w:rsidRDefault="00A47EF0" w:rsidP="0058556D">
      <w:pPr>
        <w:pStyle w:val="ACMAFigureHeader"/>
        <w:numPr>
          <w:ilvl w:val="0"/>
          <w:numId w:val="0"/>
        </w:numPr>
      </w:pPr>
      <w:r>
        <w:rPr>
          <w:noProof/>
        </w:rPr>
        <w:drawing>
          <wp:inline distT="0" distB="0" distL="0" distR="0" wp14:anchorId="639E147F" wp14:editId="0FAFDE44">
            <wp:extent cx="2415806" cy="2914650"/>
            <wp:effectExtent l="0" t="0" r="3810" b="0"/>
            <wp:docPr id="16" name="Picture 16" descr="Waroona -3 dB footprint and the Western Australian areas: Perth, Bunbury and Margaret R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444165" cy="2948865"/>
                    </a:xfrm>
                    <a:prstGeom prst="rect">
                      <a:avLst/>
                    </a:prstGeom>
                  </pic:spPr>
                </pic:pic>
              </a:graphicData>
            </a:graphic>
          </wp:inline>
        </w:drawing>
      </w:r>
    </w:p>
    <w:p w14:paraId="74AAA4B6" w14:textId="7E19C990" w:rsidR="00DC7F82" w:rsidRDefault="00DC7F82" w:rsidP="00E43A65">
      <w:pPr>
        <w:pStyle w:val="ACMANotes"/>
      </w:pPr>
      <w:r w:rsidRPr="00ED7066">
        <w:rPr>
          <w:b/>
        </w:rPr>
        <w:t>Key:</w:t>
      </w:r>
      <w:r w:rsidR="009140F4">
        <w:t xml:space="preserve"> </w:t>
      </w:r>
      <w:r w:rsidRPr="00835785">
        <w:br/>
        <w:t>Green:</w:t>
      </w:r>
      <w:r w:rsidR="00607F2C">
        <w:t xml:space="preserve"> Perth,</w:t>
      </w:r>
      <w:r w:rsidRPr="00835785">
        <w:t xml:space="preserve"> </w:t>
      </w:r>
      <w:r w:rsidR="009B2748" w:rsidRPr="00835785">
        <w:t>Bunbury and Mar</w:t>
      </w:r>
      <w:r w:rsidR="00C924D6" w:rsidRPr="00835785">
        <w:t>g</w:t>
      </w:r>
      <w:r w:rsidR="009B2748" w:rsidRPr="00835785">
        <w:t>aret River</w:t>
      </w:r>
      <w:r w:rsidRPr="00835785">
        <w:t xml:space="preserve"> areas</w:t>
      </w:r>
      <w:r w:rsidR="009140F4">
        <w:t>.</w:t>
      </w:r>
      <w:r w:rsidR="00ED7066">
        <w:br/>
      </w:r>
      <w:r w:rsidRPr="00835785">
        <w:t xml:space="preserve">Orange: </w:t>
      </w:r>
      <w:r w:rsidR="009B2748" w:rsidRPr="00835785">
        <w:t xml:space="preserve">NBN Co </w:t>
      </w:r>
      <w:r w:rsidR="00FB188D">
        <w:t xml:space="preserve">Waroona </w:t>
      </w:r>
      <w:r w:rsidRPr="00835785">
        <w:t xml:space="preserve">FSS earth </w:t>
      </w:r>
      <w:r w:rsidRPr="009E540E">
        <w:t xml:space="preserve">station </w:t>
      </w:r>
      <w:r w:rsidR="0028145F">
        <w:t>footprint</w:t>
      </w:r>
      <w:r w:rsidR="009140F4">
        <w:t>.</w:t>
      </w:r>
    </w:p>
    <w:p w14:paraId="332E7CE5" w14:textId="77777777" w:rsidR="00E43A65" w:rsidRPr="00835785" w:rsidRDefault="00E43A65" w:rsidP="00ED7066">
      <w:pPr>
        <w:pStyle w:val="ACMASpaceaftertable"/>
      </w:pPr>
    </w:p>
    <w:p w14:paraId="01A06F38" w14:textId="1689023C" w:rsidR="000F3580" w:rsidRDefault="003122DB" w:rsidP="0033347F">
      <w:pPr>
        <w:pStyle w:val="ACMAFigureHeader"/>
        <w:keepNext/>
        <w:keepLines/>
        <w:ind w:left="851" w:hanging="879"/>
      </w:pPr>
      <w:bookmarkStart w:id="157" w:name="_Ref4146340"/>
      <w:r>
        <w:t>Geeveston</w:t>
      </w:r>
      <w:r w:rsidR="00EA50F0">
        <w:t xml:space="preserve"> </w:t>
      </w:r>
      <w:r w:rsidR="004D5A04">
        <w:t xml:space="preserve">-3 dB </w:t>
      </w:r>
      <w:r w:rsidR="0028145F">
        <w:t xml:space="preserve">footprint </w:t>
      </w:r>
      <w:r w:rsidR="00103963">
        <w:t xml:space="preserve">and the </w:t>
      </w:r>
      <w:r w:rsidR="00E43764">
        <w:t>Hobart area</w:t>
      </w:r>
      <w:bookmarkEnd w:id="157"/>
    </w:p>
    <w:p w14:paraId="02D764FB" w14:textId="77777777" w:rsidR="000F3580" w:rsidRDefault="000F3580" w:rsidP="000F3580">
      <w:pPr>
        <w:keepNext/>
        <w:keepLines/>
      </w:pPr>
      <w:r>
        <w:rPr>
          <w:noProof/>
        </w:rPr>
        <w:drawing>
          <wp:inline distT="0" distB="0" distL="0" distR="0" wp14:anchorId="4E0E3DC9" wp14:editId="10BFF3E7">
            <wp:extent cx="2608021" cy="2981325"/>
            <wp:effectExtent l="0" t="0" r="0" b="0"/>
            <wp:docPr id="25" name="Picture 25" descr="Geeveston -3 dB footprint and the Hobart ar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608021" cy="2981325"/>
                    </a:xfrm>
                    <a:prstGeom prst="rect">
                      <a:avLst/>
                    </a:prstGeom>
                  </pic:spPr>
                </pic:pic>
              </a:graphicData>
            </a:graphic>
          </wp:inline>
        </w:drawing>
      </w:r>
    </w:p>
    <w:p w14:paraId="2555F9A7" w14:textId="442FABD2" w:rsidR="00DC7F82" w:rsidRDefault="00014C01" w:rsidP="00E43A65">
      <w:pPr>
        <w:pStyle w:val="ACMANotes"/>
      </w:pPr>
      <w:r w:rsidRPr="00014C01">
        <w:rPr>
          <w:b/>
        </w:rPr>
        <w:t>Key:</w:t>
      </w:r>
      <w:r w:rsidR="00DC7F82" w:rsidRPr="00835785">
        <w:br/>
        <w:t xml:space="preserve">Green: </w:t>
      </w:r>
      <w:r w:rsidR="00607F2C">
        <w:t>Hobart and</w:t>
      </w:r>
      <w:r w:rsidR="000E3501">
        <w:t xml:space="preserve"> </w:t>
      </w:r>
      <w:r w:rsidR="009B2748" w:rsidRPr="00835785">
        <w:t>Launceston</w:t>
      </w:r>
      <w:r w:rsidR="00DC7F82" w:rsidRPr="00835785">
        <w:t xml:space="preserve"> area</w:t>
      </w:r>
      <w:r w:rsidR="00607F2C">
        <w:t>s</w:t>
      </w:r>
      <w:r w:rsidR="009140F4">
        <w:t>.</w:t>
      </w:r>
      <w:r>
        <w:br/>
      </w:r>
      <w:r w:rsidR="00DC7F82" w:rsidRPr="00835785">
        <w:t xml:space="preserve">Orange: </w:t>
      </w:r>
      <w:r w:rsidR="009B2748" w:rsidRPr="00835785">
        <w:t xml:space="preserve">NBN Co </w:t>
      </w:r>
      <w:r w:rsidR="00FB188D">
        <w:t xml:space="preserve">Geeveston </w:t>
      </w:r>
      <w:r w:rsidR="00DC7F82" w:rsidRPr="00835785">
        <w:t xml:space="preserve">FSS earth </w:t>
      </w:r>
      <w:r w:rsidR="00DC7F82" w:rsidRPr="009E540E">
        <w:t xml:space="preserve">station </w:t>
      </w:r>
      <w:r w:rsidR="0028145F">
        <w:t>footprint</w:t>
      </w:r>
      <w:r>
        <w:t>.</w:t>
      </w:r>
    </w:p>
    <w:p w14:paraId="24F739D5" w14:textId="77777777" w:rsidR="00E43A65" w:rsidRPr="00DC7F82" w:rsidRDefault="00E43A65" w:rsidP="00014C01">
      <w:pPr>
        <w:pStyle w:val="ACMASpaceaftertable"/>
      </w:pPr>
    </w:p>
    <w:p w14:paraId="44928F64" w14:textId="302DEE70" w:rsidR="00AB40D2" w:rsidRPr="00605D02" w:rsidRDefault="00802643">
      <w:pPr>
        <w:keepNext/>
        <w:keepLines/>
        <w:pBdr>
          <w:top w:val="single" w:sz="4" w:space="1" w:color="auto"/>
          <w:left w:val="single" w:sz="4" w:space="4" w:color="auto"/>
          <w:bottom w:val="single" w:sz="4" w:space="1" w:color="auto"/>
          <w:right w:val="single" w:sz="4" w:space="4" w:color="auto"/>
        </w:pBdr>
        <w:shd w:val="clear" w:color="auto" w:fill="F2F2F2" w:themeFill="background1" w:themeFillShade="F2"/>
      </w:pPr>
      <w:r>
        <w:rPr>
          <w:b/>
        </w:rPr>
        <w:lastRenderedPageBreak/>
        <w:t>The 26</w:t>
      </w:r>
      <w:r w:rsidR="009A06D3">
        <w:rPr>
          <w:b/>
        </w:rPr>
        <w:t xml:space="preserve"> GHz </w:t>
      </w:r>
      <w:r>
        <w:rPr>
          <w:b/>
        </w:rPr>
        <w:t xml:space="preserve">band </w:t>
      </w:r>
      <w:r w:rsidR="009A06D3">
        <w:rPr>
          <w:b/>
        </w:rPr>
        <w:t>defined area</w:t>
      </w:r>
      <w:r w:rsidR="00C9043D">
        <w:rPr>
          <w:b/>
        </w:rPr>
        <w:t>s</w:t>
      </w:r>
      <w:r w:rsidR="009A06D3">
        <w:rPr>
          <w:b/>
        </w:rPr>
        <w:t xml:space="preserve"> </w:t>
      </w:r>
      <w:r w:rsidR="00AB40D2">
        <w:rPr>
          <w:b/>
        </w:rPr>
        <w:t>g</w:t>
      </w:r>
      <w:r w:rsidR="00AB40D2" w:rsidRPr="006520B9">
        <w:rPr>
          <w:b/>
        </w:rPr>
        <w:t>eographic boundaries</w:t>
      </w:r>
    </w:p>
    <w:p w14:paraId="07342147" w14:textId="7157E356" w:rsidR="00454A72" w:rsidRPr="009C5A85" w:rsidRDefault="00454A72">
      <w:pPr>
        <w:keepNext/>
        <w:keepLines/>
        <w:pBdr>
          <w:top w:val="single" w:sz="4" w:space="1" w:color="auto"/>
          <w:left w:val="single" w:sz="4" w:space="4" w:color="auto"/>
          <w:bottom w:val="single" w:sz="4" w:space="1" w:color="auto"/>
          <w:right w:val="single" w:sz="4" w:space="4" w:color="auto"/>
        </w:pBdr>
        <w:shd w:val="clear" w:color="auto" w:fill="F2F2F2" w:themeFill="background1" w:themeFillShade="F2"/>
        <w:rPr>
          <w:rFonts w:cs="Arial"/>
        </w:rPr>
      </w:pPr>
      <w:r>
        <w:rPr>
          <w:rFonts w:cs="Arial"/>
        </w:rPr>
        <w:t>T</w:t>
      </w:r>
      <w:r w:rsidRPr="009C5A85">
        <w:rPr>
          <w:rFonts w:cs="Arial"/>
        </w:rPr>
        <w:t>he ACMA proposes to recommend</w:t>
      </w:r>
      <w:r>
        <w:rPr>
          <w:rFonts w:cs="Arial"/>
        </w:rPr>
        <w:t xml:space="preserve"> </w:t>
      </w:r>
      <w:r w:rsidR="00234035">
        <w:rPr>
          <w:rFonts w:cs="Arial"/>
        </w:rPr>
        <w:t xml:space="preserve">that in </w:t>
      </w:r>
      <w:r w:rsidR="00802643">
        <w:rPr>
          <w:rFonts w:cs="Arial"/>
        </w:rPr>
        <w:t>the 26</w:t>
      </w:r>
      <w:r w:rsidR="00234035">
        <w:rPr>
          <w:rFonts w:cs="Arial"/>
        </w:rPr>
        <w:t xml:space="preserve"> GHz</w:t>
      </w:r>
      <w:r w:rsidR="00802643">
        <w:rPr>
          <w:rFonts w:cs="Arial"/>
        </w:rPr>
        <w:t xml:space="preserve"> band</w:t>
      </w:r>
      <w:r w:rsidR="00D1469D">
        <w:rPr>
          <w:rFonts w:cs="Arial"/>
        </w:rPr>
        <w:t>,</w:t>
      </w:r>
      <w:r w:rsidR="00234035">
        <w:rPr>
          <w:rFonts w:cs="Arial"/>
        </w:rPr>
        <w:t xml:space="preserve"> </w:t>
      </w:r>
      <w:r w:rsidRPr="00C43885">
        <w:rPr>
          <w:rFonts w:cs="Arial"/>
        </w:rPr>
        <w:t>the</w:t>
      </w:r>
      <w:r w:rsidR="00234035">
        <w:rPr>
          <w:rFonts w:cs="Arial"/>
        </w:rPr>
        <w:t xml:space="preserve"> </w:t>
      </w:r>
      <w:r w:rsidR="00C9043D">
        <w:rPr>
          <w:rFonts w:cs="Arial"/>
        </w:rPr>
        <w:t>defined areas</w:t>
      </w:r>
      <w:r w:rsidR="00234035">
        <w:rPr>
          <w:rFonts w:cs="Arial"/>
        </w:rPr>
        <w:t xml:space="preserve"> as </w:t>
      </w:r>
      <w:r w:rsidR="005C0FEE">
        <w:rPr>
          <w:rFonts w:cs="Arial"/>
        </w:rPr>
        <w:t xml:space="preserve">depicted </w:t>
      </w:r>
      <w:r w:rsidRPr="00FF3B1C">
        <w:rPr>
          <w:rFonts w:cs="Arial"/>
        </w:rPr>
        <w:t xml:space="preserve">in </w:t>
      </w:r>
      <w:r w:rsidR="00D1469D">
        <w:rPr>
          <w:rFonts w:cs="Arial"/>
        </w:rPr>
        <w:fldChar w:fldCharType="begin"/>
      </w:r>
      <w:r w:rsidR="00D1469D">
        <w:rPr>
          <w:rFonts w:cs="Arial"/>
        </w:rPr>
        <w:instrText xml:space="preserve"> REF _Ref4145770 \r </w:instrText>
      </w:r>
      <w:r w:rsidR="00D1469D">
        <w:rPr>
          <w:rFonts w:cs="Arial"/>
        </w:rPr>
        <w:fldChar w:fldCharType="separate"/>
      </w:r>
      <w:r w:rsidR="00F02E2C">
        <w:rPr>
          <w:rFonts w:cs="Arial"/>
        </w:rPr>
        <w:t xml:space="preserve">Figure 4: </w:t>
      </w:r>
      <w:r w:rsidR="00D1469D">
        <w:rPr>
          <w:rFonts w:cs="Arial"/>
        </w:rPr>
        <w:fldChar w:fldCharType="end"/>
      </w:r>
      <w:r w:rsidRPr="00C43885">
        <w:rPr>
          <w:rFonts w:cs="Arial"/>
        </w:rPr>
        <w:t xml:space="preserve">and described by the HCIS identifiers in Attachment </w:t>
      </w:r>
      <w:r w:rsidR="00FC13B0">
        <w:rPr>
          <w:rFonts w:cs="Arial"/>
        </w:rPr>
        <w:t>A</w:t>
      </w:r>
      <w:r w:rsidR="00E43A65">
        <w:rPr>
          <w:rFonts w:cs="Arial"/>
        </w:rPr>
        <w:t>,</w:t>
      </w:r>
      <w:r w:rsidRPr="00C43885">
        <w:rPr>
          <w:rFonts w:cs="Arial"/>
        </w:rPr>
        <w:t xml:space="preserve"> be included in the reallocation declaration</w:t>
      </w:r>
      <w:r w:rsidR="00234035">
        <w:rPr>
          <w:rFonts w:cs="Arial"/>
        </w:rPr>
        <w:t>.</w:t>
      </w:r>
    </w:p>
    <w:p w14:paraId="27622509" w14:textId="601C7B6C" w:rsidR="00AB40D2" w:rsidRPr="009C5A85" w:rsidRDefault="00AB40D2" w:rsidP="002D1485">
      <w:pPr>
        <w:pStyle w:val="Heading1"/>
      </w:pPr>
      <w:bookmarkStart w:id="158" w:name="_Toc293404384"/>
      <w:bookmarkStart w:id="159" w:name="_Toc408494363"/>
      <w:bookmarkStart w:id="160" w:name="_Toc408846604"/>
      <w:bookmarkStart w:id="161" w:name="_Toc409015474"/>
      <w:bookmarkStart w:id="162" w:name="_Toc409528638"/>
      <w:bookmarkStart w:id="163" w:name="_Toc409016967"/>
      <w:bookmarkStart w:id="164" w:name="_Toc496277323"/>
      <w:bookmarkStart w:id="165" w:name="_Toc496277722"/>
      <w:bookmarkStart w:id="166" w:name="_Toc496527233"/>
      <w:bookmarkStart w:id="167" w:name="_Toc496527408"/>
      <w:bookmarkStart w:id="168" w:name="_Toc8207126"/>
      <w:r w:rsidRPr="00E43A65">
        <w:lastRenderedPageBreak/>
        <w:t>Reallocation period</w:t>
      </w:r>
      <w:bookmarkEnd w:id="158"/>
      <w:r w:rsidRPr="00E43A65">
        <w:t xml:space="preserve"> and deadline</w:t>
      </w:r>
      <w:bookmarkEnd w:id="159"/>
      <w:bookmarkEnd w:id="160"/>
      <w:bookmarkEnd w:id="161"/>
      <w:bookmarkEnd w:id="162"/>
      <w:bookmarkEnd w:id="163"/>
      <w:bookmarkEnd w:id="164"/>
      <w:bookmarkEnd w:id="165"/>
      <w:bookmarkEnd w:id="166"/>
      <w:bookmarkEnd w:id="167"/>
      <w:bookmarkEnd w:id="168"/>
    </w:p>
    <w:p w14:paraId="7B3399FD" w14:textId="2FEC7227" w:rsidR="00AB40D2" w:rsidRPr="00D00BD4" w:rsidRDefault="00AB40D2">
      <w:r w:rsidRPr="00D00BD4">
        <w:t>Wh</w:t>
      </w:r>
      <w:r w:rsidR="00437499">
        <w:t>en</w:t>
      </w:r>
      <w:r w:rsidRPr="00D00BD4">
        <w:t xml:space="preserve"> the ACMA gives the minister a recommendation to make a spectrum reallocation declaration, it must specify the period that, in the ACMA’s opinion, the declaration should identify as the reallocation period. The reallocation period must begin within 28 days of the declaration being made</w:t>
      </w:r>
      <w:r w:rsidR="006F11D5">
        <w:t xml:space="preserve"> and run for at least two years</w:t>
      </w:r>
      <w:r w:rsidRPr="00D00BD4">
        <w:t xml:space="preserve">. </w:t>
      </w:r>
    </w:p>
    <w:p w14:paraId="074B3BB3" w14:textId="27000452" w:rsidR="00AB40D2" w:rsidRPr="00D00BD4" w:rsidRDefault="00AB40D2">
      <w:r w:rsidRPr="00D00BD4">
        <w:t>If the minister makes a spectrum reallocation declaration,</w:t>
      </w:r>
      <w:r w:rsidR="008F7945">
        <w:t xml:space="preserve"> the minister</w:t>
      </w:r>
      <w:r w:rsidRPr="00D00BD4">
        <w:t xml:space="preserve"> must specify the reallocation period. </w:t>
      </w:r>
      <w:r w:rsidR="008F7945">
        <w:t>The minister</w:t>
      </w:r>
      <w:r w:rsidRPr="00D00BD4">
        <w:t xml:space="preserve"> must also specify a reallocation deadline. The ACMA must allocate at least one licence </w:t>
      </w:r>
      <w:r w:rsidR="00F860F3">
        <w:t xml:space="preserve">for the spectrum subject to reallocation </w:t>
      </w:r>
      <w:r w:rsidRPr="00D00BD4">
        <w:t>before the reallocation deadline</w:t>
      </w:r>
      <w:r w:rsidR="00C87AB4">
        <w:t>,</w:t>
      </w:r>
      <w:r w:rsidRPr="00D00BD4">
        <w:t xml:space="preserve"> or the declaration is taken to be revoked.</w:t>
      </w:r>
      <w:r w:rsidRPr="00D00BD4" w:rsidDel="00FE7EE2">
        <w:t xml:space="preserve"> </w:t>
      </w:r>
      <w:r w:rsidRPr="00D00BD4">
        <w:t>The reallocation deadline must be at least 12 months before the end of the reallocation period.</w:t>
      </w:r>
    </w:p>
    <w:p w14:paraId="1D7964A3" w14:textId="77777777" w:rsidR="00AB40D2" w:rsidRDefault="00AB40D2">
      <w:r w:rsidRPr="00D00BD4">
        <w:t>Under subsection 153</w:t>
      </w:r>
      <w:proofErr w:type="gramStart"/>
      <w:r w:rsidRPr="00D00BD4">
        <w:t>F(</w:t>
      </w:r>
      <w:proofErr w:type="gramEnd"/>
      <w:r w:rsidRPr="00D00BD4">
        <w:t>3) of the Act, when the ACMA gives the minister a recommendation to make a spectrum reallocation declaration, the ACMA can include a recommendation about any matters it considers appropriate. The ACMA</w:t>
      </w:r>
      <w:r w:rsidRPr="00D00BD4" w:rsidDel="003B008A">
        <w:t xml:space="preserve"> </w:t>
      </w:r>
      <w:r w:rsidRPr="00D00BD4">
        <w:t>proposes to include in its recommendation to the minister a suggested reallocation deadline.</w:t>
      </w:r>
    </w:p>
    <w:p w14:paraId="5A73315E" w14:textId="77777777" w:rsidR="00AB40D2" w:rsidRPr="00474646" w:rsidRDefault="00AB40D2">
      <w:pPr>
        <w:pStyle w:val="Heading2"/>
      </w:pPr>
      <w:bookmarkStart w:id="169" w:name="_Toc408494364"/>
      <w:bookmarkStart w:id="170" w:name="_Toc408846605"/>
      <w:bookmarkStart w:id="171" w:name="_Toc409015475"/>
      <w:bookmarkStart w:id="172" w:name="_Toc409528639"/>
      <w:bookmarkStart w:id="173" w:name="_Toc409016968"/>
      <w:bookmarkStart w:id="174" w:name="_Toc496277324"/>
      <w:bookmarkStart w:id="175" w:name="_Toc496277723"/>
      <w:bookmarkStart w:id="176" w:name="_Toc496527234"/>
      <w:bookmarkStart w:id="177" w:name="_Toc496527409"/>
      <w:bookmarkStart w:id="178" w:name="_Toc8207127"/>
      <w:r w:rsidRPr="00474646">
        <w:t>Reallocation period</w:t>
      </w:r>
      <w:r>
        <w:t xml:space="preserve"> and deadline</w:t>
      </w:r>
      <w:bookmarkEnd w:id="169"/>
      <w:bookmarkEnd w:id="170"/>
      <w:bookmarkEnd w:id="171"/>
      <w:bookmarkEnd w:id="172"/>
      <w:bookmarkEnd w:id="173"/>
      <w:bookmarkEnd w:id="174"/>
      <w:bookmarkEnd w:id="175"/>
      <w:bookmarkEnd w:id="176"/>
      <w:bookmarkEnd w:id="177"/>
      <w:bookmarkEnd w:id="178"/>
    </w:p>
    <w:p w14:paraId="36765A8A" w14:textId="3FB7D48C" w:rsidR="00810818" w:rsidRPr="00D00BD4" w:rsidRDefault="00AB40D2">
      <w:r w:rsidRPr="00D00BD4">
        <w:t>The reallocation period sets the timeframe during which the reallocation process is to be completed. Under subsection 153</w:t>
      </w:r>
      <w:proofErr w:type="gramStart"/>
      <w:r w:rsidRPr="00D00BD4">
        <w:t>B(</w:t>
      </w:r>
      <w:proofErr w:type="gramEnd"/>
      <w:r w:rsidRPr="00D00BD4">
        <w:t xml:space="preserve">4) of the Act, the reallocation period must begin within 28 days of the spectrum reallocation declaration being made by the minister and must run for at least two years. During this time, incumbent apparatus licensees may continue to operate </w:t>
      </w:r>
      <w:r w:rsidR="00F860F3">
        <w:t xml:space="preserve">radiocommunications </w:t>
      </w:r>
      <w:r w:rsidRPr="00D00BD4">
        <w:t>devices under their licences.</w:t>
      </w:r>
      <w:r w:rsidR="00810818">
        <w:t xml:space="preserve"> </w:t>
      </w:r>
    </w:p>
    <w:p w14:paraId="46C1C676" w14:textId="77777777" w:rsidR="00AB40D2" w:rsidRPr="00D00BD4" w:rsidRDefault="00AB40D2">
      <w:r w:rsidRPr="00D00BD4">
        <w:t>Under section 153H of the Act, at the end of the reallocation period any apparatus licensees still in the reallocated spectrum will have their apparatus licences cancelled.</w:t>
      </w:r>
    </w:p>
    <w:p w14:paraId="526ECA32" w14:textId="77777777" w:rsidR="00AB40D2" w:rsidRPr="00D00BD4" w:rsidRDefault="00AB40D2" w:rsidP="002D1485">
      <w:pPr>
        <w:spacing w:after="80"/>
        <w:rPr>
          <w:rFonts w:cs="Arial"/>
        </w:rPr>
      </w:pPr>
      <w:r w:rsidRPr="00D00BD4">
        <w:rPr>
          <w:rFonts w:cs="Arial"/>
        </w:rPr>
        <w:t>Before recommending a reallocation period, the ACMA considers:</w:t>
      </w:r>
    </w:p>
    <w:p w14:paraId="7F4FC29E" w14:textId="77777777" w:rsidR="00AB40D2" w:rsidRPr="00D00BD4" w:rsidRDefault="00AB40D2" w:rsidP="00B15590">
      <w:pPr>
        <w:pStyle w:val="ListBullet"/>
        <w:numPr>
          <w:ilvl w:val="0"/>
          <w:numId w:val="11"/>
        </w:numPr>
        <w:tabs>
          <w:tab w:val="num" w:pos="-2539"/>
        </w:tabs>
        <w:ind w:left="295" w:hanging="295"/>
        <w:rPr>
          <w:rFonts w:cs="Arial"/>
        </w:rPr>
      </w:pPr>
      <w:r w:rsidRPr="00D00BD4">
        <w:rPr>
          <w:rFonts w:cs="Arial"/>
        </w:rPr>
        <w:t>how long it may reasonably take for incumbent licensees to relocate from the band</w:t>
      </w:r>
    </w:p>
    <w:p w14:paraId="31EA1B2A" w14:textId="77777777" w:rsidR="00AB40D2" w:rsidRPr="00D00BD4" w:rsidRDefault="00AB40D2" w:rsidP="00B15590">
      <w:pPr>
        <w:pStyle w:val="ListBulletLast"/>
        <w:tabs>
          <w:tab w:val="clear" w:pos="1996"/>
          <w:tab w:val="num" w:pos="-554"/>
        </w:tabs>
        <w:ind w:left="295"/>
      </w:pPr>
      <w:r w:rsidRPr="00D00BD4">
        <w:t xml:space="preserve">the likely use or uses of the spectrum and when </w:t>
      </w:r>
      <w:r>
        <w:t>the potential purchasers of spectrum licences</w:t>
      </w:r>
      <w:r w:rsidRPr="00D00BD4">
        <w:t xml:space="preserve"> would like to start using the spectrum</w:t>
      </w:r>
      <w:r>
        <w:t xml:space="preserve"> in different areas</w:t>
      </w:r>
      <w:r w:rsidRPr="00D00BD4">
        <w:t>.</w:t>
      </w:r>
    </w:p>
    <w:p w14:paraId="7D20E628" w14:textId="39166789" w:rsidR="00AB40D2" w:rsidRPr="00CA6E4A" w:rsidRDefault="00AB40D2">
      <w:pPr>
        <w:pStyle w:val="Heading3"/>
      </w:pPr>
      <w:bookmarkStart w:id="179" w:name="_Toc408846606"/>
      <w:bookmarkStart w:id="180" w:name="_Toc409015476"/>
      <w:bookmarkStart w:id="181" w:name="_Toc409528640"/>
      <w:bookmarkStart w:id="182" w:name="_Toc409016969"/>
      <w:bookmarkStart w:id="183" w:name="_Toc496277325"/>
      <w:bookmarkStart w:id="184" w:name="_Toc496277724"/>
      <w:bookmarkStart w:id="185" w:name="_Toc496527235"/>
      <w:bookmarkStart w:id="186" w:name="_Toc496527410"/>
      <w:bookmarkStart w:id="187" w:name="_Toc8207128"/>
      <w:r w:rsidRPr="00CA6E4A">
        <w:t>Existing services</w:t>
      </w:r>
      <w:bookmarkEnd w:id="179"/>
      <w:bookmarkEnd w:id="180"/>
      <w:bookmarkEnd w:id="181"/>
      <w:bookmarkEnd w:id="182"/>
      <w:bookmarkEnd w:id="183"/>
      <w:bookmarkEnd w:id="184"/>
      <w:bookmarkEnd w:id="185"/>
      <w:bookmarkEnd w:id="186"/>
      <w:bookmarkEnd w:id="187"/>
    </w:p>
    <w:p w14:paraId="44E6DFDF" w14:textId="2877A779" w:rsidR="00A96B66" w:rsidRPr="001C0F1C" w:rsidRDefault="00292088">
      <w:r w:rsidRPr="001C0F1C">
        <w:t>A small</w:t>
      </w:r>
      <w:r w:rsidR="006474EA" w:rsidRPr="001C0F1C">
        <w:t xml:space="preserve"> </w:t>
      </w:r>
      <w:r w:rsidR="00E86097" w:rsidRPr="001C0F1C">
        <w:t>number of</w:t>
      </w:r>
      <w:r w:rsidR="00AB40D2" w:rsidRPr="001C0F1C">
        <w:t xml:space="preserve"> apparatus licen</w:t>
      </w:r>
      <w:r w:rsidR="00791F84" w:rsidRPr="001C0F1C">
        <w:t>s</w:t>
      </w:r>
      <w:r w:rsidR="00AB40D2" w:rsidRPr="001C0F1C">
        <w:t>ed services operat</w:t>
      </w:r>
      <w:r w:rsidRPr="001C0F1C">
        <w:t>e</w:t>
      </w:r>
      <w:r w:rsidR="00AB40D2" w:rsidRPr="001C0F1C">
        <w:t xml:space="preserve"> in the </w:t>
      </w:r>
      <w:r w:rsidR="004D5783" w:rsidRPr="001C0F1C">
        <w:t xml:space="preserve">defined areas in the </w:t>
      </w:r>
      <w:r w:rsidR="00101536" w:rsidRPr="001C0F1C">
        <w:t>26</w:t>
      </w:r>
      <w:r w:rsidR="00C70706" w:rsidRPr="001C0F1C">
        <w:t> </w:t>
      </w:r>
      <w:r w:rsidR="004D5783" w:rsidRPr="001C0F1C">
        <w:t xml:space="preserve">GHz </w:t>
      </w:r>
      <w:r w:rsidR="00101536" w:rsidRPr="001C0F1C">
        <w:t>band</w:t>
      </w:r>
      <w:r w:rsidR="00AB40D2" w:rsidRPr="001C0F1C">
        <w:t>.</w:t>
      </w:r>
      <w:r w:rsidR="00735D59" w:rsidRPr="001C0F1C">
        <w:rPr>
          <w:rStyle w:val="FootnoteReference"/>
        </w:rPr>
        <w:footnoteReference w:id="11"/>
      </w:r>
      <w:r w:rsidR="00E57F77" w:rsidRPr="001C0F1C">
        <w:t xml:space="preserve"> The</w:t>
      </w:r>
      <w:r w:rsidR="00533101" w:rsidRPr="001C0F1C">
        <w:t>y are authorised by</w:t>
      </w:r>
      <w:r w:rsidR="00DC1762" w:rsidRPr="001C0F1C">
        <w:t xml:space="preserve"> a</w:t>
      </w:r>
      <w:r w:rsidR="00FC13B0" w:rsidRPr="001C0F1C">
        <w:t xml:space="preserve"> </w:t>
      </w:r>
      <w:r w:rsidR="00642EE8" w:rsidRPr="001C0F1C">
        <w:t>radiodetermination</w:t>
      </w:r>
      <w:r w:rsidR="00FC13B0" w:rsidRPr="001C0F1C">
        <w:t xml:space="preserve"> licence</w:t>
      </w:r>
      <w:r w:rsidR="00642EE8" w:rsidRPr="001C0F1C">
        <w:t xml:space="preserve"> </w:t>
      </w:r>
      <w:r w:rsidR="00533101" w:rsidRPr="001C0F1C">
        <w:t>(</w:t>
      </w:r>
      <w:r w:rsidR="00EC00D5" w:rsidRPr="001C0F1C">
        <w:t xml:space="preserve">for </w:t>
      </w:r>
      <w:r w:rsidR="00642EE8" w:rsidRPr="001C0F1C">
        <w:t>body scanning system</w:t>
      </w:r>
      <w:r w:rsidR="00EC00D5" w:rsidRPr="001C0F1C">
        <w:t>s</w:t>
      </w:r>
      <w:r w:rsidR="00533101" w:rsidRPr="001C0F1C">
        <w:t>)</w:t>
      </w:r>
      <w:r w:rsidR="00642EE8" w:rsidRPr="001C0F1C">
        <w:t xml:space="preserve"> </w:t>
      </w:r>
      <w:r w:rsidR="001D63A0" w:rsidRPr="001C0F1C">
        <w:t xml:space="preserve">and </w:t>
      </w:r>
      <w:r w:rsidR="00FC13B0" w:rsidRPr="001C0F1C">
        <w:t>scientific</w:t>
      </w:r>
      <w:r w:rsidR="00E11C99" w:rsidRPr="001C0F1C">
        <w:t xml:space="preserve"> licences</w:t>
      </w:r>
      <w:r w:rsidR="00817991" w:rsidRPr="001C0F1C">
        <w:t>.</w:t>
      </w:r>
    </w:p>
    <w:p w14:paraId="4EDBD611" w14:textId="32F847F3" w:rsidR="00FC13B0" w:rsidRDefault="00FC13B0" w:rsidP="00FC13B0">
      <w:r w:rsidRPr="001C0F1C">
        <w:t xml:space="preserve">Since March 2016, the ACMA has applied an embargo to high density population areas within the </w:t>
      </w:r>
      <w:r w:rsidR="004127E4" w:rsidRPr="001C0F1C">
        <w:t>wider 26 GHz band</w:t>
      </w:r>
      <w:r w:rsidRPr="001C0F1C">
        <w:t xml:space="preserve"> (</w:t>
      </w:r>
      <w:hyperlink r:id="rId34" w:history="1">
        <w:r w:rsidR="00974C23">
          <w:rPr>
            <w:rStyle w:val="Hyperlink"/>
          </w:rPr>
          <w:t>E</w:t>
        </w:r>
        <w:r w:rsidRPr="001C0F1C">
          <w:rPr>
            <w:rStyle w:val="Hyperlink"/>
          </w:rPr>
          <w:t>mbargo 69</w:t>
        </w:r>
      </w:hyperlink>
      <w:r w:rsidRPr="001C0F1C">
        <w:t xml:space="preserve">). The embargo restricts any new apparatus licences in high density population areas. </w:t>
      </w:r>
      <w:r w:rsidRPr="001C0F1C">
        <w:rPr>
          <w:szCs w:val="20"/>
        </w:rPr>
        <w:t xml:space="preserve">Spectrum embargoes are an administrative tool used to facilitate orderly spectrum planning and provide a notice of the ACMA’s </w:t>
      </w:r>
      <w:r w:rsidR="00F860F3" w:rsidRPr="001C0F1C">
        <w:rPr>
          <w:szCs w:val="20"/>
        </w:rPr>
        <w:t xml:space="preserve">policy </w:t>
      </w:r>
      <w:r w:rsidRPr="001C0F1C">
        <w:rPr>
          <w:szCs w:val="20"/>
        </w:rPr>
        <w:t xml:space="preserve">to </w:t>
      </w:r>
      <w:r w:rsidR="00F860F3" w:rsidRPr="001C0F1C">
        <w:rPr>
          <w:szCs w:val="20"/>
        </w:rPr>
        <w:t>generally</w:t>
      </w:r>
      <w:r w:rsidRPr="001C0F1C">
        <w:rPr>
          <w:szCs w:val="20"/>
        </w:rPr>
        <w:t xml:space="preserve"> restrict the allocation of new licences in a band,</w:t>
      </w:r>
      <w:r w:rsidRPr="004C5253">
        <w:rPr>
          <w:szCs w:val="20"/>
        </w:rPr>
        <w:t xml:space="preserve"> pending its replanning. They also alert existing and prospective licensees to the start of a planning process.</w:t>
      </w:r>
      <w:r>
        <w:rPr>
          <w:szCs w:val="20"/>
        </w:rPr>
        <w:t xml:space="preserve"> </w:t>
      </w:r>
    </w:p>
    <w:p w14:paraId="27561087" w14:textId="1B6D7C34" w:rsidR="000C4F62" w:rsidRPr="001C0F1C" w:rsidRDefault="002F0C72" w:rsidP="0028145F">
      <w:pPr>
        <w:rPr>
          <w:szCs w:val="20"/>
        </w:rPr>
      </w:pPr>
      <w:r w:rsidRPr="001C0F1C">
        <w:lastRenderedPageBreak/>
        <w:t>T</w:t>
      </w:r>
      <w:r w:rsidR="00A96B66" w:rsidRPr="001C0F1C">
        <w:t xml:space="preserve">he body scanner </w:t>
      </w:r>
      <w:r w:rsidR="001D380F" w:rsidRPr="001C0F1C">
        <w:t>s</w:t>
      </w:r>
      <w:r w:rsidRPr="001C0F1C">
        <w:t>ystems</w:t>
      </w:r>
      <w:r w:rsidR="001D380F" w:rsidRPr="001C0F1C">
        <w:t xml:space="preserve"> </w:t>
      </w:r>
      <w:r w:rsidR="00EC00D5" w:rsidRPr="001C0F1C">
        <w:t xml:space="preserve">operating </w:t>
      </w:r>
      <w:r w:rsidR="003D542C" w:rsidRPr="001C0F1C">
        <w:t xml:space="preserve">in airports </w:t>
      </w:r>
      <w:r w:rsidR="001D380F" w:rsidRPr="001C0F1C">
        <w:t xml:space="preserve">which </w:t>
      </w:r>
      <w:r w:rsidR="00EC00D5" w:rsidRPr="001C0F1C">
        <w:t>were</w:t>
      </w:r>
      <w:r w:rsidR="001D380F" w:rsidRPr="001C0F1C">
        <w:t xml:space="preserve"> authorised via </w:t>
      </w:r>
      <w:r w:rsidR="00CA0500" w:rsidRPr="001C0F1C">
        <w:t xml:space="preserve">apparatus </w:t>
      </w:r>
      <w:r w:rsidR="00A96B66" w:rsidRPr="001C0F1C">
        <w:t>licen</w:t>
      </w:r>
      <w:r w:rsidR="002D0CFF" w:rsidRPr="001C0F1C">
        <w:t>c</w:t>
      </w:r>
      <w:r w:rsidR="00A96B66" w:rsidRPr="001C0F1C">
        <w:t xml:space="preserve">es </w:t>
      </w:r>
      <w:r w:rsidR="00EF60AD" w:rsidRPr="001C0F1C">
        <w:t>are now</w:t>
      </w:r>
      <w:r w:rsidR="004D5783" w:rsidRPr="001C0F1C">
        <w:t xml:space="preserve"> authorised under </w:t>
      </w:r>
      <w:r w:rsidR="00A96B66" w:rsidRPr="001C0F1C">
        <w:t xml:space="preserve">the </w:t>
      </w:r>
      <w:hyperlink r:id="rId35" w:history="1">
        <w:r w:rsidR="009D7C4C" w:rsidRPr="001C0F1C">
          <w:rPr>
            <w:rStyle w:val="Hyperlink"/>
            <w:szCs w:val="20"/>
          </w:rPr>
          <w:t>Radiocommunications (Body Scanning</w:t>
        </w:r>
        <w:r w:rsidR="00B34CE8">
          <w:rPr>
            <w:rStyle w:val="Hyperlink"/>
            <w:szCs w:val="20"/>
          </w:rPr>
          <w:t>—</w:t>
        </w:r>
        <w:r w:rsidR="009D7C4C" w:rsidRPr="001C0F1C">
          <w:rPr>
            <w:rStyle w:val="Hyperlink"/>
            <w:szCs w:val="20"/>
          </w:rPr>
          <w:t>Aviation Security) Class Licence 2018</w:t>
        </w:r>
      </w:hyperlink>
      <w:r w:rsidR="00A274F9" w:rsidRPr="001C0F1C">
        <w:t xml:space="preserve"> </w:t>
      </w:r>
      <w:r w:rsidR="009F2FC2" w:rsidRPr="001C0F1C">
        <w:t xml:space="preserve">(the </w:t>
      </w:r>
      <w:r w:rsidR="00C16E16" w:rsidRPr="001C0F1C">
        <w:t>aviation security</w:t>
      </w:r>
      <w:r w:rsidR="00F85E46" w:rsidRPr="001C0F1C">
        <w:t xml:space="preserve"> </w:t>
      </w:r>
      <w:r w:rsidR="009F2FC2" w:rsidRPr="001C0F1C">
        <w:t>class licence)</w:t>
      </w:r>
      <w:r w:rsidR="005B53E4" w:rsidRPr="001C0F1C">
        <w:t>.</w:t>
      </w:r>
      <w:r w:rsidR="00A274F9" w:rsidRPr="001C0F1C">
        <w:t xml:space="preserve"> </w:t>
      </w:r>
      <w:r w:rsidR="004D5783" w:rsidRPr="001C0F1C">
        <w:rPr>
          <w:szCs w:val="20"/>
        </w:rPr>
        <w:t xml:space="preserve">Reallocation declarations have no effect on </w:t>
      </w:r>
      <w:r w:rsidR="00E82E38" w:rsidRPr="001C0F1C">
        <w:rPr>
          <w:szCs w:val="20"/>
        </w:rPr>
        <w:t xml:space="preserve">existing </w:t>
      </w:r>
      <w:r w:rsidR="004D5783" w:rsidRPr="001C0F1C">
        <w:rPr>
          <w:szCs w:val="20"/>
        </w:rPr>
        <w:t xml:space="preserve">class licences, so body scanner operation </w:t>
      </w:r>
      <w:r w:rsidR="003D542C" w:rsidRPr="001C0F1C">
        <w:rPr>
          <w:szCs w:val="20"/>
        </w:rPr>
        <w:t xml:space="preserve">in airports </w:t>
      </w:r>
      <w:r w:rsidR="005D7B6E" w:rsidRPr="001C0F1C">
        <w:rPr>
          <w:szCs w:val="20"/>
        </w:rPr>
        <w:t xml:space="preserve">can </w:t>
      </w:r>
      <w:r w:rsidR="004D5783" w:rsidRPr="001C0F1C">
        <w:rPr>
          <w:szCs w:val="20"/>
        </w:rPr>
        <w:t xml:space="preserve">continue under the class licence without interruption. There is therefore no need </w:t>
      </w:r>
      <w:r w:rsidR="00A96B66" w:rsidRPr="001C0F1C">
        <w:rPr>
          <w:szCs w:val="20"/>
        </w:rPr>
        <w:t xml:space="preserve">to </w:t>
      </w:r>
      <w:r w:rsidR="00383960" w:rsidRPr="001C0F1C">
        <w:rPr>
          <w:szCs w:val="20"/>
        </w:rPr>
        <w:t xml:space="preserve">consider </w:t>
      </w:r>
      <w:r w:rsidR="004D5783" w:rsidRPr="001C0F1C">
        <w:rPr>
          <w:szCs w:val="20"/>
        </w:rPr>
        <w:t xml:space="preserve">the impact of any reallocation declaration on </w:t>
      </w:r>
      <w:r w:rsidR="00EA41DF" w:rsidRPr="001C0F1C">
        <w:rPr>
          <w:szCs w:val="20"/>
        </w:rPr>
        <w:t xml:space="preserve">these existing </w:t>
      </w:r>
      <w:r w:rsidR="00BF405F" w:rsidRPr="001C0F1C">
        <w:rPr>
          <w:szCs w:val="20"/>
        </w:rPr>
        <w:t>services</w:t>
      </w:r>
      <w:r w:rsidR="00383960" w:rsidRPr="001C0F1C">
        <w:rPr>
          <w:szCs w:val="20"/>
        </w:rPr>
        <w:t>.</w:t>
      </w:r>
    </w:p>
    <w:p w14:paraId="1B0FB47B" w14:textId="48D62104" w:rsidR="008877E4" w:rsidRPr="001C0F1C" w:rsidRDefault="00EC00D5" w:rsidP="0028145F">
      <w:pPr>
        <w:rPr>
          <w:szCs w:val="20"/>
        </w:rPr>
      </w:pPr>
      <w:r w:rsidRPr="001C0F1C">
        <w:rPr>
          <w:szCs w:val="20"/>
        </w:rPr>
        <w:t xml:space="preserve">The remaining body scanning systems are not authorised </w:t>
      </w:r>
      <w:r w:rsidR="00EE62C0" w:rsidRPr="001C0F1C">
        <w:rPr>
          <w:szCs w:val="20"/>
        </w:rPr>
        <w:t xml:space="preserve">by the </w:t>
      </w:r>
      <w:r w:rsidR="00C16E16" w:rsidRPr="001C0F1C">
        <w:t>aviation security class licence</w:t>
      </w:r>
      <w:r w:rsidR="00EE62C0" w:rsidRPr="001C0F1C">
        <w:rPr>
          <w:szCs w:val="20"/>
        </w:rPr>
        <w:t>.</w:t>
      </w:r>
      <w:r w:rsidR="00C849A5" w:rsidRPr="00C849A5">
        <w:t xml:space="preserve"> </w:t>
      </w:r>
      <w:r w:rsidR="00C849A5" w:rsidRPr="00AD40D9">
        <w:t xml:space="preserve">After the end of </w:t>
      </w:r>
      <w:r w:rsidR="00617EFE">
        <w:t xml:space="preserve">the </w:t>
      </w:r>
      <w:r w:rsidR="00C849A5" w:rsidRPr="00AD40D9">
        <w:t>reallocation period, the ACMA may not issue an apparatus licence that authorises operation of radiocommunications devices in the relevant spectrum unless the ACMA is satisfied that special circumstances justify the issuing of the licence, or if the licence is</w:t>
      </w:r>
      <w:r w:rsidR="00480369">
        <w:t xml:space="preserve"> to be</w:t>
      </w:r>
      <w:r w:rsidR="00C849A5" w:rsidRPr="00AD40D9">
        <w:t xml:space="preserve"> issued to </w:t>
      </w:r>
      <w:r w:rsidR="00877415">
        <w:t>certain bodies</w:t>
      </w:r>
      <w:r w:rsidR="002732BE">
        <w:rPr>
          <w:rStyle w:val="FootnoteReference"/>
        </w:rPr>
        <w:footnoteReference w:id="12"/>
      </w:r>
      <w:r w:rsidR="002732BE">
        <w:t xml:space="preserve"> for the purpose of its investigations or operations</w:t>
      </w:r>
      <w:r w:rsidR="00070F0C">
        <w:t>.</w:t>
      </w:r>
      <w:r w:rsidR="00742910">
        <w:t xml:space="preserve"> Any applications for an apparatus licence in the relevant spectrum made after the end of the reallocation period</w:t>
      </w:r>
      <w:r w:rsidR="008B6E2D">
        <w:t xml:space="preserve"> will be considered on a case-by-case basis against the requirements</w:t>
      </w:r>
      <w:r w:rsidR="002732BE">
        <w:t xml:space="preserve"> set out in subsection 153</w:t>
      </w:r>
      <w:proofErr w:type="gramStart"/>
      <w:r w:rsidR="002732BE">
        <w:t>P(</w:t>
      </w:r>
      <w:proofErr w:type="gramEnd"/>
      <w:r w:rsidR="002732BE">
        <w:t>3) of the Act</w:t>
      </w:r>
      <w:r w:rsidR="00EA19DE" w:rsidRPr="001C0F1C">
        <w:rPr>
          <w:szCs w:val="20"/>
        </w:rPr>
        <w:t>.</w:t>
      </w:r>
    </w:p>
    <w:p w14:paraId="118BD684" w14:textId="77777777" w:rsidR="00C16E16" w:rsidRDefault="008B7457" w:rsidP="008B1CBE">
      <w:pPr>
        <w:rPr>
          <w:szCs w:val="20"/>
        </w:rPr>
      </w:pPr>
      <w:r w:rsidRPr="001C0F1C">
        <w:rPr>
          <w:szCs w:val="20"/>
        </w:rPr>
        <w:t xml:space="preserve">The </w:t>
      </w:r>
      <w:r w:rsidR="007D6B39" w:rsidRPr="001C0F1C">
        <w:rPr>
          <w:szCs w:val="20"/>
        </w:rPr>
        <w:t>s</w:t>
      </w:r>
      <w:r w:rsidR="008877E4" w:rsidRPr="001C0F1C">
        <w:rPr>
          <w:szCs w:val="20"/>
        </w:rPr>
        <w:t xml:space="preserve">cientific </w:t>
      </w:r>
      <w:r w:rsidR="00E82E38" w:rsidRPr="001C0F1C">
        <w:rPr>
          <w:szCs w:val="20"/>
        </w:rPr>
        <w:t>apparatus</w:t>
      </w:r>
      <w:r w:rsidR="008877E4" w:rsidRPr="001C0F1C">
        <w:rPr>
          <w:szCs w:val="20"/>
        </w:rPr>
        <w:t xml:space="preserve"> </w:t>
      </w:r>
      <w:r w:rsidR="007D6B39" w:rsidRPr="001C0F1C">
        <w:rPr>
          <w:szCs w:val="20"/>
        </w:rPr>
        <w:t>licences</w:t>
      </w:r>
      <w:r w:rsidR="008877E4" w:rsidRPr="001C0F1C">
        <w:rPr>
          <w:szCs w:val="20"/>
        </w:rPr>
        <w:t xml:space="preserve"> </w:t>
      </w:r>
      <w:r w:rsidRPr="001C0F1C">
        <w:rPr>
          <w:szCs w:val="20"/>
        </w:rPr>
        <w:t>i</w:t>
      </w:r>
      <w:r w:rsidR="00E262C7" w:rsidRPr="001C0F1C">
        <w:rPr>
          <w:szCs w:val="20"/>
        </w:rPr>
        <w:t xml:space="preserve">n the 26 GHz band are </w:t>
      </w:r>
      <w:r w:rsidRPr="001C0F1C">
        <w:rPr>
          <w:szCs w:val="20"/>
        </w:rPr>
        <w:t xml:space="preserve">being </w:t>
      </w:r>
      <w:r w:rsidR="00E262C7" w:rsidRPr="001C0F1C">
        <w:rPr>
          <w:szCs w:val="20"/>
        </w:rPr>
        <w:t xml:space="preserve">used to trial </w:t>
      </w:r>
      <w:r w:rsidRPr="001C0F1C">
        <w:rPr>
          <w:szCs w:val="20"/>
        </w:rPr>
        <w:t>5G</w:t>
      </w:r>
      <w:r>
        <w:rPr>
          <w:szCs w:val="20"/>
        </w:rPr>
        <w:t xml:space="preserve"> </w:t>
      </w:r>
      <w:r w:rsidR="00E262C7" w:rsidRPr="001F1658">
        <w:rPr>
          <w:szCs w:val="20"/>
        </w:rPr>
        <w:t xml:space="preserve">technologies </w:t>
      </w:r>
      <w:r>
        <w:rPr>
          <w:szCs w:val="20"/>
        </w:rPr>
        <w:t xml:space="preserve">similar to those that are likely to be </w:t>
      </w:r>
      <w:r w:rsidR="00E262C7" w:rsidRPr="001F1658">
        <w:rPr>
          <w:szCs w:val="20"/>
        </w:rPr>
        <w:t>deployed under a spectrum licence</w:t>
      </w:r>
      <w:r w:rsidR="008877E4" w:rsidRPr="001F1658">
        <w:rPr>
          <w:szCs w:val="20"/>
        </w:rPr>
        <w:t>.</w:t>
      </w:r>
    </w:p>
    <w:p w14:paraId="716BD5B7" w14:textId="120CC4C8" w:rsidR="008B1CBE" w:rsidRPr="00A96B66" w:rsidRDefault="00E262C7" w:rsidP="008B1CBE">
      <w:pPr>
        <w:rPr>
          <w:szCs w:val="20"/>
        </w:rPr>
      </w:pPr>
      <w:r w:rsidRPr="001F1658">
        <w:rPr>
          <w:szCs w:val="20"/>
        </w:rPr>
        <w:t>A</w:t>
      </w:r>
      <w:r w:rsidR="002C261A" w:rsidRPr="001F1658">
        <w:rPr>
          <w:szCs w:val="20"/>
        </w:rPr>
        <w:t>t the end of the reallocation period all a</w:t>
      </w:r>
      <w:r w:rsidRPr="001F1658">
        <w:rPr>
          <w:szCs w:val="20"/>
        </w:rPr>
        <w:t>pparatus</w:t>
      </w:r>
      <w:r w:rsidR="008877E4" w:rsidRPr="001F1658">
        <w:rPr>
          <w:szCs w:val="20"/>
        </w:rPr>
        <w:t xml:space="preserve"> licences </w:t>
      </w:r>
      <w:r w:rsidR="002C261A" w:rsidRPr="001F1658">
        <w:rPr>
          <w:szCs w:val="20"/>
        </w:rPr>
        <w:t>would be</w:t>
      </w:r>
      <w:r w:rsidR="008877E4" w:rsidRPr="001F1658">
        <w:rPr>
          <w:szCs w:val="20"/>
        </w:rPr>
        <w:t xml:space="preserve"> cancelled</w:t>
      </w:r>
      <w:r w:rsidR="00103911">
        <w:rPr>
          <w:szCs w:val="20"/>
        </w:rPr>
        <w:t>,</w:t>
      </w:r>
      <w:r w:rsidR="008877E4" w:rsidRPr="001F1658">
        <w:rPr>
          <w:szCs w:val="20"/>
        </w:rPr>
        <w:t xml:space="preserve"> </w:t>
      </w:r>
      <w:r w:rsidR="002C261A" w:rsidRPr="001F1658">
        <w:rPr>
          <w:szCs w:val="20"/>
        </w:rPr>
        <w:t xml:space="preserve">so licensees would need to consider </w:t>
      </w:r>
      <w:r w:rsidR="00F44048" w:rsidRPr="001F1658">
        <w:rPr>
          <w:szCs w:val="20"/>
        </w:rPr>
        <w:t xml:space="preserve">their options </w:t>
      </w:r>
      <w:r w:rsidR="002C261A" w:rsidRPr="001F1658">
        <w:rPr>
          <w:szCs w:val="20"/>
        </w:rPr>
        <w:t xml:space="preserve">to continue </w:t>
      </w:r>
      <w:r w:rsidR="003C1828" w:rsidRPr="001F1658">
        <w:rPr>
          <w:szCs w:val="20"/>
        </w:rPr>
        <w:t>operation</w:t>
      </w:r>
      <w:r w:rsidR="00F44048" w:rsidRPr="001F1658">
        <w:rPr>
          <w:szCs w:val="20"/>
        </w:rPr>
        <w:t xml:space="preserve">. </w:t>
      </w:r>
      <w:r w:rsidR="008B1CBE" w:rsidRPr="001F1658">
        <w:rPr>
          <w:szCs w:val="20"/>
        </w:rPr>
        <w:t>Remaining in the band would be contingent on obtaining sufficient spectrum at auction or reaching agreement with successful bidders for access to their spectrum</w:t>
      </w:r>
      <w:r w:rsidR="00464DBC">
        <w:rPr>
          <w:szCs w:val="20"/>
        </w:rPr>
        <w:t>.</w:t>
      </w:r>
      <w:r w:rsidR="00742910">
        <w:rPr>
          <w:szCs w:val="20"/>
        </w:rPr>
        <w:t xml:space="preserve"> </w:t>
      </w:r>
    </w:p>
    <w:p w14:paraId="1F5C1E0C" w14:textId="38892488" w:rsidR="001F1658" w:rsidRPr="00726FD6" w:rsidRDefault="001F1658" w:rsidP="001F1658">
      <w:pPr>
        <w:pStyle w:val="Heading3"/>
      </w:pPr>
      <w:bookmarkStart w:id="188" w:name="_Toc8207129"/>
      <w:bookmarkStart w:id="189" w:name="_Toc408846607"/>
      <w:bookmarkStart w:id="190" w:name="_Toc409015477"/>
      <w:bookmarkStart w:id="191" w:name="_Toc409528641"/>
      <w:bookmarkStart w:id="192" w:name="_Toc409016970"/>
      <w:bookmarkStart w:id="193" w:name="_Toc496277326"/>
      <w:bookmarkStart w:id="194" w:name="_Toc496277725"/>
      <w:bookmarkStart w:id="195" w:name="_Toc496527236"/>
      <w:bookmarkStart w:id="196" w:name="_Toc496527411"/>
      <w:r w:rsidRPr="00A153AF">
        <w:t xml:space="preserve">Reallocation </w:t>
      </w:r>
      <w:r>
        <w:t>period</w:t>
      </w:r>
      <w:bookmarkEnd w:id="188"/>
    </w:p>
    <w:bookmarkEnd w:id="189"/>
    <w:bookmarkEnd w:id="190"/>
    <w:bookmarkEnd w:id="191"/>
    <w:bookmarkEnd w:id="192"/>
    <w:bookmarkEnd w:id="193"/>
    <w:bookmarkEnd w:id="194"/>
    <w:bookmarkEnd w:id="195"/>
    <w:bookmarkEnd w:id="196"/>
    <w:p w14:paraId="0AE24B58" w14:textId="77777777" w:rsidR="00105F75" w:rsidRDefault="000C74EB" w:rsidP="003F4588">
      <w:r>
        <w:t xml:space="preserve">The very light current use of the </w:t>
      </w:r>
      <w:r w:rsidR="00736C59">
        <w:t>26</w:t>
      </w:r>
      <w:r>
        <w:t xml:space="preserve"> GHz band means that the ACMA considers a relatively short reallocation period is appropriate. This will</w:t>
      </w:r>
      <w:r w:rsidDel="00103911">
        <w:t xml:space="preserve"> </w:t>
      </w:r>
      <w:r w:rsidR="00103911">
        <w:t>only a</w:t>
      </w:r>
      <w:r>
        <w:t>ffect</w:t>
      </w:r>
      <w:r w:rsidDel="00103911">
        <w:t xml:space="preserve"> </w:t>
      </w:r>
      <w:r>
        <w:t>a small number of incumbent apparatus licensees</w:t>
      </w:r>
      <w:r w:rsidR="00413FCA">
        <w:t xml:space="preserve">. </w:t>
      </w:r>
      <w:r>
        <w:t>The ACMA considered the statutory minimum of two years, but on balance considers that a slightly longer period is desirable</w:t>
      </w:r>
      <w:r w:rsidR="003F4588">
        <w:t>.</w:t>
      </w:r>
      <w:r w:rsidR="005B09D5">
        <w:t xml:space="preserve"> </w:t>
      </w:r>
      <w:r w:rsidR="001D2F2E">
        <w:t xml:space="preserve">The longer period will </w:t>
      </w:r>
      <w:r w:rsidR="005B09D5">
        <w:t xml:space="preserve">allow for </w:t>
      </w:r>
      <w:r w:rsidR="001D2F2E">
        <w:t xml:space="preserve">appropriate </w:t>
      </w:r>
      <w:r w:rsidR="005B09D5">
        <w:t xml:space="preserve">consideration of the </w:t>
      </w:r>
      <w:r w:rsidR="00C357E5">
        <w:t>interrelationship between</w:t>
      </w:r>
      <w:r w:rsidR="0099237A">
        <w:t xml:space="preserve"> the</w:t>
      </w:r>
      <w:r w:rsidR="00C357E5">
        <w:t xml:space="preserve"> </w:t>
      </w:r>
      <w:r w:rsidR="005B09D5">
        <w:t>range of licen</w:t>
      </w:r>
      <w:r w:rsidR="000D5A44">
        <w:t>ce types</w:t>
      </w:r>
      <w:r w:rsidR="00C357E5">
        <w:t xml:space="preserve"> </w:t>
      </w:r>
      <w:r w:rsidR="005B09D5">
        <w:t>proposed across the wider 26 GHz band</w:t>
      </w:r>
      <w:r w:rsidR="00C357E5">
        <w:t>.</w:t>
      </w:r>
    </w:p>
    <w:p w14:paraId="05198704" w14:textId="3B382904" w:rsidR="00744527" w:rsidRDefault="00744527" w:rsidP="003F4588">
      <w:r>
        <w:t>The proposed introduction of class and apparatus licensing as well as spectrum licensing across the wider 26 GHz band will require a number of processes to run in parallel</w:t>
      </w:r>
      <w:r w:rsidR="00D51631">
        <w:t xml:space="preserve"> to facilitate multiple</w:t>
      </w:r>
      <w:r w:rsidR="00B363D2">
        <w:t xml:space="preserve"> uses</w:t>
      </w:r>
      <w:r w:rsidR="00D51631">
        <w:t xml:space="preserve"> in the band</w:t>
      </w:r>
      <w:r>
        <w:t xml:space="preserve">. For </w:t>
      </w:r>
      <w:proofErr w:type="gramStart"/>
      <w:r>
        <w:t>example</w:t>
      </w:r>
      <w:proofErr w:type="gramEnd"/>
      <w:r w:rsidR="00D51631">
        <w:t xml:space="preserve"> establishing a new ‘spectrum space’ apparatus licence will require </w:t>
      </w:r>
      <w:r w:rsidR="00B363D2">
        <w:t>amending legal instruments to define the new licence type, set out the licence conditions and determine appropriate allocation and pricing</w:t>
      </w:r>
      <w:r w:rsidR="00CF51FF">
        <w:t xml:space="preserve"> arrangements</w:t>
      </w:r>
      <w:r w:rsidR="00B363D2">
        <w:t>.</w:t>
      </w:r>
      <w:r w:rsidR="00D51631">
        <w:t xml:space="preserve"> </w:t>
      </w:r>
      <w:r w:rsidR="00B363D2">
        <w:t>Similarly</w:t>
      </w:r>
      <w:r w:rsidR="00B22464">
        <w:t>,</w:t>
      </w:r>
      <w:r w:rsidR="00B363D2">
        <w:t xml:space="preserve"> a new class licence for use</w:t>
      </w:r>
      <w:r w:rsidR="00105F75">
        <w:t xml:space="preserve"> </w:t>
      </w:r>
      <w:r w:rsidR="00B363D2">
        <w:t xml:space="preserve">in </w:t>
      </w:r>
      <w:r w:rsidR="00105F75">
        <w:t xml:space="preserve">the </w:t>
      </w:r>
      <w:r w:rsidR="00B363D2">
        <w:t xml:space="preserve">wider 26 GHz band would require development of </w:t>
      </w:r>
      <w:r w:rsidR="000F777A">
        <w:t>licence</w:t>
      </w:r>
      <w:r w:rsidR="00B363D2">
        <w:t xml:space="preserve"> conditions</w:t>
      </w:r>
      <w:r w:rsidR="00105F75">
        <w:t xml:space="preserve"> </w:t>
      </w:r>
      <w:r w:rsidR="000F777A">
        <w:t>to</w:t>
      </w:r>
      <w:r w:rsidR="00105F75">
        <w:t xml:space="preserve"> be formalised into a legal instrument. All such processes would be undertaken </w:t>
      </w:r>
      <w:r w:rsidR="00CF51FF">
        <w:t>in</w:t>
      </w:r>
      <w:r w:rsidR="00105F75">
        <w:t xml:space="preserve"> consultation with interested parties.</w:t>
      </w:r>
    </w:p>
    <w:p w14:paraId="3537FFA3" w14:textId="0B3B310F" w:rsidR="003F4588" w:rsidRDefault="00C357E5" w:rsidP="003F4588">
      <w:r>
        <w:t>The ACMA</w:t>
      </w:r>
      <w:r w:rsidR="00105F75">
        <w:t xml:space="preserve"> </w:t>
      </w:r>
      <w:r>
        <w:t xml:space="preserve">considers it is important to take the time to ensure appropriate measures are put in place to facilitate the coexistence of services that </w:t>
      </w:r>
      <w:r w:rsidR="0099237A">
        <w:t>may</w:t>
      </w:r>
      <w:r>
        <w:t xml:space="preserve"> operate </w:t>
      </w:r>
      <w:r w:rsidR="00FF222B">
        <w:t xml:space="preserve">in the band </w:t>
      </w:r>
      <w:r>
        <w:t xml:space="preserve">under </w:t>
      </w:r>
      <w:r w:rsidR="008F7945">
        <w:t xml:space="preserve">the proposed </w:t>
      </w:r>
      <w:r>
        <w:t xml:space="preserve">class, apparatus </w:t>
      </w:r>
      <w:r w:rsidR="0099237A">
        <w:t xml:space="preserve">or </w:t>
      </w:r>
      <w:r>
        <w:t>spectrum licences.</w:t>
      </w:r>
      <w:r w:rsidR="000C74EB" w:rsidRPr="000C74EB">
        <w:t xml:space="preserve"> </w:t>
      </w:r>
      <w:r w:rsidR="000C74EB">
        <w:t xml:space="preserve">The ACMA therefore proposes a </w:t>
      </w:r>
      <w:r w:rsidR="000C74EB" w:rsidRPr="00762145">
        <w:t xml:space="preserve">two </w:t>
      </w:r>
      <w:r w:rsidR="000C74EB">
        <w:t xml:space="preserve">and a half </w:t>
      </w:r>
      <w:r w:rsidR="000C74EB" w:rsidRPr="00762145">
        <w:t>year reallocation period</w:t>
      </w:r>
      <w:r w:rsidR="000C74EB">
        <w:t xml:space="preserve"> for the </w:t>
      </w:r>
      <w:r w:rsidR="00736C59">
        <w:t>26</w:t>
      </w:r>
      <w:r w:rsidR="000C74EB">
        <w:t xml:space="preserve"> GHz </w:t>
      </w:r>
      <w:r w:rsidR="00736C59">
        <w:t>band</w:t>
      </w:r>
      <w:r w:rsidR="000C74EB">
        <w:t xml:space="preserve"> in the defined areas.</w:t>
      </w:r>
    </w:p>
    <w:p w14:paraId="0E7CF797" w14:textId="77777777" w:rsidR="00AB40D2" w:rsidRPr="00726FD6" w:rsidRDefault="00AB40D2">
      <w:pPr>
        <w:pStyle w:val="Heading3"/>
      </w:pPr>
      <w:bookmarkStart w:id="197" w:name="_Toc408846608"/>
      <w:bookmarkStart w:id="198" w:name="_Toc409015478"/>
      <w:bookmarkStart w:id="199" w:name="_Toc409528642"/>
      <w:bookmarkStart w:id="200" w:name="_Toc409016971"/>
      <w:bookmarkStart w:id="201" w:name="_Toc496277327"/>
      <w:bookmarkStart w:id="202" w:name="_Toc496277726"/>
      <w:bookmarkStart w:id="203" w:name="_Toc496527237"/>
      <w:bookmarkStart w:id="204" w:name="_Toc496527412"/>
      <w:bookmarkStart w:id="205" w:name="_Toc8207130"/>
      <w:r w:rsidRPr="00A153AF">
        <w:lastRenderedPageBreak/>
        <w:t>Reallocation deadline</w:t>
      </w:r>
      <w:bookmarkEnd w:id="197"/>
      <w:bookmarkEnd w:id="198"/>
      <w:bookmarkEnd w:id="199"/>
      <w:bookmarkEnd w:id="200"/>
      <w:bookmarkEnd w:id="201"/>
      <w:bookmarkEnd w:id="202"/>
      <w:bookmarkEnd w:id="203"/>
      <w:bookmarkEnd w:id="204"/>
      <w:bookmarkEnd w:id="205"/>
    </w:p>
    <w:p w14:paraId="6B330FC7" w14:textId="7DEC3C26" w:rsidR="00AB40D2" w:rsidRPr="008E6FF6" w:rsidRDefault="00AB40D2">
      <w:r w:rsidRPr="008E6FF6">
        <w:t>The reallocation deadline sets the date by which the ACMA must have allocated at least one licence in the reallocated spectrum. If no licence is allocated</w:t>
      </w:r>
      <w:r w:rsidR="005D7B6E">
        <w:t xml:space="preserve"> by this date</w:t>
      </w:r>
      <w:r w:rsidRPr="008E6FF6">
        <w:t>, the reallocation declaration is automatically revoked.</w:t>
      </w:r>
    </w:p>
    <w:p w14:paraId="624ED2F4" w14:textId="4B7B0272" w:rsidR="00AB40D2" w:rsidRDefault="001436EA">
      <w:r>
        <w:t>T</w:t>
      </w:r>
      <w:r w:rsidR="00AB40D2" w:rsidRPr="008E6FF6">
        <w:t xml:space="preserve">he reallocation deadline must be at least 12 months before the end of the reallocation period. </w:t>
      </w:r>
      <w:r w:rsidR="00B43E20">
        <w:t>The ACMA intends to recommend the reallocation deadline be 12</w:t>
      </w:r>
      <w:r w:rsidR="00D56CAF">
        <w:t> </w:t>
      </w:r>
      <w:r w:rsidR="00B43E20">
        <w:t>months before the end of the reallocation period.</w:t>
      </w:r>
    </w:p>
    <w:p w14:paraId="1FD183AC" w14:textId="4FF5A3FF" w:rsidR="00AB40D2" w:rsidRPr="008A6B3F" w:rsidRDefault="003E41CD">
      <w:pPr>
        <w:keepNext/>
        <w:keepLines/>
        <w:pBdr>
          <w:top w:val="single" w:sz="4" w:space="1" w:color="auto"/>
          <w:left w:val="single" w:sz="4" w:space="1" w:color="auto"/>
          <w:bottom w:val="single" w:sz="4" w:space="1" w:color="auto"/>
          <w:right w:val="single" w:sz="4" w:space="1" w:color="auto"/>
        </w:pBdr>
        <w:shd w:val="clear" w:color="auto" w:fill="F2F2F2" w:themeFill="background1" w:themeFillShade="F2"/>
        <w:rPr>
          <w:b/>
        </w:rPr>
      </w:pPr>
      <w:bookmarkStart w:id="206" w:name="_Toc293404385"/>
      <w:r>
        <w:rPr>
          <w:b/>
        </w:rPr>
        <w:t>R</w:t>
      </w:r>
      <w:r w:rsidR="00AB40D2">
        <w:rPr>
          <w:b/>
        </w:rPr>
        <w:t>eallocation period and deadline</w:t>
      </w:r>
      <w:r w:rsidR="00AB40D2" w:rsidRPr="008A6B3F">
        <w:rPr>
          <w:b/>
        </w:rPr>
        <w:t xml:space="preserve"> </w:t>
      </w:r>
    </w:p>
    <w:bookmarkEnd w:id="206"/>
    <w:p w14:paraId="6F7F16C1" w14:textId="2A202A2B" w:rsidR="00AB40D2" w:rsidRDefault="00164648">
      <w:pPr>
        <w:keepNext/>
        <w:keepLines/>
        <w:pBdr>
          <w:top w:val="single" w:sz="4" w:space="1" w:color="auto"/>
          <w:left w:val="single" w:sz="4" w:space="1" w:color="auto"/>
          <w:bottom w:val="single" w:sz="4" w:space="1" w:color="auto"/>
          <w:right w:val="single" w:sz="4" w:space="1" w:color="auto"/>
        </w:pBdr>
        <w:shd w:val="clear" w:color="auto" w:fill="F2F2F2" w:themeFill="background1" w:themeFillShade="F2"/>
      </w:pPr>
      <w:r>
        <w:t xml:space="preserve">In the </w:t>
      </w:r>
      <w:r w:rsidR="00736C59">
        <w:t>26</w:t>
      </w:r>
      <w:r>
        <w:t xml:space="preserve"> GHz</w:t>
      </w:r>
      <w:r w:rsidR="00736C59">
        <w:t xml:space="preserve"> band</w:t>
      </w:r>
      <w:r w:rsidR="00AB40D2" w:rsidRPr="008A6B3F">
        <w:t>,</w:t>
      </w:r>
      <w:r w:rsidR="00AB40D2">
        <w:t xml:space="preserve"> the</w:t>
      </w:r>
      <w:r w:rsidR="00AB40D2" w:rsidRPr="009C5A85">
        <w:t xml:space="preserve"> ACMA proposes to recommend </w:t>
      </w:r>
      <w:r w:rsidR="005762BB">
        <w:t xml:space="preserve">a </w:t>
      </w:r>
      <w:r w:rsidR="00AB40D2">
        <w:t>reallocation period of</w:t>
      </w:r>
      <w:r w:rsidR="009E4775">
        <w:t xml:space="preserve"> </w:t>
      </w:r>
      <w:r w:rsidR="004462A9">
        <w:t>t</w:t>
      </w:r>
      <w:r w:rsidR="00AB40D2">
        <w:t>wo</w:t>
      </w:r>
      <w:r w:rsidR="009E13DD">
        <w:t xml:space="preserve"> and a half</w:t>
      </w:r>
      <w:r w:rsidR="009E4775">
        <w:t xml:space="preserve"> years </w:t>
      </w:r>
      <w:r w:rsidR="00AB40D2">
        <w:t xml:space="preserve">with a reallocation deadline of </w:t>
      </w:r>
      <w:r w:rsidR="00AB40D2">
        <w:rPr>
          <w:rFonts w:cs="Arial"/>
        </w:rPr>
        <w:t>12 months</w:t>
      </w:r>
      <w:r w:rsidR="00AB40D2" w:rsidRPr="00E95D2B">
        <w:rPr>
          <w:rFonts w:cs="Arial"/>
        </w:rPr>
        <w:t xml:space="preserve"> before the end of </w:t>
      </w:r>
      <w:r w:rsidR="00AB40D2">
        <w:rPr>
          <w:rFonts w:cs="Arial"/>
        </w:rPr>
        <w:t>the reallocation period</w:t>
      </w:r>
      <w:r w:rsidR="00AB40D2">
        <w:t>.</w:t>
      </w:r>
    </w:p>
    <w:p w14:paraId="79B57EEE" w14:textId="66D20657" w:rsidR="00AB40D2" w:rsidRPr="009C5A85" w:rsidRDefault="00AB40D2" w:rsidP="00823B00">
      <w:pPr>
        <w:pStyle w:val="Heading1"/>
      </w:pPr>
      <w:bookmarkStart w:id="207" w:name="_Toc408494366"/>
      <w:bookmarkStart w:id="208" w:name="_Toc408846609"/>
      <w:bookmarkStart w:id="209" w:name="_Toc409015479"/>
      <w:bookmarkStart w:id="210" w:name="_Toc409528643"/>
      <w:bookmarkStart w:id="211" w:name="_Toc409016972"/>
      <w:bookmarkStart w:id="212" w:name="_Toc496277328"/>
      <w:bookmarkStart w:id="213" w:name="_Toc496277727"/>
      <w:bookmarkStart w:id="214" w:name="_Toc496527238"/>
      <w:bookmarkStart w:id="215" w:name="_Toc496527413"/>
      <w:bookmarkStart w:id="216" w:name="_Toc8207131"/>
      <w:r w:rsidRPr="00767BFA">
        <w:lastRenderedPageBreak/>
        <w:t xml:space="preserve">Other matters relevant to a price-based allocation </w:t>
      </w:r>
      <w:r w:rsidR="00A007F5" w:rsidRPr="00767BFA">
        <w:t>of</w:t>
      </w:r>
      <w:r w:rsidRPr="00767BFA">
        <w:t xml:space="preserve"> </w:t>
      </w:r>
      <w:r w:rsidR="00736C59" w:rsidRPr="00767BFA">
        <w:t xml:space="preserve">the </w:t>
      </w:r>
      <w:r w:rsidR="00090915">
        <w:br/>
      </w:r>
      <w:r w:rsidR="00736C59" w:rsidRPr="00767BFA">
        <w:t>26</w:t>
      </w:r>
      <w:r w:rsidR="0090537A" w:rsidRPr="00767BFA">
        <w:t xml:space="preserve"> GHz </w:t>
      </w:r>
      <w:bookmarkEnd w:id="207"/>
      <w:bookmarkEnd w:id="208"/>
      <w:bookmarkEnd w:id="209"/>
      <w:bookmarkEnd w:id="210"/>
      <w:bookmarkEnd w:id="211"/>
      <w:bookmarkEnd w:id="212"/>
      <w:bookmarkEnd w:id="213"/>
      <w:bookmarkEnd w:id="214"/>
      <w:bookmarkEnd w:id="215"/>
      <w:r w:rsidR="00736C59" w:rsidRPr="00767BFA">
        <w:t>band</w:t>
      </w:r>
      <w:bookmarkEnd w:id="216"/>
    </w:p>
    <w:p w14:paraId="42D361FA" w14:textId="66CE4328" w:rsidR="00AB40D2" w:rsidRDefault="00AB40D2">
      <w:r>
        <w:t xml:space="preserve">If the minister declares </w:t>
      </w:r>
      <w:r w:rsidR="00352F24">
        <w:t xml:space="preserve">the </w:t>
      </w:r>
      <w:r w:rsidR="00736C59">
        <w:t>26</w:t>
      </w:r>
      <w:r w:rsidR="0090537A">
        <w:t xml:space="preserve"> GHz</w:t>
      </w:r>
      <w:r w:rsidR="001436EA">
        <w:t xml:space="preserve"> </w:t>
      </w:r>
      <w:r w:rsidR="00736C59">
        <w:t xml:space="preserve">band </w:t>
      </w:r>
      <w:r w:rsidR="001436EA">
        <w:t>in defined areas</w:t>
      </w:r>
      <w:r w:rsidR="0090537A">
        <w:t xml:space="preserve"> </w:t>
      </w:r>
      <w:r>
        <w:t xml:space="preserve">for reallocation in line with the ACMA’s </w:t>
      </w:r>
      <w:r w:rsidR="00F43280">
        <w:t xml:space="preserve">proposed </w:t>
      </w:r>
      <w:r>
        <w:t xml:space="preserve">recommendation, the ACMA </w:t>
      </w:r>
      <w:r w:rsidR="001D63A0">
        <w:t>intends to</w:t>
      </w:r>
      <w:r>
        <w:t xml:space="preserve"> conduct a price-based allocation of the reallocated spectrum.</w:t>
      </w:r>
    </w:p>
    <w:p w14:paraId="5AF551A6" w14:textId="7A366327" w:rsidR="00AB40D2" w:rsidRPr="00AA6AC4" w:rsidRDefault="00AB40D2" w:rsidP="00823B00">
      <w:pPr>
        <w:spacing w:after="80"/>
      </w:pPr>
      <w:r>
        <w:t>T</w:t>
      </w:r>
      <w:r w:rsidRPr="00464553">
        <w:t>h</w:t>
      </w:r>
      <w:r w:rsidRPr="00FD0322">
        <w:t xml:space="preserve">e ACMA </w:t>
      </w:r>
      <w:r>
        <w:t xml:space="preserve">has </w:t>
      </w:r>
      <w:proofErr w:type="gramStart"/>
      <w:r>
        <w:t>given preliminary consideration to</w:t>
      </w:r>
      <w:proofErr w:type="gramEnd"/>
      <w:r>
        <w:t xml:space="preserve"> </w:t>
      </w:r>
      <w:r w:rsidRPr="00FD0322">
        <w:t xml:space="preserve">other matters </w:t>
      </w:r>
      <w:r>
        <w:t xml:space="preserve">relevant to a price-based allocation of </w:t>
      </w:r>
      <w:r w:rsidR="00352F24">
        <w:t xml:space="preserve">the </w:t>
      </w:r>
      <w:r w:rsidR="00736C59">
        <w:t>26</w:t>
      </w:r>
      <w:r w:rsidR="00A007F5">
        <w:t xml:space="preserve"> GHz</w:t>
      </w:r>
      <w:r w:rsidR="00736C59">
        <w:t xml:space="preserve"> band</w:t>
      </w:r>
      <w:r>
        <w:t>, including:</w:t>
      </w:r>
    </w:p>
    <w:p w14:paraId="104A4112" w14:textId="77777777" w:rsidR="00AB40D2" w:rsidRDefault="00AB40D2" w:rsidP="00E72FCB">
      <w:pPr>
        <w:pStyle w:val="ListBullet"/>
        <w:tabs>
          <w:tab w:val="clear" w:pos="1996"/>
          <w:tab w:val="num" w:pos="-554"/>
        </w:tabs>
        <w:ind w:left="295"/>
      </w:pPr>
      <w:r>
        <w:t xml:space="preserve">the spectrum licence term </w:t>
      </w:r>
    </w:p>
    <w:p w14:paraId="0BAF1B5F" w14:textId="77777777" w:rsidR="00AB40D2" w:rsidRPr="00FB289C" w:rsidRDefault="00AB40D2" w:rsidP="00E72FCB">
      <w:pPr>
        <w:pStyle w:val="ListBullet"/>
        <w:tabs>
          <w:tab w:val="clear" w:pos="1996"/>
          <w:tab w:val="num" w:pos="-554"/>
        </w:tabs>
        <w:ind w:left="295"/>
      </w:pPr>
      <w:r>
        <w:t>how the spectrum would be allocated (the allocation</w:t>
      </w:r>
      <w:r w:rsidRPr="00FB289C">
        <w:t xml:space="preserve"> methodology</w:t>
      </w:r>
      <w:r>
        <w:t>)</w:t>
      </w:r>
    </w:p>
    <w:p w14:paraId="57B9B818" w14:textId="44A2D494" w:rsidR="00AB40D2" w:rsidRPr="009F6F11" w:rsidRDefault="00AB40D2" w:rsidP="00E72FCB">
      <w:pPr>
        <w:pStyle w:val="ListBulletLast"/>
        <w:tabs>
          <w:tab w:val="clear" w:pos="1996"/>
          <w:tab w:val="num" w:pos="-554"/>
        </w:tabs>
        <w:ind w:left="295"/>
      </w:pPr>
      <w:r>
        <w:t>how the spectrum would be packaged for allocation (the l</w:t>
      </w:r>
      <w:r w:rsidRPr="00EB2B18">
        <w:t>ot configuration</w:t>
      </w:r>
      <w:r>
        <w:t>)</w:t>
      </w:r>
      <w:r w:rsidR="00BD0E57">
        <w:t>.</w:t>
      </w:r>
    </w:p>
    <w:p w14:paraId="0AD84D7C" w14:textId="780F5CB4" w:rsidR="00AB40D2" w:rsidRDefault="00AB40D2">
      <w:r>
        <w:t xml:space="preserve">Subject to this consultation, and to the </w:t>
      </w:r>
      <w:r w:rsidR="004024F8">
        <w:t>minister</w:t>
      </w:r>
      <w:r>
        <w:t xml:space="preserve"> accepting the ACMA’s proposed recommendation, the ACMA would seek t</w:t>
      </w:r>
      <w:r w:rsidRPr="009E1354">
        <w:t xml:space="preserve">o ensure that the allocation of </w:t>
      </w:r>
      <w:r w:rsidR="003F1A7A">
        <w:t xml:space="preserve">spectrum licences in </w:t>
      </w:r>
      <w:r>
        <w:t xml:space="preserve">the </w:t>
      </w:r>
      <w:r w:rsidR="00736C59">
        <w:t>26</w:t>
      </w:r>
      <w:r w:rsidR="0090537A">
        <w:t xml:space="preserve"> </w:t>
      </w:r>
      <w:r>
        <w:t xml:space="preserve">GHz </w:t>
      </w:r>
      <w:r w:rsidR="00736C59">
        <w:t xml:space="preserve">band </w:t>
      </w:r>
      <w:r>
        <w:t>was</w:t>
      </w:r>
      <w:r w:rsidRPr="00033CD1">
        <w:t xml:space="preserve"> undertaken in a timely manner</w:t>
      </w:r>
      <w:r>
        <w:t>. Therefore, the ACMA is taking this opportunity to invite early comments on these matters.</w:t>
      </w:r>
    </w:p>
    <w:p w14:paraId="411DCBE3" w14:textId="77777777" w:rsidR="00AB40D2" w:rsidRDefault="00AB40D2">
      <w:pPr>
        <w:pStyle w:val="Heading2"/>
        <w:spacing w:line="276" w:lineRule="auto"/>
      </w:pPr>
      <w:bookmarkStart w:id="217" w:name="_Toc496277329"/>
      <w:bookmarkStart w:id="218" w:name="_Toc496277728"/>
      <w:bookmarkStart w:id="219" w:name="_Toc496527239"/>
      <w:bookmarkStart w:id="220" w:name="_Toc496527414"/>
      <w:bookmarkStart w:id="221" w:name="_Toc8207132"/>
      <w:r>
        <w:t xml:space="preserve">Licence </w:t>
      </w:r>
      <w:bookmarkEnd w:id="217"/>
      <w:bookmarkEnd w:id="218"/>
      <w:r>
        <w:t>term</w:t>
      </w:r>
      <w:bookmarkEnd w:id="219"/>
      <w:bookmarkEnd w:id="220"/>
      <w:bookmarkEnd w:id="221"/>
    </w:p>
    <w:p w14:paraId="2F23A04D" w14:textId="63F0B97A" w:rsidR="00AB40D2" w:rsidRDefault="00AB40D2">
      <w:r w:rsidRPr="00872271">
        <w:t xml:space="preserve">Under subsection 65(3) of the Act, a spectrum licence may be issued for any period up to 15 years. The majority of spectrum licences issued by the ACMA </w:t>
      </w:r>
      <w:r w:rsidR="00F011D5">
        <w:t>and</w:t>
      </w:r>
      <w:r w:rsidR="00F011D5" w:rsidRPr="00872271">
        <w:t xml:space="preserve"> </w:t>
      </w:r>
      <w:r w:rsidRPr="00872271">
        <w:t>its predecessor</w:t>
      </w:r>
      <w:r w:rsidR="00F011D5">
        <w:t xml:space="preserve"> agencie</w:t>
      </w:r>
      <w:r w:rsidRPr="00872271">
        <w:t>s have been for 15 years.</w:t>
      </w:r>
    </w:p>
    <w:p w14:paraId="422030BE" w14:textId="1798FD50" w:rsidR="00AB40D2" w:rsidRPr="00872271" w:rsidRDefault="00AB40D2">
      <w:pPr>
        <w:pStyle w:val="Heading3"/>
      </w:pPr>
      <w:bookmarkStart w:id="222" w:name="_Toc496277330"/>
      <w:bookmarkStart w:id="223" w:name="_Toc496277729"/>
      <w:bookmarkStart w:id="224" w:name="_Toc8207133"/>
      <w:bookmarkStart w:id="225" w:name="_Toc496527240"/>
      <w:bookmarkStart w:id="226" w:name="_Toc496527415"/>
      <w:r w:rsidRPr="00872271">
        <w:t xml:space="preserve">Licence </w:t>
      </w:r>
      <w:bookmarkEnd w:id="222"/>
      <w:bookmarkEnd w:id="223"/>
      <w:r w:rsidR="00356DAE">
        <w:t xml:space="preserve">commencement and </w:t>
      </w:r>
      <w:r>
        <w:t>expiry</w:t>
      </w:r>
      <w:bookmarkEnd w:id="224"/>
      <w:r>
        <w:t xml:space="preserve"> </w:t>
      </w:r>
      <w:bookmarkEnd w:id="225"/>
      <w:bookmarkEnd w:id="226"/>
    </w:p>
    <w:p w14:paraId="5C0F7E8F" w14:textId="504040CF" w:rsidR="00356DAE" w:rsidRDefault="00526EA6">
      <w:r>
        <w:t xml:space="preserve">The ACMA’s preliminary view is </w:t>
      </w:r>
      <w:r w:rsidR="00F43280">
        <w:t>that any</w:t>
      </w:r>
      <w:r>
        <w:t xml:space="preserve"> s</w:t>
      </w:r>
      <w:r w:rsidR="00356DAE">
        <w:t xml:space="preserve">pectrum licences </w:t>
      </w:r>
      <w:r w:rsidR="00F43280">
        <w:t xml:space="preserve">issued </w:t>
      </w:r>
      <w:r w:rsidR="00356DAE">
        <w:t xml:space="preserve">in </w:t>
      </w:r>
      <w:r w:rsidR="00736C59">
        <w:t>the 26</w:t>
      </w:r>
      <w:r w:rsidR="00167F21">
        <w:t xml:space="preserve"> GHz </w:t>
      </w:r>
      <w:r w:rsidR="00736C59">
        <w:t xml:space="preserve">band </w:t>
      </w:r>
      <w:r w:rsidR="00F43280">
        <w:t xml:space="preserve">should </w:t>
      </w:r>
      <w:r>
        <w:t xml:space="preserve">commence as soon as possible after </w:t>
      </w:r>
      <w:r w:rsidR="001436EA">
        <w:t>allocation</w:t>
      </w:r>
      <w:r w:rsidR="00D421D2">
        <w:t>. The ACMA also proposes that the licences be issued for a 1</w:t>
      </w:r>
      <w:r>
        <w:t>5 year term.</w:t>
      </w:r>
    </w:p>
    <w:p w14:paraId="742F17ED" w14:textId="48088533" w:rsidR="00167F21" w:rsidRDefault="007240B6">
      <w:r>
        <w:t>As there are ve</w:t>
      </w:r>
      <w:r w:rsidR="00167F21">
        <w:t>ry few incumbent</w:t>
      </w:r>
      <w:r w:rsidR="00BB3868">
        <w:t xml:space="preserve"> </w:t>
      </w:r>
      <w:r w:rsidR="00167F21">
        <w:t>services in the frequency range proposed for spectrum licensing</w:t>
      </w:r>
      <w:r>
        <w:t>,</w:t>
      </w:r>
      <w:r w:rsidR="00167F21">
        <w:t xml:space="preserve"> </w:t>
      </w:r>
      <w:r>
        <w:t xml:space="preserve">there </w:t>
      </w:r>
      <w:r w:rsidR="00C0113F">
        <w:t xml:space="preserve">is </w:t>
      </w:r>
      <w:r w:rsidR="00167F21">
        <w:t xml:space="preserve">no </w:t>
      </w:r>
      <w:r w:rsidR="00C0113F">
        <w:t xml:space="preserve">requirement to </w:t>
      </w:r>
      <w:r w:rsidR="00167F21">
        <w:t xml:space="preserve">delay </w:t>
      </w:r>
      <w:r w:rsidR="00C0113F">
        <w:t xml:space="preserve">the issue of licences </w:t>
      </w:r>
      <w:r w:rsidR="00167F21">
        <w:t>until the end of the reallocation period</w:t>
      </w:r>
      <w:r w:rsidR="00BB3D29">
        <w:t xml:space="preserve">. </w:t>
      </w:r>
      <w:r w:rsidR="00C0113F">
        <w:t>Issuing licence</w:t>
      </w:r>
      <w:r>
        <w:t>s</w:t>
      </w:r>
      <w:r w:rsidR="00C0113F">
        <w:t xml:space="preserve"> </w:t>
      </w:r>
      <w:r w:rsidR="00A61D65">
        <w:t>shortly</w:t>
      </w:r>
      <w:r w:rsidR="00C0113F">
        <w:t xml:space="preserve"> after allocation </w:t>
      </w:r>
      <w:r w:rsidR="00BB3D29">
        <w:t xml:space="preserve">would allow licensees to commence their services </w:t>
      </w:r>
      <w:r w:rsidR="00A61D65">
        <w:t>sooner</w:t>
      </w:r>
      <w:r w:rsidR="00BB3868">
        <w:t xml:space="preserve"> and respond to </w:t>
      </w:r>
      <w:r w:rsidR="00BB3D29">
        <w:t>demand for wireless broadband services.</w:t>
      </w:r>
    </w:p>
    <w:p w14:paraId="30C711AC" w14:textId="77777777" w:rsidR="00AB40D2" w:rsidRDefault="00AB40D2">
      <w:pPr>
        <w:pStyle w:val="Heading2"/>
        <w:spacing w:line="276" w:lineRule="auto"/>
      </w:pPr>
      <w:bookmarkStart w:id="227" w:name="_Toc408494367"/>
      <w:bookmarkStart w:id="228" w:name="_Toc409015480"/>
      <w:bookmarkStart w:id="229" w:name="_Toc409528644"/>
      <w:bookmarkStart w:id="230" w:name="_Toc409016973"/>
      <w:bookmarkStart w:id="231" w:name="_Toc496277331"/>
      <w:bookmarkStart w:id="232" w:name="_Toc496277730"/>
      <w:bookmarkStart w:id="233" w:name="_Toc496527242"/>
      <w:bookmarkStart w:id="234" w:name="_Toc496527417"/>
      <w:bookmarkStart w:id="235" w:name="_Toc8207134"/>
      <w:bookmarkStart w:id="236" w:name="_Toc408846610"/>
      <w:r w:rsidRPr="00275348">
        <w:t>Allocation methodology</w:t>
      </w:r>
      <w:bookmarkEnd w:id="227"/>
      <w:bookmarkEnd w:id="228"/>
      <w:bookmarkEnd w:id="229"/>
      <w:bookmarkEnd w:id="230"/>
      <w:bookmarkEnd w:id="231"/>
      <w:bookmarkEnd w:id="232"/>
      <w:bookmarkEnd w:id="233"/>
      <w:bookmarkEnd w:id="234"/>
      <w:bookmarkEnd w:id="235"/>
    </w:p>
    <w:bookmarkEnd w:id="236"/>
    <w:p w14:paraId="5FFDC36E" w14:textId="77777777" w:rsidR="00AB40D2" w:rsidRDefault="00AB40D2">
      <w:r>
        <w:t xml:space="preserve">If the minister makes a reallocation declaration specifying that the spectrum be reallocated by issuing spectrum licences, then the </w:t>
      </w:r>
      <w:r w:rsidRPr="002301F0">
        <w:t xml:space="preserve">ACMA </w:t>
      </w:r>
      <w:r>
        <w:t xml:space="preserve">must </w:t>
      </w:r>
      <w:r w:rsidRPr="002301F0">
        <w:t xml:space="preserve">allocate </w:t>
      </w:r>
      <w:r>
        <w:t xml:space="preserve">the </w:t>
      </w:r>
      <w:r w:rsidRPr="002301F0">
        <w:t xml:space="preserve">spectrum licences </w:t>
      </w:r>
      <w:r>
        <w:t xml:space="preserve">in accordance with section 60 of the Act—that is, via </w:t>
      </w:r>
      <w:r w:rsidRPr="002301F0">
        <w:t xml:space="preserve">auction, </w:t>
      </w:r>
      <w:r>
        <w:t xml:space="preserve">via </w:t>
      </w:r>
      <w:r w:rsidRPr="002301F0">
        <w:t>tender or for a predetermined or negotiated price.</w:t>
      </w:r>
    </w:p>
    <w:p w14:paraId="6EF5D245" w14:textId="3EB2DD11" w:rsidR="00B6383C" w:rsidRPr="001A20BD" w:rsidRDefault="00AB40D2" w:rsidP="00B6383C">
      <w:r w:rsidRPr="001A20BD">
        <w:t xml:space="preserve">When demand is </w:t>
      </w:r>
      <w:r>
        <w:t xml:space="preserve">likely to be </w:t>
      </w:r>
      <w:r w:rsidRPr="001A20BD">
        <w:t xml:space="preserve">greater than supply, </w:t>
      </w:r>
      <w:r>
        <w:t xml:space="preserve">market-based </w:t>
      </w:r>
      <w:r w:rsidRPr="001A20BD">
        <w:t xml:space="preserve">allocation </w:t>
      </w:r>
      <w:r>
        <w:t xml:space="preserve">(that is, </w:t>
      </w:r>
      <w:r w:rsidRPr="001A20BD">
        <w:t>by auction or tender</w:t>
      </w:r>
      <w:r>
        <w:t>)</w:t>
      </w:r>
      <w:r w:rsidRPr="001A20BD">
        <w:t xml:space="preserve"> is </w:t>
      </w:r>
      <w:r>
        <w:t>considered more</w:t>
      </w:r>
      <w:r w:rsidRPr="001A20BD">
        <w:t xml:space="preserve"> appropriate</w:t>
      </w:r>
      <w:r>
        <w:t xml:space="preserve"> than an administrative allocation such as a predetermined or negotiated price, or a </w:t>
      </w:r>
      <w:r w:rsidR="00F640B6">
        <w:t>‘</w:t>
      </w:r>
      <w:r>
        <w:t>beauty contest</w:t>
      </w:r>
      <w:r w:rsidR="00F640B6">
        <w:t>’</w:t>
      </w:r>
      <w:r w:rsidRPr="001A20BD">
        <w:t>.</w:t>
      </w:r>
      <w:r>
        <w:rPr>
          <w:rStyle w:val="FootnoteReference"/>
        </w:rPr>
        <w:footnoteReference w:id="13"/>
      </w:r>
      <w:r w:rsidRPr="001A20BD">
        <w:t xml:space="preserve"> </w:t>
      </w:r>
      <w:r w:rsidR="00B6383C" w:rsidRPr="001A20BD">
        <w:t>Of the two</w:t>
      </w:r>
      <w:r w:rsidR="00B6383C">
        <w:t xml:space="preserve"> </w:t>
      </w:r>
      <w:r w:rsidR="00B6383C">
        <w:lastRenderedPageBreak/>
        <w:t>market-based</w:t>
      </w:r>
      <w:r w:rsidR="00B6383C" w:rsidRPr="001A20BD">
        <w:t xml:space="preserve"> options, the ACMA </w:t>
      </w:r>
      <w:r w:rsidR="00B6383C">
        <w:t xml:space="preserve">ordinarily </w:t>
      </w:r>
      <w:r w:rsidR="00B6383C" w:rsidRPr="001A20BD">
        <w:t xml:space="preserve">allocates spectrum licences </w:t>
      </w:r>
      <w:r w:rsidR="00B6383C">
        <w:t xml:space="preserve">by </w:t>
      </w:r>
      <w:r w:rsidR="00B6383C" w:rsidRPr="001A20BD">
        <w:t xml:space="preserve">auction. </w:t>
      </w:r>
      <w:r w:rsidR="00B6383C">
        <w:t>Compared to a tender,</w:t>
      </w:r>
      <w:r w:rsidR="00B6383C" w:rsidRPr="001A20BD">
        <w:t xml:space="preserve"> </w:t>
      </w:r>
      <w:r w:rsidR="00B6383C">
        <w:t>t</w:t>
      </w:r>
      <w:r w:rsidR="00B6383C" w:rsidRPr="001A20BD">
        <w:t xml:space="preserve">he </w:t>
      </w:r>
      <w:r w:rsidR="00B6383C">
        <w:t xml:space="preserve">main </w:t>
      </w:r>
      <w:r w:rsidR="00B6383C" w:rsidRPr="001A20BD">
        <w:t>benefits of conducting an auction to allocate licences</w:t>
      </w:r>
      <w:r w:rsidR="00B6383C">
        <w:t xml:space="preserve"> </w:t>
      </w:r>
      <w:r w:rsidR="00B6383C" w:rsidRPr="001A20BD">
        <w:t xml:space="preserve">are that </w:t>
      </w:r>
      <w:r w:rsidR="00B6383C">
        <w:t>it</w:t>
      </w:r>
      <w:r w:rsidR="00B6383C" w:rsidRPr="001A20BD">
        <w:t xml:space="preserve"> is a</w:t>
      </w:r>
      <w:r w:rsidR="00B6383C">
        <w:t xml:space="preserve"> more</w:t>
      </w:r>
      <w:r w:rsidR="00B6383C" w:rsidRPr="001A20BD">
        <w:t xml:space="preserve"> transparent process</w:t>
      </w:r>
      <w:r w:rsidR="00B6383C">
        <w:t xml:space="preserve"> and allows price discovery. </w:t>
      </w:r>
    </w:p>
    <w:p w14:paraId="678268B2" w14:textId="55873D54" w:rsidR="00E13AF6" w:rsidRDefault="00294299">
      <w:r>
        <w:t>I</w:t>
      </w:r>
      <w:r w:rsidR="00E13AF6">
        <w:t xml:space="preserve">t is difficult to predict the </w:t>
      </w:r>
      <w:r w:rsidR="00F41D63">
        <w:t xml:space="preserve">exact </w:t>
      </w:r>
      <w:r w:rsidR="00E13AF6">
        <w:t xml:space="preserve">level of interest until the allocation process is underway and </w:t>
      </w:r>
      <w:r w:rsidR="00F41D63">
        <w:t xml:space="preserve">we are in receipt of </w:t>
      </w:r>
      <w:r w:rsidR="00E13AF6">
        <w:t xml:space="preserve">applications to participate in </w:t>
      </w:r>
      <w:r w:rsidR="00F41D63">
        <w:t>an</w:t>
      </w:r>
      <w:r w:rsidR="00E13AF6">
        <w:t xml:space="preserve"> allocation</w:t>
      </w:r>
      <w:r w:rsidR="00F41D63">
        <w:t>.</w:t>
      </w:r>
      <w:r w:rsidR="00E13AF6">
        <w:t xml:space="preserve"> </w:t>
      </w:r>
      <w:r w:rsidR="00F41D63">
        <w:t xml:space="preserve">Other factors such as allocation limits and starting prices may also </w:t>
      </w:r>
      <w:r w:rsidR="008C0157">
        <w:t>affect</w:t>
      </w:r>
      <w:r w:rsidR="00F41D63">
        <w:t xml:space="preserve"> demand.</w:t>
      </w:r>
      <w:r w:rsidR="00E13AF6">
        <w:t xml:space="preserve"> </w:t>
      </w:r>
      <w:r w:rsidR="002309D4">
        <w:t>Given interest in the band expressed during the planning stage, as well as allocations that have occurred in international jurisdictions, the ACMA considers it very likely that there</w:t>
      </w:r>
      <w:r w:rsidR="000D5A44">
        <w:t xml:space="preserve"> would be</w:t>
      </w:r>
      <w:r w:rsidR="002309D4">
        <w:t xml:space="preserve"> excess demand for 26 GHz band spectrum</w:t>
      </w:r>
      <w:r w:rsidR="000D5A44">
        <w:t xml:space="preserve"> licences</w:t>
      </w:r>
      <w:r w:rsidR="002309D4">
        <w:t>.</w:t>
      </w:r>
    </w:p>
    <w:p w14:paraId="62A2C068" w14:textId="3C5D10AD" w:rsidR="007240B6" w:rsidRPr="006F741C" w:rsidRDefault="00AB40D2">
      <w:r>
        <w:t>The</w:t>
      </w:r>
      <w:r w:rsidRPr="002301F0">
        <w:t xml:space="preserve"> auction mechanism </w:t>
      </w:r>
      <w:r>
        <w:t xml:space="preserve">is intended to </w:t>
      </w:r>
      <w:r w:rsidRPr="002301F0">
        <w:t>ensure that the available spectrum is allocated to those bidders who value it the most.</w:t>
      </w:r>
      <w:r w:rsidR="00CD7C5E">
        <w:rPr>
          <w:rStyle w:val="FootnoteReference"/>
        </w:rPr>
        <w:footnoteReference w:id="14"/>
      </w:r>
      <w:r w:rsidRPr="002301F0">
        <w:t xml:space="preserve"> </w:t>
      </w:r>
      <w:r>
        <w:t xml:space="preserve">The ACMA considers that </w:t>
      </w:r>
      <w:r w:rsidRPr="002301F0">
        <w:t xml:space="preserve">auctions </w:t>
      </w:r>
      <w:r>
        <w:t xml:space="preserve">provide </w:t>
      </w:r>
      <w:r w:rsidR="00F71749">
        <w:t xml:space="preserve">a simple </w:t>
      </w:r>
      <w:r w:rsidRPr="002301F0">
        <w:t xml:space="preserve">and transparent method of allocating </w:t>
      </w:r>
      <w:r>
        <w:t>spectrum</w:t>
      </w:r>
      <w:r w:rsidRPr="002301F0">
        <w:t xml:space="preserve"> where there is</w:t>
      </w:r>
      <w:r w:rsidRPr="002301F0" w:rsidDel="00F41D63">
        <w:t xml:space="preserve"> </w:t>
      </w:r>
      <w:r w:rsidRPr="002301F0">
        <w:t>competing demand</w:t>
      </w:r>
      <w:r w:rsidR="00EE1EE3">
        <w:t xml:space="preserve"> either in the aggregate or for individual lots</w:t>
      </w:r>
      <w:r w:rsidRPr="002301F0">
        <w:t>.</w:t>
      </w:r>
      <w:r w:rsidR="00F41D63">
        <w:t xml:space="preserve"> </w:t>
      </w:r>
      <w:r w:rsidR="00EE1EE3">
        <w:t xml:space="preserve">For example, even if demand was not greater than supply, then the ACMA may employ an auction mechanism such as running an online assignment stage to assign specific frequencies. </w:t>
      </w:r>
    </w:p>
    <w:p w14:paraId="1BDB70F7" w14:textId="52045F0E" w:rsidR="00AB40D2" w:rsidRDefault="00AB40D2">
      <w:r>
        <w:t xml:space="preserve">Auctions can be conducted using a wide variety of methodologies, including </w:t>
      </w:r>
      <w:r w:rsidRPr="00F46FCD">
        <w:t xml:space="preserve">the </w:t>
      </w:r>
      <w:r w:rsidR="00E13AF6">
        <w:t>Simple Clock Auction (SCA</w:t>
      </w:r>
      <w:r w:rsidDel="00E13AF6">
        <w:t>)</w:t>
      </w:r>
      <w:r w:rsidRPr="00F46FCD">
        <w:t>, the simultaneous multi-round</w:t>
      </w:r>
      <w:r>
        <w:t xml:space="preserve"> ascending (SMRA) </w:t>
      </w:r>
      <w:r w:rsidRPr="00F46FCD">
        <w:t>format</w:t>
      </w:r>
      <w:r w:rsidR="0057466B">
        <w:t xml:space="preserve">, </w:t>
      </w:r>
      <w:r w:rsidR="00C4016D">
        <w:t>e</w:t>
      </w:r>
      <w:r w:rsidR="0057466B">
        <w:t>nhanced SMRA</w:t>
      </w:r>
      <w:r w:rsidR="00F47898">
        <w:t xml:space="preserve"> (ESMRA)</w:t>
      </w:r>
      <w:r w:rsidR="00E93D13">
        <w:t xml:space="preserve"> </w:t>
      </w:r>
      <w:r w:rsidRPr="00F46FCD">
        <w:t>and formats that enable package bidding</w:t>
      </w:r>
      <w:r>
        <w:t xml:space="preserve"> (such as the combinatorial clock auction format)</w:t>
      </w:r>
      <w:r w:rsidRPr="00F46FCD">
        <w:t>.</w:t>
      </w:r>
    </w:p>
    <w:p w14:paraId="50DE502E" w14:textId="695A98A5" w:rsidR="00AB40D2" w:rsidRPr="00C360B7" w:rsidRDefault="00E13AF6">
      <w:pPr>
        <w:pStyle w:val="Heading3"/>
        <w:rPr>
          <w:b w:val="0"/>
          <w:bCs w:val="0"/>
        </w:rPr>
      </w:pPr>
      <w:bookmarkStart w:id="237" w:name="_Toc408494368"/>
      <w:bookmarkStart w:id="238" w:name="_Toc408846611"/>
      <w:bookmarkStart w:id="239" w:name="_Toc409015481"/>
      <w:bookmarkStart w:id="240" w:name="_Toc409528645"/>
      <w:bookmarkStart w:id="241" w:name="_Toc409016974"/>
      <w:bookmarkStart w:id="242" w:name="_Toc410918169"/>
      <w:bookmarkStart w:id="243" w:name="_Toc496277332"/>
      <w:bookmarkStart w:id="244" w:name="_Toc496277731"/>
      <w:bookmarkStart w:id="245" w:name="_Toc496527243"/>
      <w:bookmarkStart w:id="246" w:name="_Toc496527418"/>
      <w:bookmarkStart w:id="247" w:name="_Toc8207135"/>
      <w:r>
        <w:t xml:space="preserve">Simple clock </w:t>
      </w:r>
      <w:r w:rsidR="00AB40D2" w:rsidRPr="00C360B7">
        <w:t>auction</w:t>
      </w:r>
      <w:bookmarkEnd w:id="237"/>
      <w:bookmarkEnd w:id="238"/>
      <w:bookmarkEnd w:id="239"/>
      <w:bookmarkEnd w:id="240"/>
      <w:bookmarkEnd w:id="241"/>
      <w:bookmarkEnd w:id="242"/>
      <w:bookmarkEnd w:id="243"/>
      <w:bookmarkEnd w:id="244"/>
      <w:bookmarkEnd w:id="245"/>
      <w:bookmarkEnd w:id="246"/>
      <w:bookmarkEnd w:id="247"/>
    </w:p>
    <w:p w14:paraId="52A962FC" w14:textId="52B49AC6" w:rsidR="00AB40D2" w:rsidRDefault="00AB40D2" w:rsidP="0057466B">
      <w:r>
        <w:t xml:space="preserve">The </w:t>
      </w:r>
      <w:r w:rsidR="0057466B">
        <w:t>ACMA has the capability to conduct an auction similar to the English open outcry (EOO)</w:t>
      </w:r>
      <w:r w:rsidR="0057466B">
        <w:rPr>
          <w:rStyle w:val="FootnoteReference"/>
        </w:rPr>
        <w:footnoteReference w:id="15"/>
      </w:r>
      <w:r w:rsidR="0057466B">
        <w:t xml:space="preserve"> but delivered electronically, called the Simple Clock Auction (SCA).</w:t>
      </w:r>
    </w:p>
    <w:p w14:paraId="14D3A3BB" w14:textId="01C60F3D" w:rsidR="00AB40D2" w:rsidRDefault="00AB40D2">
      <w:r>
        <w:t>SCA, like the EOO, performs best where demand for the lots on offer is largely independent</w:t>
      </w:r>
      <w:r w:rsidR="004422F8">
        <w:t xml:space="preserve"> </w:t>
      </w:r>
      <w:r w:rsidR="00584CB9">
        <w:t xml:space="preserve">that is, </w:t>
      </w:r>
      <w:r w:rsidR="004422F8">
        <w:t xml:space="preserve">in instances where bidders are unlikely to consider the products on sale </w:t>
      </w:r>
      <w:r w:rsidR="00033D30">
        <w:t>to be substitutable or complementary to one another</w:t>
      </w:r>
      <w:r>
        <w:t>. In an SCA, b</w:t>
      </w:r>
      <w:r w:rsidRPr="00AA6266">
        <w:t>efore each round, the auction manager names a price (</w:t>
      </w:r>
      <w:r w:rsidRPr="00625FEF">
        <w:t xml:space="preserve">the </w:t>
      </w:r>
      <w:r>
        <w:t>continue</w:t>
      </w:r>
      <w:r w:rsidRPr="00625FEF">
        <w:t xml:space="preserve"> price</w:t>
      </w:r>
      <w:r w:rsidRPr="00AA6266">
        <w:t xml:space="preserve">) that the bidder must meet to be eligible to place a bid in </w:t>
      </w:r>
      <w:r>
        <w:t xml:space="preserve">the </w:t>
      </w:r>
      <w:r w:rsidRPr="00AA6266">
        <w:t xml:space="preserve">subsequent round. The bidder can accept the </w:t>
      </w:r>
      <w:r>
        <w:t xml:space="preserve">continue </w:t>
      </w:r>
      <w:r w:rsidRPr="00AA6266">
        <w:t>price</w:t>
      </w:r>
      <w:r>
        <w:t xml:space="preserve"> (</w:t>
      </w:r>
      <w:r w:rsidRPr="00625FEF">
        <w:t>a continue bid</w:t>
      </w:r>
      <w:r>
        <w:t xml:space="preserve">) </w:t>
      </w:r>
      <w:r w:rsidRPr="00AA6266">
        <w:t>or place a lower bid</w:t>
      </w:r>
      <w:r>
        <w:t xml:space="preserve"> (</w:t>
      </w:r>
      <w:r w:rsidRPr="00625FEF">
        <w:t>an exit bid</w:t>
      </w:r>
      <w:r>
        <w:t>)</w:t>
      </w:r>
      <w:r w:rsidRPr="00AA6266">
        <w:t xml:space="preserve">. </w:t>
      </w:r>
      <w:r w:rsidRPr="00440E43">
        <w:t>If</w:t>
      </w:r>
      <w:r w:rsidRPr="000B1372">
        <w:t xml:space="preserve"> a </w:t>
      </w:r>
      <w:r w:rsidRPr="00440E43">
        <w:t>bid is lower than</w:t>
      </w:r>
      <w:r w:rsidRPr="000B1372">
        <w:t xml:space="preserve"> the </w:t>
      </w:r>
      <w:r>
        <w:t>continue</w:t>
      </w:r>
      <w:r w:rsidRPr="000B1372">
        <w:t xml:space="preserve"> price</w:t>
      </w:r>
      <w:r>
        <w:t xml:space="preserve">—that is, if it is an exit bid—then </w:t>
      </w:r>
      <w:r w:rsidRPr="00440E43">
        <w:t>it is</w:t>
      </w:r>
      <w:r>
        <w:t xml:space="preserve"> the bidder’s</w:t>
      </w:r>
      <w:r w:rsidRPr="000B1372">
        <w:t xml:space="preserve"> </w:t>
      </w:r>
      <w:r w:rsidRPr="00440E43">
        <w:t>final bid.</w:t>
      </w:r>
      <w:r>
        <w:t xml:space="preserve"> Once a bidder has made an exit bid, the bidder cannot resume bidding on that lot in future rounds.</w:t>
      </w:r>
      <w:r w:rsidRPr="00440E43">
        <w:t xml:space="preserve"> </w:t>
      </w:r>
    </w:p>
    <w:p w14:paraId="3CAE88FF" w14:textId="46B29142" w:rsidR="00AB40D2" w:rsidRDefault="00AB40D2">
      <w:r>
        <w:t>When there is at most one bidder who bid</w:t>
      </w:r>
      <w:r w:rsidR="00C87AB4">
        <w:t>s</w:t>
      </w:r>
      <w:r>
        <w:t xml:space="preserve"> at least the continue price</w:t>
      </w:r>
      <w:r w:rsidR="00843A40">
        <w:t xml:space="preserve"> or all bidders have exited</w:t>
      </w:r>
      <w:r>
        <w:t>, the auction ends, the high-bidder wins</w:t>
      </w:r>
      <w:r w:rsidR="00843A40">
        <w:rPr>
          <w:rStyle w:val="FootnoteReference"/>
        </w:rPr>
        <w:footnoteReference w:id="16"/>
      </w:r>
      <w:r>
        <w:t xml:space="preserve">, and pays the amount of the second-highest bid. </w:t>
      </w:r>
      <w:r w:rsidRPr="00C5236D">
        <w:t>This ensures that the winner never pays more than necessary to win</w:t>
      </w:r>
      <w:r>
        <w:t>.</w:t>
      </w:r>
    </w:p>
    <w:p w14:paraId="06B9664D" w14:textId="53FEFE47" w:rsidR="00AB40D2" w:rsidRPr="00F206A0" w:rsidRDefault="00AB40D2">
      <w:pPr>
        <w:pStyle w:val="Heading3"/>
        <w:rPr>
          <w:b w:val="0"/>
          <w:bCs w:val="0"/>
        </w:rPr>
      </w:pPr>
      <w:bookmarkStart w:id="248" w:name="_Toc496277333"/>
      <w:bookmarkStart w:id="249" w:name="_Toc496277732"/>
      <w:bookmarkStart w:id="250" w:name="_Toc496527244"/>
      <w:bookmarkStart w:id="251" w:name="_Toc496527419"/>
      <w:bookmarkStart w:id="252" w:name="_Toc8207136"/>
      <w:r w:rsidRPr="00F206A0">
        <w:t>S</w:t>
      </w:r>
      <w:r>
        <w:t>imultaneous mult</w:t>
      </w:r>
      <w:r w:rsidRPr="00F206A0">
        <w:t xml:space="preserve">i-round </w:t>
      </w:r>
      <w:r>
        <w:t xml:space="preserve">ascending </w:t>
      </w:r>
      <w:r w:rsidRPr="00F206A0">
        <w:t>auction formats</w:t>
      </w:r>
      <w:bookmarkEnd w:id="248"/>
      <w:bookmarkEnd w:id="249"/>
      <w:bookmarkEnd w:id="250"/>
      <w:bookmarkEnd w:id="251"/>
      <w:bookmarkEnd w:id="252"/>
    </w:p>
    <w:p w14:paraId="119645D5" w14:textId="7FED14E4" w:rsidR="00AB40D2" w:rsidRDefault="00AB40D2">
      <w:r>
        <w:t xml:space="preserve">In simultaneous multi-round ascending (SMRA) auction formats, multiple spectrum lots are offered </w:t>
      </w:r>
      <w:r w:rsidR="00810818">
        <w:t>simultaneously,</w:t>
      </w:r>
      <w:r>
        <w:t xml:space="preserve"> and bids are made on individual lots. These can be </w:t>
      </w:r>
      <w:r>
        <w:lastRenderedPageBreak/>
        <w:t xml:space="preserve">contrasted with auction formats that enable ‘package bids’, such as the combinatorial clock auction format used by the ACMA in the </w:t>
      </w:r>
      <w:r w:rsidR="00823B00">
        <w:t>d</w:t>
      </w:r>
      <w:r>
        <w:t xml:space="preserve">igital </w:t>
      </w:r>
      <w:r w:rsidR="00BF30FB">
        <w:t>d</w:t>
      </w:r>
      <w:r>
        <w:t>ividend auction</w:t>
      </w:r>
      <w:r w:rsidR="00177543">
        <w:t xml:space="preserve"> in 2013</w:t>
      </w:r>
      <w:r>
        <w:t>.</w:t>
      </w:r>
    </w:p>
    <w:p w14:paraId="55B5AB5E" w14:textId="2DF17DF4" w:rsidR="00AB40D2" w:rsidRPr="006F741C" w:rsidRDefault="00AB40D2">
      <w:r>
        <w:t>In the standard SMRA auction format, a</w:t>
      </w:r>
      <w:r w:rsidRPr="002301F0">
        <w:t xml:space="preserve"> number of </w:t>
      </w:r>
      <w:proofErr w:type="gramStart"/>
      <w:r>
        <w:t>frequency</w:t>
      </w:r>
      <w:proofErr w:type="gramEnd"/>
      <w:r w:rsidR="004462A9">
        <w:t>—</w:t>
      </w:r>
      <w:r>
        <w:t>and geographically</w:t>
      </w:r>
      <w:r w:rsidR="004462A9">
        <w:t>—</w:t>
      </w:r>
      <w:r>
        <w:t>defined lots</w:t>
      </w:r>
      <w:r w:rsidRPr="002301F0">
        <w:t xml:space="preserve"> are open for bidding at the same time</w:t>
      </w:r>
      <w:r>
        <w:t xml:space="preserve">. All lots </w:t>
      </w:r>
      <w:r w:rsidRPr="002301F0">
        <w:t xml:space="preserve">remain open as long as there are acceptable bids placed on any </w:t>
      </w:r>
      <w:r>
        <w:t>lot</w:t>
      </w:r>
      <w:r w:rsidRPr="002301F0">
        <w:t xml:space="preserve">. Bidding occurs in a sequence of rounds, with the results (in particular, the amounts of the highest bids) of each round announced to the bidders before the start of the next round. The highest bid on each </w:t>
      </w:r>
      <w:r>
        <w:t>lot</w:t>
      </w:r>
      <w:r w:rsidRPr="002301F0">
        <w:t xml:space="preserve"> becomes the provisional winning price.</w:t>
      </w:r>
      <w:r w:rsidRPr="0077677D">
        <w:t xml:space="preserve"> </w:t>
      </w:r>
      <w:r w:rsidRPr="002301F0">
        <w:t>The auction continues until there is a round in which there is no bid made for any lot. In this final round, bidders win the lots for which they have the standing high bids and pay the amount of their high bids.</w:t>
      </w:r>
    </w:p>
    <w:p w14:paraId="732413E8" w14:textId="687D1C06" w:rsidR="00AB40D2" w:rsidRPr="006F741C" w:rsidRDefault="00AB40D2">
      <w:r>
        <w:t xml:space="preserve">The standard SMRA auction format facilitates switching of demand between lots over successive rounds, and as such can be useful when there is some level of value interdependence between spectrum lots. </w:t>
      </w:r>
      <w:r w:rsidRPr="003B7D80">
        <w:t xml:space="preserve">For example, </w:t>
      </w:r>
      <w:r>
        <w:t xml:space="preserve">over </w:t>
      </w:r>
      <w:r w:rsidRPr="003B7D80">
        <w:t xml:space="preserve">multiple rounds a bidder can gather information about the value of individual lots and can change strategy by shifting the bidding to another combination if one becomes too expensive. Ideally, a bidder will have a number of </w:t>
      </w:r>
      <w:proofErr w:type="gramStart"/>
      <w:r w:rsidRPr="003B7D80">
        <w:t>fall</w:t>
      </w:r>
      <w:proofErr w:type="gramEnd"/>
      <w:r w:rsidR="00755783">
        <w:t xml:space="preserve"> </w:t>
      </w:r>
      <w:r w:rsidRPr="003B7D80">
        <w:t xml:space="preserve">back business cases to facilitate changes or reductions in the geographic area or bandwidth sought. </w:t>
      </w:r>
    </w:p>
    <w:p w14:paraId="48788AF7" w14:textId="6CDDE331" w:rsidR="00AB40D2" w:rsidRDefault="00AB40D2">
      <w:r>
        <w:t xml:space="preserve">It is also possible to utilise variations to this standard SMRA auction format. For example, a simple upgrade is to retain the simplicity of bidding on individual </w:t>
      </w:r>
      <w:r w:rsidR="00810818">
        <w:t>lots but</w:t>
      </w:r>
      <w:r>
        <w:t xml:space="preserve"> enhance the SMRA auction format by introducing a two-stage approach where the first stage determines the number of lots won in each region, and the second stage assigns the frequency position. </w:t>
      </w:r>
    </w:p>
    <w:p w14:paraId="1B9D4A27" w14:textId="3BA8BC3D" w:rsidR="003B1B32" w:rsidRPr="00F206A0" w:rsidRDefault="003B1B32" w:rsidP="003B1B32">
      <w:pPr>
        <w:pStyle w:val="Heading3"/>
        <w:rPr>
          <w:b w:val="0"/>
          <w:bCs w:val="0"/>
        </w:rPr>
      </w:pPr>
      <w:bookmarkStart w:id="253" w:name="_Toc8207137"/>
      <w:r>
        <w:t>Enhanced SMRA</w:t>
      </w:r>
      <w:bookmarkEnd w:id="253"/>
      <w:r>
        <w:t xml:space="preserve"> </w:t>
      </w:r>
    </w:p>
    <w:p w14:paraId="41F799D6" w14:textId="37D54DE9" w:rsidR="00083826" w:rsidRDefault="00AB40D2">
      <w:pPr>
        <w:rPr>
          <w:rFonts w:cs="Arial"/>
        </w:rPr>
      </w:pPr>
      <w:r>
        <w:t xml:space="preserve">This </w:t>
      </w:r>
      <w:r w:rsidR="00F640B6">
        <w:t>‘</w:t>
      </w:r>
      <w:r>
        <w:t>enhanced</w:t>
      </w:r>
      <w:r w:rsidR="00F640B6">
        <w:t>’</w:t>
      </w:r>
      <w:r>
        <w:t xml:space="preserve"> SMRA auction format or ESMRA</w:t>
      </w:r>
      <w:r w:rsidR="0059328D">
        <w:t>,</w:t>
      </w:r>
      <w:r>
        <w:t xml:space="preserve"> </w:t>
      </w:r>
      <w:r w:rsidR="00810818">
        <w:t>like</w:t>
      </w:r>
      <w:r w:rsidR="00A64BDE">
        <w:t xml:space="preserve"> that used in the </w:t>
      </w:r>
      <w:r w:rsidR="00177543">
        <w:t xml:space="preserve">ACMA’s </w:t>
      </w:r>
      <w:r w:rsidR="00A64BDE">
        <w:t>3.6</w:t>
      </w:r>
      <w:r w:rsidR="00592C9B">
        <w:t> </w:t>
      </w:r>
      <w:r w:rsidR="00A64BDE">
        <w:t>GHz auction</w:t>
      </w:r>
      <w:r w:rsidR="00177543">
        <w:t xml:space="preserve"> conducted in late 2018</w:t>
      </w:r>
      <w:r w:rsidR="0059328D">
        <w:t>,</w:t>
      </w:r>
      <w:r w:rsidR="00A64BDE">
        <w:t xml:space="preserve"> </w:t>
      </w:r>
      <w:r>
        <w:t>would utilise a clock auction structure with frequency-generic lots for each area in the first stage</w:t>
      </w:r>
      <w:r w:rsidR="00F40F81">
        <w:t xml:space="preserve"> also known as the clock stage</w:t>
      </w:r>
      <w:r w:rsidR="00C87AB4">
        <w:t>.</w:t>
      </w:r>
      <w:r>
        <w:t xml:space="preserve"> </w:t>
      </w:r>
      <w:r w:rsidR="00C87AB4">
        <w:t>This</w:t>
      </w:r>
      <w:r>
        <w:t xml:space="preserve"> would be expected to simplify the bidding process relative to the standard SMRA auction format. </w:t>
      </w:r>
      <w:r w:rsidR="00083826">
        <w:rPr>
          <w:rFonts w:cs="Arial"/>
        </w:rPr>
        <w:t xml:space="preserve">Unlike previous SMRA auctions, ESMRA auctions have no concept of a ‘standing high bidder’ or of ‘holding lots’. The key concept is demand and supply. For a given product, the price will continue to increase for each round while demand exceeds supply. </w:t>
      </w:r>
      <w:r w:rsidR="00393739">
        <w:rPr>
          <w:rFonts w:cs="Arial"/>
        </w:rPr>
        <w:t>During a round, bidders may bid on all products available in the auction, subject to any allocation limits and eligibility</w:t>
      </w:r>
      <w:r w:rsidR="00177543">
        <w:rPr>
          <w:rFonts w:cs="Arial"/>
        </w:rPr>
        <w:t xml:space="preserve"> requirements</w:t>
      </w:r>
      <w:r w:rsidR="00393739">
        <w:rPr>
          <w:rFonts w:cs="Arial"/>
        </w:rPr>
        <w:t xml:space="preserve">. </w:t>
      </w:r>
      <w:r w:rsidR="00083826">
        <w:rPr>
          <w:rFonts w:cs="Arial"/>
        </w:rPr>
        <w:t xml:space="preserve">At the end of a round, the auction system processes all bids from all bidders. If demand exceeds supply for any product, the auction continues to the next round. The </w:t>
      </w:r>
      <w:r w:rsidR="00F40F81">
        <w:rPr>
          <w:rFonts w:cs="Arial"/>
        </w:rPr>
        <w:t>clock</w:t>
      </w:r>
      <w:r w:rsidR="00083826">
        <w:rPr>
          <w:rFonts w:cs="Arial"/>
        </w:rPr>
        <w:t xml:space="preserve"> stage concludes when there is no excess demand across all products. </w:t>
      </w:r>
    </w:p>
    <w:p w14:paraId="7265DC5F" w14:textId="0C14802A" w:rsidR="00AB40D2" w:rsidRPr="00C82BA6" w:rsidRDefault="00AB40D2">
      <w:pPr>
        <w:rPr>
          <w:b/>
        </w:rPr>
      </w:pPr>
      <w:r>
        <w:t xml:space="preserve">The use of generic lots in the </w:t>
      </w:r>
      <w:r w:rsidR="00F40F81">
        <w:t>clock</w:t>
      </w:r>
      <w:r>
        <w:t xml:space="preserve"> stage is likely to improve substitution, reduce risk of fragmentation, and also simplify bidding strategy. This approach reduces the exposure risk relative to the standard SMRA auction format. </w:t>
      </w:r>
      <w:r w:rsidR="00D470D6">
        <w:t xml:space="preserve">The ESMRA format in comparison to SMRA generally results in </w:t>
      </w:r>
      <w:r>
        <w:t>a faster auction with fewer bidding rounds.</w:t>
      </w:r>
    </w:p>
    <w:p w14:paraId="021A37D5" w14:textId="6223E210" w:rsidR="0060441E" w:rsidRDefault="0060441E">
      <w:r>
        <w:t xml:space="preserve">The </w:t>
      </w:r>
      <w:r w:rsidR="00F40F81">
        <w:t xml:space="preserve">next </w:t>
      </w:r>
      <w:r>
        <w:t>stage</w:t>
      </w:r>
      <w:r w:rsidR="00755783">
        <w:t>—</w:t>
      </w:r>
      <w:r>
        <w:t>an assignment stage</w:t>
      </w:r>
      <w:r w:rsidR="00755783">
        <w:t>—</w:t>
      </w:r>
      <w:r>
        <w:t>would</w:t>
      </w:r>
      <w:r w:rsidR="00EF4B44">
        <w:t xml:space="preserve"> </w:t>
      </w:r>
      <w:r>
        <w:t xml:space="preserve">follow </w:t>
      </w:r>
      <w:r w:rsidR="00EF4B44">
        <w:t xml:space="preserve">to </w:t>
      </w:r>
      <w:r>
        <w:t>determine the specific frequency ranges awarded to each winning bidder from the first stage.</w:t>
      </w:r>
      <w:r w:rsidRPr="0060441E">
        <w:rPr>
          <w:rFonts w:cs="Arial"/>
        </w:rPr>
        <w:t xml:space="preserve"> </w:t>
      </w:r>
      <w:r>
        <w:rPr>
          <w:rFonts w:cs="Arial"/>
        </w:rPr>
        <w:t>While there is no requirement for a bidder to bid during the assignment stage, this stage gives bidders the opportunity to submit additional bids, at prices they choose, to express their preferences for particular frequency assignments for each region.</w:t>
      </w:r>
      <w:r w:rsidR="000B019C">
        <w:rPr>
          <w:rFonts w:cs="Arial"/>
        </w:rPr>
        <w:t xml:space="preserve"> </w:t>
      </w:r>
      <w:r w:rsidR="000B019C">
        <w:t>The assignment prices for the winning frequency range option w</w:t>
      </w:r>
      <w:r w:rsidR="004D7ACA">
        <w:t>ould</w:t>
      </w:r>
      <w:r w:rsidR="000B019C">
        <w:t xml:space="preserve"> be calculated using a form of second-price rule referred to as nearest </w:t>
      </w:r>
      <w:proofErr w:type="spellStart"/>
      <w:r w:rsidR="000B019C">
        <w:t>Vickrey</w:t>
      </w:r>
      <w:proofErr w:type="spellEnd"/>
      <w:r w:rsidR="000B019C">
        <w:t xml:space="preserve"> core pricing</w:t>
      </w:r>
      <w:r w:rsidR="001D5E61">
        <w:t>, as recently used in the 3.6 GHz auction</w:t>
      </w:r>
      <w:r w:rsidR="000B019C">
        <w:t>.</w:t>
      </w:r>
    </w:p>
    <w:p w14:paraId="7C94F334" w14:textId="77777777" w:rsidR="00AB40D2" w:rsidRDefault="00AB40D2">
      <w:pPr>
        <w:pStyle w:val="Heading3"/>
        <w:rPr>
          <w:b w:val="0"/>
          <w:bCs w:val="0"/>
        </w:rPr>
      </w:pPr>
      <w:bookmarkStart w:id="254" w:name="_Toc496277334"/>
      <w:bookmarkStart w:id="255" w:name="_Toc496277733"/>
      <w:bookmarkStart w:id="256" w:name="_Toc496527245"/>
      <w:bookmarkStart w:id="257" w:name="_Toc496527420"/>
      <w:bookmarkStart w:id="258" w:name="_Toc8207138"/>
      <w:r>
        <w:lastRenderedPageBreak/>
        <w:t>Package bidding formats</w:t>
      </w:r>
      <w:bookmarkEnd w:id="254"/>
      <w:bookmarkEnd w:id="255"/>
      <w:bookmarkEnd w:id="256"/>
      <w:bookmarkEnd w:id="257"/>
      <w:bookmarkEnd w:id="258"/>
    </w:p>
    <w:p w14:paraId="7943104B" w14:textId="317A688C" w:rsidR="00AB40D2" w:rsidRDefault="00A846DE">
      <w:r>
        <w:t>T</w:t>
      </w:r>
      <w:r w:rsidR="00AB40D2">
        <w:t xml:space="preserve">here are a number of auction formats that enable bidders to place bids on packages of lots. The most widely known is the Combinatorial Clock auction (CCA) used by the ACMA in the </w:t>
      </w:r>
      <w:r w:rsidR="006E0DC8">
        <w:t>d</w:t>
      </w:r>
      <w:r w:rsidR="00AB40D2">
        <w:t xml:space="preserve">igital </w:t>
      </w:r>
      <w:r w:rsidR="003A3F10">
        <w:t>d</w:t>
      </w:r>
      <w:r w:rsidR="00AB40D2">
        <w:t xml:space="preserve">ividend auction. </w:t>
      </w:r>
    </w:p>
    <w:p w14:paraId="312A6C4A" w14:textId="52D4F743" w:rsidR="00AB40D2" w:rsidRDefault="00AB40D2">
      <w:r>
        <w:t xml:space="preserve">The CCA is a </w:t>
      </w:r>
      <w:r w:rsidR="000A7740">
        <w:t>two-stage</w:t>
      </w:r>
      <w:r>
        <w:t xml:space="preserve"> auction with clock stage and assignment stage. </w:t>
      </w:r>
      <w:r w:rsidRPr="001A20BD">
        <w:t>The price is</w:t>
      </w:r>
      <w:r>
        <w:t xml:space="preserve"> </w:t>
      </w:r>
      <w:r w:rsidRPr="001A20BD">
        <w:t>determined by an auction ‘clock’. Each category of lots to be sold has its own clock indicating its current price.</w:t>
      </w:r>
      <w:r>
        <w:t xml:space="preserve"> </w:t>
      </w:r>
      <w:r w:rsidRPr="002301F0">
        <w:t>In each round, a bidder is asked to indicate</w:t>
      </w:r>
      <w:r>
        <w:t>,</w:t>
      </w:r>
      <w:r w:rsidRPr="002301F0">
        <w:t xml:space="preserve"> for each category</w:t>
      </w:r>
      <w:r>
        <w:t>,</w:t>
      </w:r>
      <w:r w:rsidRPr="002301F0">
        <w:t xml:space="preserve"> the quantity of lots desired at the current price. </w:t>
      </w:r>
      <w:r w:rsidR="00CF6FE3">
        <w:t>A bidder can indicate the quantity of lots they desire in one product subject to their demand in the other product.</w:t>
      </w:r>
      <w:r w:rsidRPr="002301F0">
        <w:t xml:space="preserve"> At the end of the round, the auctioneer </w:t>
      </w:r>
      <w:r>
        <w:t>counts the number of bids for a lot</w:t>
      </w:r>
      <w:r w:rsidRPr="002301F0" w:rsidDel="00123AFA">
        <w:t xml:space="preserve"> </w:t>
      </w:r>
      <w:r w:rsidRPr="002301F0">
        <w:t xml:space="preserve">and reports the demand for each product. The </w:t>
      </w:r>
      <w:r>
        <w:t xml:space="preserve">clock </w:t>
      </w:r>
      <w:r w:rsidRPr="002301F0">
        <w:t>price is then increased on any category with excess demand</w:t>
      </w:r>
      <w:r>
        <w:t>, before the next round starts</w:t>
      </w:r>
      <w:r w:rsidRPr="002301F0">
        <w:t xml:space="preserve">. This process is repeated until there is no excess demand in any category. </w:t>
      </w:r>
      <w:r>
        <w:t xml:space="preserve">There is also a sealed-bid supplementary round that </w:t>
      </w:r>
      <w:r w:rsidRPr="008F5A71">
        <w:rPr>
          <w:lang w:val="en"/>
        </w:rPr>
        <w:t xml:space="preserve">allows bidders to make their best and final offers for all the different combinations of spectrum they want. </w:t>
      </w:r>
      <w:r>
        <w:t xml:space="preserve">The CCA auction used in the 700 MHz and 2.5 GHz </w:t>
      </w:r>
      <w:r w:rsidR="00FD298F">
        <w:t>(</w:t>
      </w:r>
      <w:r w:rsidR="006E0DC8">
        <w:t>d</w:t>
      </w:r>
      <w:r w:rsidR="00FD298F">
        <w:t xml:space="preserve">igital </w:t>
      </w:r>
      <w:r w:rsidR="003A3F10">
        <w:t>d</w:t>
      </w:r>
      <w:r w:rsidR="00FD298F">
        <w:t>ividend)</w:t>
      </w:r>
      <w:r>
        <w:t xml:space="preserve"> auction also featured a final ‘assignment round’.</w:t>
      </w:r>
    </w:p>
    <w:p w14:paraId="7DDC4587" w14:textId="793E8A4C" w:rsidR="00AB40D2" w:rsidRDefault="00AB40D2">
      <w:r>
        <w:t xml:space="preserve">Pricing in a CCA is complex, as it uses the </w:t>
      </w:r>
      <w:proofErr w:type="spellStart"/>
      <w:r>
        <w:t>Vickrey</w:t>
      </w:r>
      <w:proofErr w:type="spellEnd"/>
      <w:r>
        <w:t xml:space="preserve"> Nearest Minimum Revenue Core </w:t>
      </w:r>
      <w:r w:rsidR="00B7061D">
        <w:t>(VNMRC)</w:t>
      </w:r>
      <w:r>
        <w:t xml:space="preserve"> pricing rule. </w:t>
      </w:r>
      <w:r w:rsidRPr="00DB60BE">
        <w:rPr>
          <w:lang w:val="en"/>
        </w:rPr>
        <w:t xml:space="preserve">The price paid by each winning bidder </w:t>
      </w:r>
      <w:r>
        <w:rPr>
          <w:lang w:val="en"/>
        </w:rPr>
        <w:t xml:space="preserve">is </w:t>
      </w:r>
      <w:r w:rsidRPr="00DB60BE">
        <w:rPr>
          <w:lang w:val="en"/>
        </w:rPr>
        <w:t>based on others’ bids, with safeguards to ensure winners pay a competitive price.</w:t>
      </w:r>
      <w:r>
        <w:rPr>
          <w:lang w:val="en"/>
        </w:rPr>
        <w:t xml:space="preserve"> The outcome, however, is that what bidders pay is relatively </w:t>
      </w:r>
      <w:r>
        <w:t xml:space="preserve">non-transparent, in that it is not possible </w:t>
      </w:r>
      <w:r w:rsidRPr="00DB60BE">
        <w:t>for bidders</w:t>
      </w:r>
      <w:r>
        <w:t xml:space="preserve"> </w:t>
      </w:r>
      <w:r w:rsidRPr="00DB60BE">
        <w:t>to predict how submitted bids will translate into prices paid.</w:t>
      </w:r>
      <w:r>
        <w:t xml:space="preserve"> </w:t>
      </w:r>
    </w:p>
    <w:p w14:paraId="4DA06328" w14:textId="4F1E9DD4" w:rsidR="00AB40D2" w:rsidRDefault="00AB40D2">
      <w:pPr>
        <w:tabs>
          <w:tab w:val="num" w:pos="720"/>
          <w:tab w:val="num" w:pos="1440"/>
        </w:tabs>
      </w:pPr>
      <w:r>
        <w:t>There are other package bidding auction formats. For example, i</w:t>
      </w:r>
      <w:r w:rsidRPr="001E136B">
        <w:t>n 2016 the</w:t>
      </w:r>
      <w:r>
        <w:t xml:space="preserve"> </w:t>
      </w:r>
      <w:r w:rsidRPr="001E136B">
        <w:t>Danish Energy Agency conducted a C</w:t>
      </w:r>
      <w:r>
        <w:t xml:space="preserve">ombinatorial </w:t>
      </w:r>
      <w:r w:rsidRPr="001E136B">
        <w:t>M</w:t>
      </w:r>
      <w:r>
        <w:t>ulti-</w:t>
      </w:r>
      <w:r w:rsidRPr="001E136B">
        <w:t>R</w:t>
      </w:r>
      <w:r>
        <w:t xml:space="preserve">ound </w:t>
      </w:r>
      <w:r w:rsidRPr="001E136B">
        <w:t>A</w:t>
      </w:r>
      <w:r>
        <w:t>uction</w:t>
      </w:r>
      <w:r w:rsidRPr="001E136B">
        <w:t xml:space="preserve"> </w:t>
      </w:r>
      <w:r>
        <w:t>(CMRA) for the 1800 </w:t>
      </w:r>
      <w:r w:rsidRPr="001E136B">
        <w:t>MHz band</w:t>
      </w:r>
      <w:r>
        <w:t xml:space="preserve">. This auction format </w:t>
      </w:r>
      <w:r w:rsidRPr="00610C25">
        <w:t>combines an iterative 'pay-your-bid'</w:t>
      </w:r>
      <w:r>
        <w:t xml:space="preserve"> </w:t>
      </w:r>
      <w:r w:rsidRPr="00610C25">
        <w:t>approach with package bidding</w:t>
      </w:r>
      <w:r>
        <w:t>. In the auction, the a</w:t>
      </w:r>
      <w:r w:rsidRPr="0031682F">
        <w:t>uctioneer announces prices on all lot categories and bidders can place a set of mutually exclusive package bids based on the prices of each category of lots</w:t>
      </w:r>
      <w:r>
        <w:t xml:space="preserve">. </w:t>
      </w:r>
      <w:r w:rsidRPr="00285720">
        <w:t>Bidders are allowed to submit</w:t>
      </w:r>
      <w:r>
        <w:t xml:space="preserve"> </w:t>
      </w:r>
      <w:r w:rsidRPr="00285720">
        <w:t xml:space="preserve">multiple bids on packages and prices rise on those </w:t>
      </w:r>
      <w:r w:rsidR="00F1182F">
        <w:t>lot categories</w:t>
      </w:r>
      <w:r w:rsidRPr="00285720">
        <w:t xml:space="preserve"> where there is </w:t>
      </w:r>
      <w:r>
        <w:t>over</w:t>
      </w:r>
      <w:r w:rsidR="007E4589">
        <w:t xml:space="preserve"> </w:t>
      </w:r>
      <w:r w:rsidRPr="00285720">
        <w:t>demand.</w:t>
      </w:r>
      <w:r>
        <w:t xml:space="preserve"> </w:t>
      </w:r>
      <w:r w:rsidRPr="00285720">
        <w:t xml:space="preserve">There is no provisional winner in the </w:t>
      </w:r>
      <w:proofErr w:type="gramStart"/>
      <w:r w:rsidRPr="00285720">
        <w:t>CMRA</w:t>
      </w:r>
      <w:proofErr w:type="gramEnd"/>
      <w:r w:rsidRPr="00285720">
        <w:t xml:space="preserve"> and a bidder must be active in each round.</w:t>
      </w:r>
      <w:r>
        <w:t xml:space="preserve"> The a</w:t>
      </w:r>
      <w:r w:rsidRPr="0031682F">
        <w:t>uction stops when there is no further bidding on any lot on offer</w:t>
      </w:r>
      <w:r>
        <w:t xml:space="preserve">. </w:t>
      </w:r>
      <w:r w:rsidRPr="0031682F">
        <w:t>Bidders pay the price of the package bid plus the additional amount</w:t>
      </w:r>
      <w:r w:rsidR="004462A9">
        <w:t>,</w:t>
      </w:r>
      <w:r w:rsidRPr="0031682F">
        <w:t xml:space="preserve"> which is determined at the frequency assignment stage</w:t>
      </w:r>
      <w:r>
        <w:t xml:space="preserve">. </w:t>
      </w:r>
    </w:p>
    <w:p w14:paraId="78444772" w14:textId="6499BBB5" w:rsidR="00AB40D2" w:rsidRDefault="00AB40D2">
      <w:pPr>
        <w:tabs>
          <w:tab w:val="num" w:pos="720"/>
          <w:tab w:val="num" w:pos="1440"/>
        </w:tabs>
      </w:pPr>
      <w:r>
        <w:t>Another option is using a sealed</w:t>
      </w:r>
      <w:r w:rsidR="007E4589">
        <w:t xml:space="preserve"> </w:t>
      </w:r>
      <w:r>
        <w:t xml:space="preserve">bid combinatorial auction format. This is a </w:t>
      </w:r>
      <w:r w:rsidR="004462A9">
        <w:t>‘</w:t>
      </w:r>
      <w:r>
        <w:t>s</w:t>
      </w:r>
      <w:r w:rsidRPr="004B4332">
        <w:t>ingle shot</w:t>
      </w:r>
      <w:r w:rsidR="004462A9">
        <w:t>’</w:t>
      </w:r>
      <w:r w:rsidRPr="004B4332">
        <w:t xml:space="preserve"> auction</w:t>
      </w:r>
      <w:r>
        <w:t>, where b</w:t>
      </w:r>
      <w:r w:rsidRPr="004B4332">
        <w:t xml:space="preserve">idders submit </w:t>
      </w:r>
      <w:r>
        <w:t xml:space="preserve">bids </w:t>
      </w:r>
      <w:r w:rsidRPr="004B4332">
        <w:t xml:space="preserve">for all of the possible combinations of </w:t>
      </w:r>
      <w:proofErr w:type="gramStart"/>
      <w:r w:rsidRPr="004B4332">
        <w:t>lots</w:t>
      </w:r>
      <w:proofErr w:type="gramEnd"/>
      <w:r w:rsidRPr="004B4332">
        <w:t xml:space="preserve"> they are interested in</w:t>
      </w:r>
      <w:r>
        <w:t xml:space="preserve">. </w:t>
      </w:r>
      <w:r w:rsidRPr="004B4332">
        <w:t>These bids are mutually exclusive (</w:t>
      </w:r>
      <w:r w:rsidR="004462A9">
        <w:t>that is,</w:t>
      </w:r>
      <w:r w:rsidRPr="004B4332">
        <w:t xml:space="preserve"> </w:t>
      </w:r>
      <w:r>
        <w:t xml:space="preserve">the </w:t>
      </w:r>
      <w:r w:rsidRPr="004B4332">
        <w:t>auctioneer only selects one bid per bidder)</w:t>
      </w:r>
      <w:r>
        <w:t xml:space="preserve">. </w:t>
      </w:r>
      <w:r w:rsidRPr="004B4332">
        <w:t xml:space="preserve">The auctioneer determines the combination of bids </w:t>
      </w:r>
      <w:r w:rsidR="004462A9">
        <w:t>that</w:t>
      </w:r>
      <w:r w:rsidR="004462A9" w:rsidRPr="004B4332">
        <w:t xml:space="preserve"> </w:t>
      </w:r>
      <w:r w:rsidRPr="004B4332">
        <w:t>yields the highest value and then announces the successful bidders</w:t>
      </w:r>
      <w:r>
        <w:t xml:space="preserve">. </w:t>
      </w:r>
    </w:p>
    <w:p w14:paraId="38FAD8CF" w14:textId="78C30BF5" w:rsidR="00AB40D2" w:rsidRDefault="00230D11">
      <w:pPr>
        <w:tabs>
          <w:tab w:val="num" w:pos="720"/>
          <w:tab w:val="num" w:pos="1440"/>
        </w:tabs>
      </w:pPr>
      <w:r>
        <w:t xml:space="preserve">The winning bidder is the person who places the highest bid for a lot. However, </w:t>
      </w:r>
      <w:r w:rsidR="00311C3F">
        <w:t>p</w:t>
      </w:r>
      <w:r w:rsidR="00AB40D2">
        <w:t>ricing in such an auction format can be either first price</w:t>
      </w:r>
      <w:r w:rsidR="00311C3F">
        <w:t>—</w:t>
      </w:r>
      <w:r>
        <w:t xml:space="preserve">where the winning bidder pays </w:t>
      </w:r>
      <w:r w:rsidR="00311C3F">
        <w:t>their highest bid</w:t>
      </w:r>
      <w:r w:rsidR="007E4589">
        <w:t xml:space="preserve">, </w:t>
      </w:r>
      <w:r w:rsidR="00AB40D2">
        <w:t>or second price</w:t>
      </w:r>
      <w:r w:rsidR="00311C3F">
        <w:t xml:space="preserve">—where the winning bidder pays the </w:t>
      </w:r>
      <w:r w:rsidR="00EF2D04">
        <w:t>highest value that other bidders were willing to pay for the spectrum</w:t>
      </w:r>
      <w:r w:rsidR="00AB40D2">
        <w:t xml:space="preserve">. First price is highly </w:t>
      </w:r>
      <w:r w:rsidR="00375CE3">
        <w:t>simple but</w:t>
      </w:r>
      <w:r w:rsidR="00AB40D2">
        <w:t xml:space="preserve"> creates incentives for bidders to shade their bids. Alternatively, second pricing runs into the same issues identified above in the discussion on the CCA </w:t>
      </w:r>
      <w:r w:rsidR="00D233CB">
        <w:t>in relation to VNMRC</w:t>
      </w:r>
      <w:r w:rsidR="00AB40D2">
        <w:t xml:space="preserve"> (and may also create incentives for bidders to shade their bids). A first price rule is likely to be optimal where simplicity is an objective, or where complexity is a serious issue, making second pricing unsuitable.</w:t>
      </w:r>
    </w:p>
    <w:p w14:paraId="0FE09636" w14:textId="6DAEA3D9" w:rsidR="00AB40D2" w:rsidRPr="004B4332" w:rsidRDefault="00AB40D2">
      <w:pPr>
        <w:tabs>
          <w:tab w:val="num" w:pos="720"/>
          <w:tab w:val="num" w:pos="1440"/>
        </w:tabs>
      </w:pPr>
      <w:r>
        <w:t>The sealed</w:t>
      </w:r>
      <w:r w:rsidR="001863C2">
        <w:t xml:space="preserve"> </w:t>
      </w:r>
      <w:r>
        <w:t xml:space="preserve">bid combinatorial auction format is likely to be only suitable in a relatively simple auction where the number of lots on offer is relatively low, so that the number of possible combinations of lots </w:t>
      </w:r>
      <w:r w:rsidR="00DD4574">
        <w:t xml:space="preserve">requiring bids </w:t>
      </w:r>
      <w:r>
        <w:t>is feasibly low. In addition, it is likely to be s</w:t>
      </w:r>
      <w:r w:rsidRPr="004B4332">
        <w:t>uitable in scenarios where the benefits of price discovery are limited</w:t>
      </w:r>
      <w:r>
        <w:t>, and there are large risks associated with open ascending auction formats.</w:t>
      </w:r>
    </w:p>
    <w:p w14:paraId="36A33D1A" w14:textId="786DDDB4" w:rsidR="00AB40D2" w:rsidRPr="00FE201D" w:rsidRDefault="00AB40D2">
      <w:pPr>
        <w:pStyle w:val="Heading3"/>
        <w:rPr>
          <w:b w:val="0"/>
          <w:bCs w:val="0"/>
        </w:rPr>
      </w:pPr>
      <w:bookmarkStart w:id="259" w:name="_Toc408846613"/>
      <w:bookmarkStart w:id="260" w:name="_Toc409015483"/>
      <w:bookmarkStart w:id="261" w:name="_Toc409528647"/>
      <w:bookmarkStart w:id="262" w:name="_Toc409016976"/>
      <w:bookmarkStart w:id="263" w:name="_Toc410918172"/>
      <w:bookmarkStart w:id="264" w:name="_Toc496277335"/>
      <w:bookmarkStart w:id="265" w:name="_Toc496277734"/>
      <w:bookmarkStart w:id="266" w:name="_Toc496527246"/>
      <w:bookmarkStart w:id="267" w:name="_Toc496527421"/>
      <w:bookmarkStart w:id="268" w:name="_Toc8207139"/>
      <w:r w:rsidRPr="00FE201D">
        <w:lastRenderedPageBreak/>
        <w:t>ACMA preliminary preferred view</w:t>
      </w:r>
      <w:bookmarkEnd w:id="259"/>
      <w:bookmarkEnd w:id="260"/>
      <w:bookmarkEnd w:id="261"/>
      <w:bookmarkEnd w:id="262"/>
      <w:bookmarkEnd w:id="263"/>
      <w:bookmarkEnd w:id="264"/>
      <w:bookmarkEnd w:id="265"/>
      <w:bookmarkEnd w:id="266"/>
      <w:bookmarkEnd w:id="267"/>
      <w:bookmarkEnd w:id="268"/>
    </w:p>
    <w:p w14:paraId="2F6BD04F" w14:textId="78360E2B" w:rsidR="00AB40D2" w:rsidRDefault="00AB40D2">
      <w:pPr>
        <w:rPr>
          <w:szCs w:val="20"/>
        </w:rPr>
      </w:pPr>
      <w:r w:rsidRPr="001A20BD">
        <w:t>The best format for any individual auction will depend on the characteristics of the product</w:t>
      </w:r>
      <w:r>
        <w:t xml:space="preserve">s on offer. </w:t>
      </w:r>
      <w:r w:rsidRPr="001A20BD">
        <w:t xml:space="preserve">The ACMA will choose the auction format that most suits a particular spectrum allocation. </w:t>
      </w:r>
      <w:r>
        <w:t xml:space="preserve">In the case of </w:t>
      </w:r>
      <w:r w:rsidR="00736C59">
        <w:t>the 26</w:t>
      </w:r>
      <w:r w:rsidR="005F24EE">
        <w:t xml:space="preserve"> </w:t>
      </w:r>
      <w:r w:rsidDel="005F24EE">
        <w:t>GHz</w:t>
      </w:r>
      <w:r w:rsidR="00736C59">
        <w:t xml:space="preserve"> band</w:t>
      </w:r>
      <w:r>
        <w:t xml:space="preserve">, the </w:t>
      </w:r>
      <w:r w:rsidRPr="006755B1">
        <w:rPr>
          <w:szCs w:val="20"/>
        </w:rPr>
        <w:t xml:space="preserve">ACMA considers the </w:t>
      </w:r>
      <w:r>
        <w:rPr>
          <w:szCs w:val="20"/>
        </w:rPr>
        <w:t>two-stage ESMRA format outlined above</w:t>
      </w:r>
      <w:r w:rsidR="00E727F2">
        <w:rPr>
          <w:szCs w:val="20"/>
        </w:rPr>
        <w:t xml:space="preserve"> to be the most suitable</w:t>
      </w:r>
      <w:r w:rsidR="004D7ACA">
        <w:rPr>
          <w:szCs w:val="20"/>
        </w:rPr>
        <w:t>.</w:t>
      </w:r>
    </w:p>
    <w:p w14:paraId="1F7E762E" w14:textId="0A8A5DDC" w:rsidR="00AB40D2" w:rsidRDefault="00AB40D2">
      <w:pPr>
        <w:rPr>
          <w:szCs w:val="20"/>
        </w:rPr>
      </w:pPr>
      <w:r>
        <w:rPr>
          <w:szCs w:val="20"/>
        </w:rPr>
        <w:t xml:space="preserve">The ACMA expects that bidders will consider that individual lots in the band </w:t>
      </w:r>
      <w:r w:rsidR="00923793">
        <w:rPr>
          <w:szCs w:val="20"/>
        </w:rPr>
        <w:t xml:space="preserve">in a particular geographic area </w:t>
      </w:r>
      <w:r>
        <w:rPr>
          <w:szCs w:val="20"/>
        </w:rPr>
        <w:t xml:space="preserve">are highly substitutable, necessitating an auction format that enables bidders to switch between </w:t>
      </w:r>
      <w:r w:rsidR="00E5620D">
        <w:rPr>
          <w:szCs w:val="20"/>
        </w:rPr>
        <w:t>products</w:t>
      </w:r>
      <w:r>
        <w:rPr>
          <w:szCs w:val="20"/>
        </w:rPr>
        <w:t xml:space="preserve">. Bidding on generic lots reflects this substitutability. </w:t>
      </w:r>
    </w:p>
    <w:p w14:paraId="7DC755F8" w14:textId="5224B403" w:rsidR="005F24EE" w:rsidRDefault="005F24EE">
      <w:pPr>
        <w:rPr>
          <w:szCs w:val="20"/>
        </w:rPr>
      </w:pPr>
      <w:r>
        <w:rPr>
          <w:szCs w:val="20"/>
        </w:rPr>
        <w:t>The ESMRA format performed well in the 3.6 GHz auction and participants provided positive feedback on the auction system</w:t>
      </w:r>
      <w:r w:rsidR="00B10A77">
        <w:rPr>
          <w:szCs w:val="20"/>
        </w:rPr>
        <w:t xml:space="preserve">. As the proposed lot structure for the allocation of </w:t>
      </w:r>
      <w:r w:rsidR="00736C59">
        <w:rPr>
          <w:szCs w:val="20"/>
        </w:rPr>
        <w:t>the 26</w:t>
      </w:r>
      <w:r w:rsidR="00B10A77">
        <w:rPr>
          <w:szCs w:val="20"/>
        </w:rPr>
        <w:t xml:space="preserve"> G</w:t>
      </w:r>
      <w:r w:rsidR="00736C59">
        <w:rPr>
          <w:szCs w:val="20"/>
        </w:rPr>
        <w:t>H</w:t>
      </w:r>
      <w:r w:rsidR="00B10A77">
        <w:rPr>
          <w:szCs w:val="20"/>
        </w:rPr>
        <w:t xml:space="preserve">z </w:t>
      </w:r>
      <w:r w:rsidR="00736C59">
        <w:rPr>
          <w:szCs w:val="20"/>
        </w:rPr>
        <w:t xml:space="preserve">band </w:t>
      </w:r>
      <w:r w:rsidR="00B10A77">
        <w:rPr>
          <w:szCs w:val="20"/>
        </w:rPr>
        <w:t xml:space="preserve">is similar and the ESMRA format has recently been </w:t>
      </w:r>
      <w:r w:rsidR="00FD6F52">
        <w:rPr>
          <w:szCs w:val="20"/>
        </w:rPr>
        <w:t>‘</w:t>
      </w:r>
      <w:r w:rsidR="00B10A77">
        <w:rPr>
          <w:szCs w:val="20"/>
        </w:rPr>
        <w:t>tried and tested</w:t>
      </w:r>
      <w:r w:rsidR="00FD6F52">
        <w:rPr>
          <w:szCs w:val="20"/>
        </w:rPr>
        <w:t>’</w:t>
      </w:r>
      <w:r w:rsidR="00851286">
        <w:rPr>
          <w:szCs w:val="20"/>
        </w:rPr>
        <w:t xml:space="preserve"> it offer</w:t>
      </w:r>
      <w:r w:rsidR="00E5620D">
        <w:rPr>
          <w:szCs w:val="20"/>
        </w:rPr>
        <w:t>s</w:t>
      </w:r>
      <w:r w:rsidR="00851286">
        <w:rPr>
          <w:szCs w:val="20"/>
        </w:rPr>
        <w:t xml:space="preserve"> advantages over other formats. </w:t>
      </w:r>
    </w:p>
    <w:p w14:paraId="7E751B37" w14:textId="41EE0C3E" w:rsidR="00AB40D2" w:rsidRDefault="00AB40D2">
      <w:pPr>
        <w:rPr>
          <w:szCs w:val="20"/>
        </w:rPr>
      </w:pPr>
      <w:r>
        <w:rPr>
          <w:szCs w:val="20"/>
        </w:rPr>
        <w:t>While the standard SMRA is considered to have performed well during the 1800 MHz regional auction, there are some known problems that introduce complexities into the auction process, including the exposure risk</w:t>
      </w:r>
      <w:r w:rsidR="00123755">
        <w:rPr>
          <w:szCs w:val="20"/>
        </w:rPr>
        <w:t>, non-uniform pricing for similar lots and gaming strategies</w:t>
      </w:r>
      <w:r w:rsidR="00235CEC">
        <w:rPr>
          <w:szCs w:val="20"/>
        </w:rPr>
        <w:t>.</w:t>
      </w:r>
      <w:r>
        <w:rPr>
          <w:szCs w:val="20"/>
        </w:rPr>
        <w:t xml:space="preserve"> </w:t>
      </w:r>
    </w:p>
    <w:p w14:paraId="7A14D618" w14:textId="5FD0A0C2" w:rsidR="00AB40D2" w:rsidRDefault="00AB40D2">
      <w:pPr>
        <w:rPr>
          <w:szCs w:val="20"/>
        </w:rPr>
      </w:pPr>
      <w:r>
        <w:rPr>
          <w:szCs w:val="20"/>
        </w:rPr>
        <w:t xml:space="preserve">The ACMA does not consider that the CCA is warranted in this context, particularly given </w:t>
      </w:r>
      <w:r w:rsidR="00F71749">
        <w:rPr>
          <w:szCs w:val="20"/>
        </w:rPr>
        <w:t xml:space="preserve">that </w:t>
      </w:r>
      <w:r w:rsidR="002664A6">
        <w:rPr>
          <w:szCs w:val="20"/>
        </w:rPr>
        <w:t>the ACMA’s preferred lot configuration</w:t>
      </w:r>
      <w:r w:rsidR="000D592F">
        <w:rPr>
          <w:szCs w:val="20"/>
        </w:rPr>
        <w:t>,</w:t>
      </w:r>
      <w:r w:rsidR="002664A6">
        <w:rPr>
          <w:szCs w:val="20"/>
        </w:rPr>
        <w:t xml:space="preserve"> </w:t>
      </w:r>
      <w:r w:rsidR="005A5847">
        <w:rPr>
          <w:szCs w:val="20"/>
        </w:rPr>
        <w:t>discussed below</w:t>
      </w:r>
      <w:r w:rsidR="002664A6">
        <w:rPr>
          <w:szCs w:val="20"/>
        </w:rPr>
        <w:t xml:space="preserve"> (24 lots of 100 MHz in 34 defined areas)</w:t>
      </w:r>
      <w:r w:rsidR="000D592F">
        <w:rPr>
          <w:szCs w:val="20"/>
        </w:rPr>
        <w:t>,</w:t>
      </w:r>
      <w:r w:rsidR="002664A6">
        <w:rPr>
          <w:szCs w:val="20"/>
        </w:rPr>
        <w:t xml:space="preserve"> would result in an </w:t>
      </w:r>
      <w:r w:rsidR="005A5847">
        <w:rPr>
          <w:szCs w:val="20"/>
        </w:rPr>
        <w:t>impractically</w:t>
      </w:r>
      <w:r w:rsidR="002664A6">
        <w:rPr>
          <w:szCs w:val="20"/>
        </w:rPr>
        <w:t xml:space="preserve"> high number of lot combinations</w:t>
      </w:r>
      <w:r>
        <w:rPr>
          <w:szCs w:val="20"/>
        </w:rPr>
        <w:t xml:space="preserve">. The ACMA considers that the application of the Danish CMRA to </w:t>
      </w:r>
      <w:r w:rsidR="00736C59">
        <w:t>the 26</w:t>
      </w:r>
      <w:r w:rsidR="00F011D5">
        <w:t> </w:t>
      </w:r>
      <w:r w:rsidR="005F24EE">
        <w:t>GHz</w:t>
      </w:r>
      <w:r w:rsidR="00736C59">
        <w:t xml:space="preserve"> band</w:t>
      </w:r>
      <w:r>
        <w:rPr>
          <w:szCs w:val="20"/>
        </w:rPr>
        <w:t>, which may be offered in a geographically and frequency disaggregated manner, may also be highly complex. Similarly, the combinatorial sealed</w:t>
      </w:r>
      <w:r w:rsidR="001863C2">
        <w:rPr>
          <w:szCs w:val="20"/>
        </w:rPr>
        <w:t xml:space="preserve"> </w:t>
      </w:r>
      <w:r>
        <w:rPr>
          <w:szCs w:val="20"/>
        </w:rPr>
        <w:t>bid auction format will not be appropriate given that price discovery is expected to be important</w:t>
      </w:r>
      <w:r w:rsidR="00EF3B1C">
        <w:rPr>
          <w:szCs w:val="20"/>
        </w:rPr>
        <w:t>.</w:t>
      </w:r>
    </w:p>
    <w:p w14:paraId="59AD6E12" w14:textId="50F300D4" w:rsidR="008344C4" w:rsidRDefault="00AB40D2">
      <w:r>
        <w:rPr>
          <w:szCs w:val="20"/>
        </w:rPr>
        <w:t>On balance, the ACMA’s preliminary view is that a two-stage ESMRA format</w:t>
      </w:r>
      <w:r w:rsidR="001D114D">
        <w:rPr>
          <w:szCs w:val="20"/>
        </w:rPr>
        <w:t>,</w:t>
      </w:r>
      <w:r>
        <w:rPr>
          <w:szCs w:val="20"/>
        </w:rPr>
        <w:t xml:space="preserve"> as outlined above, is appropriate for the allocation of </w:t>
      </w:r>
      <w:r w:rsidR="00736C59">
        <w:t>the 26</w:t>
      </w:r>
      <w:r w:rsidR="002E681E">
        <w:t xml:space="preserve"> GHz</w:t>
      </w:r>
      <w:r w:rsidR="00736C59">
        <w:t xml:space="preserve"> band</w:t>
      </w:r>
      <w:r>
        <w:rPr>
          <w:szCs w:val="20"/>
        </w:rPr>
        <w:t xml:space="preserve">. The use of generic lots and an assignment stage will enhance substitutability, </w:t>
      </w:r>
      <w:r>
        <w:t>simplify strategy, and encourage competition. The clock structure provides a simple yet powerful way to express demand. The method also lets bidders avoid ties with continuous price competition</w:t>
      </w:r>
      <w:r w:rsidR="00721143">
        <w:t xml:space="preserve"> </w:t>
      </w:r>
      <w:r>
        <w:t xml:space="preserve">and permits a faster auction with fewer bidding rounds. </w:t>
      </w:r>
    </w:p>
    <w:p w14:paraId="2654B04C" w14:textId="7B8B42C2" w:rsidR="009F74FC" w:rsidRDefault="008344C4" w:rsidP="006E0DC8">
      <w:pPr>
        <w:spacing w:after="80"/>
      </w:pPr>
      <w:r>
        <w:t>W</w:t>
      </w:r>
      <w:r w:rsidR="009F74FC">
        <w:t>hile the ESMRA format would be similar to the version used in the 3.6 GHz auction</w:t>
      </w:r>
      <w:r>
        <w:t xml:space="preserve">, it may not be identical as some rules may be </w:t>
      </w:r>
      <w:r w:rsidR="001A1838">
        <w:t xml:space="preserve">amended </w:t>
      </w:r>
      <w:r>
        <w:t xml:space="preserve">to suit the particular circumstance of </w:t>
      </w:r>
      <w:r w:rsidR="001A1838">
        <w:t xml:space="preserve">any </w:t>
      </w:r>
      <w:r w:rsidR="00352F24">
        <w:t>26</w:t>
      </w:r>
      <w:r w:rsidR="001A1838">
        <w:t xml:space="preserve"> GHz </w:t>
      </w:r>
      <w:r w:rsidR="00352F24">
        <w:t xml:space="preserve">band </w:t>
      </w:r>
      <w:r>
        <w:t>auction.</w:t>
      </w:r>
      <w:r w:rsidR="0034471A">
        <w:t xml:space="preserve"> </w:t>
      </w:r>
      <w:r w:rsidR="009F74FC">
        <w:t xml:space="preserve">Following feedback from the 3.6 GHz auction, </w:t>
      </w:r>
      <w:r w:rsidR="00BA577D">
        <w:t xml:space="preserve">the ACMA may consider making </w:t>
      </w:r>
      <w:r w:rsidR="009F74FC">
        <w:t>some modifications</w:t>
      </w:r>
      <w:r w:rsidR="00F53AB7">
        <w:t xml:space="preserve"> to the </w:t>
      </w:r>
      <w:r w:rsidR="00720703">
        <w:t xml:space="preserve">ESMRA </w:t>
      </w:r>
      <w:r w:rsidR="00F53AB7">
        <w:t xml:space="preserve">auction rules </w:t>
      </w:r>
      <w:r w:rsidR="000C6432">
        <w:t xml:space="preserve">for </w:t>
      </w:r>
      <w:r w:rsidR="00720703">
        <w:t>the 26 GHz band allocation.</w:t>
      </w:r>
      <w:r w:rsidR="000C6432">
        <w:t xml:space="preserve"> </w:t>
      </w:r>
      <w:r w:rsidR="00720703">
        <w:t>These</w:t>
      </w:r>
      <w:r w:rsidR="000C6432">
        <w:t xml:space="preserve"> might</w:t>
      </w:r>
      <w:r w:rsidR="00352F24">
        <w:t xml:space="preserve"> </w:t>
      </w:r>
      <w:r w:rsidR="000C6D63">
        <w:t>include</w:t>
      </w:r>
      <w:r w:rsidR="009F74FC">
        <w:t>:</w:t>
      </w:r>
    </w:p>
    <w:p w14:paraId="19FC1E3E" w14:textId="61B42617" w:rsidR="009F74FC" w:rsidRPr="004348EB" w:rsidRDefault="007A0150" w:rsidP="009F74FC">
      <w:pPr>
        <w:pStyle w:val="ListBullet"/>
        <w:tabs>
          <w:tab w:val="clear" w:pos="1996"/>
          <w:tab w:val="num" w:pos="-2539"/>
        </w:tabs>
        <w:ind w:left="295"/>
      </w:pPr>
      <w:r>
        <w:t>R</w:t>
      </w:r>
      <w:r w:rsidR="009F74FC" w:rsidRPr="004348EB">
        <w:t xml:space="preserve">emoval of the minimum spectrum requirement </w:t>
      </w:r>
      <w:r w:rsidR="0034471A">
        <w:t xml:space="preserve">(MSR) </w:t>
      </w:r>
      <w:r w:rsidR="009F74FC" w:rsidRPr="004348EB">
        <w:t xml:space="preserve">feature. While spectrum lot configurations are yet to be determined it is likely lots would be offered </w:t>
      </w:r>
      <w:r w:rsidR="008344C4">
        <w:t>in larger block sizes which would mitigate the likelihood of obtaining uneconomical parcels of spectrum</w:t>
      </w:r>
      <w:r w:rsidR="0034471A">
        <w:t xml:space="preserve"> and therefore the need for an MSR feature</w:t>
      </w:r>
      <w:r w:rsidR="00436577">
        <w:t>. Removing</w:t>
      </w:r>
      <w:r w:rsidR="00C87AB4">
        <w:t xml:space="preserve"> the</w:t>
      </w:r>
      <w:r w:rsidR="00436577">
        <w:t xml:space="preserve"> MSR feature would also eliminate the need to have a</w:t>
      </w:r>
      <w:r w:rsidR="003E620F">
        <w:t>n additional</w:t>
      </w:r>
      <w:r w:rsidR="00436577">
        <w:t xml:space="preserve"> stage of the auction, significantly sim</w:t>
      </w:r>
      <w:r w:rsidR="006C23A1">
        <w:t>p</w:t>
      </w:r>
      <w:r w:rsidR="00436577">
        <w:t>lify</w:t>
      </w:r>
      <w:r w:rsidR="006C23A1">
        <w:t>i</w:t>
      </w:r>
      <w:r w:rsidR="00436577">
        <w:t>ng the auction design.</w:t>
      </w:r>
    </w:p>
    <w:p w14:paraId="7820E0B3" w14:textId="5726249C" w:rsidR="009F74FC" w:rsidRPr="004348EB" w:rsidRDefault="007A0150" w:rsidP="00BA2F3B">
      <w:pPr>
        <w:pStyle w:val="ListBullet"/>
        <w:tabs>
          <w:tab w:val="clear" w:pos="1996"/>
          <w:tab w:val="num" w:pos="-554"/>
        </w:tabs>
        <w:spacing w:after="240"/>
        <w:ind w:left="295"/>
      </w:pPr>
      <w:r>
        <w:t>A</w:t>
      </w:r>
      <w:r w:rsidR="004A3D4E">
        <w:t>llowing for i</w:t>
      </w:r>
      <w:r w:rsidR="009F74FC" w:rsidRPr="004348EB">
        <w:t xml:space="preserve">nitial demand </w:t>
      </w:r>
      <w:r w:rsidR="004A3D4E">
        <w:t xml:space="preserve">to be nominated </w:t>
      </w:r>
      <w:r w:rsidR="00083639">
        <w:t>closer to the commencement of the bidding</w:t>
      </w:r>
      <w:r w:rsidR="00BD0E57">
        <w:t>.</w:t>
      </w:r>
    </w:p>
    <w:p w14:paraId="566002A5" w14:textId="1B964AD3" w:rsidR="00AB40D2" w:rsidRPr="00605D02" w:rsidRDefault="00C924D6">
      <w:pPr>
        <w:keepNext/>
        <w:keepLines/>
        <w:pBdr>
          <w:top w:val="single" w:sz="4" w:space="1" w:color="auto"/>
          <w:left w:val="single" w:sz="4" w:space="4" w:color="auto"/>
          <w:bottom w:val="single" w:sz="4" w:space="1" w:color="auto"/>
          <w:right w:val="single" w:sz="4" w:space="4" w:color="auto"/>
        </w:pBdr>
        <w:shd w:val="clear" w:color="auto" w:fill="F2F2F2" w:themeFill="background1" w:themeFillShade="F2"/>
      </w:pPr>
      <w:r>
        <w:rPr>
          <w:b/>
        </w:rPr>
        <w:lastRenderedPageBreak/>
        <w:t>A</w:t>
      </w:r>
      <w:r w:rsidR="00AB40D2">
        <w:rPr>
          <w:b/>
        </w:rPr>
        <w:t>llocation</w:t>
      </w:r>
      <w:r w:rsidR="00AB40D2" w:rsidRPr="002C45DF">
        <w:rPr>
          <w:b/>
        </w:rPr>
        <w:t xml:space="preserve"> methodology</w:t>
      </w:r>
    </w:p>
    <w:p w14:paraId="3C5248D6" w14:textId="5FD20E84" w:rsidR="00AB40D2" w:rsidRPr="009C5A85" w:rsidRDefault="00AB40D2">
      <w:pPr>
        <w:keepNext/>
        <w:keepLines/>
        <w:pBdr>
          <w:top w:val="single" w:sz="4" w:space="1" w:color="auto"/>
          <w:left w:val="single" w:sz="4" w:space="4" w:color="auto"/>
          <w:bottom w:val="single" w:sz="4" w:space="1" w:color="auto"/>
          <w:right w:val="single" w:sz="4" w:space="4" w:color="auto"/>
        </w:pBdr>
        <w:shd w:val="clear" w:color="auto" w:fill="F2F2F2" w:themeFill="background1" w:themeFillShade="F2"/>
        <w:rPr>
          <w:rFonts w:cs="Arial"/>
        </w:rPr>
      </w:pPr>
      <w:r>
        <w:rPr>
          <w:rFonts w:cs="Arial"/>
        </w:rPr>
        <w:t xml:space="preserve">The ACMA proposes to use </w:t>
      </w:r>
      <w:r w:rsidR="00E727F2">
        <w:rPr>
          <w:rFonts w:cs="Arial"/>
        </w:rPr>
        <w:t xml:space="preserve">the </w:t>
      </w:r>
      <w:r>
        <w:rPr>
          <w:rFonts w:cs="Arial"/>
        </w:rPr>
        <w:t xml:space="preserve">ESMRA format to allocate </w:t>
      </w:r>
      <w:r w:rsidR="00BB53CE">
        <w:t>the 26</w:t>
      </w:r>
      <w:r w:rsidR="002E681E">
        <w:t xml:space="preserve"> GHz</w:t>
      </w:r>
      <w:r w:rsidR="00BB53CE">
        <w:t xml:space="preserve"> band</w:t>
      </w:r>
      <w:r>
        <w:rPr>
          <w:rFonts w:cs="Arial"/>
        </w:rPr>
        <w:t>.</w:t>
      </w:r>
    </w:p>
    <w:p w14:paraId="77F0FA1E" w14:textId="79969724" w:rsidR="00AB40D2" w:rsidRPr="009E4C7E" w:rsidRDefault="00AB40D2">
      <w:pPr>
        <w:pStyle w:val="Heading2"/>
        <w:keepLines/>
      </w:pPr>
      <w:bookmarkStart w:id="269" w:name="_Toc408494370"/>
      <w:bookmarkStart w:id="270" w:name="_Toc408846614"/>
      <w:bookmarkStart w:id="271" w:name="_Toc409015484"/>
      <w:bookmarkStart w:id="272" w:name="_Toc409528648"/>
      <w:bookmarkStart w:id="273" w:name="_Toc409016977"/>
      <w:bookmarkStart w:id="274" w:name="_Toc496277336"/>
      <w:bookmarkStart w:id="275" w:name="_Toc496277735"/>
      <w:bookmarkStart w:id="276" w:name="_Toc496527247"/>
      <w:bookmarkStart w:id="277" w:name="_Toc496527422"/>
      <w:bookmarkStart w:id="278" w:name="_Toc8207140"/>
      <w:r w:rsidRPr="009E4C7E">
        <w:t>Lot configuration</w:t>
      </w:r>
      <w:bookmarkEnd w:id="269"/>
      <w:bookmarkEnd w:id="270"/>
      <w:bookmarkEnd w:id="271"/>
      <w:bookmarkEnd w:id="272"/>
      <w:bookmarkEnd w:id="273"/>
      <w:bookmarkEnd w:id="274"/>
      <w:bookmarkEnd w:id="275"/>
      <w:bookmarkEnd w:id="276"/>
      <w:bookmarkEnd w:id="277"/>
      <w:bookmarkEnd w:id="278"/>
    </w:p>
    <w:p w14:paraId="72B8531F" w14:textId="77777777" w:rsidR="00AB40D2" w:rsidRPr="00B621BA" w:rsidRDefault="00AB40D2">
      <w:pPr>
        <w:widowControl w:val="0"/>
      </w:pPr>
      <w:bookmarkStart w:id="279" w:name="_Toc408494371"/>
      <w:r w:rsidRPr="00C47CBC">
        <w:t>Spectrum needs to be divided into lots before it can be offered to the market. There are two dimensions to lot configuration</w:t>
      </w:r>
      <w:r>
        <w:t>—</w:t>
      </w:r>
      <w:r w:rsidRPr="00C47CBC">
        <w:t>bandwidth and geography.</w:t>
      </w:r>
      <w:r>
        <w:t xml:space="preserve"> </w:t>
      </w:r>
      <w:r w:rsidRPr="00B621BA">
        <w:t xml:space="preserve">In deciding lot configuration for any allocation, the ACMA considers a range of factors, including the level of demand and the technical characteristics of the spectrum. </w:t>
      </w:r>
    </w:p>
    <w:p w14:paraId="22455727" w14:textId="562A280C" w:rsidR="00AB40D2" w:rsidRPr="00B621BA" w:rsidRDefault="00AB40D2">
      <w:pPr>
        <w:widowControl w:val="0"/>
      </w:pPr>
      <w:r w:rsidRPr="00B621BA">
        <w:t xml:space="preserve">The objective is to configure the spectrum to promote its efficient allocation and use. In addressing this </w:t>
      </w:r>
      <w:r>
        <w:t>issue</w:t>
      </w:r>
      <w:r w:rsidRPr="00B621BA">
        <w:t>, the ACMA needs to ensure that the lot configuration does not unduly limit or dictate market outcomes or hinder competition between auction participants.</w:t>
      </w:r>
    </w:p>
    <w:p w14:paraId="3985BC2F" w14:textId="77777777" w:rsidR="00AB40D2" w:rsidRPr="00C325C9" w:rsidRDefault="00AB40D2">
      <w:pPr>
        <w:pStyle w:val="Heading3"/>
      </w:pPr>
      <w:bookmarkStart w:id="280" w:name="_Toc496277337"/>
      <w:bookmarkStart w:id="281" w:name="_Toc496277736"/>
      <w:bookmarkStart w:id="282" w:name="_Toc496527248"/>
      <w:bookmarkStart w:id="283" w:name="_Toc496527423"/>
      <w:bookmarkStart w:id="284" w:name="_Toc8207141"/>
      <w:r>
        <w:t>Spectrum demand</w:t>
      </w:r>
      <w:bookmarkEnd w:id="280"/>
      <w:bookmarkEnd w:id="281"/>
      <w:bookmarkEnd w:id="282"/>
      <w:bookmarkEnd w:id="283"/>
      <w:bookmarkEnd w:id="284"/>
    </w:p>
    <w:p w14:paraId="5A912F7D" w14:textId="50A25FC2" w:rsidR="00AB40D2" w:rsidRDefault="00AB40D2">
      <w:r>
        <w:t xml:space="preserve">As outlined in the </w:t>
      </w:r>
      <w:r w:rsidRPr="00E425DA">
        <w:t>decision paper</w:t>
      </w:r>
      <w:r>
        <w:t xml:space="preserve">, the anticipated use of the band is for fixed and/or mobile wireless broadband services. If the spectrum is reallocated and auctioned, demand in this auction is likely to come primarily from mobile network operators. These parties are expected to use the spectrum for the deployment of </w:t>
      </w:r>
      <w:r w:rsidR="00721143">
        <w:t xml:space="preserve">mobile </w:t>
      </w:r>
      <w:r>
        <w:t>wireless broadband networks. It is possible that fixed wireless broadband providers may also participate in an auction.</w:t>
      </w:r>
      <w:r w:rsidDel="00941EC7">
        <w:t xml:space="preserve"> </w:t>
      </w:r>
    </w:p>
    <w:p w14:paraId="7FDB67B9" w14:textId="77777777" w:rsidR="00AB40D2" w:rsidRDefault="00AB40D2">
      <w:pPr>
        <w:pStyle w:val="Heading3"/>
      </w:pPr>
      <w:bookmarkStart w:id="285" w:name="_Toc496527249"/>
      <w:bookmarkStart w:id="286" w:name="_Toc496527424"/>
      <w:bookmarkStart w:id="287" w:name="_Toc8207142"/>
      <w:bookmarkStart w:id="288" w:name="_Toc408846615"/>
      <w:bookmarkStart w:id="289" w:name="_Toc409015485"/>
      <w:bookmarkStart w:id="290" w:name="_Toc409528649"/>
      <w:bookmarkStart w:id="291" w:name="_Toc409016978"/>
      <w:bookmarkStart w:id="292" w:name="_Toc410918174"/>
      <w:bookmarkStart w:id="293" w:name="_Toc496277338"/>
      <w:bookmarkStart w:id="294" w:name="_Toc496277737"/>
      <w:r>
        <w:t>Frequency lot configuration</w:t>
      </w:r>
      <w:bookmarkEnd w:id="285"/>
      <w:bookmarkEnd w:id="286"/>
      <w:bookmarkEnd w:id="287"/>
    </w:p>
    <w:bookmarkEnd w:id="288"/>
    <w:bookmarkEnd w:id="289"/>
    <w:bookmarkEnd w:id="290"/>
    <w:bookmarkEnd w:id="291"/>
    <w:bookmarkEnd w:id="292"/>
    <w:bookmarkEnd w:id="293"/>
    <w:bookmarkEnd w:id="294"/>
    <w:p w14:paraId="1F271E6B" w14:textId="1883DA43" w:rsidR="00AB40D2" w:rsidRDefault="00AB40D2">
      <w:r>
        <w:t xml:space="preserve">If the minister accepts </w:t>
      </w:r>
      <w:r w:rsidR="007822B6">
        <w:t>the ACMA’s proposed</w:t>
      </w:r>
      <w:r>
        <w:t xml:space="preserve"> recommendation to reallocate the </w:t>
      </w:r>
      <w:r w:rsidR="00352F24">
        <w:t>26</w:t>
      </w:r>
      <w:r w:rsidR="00E727F2">
        <w:t> </w:t>
      </w:r>
      <w:r w:rsidR="003B08F8">
        <w:t>GHz</w:t>
      </w:r>
      <w:r w:rsidR="00BB53CE">
        <w:t xml:space="preserve"> </w:t>
      </w:r>
      <w:r w:rsidR="00352F24">
        <w:t xml:space="preserve">band </w:t>
      </w:r>
      <w:r w:rsidR="00A92FEC">
        <w:t>for spectrum licensing</w:t>
      </w:r>
      <w:r>
        <w:t xml:space="preserve">, then there would be </w:t>
      </w:r>
      <w:r w:rsidR="003B08F8">
        <w:t>2.4 GHz</w:t>
      </w:r>
      <w:r>
        <w:t xml:space="preserve"> of spectrum on offer across </w:t>
      </w:r>
      <w:r w:rsidR="00291D23">
        <w:t xml:space="preserve">the defined </w:t>
      </w:r>
      <w:r w:rsidR="004C16D3">
        <w:t>areas</w:t>
      </w:r>
      <w:r>
        <w:t>. As previously outlined, the anticipated use of the band is wireless broadband</w:t>
      </w:r>
      <w:r w:rsidR="00D05D34">
        <w:t xml:space="preserve"> with the higher band frequencies providin</w:t>
      </w:r>
      <w:r w:rsidR="00107131">
        <w:t>g</w:t>
      </w:r>
      <w:r w:rsidR="00D05D34">
        <w:t xml:space="preserve"> for short-range, higher capacity services</w:t>
      </w:r>
      <w:r>
        <w:t xml:space="preserve">. There has been consensus arising from the ACMA’s work with industry to date that if </w:t>
      </w:r>
      <w:r w:rsidR="00352F24">
        <w:t>the 26</w:t>
      </w:r>
      <w:r w:rsidR="001E4AD2">
        <w:t xml:space="preserve"> GHz</w:t>
      </w:r>
      <w:r w:rsidR="00BB53CE">
        <w:t xml:space="preserve"> </w:t>
      </w:r>
      <w:r w:rsidR="00352F24">
        <w:t xml:space="preserve">band </w:t>
      </w:r>
      <w:r>
        <w:t xml:space="preserve">is reallocated, </w:t>
      </w:r>
      <w:r w:rsidRPr="003F1A7A">
        <w:t>the spectrum should be configured as time division duplex (TDD), which is unpaired.</w:t>
      </w:r>
      <w:r>
        <w:t xml:space="preserve"> The ACMA </w:t>
      </w:r>
      <w:r w:rsidR="00685F42">
        <w:t>considers</w:t>
      </w:r>
      <w:r>
        <w:t xml:space="preserve"> </w:t>
      </w:r>
      <w:r w:rsidR="00486A9D">
        <w:t>the spectrum</w:t>
      </w:r>
      <w:r>
        <w:t xml:space="preserve"> will be</w:t>
      </w:r>
      <w:r>
        <w:rPr>
          <w:rFonts w:cs="Arial"/>
        </w:rPr>
        <w:t xml:space="preserve"> optimised when using multiples of </w:t>
      </w:r>
      <w:r w:rsidR="00486A9D">
        <w:rPr>
          <w:rFonts w:cs="Arial"/>
        </w:rPr>
        <w:t>100</w:t>
      </w:r>
      <w:r>
        <w:rPr>
          <w:rFonts w:cs="Arial"/>
        </w:rPr>
        <w:t xml:space="preserve"> MHz channels.</w:t>
      </w:r>
      <w:r>
        <w:t xml:space="preserve"> </w:t>
      </w:r>
    </w:p>
    <w:p w14:paraId="59984A2D" w14:textId="2E458223" w:rsidR="00AB40D2" w:rsidRPr="008B632A" w:rsidRDefault="00AB40D2">
      <w:r>
        <w:t xml:space="preserve">The ACMA </w:t>
      </w:r>
      <w:r w:rsidR="007A1D7F">
        <w:t>is of the view</w:t>
      </w:r>
      <w:r w:rsidRPr="008B632A">
        <w:rPr>
          <w:rFonts w:cs="Arial"/>
        </w:rPr>
        <w:t xml:space="preserve"> that it </w:t>
      </w:r>
      <w:r>
        <w:rPr>
          <w:rFonts w:cs="Arial"/>
        </w:rPr>
        <w:t>would be</w:t>
      </w:r>
      <w:r w:rsidRPr="008B632A">
        <w:rPr>
          <w:rFonts w:cs="Arial"/>
        </w:rPr>
        <w:t xml:space="preserve"> necessary to offer the spectrum in equal sized lots. This </w:t>
      </w:r>
      <w:r>
        <w:rPr>
          <w:rFonts w:cs="Arial"/>
        </w:rPr>
        <w:t xml:space="preserve">would </w:t>
      </w:r>
      <w:r w:rsidRPr="008B632A">
        <w:rPr>
          <w:rFonts w:cs="Arial"/>
        </w:rPr>
        <w:t>enable effective substitution through the auction</w:t>
      </w:r>
      <w:r>
        <w:rPr>
          <w:rFonts w:cs="Arial"/>
        </w:rPr>
        <w:t xml:space="preserve"> with the use of generic lots</w:t>
      </w:r>
      <w:r w:rsidRPr="008B632A">
        <w:rPr>
          <w:rFonts w:cs="Arial"/>
        </w:rPr>
        <w:t xml:space="preserve">. In the clock stage of the </w:t>
      </w:r>
      <w:r>
        <w:rPr>
          <w:rFonts w:cs="Arial"/>
        </w:rPr>
        <w:t>ESMRA</w:t>
      </w:r>
      <w:r w:rsidRPr="008B632A">
        <w:rPr>
          <w:rFonts w:cs="Arial"/>
        </w:rPr>
        <w:t xml:space="preserve">, </w:t>
      </w:r>
      <w:r w:rsidRPr="008B632A">
        <w:t xml:space="preserve">the auctioneer specifies the supply of lots in each category and the category’s starting price (reserve price). </w:t>
      </w:r>
    </w:p>
    <w:p w14:paraId="00B85970" w14:textId="6D574FDB" w:rsidR="00C039BB" w:rsidRPr="00C039BB" w:rsidRDefault="00BD7623" w:rsidP="006E0DC8">
      <w:pPr>
        <w:pStyle w:val="BodySubHeader"/>
      </w:pPr>
      <w:r>
        <w:t>Option 1</w:t>
      </w:r>
      <w:r w:rsidR="00BE4B1E">
        <w:t>:</w:t>
      </w:r>
      <w:r>
        <w:t xml:space="preserve"> </w:t>
      </w:r>
      <w:r w:rsidR="00C039BB" w:rsidRPr="00C039BB">
        <w:t>24 x 100</w:t>
      </w:r>
      <w:r w:rsidR="00904CA3">
        <w:t xml:space="preserve"> </w:t>
      </w:r>
      <w:r w:rsidR="00C039BB" w:rsidRPr="00C039BB">
        <w:t>MHz lots</w:t>
      </w:r>
    </w:p>
    <w:p w14:paraId="5AF886F0" w14:textId="0F3A2113" w:rsidR="00AB40D2" w:rsidRDefault="00AB40D2" w:rsidP="00BA2F3B">
      <w:pPr>
        <w:widowControl w:val="0"/>
        <w:rPr>
          <w:rFonts w:eastAsia="Calibri" w:cs="Arial"/>
          <w:lang w:eastAsia="en-US"/>
        </w:rPr>
      </w:pPr>
      <w:r>
        <w:rPr>
          <w:rFonts w:cs="Arial"/>
        </w:rPr>
        <w:t xml:space="preserve">Assuming all lots are the same bandwidth, and that </w:t>
      </w:r>
      <w:r w:rsidR="00486A9D">
        <w:rPr>
          <w:rFonts w:cs="Arial"/>
        </w:rPr>
        <w:t xml:space="preserve">the </w:t>
      </w:r>
      <w:proofErr w:type="spellStart"/>
      <w:r w:rsidR="00486A9D">
        <w:rPr>
          <w:rFonts w:cs="Arial"/>
        </w:rPr>
        <w:t>mmWave</w:t>
      </w:r>
      <w:proofErr w:type="spellEnd"/>
      <w:r>
        <w:rPr>
          <w:rFonts w:cs="Arial"/>
        </w:rPr>
        <w:t xml:space="preserve"> 5G </w:t>
      </w:r>
      <w:r w:rsidR="00B72E9B">
        <w:rPr>
          <w:rFonts w:cs="Arial"/>
        </w:rPr>
        <w:t xml:space="preserve">spectrum is </w:t>
      </w:r>
      <w:r>
        <w:rPr>
          <w:rFonts w:cs="Arial"/>
        </w:rPr>
        <w:t xml:space="preserve">optimised by using multiples of </w:t>
      </w:r>
      <w:r w:rsidR="00B72E9B">
        <w:rPr>
          <w:rFonts w:cs="Arial"/>
        </w:rPr>
        <w:t>100</w:t>
      </w:r>
      <w:r>
        <w:rPr>
          <w:rFonts w:cs="Arial"/>
        </w:rPr>
        <w:t xml:space="preserve"> MHz, </w:t>
      </w:r>
      <w:r w:rsidR="00107131">
        <w:rPr>
          <w:rFonts w:cs="Arial"/>
        </w:rPr>
        <w:t>one</w:t>
      </w:r>
      <w:r w:rsidR="00B71B9C">
        <w:rPr>
          <w:rFonts w:cs="Arial"/>
        </w:rPr>
        <w:t xml:space="preserve"> </w:t>
      </w:r>
      <w:r w:rsidRPr="008B632A">
        <w:rPr>
          <w:rFonts w:eastAsia="Calibri" w:cs="Arial"/>
          <w:lang w:eastAsia="en-US"/>
        </w:rPr>
        <w:t>option</w:t>
      </w:r>
      <w:r>
        <w:rPr>
          <w:rFonts w:eastAsia="Calibri" w:cs="Arial"/>
          <w:lang w:eastAsia="en-US"/>
        </w:rPr>
        <w:t xml:space="preserve"> </w:t>
      </w:r>
      <w:r w:rsidRPr="008B632A">
        <w:rPr>
          <w:rFonts w:eastAsia="Calibri" w:cs="Arial"/>
          <w:lang w:eastAsia="en-US"/>
        </w:rPr>
        <w:t>for lot configuration in</w:t>
      </w:r>
      <w:r w:rsidR="00525FAF">
        <w:rPr>
          <w:rFonts w:eastAsia="Calibri" w:cs="Arial"/>
          <w:lang w:eastAsia="en-US"/>
        </w:rPr>
        <w:t xml:space="preserve"> the </w:t>
      </w:r>
      <w:r w:rsidR="00BB53CE">
        <w:t>26</w:t>
      </w:r>
      <w:r w:rsidR="00B72E9B">
        <w:t xml:space="preserve"> </w:t>
      </w:r>
      <w:r w:rsidRPr="008B632A">
        <w:rPr>
          <w:rFonts w:eastAsia="Calibri" w:cs="Arial"/>
          <w:lang w:eastAsia="en-US"/>
        </w:rPr>
        <w:t xml:space="preserve">GHz </w:t>
      </w:r>
      <w:r w:rsidR="00BB53CE">
        <w:rPr>
          <w:rFonts w:eastAsia="Calibri" w:cs="Arial"/>
          <w:lang w:eastAsia="en-US"/>
        </w:rPr>
        <w:t xml:space="preserve">band </w:t>
      </w:r>
      <w:r w:rsidRPr="008B632A">
        <w:rPr>
          <w:rFonts w:eastAsia="Calibri" w:cs="Arial"/>
          <w:lang w:eastAsia="en-US"/>
        </w:rPr>
        <w:t>allocation</w:t>
      </w:r>
      <w:r w:rsidR="009410C9">
        <w:rPr>
          <w:rFonts w:eastAsia="Calibri" w:cs="Arial"/>
          <w:lang w:eastAsia="en-US"/>
        </w:rPr>
        <w:t xml:space="preserve"> would be </w:t>
      </w:r>
      <w:r w:rsidR="009410C9">
        <w:rPr>
          <w:rFonts w:eastAsia="Calibri"/>
          <w:lang w:eastAsia="en-US"/>
        </w:rPr>
        <w:t xml:space="preserve">24 </w:t>
      </w:r>
      <w:r w:rsidR="009410C9" w:rsidRPr="00EB0797">
        <w:rPr>
          <w:rFonts w:eastAsia="Calibri"/>
          <w:lang w:eastAsia="en-US"/>
        </w:rPr>
        <w:t>x</w:t>
      </w:r>
      <w:r w:rsidR="009410C9">
        <w:rPr>
          <w:rFonts w:eastAsia="Calibri"/>
          <w:lang w:eastAsia="en-US"/>
        </w:rPr>
        <w:t xml:space="preserve"> 100</w:t>
      </w:r>
      <w:r w:rsidR="009E4626">
        <w:rPr>
          <w:rFonts w:eastAsia="Calibri"/>
          <w:lang w:eastAsia="en-US"/>
        </w:rPr>
        <w:t xml:space="preserve"> </w:t>
      </w:r>
      <w:r w:rsidR="009410C9" w:rsidRPr="00EB0797">
        <w:rPr>
          <w:rFonts w:eastAsia="Calibri"/>
          <w:lang w:eastAsia="en-US"/>
        </w:rPr>
        <w:t>MHz lots</w:t>
      </w:r>
      <w:r w:rsidR="009410C9">
        <w:rPr>
          <w:rFonts w:eastAsia="Calibri"/>
          <w:lang w:eastAsia="en-US"/>
        </w:rPr>
        <w:t xml:space="preserve"> in all </w:t>
      </w:r>
      <w:r w:rsidR="008F4AA6">
        <w:rPr>
          <w:rFonts w:eastAsia="Calibri"/>
          <w:lang w:eastAsia="en-US"/>
        </w:rPr>
        <w:t>defined</w:t>
      </w:r>
      <w:r w:rsidR="009410C9">
        <w:rPr>
          <w:rFonts w:eastAsia="Calibri"/>
          <w:lang w:eastAsia="en-US"/>
        </w:rPr>
        <w:t xml:space="preserve"> areas.</w:t>
      </w:r>
      <w:r w:rsidRPr="008B632A">
        <w:rPr>
          <w:rFonts w:eastAsia="Calibri" w:cs="Arial"/>
          <w:lang w:eastAsia="en-US"/>
        </w:rPr>
        <w:t xml:space="preserve"> </w:t>
      </w:r>
    </w:p>
    <w:p w14:paraId="01F2C49A" w14:textId="52230B6F" w:rsidR="00107131" w:rsidRDefault="00107131">
      <w:pPr>
        <w:widowControl w:val="0"/>
      </w:pPr>
      <w:r w:rsidRPr="00EB0797">
        <w:t xml:space="preserve">There </w:t>
      </w:r>
      <w:r>
        <w:t>is</w:t>
      </w:r>
      <w:r w:rsidRPr="00EB0797">
        <w:t xml:space="preserve"> a range of possible users for the </w:t>
      </w:r>
      <w:r>
        <w:t>2</w:t>
      </w:r>
      <w:r w:rsidRPr="00EB0797">
        <w:t xml:space="preserve">6 GHz band. A lot configuration </w:t>
      </w:r>
      <w:r>
        <w:t>with smaller lots</w:t>
      </w:r>
      <w:r w:rsidRPr="00EB0797">
        <w:t xml:space="preserve"> w</w:t>
      </w:r>
      <w:r>
        <w:t>ould</w:t>
      </w:r>
      <w:r w:rsidRPr="00EB0797">
        <w:t xml:space="preserve"> enable more users to potentially obtain spectrum in the allocation, </w:t>
      </w:r>
      <w:r>
        <w:t>including</w:t>
      </w:r>
      <w:r w:rsidRPr="00EB0797">
        <w:t xml:space="preserve"> those interested in relatively small amounts of spectrum</w:t>
      </w:r>
      <w:r w:rsidR="00FE7C20">
        <w:t xml:space="preserve"> such as local network operators</w:t>
      </w:r>
      <w:r w:rsidRPr="00EB0797">
        <w:t xml:space="preserve">. </w:t>
      </w:r>
    </w:p>
    <w:p w14:paraId="596D07A2" w14:textId="15C22D74" w:rsidR="00107131" w:rsidRDefault="00107131">
      <w:pPr>
        <w:widowControl w:val="0"/>
      </w:pPr>
      <w:r w:rsidRPr="00EB0797">
        <w:t>Offering the band in 2</w:t>
      </w:r>
      <w:r w:rsidR="003C3AD3">
        <w:t>4</w:t>
      </w:r>
      <w:r w:rsidRPr="00EB0797">
        <w:t xml:space="preserve"> x </w:t>
      </w:r>
      <w:r w:rsidR="003C3AD3">
        <w:t>100</w:t>
      </w:r>
      <w:r w:rsidRPr="00EB0797">
        <w:t xml:space="preserve"> MHz lots not only enables bidders to obtain small</w:t>
      </w:r>
      <w:r w:rsidR="003C3AD3">
        <w:t>er parcels of spectrum</w:t>
      </w:r>
      <w:r w:rsidRPr="00EB0797">
        <w:t xml:space="preserve"> (which may be attractive for smaller bidders), it also allows for the band to be split in a large number of ways</w:t>
      </w:r>
      <w:r w:rsidR="003C3AD3">
        <w:t>, offering flexibility to all bidders</w:t>
      </w:r>
      <w:r w:rsidRPr="00EB0797">
        <w:t xml:space="preserve">. </w:t>
      </w:r>
      <w:r w:rsidR="0087413F">
        <w:t xml:space="preserve">For example, during an auction </w:t>
      </w:r>
      <w:r w:rsidR="00375CE3">
        <w:t xml:space="preserve">a </w:t>
      </w:r>
      <w:r w:rsidR="0087413F">
        <w:t xml:space="preserve">smaller lot size enables bidders to express changes in demand </w:t>
      </w:r>
      <w:r w:rsidR="00053602">
        <w:t>more gra</w:t>
      </w:r>
      <w:r w:rsidR="00B048D0">
        <w:t>d</w:t>
      </w:r>
      <w:r w:rsidR="00053602">
        <w:t xml:space="preserve">ually. In addition, smaller lots would also </w:t>
      </w:r>
      <w:r w:rsidR="009A62DC">
        <w:t xml:space="preserve">enable greater flexibility for </w:t>
      </w:r>
      <w:r w:rsidR="00053602">
        <w:t xml:space="preserve">the application of </w:t>
      </w:r>
      <w:r w:rsidR="00685F42">
        <w:t xml:space="preserve">any allocation </w:t>
      </w:r>
      <w:r w:rsidR="00053602">
        <w:t>limits.</w:t>
      </w:r>
    </w:p>
    <w:p w14:paraId="4F67605C" w14:textId="08085AC4" w:rsidR="002145C3" w:rsidRDefault="00BD7623" w:rsidP="006E0DC8">
      <w:pPr>
        <w:pStyle w:val="BodySubHeader"/>
        <w:rPr>
          <w:rFonts w:eastAsia="Calibri"/>
          <w:lang w:eastAsia="en-US"/>
        </w:rPr>
      </w:pPr>
      <w:r>
        <w:rPr>
          <w:rFonts w:eastAsia="Calibri"/>
          <w:lang w:eastAsia="en-US"/>
        </w:rPr>
        <w:lastRenderedPageBreak/>
        <w:t>Option 2</w:t>
      </w:r>
      <w:r w:rsidR="00BE4B1E">
        <w:rPr>
          <w:rFonts w:eastAsia="Calibri"/>
          <w:lang w:eastAsia="en-US"/>
        </w:rPr>
        <w:t xml:space="preserve">: </w:t>
      </w:r>
      <w:r w:rsidR="002145C3" w:rsidRPr="00107131">
        <w:rPr>
          <w:rFonts w:eastAsia="Calibri"/>
          <w:lang w:eastAsia="en-US"/>
        </w:rPr>
        <w:t>6 x 400 MHz lots</w:t>
      </w:r>
    </w:p>
    <w:p w14:paraId="4BE89AF0" w14:textId="7369389E" w:rsidR="002145C3" w:rsidRDefault="00053602">
      <w:pPr>
        <w:widowControl w:val="0"/>
      </w:pPr>
      <w:r>
        <w:t>An</w:t>
      </w:r>
      <w:r w:rsidR="002145C3" w:rsidRPr="008B632A">
        <w:t xml:space="preserve">other alternative is to offer </w:t>
      </w:r>
      <w:r w:rsidR="002145C3">
        <w:t>six</w:t>
      </w:r>
      <w:r w:rsidR="002145C3" w:rsidRPr="008B632A">
        <w:t xml:space="preserve"> lots</w:t>
      </w:r>
      <w:r w:rsidR="002145C3">
        <w:t>,</w:t>
      </w:r>
      <w:r w:rsidR="002145C3" w:rsidRPr="008B632A">
        <w:t xml:space="preserve"> </w:t>
      </w:r>
      <w:r w:rsidR="002145C3">
        <w:t>each 400</w:t>
      </w:r>
      <w:r w:rsidR="002145C3" w:rsidRPr="008B632A">
        <w:t xml:space="preserve"> MHz in size</w:t>
      </w:r>
      <w:r w:rsidR="007049A0">
        <w:t>, noting</w:t>
      </w:r>
      <w:r w:rsidR="002145C3">
        <w:t xml:space="preserve"> that 400 MHz is currently the largest channel size included in 5G standards.</w:t>
      </w:r>
      <w:r w:rsidR="002145C3">
        <w:rPr>
          <w:rStyle w:val="FootnoteReference"/>
        </w:rPr>
        <w:footnoteReference w:id="17"/>
      </w:r>
      <w:r w:rsidR="004971B1">
        <w:t xml:space="preserve"> </w:t>
      </w:r>
      <w:r w:rsidR="00DF2D32">
        <w:t>S</w:t>
      </w:r>
      <w:r w:rsidR="004971B1">
        <w:t xml:space="preserve">ome stakeholders </w:t>
      </w:r>
      <w:r w:rsidR="003C53EF">
        <w:t xml:space="preserve">in response to the </w:t>
      </w:r>
      <w:r w:rsidR="00E22029">
        <w:t>o</w:t>
      </w:r>
      <w:r w:rsidR="00E22029" w:rsidRPr="00E22029">
        <w:t xml:space="preserve">ptions paper </w:t>
      </w:r>
      <w:r>
        <w:t xml:space="preserve">commented </w:t>
      </w:r>
      <w:r w:rsidR="003C53EF">
        <w:t xml:space="preserve">that as much spectrum as possible should be available for spectrum licensing and </w:t>
      </w:r>
      <w:r w:rsidR="004971B1">
        <w:t xml:space="preserve">that 800 MHz is needed to realise the full potential of </w:t>
      </w:r>
      <w:r w:rsidR="00015741">
        <w:t xml:space="preserve">5G </w:t>
      </w:r>
      <w:proofErr w:type="spellStart"/>
      <w:r w:rsidR="00015741">
        <w:t>mmWave</w:t>
      </w:r>
      <w:proofErr w:type="spellEnd"/>
      <w:r w:rsidR="004971B1">
        <w:t xml:space="preserve"> technology.</w:t>
      </w:r>
      <w:r w:rsidR="003C53EF">
        <w:rPr>
          <w:rStyle w:val="FootnoteReference"/>
        </w:rPr>
        <w:footnoteReference w:id="18"/>
      </w:r>
    </w:p>
    <w:p w14:paraId="4AC16BF2" w14:textId="7A2BA03F" w:rsidR="002B214E" w:rsidRDefault="002B214E" w:rsidP="002B214E">
      <w:pPr>
        <w:widowControl w:val="0"/>
      </w:pPr>
      <w:r>
        <w:rPr>
          <w:rFonts w:eastAsia="Calibri" w:cs="Arial"/>
          <w:lang w:eastAsia="en-US"/>
        </w:rPr>
        <w:t xml:space="preserve">A lot structure of 6 x 400 MHz would go some way to mitigating frequency based exposure risk as bidders are less likely to obtain uneconomical amounts </w:t>
      </w:r>
      <w:r w:rsidRPr="008B632A">
        <w:t>of spectrum</w:t>
      </w:r>
      <w:r>
        <w:t>, which is</w:t>
      </w:r>
      <w:r w:rsidRPr="008B632A">
        <w:t xml:space="preserve"> one possible element of the exposure risk.</w:t>
      </w:r>
    </w:p>
    <w:p w14:paraId="358CCA25" w14:textId="2B518E91" w:rsidR="002145C3" w:rsidRDefault="00DF2D32">
      <w:pPr>
        <w:widowControl w:val="0"/>
      </w:pPr>
      <w:r>
        <w:t>A</w:t>
      </w:r>
      <w:r w:rsidR="007049A0">
        <w:t xml:space="preserve"> larger lot size </w:t>
      </w:r>
      <w:r w:rsidR="002145C3" w:rsidRPr="008B632A">
        <w:t xml:space="preserve">limits the expression of demand into </w:t>
      </w:r>
      <w:r w:rsidR="002145C3">
        <w:t>increments of</w:t>
      </w:r>
      <w:r w:rsidR="002145C3" w:rsidRPr="008B632A">
        <w:t xml:space="preserve"> </w:t>
      </w:r>
      <w:r w:rsidR="002145C3">
        <w:t>400</w:t>
      </w:r>
      <w:r w:rsidR="002145C3" w:rsidRPr="008B632A">
        <w:t xml:space="preserve"> MHz</w:t>
      </w:r>
      <w:r w:rsidR="002145C3">
        <w:t xml:space="preserve"> </w:t>
      </w:r>
      <w:r w:rsidR="002145C3" w:rsidRPr="008B632A">
        <w:t>(</w:t>
      </w:r>
      <w:r w:rsidR="001C4355">
        <w:t>such as</w:t>
      </w:r>
      <w:r w:rsidR="002145C3" w:rsidRPr="008B632A">
        <w:t xml:space="preserve"> </w:t>
      </w:r>
      <w:r w:rsidR="002145C3">
        <w:t>400</w:t>
      </w:r>
      <w:r w:rsidR="005C0CEF">
        <w:t> </w:t>
      </w:r>
      <w:r w:rsidR="002145C3" w:rsidRPr="008B632A">
        <w:t xml:space="preserve">MHz, </w:t>
      </w:r>
      <w:r w:rsidR="002145C3">
        <w:t>800</w:t>
      </w:r>
      <w:r w:rsidR="002145C3" w:rsidRPr="008B632A">
        <w:t xml:space="preserve"> MHz</w:t>
      </w:r>
      <w:r w:rsidR="002145C3">
        <w:t>, 1200 MHz</w:t>
      </w:r>
      <w:r w:rsidR="002145C3" w:rsidRPr="008B632A">
        <w:t xml:space="preserve">). There are </w:t>
      </w:r>
      <w:r w:rsidR="002145C3">
        <w:t xml:space="preserve">fewer </w:t>
      </w:r>
      <w:r w:rsidR="002145C3" w:rsidRPr="008B632A">
        <w:t xml:space="preserve">combinations of possible allocations, and as such, it may eliminate the potential to achieve </w:t>
      </w:r>
      <w:r w:rsidR="00BB25A4">
        <w:t>an</w:t>
      </w:r>
      <w:r w:rsidR="002145C3" w:rsidRPr="008B632A">
        <w:t xml:space="preserve"> efficient allocation</w:t>
      </w:r>
      <w:r w:rsidR="002145C3">
        <w:t xml:space="preserve">. </w:t>
      </w:r>
      <w:r w:rsidR="002145C3" w:rsidRPr="008B632A">
        <w:t xml:space="preserve">Contrary to the objective of setting lot configurations, such a limitation risks </w:t>
      </w:r>
      <w:r w:rsidR="002145C3" w:rsidRPr="00EB0797">
        <w:t>dictating market outcomes and/or hindering competition between auction participants.</w:t>
      </w:r>
    </w:p>
    <w:p w14:paraId="199EFE03" w14:textId="77777777" w:rsidR="00B9677B" w:rsidRDefault="004F61B2" w:rsidP="006E0DC8">
      <w:pPr>
        <w:pStyle w:val="BodySubHeader"/>
        <w:rPr>
          <w:rFonts w:eastAsia="Calibri"/>
          <w:lang w:eastAsia="en-US"/>
        </w:rPr>
      </w:pPr>
      <w:r>
        <w:rPr>
          <w:rFonts w:eastAsia="Calibri"/>
          <w:lang w:eastAsia="en-US"/>
        </w:rPr>
        <w:t xml:space="preserve">Other factors </w:t>
      </w:r>
    </w:p>
    <w:p w14:paraId="75EA7F2E" w14:textId="42DD3236" w:rsidR="009410C9" w:rsidRDefault="009410C9">
      <w:pPr>
        <w:pStyle w:val="ListBulletLast"/>
        <w:numPr>
          <w:ilvl w:val="0"/>
          <w:numId w:val="0"/>
        </w:numPr>
        <w:rPr>
          <w:rFonts w:eastAsia="Calibri"/>
          <w:lang w:eastAsia="en-US"/>
        </w:rPr>
      </w:pPr>
      <w:r>
        <w:rPr>
          <w:rFonts w:eastAsia="Calibri"/>
          <w:lang w:eastAsia="en-US"/>
        </w:rPr>
        <w:t xml:space="preserve">Other considerations on lot configuration include any technical requirements that may </w:t>
      </w:r>
      <w:r w:rsidR="00C039BB">
        <w:rPr>
          <w:rFonts w:eastAsia="Calibri"/>
          <w:lang w:eastAsia="en-US"/>
        </w:rPr>
        <w:t xml:space="preserve">be </w:t>
      </w:r>
      <w:r w:rsidR="00526E55">
        <w:rPr>
          <w:rFonts w:eastAsia="Calibri"/>
          <w:lang w:eastAsia="en-US"/>
        </w:rPr>
        <w:t xml:space="preserve">included to accommodate </w:t>
      </w:r>
      <w:r w:rsidR="00C46F43">
        <w:rPr>
          <w:rFonts w:eastAsia="Calibri"/>
          <w:lang w:eastAsia="en-US"/>
        </w:rPr>
        <w:t>coexistence of services i</w:t>
      </w:r>
      <w:r w:rsidR="00526E55">
        <w:rPr>
          <w:rFonts w:eastAsia="Calibri"/>
          <w:lang w:eastAsia="en-US"/>
        </w:rPr>
        <w:t xml:space="preserve">n the </w:t>
      </w:r>
      <w:r w:rsidR="00FB128B">
        <w:rPr>
          <w:rFonts w:eastAsia="Calibri"/>
          <w:lang w:eastAsia="en-US"/>
        </w:rPr>
        <w:t xml:space="preserve">wider </w:t>
      </w:r>
      <w:r w:rsidR="00DF2D32">
        <w:rPr>
          <w:rFonts w:eastAsia="Calibri"/>
          <w:lang w:eastAsia="en-US"/>
        </w:rPr>
        <w:t xml:space="preserve">26 GHz </w:t>
      </w:r>
      <w:r w:rsidR="00526E55">
        <w:rPr>
          <w:rFonts w:eastAsia="Calibri"/>
          <w:lang w:eastAsia="en-US"/>
        </w:rPr>
        <w:t>band.</w:t>
      </w:r>
      <w:r>
        <w:rPr>
          <w:rFonts w:eastAsia="Calibri"/>
          <w:lang w:eastAsia="en-US"/>
        </w:rPr>
        <w:t xml:space="preserve"> As detailed in the decision paper</w:t>
      </w:r>
      <w:r w:rsidR="00FC01F9">
        <w:rPr>
          <w:rStyle w:val="FootnoteReference"/>
          <w:rFonts w:eastAsia="Calibri"/>
          <w:lang w:eastAsia="en-US"/>
        </w:rPr>
        <w:footnoteReference w:id="19"/>
      </w:r>
      <w:r w:rsidR="00E728F1">
        <w:rPr>
          <w:rFonts w:eastAsia="Calibri"/>
          <w:lang w:eastAsia="en-US"/>
        </w:rPr>
        <w:t xml:space="preserve"> additional conditions are proposed to safeguard </w:t>
      </w:r>
      <w:r w:rsidR="00DF2D32">
        <w:t>NBN</w:t>
      </w:r>
      <w:r w:rsidR="00A61D65">
        <w:t> </w:t>
      </w:r>
      <w:r w:rsidR="00DF2D32">
        <w:t>Co’s FSS Earth-to-space stations in south</w:t>
      </w:r>
      <w:r w:rsidR="00970D71">
        <w:t>ern</w:t>
      </w:r>
      <w:r w:rsidR="00DF2D32">
        <w:t xml:space="preserve"> Western Australia and Tasmania</w:t>
      </w:r>
      <w:r w:rsidR="00DF2D32">
        <w:rPr>
          <w:rFonts w:eastAsia="Calibri"/>
          <w:lang w:eastAsia="en-US"/>
        </w:rPr>
        <w:t>.</w:t>
      </w:r>
      <w:r w:rsidR="00E21652">
        <w:rPr>
          <w:rFonts w:eastAsia="Calibri"/>
          <w:lang w:eastAsia="en-US"/>
        </w:rPr>
        <w:t xml:space="preserve"> </w:t>
      </w:r>
      <w:r w:rsidR="00DF2D32">
        <w:rPr>
          <w:rFonts w:eastAsia="Calibri"/>
          <w:lang w:eastAsia="en-US"/>
        </w:rPr>
        <w:t>These</w:t>
      </w:r>
      <w:r w:rsidR="00DF2D32" w:rsidDel="0031398B">
        <w:rPr>
          <w:rFonts w:eastAsia="Calibri"/>
          <w:lang w:eastAsia="en-US"/>
        </w:rPr>
        <w:t xml:space="preserve"> </w:t>
      </w:r>
      <w:r w:rsidR="00523C97" w:rsidDel="0031398B">
        <w:rPr>
          <w:rFonts w:eastAsia="Calibri"/>
          <w:lang w:eastAsia="en-US"/>
        </w:rPr>
        <w:t>additional</w:t>
      </w:r>
      <w:r w:rsidR="00DF2D32">
        <w:rPr>
          <w:rFonts w:eastAsia="Calibri"/>
          <w:lang w:eastAsia="en-US"/>
        </w:rPr>
        <w:t xml:space="preserve"> conditions </w:t>
      </w:r>
      <w:r w:rsidR="0031398B">
        <w:rPr>
          <w:rFonts w:eastAsia="Calibri"/>
          <w:lang w:eastAsia="en-US"/>
        </w:rPr>
        <w:t xml:space="preserve">would </w:t>
      </w:r>
      <w:r w:rsidR="007822B6">
        <w:rPr>
          <w:rFonts w:eastAsia="Calibri"/>
          <w:lang w:eastAsia="en-US"/>
        </w:rPr>
        <w:t xml:space="preserve">be </w:t>
      </w:r>
      <w:r w:rsidR="00DF2D32">
        <w:rPr>
          <w:rFonts w:eastAsia="Calibri"/>
          <w:lang w:eastAsia="en-US"/>
        </w:rPr>
        <w:t xml:space="preserve">placed on </w:t>
      </w:r>
      <w:r w:rsidR="00523C97">
        <w:rPr>
          <w:rFonts w:eastAsia="Calibri"/>
          <w:lang w:eastAsia="en-US"/>
        </w:rPr>
        <w:t xml:space="preserve">spectrum licences </w:t>
      </w:r>
      <w:r w:rsidR="00523C97" w:rsidDel="007822B6">
        <w:rPr>
          <w:rFonts w:eastAsia="Calibri"/>
          <w:lang w:eastAsia="en-US"/>
        </w:rPr>
        <w:t xml:space="preserve">in </w:t>
      </w:r>
      <w:r w:rsidR="00E728F1">
        <w:rPr>
          <w:rFonts w:eastAsia="Calibri"/>
          <w:lang w:eastAsia="en-US"/>
        </w:rPr>
        <w:t xml:space="preserve">the frequency range </w:t>
      </w:r>
      <w:r w:rsidR="00FC01F9">
        <w:rPr>
          <w:rFonts w:eastAsia="Calibri"/>
          <w:lang w:eastAsia="en-US"/>
        </w:rPr>
        <w:t>(27</w:t>
      </w:r>
      <w:r w:rsidR="00015741">
        <w:rPr>
          <w:rFonts w:eastAsia="Calibri"/>
          <w:lang w:eastAsia="en-US"/>
        </w:rPr>
        <w:t>–</w:t>
      </w:r>
      <w:r w:rsidR="00FC01F9">
        <w:rPr>
          <w:rFonts w:eastAsia="Calibri"/>
          <w:lang w:eastAsia="en-US"/>
        </w:rPr>
        <w:t xml:space="preserve">27.5 </w:t>
      </w:r>
      <w:r w:rsidR="009E4626">
        <w:rPr>
          <w:rFonts w:eastAsia="Calibri"/>
          <w:lang w:eastAsia="en-US"/>
        </w:rPr>
        <w:t>GHz</w:t>
      </w:r>
      <w:r w:rsidR="00FC01F9">
        <w:rPr>
          <w:rFonts w:eastAsia="Calibri"/>
          <w:lang w:eastAsia="en-US"/>
        </w:rPr>
        <w:t xml:space="preserve">) </w:t>
      </w:r>
      <w:r w:rsidR="00523C97">
        <w:rPr>
          <w:rFonts w:eastAsia="Calibri"/>
          <w:lang w:eastAsia="en-US"/>
        </w:rPr>
        <w:t xml:space="preserve">that cover geographic areas </w:t>
      </w:r>
      <w:r w:rsidR="0051334E">
        <w:rPr>
          <w:rFonts w:eastAsia="Calibri"/>
          <w:lang w:eastAsia="en-US"/>
        </w:rPr>
        <w:t>within</w:t>
      </w:r>
      <w:r w:rsidR="00523C97" w:rsidDel="0031398B">
        <w:rPr>
          <w:rFonts w:eastAsia="Calibri"/>
          <w:lang w:eastAsia="en-US"/>
        </w:rPr>
        <w:t xml:space="preserve"> </w:t>
      </w:r>
      <w:r w:rsidR="00015741">
        <w:rPr>
          <w:rFonts w:eastAsia="Calibri"/>
          <w:lang w:eastAsia="en-US"/>
        </w:rPr>
        <w:t>NBN Co</w:t>
      </w:r>
      <w:r w:rsidR="00523C97">
        <w:rPr>
          <w:rFonts w:eastAsia="Calibri"/>
          <w:lang w:eastAsia="en-US"/>
        </w:rPr>
        <w:t>’s</w:t>
      </w:r>
      <w:r w:rsidR="00015741">
        <w:rPr>
          <w:rFonts w:eastAsia="Calibri"/>
          <w:lang w:eastAsia="en-US"/>
        </w:rPr>
        <w:t xml:space="preserve"> </w:t>
      </w:r>
      <w:r w:rsidR="00197334">
        <w:rPr>
          <w:rFonts w:eastAsia="Calibri"/>
          <w:lang w:eastAsia="en-US"/>
        </w:rPr>
        <w:t xml:space="preserve">satellite </w:t>
      </w:r>
      <w:r w:rsidR="00FC01F9">
        <w:rPr>
          <w:rFonts w:eastAsia="Calibri"/>
          <w:lang w:eastAsia="en-US"/>
        </w:rPr>
        <w:t>gateway</w:t>
      </w:r>
      <w:r w:rsidR="003B698B">
        <w:rPr>
          <w:rFonts w:eastAsia="Calibri"/>
          <w:lang w:eastAsia="en-US"/>
        </w:rPr>
        <w:t xml:space="preserve"> footprints</w:t>
      </w:r>
      <w:r w:rsidR="0031398B">
        <w:rPr>
          <w:rFonts w:eastAsia="Calibri"/>
          <w:lang w:eastAsia="en-US"/>
        </w:rPr>
        <w:t xml:space="preserve">. The areas </w:t>
      </w:r>
      <w:r w:rsidR="001D7BC3">
        <w:rPr>
          <w:rFonts w:eastAsia="Calibri"/>
          <w:lang w:eastAsia="en-US"/>
        </w:rPr>
        <w:t>include</w:t>
      </w:r>
      <w:r w:rsidR="00523C97">
        <w:rPr>
          <w:rFonts w:eastAsia="Calibri"/>
          <w:lang w:eastAsia="en-US"/>
        </w:rPr>
        <w:t xml:space="preserve"> </w:t>
      </w:r>
      <w:r w:rsidR="00E728F1">
        <w:rPr>
          <w:rFonts w:eastAsia="Calibri"/>
          <w:lang w:eastAsia="en-US"/>
        </w:rPr>
        <w:t>Perth, Bunbury and Margaret River</w:t>
      </w:r>
      <w:r w:rsidR="00523C97">
        <w:rPr>
          <w:rFonts w:eastAsia="Calibri"/>
          <w:lang w:eastAsia="en-US"/>
        </w:rPr>
        <w:t xml:space="preserve"> </w:t>
      </w:r>
      <w:r w:rsidR="00970D71">
        <w:rPr>
          <w:rFonts w:eastAsia="Calibri"/>
          <w:lang w:eastAsia="en-US"/>
        </w:rPr>
        <w:t>(Figure</w:t>
      </w:r>
      <w:r w:rsidR="007741FC">
        <w:rPr>
          <w:rFonts w:eastAsia="Calibri"/>
          <w:lang w:eastAsia="en-US"/>
        </w:rPr>
        <w:t xml:space="preserve"> </w:t>
      </w:r>
      <w:r w:rsidR="00CE1D62">
        <w:rPr>
          <w:rFonts w:eastAsia="Calibri"/>
          <w:lang w:eastAsia="en-US"/>
        </w:rPr>
        <w:t>6</w:t>
      </w:r>
      <w:r w:rsidR="00970D71">
        <w:rPr>
          <w:rFonts w:eastAsia="Calibri"/>
          <w:lang w:eastAsia="en-US"/>
        </w:rPr>
        <w:t>)</w:t>
      </w:r>
      <w:r w:rsidR="007741FC">
        <w:rPr>
          <w:rFonts w:eastAsia="Calibri"/>
          <w:lang w:eastAsia="en-US"/>
        </w:rPr>
        <w:t xml:space="preserve"> </w:t>
      </w:r>
      <w:r w:rsidR="007740F0">
        <w:rPr>
          <w:rFonts w:eastAsia="Calibri"/>
          <w:lang w:eastAsia="en-US"/>
        </w:rPr>
        <w:t>and</w:t>
      </w:r>
      <w:r w:rsidR="007741FC">
        <w:rPr>
          <w:rFonts w:eastAsia="Calibri"/>
          <w:lang w:eastAsia="en-US"/>
        </w:rPr>
        <w:t xml:space="preserve"> </w:t>
      </w:r>
      <w:r w:rsidR="00970D71">
        <w:rPr>
          <w:rFonts w:eastAsia="Calibri"/>
          <w:lang w:eastAsia="en-US"/>
        </w:rPr>
        <w:t>Hobart (Figure</w:t>
      </w:r>
      <w:r w:rsidR="007741FC" w:rsidRPr="004141EF">
        <w:t xml:space="preserve"> </w:t>
      </w:r>
      <w:r w:rsidR="00CE1D62" w:rsidRPr="004141EF">
        <w:t>7</w:t>
      </w:r>
      <w:r w:rsidR="00970D71">
        <w:t>)</w:t>
      </w:r>
      <w:r w:rsidR="0001491D" w:rsidRPr="004141EF">
        <w:t>.</w:t>
      </w:r>
    </w:p>
    <w:p w14:paraId="4B7957CC" w14:textId="673E02D5" w:rsidR="006F1882" w:rsidRDefault="00C46F43">
      <w:pPr>
        <w:pStyle w:val="ListBulletLast"/>
        <w:numPr>
          <w:ilvl w:val="0"/>
          <w:numId w:val="0"/>
        </w:numPr>
        <w:rPr>
          <w:rFonts w:eastAsia="Calibri"/>
          <w:lang w:eastAsia="en-US"/>
        </w:rPr>
      </w:pPr>
      <w:r>
        <w:rPr>
          <w:rFonts w:eastAsia="Calibri"/>
          <w:lang w:eastAsia="en-US"/>
        </w:rPr>
        <w:t>The</w:t>
      </w:r>
      <w:r w:rsidR="00523C97">
        <w:rPr>
          <w:rFonts w:eastAsia="Calibri"/>
          <w:lang w:eastAsia="en-US"/>
        </w:rPr>
        <w:t>se</w:t>
      </w:r>
      <w:r w:rsidR="00CF37DE">
        <w:rPr>
          <w:rFonts w:eastAsia="Calibri"/>
          <w:lang w:eastAsia="en-US"/>
        </w:rPr>
        <w:t xml:space="preserve"> coexistence arrangements ha</w:t>
      </w:r>
      <w:r w:rsidR="004A4487">
        <w:rPr>
          <w:rFonts w:eastAsia="Calibri"/>
          <w:lang w:eastAsia="en-US"/>
        </w:rPr>
        <w:t>ve</w:t>
      </w:r>
      <w:r w:rsidR="00CF37DE">
        <w:rPr>
          <w:rFonts w:eastAsia="Calibri"/>
          <w:lang w:eastAsia="en-US"/>
        </w:rPr>
        <w:t xml:space="preserve"> given rise to e</w:t>
      </w:r>
      <w:r w:rsidR="006F1882">
        <w:rPr>
          <w:rFonts w:eastAsia="Calibri"/>
          <w:lang w:eastAsia="en-US"/>
        </w:rPr>
        <w:t xml:space="preserve">arly </w:t>
      </w:r>
      <w:r w:rsidR="00C039BB">
        <w:rPr>
          <w:rFonts w:eastAsia="Calibri"/>
          <w:lang w:eastAsia="en-US"/>
        </w:rPr>
        <w:t>consider</w:t>
      </w:r>
      <w:r w:rsidR="006F1882">
        <w:rPr>
          <w:rFonts w:eastAsia="Calibri"/>
          <w:lang w:eastAsia="en-US"/>
        </w:rPr>
        <w:t>ation</w:t>
      </w:r>
      <w:r w:rsidR="00CF37DE">
        <w:rPr>
          <w:rFonts w:eastAsia="Calibri"/>
          <w:lang w:eastAsia="en-US"/>
        </w:rPr>
        <w:t xml:space="preserve"> </w:t>
      </w:r>
      <w:r w:rsidR="00523C97">
        <w:rPr>
          <w:rFonts w:eastAsia="Calibri"/>
          <w:lang w:eastAsia="en-US"/>
        </w:rPr>
        <w:t xml:space="preserve">about the extent of </w:t>
      </w:r>
      <w:r w:rsidR="00C039BB">
        <w:rPr>
          <w:rFonts w:eastAsia="Calibri"/>
          <w:lang w:eastAsia="en-US"/>
        </w:rPr>
        <w:t xml:space="preserve">potential lot heterogeneity </w:t>
      </w:r>
      <w:r w:rsidR="006F1882">
        <w:rPr>
          <w:rFonts w:eastAsia="Calibri"/>
          <w:lang w:eastAsia="en-US"/>
        </w:rPr>
        <w:t xml:space="preserve">across </w:t>
      </w:r>
      <w:r w:rsidR="00C039BB">
        <w:rPr>
          <w:rFonts w:eastAsia="Calibri"/>
          <w:lang w:eastAsia="en-US"/>
        </w:rPr>
        <w:t>the proposed geographic lot regions</w:t>
      </w:r>
      <w:r w:rsidR="00281A11">
        <w:rPr>
          <w:rFonts w:eastAsia="Calibri"/>
          <w:lang w:eastAsia="en-US"/>
        </w:rPr>
        <w:t xml:space="preserve">. </w:t>
      </w:r>
      <w:r w:rsidR="00CF37DE">
        <w:rPr>
          <w:rFonts w:eastAsia="Calibri"/>
          <w:lang w:eastAsia="en-US"/>
        </w:rPr>
        <w:t>With a</w:t>
      </w:r>
      <w:r w:rsidR="00C039BB">
        <w:rPr>
          <w:rFonts w:eastAsia="Calibri"/>
          <w:lang w:eastAsia="en-US"/>
        </w:rPr>
        <w:t>dditional technical condition</w:t>
      </w:r>
      <w:r w:rsidR="006F1882">
        <w:rPr>
          <w:rFonts w:eastAsia="Calibri"/>
          <w:lang w:eastAsia="en-US"/>
        </w:rPr>
        <w:t>s</w:t>
      </w:r>
      <w:r w:rsidR="00C039BB">
        <w:rPr>
          <w:rFonts w:eastAsia="Calibri"/>
          <w:lang w:eastAsia="en-US"/>
        </w:rPr>
        <w:t xml:space="preserve"> </w:t>
      </w:r>
      <w:r>
        <w:rPr>
          <w:rFonts w:eastAsia="Calibri"/>
          <w:lang w:eastAsia="en-US"/>
        </w:rPr>
        <w:t>to</w:t>
      </w:r>
      <w:r w:rsidR="00C039BB">
        <w:rPr>
          <w:rFonts w:eastAsia="Calibri"/>
          <w:lang w:eastAsia="en-US"/>
        </w:rPr>
        <w:t xml:space="preserve"> be </w:t>
      </w:r>
      <w:r w:rsidR="006F1882">
        <w:rPr>
          <w:rFonts w:eastAsia="Calibri"/>
          <w:lang w:eastAsia="en-US"/>
        </w:rPr>
        <w:t>placed</w:t>
      </w:r>
      <w:r w:rsidR="00C039BB">
        <w:rPr>
          <w:rFonts w:eastAsia="Calibri"/>
          <w:lang w:eastAsia="en-US"/>
        </w:rPr>
        <w:t xml:space="preserve"> on the spectrum in the </w:t>
      </w:r>
      <w:r w:rsidR="00EB2E73">
        <w:rPr>
          <w:rFonts w:eastAsia="Calibri"/>
          <w:lang w:eastAsia="en-US"/>
        </w:rPr>
        <w:t xml:space="preserve">frequency </w:t>
      </w:r>
      <w:r w:rsidR="00C039BB">
        <w:rPr>
          <w:rFonts w:eastAsia="Calibri"/>
          <w:lang w:eastAsia="en-US"/>
        </w:rPr>
        <w:t>range 27</w:t>
      </w:r>
      <w:r w:rsidR="00197334">
        <w:rPr>
          <w:rFonts w:eastAsia="Calibri"/>
          <w:lang w:eastAsia="en-US"/>
        </w:rPr>
        <w:t>–</w:t>
      </w:r>
      <w:r w:rsidR="00C039BB">
        <w:rPr>
          <w:rFonts w:eastAsia="Calibri"/>
          <w:lang w:eastAsia="en-US"/>
        </w:rPr>
        <w:t xml:space="preserve">27.5 </w:t>
      </w:r>
      <w:r w:rsidR="009E4626">
        <w:rPr>
          <w:rFonts w:eastAsia="Calibri"/>
          <w:lang w:eastAsia="en-US"/>
        </w:rPr>
        <w:t xml:space="preserve">GHz </w:t>
      </w:r>
      <w:r w:rsidR="00C039BB">
        <w:rPr>
          <w:rFonts w:eastAsia="Calibri"/>
          <w:lang w:eastAsia="en-US"/>
        </w:rPr>
        <w:t>in the areas of Hobart, Perth, Bunbury and Margaret River</w:t>
      </w:r>
      <w:r w:rsidR="00CF37DE">
        <w:rPr>
          <w:rFonts w:eastAsia="Calibri"/>
          <w:lang w:eastAsia="en-US"/>
        </w:rPr>
        <w:t>, t</w:t>
      </w:r>
      <w:r w:rsidR="00281A11">
        <w:rPr>
          <w:rFonts w:eastAsia="Calibri"/>
          <w:lang w:eastAsia="en-US"/>
        </w:rPr>
        <w:t>h</w:t>
      </w:r>
      <w:r w:rsidR="006F1882">
        <w:rPr>
          <w:rFonts w:eastAsia="Calibri"/>
          <w:lang w:eastAsia="en-US"/>
        </w:rPr>
        <w:t>e ACMA</w:t>
      </w:r>
      <w:r w:rsidR="00CA4060">
        <w:rPr>
          <w:rFonts w:eastAsia="Calibri"/>
          <w:lang w:eastAsia="en-US"/>
        </w:rPr>
        <w:t xml:space="preserve"> </w:t>
      </w:r>
      <w:r w:rsidR="009A62DC">
        <w:rPr>
          <w:rFonts w:eastAsia="Calibri"/>
          <w:lang w:eastAsia="en-US"/>
        </w:rPr>
        <w:t>may consider</w:t>
      </w:r>
      <w:r w:rsidR="00281A11">
        <w:rPr>
          <w:rFonts w:eastAsia="Calibri"/>
          <w:lang w:eastAsia="en-US"/>
        </w:rPr>
        <w:t xml:space="preserve"> </w:t>
      </w:r>
      <w:r w:rsidR="00CF37DE">
        <w:rPr>
          <w:rFonts w:eastAsia="Calibri"/>
          <w:lang w:eastAsia="en-US"/>
        </w:rPr>
        <w:t xml:space="preserve">two different </w:t>
      </w:r>
      <w:r w:rsidR="00281A11">
        <w:rPr>
          <w:rFonts w:eastAsia="Calibri"/>
          <w:lang w:eastAsia="en-US"/>
        </w:rPr>
        <w:t xml:space="preserve">lot </w:t>
      </w:r>
      <w:r w:rsidR="00CA4060">
        <w:rPr>
          <w:rFonts w:eastAsia="Calibri"/>
          <w:lang w:eastAsia="en-US"/>
        </w:rPr>
        <w:t xml:space="preserve">categories in </w:t>
      </w:r>
      <w:r w:rsidR="006F1882">
        <w:rPr>
          <w:rFonts w:eastAsia="Calibri"/>
          <w:lang w:eastAsia="en-US"/>
        </w:rPr>
        <w:t xml:space="preserve">each </w:t>
      </w:r>
      <w:r w:rsidR="00F91167">
        <w:rPr>
          <w:rFonts w:eastAsia="Calibri"/>
          <w:lang w:eastAsia="en-US"/>
        </w:rPr>
        <w:t>of</w:t>
      </w:r>
      <w:r w:rsidR="006F1882">
        <w:rPr>
          <w:rFonts w:eastAsia="Calibri"/>
          <w:lang w:eastAsia="en-US"/>
        </w:rPr>
        <w:t xml:space="preserve"> </w:t>
      </w:r>
      <w:r w:rsidR="00281A11">
        <w:rPr>
          <w:rFonts w:eastAsia="Calibri"/>
          <w:lang w:eastAsia="en-US"/>
        </w:rPr>
        <w:t>these four areas</w:t>
      </w:r>
      <w:r w:rsidR="004A4487">
        <w:rPr>
          <w:rFonts w:eastAsia="Calibri"/>
          <w:lang w:eastAsia="en-US"/>
        </w:rPr>
        <w:t>.</w:t>
      </w:r>
      <w:r w:rsidR="00C039BB">
        <w:rPr>
          <w:rFonts w:eastAsia="Calibri"/>
          <w:lang w:eastAsia="en-US"/>
        </w:rPr>
        <w:t xml:space="preserve"> </w:t>
      </w:r>
      <w:r w:rsidR="006F1882">
        <w:rPr>
          <w:rFonts w:eastAsia="Calibri"/>
          <w:lang w:eastAsia="en-US"/>
        </w:rPr>
        <w:t xml:space="preserve">The </w:t>
      </w:r>
      <w:r w:rsidR="002B7543">
        <w:rPr>
          <w:rFonts w:eastAsia="Calibri"/>
          <w:lang w:eastAsia="en-US"/>
        </w:rPr>
        <w:t xml:space="preserve">two lot </w:t>
      </w:r>
      <w:r w:rsidR="006F1882">
        <w:rPr>
          <w:rFonts w:eastAsia="Calibri"/>
          <w:lang w:eastAsia="en-US"/>
        </w:rPr>
        <w:t xml:space="preserve">categories in each of the four areas </w:t>
      </w:r>
      <w:r w:rsidR="00CF37DE">
        <w:rPr>
          <w:rFonts w:eastAsia="Calibri"/>
          <w:lang w:eastAsia="en-US"/>
        </w:rPr>
        <w:t>would be identified</w:t>
      </w:r>
      <w:r>
        <w:rPr>
          <w:rFonts w:eastAsia="Calibri"/>
          <w:lang w:eastAsia="en-US"/>
        </w:rPr>
        <w:t xml:space="preserve"> as </w:t>
      </w:r>
      <w:r w:rsidR="0012430D">
        <w:rPr>
          <w:rFonts w:eastAsia="Calibri"/>
          <w:lang w:eastAsia="en-US"/>
        </w:rPr>
        <w:t>shown in</w:t>
      </w:r>
      <w:r w:rsidR="007740F0">
        <w:rPr>
          <w:rFonts w:eastAsia="Calibri"/>
          <w:lang w:eastAsia="en-US"/>
        </w:rPr>
        <w:t xml:space="preserve"> Table 3</w:t>
      </w:r>
      <w:r w:rsidR="00197334">
        <w:rPr>
          <w:rFonts w:eastAsia="Calibri"/>
          <w:lang w:eastAsia="en-US"/>
        </w:rPr>
        <w:t>.</w:t>
      </w:r>
    </w:p>
    <w:p w14:paraId="0DB129D1" w14:textId="3D4E45F5" w:rsidR="002B7543" w:rsidRDefault="00C46F43" w:rsidP="00D93907">
      <w:pPr>
        <w:pStyle w:val="ACMATableHeader"/>
        <w:keepNext/>
        <w:keepLines/>
        <w:tabs>
          <w:tab w:val="clear" w:pos="964"/>
          <w:tab w:val="num" w:pos="-737"/>
        </w:tabs>
        <w:rPr>
          <w:rFonts w:eastAsia="Calibri"/>
          <w:lang w:eastAsia="en-US"/>
        </w:rPr>
      </w:pPr>
      <w:bookmarkStart w:id="295" w:name="_Ref4149994"/>
      <w:r>
        <w:rPr>
          <w:rFonts w:eastAsia="Calibri"/>
          <w:lang w:eastAsia="en-US"/>
        </w:rPr>
        <w:t>Defined areas with 2 lot categories</w:t>
      </w:r>
      <w:bookmarkEnd w:id="295"/>
    </w:p>
    <w:tbl>
      <w:tblPr>
        <w:tblStyle w:val="TableGrid"/>
        <w:tblW w:w="7938" w:type="dxa"/>
        <w:tblBorders>
          <w:left w:val="none" w:sz="0" w:space="0" w:color="auto"/>
          <w:right w:val="none" w:sz="0" w:space="0" w:color="auto"/>
          <w:insideV w:val="none" w:sz="0" w:space="0" w:color="auto"/>
        </w:tblBorders>
        <w:tblLook w:val="04A0" w:firstRow="1" w:lastRow="0" w:firstColumn="1" w:lastColumn="0" w:noHBand="0" w:noVBand="1"/>
      </w:tblPr>
      <w:tblGrid>
        <w:gridCol w:w="1133"/>
        <w:gridCol w:w="1909"/>
        <w:gridCol w:w="1778"/>
        <w:gridCol w:w="1417"/>
        <w:gridCol w:w="1701"/>
      </w:tblGrid>
      <w:tr w:rsidR="00984EA4" w:rsidRPr="00637598" w14:paraId="64B9DFDC" w14:textId="77777777" w:rsidTr="00195385">
        <w:trPr>
          <w:trHeight w:val="230"/>
        </w:trPr>
        <w:tc>
          <w:tcPr>
            <w:tcW w:w="1133" w:type="dxa"/>
            <w:shd w:val="clear" w:color="auto" w:fill="404040" w:themeFill="text1" w:themeFillTint="BF"/>
            <w:vAlign w:val="center"/>
          </w:tcPr>
          <w:p w14:paraId="2DE420BD" w14:textId="77777777" w:rsidR="00984EA4" w:rsidRPr="00637598" w:rsidRDefault="00984EA4" w:rsidP="00BA2F3B">
            <w:pPr>
              <w:pStyle w:val="TableHeading"/>
              <w:keepNext/>
              <w:keepLines/>
              <w:jc w:val="center"/>
              <w:rPr>
                <w:rFonts w:eastAsia="Calibri"/>
                <w:color w:val="FFFFFF" w:themeColor="background1"/>
              </w:rPr>
            </w:pPr>
            <w:r w:rsidRPr="00637598">
              <w:rPr>
                <w:rFonts w:eastAsia="Calibri"/>
                <w:color w:val="FFFFFF" w:themeColor="background1"/>
              </w:rPr>
              <w:t>Category</w:t>
            </w:r>
          </w:p>
        </w:tc>
        <w:tc>
          <w:tcPr>
            <w:tcW w:w="1909" w:type="dxa"/>
            <w:shd w:val="clear" w:color="auto" w:fill="404040" w:themeFill="text1" w:themeFillTint="BF"/>
            <w:vAlign w:val="center"/>
          </w:tcPr>
          <w:p w14:paraId="23C8D0B2" w14:textId="7F861C4C" w:rsidR="00984EA4" w:rsidRPr="00637598" w:rsidRDefault="00984EA4" w:rsidP="00BA2F3B">
            <w:pPr>
              <w:pStyle w:val="TableHeading"/>
              <w:keepNext/>
              <w:keepLines/>
              <w:jc w:val="center"/>
              <w:rPr>
                <w:rFonts w:eastAsia="Calibri"/>
                <w:color w:val="FFFFFF" w:themeColor="background1"/>
              </w:rPr>
            </w:pPr>
            <w:r>
              <w:rPr>
                <w:rFonts w:eastAsia="Calibri"/>
                <w:color w:val="FFFFFF" w:themeColor="background1"/>
              </w:rPr>
              <w:t>Frequency range</w:t>
            </w:r>
          </w:p>
        </w:tc>
        <w:tc>
          <w:tcPr>
            <w:tcW w:w="1778" w:type="dxa"/>
            <w:shd w:val="clear" w:color="auto" w:fill="404040" w:themeFill="text1" w:themeFillTint="BF"/>
          </w:tcPr>
          <w:p w14:paraId="69FB14ED" w14:textId="77777777" w:rsidR="00984EA4" w:rsidRDefault="00984EA4" w:rsidP="00BA2F3B">
            <w:pPr>
              <w:pStyle w:val="TableHeading"/>
              <w:keepNext/>
              <w:keepLines/>
              <w:jc w:val="center"/>
              <w:rPr>
                <w:rFonts w:eastAsia="Calibri"/>
                <w:color w:val="FFFFFF" w:themeColor="background1"/>
              </w:rPr>
            </w:pPr>
            <w:r>
              <w:rPr>
                <w:rFonts w:eastAsia="Calibri"/>
                <w:color w:val="FFFFFF" w:themeColor="background1"/>
              </w:rPr>
              <w:t>Lot structure</w:t>
            </w:r>
          </w:p>
        </w:tc>
        <w:tc>
          <w:tcPr>
            <w:tcW w:w="1417" w:type="dxa"/>
            <w:shd w:val="clear" w:color="auto" w:fill="404040" w:themeFill="text1" w:themeFillTint="BF"/>
            <w:vAlign w:val="center"/>
          </w:tcPr>
          <w:p w14:paraId="605EC740" w14:textId="77777777" w:rsidR="00984EA4" w:rsidRPr="00637598" w:rsidRDefault="00984EA4" w:rsidP="00BA2F3B">
            <w:pPr>
              <w:pStyle w:val="TableHeading"/>
              <w:keepNext/>
              <w:keepLines/>
              <w:jc w:val="center"/>
              <w:rPr>
                <w:rFonts w:eastAsia="Calibri"/>
                <w:color w:val="FFFFFF" w:themeColor="background1"/>
              </w:rPr>
            </w:pPr>
            <w:r>
              <w:rPr>
                <w:rFonts w:eastAsia="Calibri"/>
                <w:color w:val="FFFFFF" w:themeColor="background1"/>
              </w:rPr>
              <w:t>Descriptor</w:t>
            </w:r>
          </w:p>
        </w:tc>
        <w:tc>
          <w:tcPr>
            <w:tcW w:w="1701" w:type="dxa"/>
            <w:tcBorders>
              <w:bottom w:val="single" w:sz="4" w:space="0" w:color="auto"/>
            </w:tcBorders>
            <w:shd w:val="clear" w:color="auto" w:fill="404040" w:themeFill="text1" w:themeFillTint="BF"/>
            <w:vAlign w:val="center"/>
          </w:tcPr>
          <w:p w14:paraId="2F0EC575" w14:textId="77777777" w:rsidR="00984EA4" w:rsidRPr="00637598" w:rsidRDefault="00984EA4" w:rsidP="00BA2F3B">
            <w:pPr>
              <w:pStyle w:val="TableHeading"/>
              <w:keepNext/>
              <w:keepLines/>
              <w:rPr>
                <w:rFonts w:eastAsia="Calibri"/>
                <w:color w:val="FFFFFF" w:themeColor="background1"/>
              </w:rPr>
            </w:pPr>
            <w:r w:rsidRPr="00637598">
              <w:rPr>
                <w:rFonts w:eastAsia="Calibri"/>
                <w:color w:val="FFFFFF" w:themeColor="background1"/>
              </w:rPr>
              <w:t>Area</w:t>
            </w:r>
          </w:p>
        </w:tc>
      </w:tr>
      <w:tr w:rsidR="00984EA4" w:rsidRPr="00285C3D" w14:paraId="235B038E" w14:textId="77777777" w:rsidTr="00195385">
        <w:trPr>
          <w:trHeight w:val="230"/>
        </w:trPr>
        <w:tc>
          <w:tcPr>
            <w:tcW w:w="1133" w:type="dxa"/>
            <w:vMerge w:val="restart"/>
            <w:vAlign w:val="center"/>
          </w:tcPr>
          <w:p w14:paraId="49CDEA44" w14:textId="77777777" w:rsidR="00984EA4" w:rsidRPr="00285C3D" w:rsidRDefault="00984EA4" w:rsidP="00BA2F3B">
            <w:pPr>
              <w:pStyle w:val="TableBody"/>
              <w:keepNext/>
              <w:keepLines/>
              <w:jc w:val="center"/>
              <w:rPr>
                <w:rFonts w:eastAsia="Calibri"/>
              </w:rPr>
            </w:pPr>
            <w:r w:rsidRPr="00285C3D">
              <w:rPr>
                <w:rFonts w:eastAsia="Calibri"/>
              </w:rPr>
              <w:t>1</w:t>
            </w:r>
          </w:p>
        </w:tc>
        <w:tc>
          <w:tcPr>
            <w:tcW w:w="1909" w:type="dxa"/>
            <w:vMerge w:val="restart"/>
            <w:vAlign w:val="center"/>
          </w:tcPr>
          <w:p w14:paraId="7BA10964" w14:textId="77777777" w:rsidR="00984EA4" w:rsidRPr="00285C3D" w:rsidRDefault="00984EA4" w:rsidP="00BA2F3B">
            <w:pPr>
              <w:pStyle w:val="TableBody"/>
              <w:keepNext/>
              <w:keepLines/>
              <w:jc w:val="center"/>
              <w:rPr>
                <w:rFonts w:eastAsia="Calibri"/>
              </w:rPr>
            </w:pPr>
            <w:r w:rsidRPr="00285C3D">
              <w:rPr>
                <w:rFonts w:eastAsia="Calibri"/>
              </w:rPr>
              <w:t>25.1</w:t>
            </w:r>
            <w:r>
              <w:rPr>
                <w:rFonts w:eastAsia="Calibri"/>
              </w:rPr>
              <w:t>–</w:t>
            </w:r>
            <w:r w:rsidRPr="00285C3D">
              <w:rPr>
                <w:rFonts w:eastAsia="Calibri"/>
              </w:rPr>
              <w:t>27</w:t>
            </w:r>
            <w:r>
              <w:rPr>
                <w:rFonts w:eastAsia="Calibri"/>
              </w:rPr>
              <w:t>.0</w:t>
            </w:r>
            <w:r w:rsidRPr="00285C3D">
              <w:rPr>
                <w:rFonts w:eastAsia="Calibri"/>
              </w:rPr>
              <w:t xml:space="preserve"> GHz</w:t>
            </w:r>
          </w:p>
        </w:tc>
        <w:tc>
          <w:tcPr>
            <w:tcW w:w="1778" w:type="dxa"/>
            <w:vMerge w:val="restart"/>
            <w:vAlign w:val="center"/>
          </w:tcPr>
          <w:p w14:paraId="6BF24799" w14:textId="77777777" w:rsidR="00984EA4" w:rsidRDefault="00984EA4" w:rsidP="00BA2F3B">
            <w:pPr>
              <w:pStyle w:val="TableBody"/>
              <w:keepNext/>
              <w:keepLines/>
              <w:jc w:val="center"/>
              <w:rPr>
                <w:rFonts w:eastAsia="Calibri"/>
              </w:rPr>
            </w:pPr>
            <w:r>
              <w:rPr>
                <w:rFonts w:eastAsia="Calibri"/>
              </w:rPr>
              <w:t>19 x 100 MHz</w:t>
            </w:r>
          </w:p>
        </w:tc>
        <w:tc>
          <w:tcPr>
            <w:tcW w:w="1417" w:type="dxa"/>
            <w:vMerge w:val="restart"/>
            <w:vAlign w:val="center"/>
          </w:tcPr>
          <w:p w14:paraId="48B1A59A" w14:textId="77777777" w:rsidR="00984EA4" w:rsidRPr="00285C3D" w:rsidRDefault="00984EA4" w:rsidP="00BA2F3B">
            <w:pPr>
              <w:pStyle w:val="TableBody"/>
              <w:keepNext/>
              <w:keepLines/>
              <w:jc w:val="center"/>
              <w:rPr>
                <w:rFonts w:eastAsia="Calibri"/>
              </w:rPr>
            </w:pPr>
            <w:r>
              <w:rPr>
                <w:rFonts w:eastAsia="Calibri"/>
              </w:rPr>
              <w:t>Lower</w:t>
            </w:r>
          </w:p>
        </w:tc>
        <w:tc>
          <w:tcPr>
            <w:tcW w:w="1701" w:type="dxa"/>
            <w:tcBorders>
              <w:bottom w:val="nil"/>
            </w:tcBorders>
            <w:vAlign w:val="center"/>
          </w:tcPr>
          <w:p w14:paraId="622AE9DF" w14:textId="77777777" w:rsidR="00984EA4" w:rsidRPr="00285C3D" w:rsidRDefault="00984EA4" w:rsidP="00BA2F3B">
            <w:pPr>
              <w:pStyle w:val="TableBody"/>
              <w:keepNext/>
              <w:keepLines/>
              <w:rPr>
                <w:rFonts w:eastAsia="Calibri"/>
              </w:rPr>
            </w:pPr>
            <w:r w:rsidRPr="00285C3D">
              <w:rPr>
                <w:rFonts w:eastAsia="Calibri"/>
              </w:rPr>
              <w:t>Hobart</w:t>
            </w:r>
          </w:p>
        </w:tc>
      </w:tr>
      <w:tr w:rsidR="00984EA4" w:rsidRPr="00285C3D" w14:paraId="1CCA3342" w14:textId="77777777" w:rsidTr="00195385">
        <w:trPr>
          <w:trHeight w:val="230"/>
        </w:trPr>
        <w:tc>
          <w:tcPr>
            <w:tcW w:w="1133" w:type="dxa"/>
            <w:vMerge/>
            <w:vAlign w:val="center"/>
          </w:tcPr>
          <w:p w14:paraId="75A41581" w14:textId="77777777" w:rsidR="00984EA4" w:rsidRPr="00285C3D" w:rsidRDefault="00984EA4" w:rsidP="00BA2F3B">
            <w:pPr>
              <w:pStyle w:val="TableBody"/>
              <w:keepNext/>
              <w:keepLines/>
              <w:rPr>
                <w:rFonts w:eastAsia="Calibri"/>
              </w:rPr>
            </w:pPr>
          </w:p>
        </w:tc>
        <w:tc>
          <w:tcPr>
            <w:tcW w:w="1909" w:type="dxa"/>
            <w:vMerge/>
            <w:vAlign w:val="center"/>
          </w:tcPr>
          <w:p w14:paraId="32D9FB89" w14:textId="77777777" w:rsidR="00984EA4" w:rsidRPr="00285C3D" w:rsidRDefault="00984EA4" w:rsidP="00BA2F3B">
            <w:pPr>
              <w:pStyle w:val="TableBody"/>
              <w:keepNext/>
              <w:keepLines/>
              <w:jc w:val="center"/>
              <w:rPr>
                <w:rFonts w:eastAsia="Calibri"/>
              </w:rPr>
            </w:pPr>
          </w:p>
        </w:tc>
        <w:tc>
          <w:tcPr>
            <w:tcW w:w="1778" w:type="dxa"/>
            <w:vMerge/>
            <w:vAlign w:val="center"/>
          </w:tcPr>
          <w:p w14:paraId="6F939267" w14:textId="77777777" w:rsidR="00984EA4" w:rsidRPr="00285C3D" w:rsidRDefault="00984EA4" w:rsidP="00BA2F3B">
            <w:pPr>
              <w:pStyle w:val="TableBody"/>
              <w:keepNext/>
              <w:keepLines/>
              <w:jc w:val="center"/>
              <w:rPr>
                <w:rFonts w:eastAsia="Calibri"/>
              </w:rPr>
            </w:pPr>
          </w:p>
        </w:tc>
        <w:tc>
          <w:tcPr>
            <w:tcW w:w="1417" w:type="dxa"/>
            <w:vMerge/>
            <w:vAlign w:val="center"/>
          </w:tcPr>
          <w:p w14:paraId="0B647F3E" w14:textId="77777777" w:rsidR="00984EA4" w:rsidRPr="00285C3D" w:rsidRDefault="00984EA4" w:rsidP="00BA2F3B">
            <w:pPr>
              <w:pStyle w:val="TableBody"/>
              <w:keepNext/>
              <w:keepLines/>
              <w:jc w:val="center"/>
              <w:rPr>
                <w:rFonts w:eastAsia="Calibri"/>
              </w:rPr>
            </w:pPr>
          </w:p>
        </w:tc>
        <w:tc>
          <w:tcPr>
            <w:tcW w:w="1701" w:type="dxa"/>
            <w:tcBorders>
              <w:top w:val="nil"/>
              <w:bottom w:val="nil"/>
            </w:tcBorders>
            <w:vAlign w:val="center"/>
          </w:tcPr>
          <w:p w14:paraId="297230E3" w14:textId="77777777" w:rsidR="00984EA4" w:rsidRPr="00285C3D" w:rsidRDefault="00984EA4" w:rsidP="00BA2F3B">
            <w:pPr>
              <w:pStyle w:val="TableBody"/>
              <w:keepNext/>
              <w:keepLines/>
              <w:rPr>
                <w:rFonts w:eastAsia="Calibri"/>
              </w:rPr>
            </w:pPr>
            <w:r w:rsidRPr="00285C3D">
              <w:rPr>
                <w:rFonts w:eastAsia="Calibri"/>
              </w:rPr>
              <w:t>Pert</w:t>
            </w:r>
            <w:r>
              <w:rPr>
                <w:rFonts w:eastAsia="Calibri"/>
              </w:rPr>
              <w:t>h</w:t>
            </w:r>
          </w:p>
        </w:tc>
      </w:tr>
      <w:tr w:rsidR="00984EA4" w:rsidRPr="00285C3D" w14:paraId="217CD5EC" w14:textId="77777777" w:rsidTr="00195385">
        <w:trPr>
          <w:trHeight w:val="230"/>
        </w:trPr>
        <w:tc>
          <w:tcPr>
            <w:tcW w:w="1133" w:type="dxa"/>
            <w:vMerge/>
            <w:vAlign w:val="center"/>
          </w:tcPr>
          <w:p w14:paraId="141D26B3" w14:textId="77777777" w:rsidR="00984EA4" w:rsidRPr="00285C3D" w:rsidRDefault="00984EA4" w:rsidP="00BA2F3B">
            <w:pPr>
              <w:pStyle w:val="TableBody"/>
              <w:keepNext/>
              <w:keepLines/>
              <w:rPr>
                <w:rFonts w:eastAsia="Calibri"/>
              </w:rPr>
            </w:pPr>
          </w:p>
        </w:tc>
        <w:tc>
          <w:tcPr>
            <w:tcW w:w="1909" w:type="dxa"/>
            <w:vMerge/>
            <w:vAlign w:val="center"/>
          </w:tcPr>
          <w:p w14:paraId="3D624B96" w14:textId="77777777" w:rsidR="00984EA4" w:rsidRPr="00285C3D" w:rsidRDefault="00984EA4" w:rsidP="00BA2F3B">
            <w:pPr>
              <w:pStyle w:val="TableBody"/>
              <w:keepNext/>
              <w:keepLines/>
              <w:jc w:val="center"/>
              <w:rPr>
                <w:rFonts w:eastAsia="Calibri"/>
              </w:rPr>
            </w:pPr>
          </w:p>
        </w:tc>
        <w:tc>
          <w:tcPr>
            <w:tcW w:w="1778" w:type="dxa"/>
            <w:vMerge/>
            <w:vAlign w:val="center"/>
          </w:tcPr>
          <w:p w14:paraId="7EFA99EC" w14:textId="77777777" w:rsidR="00984EA4" w:rsidRPr="00285C3D" w:rsidRDefault="00984EA4" w:rsidP="00BA2F3B">
            <w:pPr>
              <w:pStyle w:val="TableBody"/>
              <w:keepNext/>
              <w:keepLines/>
              <w:jc w:val="center"/>
              <w:rPr>
                <w:rFonts w:eastAsia="Calibri"/>
              </w:rPr>
            </w:pPr>
          </w:p>
        </w:tc>
        <w:tc>
          <w:tcPr>
            <w:tcW w:w="1417" w:type="dxa"/>
            <w:vMerge/>
            <w:vAlign w:val="center"/>
          </w:tcPr>
          <w:p w14:paraId="6EEFEA2B" w14:textId="77777777" w:rsidR="00984EA4" w:rsidRPr="00285C3D" w:rsidRDefault="00984EA4" w:rsidP="00BA2F3B">
            <w:pPr>
              <w:pStyle w:val="TableBody"/>
              <w:keepNext/>
              <w:keepLines/>
              <w:jc w:val="center"/>
              <w:rPr>
                <w:rFonts w:eastAsia="Calibri"/>
              </w:rPr>
            </w:pPr>
          </w:p>
        </w:tc>
        <w:tc>
          <w:tcPr>
            <w:tcW w:w="1701" w:type="dxa"/>
            <w:tcBorders>
              <w:top w:val="nil"/>
              <w:bottom w:val="nil"/>
            </w:tcBorders>
            <w:vAlign w:val="center"/>
          </w:tcPr>
          <w:p w14:paraId="04F76225" w14:textId="77777777" w:rsidR="00984EA4" w:rsidRPr="00285C3D" w:rsidRDefault="00984EA4" w:rsidP="00BA2F3B">
            <w:pPr>
              <w:pStyle w:val="TableBody"/>
              <w:keepNext/>
              <w:keepLines/>
              <w:rPr>
                <w:rFonts w:eastAsia="Calibri"/>
              </w:rPr>
            </w:pPr>
            <w:r w:rsidRPr="00285C3D">
              <w:rPr>
                <w:rFonts w:eastAsia="Calibri"/>
              </w:rPr>
              <w:t>Bunbury</w:t>
            </w:r>
          </w:p>
        </w:tc>
      </w:tr>
      <w:tr w:rsidR="00984EA4" w:rsidRPr="00285C3D" w14:paraId="1E440830" w14:textId="77777777" w:rsidTr="00195385">
        <w:trPr>
          <w:trHeight w:val="230"/>
        </w:trPr>
        <w:tc>
          <w:tcPr>
            <w:tcW w:w="1133" w:type="dxa"/>
            <w:vMerge/>
            <w:vAlign w:val="center"/>
          </w:tcPr>
          <w:p w14:paraId="4D278637" w14:textId="77777777" w:rsidR="00984EA4" w:rsidRPr="00285C3D" w:rsidRDefault="00984EA4" w:rsidP="00BA2F3B">
            <w:pPr>
              <w:pStyle w:val="TableBody"/>
              <w:keepNext/>
              <w:keepLines/>
              <w:rPr>
                <w:rFonts w:eastAsia="Calibri"/>
              </w:rPr>
            </w:pPr>
          </w:p>
        </w:tc>
        <w:tc>
          <w:tcPr>
            <w:tcW w:w="1909" w:type="dxa"/>
            <w:vMerge/>
            <w:vAlign w:val="center"/>
          </w:tcPr>
          <w:p w14:paraId="0054D0C3" w14:textId="77777777" w:rsidR="00984EA4" w:rsidRPr="00285C3D" w:rsidRDefault="00984EA4" w:rsidP="00BA2F3B">
            <w:pPr>
              <w:pStyle w:val="TableBody"/>
              <w:keepNext/>
              <w:keepLines/>
              <w:jc w:val="center"/>
              <w:rPr>
                <w:rFonts w:eastAsia="Calibri"/>
              </w:rPr>
            </w:pPr>
          </w:p>
        </w:tc>
        <w:tc>
          <w:tcPr>
            <w:tcW w:w="1778" w:type="dxa"/>
            <w:vMerge/>
            <w:vAlign w:val="center"/>
          </w:tcPr>
          <w:p w14:paraId="50D98814" w14:textId="77777777" w:rsidR="00984EA4" w:rsidRPr="00285C3D" w:rsidRDefault="00984EA4" w:rsidP="00BA2F3B">
            <w:pPr>
              <w:pStyle w:val="TableBody"/>
              <w:keepNext/>
              <w:keepLines/>
              <w:jc w:val="center"/>
              <w:rPr>
                <w:rFonts w:eastAsia="Calibri"/>
              </w:rPr>
            </w:pPr>
          </w:p>
        </w:tc>
        <w:tc>
          <w:tcPr>
            <w:tcW w:w="1417" w:type="dxa"/>
            <w:vMerge/>
            <w:vAlign w:val="center"/>
          </w:tcPr>
          <w:p w14:paraId="44464CCC" w14:textId="77777777" w:rsidR="00984EA4" w:rsidRPr="00285C3D" w:rsidRDefault="00984EA4" w:rsidP="00BA2F3B">
            <w:pPr>
              <w:pStyle w:val="TableBody"/>
              <w:keepNext/>
              <w:keepLines/>
              <w:jc w:val="center"/>
              <w:rPr>
                <w:rFonts w:eastAsia="Calibri"/>
              </w:rPr>
            </w:pPr>
          </w:p>
        </w:tc>
        <w:tc>
          <w:tcPr>
            <w:tcW w:w="1701" w:type="dxa"/>
            <w:tcBorders>
              <w:top w:val="nil"/>
              <w:bottom w:val="single" w:sz="4" w:space="0" w:color="auto"/>
            </w:tcBorders>
            <w:vAlign w:val="center"/>
          </w:tcPr>
          <w:p w14:paraId="57FCF4B1" w14:textId="77777777" w:rsidR="00984EA4" w:rsidRPr="00285C3D" w:rsidRDefault="00984EA4" w:rsidP="00BA2F3B">
            <w:pPr>
              <w:pStyle w:val="TableBody"/>
              <w:keepNext/>
              <w:keepLines/>
              <w:rPr>
                <w:rFonts w:eastAsia="Calibri"/>
              </w:rPr>
            </w:pPr>
            <w:r w:rsidRPr="00285C3D">
              <w:rPr>
                <w:rFonts w:eastAsia="Calibri"/>
              </w:rPr>
              <w:t>Margaret River</w:t>
            </w:r>
          </w:p>
        </w:tc>
      </w:tr>
      <w:tr w:rsidR="00984EA4" w:rsidRPr="00285C3D" w14:paraId="30E9381A" w14:textId="77777777" w:rsidTr="00195385">
        <w:trPr>
          <w:trHeight w:val="230"/>
        </w:trPr>
        <w:tc>
          <w:tcPr>
            <w:tcW w:w="1133" w:type="dxa"/>
            <w:vMerge w:val="restart"/>
            <w:shd w:val="clear" w:color="auto" w:fill="F2F2F2" w:themeFill="background1" w:themeFillShade="F2"/>
            <w:vAlign w:val="center"/>
          </w:tcPr>
          <w:p w14:paraId="32FAE3C4" w14:textId="77777777" w:rsidR="00984EA4" w:rsidRPr="00285C3D" w:rsidRDefault="00984EA4" w:rsidP="00BA2F3B">
            <w:pPr>
              <w:pStyle w:val="TableBody"/>
              <w:keepNext/>
              <w:keepLines/>
              <w:jc w:val="center"/>
              <w:rPr>
                <w:rFonts w:eastAsia="Calibri"/>
              </w:rPr>
            </w:pPr>
            <w:r w:rsidRPr="00285C3D">
              <w:rPr>
                <w:rFonts w:eastAsia="Calibri"/>
              </w:rPr>
              <w:t>2</w:t>
            </w:r>
          </w:p>
        </w:tc>
        <w:tc>
          <w:tcPr>
            <w:tcW w:w="1909" w:type="dxa"/>
            <w:vMerge w:val="restart"/>
            <w:shd w:val="clear" w:color="auto" w:fill="F2F2F2" w:themeFill="background1" w:themeFillShade="F2"/>
            <w:vAlign w:val="center"/>
          </w:tcPr>
          <w:p w14:paraId="5E00B73C" w14:textId="77777777" w:rsidR="00984EA4" w:rsidRPr="00285C3D" w:rsidRDefault="00984EA4" w:rsidP="00BA2F3B">
            <w:pPr>
              <w:pStyle w:val="TableBody"/>
              <w:keepNext/>
              <w:keepLines/>
              <w:jc w:val="center"/>
              <w:rPr>
                <w:rFonts w:eastAsia="Calibri"/>
              </w:rPr>
            </w:pPr>
            <w:r w:rsidRPr="00285C3D">
              <w:rPr>
                <w:rFonts w:eastAsia="Calibri"/>
              </w:rPr>
              <w:t>27</w:t>
            </w:r>
            <w:r>
              <w:rPr>
                <w:rFonts w:eastAsia="Calibri"/>
              </w:rPr>
              <w:t>.0–</w:t>
            </w:r>
            <w:r w:rsidRPr="00285C3D">
              <w:rPr>
                <w:rFonts w:eastAsia="Calibri"/>
              </w:rPr>
              <w:t>27.5 GHz</w:t>
            </w:r>
          </w:p>
        </w:tc>
        <w:tc>
          <w:tcPr>
            <w:tcW w:w="1778" w:type="dxa"/>
            <w:vMerge w:val="restart"/>
            <w:shd w:val="clear" w:color="auto" w:fill="F2F2F2" w:themeFill="background1" w:themeFillShade="F2"/>
            <w:vAlign w:val="center"/>
          </w:tcPr>
          <w:p w14:paraId="5C825B40" w14:textId="77777777" w:rsidR="00984EA4" w:rsidRDefault="00984EA4" w:rsidP="00BA2F3B">
            <w:pPr>
              <w:pStyle w:val="TableBody"/>
              <w:keepNext/>
              <w:keepLines/>
              <w:jc w:val="center"/>
              <w:rPr>
                <w:rFonts w:eastAsia="Calibri"/>
              </w:rPr>
            </w:pPr>
            <w:r>
              <w:rPr>
                <w:rFonts w:eastAsia="Calibri"/>
              </w:rPr>
              <w:t>5 x 100 MHz</w:t>
            </w:r>
          </w:p>
        </w:tc>
        <w:tc>
          <w:tcPr>
            <w:tcW w:w="1417" w:type="dxa"/>
            <w:vMerge w:val="restart"/>
            <w:shd w:val="clear" w:color="auto" w:fill="F2F2F2" w:themeFill="background1" w:themeFillShade="F2"/>
            <w:vAlign w:val="center"/>
          </w:tcPr>
          <w:p w14:paraId="0FF39A04" w14:textId="77777777" w:rsidR="00984EA4" w:rsidRPr="00285C3D" w:rsidRDefault="00984EA4" w:rsidP="00BA2F3B">
            <w:pPr>
              <w:pStyle w:val="TableBody"/>
              <w:keepNext/>
              <w:keepLines/>
              <w:jc w:val="center"/>
              <w:rPr>
                <w:rFonts w:eastAsia="Calibri"/>
              </w:rPr>
            </w:pPr>
            <w:r>
              <w:rPr>
                <w:rFonts w:eastAsia="Calibri"/>
              </w:rPr>
              <w:t>Upper</w:t>
            </w:r>
          </w:p>
        </w:tc>
        <w:tc>
          <w:tcPr>
            <w:tcW w:w="1701" w:type="dxa"/>
            <w:tcBorders>
              <w:top w:val="single" w:sz="4" w:space="0" w:color="auto"/>
              <w:bottom w:val="nil"/>
            </w:tcBorders>
            <w:shd w:val="clear" w:color="auto" w:fill="F2F2F2" w:themeFill="background1" w:themeFillShade="F2"/>
            <w:vAlign w:val="center"/>
          </w:tcPr>
          <w:p w14:paraId="0F685749" w14:textId="77777777" w:rsidR="00984EA4" w:rsidRPr="00285C3D" w:rsidRDefault="00984EA4" w:rsidP="00BA2F3B">
            <w:pPr>
              <w:pStyle w:val="TableBody"/>
              <w:keepNext/>
              <w:keepLines/>
              <w:rPr>
                <w:rFonts w:eastAsia="Calibri"/>
              </w:rPr>
            </w:pPr>
            <w:r w:rsidRPr="00285C3D">
              <w:rPr>
                <w:rFonts w:eastAsia="Calibri"/>
              </w:rPr>
              <w:t>Hobart</w:t>
            </w:r>
            <w:r>
              <w:rPr>
                <w:rFonts w:eastAsia="Calibri"/>
              </w:rPr>
              <w:t xml:space="preserve"> </w:t>
            </w:r>
          </w:p>
        </w:tc>
      </w:tr>
      <w:tr w:rsidR="00984EA4" w:rsidRPr="00285C3D" w14:paraId="2C1BA124" w14:textId="77777777" w:rsidTr="00195385">
        <w:trPr>
          <w:trHeight w:val="230"/>
        </w:trPr>
        <w:tc>
          <w:tcPr>
            <w:tcW w:w="1133" w:type="dxa"/>
            <w:vMerge/>
            <w:vAlign w:val="center"/>
          </w:tcPr>
          <w:p w14:paraId="7E1A1A34" w14:textId="77777777" w:rsidR="00984EA4" w:rsidRPr="00285C3D" w:rsidRDefault="00984EA4" w:rsidP="00BA2F3B">
            <w:pPr>
              <w:pStyle w:val="TableBody"/>
              <w:keepNext/>
              <w:keepLines/>
              <w:rPr>
                <w:rFonts w:eastAsia="Calibri"/>
              </w:rPr>
            </w:pPr>
          </w:p>
        </w:tc>
        <w:tc>
          <w:tcPr>
            <w:tcW w:w="1909" w:type="dxa"/>
            <w:vMerge/>
            <w:shd w:val="clear" w:color="auto" w:fill="F2F2F2" w:themeFill="background1" w:themeFillShade="F2"/>
            <w:vAlign w:val="center"/>
          </w:tcPr>
          <w:p w14:paraId="4A6C3826" w14:textId="77777777" w:rsidR="00984EA4" w:rsidRPr="00285C3D" w:rsidRDefault="00984EA4" w:rsidP="00BA2F3B">
            <w:pPr>
              <w:pStyle w:val="TableBody"/>
              <w:keepNext/>
              <w:keepLines/>
              <w:rPr>
                <w:rFonts w:eastAsia="Calibri"/>
              </w:rPr>
            </w:pPr>
          </w:p>
        </w:tc>
        <w:tc>
          <w:tcPr>
            <w:tcW w:w="1778" w:type="dxa"/>
            <w:vMerge/>
            <w:shd w:val="clear" w:color="auto" w:fill="F2F2F2" w:themeFill="background1" w:themeFillShade="F2"/>
          </w:tcPr>
          <w:p w14:paraId="34B2DC01" w14:textId="77777777" w:rsidR="00984EA4" w:rsidRPr="00285C3D" w:rsidRDefault="00984EA4" w:rsidP="00BA2F3B">
            <w:pPr>
              <w:pStyle w:val="TableBody"/>
              <w:keepNext/>
              <w:keepLines/>
              <w:jc w:val="center"/>
              <w:rPr>
                <w:rFonts w:eastAsia="Calibri"/>
              </w:rPr>
            </w:pPr>
          </w:p>
        </w:tc>
        <w:tc>
          <w:tcPr>
            <w:tcW w:w="1417" w:type="dxa"/>
            <w:vMerge/>
            <w:shd w:val="clear" w:color="auto" w:fill="F2F2F2" w:themeFill="background1" w:themeFillShade="F2"/>
            <w:vAlign w:val="center"/>
          </w:tcPr>
          <w:p w14:paraId="4CAECFCE" w14:textId="77777777" w:rsidR="00984EA4" w:rsidRPr="00285C3D" w:rsidRDefault="00984EA4" w:rsidP="00BA2F3B">
            <w:pPr>
              <w:pStyle w:val="TableBody"/>
              <w:keepNext/>
              <w:keepLines/>
              <w:jc w:val="center"/>
              <w:rPr>
                <w:rFonts w:eastAsia="Calibri"/>
              </w:rPr>
            </w:pPr>
          </w:p>
        </w:tc>
        <w:tc>
          <w:tcPr>
            <w:tcW w:w="1701" w:type="dxa"/>
            <w:tcBorders>
              <w:top w:val="nil"/>
              <w:bottom w:val="nil"/>
            </w:tcBorders>
            <w:shd w:val="clear" w:color="auto" w:fill="F2F2F2" w:themeFill="background1" w:themeFillShade="F2"/>
            <w:vAlign w:val="center"/>
          </w:tcPr>
          <w:p w14:paraId="6966E993" w14:textId="77777777" w:rsidR="00984EA4" w:rsidRPr="00285C3D" w:rsidRDefault="00984EA4" w:rsidP="00BA2F3B">
            <w:pPr>
              <w:pStyle w:val="TableBody"/>
              <w:keepNext/>
              <w:keepLines/>
              <w:rPr>
                <w:rFonts w:eastAsia="Calibri"/>
              </w:rPr>
            </w:pPr>
            <w:r w:rsidRPr="00285C3D">
              <w:rPr>
                <w:rFonts w:eastAsia="Calibri"/>
              </w:rPr>
              <w:t>Perth</w:t>
            </w:r>
          </w:p>
        </w:tc>
      </w:tr>
      <w:tr w:rsidR="00984EA4" w:rsidRPr="00285C3D" w14:paraId="17E4FBC1" w14:textId="77777777" w:rsidTr="00195385">
        <w:trPr>
          <w:trHeight w:val="230"/>
        </w:trPr>
        <w:tc>
          <w:tcPr>
            <w:tcW w:w="1133" w:type="dxa"/>
            <w:vMerge/>
            <w:vAlign w:val="center"/>
          </w:tcPr>
          <w:p w14:paraId="3B01BBC5" w14:textId="77777777" w:rsidR="00984EA4" w:rsidRPr="00285C3D" w:rsidRDefault="00984EA4" w:rsidP="00BA2F3B">
            <w:pPr>
              <w:pStyle w:val="TableBody"/>
              <w:keepNext/>
              <w:keepLines/>
              <w:rPr>
                <w:rFonts w:eastAsia="Calibri"/>
              </w:rPr>
            </w:pPr>
          </w:p>
        </w:tc>
        <w:tc>
          <w:tcPr>
            <w:tcW w:w="1909" w:type="dxa"/>
            <w:vMerge/>
            <w:shd w:val="clear" w:color="auto" w:fill="F2F2F2" w:themeFill="background1" w:themeFillShade="F2"/>
            <w:vAlign w:val="center"/>
          </w:tcPr>
          <w:p w14:paraId="4C8D384D" w14:textId="77777777" w:rsidR="00984EA4" w:rsidRPr="00285C3D" w:rsidRDefault="00984EA4" w:rsidP="00BA2F3B">
            <w:pPr>
              <w:pStyle w:val="TableBody"/>
              <w:keepNext/>
              <w:keepLines/>
              <w:rPr>
                <w:rFonts w:eastAsia="Calibri"/>
              </w:rPr>
            </w:pPr>
          </w:p>
        </w:tc>
        <w:tc>
          <w:tcPr>
            <w:tcW w:w="1778" w:type="dxa"/>
            <w:vMerge/>
            <w:shd w:val="clear" w:color="auto" w:fill="F2F2F2" w:themeFill="background1" w:themeFillShade="F2"/>
          </w:tcPr>
          <w:p w14:paraId="60B5C39A" w14:textId="77777777" w:rsidR="00984EA4" w:rsidRPr="00285C3D" w:rsidRDefault="00984EA4" w:rsidP="00BA2F3B">
            <w:pPr>
              <w:pStyle w:val="TableBody"/>
              <w:keepNext/>
              <w:keepLines/>
              <w:jc w:val="center"/>
              <w:rPr>
                <w:rFonts w:eastAsia="Calibri"/>
              </w:rPr>
            </w:pPr>
          </w:p>
        </w:tc>
        <w:tc>
          <w:tcPr>
            <w:tcW w:w="1417" w:type="dxa"/>
            <w:vMerge/>
            <w:shd w:val="clear" w:color="auto" w:fill="F2F2F2" w:themeFill="background1" w:themeFillShade="F2"/>
            <w:vAlign w:val="center"/>
          </w:tcPr>
          <w:p w14:paraId="381DDEC9" w14:textId="77777777" w:rsidR="00984EA4" w:rsidRPr="00285C3D" w:rsidRDefault="00984EA4" w:rsidP="00BA2F3B">
            <w:pPr>
              <w:pStyle w:val="TableBody"/>
              <w:keepNext/>
              <w:keepLines/>
              <w:jc w:val="center"/>
              <w:rPr>
                <w:rFonts w:eastAsia="Calibri"/>
              </w:rPr>
            </w:pPr>
          </w:p>
        </w:tc>
        <w:tc>
          <w:tcPr>
            <w:tcW w:w="1701" w:type="dxa"/>
            <w:tcBorders>
              <w:top w:val="nil"/>
              <w:bottom w:val="nil"/>
            </w:tcBorders>
            <w:shd w:val="clear" w:color="auto" w:fill="F2F2F2" w:themeFill="background1" w:themeFillShade="F2"/>
            <w:vAlign w:val="center"/>
          </w:tcPr>
          <w:p w14:paraId="6CF897D0" w14:textId="77777777" w:rsidR="00984EA4" w:rsidRPr="00285C3D" w:rsidRDefault="00984EA4" w:rsidP="00BA2F3B">
            <w:pPr>
              <w:pStyle w:val="TableBody"/>
              <w:keepNext/>
              <w:keepLines/>
              <w:rPr>
                <w:rFonts w:eastAsia="Calibri"/>
              </w:rPr>
            </w:pPr>
            <w:r w:rsidRPr="00285C3D">
              <w:rPr>
                <w:rFonts w:eastAsia="Calibri"/>
              </w:rPr>
              <w:t>Bunbury</w:t>
            </w:r>
          </w:p>
        </w:tc>
      </w:tr>
      <w:tr w:rsidR="00984EA4" w:rsidRPr="00285C3D" w14:paraId="1D999AAF" w14:textId="77777777" w:rsidTr="00195385">
        <w:trPr>
          <w:trHeight w:val="230"/>
        </w:trPr>
        <w:tc>
          <w:tcPr>
            <w:tcW w:w="1133" w:type="dxa"/>
            <w:vMerge/>
            <w:vAlign w:val="center"/>
          </w:tcPr>
          <w:p w14:paraId="469AD1E3" w14:textId="77777777" w:rsidR="00984EA4" w:rsidRPr="00285C3D" w:rsidRDefault="00984EA4" w:rsidP="00BA2F3B">
            <w:pPr>
              <w:pStyle w:val="TableBody"/>
              <w:keepNext/>
              <w:keepLines/>
              <w:rPr>
                <w:rFonts w:eastAsia="Calibri"/>
              </w:rPr>
            </w:pPr>
          </w:p>
        </w:tc>
        <w:tc>
          <w:tcPr>
            <w:tcW w:w="1909" w:type="dxa"/>
            <w:vMerge/>
            <w:shd w:val="clear" w:color="auto" w:fill="F2F2F2" w:themeFill="background1" w:themeFillShade="F2"/>
            <w:vAlign w:val="center"/>
          </w:tcPr>
          <w:p w14:paraId="3C72C2D6" w14:textId="77777777" w:rsidR="00984EA4" w:rsidRPr="00285C3D" w:rsidRDefault="00984EA4" w:rsidP="00BA2F3B">
            <w:pPr>
              <w:pStyle w:val="TableBody"/>
              <w:keepNext/>
              <w:keepLines/>
              <w:rPr>
                <w:rFonts w:eastAsia="Calibri"/>
              </w:rPr>
            </w:pPr>
          </w:p>
        </w:tc>
        <w:tc>
          <w:tcPr>
            <w:tcW w:w="1778" w:type="dxa"/>
            <w:vMerge/>
            <w:shd w:val="clear" w:color="auto" w:fill="F2F2F2" w:themeFill="background1" w:themeFillShade="F2"/>
          </w:tcPr>
          <w:p w14:paraId="19A96FA0" w14:textId="77777777" w:rsidR="00984EA4" w:rsidRPr="00285C3D" w:rsidRDefault="00984EA4" w:rsidP="00BA2F3B">
            <w:pPr>
              <w:pStyle w:val="TableBody"/>
              <w:keepNext/>
              <w:keepLines/>
              <w:jc w:val="center"/>
              <w:rPr>
                <w:rFonts w:eastAsia="Calibri"/>
              </w:rPr>
            </w:pPr>
          </w:p>
        </w:tc>
        <w:tc>
          <w:tcPr>
            <w:tcW w:w="1417" w:type="dxa"/>
            <w:vMerge/>
            <w:shd w:val="clear" w:color="auto" w:fill="F2F2F2" w:themeFill="background1" w:themeFillShade="F2"/>
            <w:vAlign w:val="center"/>
          </w:tcPr>
          <w:p w14:paraId="142C0579" w14:textId="77777777" w:rsidR="00984EA4" w:rsidRPr="00285C3D" w:rsidRDefault="00984EA4" w:rsidP="00BA2F3B">
            <w:pPr>
              <w:pStyle w:val="TableBody"/>
              <w:keepNext/>
              <w:keepLines/>
              <w:jc w:val="center"/>
              <w:rPr>
                <w:rFonts w:eastAsia="Calibri"/>
              </w:rPr>
            </w:pPr>
          </w:p>
        </w:tc>
        <w:tc>
          <w:tcPr>
            <w:tcW w:w="1701" w:type="dxa"/>
            <w:tcBorders>
              <w:top w:val="nil"/>
            </w:tcBorders>
            <w:shd w:val="clear" w:color="auto" w:fill="F2F2F2" w:themeFill="background1" w:themeFillShade="F2"/>
            <w:vAlign w:val="center"/>
          </w:tcPr>
          <w:p w14:paraId="77DABD35" w14:textId="77777777" w:rsidR="00984EA4" w:rsidRPr="00285C3D" w:rsidRDefault="00984EA4" w:rsidP="00BA2F3B">
            <w:pPr>
              <w:pStyle w:val="TableBody"/>
              <w:keepNext/>
              <w:keepLines/>
              <w:rPr>
                <w:rFonts w:eastAsia="Calibri"/>
              </w:rPr>
            </w:pPr>
            <w:r w:rsidRPr="00285C3D">
              <w:rPr>
                <w:rFonts w:eastAsia="Calibri"/>
              </w:rPr>
              <w:t>Margaret River</w:t>
            </w:r>
          </w:p>
        </w:tc>
      </w:tr>
    </w:tbl>
    <w:p w14:paraId="60CD5FD7" w14:textId="7EC93471" w:rsidR="002B6AD9" w:rsidRPr="00EE0712" w:rsidRDefault="002B6AD9" w:rsidP="002B6AD9">
      <w:pPr>
        <w:pStyle w:val="ACMASpaceaftertable"/>
      </w:pPr>
    </w:p>
    <w:p w14:paraId="34219834" w14:textId="1CDCFD7B" w:rsidR="00737A27" w:rsidRDefault="00F55058" w:rsidP="004A15F6">
      <w:pPr>
        <w:pStyle w:val="ListBulletLast"/>
        <w:numPr>
          <w:ilvl w:val="0"/>
          <w:numId w:val="0"/>
        </w:numPr>
        <w:rPr>
          <w:rFonts w:eastAsia="Calibri"/>
          <w:lang w:eastAsia="en-US"/>
        </w:rPr>
      </w:pPr>
      <w:r>
        <w:rPr>
          <w:rFonts w:eastAsia="Calibri"/>
          <w:lang w:eastAsia="en-US"/>
        </w:rPr>
        <w:lastRenderedPageBreak/>
        <w:t>T</w:t>
      </w:r>
      <w:r w:rsidR="00396789">
        <w:rPr>
          <w:rFonts w:eastAsia="Calibri"/>
          <w:lang w:eastAsia="en-US"/>
        </w:rPr>
        <w:t xml:space="preserve">he location of </w:t>
      </w:r>
      <w:r w:rsidR="00E84F53">
        <w:rPr>
          <w:rFonts w:eastAsia="Calibri"/>
          <w:lang w:eastAsia="en-US"/>
        </w:rPr>
        <w:t>radiocommun</w:t>
      </w:r>
      <w:r w:rsidR="00E21652">
        <w:rPr>
          <w:rFonts w:eastAsia="Calibri"/>
          <w:lang w:eastAsia="en-US"/>
        </w:rPr>
        <w:t>i</w:t>
      </w:r>
      <w:r w:rsidR="00E84F53">
        <w:rPr>
          <w:rFonts w:eastAsia="Calibri"/>
          <w:lang w:eastAsia="en-US"/>
        </w:rPr>
        <w:t>ca</w:t>
      </w:r>
      <w:r w:rsidR="002619A2">
        <w:rPr>
          <w:rFonts w:eastAsia="Calibri"/>
          <w:lang w:eastAsia="en-US"/>
        </w:rPr>
        <w:t>t</w:t>
      </w:r>
      <w:r w:rsidR="00E84F53">
        <w:rPr>
          <w:rFonts w:eastAsia="Calibri"/>
          <w:lang w:eastAsia="en-US"/>
        </w:rPr>
        <w:t xml:space="preserve">ions </w:t>
      </w:r>
      <w:r w:rsidR="00396789">
        <w:rPr>
          <w:rFonts w:eastAsia="Calibri"/>
          <w:lang w:eastAsia="en-US"/>
        </w:rPr>
        <w:t>devices in the Canberra area would be restricted along the south</w:t>
      </w:r>
      <w:r w:rsidR="00E86D38">
        <w:rPr>
          <w:rFonts w:eastAsia="Calibri"/>
          <w:lang w:eastAsia="en-US"/>
        </w:rPr>
        <w:t>-</w:t>
      </w:r>
      <w:r w:rsidR="00396789">
        <w:rPr>
          <w:rFonts w:eastAsia="Calibri"/>
          <w:lang w:eastAsia="en-US"/>
        </w:rPr>
        <w:t xml:space="preserve">western boundary </w:t>
      </w:r>
      <w:r w:rsidR="00906A02">
        <w:rPr>
          <w:rFonts w:eastAsia="Calibri"/>
          <w:lang w:eastAsia="en-US"/>
        </w:rPr>
        <w:t>to protect</w:t>
      </w:r>
      <w:r w:rsidR="00906A02" w:rsidRPr="00413FCA">
        <w:rPr>
          <w:szCs w:val="20"/>
        </w:rPr>
        <w:t xml:space="preserve"> </w:t>
      </w:r>
      <w:r w:rsidR="00787E4F">
        <w:rPr>
          <w:szCs w:val="20"/>
        </w:rPr>
        <w:t xml:space="preserve">the </w:t>
      </w:r>
      <w:r w:rsidR="001F4279">
        <w:rPr>
          <w:szCs w:val="20"/>
        </w:rPr>
        <w:t xml:space="preserve">CDSCC </w:t>
      </w:r>
      <w:r w:rsidR="00906A02" w:rsidRPr="00413FCA">
        <w:rPr>
          <w:szCs w:val="20"/>
        </w:rPr>
        <w:t>SRS earth station that operate</w:t>
      </w:r>
      <w:r w:rsidR="00600B6A">
        <w:rPr>
          <w:szCs w:val="20"/>
        </w:rPr>
        <w:t>s</w:t>
      </w:r>
      <w:r w:rsidR="00906A02" w:rsidRPr="00413FCA">
        <w:rPr>
          <w:szCs w:val="20"/>
        </w:rPr>
        <w:t xml:space="preserve"> </w:t>
      </w:r>
      <w:r w:rsidR="00906A02" w:rsidRPr="005E40C1">
        <w:rPr>
          <w:szCs w:val="20"/>
        </w:rPr>
        <w:t>in the frequency range 25.5</w:t>
      </w:r>
      <w:r w:rsidR="005C0CEF">
        <w:rPr>
          <w:szCs w:val="20"/>
        </w:rPr>
        <w:t>–</w:t>
      </w:r>
      <w:r w:rsidR="00906A02" w:rsidRPr="005E40C1">
        <w:rPr>
          <w:szCs w:val="20"/>
        </w:rPr>
        <w:t>2</w:t>
      </w:r>
      <w:r w:rsidR="00906A02" w:rsidRPr="005849C4">
        <w:rPr>
          <w:szCs w:val="20"/>
        </w:rPr>
        <w:t>7.0</w:t>
      </w:r>
      <w:r w:rsidR="00600B6A">
        <w:rPr>
          <w:szCs w:val="20"/>
        </w:rPr>
        <w:t> </w:t>
      </w:r>
      <w:r w:rsidR="00906A02" w:rsidRPr="005849C4">
        <w:rPr>
          <w:szCs w:val="20"/>
        </w:rPr>
        <w:t>GHz</w:t>
      </w:r>
      <w:r w:rsidR="00906A02">
        <w:rPr>
          <w:rFonts w:eastAsia="Calibri"/>
          <w:lang w:eastAsia="en-US"/>
        </w:rPr>
        <w:t>.</w:t>
      </w:r>
      <w:r w:rsidR="00A578BE">
        <w:rPr>
          <w:szCs w:val="20"/>
        </w:rPr>
        <w:t xml:space="preserve"> </w:t>
      </w:r>
      <w:r w:rsidR="005456DA">
        <w:rPr>
          <w:szCs w:val="20"/>
        </w:rPr>
        <w:t>T</w:t>
      </w:r>
      <w:r w:rsidR="00A578BE">
        <w:rPr>
          <w:szCs w:val="20"/>
        </w:rPr>
        <w:t>h</w:t>
      </w:r>
      <w:r w:rsidR="00906A02">
        <w:rPr>
          <w:szCs w:val="20"/>
        </w:rPr>
        <w:t xml:space="preserve">is </w:t>
      </w:r>
      <w:r w:rsidR="008024D0">
        <w:rPr>
          <w:szCs w:val="20"/>
        </w:rPr>
        <w:t xml:space="preserve">segment of </w:t>
      </w:r>
      <w:r w:rsidR="00906A02">
        <w:rPr>
          <w:szCs w:val="20"/>
        </w:rPr>
        <w:t>spectrum in Canberra could</w:t>
      </w:r>
      <w:r w:rsidR="00A578BE">
        <w:rPr>
          <w:szCs w:val="20"/>
        </w:rPr>
        <w:t xml:space="preserve"> also be a separate category for </w:t>
      </w:r>
      <w:r w:rsidR="00F31DEE">
        <w:rPr>
          <w:szCs w:val="20"/>
        </w:rPr>
        <w:t xml:space="preserve">an </w:t>
      </w:r>
      <w:r w:rsidR="00A578BE">
        <w:rPr>
          <w:szCs w:val="20"/>
        </w:rPr>
        <w:t xml:space="preserve">allocation. </w:t>
      </w:r>
      <w:r w:rsidR="00F31DEE">
        <w:rPr>
          <w:szCs w:val="20"/>
        </w:rPr>
        <w:t>However, t</w:t>
      </w:r>
      <w:r w:rsidR="00906A02">
        <w:rPr>
          <w:szCs w:val="20"/>
        </w:rPr>
        <w:t>h</w:t>
      </w:r>
      <w:r w:rsidR="00A578BE">
        <w:rPr>
          <w:szCs w:val="20"/>
        </w:rPr>
        <w:t xml:space="preserve">e ACMA’s preliminary </w:t>
      </w:r>
      <w:r w:rsidR="00787E4F">
        <w:rPr>
          <w:szCs w:val="20"/>
        </w:rPr>
        <w:t>view is t</w:t>
      </w:r>
      <w:r w:rsidR="00906A02">
        <w:rPr>
          <w:szCs w:val="20"/>
        </w:rPr>
        <w:t xml:space="preserve">hat </w:t>
      </w:r>
      <w:r w:rsidR="008024D0">
        <w:rPr>
          <w:szCs w:val="20"/>
        </w:rPr>
        <w:t xml:space="preserve">the proposed protection measure </w:t>
      </w:r>
      <w:r w:rsidR="00F31DEE">
        <w:rPr>
          <w:szCs w:val="20"/>
        </w:rPr>
        <w:t xml:space="preserve">for </w:t>
      </w:r>
      <w:r w:rsidR="001F4279">
        <w:rPr>
          <w:szCs w:val="20"/>
        </w:rPr>
        <w:t xml:space="preserve">CDSCC </w:t>
      </w:r>
      <w:r w:rsidR="00F31DEE">
        <w:rPr>
          <w:szCs w:val="20"/>
        </w:rPr>
        <w:t>i</w:t>
      </w:r>
      <w:r w:rsidR="00906A02">
        <w:rPr>
          <w:szCs w:val="20"/>
        </w:rPr>
        <w:t xml:space="preserve">s not </w:t>
      </w:r>
      <w:r w:rsidR="00F31DEE">
        <w:rPr>
          <w:szCs w:val="20"/>
        </w:rPr>
        <w:t xml:space="preserve">considered </w:t>
      </w:r>
      <w:r w:rsidR="00906A02">
        <w:rPr>
          <w:szCs w:val="20"/>
        </w:rPr>
        <w:t>significant</w:t>
      </w:r>
      <w:r w:rsidR="00787E4F">
        <w:rPr>
          <w:szCs w:val="20"/>
        </w:rPr>
        <w:t xml:space="preserve"> </w:t>
      </w:r>
      <w:r w:rsidR="007D6B39">
        <w:rPr>
          <w:szCs w:val="20"/>
        </w:rPr>
        <w:t>enoug</w:t>
      </w:r>
      <w:r w:rsidR="00F31DEE">
        <w:rPr>
          <w:szCs w:val="20"/>
        </w:rPr>
        <w:t xml:space="preserve">h to </w:t>
      </w:r>
      <w:r w:rsidR="007D6B39">
        <w:rPr>
          <w:szCs w:val="20"/>
        </w:rPr>
        <w:t xml:space="preserve">warrant </w:t>
      </w:r>
      <w:r w:rsidR="00F31DEE">
        <w:rPr>
          <w:szCs w:val="20"/>
        </w:rPr>
        <w:t>introduc</w:t>
      </w:r>
      <w:r w:rsidR="007D6B39">
        <w:rPr>
          <w:szCs w:val="20"/>
        </w:rPr>
        <w:t xml:space="preserve">tion of </w:t>
      </w:r>
      <w:r w:rsidR="00F31DEE">
        <w:rPr>
          <w:szCs w:val="20"/>
        </w:rPr>
        <w:t>a third</w:t>
      </w:r>
      <w:r w:rsidR="00787E4F">
        <w:rPr>
          <w:szCs w:val="20"/>
        </w:rPr>
        <w:t xml:space="preserve"> category</w:t>
      </w:r>
      <w:r w:rsidR="007D6B39">
        <w:rPr>
          <w:szCs w:val="20"/>
        </w:rPr>
        <w:t xml:space="preserve"> of lots</w:t>
      </w:r>
      <w:r w:rsidR="00787E4F">
        <w:rPr>
          <w:szCs w:val="20"/>
        </w:rPr>
        <w:t>.</w:t>
      </w:r>
    </w:p>
    <w:p w14:paraId="43A5B40A" w14:textId="32292A36" w:rsidR="004A15F6" w:rsidRDefault="003B0894" w:rsidP="004A15F6">
      <w:pPr>
        <w:pStyle w:val="ListBulletLast"/>
        <w:numPr>
          <w:ilvl w:val="0"/>
          <w:numId w:val="0"/>
        </w:numPr>
        <w:rPr>
          <w:rFonts w:eastAsia="Calibri"/>
          <w:lang w:eastAsia="en-US"/>
        </w:rPr>
      </w:pPr>
      <w:r>
        <w:rPr>
          <w:rFonts w:eastAsia="Calibri"/>
          <w:lang w:eastAsia="en-US"/>
        </w:rPr>
        <w:t xml:space="preserve">The decision on whether to define separate lot categories is not required in relation to any recommendation to the </w:t>
      </w:r>
      <w:r w:rsidR="00D62084">
        <w:rPr>
          <w:rFonts w:eastAsia="Calibri"/>
          <w:lang w:eastAsia="en-US"/>
        </w:rPr>
        <w:t>m</w:t>
      </w:r>
      <w:r>
        <w:rPr>
          <w:rFonts w:eastAsia="Calibri"/>
          <w:lang w:eastAsia="en-US"/>
        </w:rPr>
        <w:t>inister on reallocation of spectrum as the reallocation is only defined by geographic area and frequency range. However</w:t>
      </w:r>
      <w:r w:rsidR="00C45399">
        <w:rPr>
          <w:rFonts w:eastAsia="Calibri"/>
          <w:lang w:eastAsia="en-US"/>
        </w:rPr>
        <w:t>,</w:t>
      </w:r>
      <w:r>
        <w:rPr>
          <w:rFonts w:eastAsia="Calibri"/>
          <w:lang w:eastAsia="en-US"/>
        </w:rPr>
        <w:t xml:space="preserve"> the ACMA is interested in any early feedback from stakeholders on lot configuration</w:t>
      </w:r>
      <w:r w:rsidR="00A74B2A">
        <w:rPr>
          <w:rFonts w:eastAsia="Calibri"/>
          <w:lang w:eastAsia="en-US"/>
        </w:rPr>
        <w:t xml:space="preserve"> including </w:t>
      </w:r>
      <w:r w:rsidR="007049A0">
        <w:rPr>
          <w:rFonts w:eastAsia="Calibri"/>
          <w:lang w:eastAsia="en-US"/>
        </w:rPr>
        <w:t xml:space="preserve">the </w:t>
      </w:r>
      <w:r w:rsidR="00A74B2A">
        <w:rPr>
          <w:rFonts w:eastAsia="Calibri"/>
          <w:lang w:eastAsia="en-US"/>
        </w:rPr>
        <w:t>lot categories</w:t>
      </w:r>
      <w:r>
        <w:rPr>
          <w:rFonts w:eastAsia="Calibri"/>
          <w:lang w:eastAsia="en-US"/>
        </w:rPr>
        <w:t>.</w:t>
      </w:r>
    </w:p>
    <w:p w14:paraId="3A9468AF" w14:textId="77777777" w:rsidR="00AB40D2" w:rsidRPr="006E0DC8" w:rsidRDefault="00AB40D2" w:rsidP="006E0DC8">
      <w:pPr>
        <w:pStyle w:val="Heading3"/>
      </w:pPr>
      <w:bookmarkStart w:id="296" w:name="_Toc496277340"/>
      <w:bookmarkStart w:id="297" w:name="_Toc496277739"/>
      <w:bookmarkStart w:id="298" w:name="_Toc496527250"/>
      <w:bookmarkStart w:id="299" w:name="_Toc496527425"/>
      <w:bookmarkStart w:id="300" w:name="_Toc8207143"/>
      <w:r w:rsidRPr="00394250">
        <w:t>ACMA preliminary preferred view</w:t>
      </w:r>
      <w:bookmarkEnd w:id="296"/>
      <w:bookmarkEnd w:id="297"/>
      <w:bookmarkEnd w:id="298"/>
      <w:bookmarkEnd w:id="299"/>
      <w:bookmarkEnd w:id="300"/>
    </w:p>
    <w:p w14:paraId="35CBFC3B" w14:textId="438EBFCF" w:rsidR="00371B1B" w:rsidRDefault="004959BF" w:rsidP="006E0DC8">
      <w:pPr>
        <w:spacing w:after="80"/>
      </w:pPr>
      <w:r>
        <w:t>While there are many bandwidth options</w:t>
      </w:r>
      <w:r w:rsidR="008924E3">
        <w:t xml:space="preserve"> in addition to the two options presented above</w:t>
      </w:r>
      <w:r>
        <w:t xml:space="preserve"> that could be considered in </w:t>
      </w:r>
      <w:r w:rsidR="00352F24">
        <w:t>the 26</w:t>
      </w:r>
      <w:r w:rsidR="008924E3">
        <w:t xml:space="preserve"> G</w:t>
      </w:r>
      <w:r w:rsidR="00043A85">
        <w:t>H</w:t>
      </w:r>
      <w:r w:rsidR="008924E3">
        <w:t>z</w:t>
      </w:r>
      <w:r w:rsidR="00352F24">
        <w:t xml:space="preserve"> band</w:t>
      </w:r>
      <w:r w:rsidR="008924E3">
        <w:t>,</w:t>
      </w:r>
      <w:r w:rsidR="00DF50DD">
        <w:t xml:space="preserve"> </w:t>
      </w:r>
      <w:r w:rsidR="00F55058">
        <w:t>t</w:t>
      </w:r>
      <w:r>
        <w:t xml:space="preserve">he </w:t>
      </w:r>
      <w:r w:rsidR="00AB40D2" w:rsidRPr="008B632A">
        <w:t>ACMA</w:t>
      </w:r>
      <w:r w:rsidR="00AB40D2">
        <w:t xml:space="preserve">’s preliminary view is that </w:t>
      </w:r>
      <w:r>
        <w:t xml:space="preserve">the most </w:t>
      </w:r>
      <w:r w:rsidR="00AB40D2">
        <w:t xml:space="preserve">appropriate </w:t>
      </w:r>
      <w:r w:rsidRPr="008B632A">
        <w:t>frequency lot configuration</w:t>
      </w:r>
      <w:r>
        <w:t xml:space="preserve"> is </w:t>
      </w:r>
      <w:r w:rsidR="00153785">
        <w:t>Option 1</w:t>
      </w:r>
      <w:r w:rsidR="00394250">
        <w:t xml:space="preserve">: </w:t>
      </w:r>
      <w:r>
        <w:t>24 x 100 MHz lots</w:t>
      </w:r>
      <w:r w:rsidR="000B0F4B">
        <w:t>,</w:t>
      </w:r>
      <w:r>
        <w:t xml:space="preserve"> as it</w:t>
      </w:r>
      <w:r w:rsidR="005F0C54">
        <w:t xml:space="preserve"> </w:t>
      </w:r>
      <w:r w:rsidR="00DC087F">
        <w:t>provide</w:t>
      </w:r>
      <w:r>
        <w:t>s</w:t>
      </w:r>
      <w:r w:rsidR="00DC087F">
        <w:t xml:space="preserve"> for</w:t>
      </w:r>
      <w:r w:rsidR="00371B1B">
        <w:t>:</w:t>
      </w:r>
    </w:p>
    <w:p w14:paraId="0A94BFB8" w14:textId="77777777" w:rsidR="00371B1B" w:rsidRDefault="00DC087F" w:rsidP="009A62DC">
      <w:pPr>
        <w:pStyle w:val="ListBullet"/>
        <w:tabs>
          <w:tab w:val="clear" w:pos="1996"/>
          <w:tab w:val="num" w:pos="-838"/>
        </w:tabs>
        <w:ind w:left="295"/>
      </w:pPr>
      <w:r>
        <w:t>greater flexibility for bidders to obtain the</w:t>
      </w:r>
      <w:r w:rsidR="005F0C54">
        <w:t>ir desired allocation</w:t>
      </w:r>
      <w:r w:rsidR="00921C42">
        <w:t>, including smaller players who may be interested in obtaining spectrum</w:t>
      </w:r>
    </w:p>
    <w:p w14:paraId="397A3C09" w14:textId="3F736A92" w:rsidR="00371B1B" w:rsidRDefault="00921C42" w:rsidP="009A62DC">
      <w:pPr>
        <w:pStyle w:val="ListBullet"/>
        <w:tabs>
          <w:tab w:val="clear" w:pos="1996"/>
          <w:tab w:val="num" w:pos="-838"/>
        </w:tabs>
        <w:ind w:left="295"/>
      </w:pPr>
      <w:r>
        <w:t>align</w:t>
      </w:r>
      <w:r w:rsidR="00EA5F67">
        <w:t>ment</w:t>
      </w:r>
      <w:r>
        <w:t xml:space="preserve"> with </w:t>
      </w:r>
      <w:r w:rsidR="006546A3">
        <w:t xml:space="preserve">the current </w:t>
      </w:r>
      <w:r w:rsidR="00B67F30">
        <w:t>standard</w:t>
      </w:r>
      <w:r w:rsidR="004B0DA5">
        <w:t>s</w:t>
      </w:r>
      <w:r w:rsidR="00B67F30">
        <w:t xml:space="preserve"> for </w:t>
      </w:r>
      <w:r w:rsidR="00A74B2A">
        <w:t>5G</w:t>
      </w:r>
      <w:r w:rsidR="00B67F30">
        <w:t xml:space="preserve"> technologies</w:t>
      </w:r>
      <w:r w:rsidR="004B0DA5">
        <w:rPr>
          <w:rStyle w:val="FootnoteReference"/>
        </w:rPr>
        <w:footnoteReference w:id="20"/>
      </w:r>
      <w:r>
        <w:t xml:space="preserve">, </w:t>
      </w:r>
      <w:r w:rsidR="00FB2498">
        <w:t xml:space="preserve">since </w:t>
      </w:r>
      <w:r w:rsidR="006546A3">
        <w:t>wireless broadband services</w:t>
      </w:r>
      <w:r w:rsidR="004B0DA5">
        <w:t xml:space="preserve"> </w:t>
      </w:r>
      <w:r w:rsidR="00B67F30">
        <w:t xml:space="preserve">are optimally deployed using bandwidths of </w:t>
      </w:r>
      <w:r>
        <w:t>mult</w:t>
      </w:r>
      <w:r w:rsidR="00A74B2A">
        <w:t>iples of 100</w:t>
      </w:r>
      <w:r w:rsidR="001C4355">
        <w:t> </w:t>
      </w:r>
      <w:r w:rsidR="00A74B2A">
        <w:t>MHz</w:t>
      </w:r>
    </w:p>
    <w:p w14:paraId="262234B9" w14:textId="5C22C83A" w:rsidR="00371B1B" w:rsidRDefault="00E86D38" w:rsidP="006E0DC8">
      <w:pPr>
        <w:pStyle w:val="ListBulletLast"/>
        <w:tabs>
          <w:tab w:val="clear" w:pos="1996"/>
          <w:tab w:val="num" w:pos="295"/>
        </w:tabs>
        <w:ind w:left="295"/>
      </w:pPr>
      <w:r>
        <w:t xml:space="preserve">the possible creation of </w:t>
      </w:r>
      <w:r w:rsidR="00A74B2A">
        <w:t xml:space="preserve">two </w:t>
      </w:r>
      <w:r w:rsidR="00371B1B">
        <w:t xml:space="preserve">lot </w:t>
      </w:r>
      <w:r w:rsidR="00A74B2A">
        <w:t>categories in Perth, Hobart, Bunbury and Margaret River to safeguard the existing NBN gateway uplinks</w:t>
      </w:r>
      <w:r w:rsidR="003334D9">
        <w:rPr>
          <w:rStyle w:val="FootnoteReference"/>
        </w:rPr>
        <w:footnoteReference w:id="21"/>
      </w:r>
      <w:r w:rsidR="003334D9">
        <w:t xml:space="preserve">, </w:t>
      </w:r>
      <w:r w:rsidR="00371B1B">
        <w:t xml:space="preserve">which would mean a split with a </w:t>
      </w:r>
      <w:r w:rsidR="003334D9">
        <w:t>lower band</w:t>
      </w:r>
      <w:r w:rsidR="00153785">
        <w:t xml:space="preserve"> consisting of 19 lots </w:t>
      </w:r>
      <w:r w:rsidR="00153785" w:rsidRPr="00281A11">
        <w:rPr>
          <w:rFonts w:eastAsia="Calibri"/>
          <w:i/>
          <w:lang w:eastAsia="en-US"/>
        </w:rPr>
        <w:t>(</w:t>
      </w:r>
      <w:r w:rsidR="00153785" w:rsidRPr="00C336A9">
        <w:rPr>
          <w:rFonts w:eastAsia="Calibri"/>
          <w:lang w:eastAsia="en-US"/>
        </w:rPr>
        <w:t>25.1</w:t>
      </w:r>
      <w:r w:rsidR="001C4E83">
        <w:rPr>
          <w:rFonts w:eastAsia="Calibri"/>
          <w:lang w:eastAsia="en-US"/>
        </w:rPr>
        <w:t>–</w:t>
      </w:r>
      <w:r w:rsidR="00153785" w:rsidRPr="00C336A9">
        <w:rPr>
          <w:rFonts w:eastAsia="Calibri"/>
          <w:lang w:eastAsia="en-US"/>
        </w:rPr>
        <w:t>27</w:t>
      </w:r>
      <w:r w:rsidR="00C336A9">
        <w:rPr>
          <w:rFonts w:eastAsia="Calibri"/>
          <w:lang w:eastAsia="en-US"/>
        </w:rPr>
        <w:t xml:space="preserve">.0 </w:t>
      </w:r>
      <w:r w:rsidR="00153785" w:rsidRPr="00C336A9">
        <w:rPr>
          <w:rFonts w:eastAsia="Calibri"/>
          <w:lang w:eastAsia="en-US"/>
        </w:rPr>
        <w:t>GHz</w:t>
      </w:r>
      <w:r w:rsidR="00153785" w:rsidRPr="00281A11">
        <w:rPr>
          <w:rFonts w:eastAsia="Calibri"/>
          <w:i/>
          <w:lang w:eastAsia="en-US"/>
        </w:rPr>
        <w:t>)</w:t>
      </w:r>
      <w:r w:rsidR="003334D9">
        <w:t xml:space="preserve"> and upper band</w:t>
      </w:r>
      <w:r w:rsidR="00153785">
        <w:t xml:space="preserve"> consisting of</w:t>
      </w:r>
      <w:r w:rsidR="001E2B35">
        <w:t xml:space="preserve"> </w:t>
      </w:r>
      <w:r w:rsidR="00153785">
        <w:t>5 lots</w:t>
      </w:r>
      <w:r w:rsidR="003334D9">
        <w:t xml:space="preserve"> </w:t>
      </w:r>
      <w:r w:rsidR="00153785">
        <w:t>(</w:t>
      </w:r>
      <w:r w:rsidR="00153785">
        <w:rPr>
          <w:rFonts w:eastAsia="Calibri"/>
          <w:lang w:eastAsia="en-US"/>
        </w:rPr>
        <w:t>27</w:t>
      </w:r>
      <w:r w:rsidR="00C336A9">
        <w:rPr>
          <w:rFonts w:eastAsia="Calibri"/>
          <w:lang w:eastAsia="en-US"/>
        </w:rPr>
        <w:t>.0</w:t>
      </w:r>
      <w:r w:rsidR="001C4E83">
        <w:rPr>
          <w:rFonts w:eastAsia="Calibri"/>
          <w:lang w:eastAsia="en-US"/>
        </w:rPr>
        <w:t>–</w:t>
      </w:r>
      <w:r w:rsidR="00153785">
        <w:rPr>
          <w:rFonts w:eastAsia="Calibri"/>
          <w:lang w:eastAsia="en-US"/>
        </w:rPr>
        <w:t>27.5 GHz</w:t>
      </w:r>
      <w:r w:rsidR="00153785">
        <w:t>)</w:t>
      </w:r>
      <w:r w:rsidR="00704E05">
        <w:t>.</w:t>
      </w:r>
    </w:p>
    <w:p w14:paraId="6A80E0A8" w14:textId="1BAB688D" w:rsidR="00C336A9" w:rsidRDefault="00A86310">
      <w:r>
        <w:t xml:space="preserve">Table 4 </w:t>
      </w:r>
      <w:r w:rsidR="00AB40D2">
        <w:t xml:space="preserve">outlines the </w:t>
      </w:r>
      <w:r w:rsidR="00371B1B">
        <w:t>p</w:t>
      </w:r>
      <w:r w:rsidR="00AB40D2">
        <w:t xml:space="preserve">roposed frequency lot configuration </w:t>
      </w:r>
      <w:r w:rsidR="00371B1B">
        <w:t>based on 24 x 100 MHz lots</w:t>
      </w:r>
      <w:r w:rsidR="001E72B8">
        <w:t xml:space="preserve"> in </w:t>
      </w:r>
      <w:r w:rsidR="00BB53CE">
        <w:t>the 26</w:t>
      </w:r>
      <w:r w:rsidR="00757994">
        <w:t xml:space="preserve"> GHz</w:t>
      </w:r>
      <w:r w:rsidR="00BB53CE">
        <w:t xml:space="preserve"> band</w:t>
      </w:r>
      <w:r w:rsidR="00AB40D2">
        <w:t>.</w:t>
      </w:r>
    </w:p>
    <w:p w14:paraId="6D377A20" w14:textId="3FAAAD05" w:rsidR="00637598" w:rsidRPr="004348EB" w:rsidRDefault="004348EB" w:rsidP="00BE2E3C">
      <w:pPr>
        <w:pStyle w:val="ACMATableHeader"/>
        <w:keepNext/>
        <w:keepLines/>
        <w:tabs>
          <w:tab w:val="clear" w:pos="964"/>
          <w:tab w:val="num" w:pos="-453"/>
        </w:tabs>
      </w:pPr>
      <w:bookmarkStart w:id="301" w:name="_Ref4150173"/>
      <w:r>
        <w:lastRenderedPageBreak/>
        <w:t>P</w:t>
      </w:r>
      <w:r w:rsidR="00E57E19" w:rsidRPr="004348EB">
        <w:t>roposed frequency lot configuration</w:t>
      </w:r>
      <w:bookmarkEnd w:id="301"/>
    </w:p>
    <w:tbl>
      <w:tblPr>
        <w:tblW w:w="7688" w:type="dxa"/>
        <w:tblLayout w:type="fixed"/>
        <w:tblCellMar>
          <w:left w:w="0" w:type="dxa"/>
          <w:right w:w="0" w:type="dxa"/>
        </w:tblCellMar>
        <w:tblLook w:val="01E0" w:firstRow="1" w:lastRow="1" w:firstColumn="1" w:lastColumn="1" w:noHBand="0" w:noVBand="0"/>
      </w:tblPr>
      <w:tblGrid>
        <w:gridCol w:w="7688"/>
      </w:tblGrid>
      <w:tr w:rsidR="00AB40D2" w:rsidRPr="006F741C" w14:paraId="744058D2" w14:textId="77777777" w:rsidTr="00BE2E3C">
        <w:trPr>
          <w:trHeight w:val="596"/>
        </w:trPr>
        <w:tc>
          <w:tcPr>
            <w:tcW w:w="7688" w:type="dxa"/>
            <w:shd w:val="clear" w:color="auto" w:fill="auto"/>
            <w:vAlign w:val="center"/>
          </w:tcPr>
          <w:tbl>
            <w:tblPr>
              <w:tblStyle w:val="TableGrid"/>
              <w:tblW w:w="7797" w:type="dxa"/>
              <w:tblBorders>
                <w:left w:val="none" w:sz="0" w:space="0" w:color="auto"/>
                <w:right w:val="none" w:sz="0" w:space="0" w:color="auto"/>
                <w:insideH w:val="single" w:sz="6" w:space="0" w:color="auto"/>
                <w:insideV w:val="none" w:sz="0" w:space="0" w:color="auto"/>
              </w:tblBorders>
              <w:tblLayout w:type="fixed"/>
              <w:tblLook w:val="04A0" w:firstRow="1" w:lastRow="0" w:firstColumn="1" w:lastColumn="0" w:noHBand="0" w:noVBand="1"/>
              <w:tblCaption w:val="Proposed frequency lot configurations"/>
              <w:tblDescription w:val="The table outlines the channel plan for the 3600 megahertz band. There are 25 channels in total. Each channel is made up of 5 megahertz lots. Channel 1 is made up of spectrum in frequency ranges 3575 to 3580 megahertz paired with spectrum in frequency ranges 1820 to 1825 megahertz. Channel 2 is made up of spectrum in frequency ranges 3580 to 3585 megahertz, and so on."/>
            </w:tblPr>
            <w:tblGrid>
              <w:gridCol w:w="1705"/>
              <w:gridCol w:w="3400"/>
              <w:gridCol w:w="2692"/>
            </w:tblGrid>
            <w:tr w:rsidR="00637598" w:rsidRPr="00637598" w14:paraId="16220317" w14:textId="77777777" w:rsidTr="00884DD0">
              <w:trPr>
                <w:tblHeader/>
              </w:trPr>
              <w:tc>
                <w:tcPr>
                  <w:tcW w:w="1705" w:type="dxa"/>
                  <w:shd w:val="clear" w:color="auto" w:fill="404040" w:themeFill="text1" w:themeFillTint="BF"/>
                </w:tcPr>
                <w:p w14:paraId="4E0CD9F0" w14:textId="77777777" w:rsidR="00AB40D2" w:rsidRPr="00637598" w:rsidRDefault="00AB40D2" w:rsidP="000505D6">
                  <w:pPr>
                    <w:keepNext/>
                    <w:keepLines/>
                    <w:tabs>
                      <w:tab w:val="left" w:pos="1134"/>
                      <w:tab w:val="left" w:pos="1701"/>
                      <w:tab w:val="left" w:pos="2268"/>
                      <w:tab w:val="left" w:pos="2977"/>
                      <w:tab w:val="left" w:pos="3544"/>
                      <w:tab w:val="left" w:pos="4111"/>
                      <w:tab w:val="left" w:pos="4820"/>
                      <w:tab w:val="left" w:pos="5387"/>
                      <w:tab w:val="left" w:pos="6096"/>
                      <w:tab w:val="left" w:pos="6521"/>
                      <w:tab w:val="left" w:pos="7230"/>
                      <w:tab w:val="left" w:pos="7797"/>
                    </w:tabs>
                    <w:spacing w:before="40" w:after="40"/>
                    <w:rPr>
                      <w:rFonts w:cs="Arial"/>
                      <w:b/>
                      <w:color w:val="FFFFFF" w:themeColor="background1"/>
                      <w:szCs w:val="20"/>
                    </w:rPr>
                  </w:pPr>
                  <w:r w:rsidRPr="00637598">
                    <w:rPr>
                      <w:rFonts w:cs="Arial"/>
                      <w:b/>
                      <w:color w:val="FFFFFF" w:themeColor="background1"/>
                      <w:szCs w:val="20"/>
                    </w:rPr>
                    <w:t>Channel</w:t>
                  </w:r>
                </w:p>
              </w:tc>
              <w:tc>
                <w:tcPr>
                  <w:tcW w:w="3400" w:type="dxa"/>
                  <w:shd w:val="clear" w:color="auto" w:fill="404040" w:themeFill="text1" w:themeFillTint="BF"/>
                </w:tcPr>
                <w:p w14:paraId="5E11A37A" w14:textId="77777777" w:rsidR="00AB40D2" w:rsidRPr="00637598" w:rsidRDefault="00AB40D2" w:rsidP="000505D6">
                  <w:pPr>
                    <w:keepNext/>
                    <w:keepLines/>
                    <w:tabs>
                      <w:tab w:val="left" w:pos="1134"/>
                      <w:tab w:val="left" w:pos="1701"/>
                      <w:tab w:val="left" w:pos="2268"/>
                      <w:tab w:val="left" w:pos="2977"/>
                      <w:tab w:val="left" w:pos="3544"/>
                      <w:tab w:val="left" w:pos="4111"/>
                      <w:tab w:val="left" w:pos="4820"/>
                      <w:tab w:val="left" w:pos="5387"/>
                      <w:tab w:val="left" w:pos="6096"/>
                      <w:tab w:val="left" w:pos="6521"/>
                      <w:tab w:val="left" w:pos="7230"/>
                      <w:tab w:val="left" w:pos="7797"/>
                    </w:tabs>
                    <w:spacing w:before="40" w:after="40"/>
                    <w:rPr>
                      <w:rFonts w:cs="Arial"/>
                      <w:b/>
                      <w:color w:val="FFFFFF" w:themeColor="background1"/>
                      <w:szCs w:val="20"/>
                    </w:rPr>
                  </w:pPr>
                  <w:r w:rsidRPr="00637598">
                    <w:rPr>
                      <w:rFonts w:cs="Arial"/>
                      <w:b/>
                      <w:color w:val="FFFFFF" w:themeColor="background1"/>
                      <w:szCs w:val="20"/>
                    </w:rPr>
                    <w:t>Frequency range</w:t>
                  </w:r>
                </w:p>
              </w:tc>
              <w:tc>
                <w:tcPr>
                  <w:tcW w:w="2692" w:type="dxa"/>
                  <w:shd w:val="clear" w:color="auto" w:fill="404040" w:themeFill="text1" w:themeFillTint="BF"/>
                </w:tcPr>
                <w:p w14:paraId="65B9709C" w14:textId="77777777" w:rsidR="00AB40D2" w:rsidRPr="00637598" w:rsidRDefault="00AB40D2" w:rsidP="00884DD0">
                  <w:pPr>
                    <w:keepNext/>
                    <w:keepLines/>
                    <w:tabs>
                      <w:tab w:val="left" w:pos="1134"/>
                      <w:tab w:val="left" w:pos="1701"/>
                      <w:tab w:val="left" w:pos="2268"/>
                      <w:tab w:val="left" w:pos="2977"/>
                      <w:tab w:val="left" w:pos="3544"/>
                      <w:tab w:val="left" w:pos="4111"/>
                      <w:tab w:val="left" w:pos="4820"/>
                      <w:tab w:val="left" w:pos="5387"/>
                      <w:tab w:val="left" w:pos="6096"/>
                      <w:tab w:val="left" w:pos="6521"/>
                      <w:tab w:val="left" w:pos="7230"/>
                      <w:tab w:val="left" w:pos="7797"/>
                    </w:tabs>
                    <w:spacing w:before="40" w:after="40"/>
                    <w:rPr>
                      <w:rFonts w:cs="Arial"/>
                      <w:b/>
                      <w:color w:val="FFFFFF" w:themeColor="background1"/>
                      <w:szCs w:val="20"/>
                    </w:rPr>
                  </w:pPr>
                  <w:r w:rsidRPr="00637598">
                    <w:rPr>
                      <w:rFonts w:cs="Arial"/>
                      <w:b/>
                      <w:color w:val="FFFFFF" w:themeColor="background1"/>
                      <w:szCs w:val="20"/>
                    </w:rPr>
                    <w:t>Bandwidth</w:t>
                  </w:r>
                </w:p>
              </w:tc>
            </w:tr>
            <w:tr w:rsidR="00AB40D2" w14:paraId="2F5369AE" w14:textId="77777777" w:rsidTr="00884DD0">
              <w:tc>
                <w:tcPr>
                  <w:tcW w:w="1705" w:type="dxa"/>
                </w:tcPr>
                <w:p w14:paraId="31DD4AD8" w14:textId="77777777" w:rsidR="00AB40D2" w:rsidRPr="007127A0" w:rsidRDefault="00AB40D2" w:rsidP="000505D6">
                  <w:pPr>
                    <w:keepNext/>
                    <w:keepLines/>
                    <w:spacing w:before="40" w:after="40"/>
                    <w:ind w:right="120"/>
                    <w:rPr>
                      <w:rFonts w:cs="Arial"/>
                    </w:rPr>
                  </w:pPr>
                  <w:r w:rsidRPr="007127A0">
                    <w:rPr>
                      <w:rFonts w:cs="Arial"/>
                    </w:rPr>
                    <w:t>1</w:t>
                  </w:r>
                </w:p>
              </w:tc>
              <w:tc>
                <w:tcPr>
                  <w:tcW w:w="3400" w:type="dxa"/>
                </w:tcPr>
                <w:p w14:paraId="118D10DF" w14:textId="538F31FF" w:rsidR="00AB40D2" w:rsidRPr="007127A0" w:rsidRDefault="00B00B6F" w:rsidP="000505D6">
                  <w:pPr>
                    <w:keepNext/>
                    <w:keepLines/>
                    <w:spacing w:before="40" w:after="40"/>
                    <w:ind w:right="120"/>
                    <w:rPr>
                      <w:rFonts w:cs="Arial"/>
                    </w:rPr>
                  </w:pPr>
                  <w:r>
                    <w:rPr>
                      <w:rFonts w:cs="Arial"/>
                    </w:rPr>
                    <w:t>25</w:t>
                  </w:r>
                  <w:r w:rsidR="00CE5569">
                    <w:rPr>
                      <w:rFonts w:cs="Arial"/>
                    </w:rPr>
                    <w:t>.</w:t>
                  </w:r>
                  <w:r>
                    <w:rPr>
                      <w:rFonts w:cs="Arial"/>
                    </w:rPr>
                    <w:t>1</w:t>
                  </w:r>
                  <w:r w:rsidR="00AB40D2">
                    <w:rPr>
                      <w:rFonts w:cs="Arial"/>
                    </w:rPr>
                    <w:t>–</w:t>
                  </w:r>
                  <w:r w:rsidR="00757994">
                    <w:rPr>
                      <w:rFonts w:cs="Arial"/>
                    </w:rPr>
                    <w:t>25.2</w:t>
                  </w:r>
                  <w:r w:rsidR="00AB40D2" w:rsidRPr="007127A0">
                    <w:rPr>
                      <w:rFonts w:cs="Arial"/>
                    </w:rPr>
                    <w:t xml:space="preserve"> </w:t>
                  </w:r>
                  <w:r w:rsidR="00757994">
                    <w:rPr>
                      <w:rFonts w:cs="Arial"/>
                    </w:rPr>
                    <w:t>GHz</w:t>
                  </w:r>
                </w:p>
              </w:tc>
              <w:tc>
                <w:tcPr>
                  <w:tcW w:w="2692" w:type="dxa"/>
                </w:tcPr>
                <w:p w14:paraId="6BCCEAAA" w14:textId="3E946576" w:rsidR="00AB40D2" w:rsidRPr="007127A0" w:rsidRDefault="00757994" w:rsidP="000505D6">
                  <w:pPr>
                    <w:keepNext/>
                    <w:keepLines/>
                    <w:spacing w:before="40" w:after="40"/>
                    <w:ind w:right="120"/>
                    <w:rPr>
                      <w:rFonts w:cs="Arial"/>
                    </w:rPr>
                  </w:pPr>
                  <w:r>
                    <w:rPr>
                      <w:rFonts w:cs="Arial"/>
                    </w:rPr>
                    <w:t>100</w:t>
                  </w:r>
                  <w:r w:rsidR="00AB40D2" w:rsidRPr="007127A0">
                    <w:rPr>
                      <w:rFonts w:cs="Arial"/>
                    </w:rPr>
                    <w:t xml:space="preserve"> MHz</w:t>
                  </w:r>
                </w:p>
              </w:tc>
            </w:tr>
            <w:tr w:rsidR="00757994" w14:paraId="161B86B4" w14:textId="77777777" w:rsidTr="00884DD0">
              <w:tc>
                <w:tcPr>
                  <w:tcW w:w="1705" w:type="dxa"/>
                  <w:shd w:val="clear" w:color="auto" w:fill="F2F2F2" w:themeFill="background1" w:themeFillShade="F2"/>
                </w:tcPr>
                <w:p w14:paraId="2E09FDAC" w14:textId="77777777" w:rsidR="00757994" w:rsidRPr="007127A0" w:rsidRDefault="00757994" w:rsidP="000505D6">
                  <w:pPr>
                    <w:keepNext/>
                    <w:keepLines/>
                    <w:spacing w:before="40" w:after="40"/>
                    <w:ind w:left="-539" w:right="120" w:firstLine="539"/>
                    <w:rPr>
                      <w:rFonts w:cs="Arial"/>
                    </w:rPr>
                  </w:pPr>
                  <w:r w:rsidRPr="007127A0">
                    <w:rPr>
                      <w:rFonts w:cs="Arial"/>
                    </w:rPr>
                    <w:t>2</w:t>
                  </w:r>
                </w:p>
              </w:tc>
              <w:tc>
                <w:tcPr>
                  <w:tcW w:w="3400" w:type="dxa"/>
                  <w:shd w:val="clear" w:color="auto" w:fill="F2F2F2" w:themeFill="background1" w:themeFillShade="F2"/>
                </w:tcPr>
                <w:p w14:paraId="50557192" w14:textId="362EEC16" w:rsidR="00757994" w:rsidRPr="007127A0" w:rsidRDefault="00CE5569" w:rsidP="000505D6">
                  <w:pPr>
                    <w:keepNext/>
                    <w:keepLines/>
                    <w:spacing w:before="40" w:after="40"/>
                    <w:ind w:right="120"/>
                    <w:rPr>
                      <w:rFonts w:cs="Arial"/>
                    </w:rPr>
                  </w:pPr>
                  <w:r>
                    <w:rPr>
                      <w:rFonts w:cs="Arial"/>
                    </w:rPr>
                    <w:t>25.2</w:t>
                  </w:r>
                  <w:r w:rsidR="00B71B9C">
                    <w:rPr>
                      <w:rFonts w:cs="Arial"/>
                    </w:rPr>
                    <w:t>–</w:t>
                  </w:r>
                  <w:r>
                    <w:rPr>
                      <w:rFonts w:cs="Arial"/>
                    </w:rPr>
                    <w:t>25.3 GHz</w:t>
                  </w:r>
                </w:p>
              </w:tc>
              <w:tc>
                <w:tcPr>
                  <w:tcW w:w="2692" w:type="dxa"/>
                  <w:shd w:val="clear" w:color="auto" w:fill="F2F2F2" w:themeFill="background1" w:themeFillShade="F2"/>
                </w:tcPr>
                <w:p w14:paraId="78F2CFD1" w14:textId="47A20070" w:rsidR="00757994" w:rsidRPr="009D3A49" w:rsidRDefault="00757994" w:rsidP="00884DD0">
                  <w:pPr>
                    <w:keepNext/>
                    <w:keepLines/>
                    <w:tabs>
                      <w:tab w:val="left" w:pos="2445"/>
                    </w:tabs>
                    <w:spacing w:before="40" w:after="40"/>
                    <w:ind w:right="120"/>
                    <w:rPr>
                      <w:rFonts w:cs="Arial"/>
                    </w:rPr>
                  </w:pPr>
                  <w:r w:rsidRPr="00382ED9">
                    <w:rPr>
                      <w:rFonts w:cs="Arial"/>
                    </w:rPr>
                    <w:t>100 MHz</w:t>
                  </w:r>
                </w:p>
              </w:tc>
            </w:tr>
            <w:tr w:rsidR="00757994" w14:paraId="172DF064" w14:textId="77777777" w:rsidTr="00884DD0">
              <w:tc>
                <w:tcPr>
                  <w:tcW w:w="1705" w:type="dxa"/>
                </w:tcPr>
                <w:p w14:paraId="390B71F2" w14:textId="77777777" w:rsidR="00757994" w:rsidRPr="007127A0" w:rsidRDefault="00757994" w:rsidP="000505D6">
                  <w:pPr>
                    <w:keepNext/>
                    <w:keepLines/>
                    <w:spacing w:before="40" w:after="40"/>
                    <w:ind w:right="120"/>
                    <w:rPr>
                      <w:rFonts w:cs="Arial"/>
                    </w:rPr>
                  </w:pPr>
                  <w:r w:rsidRPr="007127A0">
                    <w:rPr>
                      <w:rFonts w:cs="Arial"/>
                    </w:rPr>
                    <w:t>3</w:t>
                  </w:r>
                </w:p>
              </w:tc>
              <w:tc>
                <w:tcPr>
                  <w:tcW w:w="3400" w:type="dxa"/>
                </w:tcPr>
                <w:p w14:paraId="071F207E" w14:textId="19E8EB0D" w:rsidR="00757994" w:rsidRPr="007127A0" w:rsidRDefault="00CE5569" w:rsidP="000505D6">
                  <w:pPr>
                    <w:keepNext/>
                    <w:keepLines/>
                    <w:spacing w:before="40" w:after="40"/>
                    <w:ind w:right="120"/>
                    <w:rPr>
                      <w:rFonts w:cs="Arial"/>
                    </w:rPr>
                  </w:pPr>
                  <w:r>
                    <w:rPr>
                      <w:rFonts w:cs="Arial"/>
                    </w:rPr>
                    <w:t>25.3</w:t>
                  </w:r>
                  <w:r w:rsidR="00B71B9C">
                    <w:rPr>
                      <w:rFonts w:cs="Arial"/>
                    </w:rPr>
                    <w:t>–</w:t>
                  </w:r>
                  <w:r>
                    <w:rPr>
                      <w:rFonts w:cs="Arial"/>
                    </w:rPr>
                    <w:t>25.4 GHz</w:t>
                  </w:r>
                </w:p>
              </w:tc>
              <w:tc>
                <w:tcPr>
                  <w:tcW w:w="2692" w:type="dxa"/>
                </w:tcPr>
                <w:p w14:paraId="502E3181" w14:textId="2CF79BA2" w:rsidR="00757994" w:rsidRPr="009D3A49" w:rsidRDefault="00757994" w:rsidP="000505D6">
                  <w:pPr>
                    <w:keepNext/>
                    <w:keepLines/>
                    <w:spacing w:before="40" w:after="40"/>
                    <w:ind w:right="120"/>
                    <w:rPr>
                      <w:rFonts w:cs="Arial"/>
                    </w:rPr>
                  </w:pPr>
                  <w:r w:rsidRPr="00382ED9">
                    <w:rPr>
                      <w:rFonts w:cs="Arial"/>
                    </w:rPr>
                    <w:t>100 MHz</w:t>
                  </w:r>
                </w:p>
              </w:tc>
            </w:tr>
            <w:tr w:rsidR="00757994" w14:paraId="54C52FEF" w14:textId="77777777" w:rsidTr="00884DD0">
              <w:tc>
                <w:tcPr>
                  <w:tcW w:w="1705" w:type="dxa"/>
                  <w:shd w:val="clear" w:color="auto" w:fill="F2F2F2" w:themeFill="background1" w:themeFillShade="F2"/>
                </w:tcPr>
                <w:p w14:paraId="586BED97" w14:textId="77777777" w:rsidR="00757994" w:rsidRPr="007127A0" w:rsidRDefault="00757994" w:rsidP="000505D6">
                  <w:pPr>
                    <w:keepNext/>
                    <w:keepLines/>
                    <w:spacing w:before="40" w:after="40"/>
                    <w:ind w:right="120"/>
                    <w:rPr>
                      <w:rFonts w:cs="Arial"/>
                    </w:rPr>
                  </w:pPr>
                  <w:r w:rsidRPr="007127A0">
                    <w:rPr>
                      <w:rFonts w:cs="Arial"/>
                    </w:rPr>
                    <w:t>4</w:t>
                  </w:r>
                </w:p>
              </w:tc>
              <w:tc>
                <w:tcPr>
                  <w:tcW w:w="3400" w:type="dxa"/>
                  <w:shd w:val="clear" w:color="auto" w:fill="F2F2F2" w:themeFill="background1" w:themeFillShade="F2"/>
                </w:tcPr>
                <w:p w14:paraId="3F869BB6" w14:textId="5C7DF765" w:rsidR="00757994" w:rsidRPr="007127A0" w:rsidRDefault="00CE5569" w:rsidP="000505D6">
                  <w:pPr>
                    <w:keepNext/>
                    <w:keepLines/>
                    <w:spacing w:before="40" w:after="40"/>
                    <w:ind w:right="120"/>
                    <w:rPr>
                      <w:rFonts w:cs="Arial"/>
                    </w:rPr>
                  </w:pPr>
                  <w:r>
                    <w:rPr>
                      <w:rFonts w:cs="Arial"/>
                    </w:rPr>
                    <w:t>25.4</w:t>
                  </w:r>
                  <w:r w:rsidR="00B71B9C">
                    <w:rPr>
                      <w:rFonts w:cs="Arial"/>
                    </w:rPr>
                    <w:t>–</w:t>
                  </w:r>
                  <w:r>
                    <w:rPr>
                      <w:rFonts w:cs="Arial"/>
                    </w:rPr>
                    <w:t>25.5 GHz</w:t>
                  </w:r>
                </w:p>
              </w:tc>
              <w:tc>
                <w:tcPr>
                  <w:tcW w:w="2692" w:type="dxa"/>
                  <w:shd w:val="clear" w:color="auto" w:fill="F2F2F2" w:themeFill="background1" w:themeFillShade="F2"/>
                </w:tcPr>
                <w:p w14:paraId="2A107780" w14:textId="321A729D" w:rsidR="00757994" w:rsidRPr="009D3A49" w:rsidRDefault="00757994" w:rsidP="000505D6">
                  <w:pPr>
                    <w:keepNext/>
                    <w:keepLines/>
                    <w:spacing w:before="40" w:after="40"/>
                    <w:ind w:right="120"/>
                    <w:rPr>
                      <w:rFonts w:cs="Arial"/>
                    </w:rPr>
                  </w:pPr>
                  <w:r w:rsidRPr="00382ED9">
                    <w:rPr>
                      <w:rFonts w:cs="Arial"/>
                    </w:rPr>
                    <w:t>100 MHz</w:t>
                  </w:r>
                </w:p>
              </w:tc>
            </w:tr>
            <w:tr w:rsidR="00757994" w14:paraId="3D1E6528" w14:textId="77777777" w:rsidTr="00884DD0">
              <w:tc>
                <w:tcPr>
                  <w:tcW w:w="1705" w:type="dxa"/>
                </w:tcPr>
                <w:p w14:paraId="2BCCB3C6" w14:textId="77777777" w:rsidR="00757994" w:rsidRPr="007127A0" w:rsidRDefault="00757994" w:rsidP="000505D6">
                  <w:pPr>
                    <w:keepNext/>
                    <w:keepLines/>
                    <w:spacing w:before="40" w:after="40"/>
                    <w:ind w:right="120"/>
                    <w:rPr>
                      <w:rFonts w:cs="Arial"/>
                    </w:rPr>
                  </w:pPr>
                  <w:r w:rsidRPr="007127A0">
                    <w:rPr>
                      <w:rFonts w:cs="Arial"/>
                    </w:rPr>
                    <w:t>5</w:t>
                  </w:r>
                </w:p>
              </w:tc>
              <w:tc>
                <w:tcPr>
                  <w:tcW w:w="3400" w:type="dxa"/>
                </w:tcPr>
                <w:p w14:paraId="67198580" w14:textId="4F2CC9F5" w:rsidR="00757994" w:rsidRPr="007127A0" w:rsidRDefault="00CE5569" w:rsidP="000505D6">
                  <w:pPr>
                    <w:keepNext/>
                    <w:keepLines/>
                    <w:spacing w:before="40" w:after="40"/>
                    <w:ind w:right="120"/>
                    <w:rPr>
                      <w:rFonts w:cs="Arial"/>
                    </w:rPr>
                  </w:pPr>
                  <w:r>
                    <w:rPr>
                      <w:rFonts w:cs="Arial"/>
                    </w:rPr>
                    <w:t>25.5</w:t>
                  </w:r>
                  <w:r w:rsidR="00B71B9C">
                    <w:rPr>
                      <w:rFonts w:cs="Arial"/>
                    </w:rPr>
                    <w:t>–</w:t>
                  </w:r>
                  <w:r>
                    <w:rPr>
                      <w:rFonts w:cs="Arial"/>
                    </w:rPr>
                    <w:t>25.6 GHz</w:t>
                  </w:r>
                </w:p>
              </w:tc>
              <w:tc>
                <w:tcPr>
                  <w:tcW w:w="2692" w:type="dxa"/>
                </w:tcPr>
                <w:p w14:paraId="59235FC8" w14:textId="3BABC5EE" w:rsidR="00757994" w:rsidRPr="009D3A49" w:rsidRDefault="00757994" w:rsidP="000505D6">
                  <w:pPr>
                    <w:keepNext/>
                    <w:keepLines/>
                    <w:spacing w:before="40" w:after="40"/>
                    <w:ind w:right="120"/>
                    <w:rPr>
                      <w:rFonts w:cs="Arial"/>
                    </w:rPr>
                  </w:pPr>
                  <w:r w:rsidRPr="00382ED9">
                    <w:rPr>
                      <w:rFonts w:cs="Arial"/>
                    </w:rPr>
                    <w:t>100 MHz</w:t>
                  </w:r>
                </w:p>
              </w:tc>
            </w:tr>
            <w:tr w:rsidR="00CE5569" w14:paraId="7B2E0880" w14:textId="77777777" w:rsidTr="00884DD0">
              <w:tc>
                <w:tcPr>
                  <w:tcW w:w="1705" w:type="dxa"/>
                  <w:shd w:val="clear" w:color="auto" w:fill="F2F2F2" w:themeFill="background1" w:themeFillShade="F2"/>
                </w:tcPr>
                <w:p w14:paraId="521B7FC7" w14:textId="77777777" w:rsidR="00CE5569" w:rsidRPr="007127A0" w:rsidRDefault="00CE5569" w:rsidP="000505D6">
                  <w:pPr>
                    <w:keepNext/>
                    <w:keepLines/>
                    <w:spacing w:before="40" w:after="40"/>
                    <w:ind w:right="120"/>
                    <w:rPr>
                      <w:rFonts w:cs="Arial"/>
                    </w:rPr>
                  </w:pPr>
                  <w:r w:rsidRPr="007127A0">
                    <w:rPr>
                      <w:rFonts w:cs="Arial"/>
                    </w:rPr>
                    <w:t>6</w:t>
                  </w:r>
                </w:p>
              </w:tc>
              <w:tc>
                <w:tcPr>
                  <w:tcW w:w="3400" w:type="dxa"/>
                  <w:shd w:val="clear" w:color="auto" w:fill="F2F2F2" w:themeFill="background1" w:themeFillShade="F2"/>
                </w:tcPr>
                <w:p w14:paraId="0401E3BE" w14:textId="40746EEA" w:rsidR="00CE5569" w:rsidRPr="007127A0" w:rsidRDefault="00CE5569" w:rsidP="000505D6">
                  <w:pPr>
                    <w:keepNext/>
                    <w:keepLines/>
                    <w:spacing w:before="40" w:after="40"/>
                    <w:ind w:right="120"/>
                    <w:rPr>
                      <w:rFonts w:cs="Arial"/>
                    </w:rPr>
                  </w:pPr>
                  <w:r w:rsidRPr="00320B07">
                    <w:rPr>
                      <w:rFonts w:cs="Arial"/>
                    </w:rPr>
                    <w:t>25.</w:t>
                  </w:r>
                  <w:r>
                    <w:rPr>
                      <w:rFonts w:cs="Arial"/>
                    </w:rPr>
                    <w:t>6</w:t>
                  </w:r>
                  <w:r w:rsidR="00B71B9C">
                    <w:rPr>
                      <w:rFonts w:cs="Arial"/>
                    </w:rPr>
                    <w:t>–</w:t>
                  </w:r>
                  <w:r w:rsidRPr="00320B07">
                    <w:rPr>
                      <w:rFonts w:cs="Arial"/>
                    </w:rPr>
                    <w:t>25.</w:t>
                  </w:r>
                  <w:r>
                    <w:rPr>
                      <w:rFonts w:cs="Arial"/>
                    </w:rPr>
                    <w:t>7</w:t>
                  </w:r>
                  <w:r w:rsidRPr="00320B07">
                    <w:rPr>
                      <w:rFonts w:cs="Arial"/>
                    </w:rPr>
                    <w:t xml:space="preserve"> GHz</w:t>
                  </w:r>
                </w:p>
              </w:tc>
              <w:tc>
                <w:tcPr>
                  <w:tcW w:w="2692" w:type="dxa"/>
                  <w:shd w:val="clear" w:color="auto" w:fill="F2F2F2" w:themeFill="background1" w:themeFillShade="F2"/>
                </w:tcPr>
                <w:p w14:paraId="578A9975" w14:textId="47D50D95" w:rsidR="00CE5569" w:rsidRPr="009D3A49" w:rsidRDefault="00CE5569" w:rsidP="000505D6">
                  <w:pPr>
                    <w:keepNext/>
                    <w:keepLines/>
                    <w:spacing w:before="40" w:after="40"/>
                    <w:ind w:right="120"/>
                    <w:rPr>
                      <w:rFonts w:cs="Arial"/>
                    </w:rPr>
                  </w:pPr>
                  <w:r w:rsidRPr="00382ED9">
                    <w:rPr>
                      <w:rFonts w:cs="Arial"/>
                    </w:rPr>
                    <w:t>100 MHz</w:t>
                  </w:r>
                </w:p>
              </w:tc>
            </w:tr>
            <w:tr w:rsidR="00CE5569" w14:paraId="6286B6EE" w14:textId="77777777" w:rsidTr="00884DD0">
              <w:tc>
                <w:tcPr>
                  <w:tcW w:w="1705" w:type="dxa"/>
                </w:tcPr>
                <w:p w14:paraId="3008FF07" w14:textId="77777777" w:rsidR="00CE5569" w:rsidRPr="007127A0" w:rsidRDefault="00CE5569" w:rsidP="000505D6">
                  <w:pPr>
                    <w:keepNext/>
                    <w:keepLines/>
                    <w:spacing w:before="40" w:after="40"/>
                    <w:ind w:right="120"/>
                    <w:rPr>
                      <w:rFonts w:cs="Arial"/>
                    </w:rPr>
                  </w:pPr>
                  <w:r w:rsidRPr="007127A0">
                    <w:rPr>
                      <w:rFonts w:cs="Arial"/>
                    </w:rPr>
                    <w:t>7</w:t>
                  </w:r>
                </w:p>
              </w:tc>
              <w:tc>
                <w:tcPr>
                  <w:tcW w:w="3400" w:type="dxa"/>
                </w:tcPr>
                <w:p w14:paraId="642C7201" w14:textId="72367062" w:rsidR="00CE5569" w:rsidRPr="007127A0" w:rsidRDefault="00CE5569" w:rsidP="000505D6">
                  <w:pPr>
                    <w:keepNext/>
                    <w:keepLines/>
                    <w:spacing w:before="40" w:after="40"/>
                    <w:ind w:right="120"/>
                    <w:rPr>
                      <w:rFonts w:cs="Arial"/>
                    </w:rPr>
                  </w:pPr>
                  <w:r w:rsidRPr="00320B07">
                    <w:rPr>
                      <w:rFonts w:cs="Arial"/>
                    </w:rPr>
                    <w:t>25.</w:t>
                  </w:r>
                  <w:r>
                    <w:rPr>
                      <w:rFonts w:cs="Arial"/>
                    </w:rPr>
                    <w:t>7</w:t>
                  </w:r>
                  <w:r w:rsidR="00B71B9C">
                    <w:rPr>
                      <w:rFonts w:cs="Arial"/>
                    </w:rPr>
                    <w:t>–</w:t>
                  </w:r>
                  <w:r w:rsidRPr="00320B07">
                    <w:rPr>
                      <w:rFonts w:cs="Arial"/>
                    </w:rPr>
                    <w:t>25.</w:t>
                  </w:r>
                  <w:r>
                    <w:rPr>
                      <w:rFonts w:cs="Arial"/>
                    </w:rPr>
                    <w:t>8</w:t>
                  </w:r>
                  <w:r w:rsidRPr="00320B07">
                    <w:rPr>
                      <w:rFonts w:cs="Arial"/>
                    </w:rPr>
                    <w:t xml:space="preserve"> GHz</w:t>
                  </w:r>
                </w:p>
              </w:tc>
              <w:tc>
                <w:tcPr>
                  <w:tcW w:w="2692" w:type="dxa"/>
                </w:tcPr>
                <w:p w14:paraId="181E6EA0" w14:textId="5376E9F7" w:rsidR="00CE5569" w:rsidRPr="009D3A49" w:rsidRDefault="00CE5569" w:rsidP="000505D6">
                  <w:pPr>
                    <w:keepNext/>
                    <w:keepLines/>
                    <w:spacing w:before="40" w:after="40"/>
                    <w:ind w:right="120"/>
                    <w:rPr>
                      <w:rFonts w:cs="Arial"/>
                    </w:rPr>
                  </w:pPr>
                  <w:r w:rsidRPr="00382ED9">
                    <w:rPr>
                      <w:rFonts w:cs="Arial"/>
                    </w:rPr>
                    <w:t>100 MHz</w:t>
                  </w:r>
                </w:p>
              </w:tc>
            </w:tr>
            <w:tr w:rsidR="00CE5569" w14:paraId="1A6BE2A1" w14:textId="77777777" w:rsidTr="00884DD0">
              <w:tc>
                <w:tcPr>
                  <w:tcW w:w="1705" w:type="dxa"/>
                  <w:shd w:val="clear" w:color="auto" w:fill="F2F2F2" w:themeFill="background1" w:themeFillShade="F2"/>
                </w:tcPr>
                <w:p w14:paraId="6524BB40" w14:textId="77777777" w:rsidR="00CE5569" w:rsidRPr="007127A0" w:rsidRDefault="00CE5569" w:rsidP="000505D6">
                  <w:pPr>
                    <w:keepNext/>
                    <w:keepLines/>
                    <w:spacing w:before="40" w:after="40"/>
                    <w:ind w:right="120"/>
                    <w:rPr>
                      <w:rFonts w:cs="Arial"/>
                    </w:rPr>
                  </w:pPr>
                  <w:r w:rsidRPr="007127A0">
                    <w:rPr>
                      <w:rFonts w:cs="Arial"/>
                    </w:rPr>
                    <w:t>8</w:t>
                  </w:r>
                </w:p>
              </w:tc>
              <w:tc>
                <w:tcPr>
                  <w:tcW w:w="3400" w:type="dxa"/>
                  <w:shd w:val="clear" w:color="auto" w:fill="F2F2F2" w:themeFill="background1" w:themeFillShade="F2"/>
                </w:tcPr>
                <w:p w14:paraId="4D306A94" w14:textId="6E745269" w:rsidR="00CE5569" w:rsidRPr="007127A0" w:rsidRDefault="00CE5569" w:rsidP="000505D6">
                  <w:pPr>
                    <w:keepNext/>
                    <w:keepLines/>
                    <w:spacing w:before="40" w:after="40"/>
                    <w:ind w:right="120"/>
                    <w:rPr>
                      <w:rFonts w:cs="Arial"/>
                    </w:rPr>
                  </w:pPr>
                  <w:r w:rsidRPr="00320B07">
                    <w:rPr>
                      <w:rFonts w:cs="Arial"/>
                    </w:rPr>
                    <w:t>25.</w:t>
                  </w:r>
                  <w:r>
                    <w:rPr>
                      <w:rFonts w:cs="Arial"/>
                    </w:rPr>
                    <w:t>8</w:t>
                  </w:r>
                  <w:r w:rsidR="00B71B9C">
                    <w:rPr>
                      <w:rFonts w:cs="Arial"/>
                    </w:rPr>
                    <w:t>–</w:t>
                  </w:r>
                  <w:r w:rsidRPr="00320B07">
                    <w:rPr>
                      <w:rFonts w:cs="Arial"/>
                    </w:rPr>
                    <w:t>25.</w:t>
                  </w:r>
                  <w:r>
                    <w:rPr>
                      <w:rFonts w:cs="Arial"/>
                    </w:rPr>
                    <w:t>9</w:t>
                  </w:r>
                  <w:r w:rsidRPr="00320B07">
                    <w:rPr>
                      <w:rFonts w:cs="Arial"/>
                    </w:rPr>
                    <w:t xml:space="preserve"> GHz</w:t>
                  </w:r>
                </w:p>
              </w:tc>
              <w:tc>
                <w:tcPr>
                  <w:tcW w:w="2692" w:type="dxa"/>
                  <w:shd w:val="clear" w:color="auto" w:fill="F2F2F2" w:themeFill="background1" w:themeFillShade="F2"/>
                </w:tcPr>
                <w:p w14:paraId="557591EC" w14:textId="13FA8498" w:rsidR="00CE5569" w:rsidRPr="009D3A49" w:rsidRDefault="00CE5569" w:rsidP="000505D6">
                  <w:pPr>
                    <w:keepNext/>
                    <w:keepLines/>
                    <w:spacing w:before="40" w:after="40"/>
                    <w:ind w:right="120"/>
                    <w:rPr>
                      <w:rFonts w:cs="Arial"/>
                    </w:rPr>
                  </w:pPr>
                  <w:r w:rsidRPr="00382ED9">
                    <w:rPr>
                      <w:rFonts w:cs="Arial"/>
                    </w:rPr>
                    <w:t>100 MHz</w:t>
                  </w:r>
                </w:p>
              </w:tc>
            </w:tr>
            <w:tr w:rsidR="00757994" w14:paraId="12EB3045" w14:textId="77777777" w:rsidTr="00884DD0">
              <w:tc>
                <w:tcPr>
                  <w:tcW w:w="1705" w:type="dxa"/>
                </w:tcPr>
                <w:p w14:paraId="37E1F070" w14:textId="77777777" w:rsidR="00757994" w:rsidRPr="007127A0" w:rsidRDefault="00757994" w:rsidP="000505D6">
                  <w:pPr>
                    <w:keepNext/>
                    <w:keepLines/>
                    <w:spacing w:before="40" w:after="40"/>
                    <w:ind w:right="120"/>
                    <w:rPr>
                      <w:rFonts w:cs="Arial"/>
                    </w:rPr>
                  </w:pPr>
                  <w:r w:rsidRPr="007127A0">
                    <w:rPr>
                      <w:rFonts w:cs="Arial"/>
                    </w:rPr>
                    <w:t>9</w:t>
                  </w:r>
                </w:p>
              </w:tc>
              <w:tc>
                <w:tcPr>
                  <w:tcW w:w="3400" w:type="dxa"/>
                </w:tcPr>
                <w:p w14:paraId="71D1CA22" w14:textId="4377BAB1" w:rsidR="00757994" w:rsidRPr="007127A0" w:rsidRDefault="00CE5569" w:rsidP="000505D6">
                  <w:pPr>
                    <w:keepNext/>
                    <w:keepLines/>
                    <w:spacing w:before="40" w:after="40"/>
                    <w:ind w:right="120"/>
                    <w:rPr>
                      <w:rFonts w:cs="Arial"/>
                    </w:rPr>
                  </w:pPr>
                  <w:r>
                    <w:rPr>
                      <w:rFonts w:cs="Arial"/>
                    </w:rPr>
                    <w:t>25.</w:t>
                  </w:r>
                  <w:r w:rsidR="00B71B9C">
                    <w:rPr>
                      <w:rFonts w:cs="Arial"/>
                    </w:rPr>
                    <w:t>9–</w:t>
                  </w:r>
                  <w:r>
                    <w:rPr>
                      <w:rFonts w:cs="Arial"/>
                    </w:rPr>
                    <w:t>26.0 GHz</w:t>
                  </w:r>
                </w:p>
              </w:tc>
              <w:tc>
                <w:tcPr>
                  <w:tcW w:w="2692" w:type="dxa"/>
                </w:tcPr>
                <w:p w14:paraId="18446534" w14:textId="0CBD8939" w:rsidR="00757994" w:rsidRPr="009D3A49" w:rsidRDefault="00757994" w:rsidP="000505D6">
                  <w:pPr>
                    <w:keepNext/>
                    <w:keepLines/>
                    <w:spacing w:before="40" w:after="40"/>
                    <w:ind w:right="120"/>
                    <w:rPr>
                      <w:rFonts w:cs="Arial"/>
                    </w:rPr>
                  </w:pPr>
                  <w:r w:rsidRPr="00382ED9">
                    <w:rPr>
                      <w:rFonts w:cs="Arial"/>
                    </w:rPr>
                    <w:t>100 MHz</w:t>
                  </w:r>
                </w:p>
              </w:tc>
            </w:tr>
            <w:tr w:rsidR="00757994" w14:paraId="6CAEE4DE" w14:textId="77777777" w:rsidTr="00884DD0">
              <w:tc>
                <w:tcPr>
                  <w:tcW w:w="1705" w:type="dxa"/>
                  <w:shd w:val="clear" w:color="auto" w:fill="F2F2F2" w:themeFill="background1" w:themeFillShade="F2"/>
                </w:tcPr>
                <w:p w14:paraId="63A77944" w14:textId="77777777" w:rsidR="00757994" w:rsidRDefault="00757994" w:rsidP="000505D6">
                  <w:pPr>
                    <w:keepNext/>
                    <w:keepLines/>
                    <w:spacing w:before="40" w:after="40"/>
                    <w:ind w:right="120"/>
                    <w:rPr>
                      <w:rFonts w:cs="Arial"/>
                    </w:rPr>
                  </w:pPr>
                  <w:r>
                    <w:rPr>
                      <w:rFonts w:cs="Arial"/>
                    </w:rPr>
                    <w:t>10</w:t>
                  </w:r>
                </w:p>
              </w:tc>
              <w:tc>
                <w:tcPr>
                  <w:tcW w:w="3400" w:type="dxa"/>
                  <w:shd w:val="clear" w:color="auto" w:fill="F2F2F2" w:themeFill="background1" w:themeFillShade="F2"/>
                </w:tcPr>
                <w:p w14:paraId="2AE41A5E" w14:textId="382348A1" w:rsidR="00757994" w:rsidRPr="007127A0" w:rsidRDefault="00CE5569" w:rsidP="000505D6">
                  <w:pPr>
                    <w:keepNext/>
                    <w:keepLines/>
                    <w:spacing w:before="40" w:after="40"/>
                    <w:ind w:right="120"/>
                    <w:rPr>
                      <w:rFonts w:cs="Arial"/>
                    </w:rPr>
                  </w:pPr>
                  <w:r>
                    <w:rPr>
                      <w:rFonts w:cs="Arial"/>
                    </w:rPr>
                    <w:t>26.0</w:t>
                  </w:r>
                  <w:r w:rsidR="00B71B9C">
                    <w:rPr>
                      <w:rFonts w:cs="Arial"/>
                    </w:rPr>
                    <w:t>–</w:t>
                  </w:r>
                  <w:r>
                    <w:rPr>
                      <w:rFonts w:cs="Arial"/>
                    </w:rPr>
                    <w:t>26.1 GHz</w:t>
                  </w:r>
                </w:p>
              </w:tc>
              <w:tc>
                <w:tcPr>
                  <w:tcW w:w="2692" w:type="dxa"/>
                  <w:shd w:val="clear" w:color="auto" w:fill="F2F2F2" w:themeFill="background1" w:themeFillShade="F2"/>
                </w:tcPr>
                <w:p w14:paraId="0BD45ADF" w14:textId="5E46068E" w:rsidR="00757994" w:rsidRDefault="00757994" w:rsidP="000505D6">
                  <w:pPr>
                    <w:keepNext/>
                    <w:keepLines/>
                    <w:spacing w:before="40" w:after="40"/>
                    <w:ind w:right="120"/>
                    <w:rPr>
                      <w:rFonts w:cs="Arial"/>
                    </w:rPr>
                  </w:pPr>
                  <w:r w:rsidRPr="00382ED9">
                    <w:rPr>
                      <w:rFonts w:cs="Arial"/>
                    </w:rPr>
                    <w:t>100 MHz</w:t>
                  </w:r>
                </w:p>
              </w:tc>
            </w:tr>
            <w:tr w:rsidR="00B71B9C" w14:paraId="1E8077E6" w14:textId="77777777" w:rsidTr="00884DD0">
              <w:tc>
                <w:tcPr>
                  <w:tcW w:w="1705" w:type="dxa"/>
                </w:tcPr>
                <w:p w14:paraId="0C8EF9E9" w14:textId="77777777" w:rsidR="00B71B9C" w:rsidRDefault="00B71B9C" w:rsidP="000505D6">
                  <w:pPr>
                    <w:keepNext/>
                    <w:keepLines/>
                    <w:spacing w:before="40" w:after="40"/>
                    <w:ind w:right="120"/>
                    <w:rPr>
                      <w:rFonts w:cs="Arial"/>
                    </w:rPr>
                  </w:pPr>
                  <w:r>
                    <w:rPr>
                      <w:rFonts w:cs="Arial"/>
                    </w:rPr>
                    <w:t>11</w:t>
                  </w:r>
                </w:p>
              </w:tc>
              <w:tc>
                <w:tcPr>
                  <w:tcW w:w="3400" w:type="dxa"/>
                </w:tcPr>
                <w:p w14:paraId="64160A6D" w14:textId="2F6A4097" w:rsidR="00B71B9C" w:rsidRPr="000F44E6" w:rsidRDefault="00B71B9C" w:rsidP="000505D6">
                  <w:pPr>
                    <w:keepNext/>
                    <w:keepLines/>
                    <w:spacing w:before="40" w:after="40"/>
                    <w:ind w:right="120"/>
                    <w:rPr>
                      <w:rFonts w:cs="Arial"/>
                      <w:b/>
                    </w:rPr>
                  </w:pPr>
                  <w:r w:rsidRPr="007F0319">
                    <w:rPr>
                      <w:rFonts w:cs="Arial"/>
                    </w:rPr>
                    <w:t>26.</w:t>
                  </w:r>
                  <w:r>
                    <w:rPr>
                      <w:rFonts w:cs="Arial"/>
                    </w:rPr>
                    <w:t>1</w:t>
                  </w:r>
                  <w:r w:rsidRPr="007F0319">
                    <w:rPr>
                      <w:rFonts w:cs="Arial"/>
                    </w:rPr>
                    <w:t>–26.</w:t>
                  </w:r>
                  <w:r>
                    <w:rPr>
                      <w:rFonts w:cs="Arial"/>
                    </w:rPr>
                    <w:t>2</w:t>
                  </w:r>
                  <w:r w:rsidRPr="007F0319">
                    <w:rPr>
                      <w:rFonts w:cs="Arial"/>
                    </w:rPr>
                    <w:t xml:space="preserve"> GHz</w:t>
                  </w:r>
                </w:p>
              </w:tc>
              <w:tc>
                <w:tcPr>
                  <w:tcW w:w="2692" w:type="dxa"/>
                </w:tcPr>
                <w:p w14:paraId="3C9AECF0" w14:textId="3F764DED" w:rsidR="00B71B9C" w:rsidRDefault="00B71B9C" w:rsidP="000505D6">
                  <w:pPr>
                    <w:keepNext/>
                    <w:keepLines/>
                    <w:spacing w:before="40" w:after="40"/>
                    <w:ind w:right="120"/>
                    <w:rPr>
                      <w:rFonts w:cs="Arial"/>
                    </w:rPr>
                  </w:pPr>
                  <w:r w:rsidRPr="00382ED9">
                    <w:rPr>
                      <w:rFonts w:cs="Arial"/>
                    </w:rPr>
                    <w:t>100 MHz</w:t>
                  </w:r>
                </w:p>
              </w:tc>
            </w:tr>
            <w:tr w:rsidR="00B71B9C" w14:paraId="3F38045B" w14:textId="77777777" w:rsidTr="00884DD0">
              <w:tc>
                <w:tcPr>
                  <w:tcW w:w="1705" w:type="dxa"/>
                  <w:shd w:val="clear" w:color="auto" w:fill="F2F2F2" w:themeFill="background1" w:themeFillShade="F2"/>
                </w:tcPr>
                <w:p w14:paraId="41847BAF" w14:textId="77777777" w:rsidR="00B71B9C" w:rsidRDefault="00B71B9C" w:rsidP="000505D6">
                  <w:pPr>
                    <w:keepNext/>
                    <w:keepLines/>
                    <w:spacing w:before="40" w:after="40"/>
                    <w:ind w:right="120"/>
                    <w:rPr>
                      <w:rFonts w:cs="Arial"/>
                    </w:rPr>
                  </w:pPr>
                  <w:r>
                    <w:rPr>
                      <w:rFonts w:cs="Arial"/>
                    </w:rPr>
                    <w:t>12</w:t>
                  </w:r>
                </w:p>
              </w:tc>
              <w:tc>
                <w:tcPr>
                  <w:tcW w:w="3400" w:type="dxa"/>
                  <w:shd w:val="clear" w:color="auto" w:fill="F2F2F2" w:themeFill="background1" w:themeFillShade="F2"/>
                </w:tcPr>
                <w:p w14:paraId="1289CD35" w14:textId="11BF69CC" w:rsidR="00B71B9C" w:rsidRPr="007127A0" w:rsidRDefault="00B71B9C" w:rsidP="000505D6">
                  <w:pPr>
                    <w:keepNext/>
                    <w:keepLines/>
                    <w:spacing w:before="40" w:after="40"/>
                    <w:ind w:right="120"/>
                    <w:rPr>
                      <w:rFonts w:cs="Arial"/>
                    </w:rPr>
                  </w:pPr>
                  <w:r w:rsidRPr="007F0319">
                    <w:rPr>
                      <w:rFonts w:cs="Arial"/>
                    </w:rPr>
                    <w:t>26.</w:t>
                  </w:r>
                  <w:r>
                    <w:rPr>
                      <w:rFonts w:cs="Arial"/>
                    </w:rPr>
                    <w:t>2</w:t>
                  </w:r>
                  <w:r w:rsidRPr="007F0319">
                    <w:rPr>
                      <w:rFonts w:cs="Arial"/>
                    </w:rPr>
                    <w:t>–26.</w:t>
                  </w:r>
                  <w:r>
                    <w:rPr>
                      <w:rFonts w:cs="Arial"/>
                    </w:rPr>
                    <w:t>3</w:t>
                  </w:r>
                  <w:r w:rsidRPr="007F0319">
                    <w:rPr>
                      <w:rFonts w:cs="Arial"/>
                    </w:rPr>
                    <w:t xml:space="preserve"> GHz</w:t>
                  </w:r>
                </w:p>
              </w:tc>
              <w:tc>
                <w:tcPr>
                  <w:tcW w:w="2692" w:type="dxa"/>
                  <w:shd w:val="clear" w:color="auto" w:fill="F2F2F2" w:themeFill="background1" w:themeFillShade="F2"/>
                </w:tcPr>
                <w:p w14:paraId="4B921B8E" w14:textId="38985CDB" w:rsidR="00B71B9C" w:rsidRDefault="00B71B9C" w:rsidP="000505D6">
                  <w:pPr>
                    <w:keepNext/>
                    <w:keepLines/>
                    <w:spacing w:before="40" w:after="40"/>
                    <w:ind w:right="120"/>
                    <w:rPr>
                      <w:rFonts w:cs="Arial"/>
                    </w:rPr>
                  </w:pPr>
                  <w:r w:rsidRPr="00382ED9">
                    <w:rPr>
                      <w:rFonts w:cs="Arial"/>
                    </w:rPr>
                    <w:t>100 MHz</w:t>
                  </w:r>
                </w:p>
              </w:tc>
            </w:tr>
            <w:tr w:rsidR="00B71B9C" w14:paraId="1DFB3AD7" w14:textId="77777777" w:rsidTr="00884DD0">
              <w:tc>
                <w:tcPr>
                  <w:tcW w:w="1705" w:type="dxa"/>
                </w:tcPr>
                <w:p w14:paraId="630BF4DE" w14:textId="77777777" w:rsidR="00B71B9C" w:rsidRDefault="00B71B9C" w:rsidP="000505D6">
                  <w:pPr>
                    <w:keepNext/>
                    <w:keepLines/>
                    <w:spacing w:before="40" w:after="40"/>
                    <w:ind w:right="120"/>
                    <w:rPr>
                      <w:rFonts w:cs="Arial"/>
                    </w:rPr>
                  </w:pPr>
                  <w:r>
                    <w:rPr>
                      <w:rFonts w:cs="Arial"/>
                    </w:rPr>
                    <w:t>13</w:t>
                  </w:r>
                </w:p>
              </w:tc>
              <w:tc>
                <w:tcPr>
                  <w:tcW w:w="3400" w:type="dxa"/>
                </w:tcPr>
                <w:p w14:paraId="5CBDD25F" w14:textId="352D5793" w:rsidR="00B71B9C" w:rsidRPr="007127A0" w:rsidRDefault="00B71B9C" w:rsidP="000505D6">
                  <w:pPr>
                    <w:keepNext/>
                    <w:keepLines/>
                    <w:spacing w:before="40" w:after="40"/>
                    <w:ind w:right="120"/>
                    <w:rPr>
                      <w:rFonts w:cs="Arial"/>
                    </w:rPr>
                  </w:pPr>
                  <w:r w:rsidRPr="007F0319">
                    <w:rPr>
                      <w:rFonts w:cs="Arial"/>
                    </w:rPr>
                    <w:t>26.</w:t>
                  </w:r>
                  <w:r>
                    <w:rPr>
                      <w:rFonts w:cs="Arial"/>
                    </w:rPr>
                    <w:t>3</w:t>
                  </w:r>
                  <w:r w:rsidRPr="007F0319">
                    <w:rPr>
                      <w:rFonts w:cs="Arial"/>
                    </w:rPr>
                    <w:t>–26.</w:t>
                  </w:r>
                  <w:r>
                    <w:rPr>
                      <w:rFonts w:cs="Arial"/>
                    </w:rPr>
                    <w:t>4</w:t>
                  </w:r>
                  <w:r w:rsidRPr="007F0319">
                    <w:rPr>
                      <w:rFonts w:cs="Arial"/>
                    </w:rPr>
                    <w:t xml:space="preserve"> GHz</w:t>
                  </w:r>
                </w:p>
              </w:tc>
              <w:tc>
                <w:tcPr>
                  <w:tcW w:w="2692" w:type="dxa"/>
                </w:tcPr>
                <w:p w14:paraId="793C6BA9" w14:textId="482F1CA4" w:rsidR="00B71B9C" w:rsidRDefault="00B71B9C" w:rsidP="000505D6">
                  <w:pPr>
                    <w:keepNext/>
                    <w:keepLines/>
                    <w:spacing w:before="40" w:after="40"/>
                    <w:ind w:right="120"/>
                    <w:rPr>
                      <w:rFonts w:cs="Arial"/>
                    </w:rPr>
                  </w:pPr>
                  <w:r w:rsidRPr="00382ED9">
                    <w:rPr>
                      <w:rFonts w:cs="Arial"/>
                    </w:rPr>
                    <w:t>100 MHz</w:t>
                  </w:r>
                </w:p>
              </w:tc>
            </w:tr>
            <w:tr w:rsidR="00B71B9C" w14:paraId="7FCD0779" w14:textId="77777777" w:rsidTr="00884DD0">
              <w:tc>
                <w:tcPr>
                  <w:tcW w:w="1705" w:type="dxa"/>
                  <w:shd w:val="clear" w:color="auto" w:fill="F2F2F2" w:themeFill="background1" w:themeFillShade="F2"/>
                </w:tcPr>
                <w:p w14:paraId="4A0D1B1A" w14:textId="77777777" w:rsidR="00B71B9C" w:rsidRDefault="00B71B9C" w:rsidP="000505D6">
                  <w:pPr>
                    <w:keepNext/>
                    <w:keepLines/>
                    <w:spacing w:before="40" w:after="40"/>
                    <w:ind w:right="120"/>
                    <w:rPr>
                      <w:rFonts w:cs="Arial"/>
                    </w:rPr>
                  </w:pPr>
                  <w:r>
                    <w:rPr>
                      <w:rFonts w:cs="Arial"/>
                    </w:rPr>
                    <w:t>14</w:t>
                  </w:r>
                </w:p>
              </w:tc>
              <w:tc>
                <w:tcPr>
                  <w:tcW w:w="3400" w:type="dxa"/>
                  <w:shd w:val="clear" w:color="auto" w:fill="F2F2F2" w:themeFill="background1" w:themeFillShade="F2"/>
                </w:tcPr>
                <w:p w14:paraId="73D59BD8" w14:textId="5815A7CA" w:rsidR="00B71B9C" w:rsidRPr="007127A0" w:rsidRDefault="00B71B9C" w:rsidP="000505D6">
                  <w:pPr>
                    <w:keepNext/>
                    <w:keepLines/>
                    <w:spacing w:before="40" w:after="40"/>
                    <w:ind w:right="120"/>
                    <w:rPr>
                      <w:rFonts w:cs="Arial"/>
                    </w:rPr>
                  </w:pPr>
                  <w:r w:rsidRPr="007F0319">
                    <w:rPr>
                      <w:rFonts w:cs="Arial"/>
                    </w:rPr>
                    <w:t>26.</w:t>
                  </w:r>
                  <w:r>
                    <w:rPr>
                      <w:rFonts w:cs="Arial"/>
                    </w:rPr>
                    <w:t>4</w:t>
                  </w:r>
                  <w:r w:rsidRPr="007F0319">
                    <w:rPr>
                      <w:rFonts w:cs="Arial"/>
                    </w:rPr>
                    <w:t>–26.</w:t>
                  </w:r>
                  <w:r>
                    <w:rPr>
                      <w:rFonts w:cs="Arial"/>
                    </w:rPr>
                    <w:t>5</w:t>
                  </w:r>
                  <w:r w:rsidRPr="007F0319">
                    <w:rPr>
                      <w:rFonts w:cs="Arial"/>
                    </w:rPr>
                    <w:t xml:space="preserve"> GHz</w:t>
                  </w:r>
                </w:p>
              </w:tc>
              <w:tc>
                <w:tcPr>
                  <w:tcW w:w="2692" w:type="dxa"/>
                  <w:shd w:val="clear" w:color="auto" w:fill="F2F2F2" w:themeFill="background1" w:themeFillShade="F2"/>
                </w:tcPr>
                <w:p w14:paraId="64C8A0C8" w14:textId="526AACAC" w:rsidR="00B71B9C" w:rsidRDefault="00B71B9C" w:rsidP="000505D6">
                  <w:pPr>
                    <w:keepNext/>
                    <w:keepLines/>
                    <w:spacing w:before="40" w:after="40"/>
                    <w:ind w:right="120"/>
                    <w:rPr>
                      <w:rFonts w:cs="Arial"/>
                    </w:rPr>
                  </w:pPr>
                  <w:r w:rsidRPr="00382ED9">
                    <w:rPr>
                      <w:rFonts w:cs="Arial"/>
                    </w:rPr>
                    <w:t>100 MHz</w:t>
                  </w:r>
                </w:p>
              </w:tc>
            </w:tr>
            <w:tr w:rsidR="00B71B9C" w14:paraId="0012A45C" w14:textId="77777777" w:rsidTr="00884DD0">
              <w:tc>
                <w:tcPr>
                  <w:tcW w:w="1705" w:type="dxa"/>
                </w:tcPr>
                <w:p w14:paraId="77A49F98" w14:textId="77777777" w:rsidR="00B71B9C" w:rsidRDefault="00B71B9C" w:rsidP="000505D6">
                  <w:pPr>
                    <w:keepNext/>
                    <w:keepLines/>
                    <w:spacing w:before="40" w:after="40"/>
                    <w:ind w:right="120"/>
                    <w:rPr>
                      <w:rFonts w:cs="Arial"/>
                    </w:rPr>
                  </w:pPr>
                  <w:r>
                    <w:rPr>
                      <w:rFonts w:cs="Arial"/>
                    </w:rPr>
                    <w:t>15</w:t>
                  </w:r>
                </w:p>
              </w:tc>
              <w:tc>
                <w:tcPr>
                  <w:tcW w:w="3400" w:type="dxa"/>
                </w:tcPr>
                <w:p w14:paraId="018B8721" w14:textId="39A4A340" w:rsidR="00B71B9C" w:rsidRPr="007127A0" w:rsidRDefault="00B71B9C" w:rsidP="000505D6">
                  <w:pPr>
                    <w:keepNext/>
                    <w:keepLines/>
                    <w:spacing w:before="40" w:after="40"/>
                    <w:ind w:right="120"/>
                    <w:rPr>
                      <w:rFonts w:cs="Arial"/>
                    </w:rPr>
                  </w:pPr>
                  <w:r w:rsidRPr="007F0319">
                    <w:rPr>
                      <w:rFonts w:cs="Arial"/>
                    </w:rPr>
                    <w:t>26.</w:t>
                  </w:r>
                  <w:r>
                    <w:rPr>
                      <w:rFonts w:cs="Arial"/>
                    </w:rPr>
                    <w:t>5</w:t>
                  </w:r>
                  <w:r w:rsidRPr="007F0319">
                    <w:rPr>
                      <w:rFonts w:cs="Arial"/>
                    </w:rPr>
                    <w:t>–26.</w:t>
                  </w:r>
                  <w:r>
                    <w:rPr>
                      <w:rFonts w:cs="Arial"/>
                    </w:rPr>
                    <w:t>6</w:t>
                  </w:r>
                  <w:r w:rsidRPr="007F0319">
                    <w:rPr>
                      <w:rFonts w:cs="Arial"/>
                    </w:rPr>
                    <w:t xml:space="preserve"> GHz</w:t>
                  </w:r>
                </w:p>
              </w:tc>
              <w:tc>
                <w:tcPr>
                  <w:tcW w:w="2692" w:type="dxa"/>
                </w:tcPr>
                <w:p w14:paraId="60CBA8AB" w14:textId="616F2E4E" w:rsidR="00B71B9C" w:rsidRDefault="00B71B9C" w:rsidP="000505D6">
                  <w:pPr>
                    <w:keepNext/>
                    <w:keepLines/>
                    <w:spacing w:before="40" w:after="40"/>
                    <w:ind w:right="120"/>
                    <w:rPr>
                      <w:rFonts w:cs="Arial"/>
                    </w:rPr>
                  </w:pPr>
                  <w:r w:rsidRPr="00382ED9">
                    <w:rPr>
                      <w:rFonts w:cs="Arial"/>
                    </w:rPr>
                    <w:t>100 MHz</w:t>
                  </w:r>
                </w:p>
              </w:tc>
            </w:tr>
            <w:tr w:rsidR="00B71B9C" w14:paraId="4883A063" w14:textId="77777777" w:rsidTr="00884DD0">
              <w:tc>
                <w:tcPr>
                  <w:tcW w:w="1705" w:type="dxa"/>
                  <w:shd w:val="clear" w:color="auto" w:fill="F2F2F2" w:themeFill="background1" w:themeFillShade="F2"/>
                </w:tcPr>
                <w:p w14:paraId="6637FC24" w14:textId="77777777" w:rsidR="00B71B9C" w:rsidRDefault="00B71B9C" w:rsidP="000505D6">
                  <w:pPr>
                    <w:keepNext/>
                    <w:keepLines/>
                    <w:spacing w:before="40" w:after="40"/>
                    <w:ind w:right="120"/>
                    <w:rPr>
                      <w:rFonts w:cs="Arial"/>
                    </w:rPr>
                  </w:pPr>
                  <w:r>
                    <w:rPr>
                      <w:rFonts w:cs="Arial"/>
                    </w:rPr>
                    <w:t>16</w:t>
                  </w:r>
                </w:p>
              </w:tc>
              <w:tc>
                <w:tcPr>
                  <w:tcW w:w="3400" w:type="dxa"/>
                  <w:shd w:val="clear" w:color="auto" w:fill="F2F2F2" w:themeFill="background1" w:themeFillShade="F2"/>
                </w:tcPr>
                <w:p w14:paraId="0CD0DD0E" w14:textId="34474235" w:rsidR="00B71B9C" w:rsidRPr="007127A0" w:rsidRDefault="00B71B9C" w:rsidP="000505D6">
                  <w:pPr>
                    <w:keepNext/>
                    <w:keepLines/>
                    <w:spacing w:before="40" w:after="40"/>
                    <w:ind w:right="120"/>
                    <w:rPr>
                      <w:rFonts w:cs="Arial"/>
                    </w:rPr>
                  </w:pPr>
                  <w:r w:rsidRPr="007F0319">
                    <w:rPr>
                      <w:rFonts w:cs="Arial"/>
                    </w:rPr>
                    <w:t>26.</w:t>
                  </w:r>
                  <w:r>
                    <w:rPr>
                      <w:rFonts w:cs="Arial"/>
                    </w:rPr>
                    <w:t>6</w:t>
                  </w:r>
                  <w:r w:rsidRPr="007F0319">
                    <w:rPr>
                      <w:rFonts w:cs="Arial"/>
                    </w:rPr>
                    <w:t>–26.</w:t>
                  </w:r>
                  <w:r>
                    <w:rPr>
                      <w:rFonts w:cs="Arial"/>
                    </w:rPr>
                    <w:t>7</w:t>
                  </w:r>
                  <w:r w:rsidRPr="007F0319">
                    <w:rPr>
                      <w:rFonts w:cs="Arial"/>
                    </w:rPr>
                    <w:t xml:space="preserve"> GHz</w:t>
                  </w:r>
                </w:p>
              </w:tc>
              <w:tc>
                <w:tcPr>
                  <w:tcW w:w="2692" w:type="dxa"/>
                  <w:shd w:val="clear" w:color="auto" w:fill="F2F2F2" w:themeFill="background1" w:themeFillShade="F2"/>
                </w:tcPr>
                <w:p w14:paraId="43BD1962" w14:textId="01504ECA" w:rsidR="00B71B9C" w:rsidRDefault="00B71B9C" w:rsidP="000505D6">
                  <w:pPr>
                    <w:keepNext/>
                    <w:keepLines/>
                    <w:spacing w:before="40" w:after="40"/>
                    <w:ind w:right="120"/>
                    <w:rPr>
                      <w:rFonts w:cs="Arial"/>
                    </w:rPr>
                  </w:pPr>
                  <w:r w:rsidRPr="00382ED9">
                    <w:rPr>
                      <w:rFonts w:cs="Arial"/>
                    </w:rPr>
                    <w:t>100 MHz</w:t>
                  </w:r>
                </w:p>
              </w:tc>
            </w:tr>
            <w:tr w:rsidR="00B71B9C" w14:paraId="1380DF6B" w14:textId="77777777" w:rsidTr="00884DD0">
              <w:tc>
                <w:tcPr>
                  <w:tcW w:w="1705" w:type="dxa"/>
                </w:tcPr>
                <w:p w14:paraId="7CACE35B" w14:textId="77777777" w:rsidR="00B71B9C" w:rsidRDefault="00B71B9C" w:rsidP="000505D6">
                  <w:pPr>
                    <w:keepNext/>
                    <w:keepLines/>
                    <w:spacing w:before="40" w:after="40"/>
                    <w:ind w:right="120"/>
                    <w:rPr>
                      <w:rFonts w:cs="Arial"/>
                    </w:rPr>
                  </w:pPr>
                  <w:r>
                    <w:rPr>
                      <w:rFonts w:cs="Arial"/>
                    </w:rPr>
                    <w:t>17</w:t>
                  </w:r>
                </w:p>
              </w:tc>
              <w:tc>
                <w:tcPr>
                  <w:tcW w:w="3400" w:type="dxa"/>
                </w:tcPr>
                <w:p w14:paraId="0F9B21C2" w14:textId="5AA8BFF1" w:rsidR="00B71B9C" w:rsidRPr="007127A0" w:rsidRDefault="00B71B9C" w:rsidP="000505D6">
                  <w:pPr>
                    <w:keepNext/>
                    <w:keepLines/>
                    <w:spacing w:before="40" w:after="40"/>
                    <w:ind w:right="120"/>
                    <w:rPr>
                      <w:rFonts w:cs="Arial"/>
                    </w:rPr>
                  </w:pPr>
                  <w:r w:rsidRPr="007F0319">
                    <w:rPr>
                      <w:rFonts w:cs="Arial"/>
                    </w:rPr>
                    <w:t>26.</w:t>
                  </w:r>
                  <w:r>
                    <w:rPr>
                      <w:rFonts w:cs="Arial"/>
                    </w:rPr>
                    <w:t>7</w:t>
                  </w:r>
                  <w:r w:rsidRPr="007F0319">
                    <w:rPr>
                      <w:rFonts w:cs="Arial"/>
                    </w:rPr>
                    <w:t>–26.</w:t>
                  </w:r>
                  <w:r>
                    <w:rPr>
                      <w:rFonts w:cs="Arial"/>
                    </w:rPr>
                    <w:t>8</w:t>
                  </w:r>
                  <w:r w:rsidRPr="007F0319">
                    <w:rPr>
                      <w:rFonts w:cs="Arial"/>
                    </w:rPr>
                    <w:t xml:space="preserve"> GHz</w:t>
                  </w:r>
                </w:p>
              </w:tc>
              <w:tc>
                <w:tcPr>
                  <w:tcW w:w="2692" w:type="dxa"/>
                </w:tcPr>
                <w:p w14:paraId="4D6AC127" w14:textId="00EB56CE" w:rsidR="00B71B9C" w:rsidRDefault="00B71B9C" w:rsidP="000505D6">
                  <w:pPr>
                    <w:keepNext/>
                    <w:keepLines/>
                    <w:spacing w:before="40" w:after="40"/>
                    <w:ind w:right="120"/>
                    <w:rPr>
                      <w:rFonts w:cs="Arial"/>
                    </w:rPr>
                  </w:pPr>
                  <w:r w:rsidRPr="00382ED9">
                    <w:rPr>
                      <w:rFonts w:cs="Arial"/>
                    </w:rPr>
                    <w:t>100 MHz</w:t>
                  </w:r>
                </w:p>
              </w:tc>
            </w:tr>
            <w:tr w:rsidR="00B71B9C" w14:paraId="1C9F5B25" w14:textId="77777777" w:rsidTr="00884DD0">
              <w:tc>
                <w:tcPr>
                  <w:tcW w:w="1705" w:type="dxa"/>
                  <w:shd w:val="clear" w:color="auto" w:fill="F2F2F2" w:themeFill="background1" w:themeFillShade="F2"/>
                </w:tcPr>
                <w:p w14:paraId="5207D513" w14:textId="77777777" w:rsidR="00B71B9C" w:rsidRDefault="00B71B9C" w:rsidP="000505D6">
                  <w:pPr>
                    <w:keepNext/>
                    <w:keepLines/>
                    <w:spacing w:before="40" w:after="40"/>
                    <w:ind w:right="120"/>
                    <w:rPr>
                      <w:rFonts w:cs="Arial"/>
                    </w:rPr>
                  </w:pPr>
                  <w:r>
                    <w:rPr>
                      <w:rFonts w:cs="Arial"/>
                    </w:rPr>
                    <w:t>18</w:t>
                  </w:r>
                </w:p>
              </w:tc>
              <w:tc>
                <w:tcPr>
                  <w:tcW w:w="3400" w:type="dxa"/>
                  <w:shd w:val="clear" w:color="auto" w:fill="F2F2F2" w:themeFill="background1" w:themeFillShade="F2"/>
                </w:tcPr>
                <w:p w14:paraId="11862581" w14:textId="01C6C687" w:rsidR="00B71B9C" w:rsidRPr="007127A0" w:rsidRDefault="00B71B9C" w:rsidP="000505D6">
                  <w:pPr>
                    <w:keepNext/>
                    <w:keepLines/>
                    <w:spacing w:before="40" w:after="40"/>
                    <w:ind w:right="120"/>
                    <w:rPr>
                      <w:rFonts w:cs="Arial"/>
                    </w:rPr>
                  </w:pPr>
                  <w:r w:rsidRPr="007F0319">
                    <w:rPr>
                      <w:rFonts w:cs="Arial"/>
                    </w:rPr>
                    <w:t>26.</w:t>
                  </w:r>
                  <w:r>
                    <w:rPr>
                      <w:rFonts w:cs="Arial"/>
                    </w:rPr>
                    <w:t>8</w:t>
                  </w:r>
                  <w:r w:rsidRPr="007F0319">
                    <w:rPr>
                      <w:rFonts w:cs="Arial"/>
                    </w:rPr>
                    <w:t>–26.</w:t>
                  </w:r>
                  <w:r>
                    <w:rPr>
                      <w:rFonts w:cs="Arial"/>
                    </w:rPr>
                    <w:t>9</w:t>
                  </w:r>
                  <w:r w:rsidRPr="007F0319">
                    <w:rPr>
                      <w:rFonts w:cs="Arial"/>
                    </w:rPr>
                    <w:t xml:space="preserve"> GHz</w:t>
                  </w:r>
                </w:p>
              </w:tc>
              <w:tc>
                <w:tcPr>
                  <w:tcW w:w="2692" w:type="dxa"/>
                  <w:shd w:val="clear" w:color="auto" w:fill="F2F2F2" w:themeFill="background1" w:themeFillShade="F2"/>
                </w:tcPr>
                <w:p w14:paraId="6259730B" w14:textId="5F6DD1E2" w:rsidR="00B71B9C" w:rsidRDefault="00B71B9C" w:rsidP="000505D6">
                  <w:pPr>
                    <w:keepNext/>
                    <w:keepLines/>
                    <w:spacing w:before="40" w:after="40"/>
                    <w:ind w:right="120"/>
                    <w:rPr>
                      <w:rFonts w:cs="Arial"/>
                    </w:rPr>
                  </w:pPr>
                  <w:r w:rsidRPr="00382ED9">
                    <w:rPr>
                      <w:rFonts w:cs="Arial"/>
                    </w:rPr>
                    <w:t>100 MHz</w:t>
                  </w:r>
                </w:p>
              </w:tc>
            </w:tr>
            <w:tr w:rsidR="00B71B9C" w14:paraId="6DE13A67" w14:textId="77777777" w:rsidTr="00884DD0">
              <w:tc>
                <w:tcPr>
                  <w:tcW w:w="1705" w:type="dxa"/>
                </w:tcPr>
                <w:p w14:paraId="28784E5E" w14:textId="77777777" w:rsidR="00B71B9C" w:rsidRDefault="00B71B9C" w:rsidP="000505D6">
                  <w:pPr>
                    <w:keepNext/>
                    <w:keepLines/>
                    <w:spacing w:before="40" w:after="40"/>
                    <w:ind w:right="120"/>
                    <w:rPr>
                      <w:rFonts w:cs="Arial"/>
                    </w:rPr>
                  </w:pPr>
                  <w:r>
                    <w:rPr>
                      <w:rFonts w:cs="Arial"/>
                    </w:rPr>
                    <w:t>19</w:t>
                  </w:r>
                </w:p>
              </w:tc>
              <w:tc>
                <w:tcPr>
                  <w:tcW w:w="3400" w:type="dxa"/>
                </w:tcPr>
                <w:p w14:paraId="2A634145" w14:textId="50E8D8FF" w:rsidR="00B71B9C" w:rsidRPr="007127A0" w:rsidRDefault="00B71B9C" w:rsidP="000505D6">
                  <w:pPr>
                    <w:keepNext/>
                    <w:keepLines/>
                    <w:spacing w:before="40" w:after="40"/>
                    <w:ind w:right="120"/>
                    <w:rPr>
                      <w:rFonts w:cs="Arial"/>
                    </w:rPr>
                  </w:pPr>
                  <w:r w:rsidRPr="007F0319">
                    <w:rPr>
                      <w:rFonts w:cs="Arial"/>
                    </w:rPr>
                    <w:t>26.</w:t>
                  </w:r>
                  <w:r>
                    <w:rPr>
                      <w:rFonts w:cs="Arial"/>
                    </w:rPr>
                    <w:t>9</w:t>
                  </w:r>
                  <w:r w:rsidRPr="007F0319">
                    <w:rPr>
                      <w:rFonts w:cs="Arial"/>
                    </w:rPr>
                    <w:t>–</w:t>
                  </w:r>
                  <w:r>
                    <w:rPr>
                      <w:rFonts w:cs="Arial"/>
                    </w:rPr>
                    <w:t>27</w:t>
                  </w:r>
                  <w:r w:rsidRPr="007F0319">
                    <w:rPr>
                      <w:rFonts w:cs="Arial"/>
                    </w:rPr>
                    <w:t>.</w:t>
                  </w:r>
                  <w:r>
                    <w:rPr>
                      <w:rFonts w:cs="Arial"/>
                    </w:rPr>
                    <w:t>0</w:t>
                  </w:r>
                  <w:r w:rsidRPr="007F0319">
                    <w:rPr>
                      <w:rFonts w:cs="Arial"/>
                    </w:rPr>
                    <w:t xml:space="preserve"> GHz</w:t>
                  </w:r>
                </w:p>
              </w:tc>
              <w:tc>
                <w:tcPr>
                  <w:tcW w:w="2692" w:type="dxa"/>
                </w:tcPr>
                <w:p w14:paraId="3CCBB4BB" w14:textId="1319C785" w:rsidR="00B71B9C" w:rsidRDefault="00B71B9C" w:rsidP="000505D6">
                  <w:pPr>
                    <w:keepNext/>
                    <w:keepLines/>
                    <w:spacing w:before="40" w:after="40"/>
                    <w:ind w:right="120"/>
                    <w:rPr>
                      <w:rFonts w:cs="Arial"/>
                    </w:rPr>
                  </w:pPr>
                  <w:r w:rsidRPr="00382ED9">
                    <w:rPr>
                      <w:rFonts w:cs="Arial"/>
                    </w:rPr>
                    <w:t>100 MHz</w:t>
                  </w:r>
                </w:p>
              </w:tc>
            </w:tr>
            <w:tr w:rsidR="00757994" w14:paraId="15016DFD" w14:textId="77777777" w:rsidTr="00884DD0">
              <w:tc>
                <w:tcPr>
                  <w:tcW w:w="1705" w:type="dxa"/>
                  <w:shd w:val="clear" w:color="auto" w:fill="F2F2F2" w:themeFill="background1" w:themeFillShade="F2"/>
                </w:tcPr>
                <w:p w14:paraId="748A84C4" w14:textId="77777777" w:rsidR="00757994" w:rsidRDefault="00757994" w:rsidP="000505D6">
                  <w:pPr>
                    <w:keepNext/>
                    <w:keepLines/>
                    <w:spacing w:before="40" w:after="40"/>
                    <w:ind w:right="120"/>
                    <w:rPr>
                      <w:rFonts w:cs="Arial"/>
                    </w:rPr>
                  </w:pPr>
                  <w:r>
                    <w:rPr>
                      <w:rFonts w:cs="Arial"/>
                    </w:rPr>
                    <w:t>20</w:t>
                  </w:r>
                </w:p>
              </w:tc>
              <w:tc>
                <w:tcPr>
                  <w:tcW w:w="3400" w:type="dxa"/>
                  <w:shd w:val="clear" w:color="auto" w:fill="F2F2F2" w:themeFill="background1" w:themeFillShade="F2"/>
                </w:tcPr>
                <w:p w14:paraId="01143D15" w14:textId="3A9D1635" w:rsidR="00757994" w:rsidRPr="007127A0" w:rsidRDefault="00B71B9C" w:rsidP="000505D6">
                  <w:pPr>
                    <w:keepNext/>
                    <w:keepLines/>
                    <w:spacing w:before="40" w:after="40"/>
                    <w:ind w:right="120"/>
                    <w:rPr>
                      <w:rFonts w:cs="Arial"/>
                    </w:rPr>
                  </w:pPr>
                  <w:r w:rsidRPr="007F0319">
                    <w:rPr>
                      <w:rFonts w:cs="Arial"/>
                    </w:rPr>
                    <w:t>2</w:t>
                  </w:r>
                  <w:r>
                    <w:rPr>
                      <w:rFonts w:cs="Arial"/>
                    </w:rPr>
                    <w:t>7</w:t>
                  </w:r>
                  <w:r w:rsidRPr="007F0319">
                    <w:rPr>
                      <w:rFonts w:cs="Arial"/>
                    </w:rPr>
                    <w:t>.</w:t>
                  </w:r>
                  <w:r>
                    <w:rPr>
                      <w:rFonts w:cs="Arial"/>
                    </w:rPr>
                    <w:t>0</w:t>
                  </w:r>
                  <w:r w:rsidRPr="007F0319">
                    <w:rPr>
                      <w:rFonts w:cs="Arial"/>
                    </w:rPr>
                    <w:t>–</w:t>
                  </w:r>
                  <w:r>
                    <w:rPr>
                      <w:rFonts w:cs="Arial"/>
                    </w:rPr>
                    <w:t>27</w:t>
                  </w:r>
                  <w:r w:rsidRPr="007F0319">
                    <w:rPr>
                      <w:rFonts w:cs="Arial"/>
                    </w:rPr>
                    <w:t>.</w:t>
                  </w:r>
                  <w:r>
                    <w:rPr>
                      <w:rFonts w:cs="Arial"/>
                    </w:rPr>
                    <w:t>1</w:t>
                  </w:r>
                  <w:r w:rsidRPr="007F0319">
                    <w:rPr>
                      <w:rFonts w:cs="Arial"/>
                    </w:rPr>
                    <w:t xml:space="preserve"> GHz</w:t>
                  </w:r>
                </w:p>
              </w:tc>
              <w:tc>
                <w:tcPr>
                  <w:tcW w:w="2692" w:type="dxa"/>
                  <w:shd w:val="clear" w:color="auto" w:fill="F2F2F2" w:themeFill="background1" w:themeFillShade="F2"/>
                </w:tcPr>
                <w:p w14:paraId="0077F512" w14:textId="5F080092" w:rsidR="00757994" w:rsidRDefault="00757994" w:rsidP="000505D6">
                  <w:pPr>
                    <w:keepNext/>
                    <w:keepLines/>
                    <w:spacing w:before="40" w:after="40"/>
                    <w:ind w:right="120"/>
                    <w:rPr>
                      <w:rFonts w:cs="Arial"/>
                    </w:rPr>
                  </w:pPr>
                  <w:r w:rsidRPr="00382ED9">
                    <w:rPr>
                      <w:rFonts w:cs="Arial"/>
                    </w:rPr>
                    <w:t>100 MHz</w:t>
                  </w:r>
                </w:p>
              </w:tc>
            </w:tr>
            <w:tr w:rsidR="00B71B9C" w14:paraId="7DAFACC6" w14:textId="77777777" w:rsidTr="00884DD0">
              <w:tc>
                <w:tcPr>
                  <w:tcW w:w="1705" w:type="dxa"/>
                </w:tcPr>
                <w:p w14:paraId="72E53598" w14:textId="77777777" w:rsidR="00B71B9C" w:rsidRPr="007127A0" w:rsidRDefault="00B71B9C" w:rsidP="000505D6">
                  <w:pPr>
                    <w:keepNext/>
                    <w:keepLines/>
                    <w:spacing w:before="40" w:after="40"/>
                    <w:ind w:right="120"/>
                    <w:rPr>
                      <w:rFonts w:cs="Arial"/>
                    </w:rPr>
                  </w:pPr>
                  <w:r>
                    <w:rPr>
                      <w:rFonts w:cs="Arial"/>
                    </w:rPr>
                    <w:t>21</w:t>
                  </w:r>
                </w:p>
              </w:tc>
              <w:tc>
                <w:tcPr>
                  <w:tcW w:w="3400" w:type="dxa"/>
                </w:tcPr>
                <w:p w14:paraId="5E45FFFD" w14:textId="43A21959" w:rsidR="00B71B9C" w:rsidRPr="007127A0" w:rsidRDefault="00B71B9C" w:rsidP="000505D6">
                  <w:pPr>
                    <w:keepNext/>
                    <w:keepLines/>
                    <w:spacing w:before="40" w:after="40"/>
                    <w:ind w:right="120"/>
                    <w:rPr>
                      <w:rFonts w:cs="Arial"/>
                    </w:rPr>
                  </w:pPr>
                  <w:r w:rsidRPr="00E33A8D">
                    <w:rPr>
                      <w:rFonts w:cs="Arial"/>
                    </w:rPr>
                    <w:t>27.</w:t>
                  </w:r>
                  <w:r>
                    <w:rPr>
                      <w:rFonts w:cs="Arial"/>
                    </w:rPr>
                    <w:t>1</w:t>
                  </w:r>
                  <w:r w:rsidRPr="00E33A8D">
                    <w:rPr>
                      <w:rFonts w:cs="Arial"/>
                    </w:rPr>
                    <w:t>–27.</w:t>
                  </w:r>
                  <w:r>
                    <w:rPr>
                      <w:rFonts w:cs="Arial"/>
                    </w:rPr>
                    <w:t>2</w:t>
                  </w:r>
                  <w:r w:rsidRPr="00E33A8D">
                    <w:rPr>
                      <w:rFonts w:cs="Arial"/>
                    </w:rPr>
                    <w:t xml:space="preserve"> GHz</w:t>
                  </w:r>
                </w:p>
              </w:tc>
              <w:tc>
                <w:tcPr>
                  <w:tcW w:w="2692" w:type="dxa"/>
                </w:tcPr>
                <w:p w14:paraId="3E7A8791" w14:textId="510AD746" w:rsidR="00B71B9C" w:rsidRDefault="00B71B9C" w:rsidP="000505D6">
                  <w:pPr>
                    <w:keepNext/>
                    <w:keepLines/>
                    <w:spacing w:before="40" w:after="40"/>
                    <w:ind w:right="120"/>
                    <w:rPr>
                      <w:rFonts w:cs="Arial"/>
                    </w:rPr>
                  </w:pPr>
                  <w:r w:rsidRPr="00382ED9">
                    <w:rPr>
                      <w:rFonts w:cs="Arial"/>
                    </w:rPr>
                    <w:t>100 MHz</w:t>
                  </w:r>
                </w:p>
              </w:tc>
            </w:tr>
            <w:tr w:rsidR="00B71B9C" w14:paraId="7BDEF7AA" w14:textId="77777777" w:rsidTr="00884DD0">
              <w:tc>
                <w:tcPr>
                  <w:tcW w:w="1705" w:type="dxa"/>
                  <w:shd w:val="clear" w:color="auto" w:fill="F2F2F2" w:themeFill="background1" w:themeFillShade="F2"/>
                </w:tcPr>
                <w:p w14:paraId="578425BC" w14:textId="77777777" w:rsidR="00B71B9C" w:rsidRPr="007127A0" w:rsidRDefault="00B71B9C" w:rsidP="000505D6">
                  <w:pPr>
                    <w:keepNext/>
                    <w:keepLines/>
                    <w:spacing w:before="40" w:after="40"/>
                    <w:ind w:right="120"/>
                    <w:rPr>
                      <w:rFonts w:cs="Arial"/>
                    </w:rPr>
                  </w:pPr>
                  <w:r>
                    <w:rPr>
                      <w:rFonts w:cs="Arial"/>
                    </w:rPr>
                    <w:t>22</w:t>
                  </w:r>
                </w:p>
              </w:tc>
              <w:tc>
                <w:tcPr>
                  <w:tcW w:w="3400" w:type="dxa"/>
                  <w:shd w:val="clear" w:color="auto" w:fill="F2F2F2" w:themeFill="background1" w:themeFillShade="F2"/>
                </w:tcPr>
                <w:p w14:paraId="03A8763E" w14:textId="799B0330" w:rsidR="00B71B9C" w:rsidRPr="007127A0" w:rsidRDefault="00B71B9C" w:rsidP="000505D6">
                  <w:pPr>
                    <w:keepNext/>
                    <w:keepLines/>
                    <w:spacing w:before="40" w:after="40"/>
                    <w:ind w:right="120"/>
                    <w:rPr>
                      <w:rFonts w:cs="Arial"/>
                    </w:rPr>
                  </w:pPr>
                  <w:r w:rsidRPr="00E33A8D">
                    <w:rPr>
                      <w:rFonts w:cs="Arial"/>
                    </w:rPr>
                    <w:t>27.</w:t>
                  </w:r>
                  <w:r>
                    <w:rPr>
                      <w:rFonts w:cs="Arial"/>
                    </w:rPr>
                    <w:t>2</w:t>
                  </w:r>
                  <w:r w:rsidRPr="00E33A8D">
                    <w:rPr>
                      <w:rFonts w:cs="Arial"/>
                    </w:rPr>
                    <w:t>–27.</w:t>
                  </w:r>
                  <w:r>
                    <w:rPr>
                      <w:rFonts w:cs="Arial"/>
                    </w:rPr>
                    <w:t>3</w:t>
                  </w:r>
                  <w:r w:rsidRPr="00E33A8D">
                    <w:rPr>
                      <w:rFonts w:cs="Arial"/>
                    </w:rPr>
                    <w:t xml:space="preserve"> GHz</w:t>
                  </w:r>
                </w:p>
              </w:tc>
              <w:tc>
                <w:tcPr>
                  <w:tcW w:w="2692" w:type="dxa"/>
                  <w:shd w:val="clear" w:color="auto" w:fill="F2F2F2" w:themeFill="background1" w:themeFillShade="F2"/>
                </w:tcPr>
                <w:p w14:paraId="70CCCCF0" w14:textId="27F18A66" w:rsidR="00B71B9C" w:rsidRPr="009D3A49" w:rsidRDefault="00B71B9C" w:rsidP="000505D6">
                  <w:pPr>
                    <w:keepNext/>
                    <w:keepLines/>
                    <w:spacing w:before="40" w:after="40"/>
                    <w:ind w:right="120"/>
                    <w:rPr>
                      <w:rFonts w:cs="Arial"/>
                    </w:rPr>
                  </w:pPr>
                  <w:r w:rsidRPr="00382ED9">
                    <w:rPr>
                      <w:rFonts w:cs="Arial"/>
                    </w:rPr>
                    <w:t>100 MHz</w:t>
                  </w:r>
                </w:p>
              </w:tc>
            </w:tr>
            <w:tr w:rsidR="00B71B9C" w14:paraId="5DDBD2E7" w14:textId="77777777" w:rsidTr="00884DD0">
              <w:tc>
                <w:tcPr>
                  <w:tcW w:w="1705" w:type="dxa"/>
                </w:tcPr>
                <w:p w14:paraId="33D024ED" w14:textId="77777777" w:rsidR="00B71B9C" w:rsidRPr="007127A0" w:rsidRDefault="00B71B9C" w:rsidP="000505D6">
                  <w:pPr>
                    <w:keepNext/>
                    <w:keepLines/>
                    <w:spacing w:before="40" w:after="40"/>
                    <w:ind w:right="120"/>
                    <w:rPr>
                      <w:rFonts w:cs="Arial"/>
                    </w:rPr>
                  </w:pPr>
                  <w:r>
                    <w:rPr>
                      <w:rFonts w:cs="Arial"/>
                    </w:rPr>
                    <w:t>23</w:t>
                  </w:r>
                </w:p>
              </w:tc>
              <w:tc>
                <w:tcPr>
                  <w:tcW w:w="3400" w:type="dxa"/>
                </w:tcPr>
                <w:p w14:paraId="53256ECA" w14:textId="5CB42770" w:rsidR="00B71B9C" w:rsidRPr="007127A0" w:rsidRDefault="00B71B9C" w:rsidP="000505D6">
                  <w:pPr>
                    <w:keepNext/>
                    <w:keepLines/>
                    <w:spacing w:before="40" w:after="40"/>
                    <w:ind w:right="120"/>
                    <w:rPr>
                      <w:rFonts w:cs="Arial"/>
                    </w:rPr>
                  </w:pPr>
                  <w:r w:rsidRPr="00E33A8D">
                    <w:rPr>
                      <w:rFonts w:cs="Arial"/>
                    </w:rPr>
                    <w:t>27.</w:t>
                  </w:r>
                  <w:r>
                    <w:rPr>
                      <w:rFonts w:cs="Arial"/>
                    </w:rPr>
                    <w:t>3</w:t>
                  </w:r>
                  <w:r w:rsidRPr="00E33A8D">
                    <w:rPr>
                      <w:rFonts w:cs="Arial"/>
                    </w:rPr>
                    <w:t>–27.</w:t>
                  </w:r>
                  <w:r>
                    <w:rPr>
                      <w:rFonts w:cs="Arial"/>
                    </w:rPr>
                    <w:t>4</w:t>
                  </w:r>
                  <w:r w:rsidRPr="00E33A8D">
                    <w:rPr>
                      <w:rFonts w:cs="Arial"/>
                    </w:rPr>
                    <w:t xml:space="preserve"> GHz</w:t>
                  </w:r>
                </w:p>
              </w:tc>
              <w:tc>
                <w:tcPr>
                  <w:tcW w:w="2692" w:type="dxa"/>
                </w:tcPr>
                <w:p w14:paraId="5E181B4A" w14:textId="78572918" w:rsidR="00B71B9C" w:rsidRPr="009D3A49" w:rsidRDefault="00B71B9C" w:rsidP="000505D6">
                  <w:pPr>
                    <w:keepNext/>
                    <w:keepLines/>
                    <w:spacing w:before="40" w:after="40"/>
                    <w:ind w:right="120"/>
                    <w:rPr>
                      <w:rFonts w:cs="Arial"/>
                    </w:rPr>
                  </w:pPr>
                  <w:r w:rsidRPr="00382ED9">
                    <w:rPr>
                      <w:rFonts w:cs="Arial"/>
                    </w:rPr>
                    <w:t>100 MHz</w:t>
                  </w:r>
                </w:p>
              </w:tc>
            </w:tr>
            <w:tr w:rsidR="00B71B9C" w14:paraId="7756A231" w14:textId="77777777" w:rsidTr="00884DD0">
              <w:tc>
                <w:tcPr>
                  <w:tcW w:w="1705" w:type="dxa"/>
                  <w:shd w:val="clear" w:color="auto" w:fill="F2F2F2" w:themeFill="background1" w:themeFillShade="F2"/>
                </w:tcPr>
                <w:p w14:paraId="5536CCC5" w14:textId="77777777" w:rsidR="00B71B9C" w:rsidRPr="007127A0" w:rsidRDefault="00B71B9C" w:rsidP="000505D6">
                  <w:pPr>
                    <w:keepNext/>
                    <w:keepLines/>
                    <w:spacing w:before="40" w:after="40"/>
                    <w:ind w:right="120"/>
                    <w:rPr>
                      <w:rFonts w:cs="Arial"/>
                    </w:rPr>
                  </w:pPr>
                  <w:r>
                    <w:rPr>
                      <w:rFonts w:cs="Arial"/>
                    </w:rPr>
                    <w:t>24</w:t>
                  </w:r>
                </w:p>
              </w:tc>
              <w:tc>
                <w:tcPr>
                  <w:tcW w:w="3400" w:type="dxa"/>
                  <w:shd w:val="clear" w:color="auto" w:fill="F2F2F2" w:themeFill="background1" w:themeFillShade="F2"/>
                </w:tcPr>
                <w:p w14:paraId="325A8E23" w14:textId="495DFD4F" w:rsidR="00B71B9C" w:rsidRPr="007127A0" w:rsidRDefault="00B71B9C" w:rsidP="000505D6">
                  <w:pPr>
                    <w:keepNext/>
                    <w:keepLines/>
                    <w:spacing w:before="40" w:after="40"/>
                    <w:ind w:right="120"/>
                    <w:rPr>
                      <w:rFonts w:cs="Arial"/>
                    </w:rPr>
                  </w:pPr>
                  <w:r w:rsidRPr="00E33A8D">
                    <w:rPr>
                      <w:rFonts w:cs="Arial"/>
                    </w:rPr>
                    <w:t>27.</w:t>
                  </w:r>
                  <w:r>
                    <w:rPr>
                      <w:rFonts w:cs="Arial"/>
                    </w:rPr>
                    <w:t>4</w:t>
                  </w:r>
                  <w:r w:rsidRPr="00E33A8D">
                    <w:rPr>
                      <w:rFonts w:cs="Arial"/>
                    </w:rPr>
                    <w:t>–27.</w:t>
                  </w:r>
                  <w:r>
                    <w:rPr>
                      <w:rFonts w:cs="Arial"/>
                    </w:rPr>
                    <w:t>5</w:t>
                  </w:r>
                  <w:r w:rsidRPr="00E33A8D">
                    <w:rPr>
                      <w:rFonts w:cs="Arial"/>
                    </w:rPr>
                    <w:t xml:space="preserve"> GHz</w:t>
                  </w:r>
                </w:p>
              </w:tc>
              <w:tc>
                <w:tcPr>
                  <w:tcW w:w="2692" w:type="dxa"/>
                  <w:shd w:val="clear" w:color="auto" w:fill="F2F2F2" w:themeFill="background1" w:themeFillShade="F2"/>
                </w:tcPr>
                <w:p w14:paraId="570BB61F" w14:textId="42D066D8" w:rsidR="00B71B9C" w:rsidRPr="009D3A49" w:rsidRDefault="00B71B9C" w:rsidP="000505D6">
                  <w:pPr>
                    <w:keepNext/>
                    <w:keepLines/>
                    <w:spacing w:before="40" w:after="40"/>
                    <w:ind w:right="120"/>
                    <w:rPr>
                      <w:rFonts w:cs="Arial"/>
                    </w:rPr>
                  </w:pPr>
                  <w:r w:rsidRPr="00382ED9">
                    <w:rPr>
                      <w:rFonts w:cs="Arial"/>
                    </w:rPr>
                    <w:t>100 MHz</w:t>
                  </w:r>
                </w:p>
              </w:tc>
            </w:tr>
            <w:tr w:rsidR="00AB40D2" w14:paraId="5033BB13" w14:textId="77777777" w:rsidTr="00884DD0">
              <w:tc>
                <w:tcPr>
                  <w:tcW w:w="1705" w:type="dxa"/>
                  <w:shd w:val="clear" w:color="auto" w:fill="FFFFFF" w:themeFill="background1"/>
                </w:tcPr>
                <w:p w14:paraId="175EA3DD" w14:textId="36CAB03B" w:rsidR="00AB40D2" w:rsidRPr="007127A0" w:rsidRDefault="00AB40D2" w:rsidP="000505D6">
                  <w:pPr>
                    <w:keepNext/>
                    <w:keepLines/>
                    <w:spacing w:before="40" w:after="40"/>
                    <w:ind w:right="120"/>
                    <w:rPr>
                      <w:rFonts w:cs="Arial"/>
                      <w:b/>
                    </w:rPr>
                  </w:pPr>
                  <w:r>
                    <w:rPr>
                      <w:rFonts w:cs="Arial"/>
                      <w:b/>
                    </w:rPr>
                    <w:t>2</w:t>
                  </w:r>
                  <w:r w:rsidR="009F4372">
                    <w:rPr>
                      <w:rFonts w:cs="Arial"/>
                      <w:b/>
                    </w:rPr>
                    <w:t>4</w:t>
                  </w:r>
                  <w:r w:rsidRPr="007127A0">
                    <w:rPr>
                      <w:rFonts w:cs="Arial"/>
                      <w:b/>
                    </w:rPr>
                    <w:t xml:space="preserve"> </w:t>
                  </w:r>
                  <w:r>
                    <w:rPr>
                      <w:rFonts w:cs="Arial"/>
                      <w:b/>
                    </w:rPr>
                    <w:t>c</w:t>
                  </w:r>
                  <w:r w:rsidRPr="007127A0">
                    <w:rPr>
                      <w:rFonts w:cs="Arial"/>
                      <w:b/>
                    </w:rPr>
                    <w:t>hannels</w:t>
                  </w:r>
                </w:p>
              </w:tc>
              <w:tc>
                <w:tcPr>
                  <w:tcW w:w="3400" w:type="dxa"/>
                  <w:shd w:val="clear" w:color="auto" w:fill="FFFFFF" w:themeFill="background1"/>
                </w:tcPr>
                <w:p w14:paraId="24C10CCF" w14:textId="7A19C7D5" w:rsidR="00AB40D2" w:rsidRPr="007127A0" w:rsidRDefault="00EB2E73" w:rsidP="000505D6">
                  <w:pPr>
                    <w:keepNext/>
                    <w:keepLines/>
                    <w:spacing w:before="40" w:after="40"/>
                    <w:ind w:right="120"/>
                    <w:rPr>
                      <w:rFonts w:cs="Arial"/>
                      <w:b/>
                    </w:rPr>
                  </w:pPr>
                  <w:r>
                    <w:rPr>
                      <w:rFonts w:cs="Arial"/>
                      <w:b/>
                    </w:rPr>
                    <w:t>25.1</w:t>
                  </w:r>
                  <w:r w:rsidR="00AB40D2">
                    <w:rPr>
                      <w:rFonts w:cs="Arial"/>
                      <w:b/>
                    </w:rPr>
                    <w:t>–</w:t>
                  </w:r>
                  <w:r>
                    <w:rPr>
                      <w:rFonts w:cs="Arial"/>
                      <w:b/>
                    </w:rPr>
                    <w:t>27.5</w:t>
                  </w:r>
                  <w:r w:rsidR="00B71B9C">
                    <w:rPr>
                      <w:rFonts w:cs="Arial"/>
                      <w:b/>
                    </w:rPr>
                    <w:t xml:space="preserve"> GHz</w:t>
                  </w:r>
                </w:p>
              </w:tc>
              <w:tc>
                <w:tcPr>
                  <w:tcW w:w="2692" w:type="dxa"/>
                  <w:shd w:val="clear" w:color="auto" w:fill="FFFFFF" w:themeFill="background1"/>
                </w:tcPr>
                <w:p w14:paraId="1D152B88" w14:textId="52E9B7D3" w:rsidR="00AB40D2" w:rsidRPr="007127A0" w:rsidRDefault="00382C7F" w:rsidP="000505D6">
                  <w:pPr>
                    <w:keepNext/>
                    <w:keepLines/>
                    <w:spacing w:before="40" w:after="40"/>
                    <w:ind w:right="120"/>
                    <w:rPr>
                      <w:rFonts w:cs="Arial"/>
                      <w:b/>
                    </w:rPr>
                  </w:pPr>
                  <w:r>
                    <w:rPr>
                      <w:rFonts w:cs="Arial"/>
                      <w:b/>
                    </w:rPr>
                    <w:t>2.4 GHz</w:t>
                  </w:r>
                </w:p>
              </w:tc>
            </w:tr>
          </w:tbl>
          <w:p w14:paraId="6B9CAA5B" w14:textId="77777777" w:rsidR="00AB40D2" w:rsidRPr="006F741C" w:rsidRDefault="00AB40D2" w:rsidP="000505D6">
            <w:pPr>
              <w:pStyle w:val="Caption"/>
              <w:keepNext/>
              <w:keepLines/>
              <w:numPr>
                <w:ilvl w:val="0"/>
                <w:numId w:val="0"/>
              </w:numPr>
              <w:spacing w:line="276" w:lineRule="auto"/>
              <w:rPr>
                <w:rFonts w:cs="Arial"/>
              </w:rPr>
            </w:pPr>
          </w:p>
        </w:tc>
      </w:tr>
    </w:tbl>
    <w:p w14:paraId="4F91D603" w14:textId="77777777" w:rsidR="00AB40D2" w:rsidRDefault="00AB40D2">
      <w:pPr>
        <w:pStyle w:val="ACMASpaceaftertable"/>
      </w:pPr>
    </w:p>
    <w:bookmarkEnd w:id="279"/>
    <w:p w14:paraId="28CC023D" w14:textId="2A50F2AD" w:rsidR="00AB40D2" w:rsidRPr="00605D02" w:rsidRDefault="00DF2D32">
      <w:pPr>
        <w:keepNext/>
        <w:keepLines/>
        <w:pBdr>
          <w:top w:val="single" w:sz="4" w:space="1" w:color="auto"/>
          <w:left w:val="single" w:sz="4" w:space="4" w:color="auto"/>
          <w:bottom w:val="single" w:sz="4" w:space="1" w:color="auto"/>
          <w:right w:val="single" w:sz="4" w:space="4" w:color="auto"/>
        </w:pBdr>
        <w:shd w:val="clear" w:color="auto" w:fill="F2F2F2" w:themeFill="background1" w:themeFillShade="F2"/>
      </w:pPr>
      <w:r>
        <w:rPr>
          <w:b/>
        </w:rPr>
        <w:t>L</w:t>
      </w:r>
      <w:r w:rsidR="00AB40D2" w:rsidRPr="002C45DF">
        <w:rPr>
          <w:b/>
        </w:rPr>
        <w:t>ot configuration</w:t>
      </w:r>
      <w:r>
        <w:rPr>
          <w:b/>
        </w:rPr>
        <w:t xml:space="preserve"> for </w:t>
      </w:r>
      <w:r w:rsidR="00BB53CE">
        <w:rPr>
          <w:b/>
        </w:rPr>
        <w:t>the 26</w:t>
      </w:r>
      <w:r w:rsidR="00EA4FC6">
        <w:rPr>
          <w:b/>
        </w:rPr>
        <w:t xml:space="preserve"> </w:t>
      </w:r>
      <w:r>
        <w:rPr>
          <w:b/>
        </w:rPr>
        <w:t>GHz</w:t>
      </w:r>
      <w:r w:rsidR="00BB53CE">
        <w:rPr>
          <w:b/>
        </w:rPr>
        <w:t xml:space="preserve"> band</w:t>
      </w:r>
    </w:p>
    <w:p w14:paraId="357EB899" w14:textId="7E7A9D0D" w:rsidR="00AB40D2" w:rsidRPr="009C5A85" w:rsidRDefault="00AB40D2">
      <w:pPr>
        <w:keepNext/>
        <w:keepLines/>
        <w:pBdr>
          <w:top w:val="single" w:sz="4" w:space="1" w:color="auto"/>
          <w:left w:val="single" w:sz="4" w:space="4" w:color="auto"/>
          <w:bottom w:val="single" w:sz="4" w:space="1" w:color="auto"/>
          <w:right w:val="single" w:sz="4" w:space="4" w:color="auto"/>
        </w:pBdr>
        <w:shd w:val="clear" w:color="auto" w:fill="F2F2F2" w:themeFill="background1" w:themeFillShade="F2"/>
      </w:pPr>
      <w:r>
        <w:t xml:space="preserve">If </w:t>
      </w:r>
      <w:r w:rsidR="00BB53CE">
        <w:t>the 26</w:t>
      </w:r>
      <w:r w:rsidR="00B71B9C">
        <w:t xml:space="preserve"> GHz </w:t>
      </w:r>
      <w:r w:rsidR="00BB53CE">
        <w:t xml:space="preserve">band </w:t>
      </w:r>
      <w:r>
        <w:t>is reallocated</w:t>
      </w:r>
      <w:r w:rsidR="00EB2E73">
        <w:t xml:space="preserve"> for spectrum licensing</w:t>
      </w:r>
      <w:r>
        <w:t xml:space="preserve">, the ACMA proposes to divide </w:t>
      </w:r>
      <w:r w:rsidR="00550426">
        <w:t xml:space="preserve">the </w:t>
      </w:r>
      <w:r>
        <w:t>spectrum in</w:t>
      </w:r>
      <w:r w:rsidR="00B71B9C">
        <w:t>to</w:t>
      </w:r>
      <w:r>
        <w:t xml:space="preserve"> </w:t>
      </w:r>
      <w:r w:rsidR="00B71B9C">
        <w:t>24</w:t>
      </w:r>
      <w:r w:rsidR="009E4626">
        <w:t xml:space="preserve"> </w:t>
      </w:r>
      <w:r>
        <w:t xml:space="preserve">lots, each with </w:t>
      </w:r>
      <w:r w:rsidR="00B71B9C">
        <w:t>100</w:t>
      </w:r>
      <w:r w:rsidR="009E4626">
        <w:t xml:space="preserve"> </w:t>
      </w:r>
      <w:r>
        <w:t>MHz bandwidth.</w:t>
      </w:r>
    </w:p>
    <w:p w14:paraId="597CA8A3" w14:textId="6008335B" w:rsidR="00AB40D2" w:rsidRPr="009C5A85" w:rsidRDefault="00AB40D2">
      <w:pPr>
        <w:pStyle w:val="Heading2"/>
        <w:keepLines/>
      </w:pPr>
      <w:bookmarkStart w:id="302" w:name="_Toc410918160"/>
      <w:bookmarkStart w:id="303" w:name="_Toc496277341"/>
      <w:bookmarkStart w:id="304" w:name="_Toc496277740"/>
      <w:bookmarkStart w:id="305" w:name="_Toc496527251"/>
      <w:bookmarkStart w:id="306" w:name="_Toc496527426"/>
      <w:bookmarkStart w:id="307" w:name="_Toc8207144"/>
      <w:r w:rsidRPr="009C5A85">
        <w:t xml:space="preserve">Geographic </w:t>
      </w:r>
      <w:bookmarkEnd w:id="302"/>
      <w:bookmarkEnd w:id="303"/>
      <w:r>
        <w:t>areas</w:t>
      </w:r>
      <w:bookmarkEnd w:id="304"/>
      <w:bookmarkEnd w:id="305"/>
      <w:bookmarkEnd w:id="306"/>
      <w:bookmarkEnd w:id="307"/>
    </w:p>
    <w:p w14:paraId="4A4A2128" w14:textId="672BA1EA" w:rsidR="009E13DD" w:rsidRDefault="009E13DD" w:rsidP="006E0DC8">
      <w:pPr>
        <w:spacing w:after="80"/>
      </w:pPr>
      <w:r w:rsidRPr="001A7366">
        <w:t>The</w:t>
      </w:r>
      <w:r>
        <w:t xml:space="preserve"> ACMA has used </w:t>
      </w:r>
      <w:r w:rsidRPr="001A7366">
        <w:t xml:space="preserve">a number of different approaches to </w:t>
      </w:r>
      <w:proofErr w:type="gramStart"/>
      <w:r w:rsidRPr="001A7366">
        <w:t>defining</w:t>
      </w:r>
      <w:proofErr w:type="gramEnd"/>
      <w:r w:rsidRPr="001A7366">
        <w:t xml:space="preserve"> </w:t>
      </w:r>
      <w:r>
        <w:t xml:space="preserve">spectrum </w:t>
      </w:r>
      <w:r w:rsidRPr="001A7366">
        <w:t>lots according to geographic regions</w:t>
      </w:r>
      <w:r>
        <w:t>.</w:t>
      </w:r>
      <w:r w:rsidRPr="001A7366">
        <w:rPr>
          <w:rStyle w:val="FootnoteReference"/>
          <w:rFonts w:cs="Arial"/>
        </w:rPr>
        <w:footnoteReference w:id="22"/>
      </w:r>
      <w:r w:rsidRPr="001A7366">
        <w:t xml:space="preserve"> </w:t>
      </w:r>
      <w:r>
        <w:rPr>
          <w:rFonts w:cs="Arial"/>
        </w:rPr>
        <w:t xml:space="preserve">Although the </w:t>
      </w:r>
      <w:r w:rsidR="005F6948">
        <w:rPr>
          <w:rFonts w:cs="Arial"/>
        </w:rPr>
        <w:t xml:space="preserve">34 </w:t>
      </w:r>
      <w:r>
        <w:rPr>
          <w:rFonts w:cs="Arial"/>
        </w:rPr>
        <w:t>defined areas</w:t>
      </w:r>
      <w:r w:rsidR="00576178">
        <w:rPr>
          <w:rStyle w:val="FootnoteReference"/>
          <w:rFonts w:cs="Arial"/>
        </w:rPr>
        <w:footnoteReference w:id="23"/>
      </w:r>
      <w:r>
        <w:rPr>
          <w:rFonts w:cs="Arial"/>
        </w:rPr>
        <w:t xml:space="preserve"> are generally disaggregated</w:t>
      </w:r>
      <w:r w:rsidR="00E86D38">
        <w:rPr>
          <w:rFonts w:cs="Arial"/>
        </w:rPr>
        <w:t>,</w:t>
      </w:r>
      <w:r>
        <w:rPr>
          <w:rFonts w:cs="Arial"/>
        </w:rPr>
        <w:t xml:space="preserve"> there are many ways the ACMA could configure the lots for allocation. The options vary from offering each defined area as an individual lot through </w:t>
      </w:r>
      <w:r>
        <w:rPr>
          <w:rFonts w:cs="Arial"/>
        </w:rPr>
        <w:lastRenderedPageBreak/>
        <w:t xml:space="preserve">combinations of areas based on grouping by state, or population tiers, to combining all the areas into a single lot. </w:t>
      </w:r>
      <w:r>
        <w:t xml:space="preserve">The grouping combinations are quite </w:t>
      </w:r>
      <w:proofErr w:type="gramStart"/>
      <w:r>
        <w:t>varied</w:t>
      </w:r>
      <w:proofErr w:type="gramEnd"/>
      <w:r>
        <w:t xml:space="preserve"> and the benefits of the </w:t>
      </w:r>
      <w:r w:rsidR="00366024">
        <w:t xml:space="preserve">single </w:t>
      </w:r>
      <w:r>
        <w:t>Australian</w:t>
      </w:r>
      <w:r w:rsidR="00366024">
        <w:t xml:space="preserve"> </w:t>
      </w:r>
      <w:r>
        <w:t>wide lot compared with the defined</w:t>
      </w:r>
      <w:r w:rsidR="00366024">
        <w:t xml:space="preserve"> </w:t>
      </w:r>
      <w:r>
        <w:t>area lots would vary accordingly. Hence, the ACMA is considering the two extreme options:</w:t>
      </w:r>
    </w:p>
    <w:p w14:paraId="18E6D200" w14:textId="0AB94807" w:rsidR="009E13DD" w:rsidRPr="00C0572D" w:rsidRDefault="00090915" w:rsidP="006E0DC8">
      <w:pPr>
        <w:pStyle w:val="ListNumber"/>
      </w:pPr>
      <w:r>
        <w:t>A</w:t>
      </w:r>
      <w:r w:rsidR="009E13DD" w:rsidRPr="00C0572D">
        <w:t xml:space="preserve"> single lot covering all the defined areas across Australia (‘Australia-</w:t>
      </w:r>
      <w:r w:rsidR="007F77D8" w:rsidRPr="00C0572D">
        <w:t>wide</w:t>
      </w:r>
      <w:r w:rsidR="009E13DD" w:rsidRPr="00C0572D">
        <w:t xml:space="preserve"> lots’)</w:t>
      </w:r>
      <w:r>
        <w:t>.</w:t>
      </w:r>
    </w:p>
    <w:p w14:paraId="6A131500" w14:textId="010CDD62" w:rsidR="009E13DD" w:rsidRPr="00C0572D" w:rsidRDefault="00090915" w:rsidP="006E0DC8">
      <w:pPr>
        <w:pStyle w:val="ListNumberLast"/>
      </w:pPr>
      <w:r>
        <w:t>L</w:t>
      </w:r>
      <w:r w:rsidR="009E13DD" w:rsidRPr="00C0572D">
        <w:t>ots covering each defined area (‘defined-area lots’)</w:t>
      </w:r>
      <w:r w:rsidR="00BD0E57" w:rsidRPr="00C0572D">
        <w:t>.</w:t>
      </w:r>
    </w:p>
    <w:p w14:paraId="66448554" w14:textId="6F86D6DA" w:rsidR="009E13DD" w:rsidRPr="002C45DF" w:rsidRDefault="009E13DD" w:rsidP="009E13DD">
      <w:pPr>
        <w:pStyle w:val="Bodysubheader0"/>
      </w:pPr>
      <w:r w:rsidRPr="002C45DF">
        <w:t xml:space="preserve">Option </w:t>
      </w:r>
      <w:proofErr w:type="gramStart"/>
      <w:r w:rsidRPr="002C45DF">
        <w:t>1</w:t>
      </w:r>
      <w:r w:rsidR="00C0572D">
        <w:t>:</w:t>
      </w:r>
      <w:r>
        <w:t>Australia</w:t>
      </w:r>
      <w:proofErr w:type="gramEnd"/>
      <w:r>
        <w:t>-</w:t>
      </w:r>
      <w:r w:rsidR="007F77D8">
        <w:t>wide</w:t>
      </w:r>
      <w:r w:rsidRPr="002C45DF">
        <w:t xml:space="preserve"> lots</w:t>
      </w:r>
    </w:p>
    <w:p w14:paraId="6DBBDEB9" w14:textId="6E0F11EF" w:rsidR="009E13DD" w:rsidRDefault="009E13DD" w:rsidP="009E13DD">
      <w:r>
        <w:t>An Australia-</w:t>
      </w:r>
      <w:r w:rsidR="007F77D8">
        <w:t>wide</w:t>
      </w:r>
      <w:r>
        <w:t xml:space="preserve"> lot</w:t>
      </w:r>
      <w:r w:rsidRPr="008C2C2E">
        <w:t xml:space="preserve"> would </w:t>
      </w:r>
      <w:r>
        <w:t>cover the geographic area of all the defined areas</w:t>
      </w:r>
      <w:r w:rsidRPr="000807C5">
        <w:rPr>
          <w:snapToGrid w:val="0"/>
        </w:rPr>
        <w:t xml:space="preserve">. This configuration </w:t>
      </w:r>
      <w:r>
        <w:rPr>
          <w:snapToGrid w:val="0"/>
        </w:rPr>
        <w:t xml:space="preserve">would ensure that a prospective licensee could acquire a licence covering all the areas, without the risk of being outbid in particular geographic areas. It would therefore suit </w:t>
      </w:r>
      <w:r w:rsidRPr="000807C5">
        <w:rPr>
          <w:snapToGrid w:val="0"/>
        </w:rPr>
        <w:t xml:space="preserve">prospective licensees </w:t>
      </w:r>
      <w:r>
        <w:rPr>
          <w:snapToGrid w:val="0"/>
        </w:rPr>
        <w:t xml:space="preserve">seeking </w:t>
      </w:r>
      <w:r w:rsidRPr="000807C5">
        <w:rPr>
          <w:snapToGrid w:val="0"/>
        </w:rPr>
        <w:t xml:space="preserve">to deploy services </w:t>
      </w:r>
      <w:r>
        <w:rPr>
          <w:snapToGrid w:val="0"/>
        </w:rPr>
        <w:t xml:space="preserve">throughout all the areas on offer across </w:t>
      </w:r>
      <w:r w:rsidRPr="000807C5">
        <w:rPr>
          <w:snapToGrid w:val="0"/>
        </w:rPr>
        <w:t>Australia</w:t>
      </w:r>
      <w:r>
        <w:t xml:space="preserve">. </w:t>
      </w:r>
    </w:p>
    <w:p w14:paraId="5B5C5F09" w14:textId="61AA75B1" w:rsidR="009E13DD" w:rsidRDefault="009E13DD" w:rsidP="009E13DD">
      <w:r>
        <w:t>However, prospective licensees seeking to provide services in a particular geographic area would be forced to acquire a licence that also covered unwanted areas. This may mean that those unwanted areas are denied services. There is also a possibility that Australia-</w:t>
      </w:r>
      <w:r w:rsidR="007F77D8">
        <w:t>wide</w:t>
      </w:r>
      <w:r>
        <w:t xml:space="preserve"> lots may discourage some potential licensees from participating in the allocation because their commercial interest relates only to discrete geographic areas.</w:t>
      </w:r>
    </w:p>
    <w:p w14:paraId="01B6B19E" w14:textId="22ED5372" w:rsidR="009E13DD" w:rsidRPr="008751EA" w:rsidRDefault="009E13DD" w:rsidP="009E13DD">
      <w:pPr>
        <w:pStyle w:val="Bodysubheader0"/>
        <w:keepNext/>
      </w:pPr>
      <w:r w:rsidRPr="008751EA">
        <w:t>Option 2</w:t>
      </w:r>
      <w:r w:rsidR="00C0572D">
        <w:t xml:space="preserve">: </w:t>
      </w:r>
      <w:r>
        <w:t>Defined-area</w:t>
      </w:r>
      <w:r w:rsidRPr="008751EA">
        <w:t xml:space="preserve"> lots</w:t>
      </w:r>
    </w:p>
    <w:p w14:paraId="218647F4" w14:textId="3C87E378" w:rsidR="00854A73" w:rsidRPr="000C2798" w:rsidRDefault="00423241">
      <w:r>
        <w:t xml:space="preserve">Although prospective licensees have some risk of not acquiring all geographic areas </w:t>
      </w:r>
      <w:r w:rsidR="00DF66E8">
        <w:t xml:space="preserve">with population centres </w:t>
      </w:r>
      <w:r>
        <w:t>crucial to their business plans, a</w:t>
      </w:r>
      <w:r w:rsidR="009E13DD" w:rsidRPr="000807C5">
        <w:t xml:space="preserve"> </w:t>
      </w:r>
      <w:r w:rsidR="009E13DD">
        <w:t>defined-</w:t>
      </w:r>
      <w:r w:rsidR="009E13DD" w:rsidRPr="000807C5">
        <w:t>area lot</w:t>
      </w:r>
      <w:r w:rsidR="005F6948">
        <w:t>s</w:t>
      </w:r>
      <w:r w:rsidR="009E13DD" w:rsidRPr="000807C5">
        <w:t xml:space="preserve"> configuration would </w:t>
      </w:r>
      <w:r>
        <w:t>offer more flexibility. That is</w:t>
      </w:r>
      <w:r w:rsidR="007B7934">
        <w:t>,</w:t>
      </w:r>
      <w:r>
        <w:t xml:space="preserve"> </w:t>
      </w:r>
      <w:r w:rsidR="009E13DD">
        <w:t xml:space="preserve">prospective licensees </w:t>
      </w:r>
      <w:r>
        <w:t xml:space="preserve">would have the option </w:t>
      </w:r>
      <w:r w:rsidR="009E13DD">
        <w:t xml:space="preserve">to </w:t>
      </w:r>
      <w:r w:rsidR="00B010B7">
        <w:t xml:space="preserve">only </w:t>
      </w:r>
      <w:r w:rsidR="009E13DD">
        <w:t xml:space="preserve">bid </w:t>
      </w:r>
      <w:r>
        <w:t xml:space="preserve">for </w:t>
      </w:r>
      <w:r w:rsidR="00A86552">
        <w:t xml:space="preserve">the </w:t>
      </w:r>
      <w:r w:rsidR="0069470E">
        <w:t>lots with</w:t>
      </w:r>
      <w:r>
        <w:t xml:space="preserve"> </w:t>
      </w:r>
      <w:r w:rsidR="009E13DD">
        <w:t>those geographic areas that align with their commercial interest. This would facilitate</w:t>
      </w:r>
      <w:r w:rsidR="009E13DD" w:rsidRPr="000807C5">
        <w:t xml:space="preserve"> targeted deployment of services for specific areas</w:t>
      </w:r>
      <w:r w:rsidR="009E13DD">
        <w:t>.</w:t>
      </w:r>
      <w:r w:rsidR="009E13DD" w:rsidRPr="008C2C2E" w:rsidDel="00402348">
        <w:t xml:space="preserve"> </w:t>
      </w:r>
      <w:r w:rsidR="009E13DD">
        <w:t xml:space="preserve">It may also encourage uses of the </w:t>
      </w:r>
      <w:r w:rsidR="00B25828">
        <w:t>26</w:t>
      </w:r>
      <w:r w:rsidR="009E13DD">
        <w:t xml:space="preserve"> GHz </w:t>
      </w:r>
      <w:r w:rsidR="00B25828">
        <w:t>band</w:t>
      </w:r>
      <w:r w:rsidR="00854A73">
        <w:t xml:space="preserve"> in the regional centres</w:t>
      </w:r>
      <w:r w:rsidR="009E13DD">
        <w:t xml:space="preserve"> </w:t>
      </w:r>
      <w:r w:rsidR="00854A73">
        <w:t>by users that may only be interested in</w:t>
      </w:r>
      <w:r w:rsidR="009E13DD">
        <w:t xml:space="preserve"> regional-based application</w:t>
      </w:r>
      <w:r w:rsidR="00854A73">
        <w:t>s</w:t>
      </w:r>
      <w:r w:rsidR="009E13DD">
        <w:t>. It would not prevent bidders from packaging lots to obtain licences for multiple areas or all the areas</w:t>
      </w:r>
      <w:r w:rsidR="005C33C6">
        <w:t>.</w:t>
      </w:r>
    </w:p>
    <w:p w14:paraId="59FE3638" w14:textId="1ED79259" w:rsidR="00AB40D2" w:rsidRDefault="00AB40D2">
      <w:pPr>
        <w:pStyle w:val="Heading3"/>
      </w:pPr>
      <w:bookmarkStart w:id="308" w:name="_Toc496277343"/>
      <w:bookmarkStart w:id="309" w:name="_Toc496277742"/>
      <w:bookmarkStart w:id="310" w:name="_Toc496527253"/>
      <w:bookmarkStart w:id="311" w:name="_Toc496527428"/>
      <w:bookmarkStart w:id="312" w:name="_Toc8207145"/>
      <w:r w:rsidRPr="00EB6475">
        <w:t xml:space="preserve">ACMA </w:t>
      </w:r>
      <w:r w:rsidR="007F77D8">
        <w:t xml:space="preserve">preliminary </w:t>
      </w:r>
      <w:r w:rsidRPr="00EB6475">
        <w:t xml:space="preserve">preferred </w:t>
      </w:r>
      <w:bookmarkEnd w:id="308"/>
      <w:bookmarkEnd w:id="309"/>
      <w:bookmarkEnd w:id="310"/>
      <w:bookmarkEnd w:id="311"/>
      <w:r w:rsidR="00651C99">
        <w:t>view</w:t>
      </w:r>
      <w:bookmarkEnd w:id="312"/>
    </w:p>
    <w:p w14:paraId="0872EB8C" w14:textId="3F00DC53" w:rsidR="00AB40D2" w:rsidRDefault="00651C99">
      <w:r>
        <w:t xml:space="preserve">While there are many other options that fall between the two options presented, the issues associated with packaging the defined areas would be broadly the same as those identified above. </w:t>
      </w:r>
      <w:r w:rsidR="005B03E6">
        <w:t>T</w:t>
      </w:r>
      <w:r w:rsidR="00AB40D2">
        <w:t>he ACMA</w:t>
      </w:r>
      <w:r w:rsidR="00B86078">
        <w:t>’s</w:t>
      </w:r>
      <w:r w:rsidR="00AB40D2">
        <w:t xml:space="preserve"> </w:t>
      </w:r>
      <w:r>
        <w:t xml:space="preserve">preliminary </w:t>
      </w:r>
      <w:r w:rsidR="00B86078">
        <w:t xml:space="preserve">view </w:t>
      </w:r>
      <w:r w:rsidR="00AB40D2">
        <w:t xml:space="preserve">is </w:t>
      </w:r>
      <w:r w:rsidR="005B03E6">
        <w:t>th</w:t>
      </w:r>
      <w:r w:rsidR="00B86078">
        <w:t>at</w:t>
      </w:r>
      <w:r w:rsidR="00B13991">
        <w:t xml:space="preserve"> </w:t>
      </w:r>
      <w:r w:rsidR="00447B80">
        <w:t xml:space="preserve">each of </w:t>
      </w:r>
      <w:r w:rsidR="00B13991">
        <w:t xml:space="preserve">the 34 </w:t>
      </w:r>
      <w:r w:rsidR="0069470E">
        <w:t xml:space="preserve">defined areas </w:t>
      </w:r>
      <w:r w:rsidR="000376AA">
        <w:t xml:space="preserve">should </w:t>
      </w:r>
      <w:r w:rsidR="0069470E">
        <w:t xml:space="preserve">be </w:t>
      </w:r>
      <w:r w:rsidR="00B86078">
        <w:t>offered</w:t>
      </w:r>
      <w:r w:rsidR="000376AA">
        <w:t xml:space="preserve"> </w:t>
      </w:r>
      <w:r w:rsidR="00447B80">
        <w:t xml:space="preserve">for allocation as </w:t>
      </w:r>
      <w:r w:rsidR="00B86078">
        <w:t>separate</w:t>
      </w:r>
      <w:r w:rsidR="00447B80">
        <w:t xml:space="preserve"> products</w:t>
      </w:r>
      <w:r w:rsidR="00B86078">
        <w:t>. The</w:t>
      </w:r>
      <w:r w:rsidR="005B03E6">
        <w:t xml:space="preserve"> </w:t>
      </w:r>
      <w:r w:rsidR="00C64D84">
        <w:t xml:space="preserve">geographic </w:t>
      </w:r>
      <w:r w:rsidR="00AB40D2">
        <w:t>lot configuration</w:t>
      </w:r>
      <w:r w:rsidR="00B86078">
        <w:t xml:space="preserve"> </w:t>
      </w:r>
      <w:r w:rsidR="00C64D84">
        <w:t xml:space="preserve">covering the </w:t>
      </w:r>
      <w:r w:rsidR="00B86078">
        <w:t>defined areas is</w:t>
      </w:r>
      <w:r w:rsidR="005B03E6">
        <w:t xml:space="preserve"> </w:t>
      </w:r>
      <w:r w:rsidR="00446223">
        <w:t>set out</w:t>
      </w:r>
      <w:r w:rsidR="00AB40D2">
        <w:t xml:space="preserve"> in </w:t>
      </w:r>
      <w:r w:rsidR="00A86310">
        <w:t>Table 5</w:t>
      </w:r>
      <w:r w:rsidR="00AB40D2" w:rsidRPr="00C04002">
        <w:t>.</w:t>
      </w:r>
      <w:r w:rsidR="00AB40D2">
        <w:t xml:space="preserve"> </w:t>
      </w:r>
      <w:r w:rsidR="00AB40D2">
        <w:rPr>
          <w:rFonts w:cs="Arial"/>
        </w:rPr>
        <w:t xml:space="preserve">As noted, </w:t>
      </w:r>
      <w:r w:rsidR="00AB40D2" w:rsidRPr="008B632A">
        <w:rPr>
          <w:rFonts w:eastAsia="Calibri" w:cs="Arial"/>
          <w:szCs w:val="20"/>
        </w:rPr>
        <w:t xml:space="preserve">the ACMA needs to ensure that the lot configuration does not </w:t>
      </w:r>
      <w:r w:rsidR="00AB40D2">
        <w:rPr>
          <w:rFonts w:eastAsia="Calibri" w:cs="Arial"/>
          <w:szCs w:val="20"/>
        </w:rPr>
        <w:t xml:space="preserve">unduly </w:t>
      </w:r>
      <w:r w:rsidR="00AB40D2" w:rsidRPr="008B632A">
        <w:rPr>
          <w:rFonts w:eastAsia="Calibri" w:cs="Arial"/>
          <w:szCs w:val="20"/>
        </w:rPr>
        <w:t>limit or dictate market outcomes or hinder competition between auction participants.</w:t>
      </w:r>
      <w:r w:rsidR="00AB40D2">
        <w:rPr>
          <w:rFonts w:eastAsia="Calibri" w:cs="Arial"/>
          <w:szCs w:val="20"/>
        </w:rPr>
        <w:t xml:space="preserve"> This objective should be achieved through enabling bidders to express demand in </w:t>
      </w:r>
      <w:r w:rsidR="0019327D">
        <w:rPr>
          <w:rFonts w:eastAsia="Calibri" w:cs="Arial"/>
          <w:szCs w:val="20"/>
        </w:rPr>
        <w:t>population centres</w:t>
      </w:r>
      <w:r w:rsidR="00AB40D2">
        <w:rPr>
          <w:rFonts w:eastAsia="Calibri" w:cs="Arial"/>
          <w:szCs w:val="20"/>
        </w:rPr>
        <w:t xml:space="preserve"> consistent with their business plans, which requires a disaggregated geographic lot configuration. </w:t>
      </w:r>
      <w:r w:rsidR="00AB40D2">
        <w:t xml:space="preserve">The ACMA considers that the risks associated with complexity of an auction are relatively minor, and that bidders should be able to manage </w:t>
      </w:r>
      <w:r w:rsidR="00C0652C">
        <w:t>such</w:t>
      </w:r>
      <w:r w:rsidR="00AB40D2">
        <w:t xml:space="preserve"> risk</w:t>
      </w:r>
      <w:r w:rsidR="00C0652C">
        <w:t>s</w:t>
      </w:r>
      <w:r w:rsidR="00AB40D2">
        <w:t xml:space="preserve"> through </w:t>
      </w:r>
      <w:r w:rsidR="00F81BF4">
        <w:t xml:space="preserve">mechanisms available to them in </w:t>
      </w:r>
      <w:r w:rsidR="00AB40D2">
        <w:t xml:space="preserve">the </w:t>
      </w:r>
      <w:r w:rsidR="007F77D8">
        <w:t>allocation</w:t>
      </w:r>
      <w:r w:rsidR="00AB40D2">
        <w:t>.</w:t>
      </w:r>
    </w:p>
    <w:p w14:paraId="1140E4BE" w14:textId="07961A0E" w:rsidR="007B7EA1" w:rsidRDefault="00AB40D2">
      <w:r>
        <w:t xml:space="preserve">The ACMA considers there could be differences in demand between </w:t>
      </w:r>
      <w:r w:rsidR="000844CF">
        <w:t xml:space="preserve">cities </w:t>
      </w:r>
      <w:r>
        <w:t xml:space="preserve">and regional </w:t>
      </w:r>
      <w:r w:rsidR="00C16437">
        <w:t xml:space="preserve">centres </w:t>
      </w:r>
      <w:r>
        <w:t>given the differences in customer bases between the mobile network operators in regional Australia, and the possible participation of regional bidders.</w:t>
      </w:r>
    </w:p>
    <w:p w14:paraId="0CD7F125" w14:textId="2244D815" w:rsidR="00A14F6B" w:rsidRDefault="001E064E" w:rsidP="001C206B">
      <w:pPr>
        <w:pStyle w:val="ACMATableHeader"/>
        <w:keepNext/>
        <w:keepLines/>
      </w:pPr>
      <w:r>
        <w:lastRenderedPageBreak/>
        <w:t xml:space="preserve">Geographic </w:t>
      </w:r>
      <w:r w:rsidR="00A14F6B">
        <w:t>areas</w:t>
      </w:r>
      <w:r w:rsidR="00B86078">
        <w:t xml:space="preserve"> for lot configuration</w:t>
      </w:r>
    </w:p>
    <w:tbl>
      <w:tblPr>
        <w:tblStyle w:val="TableGrid"/>
        <w:tblW w:w="0" w:type="auto"/>
        <w:tblBorders>
          <w:left w:val="none" w:sz="0" w:space="0" w:color="auto"/>
          <w:right w:val="none" w:sz="0" w:space="0" w:color="auto"/>
          <w:insideV w:val="none" w:sz="0" w:space="0" w:color="auto"/>
        </w:tblBorders>
        <w:tblLook w:val="04A0" w:firstRow="1" w:lastRow="0" w:firstColumn="1" w:lastColumn="0" w:noHBand="0" w:noVBand="1"/>
      </w:tblPr>
      <w:tblGrid>
        <w:gridCol w:w="628"/>
        <w:gridCol w:w="2916"/>
        <w:gridCol w:w="709"/>
        <w:gridCol w:w="2977"/>
      </w:tblGrid>
      <w:tr w:rsidR="007F77D8" w:rsidRPr="00D011F2" w14:paraId="685ECEE0" w14:textId="77777777" w:rsidTr="00BF380F">
        <w:tc>
          <w:tcPr>
            <w:tcW w:w="628" w:type="dxa"/>
            <w:shd w:val="clear" w:color="auto" w:fill="404040" w:themeFill="text1" w:themeFillTint="BF"/>
          </w:tcPr>
          <w:p w14:paraId="70604B84" w14:textId="77777777" w:rsidR="007F77D8" w:rsidRPr="00D011F2" w:rsidRDefault="007F77D8" w:rsidP="00BF380F">
            <w:pPr>
              <w:keepNext/>
              <w:keepLines/>
              <w:spacing w:before="40" w:after="40"/>
              <w:jc w:val="center"/>
              <w:rPr>
                <w:b/>
                <w:color w:val="FFFFFF" w:themeColor="background1"/>
              </w:rPr>
            </w:pPr>
            <w:bookmarkStart w:id="313" w:name="_Hlk4486037"/>
            <w:r w:rsidRPr="00D011F2">
              <w:rPr>
                <w:b/>
                <w:color w:val="FFFFFF" w:themeColor="background1"/>
              </w:rPr>
              <w:t>Item</w:t>
            </w:r>
          </w:p>
        </w:tc>
        <w:tc>
          <w:tcPr>
            <w:tcW w:w="2916" w:type="dxa"/>
            <w:shd w:val="clear" w:color="auto" w:fill="404040" w:themeFill="text1" w:themeFillTint="BF"/>
          </w:tcPr>
          <w:p w14:paraId="393DF194" w14:textId="77777777" w:rsidR="007F77D8" w:rsidRPr="00D011F2" w:rsidRDefault="007F77D8" w:rsidP="00BF380F">
            <w:pPr>
              <w:keepNext/>
              <w:keepLines/>
              <w:spacing w:before="40" w:after="40"/>
              <w:rPr>
                <w:b/>
                <w:color w:val="FFFFFF" w:themeColor="background1"/>
              </w:rPr>
            </w:pPr>
            <w:r w:rsidRPr="00D011F2">
              <w:rPr>
                <w:b/>
                <w:color w:val="FFFFFF" w:themeColor="background1"/>
              </w:rPr>
              <w:t>Area</w:t>
            </w:r>
            <w:r>
              <w:rPr>
                <w:b/>
                <w:color w:val="FFFFFF" w:themeColor="background1"/>
              </w:rPr>
              <w:t xml:space="preserve"> name</w:t>
            </w:r>
          </w:p>
        </w:tc>
        <w:tc>
          <w:tcPr>
            <w:tcW w:w="709" w:type="dxa"/>
            <w:shd w:val="clear" w:color="auto" w:fill="404040" w:themeFill="text1" w:themeFillTint="BF"/>
          </w:tcPr>
          <w:p w14:paraId="18698087" w14:textId="77777777" w:rsidR="007F77D8" w:rsidRPr="00D011F2" w:rsidRDefault="007F77D8" w:rsidP="00BF380F">
            <w:pPr>
              <w:keepNext/>
              <w:keepLines/>
              <w:spacing w:before="40" w:after="40"/>
              <w:rPr>
                <w:b/>
                <w:color w:val="FFFFFF" w:themeColor="background1"/>
              </w:rPr>
            </w:pPr>
            <w:r w:rsidRPr="00D011F2">
              <w:rPr>
                <w:b/>
                <w:color w:val="FFFFFF" w:themeColor="background1"/>
              </w:rPr>
              <w:t>Item</w:t>
            </w:r>
          </w:p>
        </w:tc>
        <w:tc>
          <w:tcPr>
            <w:tcW w:w="2977" w:type="dxa"/>
            <w:shd w:val="clear" w:color="auto" w:fill="404040" w:themeFill="text1" w:themeFillTint="BF"/>
          </w:tcPr>
          <w:p w14:paraId="227472A4" w14:textId="77777777" w:rsidR="007F77D8" w:rsidRPr="00D011F2" w:rsidRDefault="007F77D8" w:rsidP="00BF380F">
            <w:pPr>
              <w:keepNext/>
              <w:keepLines/>
              <w:spacing w:before="40" w:after="40"/>
              <w:rPr>
                <w:b/>
                <w:color w:val="FFFFFF" w:themeColor="background1"/>
              </w:rPr>
            </w:pPr>
            <w:r w:rsidRPr="00D011F2">
              <w:rPr>
                <w:b/>
                <w:color w:val="FFFFFF" w:themeColor="background1"/>
              </w:rPr>
              <w:t>Area</w:t>
            </w:r>
            <w:r>
              <w:rPr>
                <w:b/>
                <w:color w:val="FFFFFF" w:themeColor="background1"/>
              </w:rPr>
              <w:t xml:space="preserve"> name</w:t>
            </w:r>
          </w:p>
        </w:tc>
      </w:tr>
      <w:tr w:rsidR="007F77D8" w14:paraId="7B8C42BB" w14:textId="77777777" w:rsidTr="00BF380F">
        <w:tc>
          <w:tcPr>
            <w:tcW w:w="628" w:type="dxa"/>
          </w:tcPr>
          <w:p w14:paraId="1833444A" w14:textId="77777777" w:rsidR="007F77D8" w:rsidRDefault="007F77D8" w:rsidP="00BF380F">
            <w:pPr>
              <w:keepNext/>
              <w:keepLines/>
              <w:spacing w:before="40" w:after="40"/>
              <w:jc w:val="center"/>
            </w:pPr>
            <w:r>
              <w:t>1</w:t>
            </w:r>
          </w:p>
        </w:tc>
        <w:tc>
          <w:tcPr>
            <w:tcW w:w="2916" w:type="dxa"/>
          </w:tcPr>
          <w:p w14:paraId="01CF875B" w14:textId="77777777" w:rsidR="007F77D8" w:rsidRDefault="007F77D8" w:rsidP="00BF380F">
            <w:pPr>
              <w:keepNext/>
              <w:keepLines/>
              <w:spacing w:before="40" w:after="40"/>
            </w:pPr>
            <w:r>
              <w:t>Adelaide</w:t>
            </w:r>
          </w:p>
        </w:tc>
        <w:tc>
          <w:tcPr>
            <w:tcW w:w="709" w:type="dxa"/>
          </w:tcPr>
          <w:p w14:paraId="11885194" w14:textId="77777777" w:rsidR="007F77D8" w:rsidRDefault="007F77D8" w:rsidP="00BF380F">
            <w:pPr>
              <w:keepNext/>
              <w:keepLines/>
              <w:spacing w:before="40" w:after="40"/>
              <w:jc w:val="center"/>
            </w:pPr>
            <w:r>
              <w:t>18</w:t>
            </w:r>
          </w:p>
        </w:tc>
        <w:tc>
          <w:tcPr>
            <w:tcW w:w="2977" w:type="dxa"/>
          </w:tcPr>
          <w:p w14:paraId="35AE51FE" w14:textId="77777777" w:rsidR="007F77D8" w:rsidRDefault="007F77D8" w:rsidP="00BF380F">
            <w:pPr>
              <w:keepNext/>
              <w:keepLines/>
              <w:spacing w:before="40" w:after="40"/>
            </w:pPr>
            <w:r w:rsidRPr="00EF41CD">
              <w:t>Lismore</w:t>
            </w:r>
          </w:p>
        </w:tc>
      </w:tr>
      <w:bookmarkEnd w:id="313"/>
      <w:tr w:rsidR="007F77D8" w14:paraId="7AE970B4" w14:textId="77777777" w:rsidTr="00BF380F">
        <w:tc>
          <w:tcPr>
            <w:tcW w:w="628" w:type="dxa"/>
            <w:shd w:val="clear" w:color="auto" w:fill="F2F2F2" w:themeFill="background1" w:themeFillShade="F2"/>
          </w:tcPr>
          <w:p w14:paraId="4EE8E862" w14:textId="77777777" w:rsidR="007F77D8" w:rsidRDefault="007F77D8" w:rsidP="00BF380F">
            <w:pPr>
              <w:keepNext/>
              <w:keepLines/>
              <w:spacing w:before="40" w:after="40"/>
              <w:jc w:val="center"/>
            </w:pPr>
            <w:r>
              <w:t>2</w:t>
            </w:r>
          </w:p>
        </w:tc>
        <w:tc>
          <w:tcPr>
            <w:tcW w:w="2916" w:type="dxa"/>
            <w:shd w:val="clear" w:color="auto" w:fill="F2F2F2" w:themeFill="background1" w:themeFillShade="F2"/>
          </w:tcPr>
          <w:p w14:paraId="5827D988" w14:textId="77777777" w:rsidR="007F77D8" w:rsidRDefault="007F77D8" w:rsidP="00BF380F">
            <w:pPr>
              <w:keepNext/>
              <w:keepLines/>
              <w:spacing w:before="40" w:after="40"/>
            </w:pPr>
            <w:r>
              <w:t>Albany</w:t>
            </w:r>
          </w:p>
        </w:tc>
        <w:tc>
          <w:tcPr>
            <w:tcW w:w="709" w:type="dxa"/>
            <w:shd w:val="clear" w:color="auto" w:fill="F2F2F2" w:themeFill="background1" w:themeFillShade="F2"/>
          </w:tcPr>
          <w:p w14:paraId="0BD11FC2" w14:textId="77777777" w:rsidR="007F77D8" w:rsidRDefault="007F77D8" w:rsidP="00BF380F">
            <w:pPr>
              <w:keepNext/>
              <w:keepLines/>
              <w:spacing w:before="40" w:after="40"/>
              <w:jc w:val="center"/>
            </w:pPr>
            <w:r>
              <w:t>19</w:t>
            </w:r>
          </w:p>
        </w:tc>
        <w:tc>
          <w:tcPr>
            <w:tcW w:w="2977" w:type="dxa"/>
            <w:shd w:val="clear" w:color="auto" w:fill="F2F2F2" w:themeFill="background1" w:themeFillShade="F2"/>
          </w:tcPr>
          <w:p w14:paraId="70BC17C9" w14:textId="77777777" w:rsidR="007F77D8" w:rsidRDefault="007F77D8" w:rsidP="00BF380F">
            <w:pPr>
              <w:keepNext/>
              <w:keepLines/>
              <w:spacing w:before="40" w:after="40"/>
            </w:pPr>
            <w:r w:rsidRPr="00EF41CD">
              <w:t>Mackay</w:t>
            </w:r>
          </w:p>
        </w:tc>
      </w:tr>
      <w:tr w:rsidR="007F77D8" w14:paraId="419316DC" w14:textId="77777777" w:rsidTr="00BF380F">
        <w:tc>
          <w:tcPr>
            <w:tcW w:w="628" w:type="dxa"/>
          </w:tcPr>
          <w:p w14:paraId="68959ECD" w14:textId="77777777" w:rsidR="007F77D8" w:rsidRDefault="007F77D8" w:rsidP="00BF380F">
            <w:pPr>
              <w:keepNext/>
              <w:keepLines/>
              <w:spacing w:before="40" w:after="40"/>
              <w:jc w:val="center"/>
            </w:pPr>
            <w:r>
              <w:t>3</w:t>
            </w:r>
          </w:p>
        </w:tc>
        <w:tc>
          <w:tcPr>
            <w:tcW w:w="2916" w:type="dxa"/>
          </w:tcPr>
          <w:p w14:paraId="4EFA1096" w14:textId="77777777" w:rsidR="007F77D8" w:rsidRDefault="007F77D8" w:rsidP="00BF380F">
            <w:pPr>
              <w:keepNext/>
              <w:keepLines/>
              <w:spacing w:before="40" w:after="40"/>
            </w:pPr>
            <w:r w:rsidRPr="00A25EB9">
              <w:t>Albury</w:t>
            </w:r>
            <w:r>
              <w:t>-Wodonga</w:t>
            </w:r>
          </w:p>
        </w:tc>
        <w:tc>
          <w:tcPr>
            <w:tcW w:w="709" w:type="dxa"/>
          </w:tcPr>
          <w:p w14:paraId="6A5B3CD5" w14:textId="77777777" w:rsidR="007F77D8" w:rsidRDefault="007F77D8" w:rsidP="00BF380F">
            <w:pPr>
              <w:keepNext/>
              <w:keepLines/>
              <w:spacing w:before="40" w:after="40"/>
              <w:jc w:val="center"/>
            </w:pPr>
            <w:r>
              <w:t>20</w:t>
            </w:r>
          </w:p>
        </w:tc>
        <w:tc>
          <w:tcPr>
            <w:tcW w:w="2977" w:type="dxa"/>
          </w:tcPr>
          <w:p w14:paraId="49399843" w14:textId="77777777" w:rsidR="007F77D8" w:rsidRDefault="007F77D8" w:rsidP="00BF380F">
            <w:pPr>
              <w:keepNext/>
              <w:keepLines/>
              <w:spacing w:before="40" w:after="40"/>
            </w:pPr>
            <w:r>
              <w:t>Margaret River</w:t>
            </w:r>
          </w:p>
        </w:tc>
      </w:tr>
      <w:tr w:rsidR="007F77D8" w14:paraId="5C26453B" w14:textId="77777777" w:rsidTr="00BF380F">
        <w:tc>
          <w:tcPr>
            <w:tcW w:w="628" w:type="dxa"/>
            <w:shd w:val="clear" w:color="auto" w:fill="F2F2F2" w:themeFill="background1" w:themeFillShade="F2"/>
          </w:tcPr>
          <w:p w14:paraId="42E0CB91" w14:textId="77777777" w:rsidR="007F77D8" w:rsidRDefault="007F77D8" w:rsidP="00BF380F">
            <w:pPr>
              <w:keepNext/>
              <w:keepLines/>
              <w:spacing w:before="40" w:after="40"/>
              <w:jc w:val="center"/>
            </w:pPr>
            <w:r>
              <w:t>4</w:t>
            </w:r>
          </w:p>
        </w:tc>
        <w:tc>
          <w:tcPr>
            <w:tcW w:w="2916" w:type="dxa"/>
            <w:shd w:val="clear" w:color="auto" w:fill="F2F2F2" w:themeFill="background1" w:themeFillShade="F2"/>
          </w:tcPr>
          <w:p w14:paraId="44EE44C1" w14:textId="77777777" w:rsidR="007F77D8" w:rsidRDefault="007F77D8" w:rsidP="00BF380F">
            <w:pPr>
              <w:keepNext/>
              <w:keepLines/>
              <w:spacing w:before="40" w:after="40"/>
            </w:pPr>
            <w:r>
              <w:t>Armidale</w:t>
            </w:r>
          </w:p>
        </w:tc>
        <w:tc>
          <w:tcPr>
            <w:tcW w:w="709" w:type="dxa"/>
            <w:shd w:val="clear" w:color="auto" w:fill="F2F2F2" w:themeFill="background1" w:themeFillShade="F2"/>
          </w:tcPr>
          <w:p w14:paraId="03D07A1B" w14:textId="77777777" w:rsidR="007F77D8" w:rsidRDefault="007F77D8" w:rsidP="00BF380F">
            <w:pPr>
              <w:keepNext/>
              <w:keepLines/>
              <w:spacing w:before="40" w:after="40"/>
              <w:jc w:val="center"/>
            </w:pPr>
            <w:r>
              <w:t>21</w:t>
            </w:r>
          </w:p>
        </w:tc>
        <w:tc>
          <w:tcPr>
            <w:tcW w:w="2977" w:type="dxa"/>
            <w:shd w:val="clear" w:color="auto" w:fill="F2F2F2" w:themeFill="background1" w:themeFillShade="F2"/>
          </w:tcPr>
          <w:p w14:paraId="6FE9170D" w14:textId="77777777" w:rsidR="007F77D8" w:rsidRDefault="007F77D8" w:rsidP="00BF380F">
            <w:pPr>
              <w:keepNext/>
              <w:keepLines/>
              <w:spacing w:before="40" w:after="40"/>
            </w:pPr>
            <w:r>
              <w:t>Melbourne</w:t>
            </w:r>
          </w:p>
        </w:tc>
      </w:tr>
      <w:tr w:rsidR="007F77D8" w14:paraId="2A6CABA3" w14:textId="77777777" w:rsidTr="00BF380F">
        <w:tc>
          <w:tcPr>
            <w:tcW w:w="628" w:type="dxa"/>
          </w:tcPr>
          <w:p w14:paraId="433ADDD9" w14:textId="77777777" w:rsidR="007F77D8" w:rsidRDefault="007F77D8" w:rsidP="00BF380F">
            <w:pPr>
              <w:keepNext/>
              <w:keepLines/>
              <w:spacing w:before="40" w:after="40"/>
              <w:jc w:val="center"/>
            </w:pPr>
            <w:r>
              <w:t>5</w:t>
            </w:r>
          </w:p>
        </w:tc>
        <w:tc>
          <w:tcPr>
            <w:tcW w:w="2916" w:type="dxa"/>
          </w:tcPr>
          <w:p w14:paraId="445D9982" w14:textId="77777777" w:rsidR="007F77D8" w:rsidRDefault="007F77D8" w:rsidP="00BF380F">
            <w:pPr>
              <w:keepNext/>
              <w:keepLines/>
              <w:spacing w:before="40" w:after="40"/>
            </w:pPr>
            <w:r>
              <w:t>Ballarat</w:t>
            </w:r>
          </w:p>
        </w:tc>
        <w:tc>
          <w:tcPr>
            <w:tcW w:w="709" w:type="dxa"/>
          </w:tcPr>
          <w:p w14:paraId="55D6FB99" w14:textId="77777777" w:rsidR="007F77D8" w:rsidRDefault="007F77D8" w:rsidP="00BF380F">
            <w:pPr>
              <w:keepNext/>
              <w:keepLines/>
              <w:spacing w:before="40" w:after="40"/>
              <w:jc w:val="center"/>
            </w:pPr>
            <w:r>
              <w:t>22</w:t>
            </w:r>
          </w:p>
        </w:tc>
        <w:tc>
          <w:tcPr>
            <w:tcW w:w="2977" w:type="dxa"/>
          </w:tcPr>
          <w:p w14:paraId="337F0196" w14:textId="77777777" w:rsidR="007F77D8" w:rsidRDefault="007F77D8" w:rsidP="00BF380F">
            <w:pPr>
              <w:keepNext/>
              <w:keepLines/>
              <w:spacing w:before="40" w:after="40"/>
            </w:pPr>
            <w:r w:rsidRPr="00EF41CD">
              <w:t>Mildura</w:t>
            </w:r>
          </w:p>
        </w:tc>
      </w:tr>
      <w:tr w:rsidR="007F77D8" w14:paraId="14A0AFCF" w14:textId="77777777" w:rsidTr="00BF380F">
        <w:tc>
          <w:tcPr>
            <w:tcW w:w="628" w:type="dxa"/>
            <w:shd w:val="clear" w:color="auto" w:fill="F2F2F2" w:themeFill="background1" w:themeFillShade="F2"/>
          </w:tcPr>
          <w:p w14:paraId="26016562" w14:textId="77777777" w:rsidR="007F77D8" w:rsidRDefault="007F77D8" w:rsidP="00BF380F">
            <w:pPr>
              <w:keepNext/>
              <w:keepLines/>
              <w:spacing w:before="40" w:after="40"/>
              <w:jc w:val="center"/>
            </w:pPr>
            <w:r>
              <w:t>6</w:t>
            </w:r>
          </w:p>
        </w:tc>
        <w:tc>
          <w:tcPr>
            <w:tcW w:w="2916" w:type="dxa"/>
            <w:shd w:val="clear" w:color="auto" w:fill="F2F2F2" w:themeFill="background1" w:themeFillShade="F2"/>
          </w:tcPr>
          <w:p w14:paraId="1E9B19ED" w14:textId="77777777" w:rsidR="007F77D8" w:rsidRDefault="007F77D8" w:rsidP="00BF380F">
            <w:pPr>
              <w:keepNext/>
              <w:keepLines/>
              <w:spacing w:before="40" w:after="40"/>
            </w:pPr>
            <w:r>
              <w:t>Bathurst</w:t>
            </w:r>
          </w:p>
        </w:tc>
        <w:tc>
          <w:tcPr>
            <w:tcW w:w="709" w:type="dxa"/>
            <w:shd w:val="clear" w:color="auto" w:fill="F2F2F2" w:themeFill="background1" w:themeFillShade="F2"/>
          </w:tcPr>
          <w:p w14:paraId="3F3E4ADA" w14:textId="77777777" w:rsidR="007F77D8" w:rsidRDefault="007F77D8" w:rsidP="00BF380F">
            <w:pPr>
              <w:keepNext/>
              <w:keepLines/>
              <w:spacing w:before="40" w:after="40"/>
              <w:jc w:val="center"/>
            </w:pPr>
            <w:r>
              <w:t>23</w:t>
            </w:r>
          </w:p>
        </w:tc>
        <w:tc>
          <w:tcPr>
            <w:tcW w:w="2977" w:type="dxa"/>
            <w:shd w:val="clear" w:color="auto" w:fill="F2F2F2" w:themeFill="background1" w:themeFillShade="F2"/>
          </w:tcPr>
          <w:p w14:paraId="53CA580C" w14:textId="77777777" w:rsidR="007F77D8" w:rsidRDefault="007F77D8" w:rsidP="00BF380F">
            <w:pPr>
              <w:keepNext/>
              <w:keepLines/>
              <w:spacing w:before="40" w:after="40"/>
            </w:pPr>
            <w:r>
              <w:t>Perth</w:t>
            </w:r>
          </w:p>
        </w:tc>
      </w:tr>
      <w:tr w:rsidR="007F77D8" w14:paraId="59C5493B" w14:textId="77777777" w:rsidTr="00BF380F">
        <w:tc>
          <w:tcPr>
            <w:tcW w:w="628" w:type="dxa"/>
          </w:tcPr>
          <w:p w14:paraId="73855DCE" w14:textId="77777777" w:rsidR="007F77D8" w:rsidRDefault="007F77D8" w:rsidP="00BF380F">
            <w:pPr>
              <w:keepNext/>
              <w:keepLines/>
              <w:spacing w:before="40" w:after="40"/>
              <w:jc w:val="center"/>
            </w:pPr>
            <w:r>
              <w:t>7</w:t>
            </w:r>
          </w:p>
        </w:tc>
        <w:tc>
          <w:tcPr>
            <w:tcW w:w="2916" w:type="dxa"/>
          </w:tcPr>
          <w:p w14:paraId="5E6C9E39" w14:textId="77777777" w:rsidR="007F77D8" w:rsidRDefault="007F77D8" w:rsidP="00BF380F">
            <w:pPr>
              <w:keepNext/>
              <w:keepLines/>
              <w:spacing w:before="40" w:after="40"/>
            </w:pPr>
            <w:r>
              <w:t>Bendigo</w:t>
            </w:r>
          </w:p>
        </w:tc>
        <w:tc>
          <w:tcPr>
            <w:tcW w:w="709" w:type="dxa"/>
          </w:tcPr>
          <w:p w14:paraId="07FECA40" w14:textId="77777777" w:rsidR="007F77D8" w:rsidRDefault="007F77D8" w:rsidP="00BF380F">
            <w:pPr>
              <w:keepNext/>
              <w:keepLines/>
              <w:spacing w:before="40" w:after="40"/>
              <w:jc w:val="center"/>
            </w:pPr>
            <w:r>
              <w:t>24</w:t>
            </w:r>
          </w:p>
        </w:tc>
        <w:tc>
          <w:tcPr>
            <w:tcW w:w="2977" w:type="dxa"/>
          </w:tcPr>
          <w:p w14:paraId="54A1AF0C" w14:textId="77777777" w:rsidR="007F77D8" w:rsidRDefault="007F77D8" w:rsidP="00BF380F">
            <w:pPr>
              <w:keepNext/>
              <w:keepLines/>
              <w:spacing w:before="40" w:after="40"/>
            </w:pPr>
            <w:r w:rsidRPr="00EF41CD">
              <w:t>Port Macquarie</w:t>
            </w:r>
          </w:p>
        </w:tc>
      </w:tr>
      <w:tr w:rsidR="007F77D8" w14:paraId="29D11790" w14:textId="77777777" w:rsidTr="00BF380F">
        <w:tc>
          <w:tcPr>
            <w:tcW w:w="628" w:type="dxa"/>
            <w:shd w:val="clear" w:color="auto" w:fill="F2F2F2" w:themeFill="background1" w:themeFillShade="F2"/>
          </w:tcPr>
          <w:p w14:paraId="00974F87" w14:textId="77777777" w:rsidR="007F77D8" w:rsidRDefault="007F77D8" w:rsidP="00BF380F">
            <w:pPr>
              <w:keepNext/>
              <w:keepLines/>
              <w:spacing w:before="40" w:after="40"/>
              <w:jc w:val="center"/>
            </w:pPr>
            <w:r>
              <w:t>8</w:t>
            </w:r>
          </w:p>
        </w:tc>
        <w:tc>
          <w:tcPr>
            <w:tcW w:w="2916" w:type="dxa"/>
            <w:shd w:val="clear" w:color="auto" w:fill="F2F2F2" w:themeFill="background1" w:themeFillShade="F2"/>
          </w:tcPr>
          <w:p w14:paraId="47D2A185" w14:textId="77777777" w:rsidR="007F77D8" w:rsidRDefault="007F77D8" w:rsidP="00BF380F">
            <w:pPr>
              <w:keepNext/>
              <w:keepLines/>
              <w:spacing w:before="40" w:after="40"/>
            </w:pPr>
            <w:r>
              <w:t>Brisbane</w:t>
            </w:r>
          </w:p>
        </w:tc>
        <w:tc>
          <w:tcPr>
            <w:tcW w:w="709" w:type="dxa"/>
            <w:shd w:val="clear" w:color="auto" w:fill="F2F2F2" w:themeFill="background1" w:themeFillShade="F2"/>
          </w:tcPr>
          <w:p w14:paraId="768B3CFD" w14:textId="77777777" w:rsidR="007F77D8" w:rsidRDefault="007F77D8" w:rsidP="00BF380F">
            <w:pPr>
              <w:keepNext/>
              <w:keepLines/>
              <w:spacing w:before="40" w:after="40"/>
              <w:jc w:val="center"/>
            </w:pPr>
            <w:r>
              <w:t>25</w:t>
            </w:r>
          </w:p>
        </w:tc>
        <w:tc>
          <w:tcPr>
            <w:tcW w:w="2977" w:type="dxa"/>
            <w:shd w:val="clear" w:color="auto" w:fill="F2F2F2" w:themeFill="background1" w:themeFillShade="F2"/>
          </w:tcPr>
          <w:p w14:paraId="56AF9AC3" w14:textId="77777777" w:rsidR="007F77D8" w:rsidRDefault="007F77D8" w:rsidP="00BF380F">
            <w:pPr>
              <w:keepNext/>
              <w:keepLines/>
              <w:spacing w:before="40" w:after="40"/>
            </w:pPr>
            <w:r>
              <w:t>Rockhampton</w:t>
            </w:r>
          </w:p>
        </w:tc>
      </w:tr>
      <w:tr w:rsidR="007F77D8" w14:paraId="343AEE84" w14:textId="77777777" w:rsidTr="00BF380F">
        <w:tc>
          <w:tcPr>
            <w:tcW w:w="628" w:type="dxa"/>
          </w:tcPr>
          <w:p w14:paraId="5581B84B" w14:textId="77777777" w:rsidR="007F77D8" w:rsidRDefault="007F77D8" w:rsidP="00BF380F">
            <w:pPr>
              <w:keepNext/>
              <w:keepLines/>
              <w:spacing w:before="40" w:after="40"/>
              <w:jc w:val="center"/>
            </w:pPr>
            <w:r>
              <w:t>9</w:t>
            </w:r>
          </w:p>
        </w:tc>
        <w:tc>
          <w:tcPr>
            <w:tcW w:w="2916" w:type="dxa"/>
          </w:tcPr>
          <w:p w14:paraId="6C87EBF0" w14:textId="77777777" w:rsidR="007F77D8" w:rsidRDefault="007F77D8" w:rsidP="00BF380F">
            <w:pPr>
              <w:keepNext/>
              <w:keepLines/>
              <w:spacing w:before="40" w:after="40"/>
            </w:pPr>
            <w:r>
              <w:t>Bunbury</w:t>
            </w:r>
          </w:p>
        </w:tc>
        <w:tc>
          <w:tcPr>
            <w:tcW w:w="709" w:type="dxa"/>
          </w:tcPr>
          <w:p w14:paraId="35733619" w14:textId="77777777" w:rsidR="007F77D8" w:rsidRDefault="007F77D8" w:rsidP="00BF380F">
            <w:pPr>
              <w:keepNext/>
              <w:keepLines/>
              <w:spacing w:before="40" w:after="40"/>
              <w:jc w:val="center"/>
            </w:pPr>
            <w:r>
              <w:t>26</w:t>
            </w:r>
          </w:p>
        </w:tc>
        <w:tc>
          <w:tcPr>
            <w:tcW w:w="2977" w:type="dxa"/>
          </w:tcPr>
          <w:p w14:paraId="1FEF23BE" w14:textId="77777777" w:rsidR="007F77D8" w:rsidRDefault="007F77D8" w:rsidP="00BF380F">
            <w:pPr>
              <w:keepNext/>
              <w:keepLines/>
              <w:spacing w:before="40" w:after="40"/>
            </w:pPr>
            <w:r w:rsidRPr="00EF41CD">
              <w:t>Shepparton-Mooroopna</w:t>
            </w:r>
          </w:p>
        </w:tc>
      </w:tr>
      <w:tr w:rsidR="007F77D8" w14:paraId="2AAAFDC1" w14:textId="77777777" w:rsidTr="00BF380F">
        <w:tc>
          <w:tcPr>
            <w:tcW w:w="628" w:type="dxa"/>
            <w:shd w:val="clear" w:color="auto" w:fill="F2F2F2" w:themeFill="background1" w:themeFillShade="F2"/>
          </w:tcPr>
          <w:p w14:paraId="53DD0429" w14:textId="77777777" w:rsidR="007F77D8" w:rsidRDefault="007F77D8" w:rsidP="00BF380F">
            <w:pPr>
              <w:keepNext/>
              <w:keepLines/>
              <w:spacing w:before="40" w:after="40"/>
              <w:jc w:val="center"/>
            </w:pPr>
            <w:r>
              <w:t>10</w:t>
            </w:r>
          </w:p>
        </w:tc>
        <w:tc>
          <w:tcPr>
            <w:tcW w:w="2916" w:type="dxa"/>
            <w:shd w:val="clear" w:color="auto" w:fill="F2F2F2" w:themeFill="background1" w:themeFillShade="F2"/>
          </w:tcPr>
          <w:p w14:paraId="60F57A4D" w14:textId="77777777" w:rsidR="007F77D8" w:rsidRDefault="007F77D8" w:rsidP="00BF380F">
            <w:pPr>
              <w:keepNext/>
              <w:keepLines/>
              <w:spacing w:before="40" w:after="40"/>
            </w:pPr>
            <w:r>
              <w:t>Bundaberg</w:t>
            </w:r>
          </w:p>
        </w:tc>
        <w:tc>
          <w:tcPr>
            <w:tcW w:w="709" w:type="dxa"/>
            <w:shd w:val="clear" w:color="auto" w:fill="F2F2F2" w:themeFill="background1" w:themeFillShade="F2"/>
          </w:tcPr>
          <w:p w14:paraId="4461BAE8" w14:textId="77777777" w:rsidR="007F77D8" w:rsidRDefault="007F77D8" w:rsidP="00BF380F">
            <w:pPr>
              <w:keepNext/>
              <w:keepLines/>
              <w:spacing w:before="40" w:after="40"/>
              <w:jc w:val="center"/>
            </w:pPr>
            <w:r>
              <w:t>27</w:t>
            </w:r>
          </w:p>
        </w:tc>
        <w:tc>
          <w:tcPr>
            <w:tcW w:w="2977" w:type="dxa"/>
            <w:shd w:val="clear" w:color="auto" w:fill="F2F2F2" w:themeFill="background1" w:themeFillShade="F2"/>
          </w:tcPr>
          <w:p w14:paraId="744C3570" w14:textId="77777777" w:rsidR="007F77D8" w:rsidRDefault="007F77D8" w:rsidP="00BF380F">
            <w:pPr>
              <w:keepNext/>
              <w:keepLines/>
              <w:spacing w:before="40" w:after="40"/>
            </w:pPr>
            <w:r w:rsidRPr="00EF41CD">
              <w:t>Sunshine Coast</w:t>
            </w:r>
          </w:p>
        </w:tc>
      </w:tr>
      <w:tr w:rsidR="007F77D8" w14:paraId="4BDA0DC2" w14:textId="77777777" w:rsidTr="00BF380F">
        <w:tc>
          <w:tcPr>
            <w:tcW w:w="628" w:type="dxa"/>
          </w:tcPr>
          <w:p w14:paraId="7CD59686" w14:textId="77777777" w:rsidR="007F77D8" w:rsidRDefault="007F77D8" w:rsidP="00BF380F">
            <w:pPr>
              <w:keepNext/>
              <w:keepLines/>
              <w:spacing w:before="40" w:after="40"/>
              <w:jc w:val="center"/>
            </w:pPr>
            <w:r>
              <w:t>11</w:t>
            </w:r>
          </w:p>
        </w:tc>
        <w:tc>
          <w:tcPr>
            <w:tcW w:w="2916" w:type="dxa"/>
          </w:tcPr>
          <w:p w14:paraId="28FC8279" w14:textId="77777777" w:rsidR="007F77D8" w:rsidRDefault="007F77D8" w:rsidP="00BF380F">
            <w:pPr>
              <w:keepNext/>
              <w:keepLines/>
              <w:spacing w:before="40" w:after="40"/>
            </w:pPr>
            <w:r>
              <w:t>Cairns</w:t>
            </w:r>
          </w:p>
        </w:tc>
        <w:tc>
          <w:tcPr>
            <w:tcW w:w="709" w:type="dxa"/>
          </w:tcPr>
          <w:p w14:paraId="7A263618" w14:textId="77777777" w:rsidR="007F77D8" w:rsidRDefault="007F77D8" w:rsidP="00BF380F">
            <w:pPr>
              <w:keepNext/>
              <w:keepLines/>
              <w:spacing w:before="40" w:after="40"/>
              <w:jc w:val="center"/>
            </w:pPr>
            <w:r>
              <w:t>28</w:t>
            </w:r>
          </w:p>
        </w:tc>
        <w:tc>
          <w:tcPr>
            <w:tcW w:w="2977" w:type="dxa"/>
          </w:tcPr>
          <w:p w14:paraId="26F62444" w14:textId="77777777" w:rsidR="007F77D8" w:rsidRDefault="007F77D8" w:rsidP="00BF380F">
            <w:pPr>
              <w:keepNext/>
              <w:keepLines/>
              <w:spacing w:before="40" w:after="40"/>
            </w:pPr>
            <w:r>
              <w:t>Sydney</w:t>
            </w:r>
          </w:p>
        </w:tc>
      </w:tr>
      <w:tr w:rsidR="007F77D8" w14:paraId="78B7C4A4" w14:textId="77777777" w:rsidTr="00BF380F">
        <w:tc>
          <w:tcPr>
            <w:tcW w:w="628" w:type="dxa"/>
            <w:shd w:val="clear" w:color="auto" w:fill="F2F2F2" w:themeFill="background1" w:themeFillShade="F2"/>
          </w:tcPr>
          <w:p w14:paraId="074EA924" w14:textId="77777777" w:rsidR="007F77D8" w:rsidRDefault="007F77D8" w:rsidP="00BF380F">
            <w:pPr>
              <w:keepNext/>
              <w:keepLines/>
              <w:spacing w:before="40" w:after="40"/>
              <w:jc w:val="center"/>
            </w:pPr>
            <w:r>
              <w:t>12</w:t>
            </w:r>
          </w:p>
        </w:tc>
        <w:tc>
          <w:tcPr>
            <w:tcW w:w="2916" w:type="dxa"/>
            <w:shd w:val="clear" w:color="auto" w:fill="F2F2F2" w:themeFill="background1" w:themeFillShade="F2"/>
          </w:tcPr>
          <w:p w14:paraId="6FBB7F80" w14:textId="77777777" w:rsidR="007F77D8" w:rsidRDefault="007F77D8" w:rsidP="00BF380F">
            <w:pPr>
              <w:keepNext/>
              <w:keepLines/>
              <w:spacing w:before="40" w:after="40"/>
            </w:pPr>
            <w:r>
              <w:t>Canberra</w:t>
            </w:r>
          </w:p>
        </w:tc>
        <w:tc>
          <w:tcPr>
            <w:tcW w:w="709" w:type="dxa"/>
            <w:shd w:val="clear" w:color="auto" w:fill="F2F2F2" w:themeFill="background1" w:themeFillShade="F2"/>
          </w:tcPr>
          <w:p w14:paraId="07173EE6" w14:textId="77777777" w:rsidR="007F77D8" w:rsidRDefault="007F77D8" w:rsidP="00BF380F">
            <w:pPr>
              <w:keepNext/>
              <w:keepLines/>
              <w:spacing w:before="40" w:after="40"/>
              <w:jc w:val="center"/>
            </w:pPr>
            <w:r>
              <w:t>29</w:t>
            </w:r>
          </w:p>
        </w:tc>
        <w:tc>
          <w:tcPr>
            <w:tcW w:w="2977" w:type="dxa"/>
            <w:shd w:val="clear" w:color="auto" w:fill="F2F2F2" w:themeFill="background1" w:themeFillShade="F2"/>
          </w:tcPr>
          <w:p w14:paraId="21D4B887" w14:textId="77777777" w:rsidR="007F77D8" w:rsidRDefault="007F77D8" w:rsidP="00BF380F">
            <w:pPr>
              <w:keepNext/>
              <w:keepLines/>
              <w:spacing w:before="40" w:after="40"/>
            </w:pPr>
            <w:r w:rsidRPr="00EF41CD">
              <w:t>Traralgon-Morwell</w:t>
            </w:r>
          </w:p>
        </w:tc>
      </w:tr>
      <w:tr w:rsidR="007F77D8" w14:paraId="39FE31AD" w14:textId="77777777" w:rsidTr="00BF380F">
        <w:tc>
          <w:tcPr>
            <w:tcW w:w="628" w:type="dxa"/>
          </w:tcPr>
          <w:p w14:paraId="3CFFD139" w14:textId="77777777" w:rsidR="007F77D8" w:rsidRDefault="007F77D8" w:rsidP="00BF380F">
            <w:pPr>
              <w:keepNext/>
              <w:keepLines/>
              <w:spacing w:before="40" w:after="40"/>
              <w:jc w:val="center"/>
            </w:pPr>
            <w:r>
              <w:t>13</w:t>
            </w:r>
          </w:p>
        </w:tc>
        <w:tc>
          <w:tcPr>
            <w:tcW w:w="2916" w:type="dxa"/>
          </w:tcPr>
          <w:p w14:paraId="3D0A451C" w14:textId="77777777" w:rsidR="007F77D8" w:rsidRDefault="007F77D8" w:rsidP="00BF380F">
            <w:pPr>
              <w:keepNext/>
              <w:keepLines/>
              <w:spacing w:before="40" w:after="40"/>
            </w:pPr>
            <w:r>
              <w:t>Coffs Harbour</w:t>
            </w:r>
          </w:p>
        </w:tc>
        <w:tc>
          <w:tcPr>
            <w:tcW w:w="709" w:type="dxa"/>
          </w:tcPr>
          <w:p w14:paraId="4E0A0F00" w14:textId="77777777" w:rsidR="007F77D8" w:rsidRDefault="007F77D8" w:rsidP="00BF380F">
            <w:pPr>
              <w:keepNext/>
              <w:keepLines/>
              <w:spacing w:before="40" w:after="40"/>
              <w:jc w:val="center"/>
            </w:pPr>
            <w:r>
              <w:t>30</w:t>
            </w:r>
          </w:p>
        </w:tc>
        <w:tc>
          <w:tcPr>
            <w:tcW w:w="2977" w:type="dxa"/>
          </w:tcPr>
          <w:p w14:paraId="72EE45F1" w14:textId="77777777" w:rsidR="007F77D8" w:rsidRDefault="007F77D8" w:rsidP="00BF380F">
            <w:pPr>
              <w:keepNext/>
              <w:keepLines/>
              <w:spacing w:before="40" w:after="40"/>
            </w:pPr>
            <w:r w:rsidRPr="00EF41CD">
              <w:t>Toowoomba</w:t>
            </w:r>
          </w:p>
        </w:tc>
      </w:tr>
      <w:tr w:rsidR="007F77D8" w14:paraId="1509B9B8" w14:textId="77777777" w:rsidTr="00BF380F">
        <w:tc>
          <w:tcPr>
            <w:tcW w:w="628" w:type="dxa"/>
            <w:shd w:val="clear" w:color="auto" w:fill="F2F2F2" w:themeFill="background1" w:themeFillShade="F2"/>
          </w:tcPr>
          <w:p w14:paraId="67C48EE4" w14:textId="77777777" w:rsidR="007F77D8" w:rsidRDefault="007F77D8" w:rsidP="00BF380F">
            <w:pPr>
              <w:keepNext/>
              <w:keepLines/>
              <w:spacing w:before="40" w:after="40"/>
              <w:jc w:val="center"/>
            </w:pPr>
            <w:r>
              <w:t>14</w:t>
            </w:r>
          </w:p>
        </w:tc>
        <w:tc>
          <w:tcPr>
            <w:tcW w:w="2916" w:type="dxa"/>
            <w:shd w:val="clear" w:color="auto" w:fill="F2F2F2" w:themeFill="background1" w:themeFillShade="F2"/>
          </w:tcPr>
          <w:p w14:paraId="7AAAA0E2" w14:textId="77777777" w:rsidR="007F77D8" w:rsidRDefault="007F77D8" w:rsidP="00BF380F">
            <w:pPr>
              <w:keepNext/>
              <w:keepLines/>
              <w:spacing w:before="40" w:after="40"/>
            </w:pPr>
            <w:r>
              <w:t>Darwin</w:t>
            </w:r>
          </w:p>
        </w:tc>
        <w:tc>
          <w:tcPr>
            <w:tcW w:w="709" w:type="dxa"/>
            <w:shd w:val="clear" w:color="auto" w:fill="F2F2F2" w:themeFill="background1" w:themeFillShade="F2"/>
          </w:tcPr>
          <w:p w14:paraId="7EEAF90E" w14:textId="77777777" w:rsidR="007F77D8" w:rsidRDefault="007F77D8" w:rsidP="00BF380F">
            <w:pPr>
              <w:keepNext/>
              <w:keepLines/>
              <w:spacing w:before="40" w:after="40"/>
              <w:jc w:val="center"/>
            </w:pPr>
            <w:r>
              <w:t>31</w:t>
            </w:r>
          </w:p>
        </w:tc>
        <w:tc>
          <w:tcPr>
            <w:tcW w:w="2977" w:type="dxa"/>
            <w:shd w:val="clear" w:color="auto" w:fill="F2F2F2" w:themeFill="background1" w:themeFillShade="F2"/>
          </w:tcPr>
          <w:p w14:paraId="17619123" w14:textId="77777777" w:rsidR="007F77D8" w:rsidRDefault="007F77D8" w:rsidP="00BF380F">
            <w:pPr>
              <w:keepNext/>
              <w:keepLines/>
              <w:spacing w:before="40" w:after="40"/>
            </w:pPr>
            <w:r w:rsidRPr="00EF41CD">
              <w:t>Townsville</w:t>
            </w:r>
          </w:p>
        </w:tc>
      </w:tr>
      <w:tr w:rsidR="007F77D8" w14:paraId="29E2D640" w14:textId="77777777" w:rsidTr="00BF380F">
        <w:tc>
          <w:tcPr>
            <w:tcW w:w="628" w:type="dxa"/>
          </w:tcPr>
          <w:p w14:paraId="31267EB1" w14:textId="77777777" w:rsidR="007F77D8" w:rsidRDefault="007F77D8" w:rsidP="00BF380F">
            <w:pPr>
              <w:keepNext/>
              <w:keepLines/>
              <w:spacing w:before="40" w:after="40"/>
              <w:jc w:val="center"/>
            </w:pPr>
            <w:r>
              <w:t>15</w:t>
            </w:r>
          </w:p>
        </w:tc>
        <w:tc>
          <w:tcPr>
            <w:tcW w:w="2916" w:type="dxa"/>
          </w:tcPr>
          <w:p w14:paraId="2CD724A5" w14:textId="77777777" w:rsidR="007F77D8" w:rsidRDefault="007F77D8" w:rsidP="00BF380F">
            <w:pPr>
              <w:keepNext/>
              <w:keepLines/>
              <w:spacing w:before="40" w:after="40"/>
            </w:pPr>
            <w:r w:rsidRPr="00EF41CD">
              <w:t>Hervey Bay</w:t>
            </w:r>
          </w:p>
        </w:tc>
        <w:tc>
          <w:tcPr>
            <w:tcW w:w="709" w:type="dxa"/>
          </w:tcPr>
          <w:p w14:paraId="54A58756" w14:textId="77777777" w:rsidR="007F77D8" w:rsidRDefault="007F77D8" w:rsidP="00BF380F">
            <w:pPr>
              <w:keepNext/>
              <w:keepLines/>
              <w:spacing w:before="40" w:after="40"/>
              <w:jc w:val="center"/>
            </w:pPr>
            <w:r>
              <w:t>32</w:t>
            </w:r>
          </w:p>
        </w:tc>
        <w:tc>
          <w:tcPr>
            <w:tcW w:w="2977" w:type="dxa"/>
          </w:tcPr>
          <w:p w14:paraId="6D45CD53" w14:textId="77777777" w:rsidR="007F77D8" w:rsidRDefault="007F77D8" w:rsidP="00BF380F">
            <w:pPr>
              <w:keepNext/>
              <w:keepLines/>
              <w:spacing w:before="40" w:after="40"/>
            </w:pPr>
            <w:r w:rsidRPr="00EF41CD">
              <w:t>Tuncurry-Forster</w:t>
            </w:r>
          </w:p>
        </w:tc>
      </w:tr>
      <w:tr w:rsidR="007F77D8" w14:paraId="3D5700E4" w14:textId="77777777" w:rsidTr="00BF380F">
        <w:tc>
          <w:tcPr>
            <w:tcW w:w="628" w:type="dxa"/>
            <w:shd w:val="clear" w:color="auto" w:fill="F2F2F2" w:themeFill="background1" w:themeFillShade="F2"/>
          </w:tcPr>
          <w:p w14:paraId="7E421AB4" w14:textId="77777777" w:rsidR="007F77D8" w:rsidRDefault="007F77D8" w:rsidP="00BF380F">
            <w:pPr>
              <w:keepNext/>
              <w:keepLines/>
              <w:spacing w:before="40" w:after="40"/>
              <w:jc w:val="center"/>
            </w:pPr>
            <w:r>
              <w:t>16</w:t>
            </w:r>
          </w:p>
        </w:tc>
        <w:tc>
          <w:tcPr>
            <w:tcW w:w="2916" w:type="dxa"/>
            <w:shd w:val="clear" w:color="auto" w:fill="F2F2F2" w:themeFill="background1" w:themeFillShade="F2"/>
          </w:tcPr>
          <w:p w14:paraId="49077A34" w14:textId="77777777" w:rsidR="007F77D8" w:rsidRDefault="007F77D8" w:rsidP="00BF380F">
            <w:pPr>
              <w:keepNext/>
              <w:keepLines/>
              <w:spacing w:before="40" w:after="40"/>
            </w:pPr>
            <w:r>
              <w:t>Hobart</w:t>
            </w:r>
          </w:p>
        </w:tc>
        <w:tc>
          <w:tcPr>
            <w:tcW w:w="709" w:type="dxa"/>
            <w:shd w:val="clear" w:color="auto" w:fill="F2F2F2" w:themeFill="background1" w:themeFillShade="F2"/>
          </w:tcPr>
          <w:p w14:paraId="3EE7FED3" w14:textId="77777777" w:rsidR="007F77D8" w:rsidRDefault="007F77D8" w:rsidP="00BF380F">
            <w:pPr>
              <w:keepNext/>
              <w:keepLines/>
              <w:spacing w:before="40" w:after="40"/>
              <w:jc w:val="center"/>
            </w:pPr>
            <w:r>
              <w:t>33</w:t>
            </w:r>
          </w:p>
        </w:tc>
        <w:tc>
          <w:tcPr>
            <w:tcW w:w="2977" w:type="dxa"/>
            <w:shd w:val="clear" w:color="auto" w:fill="F2F2F2" w:themeFill="background1" w:themeFillShade="F2"/>
          </w:tcPr>
          <w:p w14:paraId="6527A7A3" w14:textId="77777777" w:rsidR="007F77D8" w:rsidRPr="00EF41CD" w:rsidRDefault="007F77D8" w:rsidP="00BF380F">
            <w:pPr>
              <w:keepNext/>
              <w:keepLines/>
              <w:spacing w:before="40" w:after="40"/>
            </w:pPr>
            <w:r w:rsidRPr="00EF41CD">
              <w:t>Wagga Wagga</w:t>
            </w:r>
          </w:p>
        </w:tc>
      </w:tr>
      <w:tr w:rsidR="007F77D8" w14:paraId="13381372" w14:textId="77777777" w:rsidTr="00BF380F">
        <w:tc>
          <w:tcPr>
            <w:tcW w:w="628" w:type="dxa"/>
          </w:tcPr>
          <w:p w14:paraId="4DC9FB27" w14:textId="77777777" w:rsidR="007F77D8" w:rsidRDefault="007F77D8" w:rsidP="00BF380F">
            <w:pPr>
              <w:keepNext/>
              <w:keepLines/>
              <w:spacing w:before="40" w:after="40"/>
              <w:jc w:val="center"/>
            </w:pPr>
            <w:r>
              <w:t>17</w:t>
            </w:r>
          </w:p>
        </w:tc>
        <w:tc>
          <w:tcPr>
            <w:tcW w:w="2916" w:type="dxa"/>
          </w:tcPr>
          <w:p w14:paraId="58B4D637" w14:textId="77777777" w:rsidR="007F77D8" w:rsidRDefault="007F77D8" w:rsidP="00BF380F">
            <w:pPr>
              <w:keepNext/>
              <w:keepLines/>
              <w:spacing w:before="40" w:after="40"/>
            </w:pPr>
            <w:r>
              <w:t>Launceston</w:t>
            </w:r>
          </w:p>
        </w:tc>
        <w:tc>
          <w:tcPr>
            <w:tcW w:w="709" w:type="dxa"/>
          </w:tcPr>
          <w:p w14:paraId="2C8AEE06" w14:textId="77777777" w:rsidR="007F77D8" w:rsidRDefault="007F77D8" w:rsidP="00BF380F">
            <w:pPr>
              <w:keepNext/>
              <w:keepLines/>
              <w:spacing w:before="40" w:after="40"/>
              <w:jc w:val="center"/>
            </w:pPr>
            <w:r>
              <w:t>34</w:t>
            </w:r>
          </w:p>
        </w:tc>
        <w:tc>
          <w:tcPr>
            <w:tcW w:w="2977" w:type="dxa"/>
          </w:tcPr>
          <w:p w14:paraId="68DA2130" w14:textId="2A351573" w:rsidR="007F77D8" w:rsidRDefault="007F77D8" w:rsidP="00BF380F">
            <w:pPr>
              <w:keepNext/>
              <w:keepLines/>
              <w:spacing w:before="40" w:after="40"/>
            </w:pPr>
            <w:r w:rsidRPr="00EF41CD">
              <w:t>War</w:t>
            </w:r>
            <w:r w:rsidR="00E21652">
              <w:t>r</w:t>
            </w:r>
            <w:r w:rsidRPr="00EF41CD">
              <w:t>nambool</w:t>
            </w:r>
          </w:p>
        </w:tc>
      </w:tr>
    </w:tbl>
    <w:p w14:paraId="550F6ACC" w14:textId="77777777" w:rsidR="00061E41" w:rsidRDefault="00061E41" w:rsidP="00BA2F3B">
      <w:pPr>
        <w:pStyle w:val="ACMASpaceaftertable"/>
      </w:pPr>
    </w:p>
    <w:p w14:paraId="2B5BFA5E" w14:textId="278A8D50" w:rsidR="00AB40D2" w:rsidRDefault="00AB40D2">
      <w:r w:rsidRPr="00C43885">
        <w:t xml:space="preserve">Attachment </w:t>
      </w:r>
      <w:r w:rsidR="001E064E">
        <w:t>A</w:t>
      </w:r>
      <w:r w:rsidR="001E064E" w:rsidRPr="00C43885">
        <w:t xml:space="preserve"> </w:t>
      </w:r>
      <w:r w:rsidRPr="00C43885">
        <w:t>provides the HCIS identifiers</w:t>
      </w:r>
      <w:r w:rsidR="00315FD7">
        <w:t xml:space="preserve"> for each area</w:t>
      </w:r>
      <w:r w:rsidR="001E064E">
        <w:t>.</w:t>
      </w:r>
      <w:r w:rsidR="00061E41">
        <w:t xml:space="preserve"> </w:t>
      </w:r>
      <w:r w:rsidR="001E064E">
        <w:t>Figure 4 is a</w:t>
      </w:r>
      <w:r w:rsidRPr="00C43885">
        <w:t>n illustrative map for these defined areas.</w:t>
      </w:r>
    </w:p>
    <w:p w14:paraId="733E74F5" w14:textId="442E47A3" w:rsidR="007B7EA1" w:rsidRDefault="007B7EA1" w:rsidP="00B25828">
      <w:pPr>
        <w:pStyle w:val="ListBullet"/>
        <w:numPr>
          <w:ilvl w:val="0"/>
          <w:numId w:val="0"/>
        </w:numPr>
        <w:spacing w:after="240"/>
        <w:rPr>
          <w:rFonts w:eastAsia="Calibri"/>
          <w:lang w:eastAsia="en-US"/>
        </w:rPr>
      </w:pPr>
      <w:r>
        <w:rPr>
          <w:rFonts w:eastAsia="Calibri"/>
          <w:lang w:eastAsia="en-US"/>
        </w:rPr>
        <w:t xml:space="preserve">The ACMA acknowledges that prospective participants may </w:t>
      </w:r>
      <w:r w:rsidR="00123129">
        <w:rPr>
          <w:rFonts w:eastAsia="Calibri"/>
          <w:lang w:eastAsia="en-US"/>
        </w:rPr>
        <w:t xml:space="preserve">have alternate views on geographic configuration and </w:t>
      </w:r>
      <w:r w:rsidR="004D27E5">
        <w:rPr>
          <w:rFonts w:eastAsia="Calibri"/>
          <w:lang w:eastAsia="en-US"/>
        </w:rPr>
        <w:t xml:space="preserve">seeks any </w:t>
      </w:r>
      <w:r>
        <w:rPr>
          <w:rFonts w:eastAsia="Calibri"/>
          <w:lang w:eastAsia="en-US"/>
        </w:rPr>
        <w:t xml:space="preserve">other views on this matter. </w:t>
      </w:r>
    </w:p>
    <w:p w14:paraId="6B982015" w14:textId="7DD9AAB5" w:rsidR="00AB40D2" w:rsidRPr="00CA4D16" w:rsidRDefault="00B25828">
      <w:pPr>
        <w:keepNext/>
        <w:keepLines/>
        <w:pBdr>
          <w:top w:val="single" w:sz="4" w:space="1" w:color="auto"/>
          <w:left w:val="single" w:sz="4" w:space="4" w:color="auto"/>
          <w:bottom w:val="single" w:sz="4" w:space="1" w:color="auto"/>
          <w:right w:val="single" w:sz="4" w:space="4" w:color="auto"/>
        </w:pBdr>
        <w:shd w:val="clear" w:color="auto" w:fill="F2F2F2" w:themeFill="background1" w:themeFillShade="F2"/>
      </w:pPr>
      <w:r>
        <w:rPr>
          <w:b/>
        </w:rPr>
        <w:t>The 26</w:t>
      </w:r>
      <w:r w:rsidR="00B07385">
        <w:rPr>
          <w:b/>
        </w:rPr>
        <w:t xml:space="preserve"> GHz</w:t>
      </w:r>
      <w:r w:rsidR="00AB40D2" w:rsidRPr="00CA4D16">
        <w:rPr>
          <w:b/>
        </w:rPr>
        <w:t xml:space="preserve"> </w:t>
      </w:r>
      <w:r>
        <w:rPr>
          <w:b/>
        </w:rPr>
        <w:t xml:space="preserve">band </w:t>
      </w:r>
      <w:r w:rsidR="00AB40D2" w:rsidRPr="00CA4D16">
        <w:rPr>
          <w:b/>
        </w:rPr>
        <w:t>lot configuration—geographic area</w:t>
      </w:r>
    </w:p>
    <w:p w14:paraId="4613A7DD" w14:textId="10EE3DBA" w:rsidR="00AB40D2" w:rsidRPr="00605D02" w:rsidRDefault="00AB40D2">
      <w:pPr>
        <w:keepNext/>
        <w:keepLines/>
        <w:pBdr>
          <w:top w:val="single" w:sz="4" w:space="1" w:color="auto"/>
          <w:left w:val="single" w:sz="4" w:space="4" w:color="auto"/>
          <w:bottom w:val="single" w:sz="4" w:space="1" w:color="auto"/>
          <w:right w:val="single" w:sz="4" w:space="4" w:color="auto"/>
        </w:pBdr>
        <w:shd w:val="clear" w:color="auto" w:fill="F2F2F2" w:themeFill="background1" w:themeFillShade="F2"/>
      </w:pPr>
      <w:r w:rsidRPr="00C43885">
        <w:t xml:space="preserve">If </w:t>
      </w:r>
      <w:r w:rsidR="00B25828">
        <w:t>the 26</w:t>
      </w:r>
      <w:r w:rsidR="00B07385">
        <w:t xml:space="preserve"> GHz</w:t>
      </w:r>
      <w:r w:rsidRPr="00C43885">
        <w:t xml:space="preserve"> </w:t>
      </w:r>
      <w:r w:rsidR="00B25828">
        <w:t xml:space="preserve">band </w:t>
      </w:r>
      <w:r w:rsidRPr="00C43885">
        <w:t xml:space="preserve">is reallocated, the ACMA proposes to offer the lots in </w:t>
      </w:r>
      <w:r w:rsidR="004C0480">
        <w:t>34</w:t>
      </w:r>
      <w:r w:rsidRPr="00C43885">
        <w:t xml:space="preserve"> </w:t>
      </w:r>
      <w:r w:rsidR="00DD541D">
        <w:t>defined areas</w:t>
      </w:r>
      <w:r w:rsidRPr="00FF3B1C">
        <w:t>, as described</w:t>
      </w:r>
      <w:r w:rsidR="00E91B82">
        <w:t xml:space="preserve"> </w:t>
      </w:r>
      <w:r w:rsidRPr="00FF3B1C">
        <w:t xml:space="preserve">in </w:t>
      </w:r>
      <w:r w:rsidRPr="00C43885">
        <w:t xml:space="preserve">Attachment </w:t>
      </w:r>
      <w:r w:rsidR="001E064E">
        <w:t>A</w:t>
      </w:r>
      <w:r w:rsidR="00EE158B">
        <w:t xml:space="preserve"> and depicted in Figure 4.</w:t>
      </w:r>
    </w:p>
    <w:p w14:paraId="6CC12624" w14:textId="05A705C6" w:rsidR="00AB40D2" w:rsidRPr="009C5A85" w:rsidRDefault="00AB40D2">
      <w:pPr>
        <w:pStyle w:val="Heading1"/>
      </w:pPr>
      <w:bookmarkStart w:id="314" w:name="_Toc293404393"/>
      <w:bookmarkStart w:id="315" w:name="_Toc408494376"/>
      <w:bookmarkStart w:id="316" w:name="_Toc408846618"/>
      <w:bookmarkStart w:id="317" w:name="_Toc409015488"/>
      <w:bookmarkStart w:id="318" w:name="_Toc409528652"/>
      <w:bookmarkStart w:id="319" w:name="_Toc409016981"/>
      <w:bookmarkStart w:id="320" w:name="_Toc496277344"/>
      <w:bookmarkStart w:id="321" w:name="_Toc496277743"/>
      <w:bookmarkStart w:id="322" w:name="_Toc496527254"/>
      <w:bookmarkStart w:id="323" w:name="_Toc496527429"/>
      <w:bookmarkStart w:id="324" w:name="_Toc8207146"/>
      <w:r w:rsidRPr="002178AF">
        <w:lastRenderedPageBreak/>
        <w:t>Next steps</w:t>
      </w:r>
      <w:bookmarkEnd w:id="314"/>
      <w:bookmarkEnd w:id="315"/>
      <w:bookmarkEnd w:id="316"/>
      <w:bookmarkEnd w:id="317"/>
      <w:bookmarkEnd w:id="318"/>
      <w:bookmarkEnd w:id="319"/>
      <w:bookmarkEnd w:id="320"/>
      <w:bookmarkEnd w:id="321"/>
      <w:bookmarkEnd w:id="322"/>
      <w:bookmarkEnd w:id="323"/>
      <w:bookmarkEnd w:id="324"/>
    </w:p>
    <w:p w14:paraId="21D522C6" w14:textId="3E7F1846" w:rsidR="00AB40D2" w:rsidRDefault="00AB40D2">
      <w:r w:rsidRPr="009C5A85">
        <w:t xml:space="preserve">The </w:t>
      </w:r>
      <w:r w:rsidRPr="00C43885">
        <w:t>notice in Attachment A invites</w:t>
      </w:r>
      <w:r w:rsidRPr="009C5A85">
        <w:t xml:space="preserve"> written comments from potentially</w:t>
      </w:r>
      <w:r>
        <w:t xml:space="preserve"> </w:t>
      </w:r>
      <w:r w:rsidRPr="009C5A85">
        <w:t xml:space="preserve">affected apparatus licensees </w:t>
      </w:r>
      <w:r>
        <w:t xml:space="preserve">and other interested stakeholders </w:t>
      </w:r>
      <w:r w:rsidRPr="009C5A85">
        <w:t xml:space="preserve">by </w:t>
      </w:r>
      <w:r w:rsidR="004708A6" w:rsidRPr="004F3847">
        <w:rPr>
          <w:b/>
        </w:rPr>
        <w:t>6 June</w:t>
      </w:r>
      <w:r w:rsidR="005419AF" w:rsidRPr="004F3847">
        <w:rPr>
          <w:b/>
        </w:rPr>
        <w:t xml:space="preserve"> </w:t>
      </w:r>
      <w:r w:rsidRPr="004F3847">
        <w:rPr>
          <w:b/>
        </w:rPr>
        <w:t>201</w:t>
      </w:r>
      <w:r w:rsidR="00693627" w:rsidRPr="004F3847">
        <w:rPr>
          <w:b/>
        </w:rPr>
        <w:t>9</w:t>
      </w:r>
      <w:r w:rsidRPr="003B30C9">
        <w:rPr>
          <w:b/>
        </w:rPr>
        <w:t xml:space="preserve"> </w:t>
      </w:r>
      <w:r w:rsidRPr="00551AFA">
        <w:t xml:space="preserve">on the ACMA’s proposal to recommend to the </w:t>
      </w:r>
      <w:r>
        <w:t>m</w:t>
      </w:r>
      <w:r w:rsidRPr="00551AFA">
        <w:t xml:space="preserve">inister </w:t>
      </w:r>
      <w:r w:rsidR="00733A1E">
        <w:t>t</w:t>
      </w:r>
      <w:r w:rsidR="000505EA">
        <w:t>hat they should</w:t>
      </w:r>
      <w:r w:rsidRPr="00551AFA">
        <w:t xml:space="preserve"> </w:t>
      </w:r>
      <w:r>
        <w:t xml:space="preserve">make a reallocation declaration for </w:t>
      </w:r>
      <w:r w:rsidRPr="00551AFA">
        <w:t xml:space="preserve">the </w:t>
      </w:r>
      <w:r w:rsidR="00B25828">
        <w:t>26</w:t>
      </w:r>
      <w:r w:rsidR="00E5127E">
        <w:t> </w:t>
      </w:r>
      <w:r>
        <w:t>GHz</w:t>
      </w:r>
      <w:r w:rsidR="00B25828">
        <w:t xml:space="preserve"> band</w:t>
      </w:r>
      <w:r w:rsidRPr="00551AFA">
        <w:t>.</w:t>
      </w:r>
      <w:r w:rsidR="00550F18">
        <w:t xml:space="preserve"> </w:t>
      </w:r>
      <w:r>
        <w:t xml:space="preserve">The </w:t>
      </w:r>
      <w:r w:rsidRPr="009C5A85">
        <w:t>ter</w:t>
      </w:r>
      <w:r>
        <w:t xml:space="preserve">ms of the draft recommendation are outlined in </w:t>
      </w:r>
      <w:r w:rsidRPr="00C04002">
        <w:t xml:space="preserve">Table </w:t>
      </w:r>
      <w:r w:rsidR="00325449">
        <w:t>6</w:t>
      </w:r>
      <w:r w:rsidRPr="00186907">
        <w:t>.</w:t>
      </w:r>
    </w:p>
    <w:p w14:paraId="1A6536CD" w14:textId="77777777" w:rsidR="0006342D" w:rsidRPr="00286210" w:rsidRDefault="0006342D" w:rsidP="001C206B">
      <w:pPr>
        <w:pStyle w:val="ACMATableHeader"/>
        <w:keepNext/>
        <w:keepLines/>
      </w:pPr>
      <w:r w:rsidRPr="007127A0">
        <w:t xml:space="preserve">Terms of the draft recommendation </w:t>
      </w:r>
    </w:p>
    <w:tbl>
      <w:tblPr>
        <w:tblW w:w="9503" w:type="dxa"/>
        <w:tblBorders>
          <w:top w:val="single" w:sz="4" w:space="0" w:color="auto"/>
          <w:bottom w:val="single" w:sz="4" w:space="0" w:color="auto"/>
          <w:insideH w:val="single" w:sz="4" w:space="0" w:color="auto"/>
        </w:tblBorders>
        <w:tblLayout w:type="fixed"/>
        <w:tblCellMar>
          <w:top w:w="85" w:type="dxa"/>
          <w:bottom w:w="85" w:type="dxa"/>
        </w:tblCellMar>
        <w:tblLook w:val="01E0" w:firstRow="1" w:lastRow="1" w:firstColumn="1" w:lastColumn="1" w:noHBand="0" w:noVBand="0"/>
        <w:tblCaption w:val="Table title to go here"/>
        <w:tblDescription w:val="Table description to go here"/>
      </w:tblPr>
      <w:tblGrid>
        <w:gridCol w:w="2615"/>
        <w:gridCol w:w="6888"/>
      </w:tblGrid>
      <w:tr w:rsidR="00D60BC3" w:rsidRPr="006D46E5" w14:paraId="14BFA61F" w14:textId="77777777" w:rsidTr="001C206B">
        <w:tc>
          <w:tcPr>
            <w:tcW w:w="2615" w:type="dxa"/>
            <w:shd w:val="clear" w:color="auto" w:fill="404040" w:themeFill="text1" w:themeFillTint="BF"/>
          </w:tcPr>
          <w:p w14:paraId="2A2F6B39" w14:textId="77777777" w:rsidR="00D60BC3" w:rsidRPr="00815498" w:rsidRDefault="00D60BC3" w:rsidP="00BA2F3B">
            <w:pPr>
              <w:pStyle w:val="TableHeading"/>
              <w:keepNext/>
              <w:keepLines/>
              <w:rPr>
                <w:rFonts w:cs="Arial"/>
                <w:b w:val="0"/>
                <w:color w:val="FFFFFF" w:themeColor="background1"/>
              </w:rPr>
            </w:pPr>
            <w:bookmarkStart w:id="325" w:name="_Hlk3471857"/>
            <w:r>
              <w:rPr>
                <w:rFonts w:cs="Arial"/>
                <w:color w:val="FFFFFF" w:themeColor="background1"/>
              </w:rPr>
              <w:t>Element of draft recommendation</w:t>
            </w:r>
          </w:p>
        </w:tc>
        <w:tc>
          <w:tcPr>
            <w:tcW w:w="6888" w:type="dxa"/>
            <w:shd w:val="clear" w:color="auto" w:fill="404040" w:themeFill="text1" w:themeFillTint="BF"/>
          </w:tcPr>
          <w:p w14:paraId="7831420B" w14:textId="77777777" w:rsidR="00D60BC3" w:rsidRPr="004F0538" w:rsidRDefault="00D60BC3" w:rsidP="00BA2F3B">
            <w:pPr>
              <w:pStyle w:val="TableHeading"/>
              <w:keepNext/>
              <w:keepLines/>
              <w:rPr>
                <w:rFonts w:cs="Arial"/>
                <w:color w:val="FFFFFF" w:themeColor="background1"/>
              </w:rPr>
            </w:pPr>
            <w:r w:rsidRPr="004F0538">
              <w:rPr>
                <w:rFonts w:cs="Arial"/>
                <w:color w:val="FFFFFF" w:themeColor="background1"/>
              </w:rPr>
              <w:t>The ACMA’s proposed recommendation</w:t>
            </w:r>
          </w:p>
        </w:tc>
      </w:tr>
      <w:tr w:rsidR="00D60BC3" w:rsidRPr="006D46E5" w14:paraId="4235C865" w14:textId="77777777" w:rsidTr="001C206B">
        <w:tc>
          <w:tcPr>
            <w:tcW w:w="2615" w:type="dxa"/>
            <w:tcBorders>
              <w:bottom w:val="single" w:sz="4" w:space="0" w:color="auto"/>
            </w:tcBorders>
          </w:tcPr>
          <w:p w14:paraId="1754AC23" w14:textId="77777777" w:rsidR="00D60BC3" w:rsidRPr="006D46E5" w:rsidRDefault="00D60BC3" w:rsidP="00BA2F3B">
            <w:pPr>
              <w:pStyle w:val="TableBody"/>
              <w:keepNext/>
              <w:keepLines/>
              <w:rPr>
                <w:rFonts w:cs="Arial"/>
              </w:rPr>
            </w:pPr>
            <w:r>
              <w:rPr>
                <w:rFonts w:cs="Arial"/>
              </w:rPr>
              <w:t>Licence type</w:t>
            </w:r>
          </w:p>
        </w:tc>
        <w:tc>
          <w:tcPr>
            <w:tcW w:w="6888" w:type="dxa"/>
            <w:tcBorders>
              <w:bottom w:val="single" w:sz="4" w:space="0" w:color="auto"/>
            </w:tcBorders>
          </w:tcPr>
          <w:p w14:paraId="265C6906" w14:textId="77777777" w:rsidR="00D60BC3" w:rsidRPr="006D46E5" w:rsidRDefault="00D60BC3" w:rsidP="00BA2F3B">
            <w:pPr>
              <w:pStyle w:val="TableBody"/>
              <w:keepNext/>
              <w:keepLines/>
              <w:rPr>
                <w:rFonts w:cs="Arial"/>
              </w:rPr>
            </w:pPr>
            <w:r>
              <w:rPr>
                <w:rFonts w:cs="Arial"/>
              </w:rPr>
              <w:t>Spectrum licences</w:t>
            </w:r>
          </w:p>
        </w:tc>
      </w:tr>
      <w:tr w:rsidR="00D60BC3" w:rsidRPr="006D46E5" w14:paraId="4F65EF3E" w14:textId="77777777" w:rsidTr="001C206B">
        <w:tc>
          <w:tcPr>
            <w:tcW w:w="2615" w:type="dxa"/>
            <w:shd w:val="clear" w:color="auto" w:fill="F2F2F2" w:themeFill="background1" w:themeFillShade="F2"/>
          </w:tcPr>
          <w:p w14:paraId="2455B3E5" w14:textId="77777777" w:rsidR="00D60BC3" w:rsidRPr="006D46E5" w:rsidRDefault="00D60BC3" w:rsidP="00BA2F3B">
            <w:pPr>
              <w:pStyle w:val="TableBody"/>
              <w:keepNext/>
              <w:keepLines/>
              <w:rPr>
                <w:rFonts w:cs="Arial"/>
              </w:rPr>
            </w:pPr>
            <w:r>
              <w:rPr>
                <w:rFonts w:cs="Arial"/>
              </w:rPr>
              <w:t>Parts of the spectrum</w:t>
            </w:r>
          </w:p>
        </w:tc>
        <w:tc>
          <w:tcPr>
            <w:tcW w:w="6888" w:type="dxa"/>
            <w:shd w:val="clear" w:color="auto" w:fill="F2F2F2" w:themeFill="background1" w:themeFillShade="F2"/>
          </w:tcPr>
          <w:p w14:paraId="06E30C92" w14:textId="0F0DB9FD" w:rsidR="00D60BC3" w:rsidRPr="006D46E5" w:rsidRDefault="00D60BC3" w:rsidP="00BA2F3B">
            <w:pPr>
              <w:pStyle w:val="TableBody"/>
              <w:keepNext/>
              <w:keepLines/>
              <w:rPr>
                <w:rFonts w:cs="Arial"/>
              </w:rPr>
            </w:pPr>
            <w:r>
              <w:rPr>
                <w:rFonts w:cs="Arial"/>
              </w:rPr>
              <w:t xml:space="preserve">25.1–27.5 GHz in </w:t>
            </w:r>
            <w:r w:rsidR="00B458C0">
              <w:rPr>
                <w:rFonts w:cs="Arial"/>
              </w:rPr>
              <w:t xml:space="preserve">34 specified </w:t>
            </w:r>
            <w:r w:rsidR="005F482A">
              <w:rPr>
                <w:rFonts w:cs="Arial"/>
              </w:rPr>
              <w:t>cities</w:t>
            </w:r>
            <w:r>
              <w:rPr>
                <w:rFonts w:cs="Arial"/>
              </w:rPr>
              <w:t xml:space="preserve"> and regional </w:t>
            </w:r>
            <w:r w:rsidR="0012430D">
              <w:rPr>
                <w:rFonts w:cs="Arial"/>
              </w:rPr>
              <w:t>centres</w:t>
            </w:r>
          </w:p>
        </w:tc>
      </w:tr>
      <w:tr w:rsidR="00D60BC3" w:rsidRPr="006D46E5" w14:paraId="3BCCBABB" w14:textId="77777777" w:rsidTr="001C206B">
        <w:tc>
          <w:tcPr>
            <w:tcW w:w="2615" w:type="dxa"/>
            <w:tcBorders>
              <w:bottom w:val="single" w:sz="4" w:space="0" w:color="auto"/>
            </w:tcBorders>
          </w:tcPr>
          <w:p w14:paraId="1497EBD4" w14:textId="77777777" w:rsidR="00D60BC3" w:rsidRPr="006D46E5" w:rsidRDefault="00D60BC3" w:rsidP="00BA2F3B">
            <w:pPr>
              <w:pStyle w:val="TableBody"/>
              <w:keepNext/>
              <w:keepLines/>
              <w:rPr>
                <w:rFonts w:cs="Arial"/>
              </w:rPr>
            </w:pPr>
            <w:r>
              <w:rPr>
                <w:rFonts w:cs="Arial"/>
              </w:rPr>
              <w:t>Reallocation period</w:t>
            </w:r>
          </w:p>
        </w:tc>
        <w:tc>
          <w:tcPr>
            <w:tcW w:w="6888" w:type="dxa"/>
            <w:tcBorders>
              <w:bottom w:val="single" w:sz="4" w:space="0" w:color="auto"/>
            </w:tcBorders>
          </w:tcPr>
          <w:p w14:paraId="233ED060" w14:textId="5AE09660" w:rsidR="00D60BC3" w:rsidRPr="006D46E5" w:rsidRDefault="00D60BC3" w:rsidP="00BA2F3B">
            <w:pPr>
              <w:pStyle w:val="TableBody"/>
              <w:keepNext/>
              <w:keepLines/>
              <w:rPr>
                <w:rFonts w:cs="Arial"/>
              </w:rPr>
            </w:pPr>
            <w:r>
              <w:rPr>
                <w:rFonts w:cs="Arial"/>
              </w:rPr>
              <w:t>Two</w:t>
            </w:r>
            <w:r w:rsidR="00D47AA1">
              <w:rPr>
                <w:rFonts w:cs="Arial"/>
              </w:rPr>
              <w:t>-</w:t>
            </w:r>
            <w:r w:rsidR="001C206B">
              <w:rPr>
                <w:rFonts w:cs="Arial"/>
              </w:rPr>
              <w:t>and</w:t>
            </w:r>
            <w:r w:rsidR="00D47AA1">
              <w:rPr>
                <w:rFonts w:cs="Arial"/>
              </w:rPr>
              <w:t>-</w:t>
            </w:r>
            <w:r w:rsidR="001C206B">
              <w:rPr>
                <w:rFonts w:cs="Arial"/>
              </w:rPr>
              <w:t>a</w:t>
            </w:r>
            <w:r w:rsidR="00D47AA1">
              <w:rPr>
                <w:rFonts w:cs="Arial"/>
              </w:rPr>
              <w:t>-</w:t>
            </w:r>
            <w:r w:rsidR="001C206B">
              <w:rPr>
                <w:rFonts w:cs="Arial"/>
              </w:rPr>
              <w:t xml:space="preserve">half </w:t>
            </w:r>
            <w:r>
              <w:rPr>
                <w:rFonts w:cs="Arial"/>
              </w:rPr>
              <w:t>years</w:t>
            </w:r>
          </w:p>
        </w:tc>
      </w:tr>
      <w:tr w:rsidR="00D60BC3" w:rsidRPr="006D46E5" w14:paraId="38660283" w14:textId="77777777" w:rsidTr="001C206B">
        <w:tc>
          <w:tcPr>
            <w:tcW w:w="2615" w:type="dxa"/>
            <w:shd w:val="clear" w:color="auto" w:fill="F2F2F2" w:themeFill="background1" w:themeFillShade="F2"/>
          </w:tcPr>
          <w:p w14:paraId="38247931" w14:textId="77777777" w:rsidR="00D60BC3" w:rsidRPr="006D46E5" w:rsidRDefault="00D60BC3" w:rsidP="00BA2F3B">
            <w:pPr>
              <w:pStyle w:val="TableBody"/>
              <w:keepNext/>
              <w:keepLines/>
              <w:rPr>
                <w:rFonts w:cs="Arial"/>
              </w:rPr>
            </w:pPr>
            <w:r>
              <w:rPr>
                <w:rFonts w:cs="Arial"/>
              </w:rPr>
              <w:t>Reallocation deadline</w:t>
            </w:r>
          </w:p>
        </w:tc>
        <w:tc>
          <w:tcPr>
            <w:tcW w:w="6888" w:type="dxa"/>
            <w:shd w:val="clear" w:color="auto" w:fill="F2F2F2" w:themeFill="background1" w:themeFillShade="F2"/>
          </w:tcPr>
          <w:p w14:paraId="6A4A1DCC" w14:textId="77777777" w:rsidR="00D60BC3" w:rsidRPr="006D46E5" w:rsidRDefault="00D60BC3" w:rsidP="00BA2F3B">
            <w:pPr>
              <w:pStyle w:val="TableBody"/>
              <w:keepNext/>
              <w:keepLines/>
              <w:rPr>
                <w:rFonts w:cs="Arial"/>
              </w:rPr>
            </w:pPr>
            <w:r>
              <w:rPr>
                <w:rFonts w:cs="Arial"/>
              </w:rPr>
              <w:t>12 months before the end of the reallocation period</w:t>
            </w:r>
          </w:p>
        </w:tc>
      </w:tr>
      <w:bookmarkEnd w:id="325"/>
    </w:tbl>
    <w:p w14:paraId="0C570ECE" w14:textId="77777777" w:rsidR="00D60BC3" w:rsidRPr="004602C1" w:rsidRDefault="00D60BC3">
      <w:pPr>
        <w:pStyle w:val="ACMASpaceaftertable"/>
      </w:pPr>
    </w:p>
    <w:p w14:paraId="5083A7A3" w14:textId="700B86B3" w:rsidR="00AB40D2" w:rsidRDefault="00AB40D2">
      <w:r w:rsidRPr="009C5A85">
        <w:t xml:space="preserve">At the end of the consultation period, the ACMA will </w:t>
      </w:r>
      <w:r>
        <w:t>consider</w:t>
      </w:r>
      <w:r w:rsidRPr="009C5A85">
        <w:t xml:space="preserve"> comments </w:t>
      </w:r>
      <w:r>
        <w:t xml:space="preserve">received </w:t>
      </w:r>
      <w:r w:rsidRPr="009C5A85">
        <w:t>in preparing</w:t>
      </w:r>
      <w:r>
        <w:t xml:space="preserve"> </w:t>
      </w:r>
      <w:r w:rsidR="00687505">
        <w:t>any</w:t>
      </w:r>
      <w:r>
        <w:t xml:space="preserve"> </w:t>
      </w:r>
      <w:r w:rsidRPr="009C5A85">
        <w:t xml:space="preserve">recommendation to the </w:t>
      </w:r>
      <w:r>
        <w:t>m</w:t>
      </w:r>
      <w:r w:rsidRPr="009C5A85">
        <w:t xml:space="preserve">inister under section 153F of </w:t>
      </w:r>
      <w:r>
        <w:t>the</w:t>
      </w:r>
      <w:r w:rsidRPr="009C5A85">
        <w:t xml:space="preserve"> Act.</w:t>
      </w:r>
    </w:p>
    <w:p w14:paraId="0199429A" w14:textId="7AD3EA11" w:rsidR="00AB40D2" w:rsidRDefault="00AB40D2">
      <w:r w:rsidRPr="009C5A85">
        <w:t xml:space="preserve">In making </w:t>
      </w:r>
      <w:r>
        <w:t>a reallocation</w:t>
      </w:r>
      <w:r w:rsidRPr="009C5A85">
        <w:t xml:space="preserve"> declaration, the </w:t>
      </w:r>
      <w:r>
        <w:t>m</w:t>
      </w:r>
      <w:r w:rsidRPr="009C5A85">
        <w:t xml:space="preserve">inister must have regard to the </w:t>
      </w:r>
      <w:r>
        <w:t xml:space="preserve">ACMA’s </w:t>
      </w:r>
      <w:r w:rsidRPr="009C5A85">
        <w:t xml:space="preserve">recommendation. The </w:t>
      </w:r>
      <w:r>
        <w:t>m</w:t>
      </w:r>
      <w:r w:rsidRPr="009C5A85">
        <w:t xml:space="preserve">inister is only able to make a declaration within 180 days </w:t>
      </w:r>
      <w:r w:rsidR="00414EF9">
        <w:t>of</w:t>
      </w:r>
      <w:r w:rsidRPr="009C5A85">
        <w:t xml:space="preserve"> receiving </w:t>
      </w:r>
      <w:r w:rsidRPr="009C5A85" w:rsidDel="000518CB">
        <w:t>the</w:t>
      </w:r>
      <w:r w:rsidRPr="009C5A85">
        <w:t xml:space="preserve"> recommendation from the ACMA.</w:t>
      </w:r>
    </w:p>
    <w:p w14:paraId="68BB602D" w14:textId="15F2A856" w:rsidR="00AB40D2" w:rsidRDefault="00AB40D2">
      <w:r w:rsidRPr="007A1214">
        <w:t xml:space="preserve">If the </w:t>
      </w:r>
      <w:r>
        <w:t>m</w:t>
      </w:r>
      <w:r w:rsidRPr="007A1214">
        <w:t xml:space="preserve">inister </w:t>
      </w:r>
      <w:r>
        <w:t>decides</w:t>
      </w:r>
      <w:r w:rsidRPr="007A1214">
        <w:t xml:space="preserve"> to make a spectrum reallocation declaration, the ACMA w</w:t>
      </w:r>
      <w:r>
        <w:t>ould</w:t>
      </w:r>
      <w:r w:rsidRPr="007A1214">
        <w:t xml:space="preserve"> </w:t>
      </w:r>
      <w:r>
        <w:t>commence a process</w:t>
      </w:r>
      <w:r w:rsidRPr="007A1214">
        <w:t xml:space="preserve"> </w:t>
      </w:r>
      <w:r w:rsidR="00E81783">
        <w:t>to allocate</w:t>
      </w:r>
      <w:r>
        <w:t xml:space="preserve"> spectrum licences</w:t>
      </w:r>
      <w:r w:rsidRPr="007A1214">
        <w:t>. At that time, the ACMA w</w:t>
      </w:r>
      <w:r>
        <w:t>ould</w:t>
      </w:r>
      <w:r w:rsidRPr="007A1214">
        <w:t xml:space="preserve"> release further information about the process</w:t>
      </w:r>
      <w:r>
        <w:t xml:space="preserve"> and would undertake further consultation on draft instruments to support the </w:t>
      </w:r>
      <w:r w:rsidR="00E81783">
        <w:t>allocation</w:t>
      </w:r>
      <w:r>
        <w:t xml:space="preserve">. This would include a marketing plan prepared under section 39A of the Act and </w:t>
      </w:r>
      <w:r w:rsidR="00060A23">
        <w:t>allocation</w:t>
      </w:r>
      <w:r>
        <w:t xml:space="preserve"> </w:t>
      </w:r>
      <w:r w:rsidR="007304BD">
        <w:t>procedures</w:t>
      </w:r>
      <w:r>
        <w:t xml:space="preserve"> determined under section</w:t>
      </w:r>
      <w:r w:rsidR="00424E6D">
        <w:t> </w:t>
      </w:r>
      <w:r>
        <w:t>60.</w:t>
      </w:r>
      <w:r w:rsidR="006D0670">
        <w:t xml:space="preserve"> The ACMA would also convene a technical liaison group to </w:t>
      </w:r>
      <w:r w:rsidR="007900C1">
        <w:t xml:space="preserve">provide information to assist in the </w:t>
      </w:r>
      <w:r w:rsidR="006D0670">
        <w:t>develop</w:t>
      </w:r>
      <w:r w:rsidR="007900C1">
        <w:t>ment of</w:t>
      </w:r>
      <w:r w:rsidR="006D0670">
        <w:t xml:space="preserve"> the technical framework for the 26 GHz band.</w:t>
      </w:r>
    </w:p>
    <w:p w14:paraId="0F1BE8EF" w14:textId="71709059" w:rsidR="00AB40D2" w:rsidRDefault="006D0670">
      <w:r>
        <w:t>Subject to the minister making a spectrum reallocation declaration</w:t>
      </w:r>
      <w:r w:rsidR="00A55A90">
        <w:t>,</w:t>
      </w:r>
      <w:r w:rsidR="00AB40D2">
        <w:t xml:space="preserve"> the ACMA is planning to commence an </w:t>
      </w:r>
      <w:r w:rsidR="00C75E42">
        <w:t>allocation process</w:t>
      </w:r>
      <w:r w:rsidR="007900C1">
        <w:t xml:space="preserve"> </w:t>
      </w:r>
      <w:r w:rsidR="00AB40D2">
        <w:t xml:space="preserve">in </w:t>
      </w:r>
      <w:r w:rsidR="00E81783">
        <w:t>Q3</w:t>
      </w:r>
      <w:r w:rsidR="001C206B">
        <w:t>/</w:t>
      </w:r>
      <w:r w:rsidR="00E81783">
        <w:t xml:space="preserve">Q4 </w:t>
      </w:r>
      <w:r w:rsidR="0012430D">
        <w:t>2020</w:t>
      </w:r>
      <w:r w:rsidR="00AB40D2">
        <w:t xml:space="preserve">. Consultation on the </w:t>
      </w:r>
      <w:r w:rsidR="0010369E">
        <w:t>allocation</w:t>
      </w:r>
      <w:r w:rsidR="00AB40D2">
        <w:t xml:space="preserve"> rules, marketing plan and other technical instruments would be undertaken in accordance with this timing.</w:t>
      </w:r>
    </w:p>
    <w:p w14:paraId="7A1CE27C" w14:textId="48FA6107" w:rsidR="008C7CEA" w:rsidRDefault="00AE53FB" w:rsidP="001C206B">
      <w:r>
        <w:t xml:space="preserve">Table 7 </w:t>
      </w:r>
      <w:r w:rsidR="00F753EF">
        <w:t xml:space="preserve">below shows an indicative timetable for the major milestones </w:t>
      </w:r>
      <w:r w:rsidR="00E81783">
        <w:t xml:space="preserve">relevant to the allocation of </w:t>
      </w:r>
      <w:r w:rsidR="00B25828">
        <w:t>the 26</w:t>
      </w:r>
      <w:r w:rsidR="00E81783">
        <w:t xml:space="preserve"> GHz</w:t>
      </w:r>
      <w:r w:rsidR="00B25828">
        <w:t xml:space="preserve"> band</w:t>
      </w:r>
      <w:r w:rsidR="00F753EF">
        <w:t>.</w:t>
      </w:r>
    </w:p>
    <w:p w14:paraId="44153C52" w14:textId="3F90D901" w:rsidR="00285C3D" w:rsidRDefault="00285C3D" w:rsidP="001C206B">
      <w:pPr>
        <w:pStyle w:val="ACMATableHeader"/>
        <w:keepNext/>
        <w:keepLines/>
      </w:pPr>
      <w:bookmarkStart w:id="326" w:name="_Ref4150533"/>
      <w:r>
        <w:lastRenderedPageBreak/>
        <w:t>Indicative timetable</w:t>
      </w:r>
      <w:bookmarkEnd w:id="326"/>
    </w:p>
    <w:tbl>
      <w:tblPr>
        <w:tblW w:w="9503" w:type="dxa"/>
        <w:tblBorders>
          <w:top w:val="single" w:sz="4" w:space="0" w:color="auto"/>
          <w:bottom w:val="single" w:sz="4" w:space="0" w:color="auto"/>
          <w:insideH w:val="single" w:sz="4" w:space="0" w:color="auto"/>
        </w:tblBorders>
        <w:tblLayout w:type="fixed"/>
        <w:tblCellMar>
          <w:top w:w="85" w:type="dxa"/>
          <w:bottom w:w="85" w:type="dxa"/>
        </w:tblCellMar>
        <w:tblLook w:val="01E0" w:firstRow="1" w:lastRow="1" w:firstColumn="1" w:lastColumn="1" w:noHBand="0" w:noVBand="0"/>
        <w:tblCaption w:val="Table title to go here"/>
        <w:tblDescription w:val="Table description to go here"/>
      </w:tblPr>
      <w:tblGrid>
        <w:gridCol w:w="7513"/>
        <w:gridCol w:w="1990"/>
      </w:tblGrid>
      <w:tr w:rsidR="004F0538" w:rsidRPr="006D46E5" w14:paraId="336124BA" w14:textId="77777777" w:rsidTr="001C206B">
        <w:tc>
          <w:tcPr>
            <w:tcW w:w="7513" w:type="dxa"/>
            <w:shd w:val="clear" w:color="auto" w:fill="404040" w:themeFill="text1" w:themeFillTint="BF"/>
          </w:tcPr>
          <w:p w14:paraId="6C94B059" w14:textId="4FC58250" w:rsidR="004F0538" w:rsidRPr="004F0538" w:rsidRDefault="004F0538" w:rsidP="001C206B">
            <w:pPr>
              <w:pStyle w:val="TableHeading"/>
              <w:keepNext/>
              <w:keepLines/>
              <w:rPr>
                <w:rFonts w:cs="Arial"/>
                <w:color w:val="FFFFFF" w:themeColor="background1"/>
              </w:rPr>
            </w:pPr>
            <w:r w:rsidRPr="004F0538">
              <w:rPr>
                <w:rFonts w:cs="Arial"/>
                <w:color w:val="FFFFFF" w:themeColor="background1"/>
              </w:rPr>
              <w:t>Action</w:t>
            </w:r>
          </w:p>
        </w:tc>
        <w:tc>
          <w:tcPr>
            <w:tcW w:w="1990" w:type="dxa"/>
            <w:shd w:val="clear" w:color="auto" w:fill="404040" w:themeFill="text1" w:themeFillTint="BF"/>
          </w:tcPr>
          <w:p w14:paraId="1F3E481C" w14:textId="6DD8CDC9" w:rsidR="004F0538" w:rsidRPr="004F0538" w:rsidRDefault="004F0538" w:rsidP="001C206B">
            <w:pPr>
              <w:pStyle w:val="TableHeading"/>
              <w:keepNext/>
              <w:keepLines/>
              <w:rPr>
                <w:rFonts w:cs="Arial"/>
                <w:color w:val="FFFFFF" w:themeColor="background1"/>
              </w:rPr>
            </w:pPr>
            <w:r>
              <w:rPr>
                <w:rFonts w:cs="Arial"/>
                <w:color w:val="FFFFFF" w:themeColor="background1"/>
              </w:rPr>
              <w:t>Date</w:t>
            </w:r>
          </w:p>
        </w:tc>
      </w:tr>
      <w:tr w:rsidR="004F0538" w:rsidRPr="006D46E5" w14:paraId="295EAE4C" w14:textId="77777777" w:rsidTr="001C206B">
        <w:tc>
          <w:tcPr>
            <w:tcW w:w="7513" w:type="dxa"/>
            <w:tcBorders>
              <w:bottom w:val="single" w:sz="4" w:space="0" w:color="auto"/>
            </w:tcBorders>
          </w:tcPr>
          <w:p w14:paraId="30CAC325" w14:textId="1EA0D95D" w:rsidR="004F0538" w:rsidRPr="006D46E5" w:rsidRDefault="004F0538" w:rsidP="001C206B">
            <w:pPr>
              <w:pStyle w:val="TableBody"/>
              <w:keepNext/>
              <w:keepLines/>
              <w:rPr>
                <w:rFonts w:cs="Arial"/>
              </w:rPr>
            </w:pPr>
            <w:r w:rsidRPr="004F0538">
              <w:rPr>
                <w:rFonts w:cs="Arial"/>
              </w:rPr>
              <w:t xml:space="preserve">Consult on a draft recommendation to the </w:t>
            </w:r>
            <w:r w:rsidR="00CA4D7D">
              <w:rPr>
                <w:rFonts w:cs="Arial"/>
              </w:rPr>
              <w:t>m</w:t>
            </w:r>
            <w:r w:rsidRPr="004F0538">
              <w:rPr>
                <w:rFonts w:cs="Arial"/>
              </w:rPr>
              <w:t xml:space="preserve">inister on potential reallocation of </w:t>
            </w:r>
            <w:r w:rsidR="00B25828">
              <w:rPr>
                <w:rFonts w:cs="Arial"/>
              </w:rPr>
              <w:t>the 26</w:t>
            </w:r>
            <w:r w:rsidRPr="004F0538">
              <w:rPr>
                <w:rFonts w:cs="Arial"/>
              </w:rPr>
              <w:t xml:space="preserve"> GHz </w:t>
            </w:r>
            <w:r w:rsidR="00B25828">
              <w:rPr>
                <w:rFonts w:cs="Arial"/>
              </w:rPr>
              <w:t xml:space="preserve">band </w:t>
            </w:r>
            <w:r w:rsidRPr="004F0538">
              <w:rPr>
                <w:rFonts w:cs="Arial"/>
              </w:rPr>
              <w:t>within defined areas (in accordance with section 153G of the Act)</w:t>
            </w:r>
          </w:p>
        </w:tc>
        <w:tc>
          <w:tcPr>
            <w:tcW w:w="1990" w:type="dxa"/>
            <w:tcBorders>
              <w:bottom w:val="single" w:sz="4" w:space="0" w:color="auto"/>
            </w:tcBorders>
          </w:tcPr>
          <w:p w14:paraId="6DAD3888" w14:textId="5034ABB5" w:rsidR="004F0538" w:rsidRPr="006D46E5" w:rsidRDefault="004F0538" w:rsidP="001C206B">
            <w:pPr>
              <w:pStyle w:val="TableBody"/>
              <w:keepNext/>
              <w:keepLines/>
              <w:rPr>
                <w:rFonts w:cs="Arial"/>
              </w:rPr>
            </w:pPr>
            <w:r w:rsidRPr="004F0538">
              <w:rPr>
                <w:rFonts w:cs="Arial"/>
              </w:rPr>
              <w:t>Q2 2019</w:t>
            </w:r>
          </w:p>
        </w:tc>
      </w:tr>
      <w:tr w:rsidR="004F0538" w:rsidRPr="006D46E5" w14:paraId="7F996D07" w14:textId="77777777" w:rsidTr="001C206B">
        <w:tc>
          <w:tcPr>
            <w:tcW w:w="7513" w:type="dxa"/>
            <w:shd w:val="clear" w:color="auto" w:fill="F2F2F2" w:themeFill="background1" w:themeFillShade="F2"/>
          </w:tcPr>
          <w:p w14:paraId="30515AE0" w14:textId="1BBF8560" w:rsidR="004F0538" w:rsidRPr="006D46E5" w:rsidRDefault="004F0538" w:rsidP="001C206B">
            <w:pPr>
              <w:pStyle w:val="TableBody"/>
              <w:keepNext/>
              <w:keepLines/>
              <w:rPr>
                <w:rFonts w:cs="Arial"/>
              </w:rPr>
            </w:pPr>
            <w:r w:rsidRPr="004F0538">
              <w:rPr>
                <w:rFonts w:cs="Arial"/>
              </w:rPr>
              <w:t xml:space="preserve">Subject to the outcome of consultation, write to the </w:t>
            </w:r>
            <w:r w:rsidR="00CA4D7D">
              <w:rPr>
                <w:rFonts w:cs="Arial"/>
              </w:rPr>
              <w:t>m</w:t>
            </w:r>
            <w:r w:rsidRPr="004F0538">
              <w:rPr>
                <w:rFonts w:cs="Arial"/>
              </w:rPr>
              <w:t xml:space="preserve">inister recommending reallocation of the </w:t>
            </w:r>
            <w:r w:rsidR="00B25828">
              <w:rPr>
                <w:rFonts w:cs="Arial"/>
              </w:rPr>
              <w:t>26</w:t>
            </w:r>
            <w:r w:rsidRPr="004F0538">
              <w:rPr>
                <w:rFonts w:cs="Arial"/>
              </w:rPr>
              <w:t xml:space="preserve"> GHz band within defined areas (in accordance with section 153F of the Act)</w:t>
            </w:r>
          </w:p>
        </w:tc>
        <w:tc>
          <w:tcPr>
            <w:tcW w:w="1990" w:type="dxa"/>
            <w:shd w:val="clear" w:color="auto" w:fill="F2F2F2" w:themeFill="background1" w:themeFillShade="F2"/>
          </w:tcPr>
          <w:p w14:paraId="3C17FEDE" w14:textId="52979182" w:rsidR="004F0538" w:rsidRPr="006D46E5" w:rsidRDefault="004F0538" w:rsidP="001C206B">
            <w:pPr>
              <w:pStyle w:val="TableBody"/>
              <w:keepNext/>
              <w:keepLines/>
              <w:rPr>
                <w:rFonts w:cs="Arial"/>
              </w:rPr>
            </w:pPr>
            <w:r w:rsidRPr="00733809">
              <w:rPr>
                <w:rFonts w:cs="Arial"/>
              </w:rPr>
              <w:t>Q3 2019</w:t>
            </w:r>
          </w:p>
        </w:tc>
      </w:tr>
      <w:tr w:rsidR="004F0538" w:rsidRPr="006D46E5" w14:paraId="51B09128" w14:textId="77777777" w:rsidTr="001C206B">
        <w:tc>
          <w:tcPr>
            <w:tcW w:w="7513" w:type="dxa"/>
            <w:tcBorders>
              <w:bottom w:val="single" w:sz="4" w:space="0" w:color="auto"/>
            </w:tcBorders>
          </w:tcPr>
          <w:p w14:paraId="3BF89257" w14:textId="5A99B096" w:rsidR="004F0538" w:rsidRPr="006D46E5" w:rsidRDefault="004F0538" w:rsidP="001C206B">
            <w:pPr>
              <w:pStyle w:val="TableBody"/>
              <w:keepNext/>
              <w:keepLines/>
              <w:rPr>
                <w:rFonts w:cs="Arial"/>
              </w:rPr>
            </w:pPr>
            <w:r w:rsidRPr="004F0538">
              <w:rPr>
                <w:rFonts w:cs="Arial"/>
              </w:rPr>
              <w:t>Commence technical liaison group (TLG) to develop spectrum licence technical framework</w:t>
            </w:r>
            <w:r w:rsidR="000202F0">
              <w:rPr>
                <w:rFonts w:cs="Arial"/>
              </w:rPr>
              <w:t>—</w:t>
            </w:r>
            <w:r w:rsidRPr="004F0538">
              <w:rPr>
                <w:rFonts w:cs="Arial"/>
              </w:rPr>
              <w:t>note 1</w:t>
            </w:r>
          </w:p>
        </w:tc>
        <w:tc>
          <w:tcPr>
            <w:tcW w:w="1990" w:type="dxa"/>
            <w:tcBorders>
              <w:bottom w:val="single" w:sz="4" w:space="0" w:color="auto"/>
            </w:tcBorders>
          </w:tcPr>
          <w:p w14:paraId="4A12E38E" w14:textId="25B61BDC" w:rsidR="004F0538" w:rsidRPr="006D46E5" w:rsidRDefault="004F0538" w:rsidP="001C206B">
            <w:pPr>
              <w:pStyle w:val="TableBody"/>
              <w:keepNext/>
              <w:keepLines/>
              <w:rPr>
                <w:rFonts w:cs="Arial"/>
              </w:rPr>
            </w:pPr>
            <w:r>
              <w:t>Q3 2019</w:t>
            </w:r>
          </w:p>
        </w:tc>
      </w:tr>
      <w:tr w:rsidR="004F0538" w:rsidRPr="006D46E5" w14:paraId="63A1FA0F" w14:textId="77777777" w:rsidTr="001C206B">
        <w:tc>
          <w:tcPr>
            <w:tcW w:w="7513" w:type="dxa"/>
            <w:shd w:val="clear" w:color="auto" w:fill="F2F2F2" w:themeFill="background1" w:themeFillShade="F2"/>
          </w:tcPr>
          <w:p w14:paraId="7DBD8BD0" w14:textId="551857F6" w:rsidR="004F0538" w:rsidRPr="006D46E5" w:rsidRDefault="00981EE2" w:rsidP="001C206B">
            <w:pPr>
              <w:pStyle w:val="TableBody"/>
              <w:keepNext/>
              <w:keepLines/>
              <w:rPr>
                <w:rFonts w:cs="Arial"/>
              </w:rPr>
            </w:pPr>
            <w:r w:rsidRPr="00981EE2">
              <w:rPr>
                <w:rFonts w:cs="Arial"/>
              </w:rPr>
              <w:t xml:space="preserve">Release for public comment draft </w:t>
            </w:r>
            <w:r w:rsidR="0010369E">
              <w:rPr>
                <w:rFonts w:cs="Arial"/>
              </w:rPr>
              <w:t>alloc</w:t>
            </w:r>
            <w:r w:rsidR="0086469E">
              <w:rPr>
                <w:rFonts w:cs="Arial"/>
              </w:rPr>
              <w:t>at</w:t>
            </w:r>
            <w:r w:rsidR="0010369E">
              <w:rPr>
                <w:rFonts w:cs="Arial"/>
              </w:rPr>
              <w:t>ion</w:t>
            </w:r>
            <w:r w:rsidR="0086469E">
              <w:rPr>
                <w:rFonts w:cs="Arial"/>
              </w:rPr>
              <w:t xml:space="preserve"> </w:t>
            </w:r>
            <w:r w:rsidRPr="00981EE2">
              <w:rPr>
                <w:rFonts w:cs="Arial"/>
              </w:rPr>
              <w:t>rules, marketing plan and other technical instruments for spectrum licensing</w:t>
            </w:r>
            <w:r w:rsidR="000202F0">
              <w:rPr>
                <w:rFonts w:cs="Arial"/>
              </w:rPr>
              <w:t>—</w:t>
            </w:r>
            <w:r w:rsidRPr="00981EE2">
              <w:rPr>
                <w:rFonts w:cs="Arial"/>
              </w:rPr>
              <w:t>note 1</w:t>
            </w:r>
          </w:p>
        </w:tc>
        <w:tc>
          <w:tcPr>
            <w:tcW w:w="1990" w:type="dxa"/>
            <w:shd w:val="clear" w:color="auto" w:fill="F2F2F2" w:themeFill="background1" w:themeFillShade="F2"/>
          </w:tcPr>
          <w:p w14:paraId="6BA9940F" w14:textId="0FAC3123" w:rsidR="004F0538" w:rsidRPr="006D46E5" w:rsidRDefault="00BE2DA0" w:rsidP="001C206B">
            <w:pPr>
              <w:pStyle w:val="TableBody"/>
              <w:keepNext/>
              <w:keepLines/>
              <w:rPr>
                <w:rFonts w:cs="Arial"/>
              </w:rPr>
            </w:pPr>
            <w:r>
              <w:rPr>
                <w:rFonts w:cs="Arial"/>
              </w:rPr>
              <w:t>Q1/Q2 2020</w:t>
            </w:r>
          </w:p>
        </w:tc>
      </w:tr>
      <w:tr w:rsidR="004F0538" w:rsidRPr="006D46E5" w14:paraId="38076CB3" w14:textId="77777777" w:rsidTr="001C206B">
        <w:tc>
          <w:tcPr>
            <w:tcW w:w="7513" w:type="dxa"/>
            <w:shd w:val="clear" w:color="auto" w:fill="auto"/>
          </w:tcPr>
          <w:p w14:paraId="4725D63F" w14:textId="21F360AB" w:rsidR="004F0538" w:rsidRPr="006D46E5" w:rsidRDefault="00981EE2" w:rsidP="001C206B">
            <w:pPr>
              <w:pStyle w:val="TableBody"/>
              <w:keepNext/>
              <w:keepLines/>
              <w:rPr>
                <w:rFonts w:cs="Arial"/>
              </w:rPr>
            </w:pPr>
            <w:r w:rsidRPr="00981EE2">
              <w:rPr>
                <w:rFonts w:cs="Arial"/>
              </w:rPr>
              <w:t xml:space="preserve">Calls for applications to participate in the </w:t>
            </w:r>
            <w:r w:rsidR="00C75E42">
              <w:rPr>
                <w:rFonts w:cs="Arial"/>
              </w:rPr>
              <w:t>allocation process</w:t>
            </w:r>
            <w:r w:rsidR="007900C1" w:rsidRPr="00981EE2">
              <w:rPr>
                <w:rFonts w:cs="Arial"/>
              </w:rPr>
              <w:t xml:space="preserve"> </w:t>
            </w:r>
            <w:r w:rsidRPr="00981EE2">
              <w:rPr>
                <w:rFonts w:cs="Arial"/>
              </w:rPr>
              <w:t>and release the applicant information package</w:t>
            </w:r>
            <w:r w:rsidR="000202F0">
              <w:rPr>
                <w:rFonts w:cs="Arial"/>
              </w:rPr>
              <w:t>—</w:t>
            </w:r>
            <w:r w:rsidRPr="00981EE2">
              <w:rPr>
                <w:rFonts w:cs="Arial"/>
              </w:rPr>
              <w:t>note 1</w:t>
            </w:r>
          </w:p>
        </w:tc>
        <w:tc>
          <w:tcPr>
            <w:tcW w:w="1990" w:type="dxa"/>
            <w:shd w:val="clear" w:color="auto" w:fill="auto"/>
          </w:tcPr>
          <w:p w14:paraId="11990FFF" w14:textId="1699FB59" w:rsidR="004F0538" w:rsidRPr="006D46E5" w:rsidRDefault="00981EE2" w:rsidP="001C206B">
            <w:pPr>
              <w:pStyle w:val="TableBody"/>
              <w:keepNext/>
              <w:keepLines/>
              <w:rPr>
                <w:rFonts w:cs="Arial"/>
              </w:rPr>
            </w:pPr>
            <w:r w:rsidRPr="00981EE2">
              <w:rPr>
                <w:rFonts w:cs="Arial"/>
              </w:rPr>
              <w:t>Q2/</w:t>
            </w:r>
            <w:r w:rsidR="00BE2DA0" w:rsidRPr="00981EE2">
              <w:rPr>
                <w:rFonts w:cs="Arial"/>
              </w:rPr>
              <w:t>Q</w:t>
            </w:r>
            <w:r w:rsidR="00BE2DA0">
              <w:rPr>
                <w:rFonts w:cs="Arial"/>
              </w:rPr>
              <w:t>3</w:t>
            </w:r>
            <w:r w:rsidR="00BE2DA0" w:rsidRPr="00981EE2">
              <w:rPr>
                <w:rFonts w:cs="Arial"/>
              </w:rPr>
              <w:t xml:space="preserve"> </w:t>
            </w:r>
            <w:r w:rsidRPr="00981EE2">
              <w:rPr>
                <w:rFonts w:cs="Arial"/>
              </w:rPr>
              <w:t>2020</w:t>
            </w:r>
          </w:p>
        </w:tc>
      </w:tr>
      <w:tr w:rsidR="004F0538" w:rsidRPr="006D46E5" w14:paraId="0F79C62E" w14:textId="77777777" w:rsidTr="001C206B">
        <w:tc>
          <w:tcPr>
            <w:tcW w:w="7513" w:type="dxa"/>
            <w:shd w:val="clear" w:color="auto" w:fill="F2F2F2" w:themeFill="background1" w:themeFillShade="F2"/>
          </w:tcPr>
          <w:p w14:paraId="0CCAFBF8" w14:textId="525EB5C5" w:rsidR="004F0538" w:rsidRPr="006D46E5" w:rsidRDefault="0010369E" w:rsidP="001C206B">
            <w:pPr>
              <w:pStyle w:val="TableBody"/>
              <w:keepNext/>
              <w:keepLines/>
              <w:rPr>
                <w:rFonts w:cs="Arial"/>
              </w:rPr>
            </w:pPr>
            <w:r>
              <w:rPr>
                <w:rFonts w:cs="Arial"/>
              </w:rPr>
              <w:t xml:space="preserve">Commence </w:t>
            </w:r>
            <w:r w:rsidR="00C75E42">
              <w:rPr>
                <w:rFonts w:cs="Arial"/>
              </w:rPr>
              <w:t>allocation process</w:t>
            </w:r>
            <w:r w:rsidR="000202F0">
              <w:rPr>
                <w:rFonts w:cs="Arial"/>
              </w:rPr>
              <w:t>—</w:t>
            </w:r>
            <w:r w:rsidR="00981EE2" w:rsidRPr="00981EE2">
              <w:rPr>
                <w:rFonts w:cs="Arial"/>
              </w:rPr>
              <w:t>note 1</w:t>
            </w:r>
          </w:p>
        </w:tc>
        <w:tc>
          <w:tcPr>
            <w:tcW w:w="1990" w:type="dxa"/>
            <w:shd w:val="clear" w:color="auto" w:fill="F2F2F2" w:themeFill="background1" w:themeFillShade="F2"/>
          </w:tcPr>
          <w:p w14:paraId="62311183" w14:textId="0523383E" w:rsidR="004F0538" w:rsidRPr="006D46E5" w:rsidRDefault="00981EE2" w:rsidP="001C206B">
            <w:pPr>
              <w:pStyle w:val="TableBody"/>
              <w:keepNext/>
              <w:keepLines/>
              <w:rPr>
                <w:rFonts w:cs="Arial"/>
              </w:rPr>
            </w:pPr>
            <w:r w:rsidRPr="00981EE2">
              <w:rPr>
                <w:rFonts w:cs="Arial"/>
              </w:rPr>
              <w:t>Q3/</w:t>
            </w:r>
            <w:r w:rsidR="00BE2DA0" w:rsidRPr="00981EE2">
              <w:rPr>
                <w:rFonts w:cs="Arial"/>
              </w:rPr>
              <w:t>Q</w:t>
            </w:r>
            <w:r w:rsidR="00BE2DA0">
              <w:rPr>
                <w:rFonts w:cs="Arial"/>
              </w:rPr>
              <w:t>4</w:t>
            </w:r>
            <w:r w:rsidR="00BE2DA0" w:rsidRPr="00981EE2">
              <w:rPr>
                <w:rFonts w:cs="Arial"/>
              </w:rPr>
              <w:t xml:space="preserve"> </w:t>
            </w:r>
            <w:r w:rsidRPr="00981EE2">
              <w:rPr>
                <w:rFonts w:cs="Arial"/>
              </w:rPr>
              <w:t>2020</w:t>
            </w:r>
          </w:p>
        </w:tc>
      </w:tr>
    </w:tbl>
    <w:p w14:paraId="7967F5FA" w14:textId="16701D30" w:rsidR="00285C3D" w:rsidRDefault="00733809">
      <w:pPr>
        <w:pStyle w:val="ACMANotes"/>
      </w:pPr>
      <w:r w:rsidRPr="00733809">
        <w:t xml:space="preserve">Note 1: </w:t>
      </w:r>
      <w:r w:rsidR="000202F0">
        <w:t>T</w:t>
      </w:r>
      <w:r w:rsidRPr="00733809">
        <w:t xml:space="preserve">hese steps are subject to the outcome of consultation in accordance with section 153G of the Act and contingent on the </w:t>
      </w:r>
      <w:r w:rsidR="00CA4D7D">
        <w:t>m</w:t>
      </w:r>
      <w:r w:rsidRPr="00733809">
        <w:t>inister issuing a reallocation declaration.</w:t>
      </w:r>
    </w:p>
    <w:p w14:paraId="3CC3D84A" w14:textId="661C6D03" w:rsidR="00AB40D2" w:rsidRPr="006D46E5" w:rsidRDefault="00AB40D2">
      <w:pPr>
        <w:pStyle w:val="Heading1"/>
        <w:spacing w:line="276" w:lineRule="auto"/>
      </w:pPr>
      <w:bookmarkStart w:id="327" w:name="_Toc408494377"/>
      <w:bookmarkStart w:id="328" w:name="_Toc408846619"/>
      <w:bookmarkStart w:id="329" w:name="_Toc409015489"/>
      <w:bookmarkStart w:id="330" w:name="_Toc409528653"/>
      <w:bookmarkStart w:id="331" w:name="_Toc409016982"/>
      <w:bookmarkStart w:id="332" w:name="_Toc496277345"/>
      <w:bookmarkStart w:id="333" w:name="_Toc496277744"/>
      <w:bookmarkStart w:id="334" w:name="_Toc496527255"/>
      <w:bookmarkStart w:id="335" w:name="_Toc496527430"/>
      <w:bookmarkStart w:id="336" w:name="_Toc8207147"/>
      <w:r w:rsidRPr="00854B83">
        <w:lastRenderedPageBreak/>
        <w:t>Invitation to comment</w:t>
      </w:r>
      <w:bookmarkEnd w:id="22"/>
      <w:bookmarkEnd w:id="23"/>
      <w:bookmarkEnd w:id="24"/>
      <w:bookmarkEnd w:id="327"/>
      <w:bookmarkEnd w:id="328"/>
      <w:bookmarkEnd w:id="329"/>
      <w:bookmarkEnd w:id="330"/>
      <w:bookmarkEnd w:id="331"/>
      <w:bookmarkEnd w:id="332"/>
      <w:bookmarkEnd w:id="333"/>
      <w:bookmarkEnd w:id="334"/>
      <w:bookmarkEnd w:id="335"/>
      <w:bookmarkEnd w:id="336"/>
    </w:p>
    <w:p w14:paraId="404D62F4" w14:textId="77777777" w:rsidR="00AB40D2" w:rsidRPr="006D46E5" w:rsidRDefault="00AB40D2">
      <w:pPr>
        <w:pStyle w:val="Heading2"/>
        <w:spacing w:line="276" w:lineRule="auto"/>
      </w:pPr>
      <w:bookmarkStart w:id="337" w:name="_Toc298924673"/>
      <w:bookmarkStart w:id="338" w:name="_Toc300909556"/>
      <w:bookmarkStart w:id="339" w:name="_Toc348105637"/>
      <w:bookmarkStart w:id="340" w:name="_Toc408494378"/>
      <w:bookmarkStart w:id="341" w:name="_Toc408846620"/>
      <w:bookmarkStart w:id="342" w:name="_Toc409015490"/>
      <w:bookmarkStart w:id="343" w:name="_Toc409528654"/>
      <w:bookmarkStart w:id="344" w:name="_Toc409016983"/>
      <w:bookmarkStart w:id="345" w:name="_Toc496277346"/>
      <w:bookmarkStart w:id="346" w:name="_Toc496277745"/>
      <w:bookmarkStart w:id="347" w:name="_Toc496527256"/>
      <w:bookmarkStart w:id="348" w:name="_Toc496527431"/>
      <w:bookmarkStart w:id="349" w:name="_Toc8207148"/>
      <w:r w:rsidRPr="006D46E5">
        <w:t>Making a submission</w:t>
      </w:r>
      <w:bookmarkEnd w:id="337"/>
      <w:bookmarkEnd w:id="338"/>
      <w:bookmarkEnd w:id="339"/>
      <w:bookmarkEnd w:id="340"/>
      <w:bookmarkEnd w:id="341"/>
      <w:bookmarkEnd w:id="342"/>
      <w:bookmarkEnd w:id="343"/>
      <w:bookmarkEnd w:id="344"/>
      <w:bookmarkEnd w:id="345"/>
      <w:bookmarkEnd w:id="346"/>
      <w:bookmarkEnd w:id="347"/>
      <w:bookmarkEnd w:id="348"/>
      <w:bookmarkEnd w:id="349"/>
    </w:p>
    <w:p w14:paraId="4444C77F" w14:textId="711DB47A" w:rsidR="00CE4FB4" w:rsidRDefault="00CE4FB4">
      <w:r>
        <w:t xml:space="preserve">The ACMA invites comments on the issues set out in this consultation paper. </w:t>
      </w:r>
    </w:p>
    <w:bookmarkStart w:id="350" w:name="_Hlk4074589"/>
    <w:p w14:paraId="042BAE64" w14:textId="77777777" w:rsidR="0048281A" w:rsidRDefault="002603F3" w:rsidP="001C206B">
      <w:pPr>
        <w:pStyle w:val="ListBullet"/>
        <w:ind w:left="295"/>
      </w:pPr>
      <w:r>
        <w:fldChar w:fldCharType="begin"/>
      </w:r>
      <w:r>
        <w:instrText xml:space="preserve"> HYPERLINK "http://www.acma.gov.au/theACMA/Consultations/Consultations" </w:instrText>
      </w:r>
      <w:r>
        <w:fldChar w:fldCharType="separate"/>
      </w:r>
      <w:r w:rsidR="0048281A">
        <w:rPr>
          <w:rStyle w:val="Hyperlink"/>
        </w:rPr>
        <w:t>Online submissions</w:t>
      </w:r>
      <w:r>
        <w:rPr>
          <w:rStyle w:val="Hyperlink"/>
        </w:rPr>
        <w:fldChar w:fldCharType="end"/>
      </w:r>
      <w:r w:rsidR="0048281A">
        <w:t xml:space="preserve"> can be made </w:t>
      </w:r>
      <w:bookmarkStart w:id="351" w:name="_Hlk4074717"/>
      <w:r w:rsidR="0048281A">
        <w:t>via the comment function or by uploading a document. Submissions in Microsoft Word or Rich Text Format are preferred.</w:t>
      </w:r>
      <w:bookmarkEnd w:id="350"/>
      <w:bookmarkEnd w:id="351"/>
    </w:p>
    <w:p w14:paraId="1ACDD2A0" w14:textId="77777777" w:rsidR="0048281A" w:rsidRDefault="0048281A" w:rsidP="001C206B">
      <w:pPr>
        <w:pStyle w:val="ListBullet"/>
        <w:ind w:left="295"/>
      </w:pPr>
      <w:r>
        <w:t xml:space="preserve">Submissions by post can be sent to: </w:t>
      </w:r>
    </w:p>
    <w:p w14:paraId="152FE786" w14:textId="14BC814F" w:rsidR="0048281A" w:rsidRDefault="00AB40D2" w:rsidP="0048281A">
      <w:pPr>
        <w:spacing w:after="0"/>
        <w:ind w:left="295"/>
      </w:pPr>
      <w:r w:rsidRPr="00B36D48">
        <w:t>The Manager</w:t>
      </w:r>
    </w:p>
    <w:p w14:paraId="6AF9E7D7" w14:textId="77777777" w:rsidR="0048281A" w:rsidRDefault="002378A4" w:rsidP="0048281A">
      <w:pPr>
        <w:spacing w:after="0"/>
        <w:ind w:left="295"/>
      </w:pPr>
      <w:r>
        <w:t xml:space="preserve">Major </w:t>
      </w:r>
      <w:r w:rsidR="00AB40D2" w:rsidRPr="00B36D48">
        <w:t xml:space="preserve">Spectrum </w:t>
      </w:r>
      <w:r>
        <w:t xml:space="preserve">Allocations </w:t>
      </w:r>
      <w:r w:rsidR="00AB40D2" w:rsidRPr="00B36D48">
        <w:t>Section</w:t>
      </w:r>
    </w:p>
    <w:p w14:paraId="07104574" w14:textId="77777777" w:rsidR="0048281A" w:rsidRDefault="00AB40D2" w:rsidP="0048281A">
      <w:pPr>
        <w:spacing w:after="0"/>
        <w:ind w:left="295"/>
      </w:pPr>
      <w:r w:rsidRPr="00B36D48">
        <w:t xml:space="preserve">Spectrum </w:t>
      </w:r>
      <w:r w:rsidR="002378A4">
        <w:t>Allocations</w:t>
      </w:r>
      <w:r w:rsidRPr="00B36D48">
        <w:t xml:space="preserve"> Branch</w:t>
      </w:r>
    </w:p>
    <w:p w14:paraId="761DEA9C" w14:textId="77777777" w:rsidR="0048281A" w:rsidRDefault="00AB40D2" w:rsidP="0048281A">
      <w:pPr>
        <w:spacing w:after="0"/>
        <w:ind w:left="295"/>
      </w:pPr>
      <w:r w:rsidRPr="00B36D48">
        <w:t>Australian Communications and Media Authority</w:t>
      </w:r>
    </w:p>
    <w:p w14:paraId="4696608A" w14:textId="77777777" w:rsidR="0048281A" w:rsidRDefault="00AB40D2" w:rsidP="0048281A">
      <w:pPr>
        <w:spacing w:after="0"/>
        <w:ind w:left="295"/>
      </w:pPr>
      <w:r w:rsidRPr="00B36D48">
        <w:t>PO Box 78</w:t>
      </w:r>
    </w:p>
    <w:p w14:paraId="1007AF9B" w14:textId="74BE60D9" w:rsidR="00AB40D2" w:rsidRPr="006D46E5" w:rsidRDefault="00AB40D2" w:rsidP="001C206B">
      <w:pPr>
        <w:ind w:left="295"/>
      </w:pPr>
      <w:r w:rsidRPr="00B36D48">
        <w:t>Belconnen ACT 2616</w:t>
      </w:r>
    </w:p>
    <w:p w14:paraId="1DE9A47B" w14:textId="7F30B9B2" w:rsidR="00AB40D2" w:rsidRDefault="00AB40D2" w:rsidP="0048281A">
      <w:pPr>
        <w:autoSpaceDE w:val="0"/>
        <w:autoSpaceDN w:val="0"/>
        <w:adjustRightInd w:val="0"/>
        <w:rPr>
          <w:rFonts w:cs="Arial"/>
          <w:b/>
          <w:bCs/>
          <w:color w:val="000000"/>
          <w:szCs w:val="20"/>
        </w:rPr>
      </w:pPr>
      <w:r w:rsidRPr="006D46E5">
        <w:rPr>
          <w:rFonts w:cs="Arial"/>
          <w:b/>
          <w:bCs/>
          <w:color w:val="000000"/>
          <w:szCs w:val="20"/>
        </w:rPr>
        <w:t>The closing date f</w:t>
      </w:r>
      <w:r>
        <w:rPr>
          <w:rFonts w:cs="Arial"/>
          <w:b/>
          <w:bCs/>
          <w:color w:val="000000"/>
          <w:szCs w:val="20"/>
        </w:rPr>
        <w:t xml:space="preserve">or submissions </w:t>
      </w:r>
      <w:r w:rsidRPr="003B30C9">
        <w:rPr>
          <w:rFonts w:cs="Arial"/>
          <w:b/>
          <w:bCs/>
          <w:color w:val="000000"/>
          <w:szCs w:val="20"/>
        </w:rPr>
        <w:t xml:space="preserve">is </w:t>
      </w:r>
      <w:r w:rsidR="0048281A">
        <w:rPr>
          <w:rFonts w:cs="Arial"/>
          <w:b/>
          <w:bCs/>
          <w:color w:val="000000"/>
          <w:szCs w:val="20"/>
        </w:rPr>
        <w:t xml:space="preserve">COB, </w:t>
      </w:r>
      <w:r w:rsidR="00A70595">
        <w:rPr>
          <w:rFonts w:cs="Arial"/>
          <w:b/>
          <w:bCs/>
          <w:color w:val="000000"/>
          <w:szCs w:val="20"/>
        </w:rPr>
        <w:t xml:space="preserve">Thursday </w:t>
      </w:r>
      <w:r w:rsidR="007900C1" w:rsidRPr="004F3847">
        <w:rPr>
          <w:rFonts w:cs="Arial"/>
          <w:b/>
          <w:bCs/>
          <w:color w:val="000000"/>
          <w:szCs w:val="20"/>
        </w:rPr>
        <w:t xml:space="preserve">6 June </w:t>
      </w:r>
      <w:r w:rsidRPr="004F3847">
        <w:rPr>
          <w:rFonts w:cs="Arial"/>
          <w:b/>
          <w:bCs/>
          <w:color w:val="000000"/>
          <w:szCs w:val="20"/>
        </w:rPr>
        <w:t>201</w:t>
      </w:r>
      <w:r w:rsidR="002378A4" w:rsidRPr="004F3847">
        <w:rPr>
          <w:rFonts w:cs="Arial"/>
          <w:b/>
          <w:bCs/>
          <w:color w:val="000000"/>
          <w:szCs w:val="20"/>
        </w:rPr>
        <w:t>9</w:t>
      </w:r>
      <w:r w:rsidRPr="003B30C9">
        <w:rPr>
          <w:rFonts w:cs="Arial"/>
          <w:b/>
          <w:bCs/>
          <w:color w:val="000000"/>
          <w:szCs w:val="20"/>
        </w:rPr>
        <w:t>.</w:t>
      </w:r>
    </w:p>
    <w:p w14:paraId="6FA263AA" w14:textId="74F7E5AB" w:rsidR="0048281A" w:rsidRDefault="0048281A" w:rsidP="0048281A">
      <w:pPr>
        <w:rPr>
          <w:szCs w:val="20"/>
        </w:rPr>
      </w:pPr>
      <w:r>
        <w:t xml:space="preserve">Consultation enquiries can be emailed </w:t>
      </w:r>
      <w:r>
        <w:rPr>
          <w:szCs w:val="20"/>
        </w:rPr>
        <w:t xml:space="preserve">to </w:t>
      </w:r>
      <w:hyperlink r:id="rId36" w:history="1">
        <w:r w:rsidR="00764EFE" w:rsidRPr="00AF45A5">
          <w:rPr>
            <w:rStyle w:val="Hyperlink"/>
            <w:szCs w:val="20"/>
          </w:rPr>
          <w:t>spectrumallocations@acma.gov.au</w:t>
        </w:r>
      </w:hyperlink>
      <w:r w:rsidR="00CE4FB4">
        <w:rPr>
          <w:szCs w:val="20"/>
        </w:rPr>
        <w:t>.</w:t>
      </w:r>
    </w:p>
    <w:p w14:paraId="5936D3FC" w14:textId="77777777" w:rsidR="00AB40D2" w:rsidRPr="006D46E5" w:rsidRDefault="00AB40D2" w:rsidP="00AB40D2">
      <w:pPr>
        <w:pStyle w:val="Bodysubheader0"/>
        <w:spacing w:line="276" w:lineRule="auto"/>
      </w:pPr>
      <w:bookmarkStart w:id="352" w:name="_Toc274296357"/>
      <w:bookmarkStart w:id="353" w:name="_Toc298924674"/>
      <w:bookmarkStart w:id="354" w:name="_Toc300909558"/>
      <w:bookmarkStart w:id="355" w:name="_Toc348105639"/>
      <w:r w:rsidRPr="006D46E5">
        <w:t>Publication of submissions</w:t>
      </w:r>
      <w:bookmarkEnd w:id="352"/>
      <w:bookmarkEnd w:id="353"/>
      <w:bookmarkEnd w:id="354"/>
      <w:bookmarkEnd w:id="355"/>
    </w:p>
    <w:p w14:paraId="3EDAB152" w14:textId="05FF81B5" w:rsidR="00CE4FB4" w:rsidRDefault="00CE4FB4" w:rsidP="00CE4FB4">
      <w:r>
        <w:t>The ACMA publishes submissions on our website</w:t>
      </w:r>
      <w:r>
        <w:rPr>
          <w:rFonts w:cs="Arial"/>
        </w:rPr>
        <w:t>, including personal information (such as names and contact details)</w:t>
      </w:r>
      <w:r>
        <w:t>, except for information that you have claimed (and we have accepted) is confidential.</w:t>
      </w:r>
    </w:p>
    <w:p w14:paraId="66D17127" w14:textId="77777777" w:rsidR="00CE4FB4" w:rsidRDefault="00CE4FB4" w:rsidP="00CE4FB4">
      <w:r>
        <w:t>Confidential information will not be published or otherwise released unless required or authorised by law.</w:t>
      </w:r>
    </w:p>
    <w:p w14:paraId="3B63D2B0" w14:textId="77777777" w:rsidR="00AB40D2" w:rsidRPr="0041233F" w:rsidRDefault="00AB40D2" w:rsidP="00BB53BC">
      <w:pPr>
        <w:pStyle w:val="BodySubHeader"/>
      </w:pPr>
      <w:r w:rsidRPr="0041233F">
        <w:t>Privacy</w:t>
      </w:r>
    </w:p>
    <w:p w14:paraId="1FF66B7B" w14:textId="52AB0584" w:rsidR="00CE4FB4" w:rsidRDefault="00596819" w:rsidP="00CE4FB4">
      <w:pPr>
        <w:spacing w:after="0"/>
      </w:pPr>
      <w:hyperlink r:id="rId37" w:history="1">
        <w:r w:rsidR="00CE4FB4">
          <w:rPr>
            <w:rStyle w:val="Hyperlink"/>
            <w:i/>
          </w:rPr>
          <w:t>Privacy and consultation</w:t>
        </w:r>
      </w:hyperlink>
      <w:r w:rsidR="00CE4FB4">
        <w:t xml:space="preserve"> provides information about the ACMA’s collection of personal information during consultation and how we handle that information.</w:t>
      </w:r>
    </w:p>
    <w:p w14:paraId="4B8605A8" w14:textId="77777777" w:rsidR="00CE4FB4" w:rsidRDefault="00CE4FB4" w:rsidP="00CE4FB4">
      <w:pPr>
        <w:spacing w:after="0"/>
      </w:pPr>
    </w:p>
    <w:p w14:paraId="6F93CBCE" w14:textId="361FADAF" w:rsidR="00CE4FB4" w:rsidRPr="0041233F" w:rsidRDefault="00CE4FB4" w:rsidP="00CE4FB4">
      <w:r>
        <w:t xml:space="preserve">Information on the </w:t>
      </w:r>
      <w:r>
        <w:rPr>
          <w:i/>
        </w:rPr>
        <w:t xml:space="preserve">Privacy Act 1988 </w:t>
      </w:r>
      <w:r>
        <w:t xml:space="preserve">and the ACMA’s privacy policy (including how to access or correct personal information, how to make a privacy complaint and how we will deal with the complaint) is available at </w:t>
      </w:r>
      <w:hyperlink r:id="rId38" w:tooltip="ACMA Privacy Policy" w:history="1">
        <w:r>
          <w:rPr>
            <w:rStyle w:val="Hyperlink"/>
          </w:rPr>
          <w:t>acma.gov.au/</w:t>
        </w:r>
        <w:proofErr w:type="spellStart"/>
        <w:r>
          <w:rPr>
            <w:rStyle w:val="Hyperlink"/>
          </w:rPr>
          <w:t>privacypolicy</w:t>
        </w:r>
        <w:proofErr w:type="spellEnd"/>
      </w:hyperlink>
      <w:r>
        <w:t>.</w:t>
      </w:r>
    </w:p>
    <w:p w14:paraId="6819128B" w14:textId="2C6BDBE6" w:rsidR="00AB40D2" w:rsidRDefault="00AB40D2" w:rsidP="00F02E2C">
      <w:pPr>
        <w:pStyle w:val="Heading1"/>
        <w:spacing w:line="276" w:lineRule="auto"/>
      </w:pPr>
      <w:bookmarkStart w:id="356" w:name="_Toc8207149"/>
      <w:r w:rsidRPr="009C5A85">
        <w:lastRenderedPageBreak/>
        <w:t xml:space="preserve">Attachment </w:t>
      </w:r>
      <w:r>
        <w:t>A—</w:t>
      </w:r>
      <w:r w:rsidR="000505EA">
        <w:t xml:space="preserve">Section 153G </w:t>
      </w:r>
      <w:r>
        <w:t>n</w:t>
      </w:r>
      <w:r w:rsidRPr="009C5A85">
        <w:t>otice</w:t>
      </w:r>
      <w:bookmarkEnd w:id="356"/>
    </w:p>
    <w:p w14:paraId="24E95901" w14:textId="740FCC77" w:rsidR="00AB40D2" w:rsidRDefault="00226741" w:rsidP="00AB40D2">
      <w:bookmarkStart w:id="357" w:name="_GoBack"/>
      <w:r>
        <w:rPr>
          <w:noProof/>
        </w:rPr>
        <w:drawing>
          <wp:inline distT="0" distB="0" distL="0" distR="0" wp14:anchorId="57B6EBB6" wp14:editId="2FB8EFC3">
            <wp:extent cx="5386496" cy="7601903"/>
            <wp:effectExtent l="0" t="0" r="5080" b="0"/>
            <wp:docPr id="6" name="Picture 6" descr="Notice under section 153G of the Radiocommunications Act 1992. Proposed re-allocation of the 26 GHz frequency band. This includes area definitions using HCIS identifiers.&#10;&#10;Please find the full Word document of the written notice on the consultation web p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rbooth\AppData\Local\Temp\1\SNAGHTML6696e0.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86496" cy="7601903"/>
                    </a:xfrm>
                    <a:prstGeom prst="rect">
                      <a:avLst/>
                    </a:prstGeom>
                    <a:noFill/>
                    <a:ln>
                      <a:noFill/>
                    </a:ln>
                  </pic:spPr>
                </pic:pic>
              </a:graphicData>
            </a:graphic>
          </wp:inline>
        </w:drawing>
      </w:r>
      <w:bookmarkEnd w:id="357"/>
    </w:p>
    <w:p w14:paraId="1D23E872" w14:textId="5A064054" w:rsidR="003E58CB" w:rsidRDefault="003E58CB" w:rsidP="00AB40D2">
      <w:r>
        <w:rPr>
          <w:noProof/>
        </w:rPr>
        <w:lastRenderedPageBreak/>
        <w:drawing>
          <wp:inline distT="0" distB="0" distL="0" distR="0" wp14:anchorId="3CDEAB09" wp14:editId="1E82E692">
            <wp:extent cx="5410200" cy="7638884"/>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415747" cy="7646715"/>
                    </a:xfrm>
                    <a:prstGeom prst="rect">
                      <a:avLst/>
                    </a:prstGeom>
                  </pic:spPr>
                </pic:pic>
              </a:graphicData>
            </a:graphic>
          </wp:inline>
        </w:drawing>
      </w:r>
    </w:p>
    <w:p w14:paraId="2EA22F2D" w14:textId="36798D56" w:rsidR="00BA3ACF" w:rsidRDefault="00BA3ACF" w:rsidP="00AB40D2"/>
    <w:p w14:paraId="2902DA31" w14:textId="79CE5392" w:rsidR="00DB37D9" w:rsidRDefault="00DB37D9" w:rsidP="00AB40D2"/>
    <w:p w14:paraId="7ABA10ED" w14:textId="03A923CD" w:rsidR="00DB37D9" w:rsidRDefault="00DB37D9" w:rsidP="00AB40D2"/>
    <w:p w14:paraId="68D35A42" w14:textId="0158DCEC" w:rsidR="0038398A" w:rsidRDefault="00D55A13" w:rsidP="00AB40D2">
      <w:r>
        <w:rPr>
          <w:noProof/>
        </w:rPr>
        <w:lastRenderedPageBreak/>
        <w:drawing>
          <wp:inline distT="0" distB="0" distL="0" distR="0" wp14:anchorId="3D4F2B3B" wp14:editId="451E9805">
            <wp:extent cx="5391150" cy="7655560"/>
            <wp:effectExtent l="0" t="0" r="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405185" cy="7675490"/>
                    </a:xfrm>
                    <a:prstGeom prst="rect">
                      <a:avLst/>
                    </a:prstGeom>
                  </pic:spPr>
                </pic:pic>
              </a:graphicData>
            </a:graphic>
          </wp:inline>
        </w:drawing>
      </w:r>
    </w:p>
    <w:p w14:paraId="491FF3D8" w14:textId="6C602C15" w:rsidR="0038398A" w:rsidRDefault="007E7DD9" w:rsidP="00AB40D2">
      <w:r>
        <w:rPr>
          <w:noProof/>
        </w:rPr>
        <w:lastRenderedPageBreak/>
        <w:drawing>
          <wp:inline distT="0" distB="0" distL="0" distR="0" wp14:anchorId="408810BF" wp14:editId="34B354B8">
            <wp:extent cx="5372100" cy="7571083"/>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380798" cy="7583342"/>
                    </a:xfrm>
                    <a:prstGeom prst="rect">
                      <a:avLst/>
                    </a:prstGeom>
                  </pic:spPr>
                </pic:pic>
              </a:graphicData>
            </a:graphic>
          </wp:inline>
        </w:drawing>
      </w:r>
    </w:p>
    <w:p w14:paraId="27085488" w14:textId="0FD31605" w:rsidR="00AB40D2" w:rsidRPr="006F741C" w:rsidRDefault="00AB40D2" w:rsidP="00AB40D2">
      <w:pPr>
        <w:pStyle w:val="Heading1"/>
      </w:pPr>
      <w:bookmarkStart w:id="358" w:name="_Toc408846622"/>
      <w:bookmarkStart w:id="359" w:name="_Toc409015492"/>
      <w:bookmarkStart w:id="360" w:name="_Toc409528656"/>
      <w:bookmarkStart w:id="361" w:name="_Toc409016985"/>
      <w:bookmarkStart w:id="362" w:name="_Toc496277348"/>
      <w:bookmarkStart w:id="363" w:name="_Toc496277747"/>
      <w:bookmarkStart w:id="364" w:name="_Toc496527258"/>
      <w:bookmarkStart w:id="365" w:name="_Toc496527433"/>
      <w:bookmarkStart w:id="366" w:name="_Toc8207150"/>
      <w:bookmarkStart w:id="367" w:name="_Toc408494380"/>
      <w:r w:rsidRPr="00854B83">
        <w:lastRenderedPageBreak/>
        <w:t>Attachment B—</w:t>
      </w:r>
      <w:r w:rsidRPr="00854B83">
        <w:br/>
        <w:t>Spectrum reallocation process</w:t>
      </w:r>
      <w:bookmarkEnd w:id="358"/>
      <w:bookmarkEnd w:id="359"/>
      <w:bookmarkEnd w:id="360"/>
      <w:bookmarkEnd w:id="361"/>
      <w:bookmarkEnd w:id="362"/>
      <w:bookmarkEnd w:id="363"/>
      <w:bookmarkEnd w:id="364"/>
      <w:bookmarkEnd w:id="365"/>
      <w:bookmarkEnd w:id="366"/>
      <w:r w:rsidRPr="002301F0">
        <w:t xml:space="preserve"> </w:t>
      </w:r>
      <w:bookmarkEnd w:id="367"/>
    </w:p>
    <w:p w14:paraId="059F9EBB" w14:textId="06EA1788" w:rsidR="00AB40D2" w:rsidRPr="006F741C" w:rsidRDefault="00AB40D2" w:rsidP="00AB40D2">
      <w:r>
        <w:t>T</w:t>
      </w:r>
      <w:r w:rsidRPr="002301F0">
        <w:t>he ACMA</w:t>
      </w:r>
      <w:r w:rsidDel="00241E38">
        <w:t xml:space="preserve"> </w:t>
      </w:r>
      <w:r>
        <w:t xml:space="preserve">proposes to follow </w:t>
      </w:r>
      <w:r w:rsidRPr="002301F0">
        <w:t xml:space="preserve">the spectrum reallocation process </w:t>
      </w:r>
      <w:r>
        <w:t xml:space="preserve">as </w:t>
      </w:r>
      <w:r w:rsidRPr="002301F0">
        <w:t xml:space="preserve">set out in Part 3.6 of the </w:t>
      </w:r>
      <w:r w:rsidRPr="0003201B">
        <w:t>Act</w:t>
      </w:r>
      <w:r>
        <w:t xml:space="preserve"> (intended</w:t>
      </w:r>
      <w:r w:rsidRPr="002301F0">
        <w:t xml:space="preserve"> for the reallocation of encumbered spectrum</w:t>
      </w:r>
      <w:r>
        <w:t>)</w:t>
      </w:r>
      <w:r w:rsidRPr="002301F0">
        <w:t xml:space="preserve"> for the allocation of </w:t>
      </w:r>
      <w:r w:rsidR="00B25828">
        <w:t>the 26</w:t>
      </w:r>
      <w:r>
        <w:t xml:space="preserve"> GHz</w:t>
      </w:r>
      <w:r w:rsidR="00B25828">
        <w:t xml:space="preserve"> band</w:t>
      </w:r>
      <w:r>
        <w:t xml:space="preserve">. </w:t>
      </w:r>
    </w:p>
    <w:p w14:paraId="2814B3CB" w14:textId="77777777" w:rsidR="00AB40D2" w:rsidRPr="006F741C" w:rsidRDefault="00AB40D2" w:rsidP="00AB40D2">
      <w:pPr>
        <w:pStyle w:val="Heading2"/>
        <w:spacing w:line="276" w:lineRule="auto"/>
      </w:pPr>
      <w:bookmarkStart w:id="368" w:name="_Toc408494381"/>
      <w:bookmarkStart w:id="369" w:name="_Toc408846623"/>
      <w:bookmarkStart w:id="370" w:name="_Toc409015493"/>
      <w:bookmarkStart w:id="371" w:name="_Toc409528657"/>
      <w:bookmarkStart w:id="372" w:name="_Toc409016986"/>
      <w:bookmarkStart w:id="373" w:name="_Toc496277349"/>
      <w:bookmarkStart w:id="374" w:name="_Toc496277748"/>
      <w:bookmarkStart w:id="375" w:name="_Toc496527259"/>
      <w:bookmarkStart w:id="376" w:name="_Toc496527434"/>
      <w:bookmarkStart w:id="377" w:name="_Toc8207151"/>
      <w:r w:rsidRPr="002301F0">
        <w:t>Main steps in the reallocation process</w:t>
      </w:r>
      <w:bookmarkEnd w:id="368"/>
      <w:bookmarkEnd w:id="369"/>
      <w:bookmarkEnd w:id="370"/>
      <w:bookmarkEnd w:id="371"/>
      <w:bookmarkEnd w:id="372"/>
      <w:bookmarkEnd w:id="373"/>
      <w:bookmarkEnd w:id="374"/>
      <w:bookmarkEnd w:id="375"/>
      <w:bookmarkEnd w:id="376"/>
      <w:bookmarkEnd w:id="377"/>
    </w:p>
    <w:p w14:paraId="3D4237D5" w14:textId="7F9F64A5" w:rsidR="00AB40D2" w:rsidRDefault="00AB40D2" w:rsidP="00AB40D2">
      <w:r w:rsidRPr="002301F0">
        <w:t xml:space="preserve">The main steps in the reallocation process under Part 3.6 of the </w:t>
      </w:r>
      <w:r w:rsidRPr="0003201B">
        <w:t>Act</w:t>
      </w:r>
      <w:r w:rsidRPr="001D177F" w:rsidDel="0003201B">
        <w:rPr>
          <w:i/>
        </w:rPr>
        <w:t xml:space="preserve"> </w:t>
      </w:r>
      <w:r w:rsidRPr="002301F0">
        <w:t>are set out in</w:t>
      </w:r>
      <w:r>
        <w:t xml:space="preserve"> </w:t>
      </w:r>
      <w:r w:rsidRPr="00FF3B1C">
        <w:t xml:space="preserve">Figure </w:t>
      </w:r>
      <w:r w:rsidR="002A01B8">
        <w:t>8</w:t>
      </w:r>
      <w:r w:rsidRPr="00FF3B1C">
        <w:t>.</w:t>
      </w:r>
    </w:p>
    <w:p w14:paraId="7A368F87" w14:textId="4D99B010" w:rsidR="00647A78" w:rsidRPr="002A01B8" w:rsidRDefault="00647A78" w:rsidP="002A01B8">
      <w:pPr>
        <w:pStyle w:val="ACMAFigureHeader"/>
        <w:keepNext/>
        <w:keepLines/>
      </w:pPr>
      <w:r w:rsidRPr="002A01B8">
        <w:rPr>
          <w:noProof/>
        </w:rPr>
        <w:drawing>
          <wp:anchor distT="0" distB="0" distL="114300" distR="114300" simplePos="0" relativeHeight="251658240" behindDoc="1" locked="0" layoutInCell="1" allowOverlap="1" wp14:anchorId="0B0CD746" wp14:editId="3AEE2340">
            <wp:simplePos x="0" y="0"/>
            <wp:positionH relativeFrom="margin">
              <wp:align>left</wp:align>
            </wp:positionH>
            <wp:positionV relativeFrom="paragraph">
              <wp:posOffset>247650</wp:posOffset>
            </wp:positionV>
            <wp:extent cx="4810125" cy="2486025"/>
            <wp:effectExtent l="0" t="19050" r="9525" b="28575"/>
            <wp:wrapTight wrapText="bothSides">
              <wp:wrapPolygon edited="0">
                <wp:start x="0" y="-166"/>
                <wp:lineTo x="0" y="20193"/>
                <wp:lineTo x="257" y="21021"/>
                <wp:lineTo x="599" y="21683"/>
                <wp:lineTo x="1027" y="21683"/>
                <wp:lineTo x="1369" y="21021"/>
                <wp:lineTo x="21557" y="20028"/>
                <wp:lineTo x="21557" y="-166"/>
                <wp:lineTo x="1796" y="-166"/>
                <wp:lineTo x="0" y="-166"/>
              </wp:wrapPolygon>
            </wp:wrapTight>
            <wp:docPr id="5" name="Diagram 5" descr="The reallocation process shown as 6 main steps. Each step is described in the text below."/>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14:sizeRelH relativeFrom="margin">
              <wp14:pctWidth>0</wp14:pctWidth>
            </wp14:sizeRelH>
            <wp14:sizeRelV relativeFrom="margin">
              <wp14:pctHeight>0</wp14:pctHeight>
            </wp14:sizeRelV>
          </wp:anchor>
        </w:drawing>
      </w:r>
      <w:r w:rsidRPr="002A01B8">
        <w:t>The reallocation process</w:t>
      </w:r>
    </w:p>
    <w:p w14:paraId="00D16481" w14:textId="48C8FB64" w:rsidR="00647A78" w:rsidRPr="00F50E63" w:rsidRDefault="00647A78" w:rsidP="00F50E63">
      <w:pPr>
        <w:pStyle w:val="ACMASpaceaftertable"/>
      </w:pPr>
      <w:bookmarkStart w:id="378" w:name="_Hlk6492924"/>
    </w:p>
    <w:p w14:paraId="49148A61" w14:textId="6B8EFD3B" w:rsidR="00AB40D2" w:rsidRPr="00815498" w:rsidRDefault="00AB40D2" w:rsidP="00A072FB">
      <w:pPr>
        <w:pStyle w:val="BodySubHeader"/>
        <w:rPr>
          <w:rStyle w:val="Strong"/>
          <w:b/>
        </w:rPr>
      </w:pPr>
      <w:bookmarkStart w:id="379" w:name="_Toc496277350"/>
      <w:bookmarkStart w:id="380" w:name="_Toc496277749"/>
      <w:bookmarkStart w:id="381" w:name="_Toc496527260"/>
      <w:bookmarkStart w:id="382" w:name="_Toc496527435"/>
      <w:bookmarkEnd w:id="378"/>
      <w:r w:rsidRPr="00394D59">
        <w:t>Step 1—</w:t>
      </w:r>
      <w:r w:rsidR="002A6BBC">
        <w:t>d</w:t>
      </w:r>
      <w:r w:rsidRPr="00394D59">
        <w:t>raft recommendation and invitation to comment</w:t>
      </w:r>
      <w:bookmarkEnd w:id="379"/>
      <w:bookmarkEnd w:id="380"/>
      <w:bookmarkEnd w:id="381"/>
      <w:bookmarkEnd w:id="382"/>
      <w:r w:rsidRPr="00394D59">
        <w:t xml:space="preserve"> </w:t>
      </w:r>
    </w:p>
    <w:p w14:paraId="340D8767" w14:textId="4186B8DB" w:rsidR="00AB40D2" w:rsidRPr="006F741C" w:rsidRDefault="00AB40D2" w:rsidP="00AB40D2">
      <w:r>
        <w:t>A</w:t>
      </w:r>
      <w:r w:rsidRPr="002301F0">
        <w:t xml:space="preserve"> first step in the spectrum reallocation process is for the ACMA to prepare a draft recommendation in accordance with section 153F</w:t>
      </w:r>
      <w:r>
        <w:t xml:space="preserve"> of the Act</w:t>
      </w:r>
      <w:r w:rsidRPr="002301F0">
        <w:t>, setting out the spectrum that the ACMA believes should be reallocated</w:t>
      </w:r>
      <w:r>
        <w:t xml:space="preserve">. </w:t>
      </w:r>
      <w:r w:rsidRPr="002301F0">
        <w:t xml:space="preserve">The ACMA must identify the spectrum by frequency and geographic </w:t>
      </w:r>
      <w:proofErr w:type="gramStart"/>
      <w:r w:rsidRPr="002301F0">
        <w:t>area</w:t>
      </w:r>
      <w:r>
        <w:t>,</w:t>
      </w:r>
      <w:r w:rsidRPr="002301F0">
        <w:t xml:space="preserve"> and</w:t>
      </w:r>
      <w:proofErr w:type="gramEnd"/>
      <w:r w:rsidRPr="002301F0">
        <w:t xml:space="preserve"> suggest a reallocation period</w:t>
      </w:r>
      <w:r w:rsidRPr="006F741C">
        <w:t xml:space="preserve"> within which the </w:t>
      </w:r>
      <w:r w:rsidRPr="002301F0">
        <w:t>reallocation process is to be completed. It may also specify other</w:t>
      </w:r>
      <w:r w:rsidR="004D36CC">
        <w:t xml:space="preserve"> relevant</w:t>
      </w:r>
      <w:r w:rsidRPr="002301F0">
        <w:t xml:space="preserve"> items that the ACMA chooses to include. </w:t>
      </w:r>
    </w:p>
    <w:p w14:paraId="3824A030" w14:textId="6A75C78B" w:rsidR="00AB40D2" w:rsidRDefault="00AB40D2" w:rsidP="00AB40D2">
      <w:r>
        <w:t>In accordance with section 153G of the Act, t</w:t>
      </w:r>
      <w:r w:rsidRPr="002301F0">
        <w:t xml:space="preserve">he ACMA must undertake a consultation process with </w:t>
      </w:r>
      <w:r>
        <w:t>potentially</w:t>
      </w:r>
      <w:r w:rsidR="003A22F6">
        <w:t xml:space="preserve"> </w:t>
      </w:r>
      <w:r>
        <w:t>affected apparatus licensees</w:t>
      </w:r>
      <w:r w:rsidR="00707605">
        <w:t xml:space="preserve">. </w:t>
      </w:r>
      <w:r w:rsidRPr="002301F0">
        <w:t xml:space="preserve">The licensees must be provided with a </w:t>
      </w:r>
      <w:r>
        <w:t xml:space="preserve">notice setting out the terms of a </w:t>
      </w:r>
      <w:r w:rsidRPr="002301F0">
        <w:t xml:space="preserve">draft of the recommendation and invited to comment on </w:t>
      </w:r>
      <w:r>
        <w:t>those terms</w:t>
      </w:r>
      <w:r w:rsidRPr="002301F0">
        <w:t xml:space="preserve">. </w:t>
      </w:r>
      <w:r>
        <w:t>In addition</w:t>
      </w:r>
      <w:r w:rsidRPr="002301F0">
        <w:t xml:space="preserve">, the ACMA </w:t>
      </w:r>
      <w:r w:rsidR="00E31406">
        <w:t xml:space="preserve">also </w:t>
      </w:r>
      <w:r w:rsidRPr="002301F0">
        <w:t>undertak</w:t>
      </w:r>
      <w:r>
        <w:t>e</w:t>
      </w:r>
      <w:r w:rsidR="00E31406">
        <w:t>s</w:t>
      </w:r>
      <w:r>
        <w:t xml:space="preserve"> </w:t>
      </w:r>
      <w:r w:rsidRPr="002301F0">
        <w:t>wide</w:t>
      </w:r>
      <w:r w:rsidR="00E31406">
        <w:t>r</w:t>
      </w:r>
      <w:r w:rsidRPr="002301F0">
        <w:t xml:space="preserve"> consultation</w:t>
      </w:r>
      <w:r>
        <w:t xml:space="preserve"> so that </w:t>
      </w:r>
      <w:r w:rsidRPr="002301F0">
        <w:t xml:space="preserve">all </w:t>
      </w:r>
      <w:r>
        <w:t>interested parties</w:t>
      </w:r>
      <w:r w:rsidRPr="002301F0">
        <w:t xml:space="preserve"> are able to comment on the draft recommendation. The consultation period will last for at least 28 days.</w:t>
      </w:r>
    </w:p>
    <w:p w14:paraId="69E31476" w14:textId="0ECD3273" w:rsidR="00AB40D2" w:rsidRPr="00BB53BC" w:rsidRDefault="00AB40D2" w:rsidP="00A072FB">
      <w:pPr>
        <w:pStyle w:val="BodySubHeader"/>
      </w:pPr>
      <w:bookmarkStart w:id="383" w:name="_Toc496277351"/>
      <w:bookmarkStart w:id="384" w:name="_Toc496277750"/>
      <w:bookmarkStart w:id="385" w:name="_Toc496527261"/>
      <w:bookmarkStart w:id="386" w:name="_Toc496527436"/>
      <w:r w:rsidRPr="00BB53BC">
        <w:t>Step 2—</w:t>
      </w:r>
      <w:r w:rsidR="002A6BBC">
        <w:t>f</w:t>
      </w:r>
      <w:r w:rsidRPr="00BB53BC">
        <w:t>inal recommendation to the minister</w:t>
      </w:r>
      <w:bookmarkEnd w:id="383"/>
      <w:bookmarkEnd w:id="384"/>
      <w:bookmarkEnd w:id="385"/>
      <w:bookmarkEnd w:id="386"/>
    </w:p>
    <w:p w14:paraId="4794F2C5" w14:textId="076D677C" w:rsidR="00AB40D2" w:rsidRDefault="00AB40D2" w:rsidP="00AB40D2">
      <w:r w:rsidRPr="002301F0">
        <w:t xml:space="preserve">After consulting on the draft recommendation, the ACMA </w:t>
      </w:r>
      <w:r>
        <w:t>may</w:t>
      </w:r>
      <w:r w:rsidRPr="002301F0">
        <w:t xml:space="preserve"> prepare a final recommendation under section 153F </w:t>
      </w:r>
      <w:r>
        <w:t>of the Act and provide it to</w:t>
      </w:r>
      <w:r w:rsidRPr="002301F0">
        <w:t xml:space="preserve"> the </w:t>
      </w:r>
      <w:r>
        <w:t>m</w:t>
      </w:r>
      <w:r w:rsidRPr="002301F0">
        <w:t xml:space="preserve">inister. In preparing </w:t>
      </w:r>
      <w:r>
        <w:t>a</w:t>
      </w:r>
      <w:r w:rsidRPr="002301F0">
        <w:t xml:space="preserve"> final recommendation, the ACMA must </w:t>
      </w:r>
      <w:r w:rsidR="004D36CC">
        <w:t>have regard to the</w:t>
      </w:r>
      <w:r w:rsidRPr="002301F0">
        <w:t xml:space="preserve"> views received during the public consultation period. </w:t>
      </w:r>
    </w:p>
    <w:p w14:paraId="0B27C4AF" w14:textId="77777777" w:rsidR="00550F18" w:rsidRDefault="00550F18" w:rsidP="00AB40D2"/>
    <w:p w14:paraId="7C900871" w14:textId="7115240A" w:rsidR="00AB40D2" w:rsidRPr="00BB53BC" w:rsidRDefault="00AB40D2" w:rsidP="00A072FB">
      <w:pPr>
        <w:pStyle w:val="BodySubHeader"/>
      </w:pPr>
      <w:bookmarkStart w:id="387" w:name="_Toc496277352"/>
      <w:bookmarkStart w:id="388" w:name="_Toc496277751"/>
      <w:bookmarkStart w:id="389" w:name="_Toc496527262"/>
      <w:bookmarkStart w:id="390" w:name="_Toc496527437"/>
      <w:r w:rsidRPr="00BB53BC">
        <w:lastRenderedPageBreak/>
        <w:t>Step 3—</w:t>
      </w:r>
      <w:r w:rsidR="002A6BBC">
        <w:t>s</w:t>
      </w:r>
      <w:r w:rsidRPr="00BB53BC">
        <w:t>pectrum reallocation declaration</w:t>
      </w:r>
      <w:bookmarkEnd w:id="387"/>
      <w:bookmarkEnd w:id="388"/>
      <w:bookmarkEnd w:id="389"/>
      <w:bookmarkEnd w:id="390"/>
      <w:r w:rsidRPr="00BB53BC">
        <w:t xml:space="preserve"> </w:t>
      </w:r>
    </w:p>
    <w:p w14:paraId="3CA0CA24" w14:textId="342D7A22" w:rsidR="00AB40D2" w:rsidRDefault="00AB40D2" w:rsidP="006E0DC8">
      <w:pPr>
        <w:spacing w:after="80"/>
        <w:rPr>
          <w:rFonts w:cs="Arial"/>
        </w:rPr>
      </w:pPr>
      <w:r w:rsidRPr="002301F0">
        <w:rPr>
          <w:rFonts w:cs="Arial"/>
        </w:rPr>
        <w:t xml:space="preserve">After the ACMA makes </w:t>
      </w:r>
      <w:r>
        <w:rPr>
          <w:rFonts w:cs="Arial"/>
        </w:rPr>
        <w:t>a</w:t>
      </w:r>
      <w:r w:rsidRPr="002301F0">
        <w:rPr>
          <w:rFonts w:cs="Arial"/>
        </w:rPr>
        <w:t xml:space="preserve"> final recommendation</w:t>
      </w:r>
      <w:r w:rsidRPr="00194C1F">
        <w:rPr>
          <w:rFonts w:cs="Arial"/>
        </w:rPr>
        <w:t>,</w:t>
      </w:r>
      <w:r w:rsidRPr="00D20121">
        <w:rPr>
          <w:rFonts w:cs="Arial"/>
          <w:b/>
        </w:rPr>
        <w:t xml:space="preserve"> </w:t>
      </w:r>
      <w:r w:rsidRPr="002301F0">
        <w:rPr>
          <w:rFonts w:cs="Arial"/>
        </w:rPr>
        <w:t xml:space="preserve">the </w:t>
      </w:r>
      <w:r>
        <w:rPr>
          <w:rFonts w:cs="Arial"/>
        </w:rPr>
        <w:t>m</w:t>
      </w:r>
      <w:r w:rsidRPr="002301F0">
        <w:rPr>
          <w:rFonts w:cs="Arial"/>
        </w:rPr>
        <w:t>inister</w:t>
      </w:r>
      <w:r>
        <w:rPr>
          <w:rFonts w:cs="Arial"/>
        </w:rPr>
        <w:t>, pursuant to section 153B of the Act,</w:t>
      </w:r>
      <w:r w:rsidRPr="002301F0">
        <w:rPr>
          <w:rFonts w:cs="Arial"/>
        </w:rPr>
        <w:t xml:space="preserve"> will have the power to declare </w:t>
      </w:r>
      <w:r w:rsidRPr="002301F0">
        <w:rPr>
          <w:rFonts w:cs="Arial"/>
          <w:szCs w:val="20"/>
        </w:rPr>
        <w:t xml:space="preserve">the frequency band </w:t>
      </w:r>
      <w:r>
        <w:rPr>
          <w:rFonts w:cs="Arial"/>
          <w:szCs w:val="20"/>
        </w:rPr>
        <w:t xml:space="preserve">or bands </w:t>
      </w:r>
      <w:r w:rsidRPr="002301F0">
        <w:rPr>
          <w:rFonts w:cs="Arial"/>
          <w:szCs w:val="20"/>
        </w:rPr>
        <w:t xml:space="preserve">and geographic area of the spectrum to be reallocated and the type of licences to be issued. In making </w:t>
      </w:r>
      <w:r>
        <w:rPr>
          <w:rFonts w:cs="Arial"/>
          <w:szCs w:val="20"/>
        </w:rPr>
        <w:t>a reallocation</w:t>
      </w:r>
      <w:r w:rsidRPr="002301F0">
        <w:rPr>
          <w:rFonts w:cs="Arial"/>
          <w:szCs w:val="20"/>
        </w:rPr>
        <w:t xml:space="preserve"> declaration, the </w:t>
      </w:r>
      <w:r>
        <w:rPr>
          <w:rFonts w:cs="Arial"/>
          <w:szCs w:val="20"/>
        </w:rPr>
        <w:t>m</w:t>
      </w:r>
      <w:r w:rsidRPr="002301F0">
        <w:rPr>
          <w:rFonts w:cs="Arial"/>
          <w:szCs w:val="20"/>
        </w:rPr>
        <w:t xml:space="preserve">inister must have regard to the </w:t>
      </w:r>
      <w:r>
        <w:rPr>
          <w:rFonts w:cs="Arial"/>
          <w:szCs w:val="20"/>
        </w:rPr>
        <w:t xml:space="preserve">ACMA’s </w:t>
      </w:r>
      <w:r w:rsidRPr="002301F0">
        <w:rPr>
          <w:rFonts w:cs="Arial"/>
          <w:szCs w:val="20"/>
        </w:rPr>
        <w:t xml:space="preserve">recommendation. The </w:t>
      </w:r>
      <w:r>
        <w:rPr>
          <w:rFonts w:cs="Arial"/>
          <w:szCs w:val="20"/>
        </w:rPr>
        <w:t>m</w:t>
      </w:r>
      <w:r w:rsidRPr="002301F0">
        <w:rPr>
          <w:rFonts w:cs="Arial"/>
          <w:szCs w:val="20"/>
        </w:rPr>
        <w:t>inister is only able to make a declaration within 180 days of receiving the recommendation from the ACMA</w:t>
      </w:r>
      <w:r>
        <w:rPr>
          <w:rFonts w:cs="Arial"/>
          <w:szCs w:val="20"/>
        </w:rPr>
        <w:t>. A reallocation</w:t>
      </w:r>
      <w:r w:rsidRPr="00BB2FAA">
        <w:rPr>
          <w:rFonts w:cs="Arial"/>
        </w:rPr>
        <w:t xml:space="preserve"> declaration </w:t>
      </w:r>
      <w:r w:rsidR="004D36CC">
        <w:rPr>
          <w:rFonts w:cs="Arial"/>
        </w:rPr>
        <w:t>must</w:t>
      </w:r>
      <w:r w:rsidR="004D36CC" w:rsidRPr="00BB2FAA">
        <w:rPr>
          <w:rFonts w:cs="Arial"/>
        </w:rPr>
        <w:t xml:space="preserve"> </w:t>
      </w:r>
      <w:r w:rsidRPr="00BB2FAA">
        <w:rPr>
          <w:rFonts w:cs="Arial"/>
        </w:rPr>
        <w:t xml:space="preserve">set out: </w:t>
      </w:r>
    </w:p>
    <w:p w14:paraId="7F77A0EA" w14:textId="77777777" w:rsidR="00AB40D2" w:rsidRPr="00D60043" w:rsidRDefault="00AB40D2" w:rsidP="00B25828">
      <w:pPr>
        <w:pStyle w:val="ListBullet"/>
        <w:ind w:left="295"/>
        <w:rPr>
          <w:szCs w:val="20"/>
        </w:rPr>
      </w:pPr>
      <w:r w:rsidRPr="00BB2FAA">
        <w:t>the reallocation period</w:t>
      </w:r>
    </w:p>
    <w:p w14:paraId="2B65290B" w14:textId="77777777" w:rsidR="00AB40D2" w:rsidRPr="00D60043" w:rsidRDefault="00AB40D2" w:rsidP="00B25828">
      <w:pPr>
        <w:pStyle w:val="ListBullet"/>
        <w:ind w:left="295"/>
        <w:rPr>
          <w:szCs w:val="20"/>
        </w:rPr>
      </w:pPr>
      <w:r w:rsidRPr="00BB2FAA">
        <w:t>the reallocation deadline</w:t>
      </w:r>
    </w:p>
    <w:p w14:paraId="62E46489" w14:textId="77777777" w:rsidR="00AB40D2" w:rsidRPr="00D60043" w:rsidRDefault="00AB40D2" w:rsidP="00B25828">
      <w:pPr>
        <w:pStyle w:val="ListBullet"/>
        <w:ind w:left="295"/>
        <w:rPr>
          <w:szCs w:val="20"/>
        </w:rPr>
      </w:pPr>
      <w:r w:rsidRPr="00BB2FAA">
        <w:t>the spectrum to be reallocated</w:t>
      </w:r>
    </w:p>
    <w:p w14:paraId="6EF1B7EE" w14:textId="4FB33AC0" w:rsidR="00AB40D2" w:rsidRPr="00F50E63" w:rsidRDefault="00AB40D2" w:rsidP="00B25828">
      <w:pPr>
        <w:pStyle w:val="ListBulletLast"/>
        <w:ind w:left="295"/>
      </w:pPr>
      <w:r w:rsidRPr="00F50E63">
        <w:t xml:space="preserve">whether </w:t>
      </w:r>
      <w:r w:rsidR="004D36CC">
        <w:t xml:space="preserve">the spectrum will be reallocated by the issue of </w:t>
      </w:r>
      <w:r w:rsidRPr="00F50E63">
        <w:t xml:space="preserve">spectrum or apparatus licences. </w:t>
      </w:r>
    </w:p>
    <w:p w14:paraId="3C9C3DCE" w14:textId="5D2C50B2" w:rsidR="00AB40D2" w:rsidRDefault="00AB40D2" w:rsidP="00AB40D2">
      <w:pPr>
        <w:rPr>
          <w:rFonts w:cs="Arial"/>
          <w:szCs w:val="20"/>
        </w:rPr>
      </w:pPr>
      <w:r w:rsidRPr="006F741C">
        <w:rPr>
          <w:szCs w:val="20"/>
        </w:rPr>
        <w:t xml:space="preserve">The </w:t>
      </w:r>
      <w:r>
        <w:rPr>
          <w:szCs w:val="20"/>
        </w:rPr>
        <w:t>mi</w:t>
      </w:r>
      <w:r w:rsidRPr="006F741C">
        <w:rPr>
          <w:szCs w:val="20"/>
        </w:rPr>
        <w:t xml:space="preserve">nister can only make a declaration about </w:t>
      </w:r>
      <w:r w:rsidR="004D36CC">
        <w:rPr>
          <w:szCs w:val="20"/>
        </w:rPr>
        <w:t xml:space="preserve">a part or parts of </w:t>
      </w:r>
      <w:r w:rsidRPr="006F741C">
        <w:rPr>
          <w:szCs w:val="20"/>
        </w:rPr>
        <w:t xml:space="preserve">spectrum that was </w:t>
      </w:r>
      <w:r w:rsidR="00F83C7D">
        <w:rPr>
          <w:szCs w:val="20"/>
        </w:rPr>
        <w:t xml:space="preserve">or were </w:t>
      </w:r>
      <w:r w:rsidRPr="006F741C">
        <w:rPr>
          <w:szCs w:val="20"/>
        </w:rPr>
        <w:t xml:space="preserve">included in a </w:t>
      </w:r>
      <w:r w:rsidRPr="00D60043">
        <w:t>recommendation</w:t>
      </w:r>
      <w:r w:rsidRPr="006F741C">
        <w:rPr>
          <w:szCs w:val="20"/>
        </w:rPr>
        <w:t xml:space="preserve"> from the ACMA. </w:t>
      </w:r>
      <w:r w:rsidRPr="00FF3B1C">
        <w:t xml:space="preserve">Figure </w:t>
      </w:r>
      <w:r w:rsidR="00590189" w:rsidRPr="002A01B8">
        <w:t>9</w:t>
      </w:r>
      <w:r w:rsidRPr="00FF3B1C">
        <w:rPr>
          <w:rFonts w:cs="Arial"/>
          <w:szCs w:val="20"/>
        </w:rPr>
        <w:t xml:space="preserve"> shows</w:t>
      </w:r>
      <w:r w:rsidRPr="006F741C">
        <w:rPr>
          <w:rFonts w:cs="Arial"/>
          <w:szCs w:val="20"/>
        </w:rPr>
        <w:t xml:space="preserve"> how the reallocation period and reallocation deadline interact.</w:t>
      </w:r>
    </w:p>
    <w:p w14:paraId="2059C9C9" w14:textId="267F1402" w:rsidR="00843CEA" w:rsidRDefault="00647A78" w:rsidP="00333EBE">
      <w:pPr>
        <w:pStyle w:val="ACMAFigureHeader"/>
        <w:spacing w:after="0"/>
      </w:pPr>
      <w:r>
        <w:t>T</w:t>
      </w:r>
      <w:r w:rsidRPr="002301F0">
        <w:t xml:space="preserve">he </w:t>
      </w:r>
      <w:r>
        <w:t>r</w:t>
      </w:r>
      <w:r w:rsidRPr="006F741C">
        <w:t xml:space="preserve">eallocation </w:t>
      </w:r>
      <w:r>
        <w:t>p</w:t>
      </w:r>
      <w:r w:rsidRPr="006F741C">
        <w:t xml:space="preserve">eriod and </w:t>
      </w:r>
      <w:r>
        <w:t>d</w:t>
      </w:r>
      <w:r w:rsidRPr="006F741C">
        <w:t xml:space="preserve">eadline </w:t>
      </w:r>
      <w:r w:rsidR="004042E0">
        <w:br/>
      </w:r>
    </w:p>
    <w:p w14:paraId="308CE936" w14:textId="3952C622" w:rsidR="00B86531" w:rsidRDefault="00B86531" w:rsidP="00843CEA">
      <w:pPr>
        <w:spacing w:after="0"/>
      </w:pPr>
      <w:r>
        <w:rPr>
          <w:noProof/>
        </w:rPr>
        <w:drawing>
          <wp:inline distT="0" distB="0" distL="0" distR="0" wp14:anchorId="3787CC69" wp14:editId="6767910B">
            <wp:extent cx="4871085" cy="1964690"/>
            <wp:effectExtent l="0" t="0" r="5715" b="0"/>
            <wp:docPr id="7" name="Picture 7" descr="The reallocation period and deadline"/>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48">
                      <a:extLst>
                        <a:ext uri="{28A0092B-C50C-407E-A947-70E740481C1C}">
                          <a14:useLocalDpi xmlns:a14="http://schemas.microsoft.com/office/drawing/2010/main" val="0"/>
                        </a:ext>
                      </a:extLst>
                    </a:blip>
                    <a:stretch>
                      <a:fillRect/>
                    </a:stretch>
                  </pic:blipFill>
                  <pic:spPr>
                    <a:xfrm>
                      <a:off x="0" y="0"/>
                      <a:ext cx="4871085" cy="1964690"/>
                    </a:xfrm>
                    <a:prstGeom prst="rect">
                      <a:avLst/>
                    </a:prstGeom>
                  </pic:spPr>
                </pic:pic>
              </a:graphicData>
            </a:graphic>
          </wp:inline>
        </w:drawing>
      </w:r>
    </w:p>
    <w:p w14:paraId="09E306CB" w14:textId="77777777" w:rsidR="00B86531" w:rsidRDefault="00B86531" w:rsidP="00843CEA">
      <w:pPr>
        <w:spacing w:after="0"/>
      </w:pPr>
    </w:p>
    <w:p w14:paraId="2EB34C36" w14:textId="77777777" w:rsidR="00AB40D2" w:rsidRPr="006F741C" w:rsidRDefault="00AB40D2" w:rsidP="00BB53BC">
      <w:r>
        <w:t>T</w:t>
      </w:r>
      <w:r w:rsidRPr="002301F0">
        <w:t>he reallocation period</w:t>
      </w:r>
      <w:r w:rsidRPr="006F741C">
        <w:t xml:space="preserve"> is the period </w:t>
      </w:r>
      <w:r>
        <w:t xml:space="preserve">at the end of which </w:t>
      </w:r>
      <w:r w:rsidRPr="006F741C">
        <w:t xml:space="preserve">incumbent apparatus licences </w:t>
      </w:r>
      <w:r>
        <w:t>are cancelled, leaving</w:t>
      </w:r>
      <w:r w:rsidRPr="006F741C">
        <w:t xml:space="preserve"> </w:t>
      </w:r>
      <w:r w:rsidRPr="002301F0">
        <w:t>the spectrum available for use by new licensees</w:t>
      </w:r>
      <w:r>
        <w:t>.</w:t>
      </w:r>
      <w:r w:rsidRPr="002301F0">
        <w:t xml:space="preserve"> The reallocation period must begin within 28 days of the reallocation declaration being made by the </w:t>
      </w:r>
      <w:r>
        <w:t>m</w:t>
      </w:r>
      <w:r w:rsidRPr="002301F0">
        <w:t>inister and must run for at least two years</w:t>
      </w:r>
      <w:r>
        <w:t xml:space="preserve">. </w:t>
      </w:r>
    </w:p>
    <w:p w14:paraId="477A402E" w14:textId="43462D76" w:rsidR="00AB40D2" w:rsidRDefault="00AB40D2" w:rsidP="00BB53BC">
      <w:r>
        <w:t>In accordance with subsection</w:t>
      </w:r>
      <w:r w:rsidRPr="00BB2FAA">
        <w:t xml:space="preserve"> 153</w:t>
      </w:r>
      <w:proofErr w:type="gramStart"/>
      <w:r w:rsidRPr="00BB2FAA">
        <w:t>B(</w:t>
      </w:r>
      <w:proofErr w:type="gramEnd"/>
      <w:r w:rsidRPr="00BB2FAA">
        <w:t xml:space="preserve">5) </w:t>
      </w:r>
      <w:r>
        <w:t>of the Act, t</w:t>
      </w:r>
      <w:r w:rsidRPr="002301F0">
        <w:t>he reallocation deadline</w:t>
      </w:r>
      <w:r>
        <w:t xml:space="preserve"> </w:t>
      </w:r>
      <w:r w:rsidRPr="006F741C">
        <w:t xml:space="preserve">must be at least 12 months before the end of the </w:t>
      </w:r>
      <w:r w:rsidRPr="002301F0">
        <w:t>reallocation period</w:t>
      </w:r>
      <w:r>
        <w:t xml:space="preserve">. </w:t>
      </w:r>
      <w:r w:rsidRPr="002301F0">
        <w:t xml:space="preserve">The reallocation deadline is significant because if the ACMA does not </w:t>
      </w:r>
      <w:r>
        <w:t>allocate</w:t>
      </w:r>
      <w:r w:rsidRPr="002301F0">
        <w:t xml:space="preserve"> at least one licence before th</w:t>
      </w:r>
      <w:r>
        <w:t>is</w:t>
      </w:r>
      <w:r w:rsidRPr="002301F0">
        <w:t xml:space="preserve"> deadline, the </w:t>
      </w:r>
      <w:r>
        <w:t xml:space="preserve">reallocation </w:t>
      </w:r>
      <w:r w:rsidRPr="002301F0">
        <w:t xml:space="preserve">declaration </w:t>
      </w:r>
      <w:r>
        <w:t>is automatically</w:t>
      </w:r>
      <w:r w:rsidRPr="002301F0">
        <w:t xml:space="preserve"> revoked</w:t>
      </w:r>
      <w:r>
        <w:t xml:space="preserve">. </w:t>
      </w:r>
    </w:p>
    <w:p w14:paraId="01E06054" w14:textId="531491A9" w:rsidR="00AB40D2" w:rsidRPr="00C0100E" w:rsidRDefault="00AB40D2" w:rsidP="00BA2F3B">
      <w:pPr>
        <w:pStyle w:val="BodySubHeader"/>
        <w:keepNext/>
      </w:pPr>
      <w:bookmarkStart w:id="391" w:name="_Toc496277353"/>
      <w:bookmarkStart w:id="392" w:name="_Toc496277752"/>
      <w:bookmarkStart w:id="393" w:name="_Toc496527263"/>
      <w:bookmarkStart w:id="394" w:name="_Toc496527438"/>
      <w:r w:rsidRPr="00BB53BC">
        <w:t>Step 4—</w:t>
      </w:r>
      <w:r w:rsidR="002A6BBC">
        <w:t>d</w:t>
      </w:r>
      <w:r w:rsidRPr="00BB53BC">
        <w:t>raft allocation instruments</w:t>
      </w:r>
      <w:bookmarkEnd w:id="391"/>
      <w:bookmarkEnd w:id="392"/>
      <w:bookmarkEnd w:id="393"/>
      <w:bookmarkEnd w:id="394"/>
      <w:r w:rsidRPr="00BB53BC">
        <w:t xml:space="preserve"> </w:t>
      </w:r>
    </w:p>
    <w:p w14:paraId="17DC19CF" w14:textId="6E02252E" w:rsidR="00AB40D2" w:rsidRPr="006F741C" w:rsidRDefault="00AB40D2" w:rsidP="00AB40D2">
      <w:pPr>
        <w:rPr>
          <w:rFonts w:cs="Arial"/>
        </w:rPr>
      </w:pPr>
      <w:r w:rsidRPr="002301F0">
        <w:rPr>
          <w:rFonts w:cs="Arial"/>
        </w:rPr>
        <w:t xml:space="preserve">The ACMA must make a number of instruments in order to conduct </w:t>
      </w:r>
      <w:r>
        <w:rPr>
          <w:rFonts w:cs="Arial"/>
        </w:rPr>
        <w:t>an</w:t>
      </w:r>
      <w:r w:rsidRPr="002301F0">
        <w:rPr>
          <w:rFonts w:cs="Arial"/>
        </w:rPr>
        <w:t xml:space="preserve"> </w:t>
      </w:r>
      <w:r w:rsidR="00843556">
        <w:rPr>
          <w:rFonts w:cs="Arial"/>
        </w:rPr>
        <w:t>allocation</w:t>
      </w:r>
      <w:r w:rsidR="00843556" w:rsidRPr="002301F0">
        <w:rPr>
          <w:rFonts w:cs="Arial"/>
        </w:rPr>
        <w:t xml:space="preserve"> </w:t>
      </w:r>
      <w:r w:rsidRPr="002301F0">
        <w:rPr>
          <w:rFonts w:cs="Arial"/>
        </w:rPr>
        <w:t xml:space="preserve">of </w:t>
      </w:r>
      <w:r>
        <w:rPr>
          <w:rFonts w:cs="Arial"/>
        </w:rPr>
        <w:t>spectrum</w:t>
      </w:r>
      <w:r w:rsidRPr="002301F0">
        <w:rPr>
          <w:rFonts w:cs="Arial"/>
        </w:rPr>
        <w:t>. These include a marketing plan under section 39A</w:t>
      </w:r>
      <w:r>
        <w:rPr>
          <w:rFonts w:cs="Arial"/>
        </w:rPr>
        <w:t xml:space="preserve"> of the Act and </w:t>
      </w:r>
      <w:r w:rsidRPr="002301F0">
        <w:rPr>
          <w:rFonts w:cs="Arial"/>
        </w:rPr>
        <w:t xml:space="preserve">an allocation procedures </w:t>
      </w:r>
      <w:r>
        <w:rPr>
          <w:rFonts w:cs="Arial"/>
        </w:rPr>
        <w:t>determination under section 60</w:t>
      </w:r>
      <w:r w:rsidRPr="002301F0">
        <w:rPr>
          <w:rFonts w:cs="Arial"/>
        </w:rPr>
        <w:t xml:space="preserve">. </w:t>
      </w:r>
    </w:p>
    <w:p w14:paraId="5BCAC9EC" w14:textId="30AF6FDE" w:rsidR="00AB40D2" w:rsidRPr="006F741C" w:rsidRDefault="00AB40D2" w:rsidP="00AB40D2">
      <w:pPr>
        <w:rPr>
          <w:rFonts w:cs="Arial"/>
          <w:b/>
          <w:i/>
        </w:rPr>
      </w:pPr>
      <w:r>
        <w:rPr>
          <w:rFonts w:cs="Arial"/>
        </w:rPr>
        <w:t>Generally</w:t>
      </w:r>
      <w:r w:rsidRPr="002301F0">
        <w:rPr>
          <w:rFonts w:cs="Arial"/>
        </w:rPr>
        <w:t xml:space="preserve">, </w:t>
      </w:r>
      <w:r>
        <w:rPr>
          <w:rFonts w:cs="Arial"/>
        </w:rPr>
        <w:t>a</w:t>
      </w:r>
      <w:r w:rsidRPr="002301F0">
        <w:rPr>
          <w:rFonts w:cs="Arial"/>
        </w:rPr>
        <w:t xml:space="preserve"> </w:t>
      </w:r>
      <w:r>
        <w:rPr>
          <w:rFonts w:cs="Arial"/>
        </w:rPr>
        <w:t>m</w:t>
      </w:r>
      <w:r w:rsidRPr="003D3B87">
        <w:rPr>
          <w:rFonts w:cs="Arial"/>
        </w:rPr>
        <w:t xml:space="preserve">arketing </w:t>
      </w:r>
      <w:r>
        <w:rPr>
          <w:rFonts w:cs="Arial"/>
        </w:rPr>
        <w:t>p</w:t>
      </w:r>
      <w:r w:rsidRPr="003D3B87">
        <w:rPr>
          <w:rFonts w:cs="Arial"/>
        </w:rPr>
        <w:t xml:space="preserve">lan </w:t>
      </w:r>
      <w:r>
        <w:rPr>
          <w:rFonts w:cs="Arial"/>
        </w:rPr>
        <w:t xml:space="preserve">sets </w:t>
      </w:r>
      <w:r w:rsidRPr="002301F0">
        <w:rPr>
          <w:rFonts w:cs="Arial"/>
        </w:rPr>
        <w:t>out information about the spectrum that is available and describe</w:t>
      </w:r>
      <w:r>
        <w:rPr>
          <w:rFonts w:cs="Arial"/>
        </w:rPr>
        <w:t>s</w:t>
      </w:r>
      <w:r w:rsidRPr="002301F0">
        <w:rPr>
          <w:rFonts w:cs="Arial"/>
        </w:rPr>
        <w:t xml:space="preserve"> </w:t>
      </w:r>
      <w:r w:rsidR="00821355" w:rsidRPr="00821355">
        <w:rPr>
          <w:rFonts w:cs="Arial"/>
        </w:rPr>
        <w:t>the licence conditions that are proposed to be included on the spectrum licences issued</w:t>
      </w:r>
      <w:r>
        <w:rPr>
          <w:rFonts w:cs="Arial"/>
        </w:rPr>
        <w:t xml:space="preserve">. </w:t>
      </w:r>
      <w:r w:rsidRPr="002301F0">
        <w:rPr>
          <w:rFonts w:cs="Arial"/>
        </w:rPr>
        <w:t xml:space="preserve">For example, </w:t>
      </w:r>
      <w:r>
        <w:rPr>
          <w:rFonts w:cs="Arial"/>
        </w:rPr>
        <w:t>it</w:t>
      </w:r>
      <w:r w:rsidRPr="003D3B87">
        <w:rPr>
          <w:rFonts w:cs="Arial"/>
        </w:rPr>
        <w:t xml:space="preserve"> </w:t>
      </w:r>
      <w:r w:rsidRPr="002301F0">
        <w:rPr>
          <w:rFonts w:cs="Arial"/>
        </w:rPr>
        <w:t xml:space="preserve">might specify the type of </w:t>
      </w:r>
      <w:r w:rsidR="00843556">
        <w:rPr>
          <w:rFonts w:cs="Arial"/>
        </w:rPr>
        <w:t>allocation</w:t>
      </w:r>
      <w:r w:rsidR="00843556" w:rsidRPr="002301F0">
        <w:rPr>
          <w:rFonts w:cs="Arial"/>
        </w:rPr>
        <w:t xml:space="preserve"> </w:t>
      </w:r>
      <w:r w:rsidRPr="002301F0">
        <w:rPr>
          <w:rFonts w:cs="Arial"/>
        </w:rPr>
        <w:t>method that will be employed</w:t>
      </w:r>
      <w:r>
        <w:rPr>
          <w:rFonts w:cs="Arial"/>
        </w:rPr>
        <w:t>,</w:t>
      </w:r>
      <w:r w:rsidRPr="002301F0">
        <w:rPr>
          <w:rFonts w:cs="Arial"/>
        </w:rPr>
        <w:t xml:space="preserve"> how the spectrum will be apportioned into lots and how much spectrum will be reserved for community or public services</w:t>
      </w:r>
      <w:r>
        <w:rPr>
          <w:rFonts w:cs="Arial"/>
        </w:rPr>
        <w:t xml:space="preserve">. </w:t>
      </w:r>
      <w:r w:rsidR="00821355">
        <w:rPr>
          <w:rFonts w:cs="Arial"/>
        </w:rPr>
        <w:t xml:space="preserve">The ACMA must prepare </w:t>
      </w:r>
      <w:r w:rsidRPr="006F741C">
        <w:rPr>
          <w:rFonts w:cs="Arial"/>
        </w:rPr>
        <w:t xml:space="preserve">a </w:t>
      </w:r>
      <w:r>
        <w:rPr>
          <w:rFonts w:cs="Arial"/>
        </w:rPr>
        <w:t xml:space="preserve">draft </w:t>
      </w:r>
      <w:r w:rsidRPr="006F741C">
        <w:rPr>
          <w:rFonts w:cs="Arial"/>
        </w:rPr>
        <w:t xml:space="preserve">sample spectrum licence </w:t>
      </w:r>
      <w:r w:rsidRPr="002301F0">
        <w:rPr>
          <w:rFonts w:cs="Arial"/>
        </w:rPr>
        <w:t xml:space="preserve">defining the area and frequency band of the licence and setting out licence conditions, including emission limits, </w:t>
      </w:r>
      <w:r>
        <w:rPr>
          <w:rFonts w:cs="Arial"/>
        </w:rPr>
        <w:t xml:space="preserve">relevant </w:t>
      </w:r>
      <w:r w:rsidRPr="002301F0">
        <w:rPr>
          <w:rFonts w:cs="Arial"/>
        </w:rPr>
        <w:t>technical advisory guidelines and statutory obligations.</w:t>
      </w:r>
      <w:r w:rsidR="00821355" w:rsidRPr="00821355">
        <w:t xml:space="preserve"> </w:t>
      </w:r>
      <w:r w:rsidR="00821355" w:rsidRPr="00821355">
        <w:rPr>
          <w:rFonts w:cs="Arial"/>
        </w:rPr>
        <w:t>This is usually included in the marketing plan.</w:t>
      </w:r>
    </w:p>
    <w:p w14:paraId="65730DCB" w14:textId="5563759C" w:rsidR="00AB40D2" w:rsidRPr="006F741C" w:rsidRDefault="00AB40D2" w:rsidP="00AB40D2">
      <w:pPr>
        <w:rPr>
          <w:rFonts w:cs="Arial"/>
        </w:rPr>
      </w:pPr>
      <w:r>
        <w:rPr>
          <w:rFonts w:cs="Arial"/>
        </w:rPr>
        <w:lastRenderedPageBreak/>
        <w:t>The allocation procedures determination</w:t>
      </w:r>
      <w:r w:rsidRPr="002301F0">
        <w:rPr>
          <w:rFonts w:cs="Arial"/>
        </w:rPr>
        <w:t xml:space="preserve"> sets out</w:t>
      </w:r>
      <w:r>
        <w:rPr>
          <w:rFonts w:cs="Arial"/>
        </w:rPr>
        <w:t>,</w:t>
      </w:r>
      <w:r w:rsidRPr="002301F0">
        <w:rPr>
          <w:rFonts w:cs="Arial"/>
        </w:rPr>
        <w:t xml:space="preserve"> in greater detail</w:t>
      </w:r>
      <w:r>
        <w:rPr>
          <w:rFonts w:cs="Arial"/>
        </w:rPr>
        <w:t>,</w:t>
      </w:r>
      <w:r w:rsidRPr="002301F0">
        <w:rPr>
          <w:rFonts w:cs="Arial"/>
        </w:rPr>
        <w:t xml:space="preserve"> the elements of the chosen allocation method. For example, the procedures will detail the </w:t>
      </w:r>
      <w:r w:rsidR="00821355">
        <w:rPr>
          <w:rFonts w:cs="Arial"/>
        </w:rPr>
        <w:t xml:space="preserve">allocation method and, if that method is an auction, the </w:t>
      </w:r>
      <w:r w:rsidRPr="002301F0">
        <w:rPr>
          <w:rFonts w:cs="Arial"/>
        </w:rPr>
        <w:t>auction method and auction rules, registration requirements, fees associated with the auction, reserve prices, deposits payable and methods of payment</w:t>
      </w:r>
      <w:r>
        <w:rPr>
          <w:rFonts w:cs="Arial"/>
        </w:rPr>
        <w:t xml:space="preserve">. </w:t>
      </w:r>
      <w:r w:rsidRPr="006F741C">
        <w:rPr>
          <w:rFonts w:cs="Arial"/>
        </w:rPr>
        <w:t xml:space="preserve">If the </w:t>
      </w:r>
      <w:r>
        <w:rPr>
          <w:rFonts w:cs="Arial"/>
        </w:rPr>
        <w:t>m</w:t>
      </w:r>
      <w:r w:rsidRPr="006F741C">
        <w:rPr>
          <w:rFonts w:cs="Arial"/>
        </w:rPr>
        <w:t>inister directs the ACMA t</w:t>
      </w:r>
      <w:r w:rsidRPr="002301F0">
        <w:rPr>
          <w:rFonts w:cs="Arial"/>
        </w:rPr>
        <w:t xml:space="preserve">o do so, the allocation procedures may also impose competition limits, such as a limit on the amount of spectrum that may be </w:t>
      </w:r>
      <w:r w:rsidR="00821355">
        <w:rPr>
          <w:rFonts w:cs="Arial"/>
        </w:rPr>
        <w:t>used</w:t>
      </w:r>
      <w:r w:rsidR="00821355" w:rsidRPr="002301F0">
        <w:rPr>
          <w:rFonts w:cs="Arial"/>
        </w:rPr>
        <w:t xml:space="preserve"> </w:t>
      </w:r>
      <w:r w:rsidRPr="002301F0">
        <w:rPr>
          <w:rFonts w:cs="Arial"/>
        </w:rPr>
        <w:t>by a particular entity</w:t>
      </w:r>
      <w:r w:rsidR="00821355">
        <w:rPr>
          <w:rFonts w:cs="Arial"/>
        </w:rPr>
        <w:t xml:space="preserve"> as a result of the allocation</w:t>
      </w:r>
      <w:r>
        <w:rPr>
          <w:rFonts w:cs="Arial"/>
        </w:rPr>
        <w:t xml:space="preserve">. </w:t>
      </w:r>
      <w:r w:rsidRPr="006F741C">
        <w:rPr>
          <w:rFonts w:cs="Arial"/>
        </w:rPr>
        <w:t xml:space="preserve">The </w:t>
      </w:r>
      <w:r>
        <w:rPr>
          <w:rFonts w:cs="Arial"/>
        </w:rPr>
        <w:t>minister may direct the ACMA on the imposition of</w:t>
      </w:r>
      <w:r w:rsidRPr="006F741C">
        <w:rPr>
          <w:rFonts w:cs="Arial"/>
        </w:rPr>
        <w:t xml:space="preserve"> </w:t>
      </w:r>
      <w:r w:rsidRPr="002301F0">
        <w:rPr>
          <w:rFonts w:cs="Arial"/>
        </w:rPr>
        <w:t>competition limits</w:t>
      </w:r>
      <w:r>
        <w:rPr>
          <w:rFonts w:cs="Arial"/>
        </w:rPr>
        <w:t xml:space="preserve">. </w:t>
      </w:r>
    </w:p>
    <w:p w14:paraId="34C7A6F8" w14:textId="77777777" w:rsidR="00AB40D2" w:rsidRDefault="00AB40D2" w:rsidP="006E0DC8">
      <w:pPr>
        <w:spacing w:after="80"/>
        <w:rPr>
          <w:rFonts w:cs="Arial"/>
        </w:rPr>
      </w:pPr>
      <w:r>
        <w:rPr>
          <w:rFonts w:cs="Arial"/>
        </w:rPr>
        <w:t>T</w:t>
      </w:r>
      <w:r w:rsidRPr="002301F0">
        <w:rPr>
          <w:rFonts w:cs="Arial"/>
        </w:rPr>
        <w:t xml:space="preserve">here are a number of instruments that implement the technical framework for </w:t>
      </w:r>
      <w:r>
        <w:rPr>
          <w:rFonts w:cs="Arial"/>
        </w:rPr>
        <w:t>a</w:t>
      </w:r>
      <w:r w:rsidRPr="002301F0">
        <w:rPr>
          <w:rFonts w:cs="Arial"/>
        </w:rPr>
        <w:t xml:space="preserve"> band. </w:t>
      </w:r>
      <w:r>
        <w:rPr>
          <w:rFonts w:cs="Arial"/>
        </w:rPr>
        <w:t>T</w:t>
      </w:r>
      <w:r w:rsidRPr="002301F0">
        <w:rPr>
          <w:rFonts w:cs="Arial"/>
        </w:rPr>
        <w:t xml:space="preserve">hese </w:t>
      </w:r>
      <w:r>
        <w:rPr>
          <w:rFonts w:cs="Arial"/>
        </w:rPr>
        <w:t>may</w:t>
      </w:r>
      <w:r w:rsidRPr="002301F0">
        <w:rPr>
          <w:rFonts w:cs="Arial"/>
        </w:rPr>
        <w:t xml:space="preserve"> comprise</w:t>
      </w:r>
      <w:r>
        <w:rPr>
          <w:rFonts w:cs="Arial"/>
        </w:rPr>
        <w:t>:</w:t>
      </w:r>
    </w:p>
    <w:p w14:paraId="6A5D5620" w14:textId="4D345631" w:rsidR="00AB40D2" w:rsidRDefault="00AB40D2" w:rsidP="00700E9B">
      <w:pPr>
        <w:pStyle w:val="ListBullet"/>
        <w:tabs>
          <w:tab w:val="clear" w:pos="1996"/>
          <w:tab w:val="num" w:pos="295"/>
        </w:tabs>
        <w:ind w:left="295"/>
        <w:rPr>
          <w:rFonts w:cs="Arial"/>
        </w:rPr>
      </w:pPr>
      <w:r>
        <w:rPr>
          <w:rFonts w:cs="Arial"/>
        </w:rPr>
        <w:t>a determination made</w:t>
      </w:r>
      <w:r w:rsidRPr="002301F0">
        <w:rPr>
          <w:rFonts w:cs="Arial"/>
        </w:rPr>
        <w:t xml:space="preserve"> under </w:t>
      </w:r>
      <w:r>
        <w:rPr>
          <w:rFonts w:cs="Arial"/>
        </w:rPr>
        <w:t>sub</w:t>
      </w:r>
      <w:r w:rsidRPr="002301F0">
        <w:rPr>
          <w:rFonts w:cs="Arial"/>
        </w:rPr>
        <w:t>section 145</w:t>
      </w:r>
      <w:r>
        <w:rPr>
          <w:rFonts w:cs="Arial"/>
        </w:rPr>
        <w:t>(4) of the Act—</w:t>
      </w:r>
      <w:r w:rsidR="00631E12">
        <w:rPr>
          <w:rFonts w:cs="Arial"/>
        </w:rPr>
        <w:t>determining</w:t>
      </w:r>
      <w:r>
        <w:rPr>
          <w:rFonts w:cs="Arial"/>
        </w:rPr>
        <w:t xml:space="preserve"> unacceptable levels of interference</w:t>
      </w:r>
      <w:r w:rsidR="00631E12">
        <w:rPr>
          <w:rFonts w:cs="Arial"/>
        </w:rPr>
        <w:t xml:space="preserve"> </w:t>
      </w:r>
      <w:r w:rsidR="00631E12" w:rsidRPr="00631E12">
        <w:rPr>
          <w:rFonts w:cs="Arial"/>
        </w:rPr>
        <w:t xml:space="preserve">for radiocommunications transmitters proposed to be operated under the spectrum licences. </w:t>
      </w:r>
    </w:p>
    <w:p w14:paraId="19BE0842" w14:textId="77777777" w:rsidR="00AB40D2" w:rsidRDefault="00AB40D2" w:rsidP="00F661D3">
      <w:pPr>
        <w:pStyle w:val="ListBullet"/>
        <w:numPr>
          <w:ilvl w:val="0"/>
          <w:numId w:val="13"/>
        </w:numPr>
        <w:spacing w:after="240"/>
        <w:ind w:left="295" w:hanging="295"/>
        <w:rPr>
          <w:rFonts w:cs="Arial"/>
        </w:rPr>
      </w:pPr>
      <w:r>
        <w:rPr>
          <w:rFonts w:cs="Arial"/>
        </w:rPr>
        <w:t>r</w:t>
      </w:r>
      <w:r w:rsidRPr="002301F0">
        <w:rPr>
          <w:rFonts w:cs="Arial"/>
        </w:rPr>
        <w:t xml:space="preserve">adiocommunications </w:t>
      </w:r>
      <w:r>
        <w:rPr>
          <w:rFonts w:cs="Arial"/>
        </w:rPr>
        <w:t>a</w:t>
      </w:r>
      <w:r w:rsidRPr="002301F0">
        <w:rPr>
          <w:rFonts w:cs="Arial"/>
        </w:rPr>
        <w:t xml:space="preserve">dvisory </w:t>
      </w:r>
      <w:r>
        <w:rPr>
          <w:rFonts w:cs="Arial"/>
        </w:rPr>
        <w:t>g</w:t>
      </w:r>
      <w:r w:rsidRPr="002301F0">
        <w:rPr>
          <w:rFonts w:cs="Arial"/>
        </w:rPr>
        <w:t xml:space="preserve">uidelines </w:t>
      </w:r>
      <w:r>
        <w:rPr>
          <w:rFonts w:cs="Arial"/>
        </w:rPr>
        <w:t>made</w:t>
      </w:r>
      <w:r w:rsidRPr="002301F0">
        <w:rPr>
          <w:rFonts w:cs="Arial"/>
        </w:rPr>
        <w:t xml:space="preserve"> under section 262</w:t>
      </w:r>
      <w:r>
        <w:rPr>
          <w:rFonts w:cs="Arial"/>
        </w:rPr>
        <w:t xml:space="preserve"> of the Act—</w:t>
      </w:r>
      <w:r w:rsidRPr="002301F0">
        <w:rPr>
          <w:rFonts w:cs="Arial"/>
        </w:rPr>
        <w:t>which assist licensees to coordinate with other radiocommunications services.</w:t>
      </w:r>
      <w:r>
        <w:rPr>
          <w:rFonts w:cs="Arial"/>
        </w:rPr>
        <w:t xml:space="preserve"> </w:t>
      </w:r>
    </w:p>
    <w:p w14:paraId="2A4F7E68" w14:textId="6A8C973B" w:rsidR="00AB40D2" w:rsidRPr="006F741C" w:rsidRDefault="00AB40D2" w:rsidP="00AB40D2">
      <w:r>
        <w:t>Subject to the minister making a reallocation declaration, the ACMA will develop the technical framework and draft the instruments</w:t>
      </w:r>
      <w:r w:rsidR="00700E9B">
        <w:t xml:space="preserve"> for the allocation of </w:t>
      </w:r>
      <w:r w:rsidR="00B25828">
        <w:t>the 26</w:t>
      </w:r>
      <w:r w:rsidR="00700E9B">
        <w:t xml:space="preserve"> GHz</w:t>
      </w:r>
      <w:r w:rsidR="00B25828">
        <w:t xml:space="preserve"> band</w:t>
      </w:r>
      <w:r>
        <w:t>.</w:t>
      </w:r>
    </w:p>
    <w:p w14:paraId="130A787C" w14:textId="5242A93C" w:rsidR="00AB40D2" w:rsidRPr="0013185C" w:rsidRDefault="00AB40D2" w:rsidP="002859A1">
      <w:pPr>
        <w:pStyle w:val="BodySubHeader"/>
      </w:pPr>
      <w:bookmarkStart w:id="395" w:name="_Toc496277354"/>
      <w:bookmarkStart w:id="396" w:name="_Toc496277753"/>
      <w:bookmarkStart w:id="397" w:name="_Toc496527264"/>
      <w:bookmarkStart w:id="398" w:name="_Toc496527439"/>
      <w:r w:rsidRPr="0013185C">
        <w:t>Step 5—</w:t>
      </w:r>
      <w:r w:rsidR="003B13E6">
        <w:t>f</w:t>
      </w:r>
      <w:r w:rsidRPr="0013185C">
        <w:t>inal allocation instruments</w:t>
      </w:r>
      <w:bookmarkEnd w:id="395"/>
      <w:bookmarkEnd w:id="396"/>
      <w:bookmarkEnd w:id="397"/>
      <w:bookmarkEnd w:id="398"/>
    </w:p>
    <w:p w14:paraId="13BCF608" w14:textId="14F70E67" w:rsidR="00AB40D2" w:rsidRPr="006F741C" w:rsidRDefault="00AB40D2" w:rsidP="00AB40D2">
      <w:pPr>
        <w:rPr>
          <w:rFonts w:cs="Arial"/>
        </w:rPr>
      </w:pPr>
      <w:r w:rsidRPr="002301F0">
        <w:rPr>
          <w:rFonts w:cs="Arial"/>
        </w:rPr>
        <w:t>After consultation, the ACMA w</w:t>
      </w:r>
      <w:r>
        <w:rPr>
          <w:rFonts w:cs="Arial"/>
        </w:rPr>
        <w:t>ould</w:t>
      </w:r>
      <w:r w:rsidRPr="002301F0">
        <w:rPr>
          <w:rFonts w:cs="Arial"/>
        </w:rPr>
        <w:t xml:space="preserve"> make final versions of the allocation instruments. These </w:t>
      </w:r>
      <w:r w:rsidR="00631E12" w:rsidRPr="00631E12">
        <w:rPr>
          <w:rFonts w:cs="Arial"/>
        </w:rPr>
        <w:t>instruments are legislative instruments and therefore must</w:t>
      </w:r>
      <w:r w:rsidRPr="002301F0">
        <w:rPr>
          <w:rFonts w:cs="Arial"/>
        </w:rPr>
        <w:t xml:space="preserve"> be published on the </w:t>
      </w:r>
      <w:hyperlink r:id="rId49" w:history="1">
        <w:r w:rsidR="00DA6457">
          <w:rPr>
            <w:rStyle w:val="Hyperlink"/>
            <w:rFonts w:cs="Arial"/>
          </w:rPr>
          <w:t>Federal Register of Legislation</w:t>
        </w:r>
      </w:hyperlink>
      <w:r w:rsidRPr="002301F0">
        <w:rPr>
          <w:rFonts w:cs="Arial"/>
        </w:rPr>
        <w:t>.</w:t>
      </w:r>
    </w:p>
    <w:p w14:paraId="09CE7AB5" w14:textId="1071E4AE" w:rsidR="00AB40D2" w:rsidRPr="00BB53BC" w:rsidRDefault="00AB40D2" w:rsidP="002859A1">
      <w:pPr>
        <w:pStyle w:val="BodySubHeader"/>
      </w:pPr>
      <w:bookmarkStart w:id="399" w:name="_Toc496277355"/>
      <w:bookmarkStart w:id="400" w:name="_Toc496277754"/>
      <w:bookmarkStart w:id="401" w:name="_Toc496527265"/>
      <w:bookmarkStart w:id="402" w:name="_Toc496527440"/>
      <w:r w:rsidRPr="00BB53BC">
        <w:t>Step 6—</w:t>
      </w:r>
      <w:bookmarkEnd w:id="399"/>
      <w:bookmarkEnd w:id="400"/>
      <w:bookmarkEnd w:id="401"/>
      <w:bookmarkEnd w:id="402"/>
      <w:r w:rsidR="003B13E6">
        <w:t>a</w:t>
      </w:r>
      <w:r w:rsidR="00C927C0">
        <w:t>llocation</w:t>
      </w:r>
    </w:p>
    <w:p w14:paraId="51463869" w14:textId="5FB23194" w:rsidR="00AB40D2" w:rsidRPr="006F741C" w:rsidRDefault="00AB40D2" w:rsidP="002859A1">
      <w:pPr>
        <w:rPr>
          <w:rFonts w:cs="Arial"/>
        </w:rPr>
      </w:pPr>
      <w:r w:rsidRPr="002301F0">
        <w:rPr>
          <w:rFonts w:cs="Arial"/>
        </w:rPr>
        <w:t xml:space="preserve">Once the allocation instruments </w:t>
      </w:r>
      <w:r w:rsidR="00DA6457">
        <w:rPr>
          <w:rFonts w:cs="Arial"/>
        </w:rPr>
        <w:t>are</w:t>
      </w:r>
      <w:r w:rsidRPr="002301F0">
        <w:rPr>
          <w:rFonts w:cs="Arial"/>
        </w:rPr>
        <w:t xml:space="preserve"> </w:t>
      </w:r>
      <w:r w:rsidR="00631E12">
        <w:rPr>
          <w:rFonts w:cs="Arial"/>
        </w:rPr>
        <w:t>made and come into effect</w:t>
      </w:r>
      <w:r w:rsidRPr="002301F0">
        <w:rPr>
          <w:rFonts w:cs="Arial"/>
        </w:rPr>
        <w:t>, the ACMA w</w:t>
      </w:r>
      <w:r>
        <w:rPr>
          <w:rFonts w:cs="Arial"/>
        </w:rPr>
        <w:t>ould</w:t>
      </w:r>
      <w:r w:rsidRPr="002301F0">
        <w:rPr>
          <w:rFonts w:cs="Arial"/>
        </w:rPr>
        <w:t xml:space="preserve"> be in a position to invite interested parties to register as bidders for the auction. </w:t>
      </w:r>
      <w:r>
        <w:rPr>
          <w:rFonts w:cs="Arial"/>
        </w:rPr>
        <w:t xml:space="preserve">Registered bidders would have </w:t>
      </w:r>
      <w:r w:rsidRPr="002301F0">
        <w:rPr>
          <w:rFonts w:cs="Arial"/>
        </w:rPr>
        <w:t>an opportunity to trial the computer systems</w:t>
      </w:r>
      <w:r>
        <w:rPr>
          <w:rFonts w:cs="Arial"/>
        </w:rPr>
        <w:t xml:space="preserve"> and/or software</w:t>
      </w:r>
      <w:r w:rsidRPr="002301F0">
        <w:rPr>
          <w:rFonts w:cs="Arial"/>
        </w:rPr>
        <w:t xml:space="preserve"> that will be used for the auction. </w:t>
      </w:r>
    </w:p>
    <w:p w14:paraId="23D33B36" w14:textId="5224F606" w:rsidR="00AB40D2" w:rsidRDefault="00AB40D2" w:rsidP="00AB40D2">
      <w:pPr>
        <w:spacing w:line="276" w:lineRule="auto"/>
        <w:rPr>
          <w:rFonts w:cs="Arial"/>
        </w:rPr>
      </w:pPr>
      <w:r w:rsidRPr="002301F0">
        <w:rPr>
          <w:rFonts w:cs="Arial"/>
        </w:rPr>
        <w:t>After completion of the auction process, the ACMA w</w:t>
      </w:r>
      <w:r>
        <w:rPr>
          <w:rFonts w:cs="Arial"/>
        </w:rPr>
        <w:t>ould</w:t>
      </w:r>
      <w:r w:rsidRPr="002301F0">
        <w:rPr>
          <w:rFonts w:cs="Arial"/>
        </w:rPr>
        <w:t xml:space="preserve"> issue invoices for the winning bids. </w:t>
      </w:r>
      <w:r>
        <w:rPr>
          <w:rFonts w:cs="Arial"/>
        </w:rPr>
        <w:t>O</w:t>
      </w:r>
      <w:r w:rsidRPr="002301F0">
        <w:rPr>
          <w:rFonts w:cs="Arial"/>
        </w:rPr>
        <w:t>n payment, the ACMA w</w:t>
      </w:r>
      <w:r>
        <w:rPr>
          <w:rFonts w:cs="Arial"/>
        </w:rPr>
        <w:t>ould</w:t>
      </w:r>
      <w:r w:rsidRPr="002301F0">
        <w:rPr>
          <w:rFonts w:cs="Arial"/>
        </w:rPr>
        <w:t xml:space="preserve"> prepare and send out the spectrum licence</w:t>
      </w:r>
      <w:r w:rsidR="00631E12">
        <w:rPr>
          <w:rFonts w:cs="Arial"/>
        </w:rPr>
        <w:t>s</w:t>
      </w:r>
      <w:r w:rsidRPr="002301F0">
        <w:rPr>
          <w:rFonts w:cs="Arial"/>
        </w:rPr>
        <w:t xml:space="preserve"> to successful bidders.</w:t>
      </w:r>
    </w:p>
    <w:p w14:paraId="799341A8" w14:textId="77777777" w:rsidR="00AB40D2" w:rsidRDefault="00AB40D2" w:rsidP="00AB40D2">
      <w:pPr>
        <w:spacing w:line="276" w:lineRule="auto"/>
        <w:sectPr w:rsidR="00AB40D2" w:rsidSect="00187A90">
          <w:headerReference w:type="even" r:id="rId50"/>
          <w:headerReference w:type="default" r:id="rId51"/>
          <w:footerReference w:type="even" r:id="rId52"/>
          <w:footerReference w:type="default" r:id="rId53"/>
          <w:pgSz w:w="11906" w:h="16838" w:code="9"/>
          <w:pgMar w:top="1945" w:right="3101" w:bottom="1134" w:left="1134" w:header="709" w:footer="119" w:gutter="0"/>
          <w:pgNumType w:start="1"/>
          <w:cols w:space="708"/>
          <w:docGrid w:linePitch="360"/>
        </w:sectPr>
      </w:pPr>
    </w:p>
    <w:p w14:paraId="0E6B32C8" w14:textId="4F7C122A" w:rsidR="00AB40D2" w:rsidRDefault="00AB40D2" w:rsidP="00AB40D2">
      <w:pPr>
        <w:pStyle w:val="Heading1"/>
      </w:pPr>
      <w:bookmarkStart w:id="403" w:name="_Toc8207152"/>
      <w:r w:rsidDel="00210235">
        <w:lastRenderedPageBreak/>
        <w:t>Attachment</w:t>
      </w:r>
      <w:r w:rsidRPr="002301F0" w:rsidDel="00210235">
        <w:t xml:space="preserve"> </w:t>
      </w:r>
      <w:r w:rsidR="001E064E" w:rsidDel="00210235">
        <w:t>C</w:t>
      </w:r>
      <w:r w:rsidRPr="002301F0" w:rsidDel="00210235">
        <w:t>—</w:t>
      </w:r>
      <w:r w:rsidR="00867AD6">
        <w:t xml:space="preserve">HCIS for FSS </w:t>
      </w:r>
      <w:r w:rsidR="0028145F">
        <w:t>footprints</w:t>
      </w:r>
      <w:bookmarkEnd w:id="403"/>
    </w:p>
    <w:p w14:paraId="13652642" w14:textId="1F74C027" w:rsidR="00867AD6" w:rsidRDefault="00867AD6" w:rsidP="00AB40D2">
      <w:pPr>
        <w:rPr>
          <w:rFonts w:cs="Arial"/>
        </w:rPr>
      </w:pPr>
      <w:r>
        <w:rPr>
          <w:rFonts w:cs="Arial"/>
        </w:rPr>
        <w:t>This attachment provides the HCIS</w:t>
      </w:r>
      <w:r w:rsidR="00206A57">
        <w:rPr>
          <w:rFonts w:cs="Arial"/>
        </w:rPr>
        <w:t xml:space="preserve"> identifiers</w:t>
      </w:r>
      <w:r>
        <w:rPr>
          <w:rFonts w:cs="Arial"/>
        </w:rPr>
        <w:t xml:space="preserve"> </w:t>
      </w:r>
      <w:r w:rsidR="00CD51DB">
        <w:rPr>
          <w:rFonts w:cs="Arial"/>
        </w:rPr>
        <w:t xml:space="preserve">describing </w:t>
      </w:r>
      <w:r>
        <w:rPr>
          <w:rFonts w:cs="Arial"/>
        </w:rPr>
        <w:t>the</w:t>
      </w:r>
      <w:r w:rsidR="00CD51DB">
        <w:rPr>
          <w:rFonts w:cs="Arial"/>
        </w:rPr>
        <w:t xml:space="preserve"> -3db</w:t>
      </w:r>
      <w:r>
        <w:rPr>
          <w:rFonts w:cs="Arial"/>
        </w:rPr>
        <w:t xml:space="preserve"> </w:t>
      </w:r>
      <w:r w:rsidR="0028145F">
        <w:rPr>
          <w:rFonts w:cs="Arial"/>
        </w:rPr>
        <w:t>footprints</w:t>
      </w:r>
      <w:r w:rsidR="001E064E">
        <w:rPr>
          <w:rFonts w:cs="Arial"/>
        </w:rPr>
        <w:t xml:space="preserve"> </w:t>
      </w:r>
      <w:r>
        <w:rPr>
          <w:rFonts w:cs="Arial"/>
        </w:rPr>
        <w:t>for</w:t>
      </w:r>
      <w:r w:rsidR="004B4469">
        <w:rPr>
          <w:rFonts w:cs="Arial"/>
        </w:rPr>
        <w:t xml:space="preserve"> existing</w:t>
      </w:r>
      <w:r>
        <w:rPr>
          <w:rFonts w:cs="Arial"/>
        </w:rPr>
        <w:t xml:space="preserve"> FSS </w:t>
      </w:r>
      <w:r w:rsidR="004B4469">
        <w:rPr>
          <w:rFonts w:cs="Arial"/>
        </w:rPr>
        <w:t>earth stations</w:t>
      </w:r>
      <w:r w:rsidR="00BA201B">
        <w:rPr>
          <w:rFonts w:cs="Arial"/>
        </w:rPr>
        <w:t xml:space="preserve"> adjacent to defined areas</w:t>
      </w:r>
      <w:r w:rsidR="004C5636" w:rsidRPr="002E17E1">
        <w:rPr>
          <w:rFonts w:cs="Arial"/>
        </w:rPr>
        <w:t>.</w:t>
      </w:r>
      <w:r w:rsidR="004B4469" w:rsidRPr="002E17E1">
        <w:rPr>
          <w:rFonts w:cs="Arial"/>
        </w:rPr>
        <w:t xml:space="preserve"> </w:t>
      </w:r>
      <w:r w:rsidR="004C5636" w:rsidRPr="002E17E1">
        <w:rPr>
          <w:rFonts w:cs="Arial"/>
        </w:rPr>
        <w:t xml:space="preserve">Table </w:t>
      </w:r>
      <w:r w:rsidR="001F1658" w:rsidRPr="002E17E1">
        <w:rPr>
          <w:rFonts w:cs="Arial"/>
        </w:rPr>
        <w:t>8</w:t>
      </w:r>
      <w:r w:rsidR="004C5636" w:rsidRPr="002E17E1">
        <w:rPr>
          <w:rFonts w:cs="Arial"/>
        </w:rPr>
        <w:t xml:space="preserve"> lists</w:t>
      </w:r>
      <w:r w:rsidR="004C5636">
        <w:rPr>
          <w:rFonts w:cs="Arial"/>
        </w:rPr>
        <w:t xml:space="preserve"> the HCIS</w:t>
      </w:r>
      <w:r w:rsidR="00206A57">
        <w:rPr>
          <w:rFonts w:cs="Arial"/>
        </w:rPr>
        <w:t xml:space="preserve"> identifiers</w:t>
      </w:r>
      <w:r w:rsidR="004C5636">
        <w:rPr>
          <w:rFonts w:cs="Arial"/>
        </w:rPr>
        <w:t xml:space="preserve"> for each </w:t>
      </w:r>
      <w:r w:rsidR="0028145F">
        <w:rPr>
          <w:rFonts w:cs="Arial"/>
        </w:rPr>
        <w:t>footprint</w:t>
      </w:r>
      <w:r w:rsidR="001D49E9">
        <w:rPr>
          <w:rFonts w:cs="Arial"/>
        </w:rPr>
        <w:t>.</w:t>
      </w:r>
    </w:p>
    <w:p w14:paraId="2FF39243" w14:textId="4D319181" w:rsidR="00AB40D2" w:rsidRPr="00916AA4" w:rsidRDefault="00AB40D2" w:rsidP="00B6753F">
      <w:pPr>
        <w:pStyle w:val="ACMATableHeader"/>
        <w:keepNext/>
        <w:keepLines/>
      </w:pPr>
      <w:r w:rsidRPr="00916AA4">
        <w:t xml:space="preserve">Definition of </w:t>
      </w:r>
      <w:r w:rsidR="00835785">
        <w:t xml:space="preserve">FSS </w:t>
      </w:r>
      <w:r w:rsidR="00210235">
        <w:t>footprints</w:t>
      </w:r>
    </w:p>
    <w:tbl>
      <w:tblPr>
        <w:tblStyle w:val="TableGrid"/>
        <w:tblW w:w="7797" w:type="dxa"/>
        <w:tblInd w:w="-147" w:type="dxa"/>
        <w:tblLayout w:type="fixed"/>
        <w:tblLook w:val="04A0" w:firstRow="1" w:lastRow="0" w:firstColumn="1" w:lastColumn="0" w:noHBand="0" w:noVBand="1"/>
        <w:tblCaption w:val="Table 8: HCIS description of proposed lot areas"/>
        <w:tblDescription w:val="Table containing a description of the different geographic areas proposed for lots "/>
      </w:tblPr>
      <w:tblGrid>
        <w:gridCol w:w="1418"/>
        <w:gridCol w:w="6379"/>
      </w:tblGrid>
      <w:tr w:rsidR="00867AD6" w14:paraId="2FF8FFD8" w14:textId="77777777" w:rsidTr="004C5636">
        <w:trPr>
          <w:cantSplit/>
          <w:tblHeader/>
        </w:trPr>
        <w:tc>
          <w:tcPr>
            <w:tcW w:w="1418" w:type="dxa"/>
            <w:shd w:val="clear" w:color="auto" w:fill="404040" w:themeFill="text1" w:themeFillTint="BF"/>
            <w:vAlign w:val="center"/>
          </w:tcPr>
          <w:p w14:paraId="3E3BB848" w14:textId="4A29B658" w:rsidR="00867AD6" w:rsidRPr="00C63393" w:rsidRDefault="004C5636" w:rsidP="00B90FFA">
            <w:pPr>
              <w:pStyle w:val="TableHeading"/>
              <w:rPr>
                <w:color w:val="FFFFFF" w:themeColor="background1"/>
              </w:rPr>
            </w:pPr>
            <w:r>
              <w:rPr>
                <w:color w:val="FFFFFF" w:themeColor="background1"/>
              </w:rPr>
              <w:t>F</w:t>
            </w:r>
            <w:r w:rsidR="00867AD6">
              <w:rPr>
                <w:color w:val="FFFFFF" w:themeColor="background1"/>
              </w:rPr>
              <w:t xml:space="preserve">ootprint </w:t>
            </w:r>
          </w:p>
        </w:tc>
        <w:tc>
          <w:tcPr>
            <w:tcW w:w="6379" w:type="dxa"/>
            <w:shd w:val="clear" w:color="auto" w:fill="404040" w:themeFill="text1" w:themeFillTint="BF"/>
            <w:vAlign w:val="center"/>
          </w:tcPr>
          <w:p w14:paraId="1419770E" w14:textId="77777777" w:rsidR="00867AD6" w:rsidRPr="00C63393" w:rsidRDefault="00867AD6" w:rsidP="00B90FFA">
            <w:pPr>
              <w:pStyle w:val="TableHeading"/>
              <w:rPr>
                <w:color w:val="FFFFFF" w:themeColor="background1"/>
              </w:rPr>
            </w:pPr>
            <w:r w:rsidRPr="00C63393">
              <w:rPr>
                <w:color w:val="FFFFFF" w:themeColor="background1"/>
              </w:rPr>
              <w:t>HCIS</w:t>
            </w:r>
          </w:p>
        </w:tc>
      </w:tr>
      <w:tr w:rsidR="00867AD6" w14:paraId="0BFD8413" w14:textId="77777777" w:rsidTr="004C5636">
        <w:trPr>
          <w:cantSplit/>
        </w:trPr>
        <w:tc>
          <w:tcPr>
            <w:tcW w:w="1418" w:type="dxa"/>
          </w:tcPr>
          <w:p w14:paraId="710C3232" w14:textId="4454CD3D" w:rsidR="00867AD6" w:rsidRPr="003D5EDD" w:rsidRDefault="001D49E9" w:rsidP="00B90FFA">
            <w:pPr>
              <w:pStyle w:val="TableBody"/>
              <w:rPr>
                <w:sz w:val="18"/>
                <w:szCs w:val="18"/>
              </w:rPr>
            </w:pPr>
            <w:r>
              <w:rPr>
                <w:sz w:val="18"/>
                <w:szCs w:val="18"/>
              </w:rPr>
              <w:t>Waroona</w:t>
            </w:r>
          </w:p>
        </w:tc>
        <w:tc>
          <w:tcPr>
            <w:tcW w:w="6379" w:type="dxa"/>
          </w:tcPr>
          <w:p w14:paraId="7BEE9CAD" w14:textId="2A893C6E" w:rsidR="00867AD6" w:rsidRPr="003D5EDD" w:rsidRDefault="001D49E9" w:rsidP="00B90FFA">
            <w:pPr>
              <w:pStyle w:val="TableBody"/>
              <w:rPr>
                <w:sz w:val="18"/>
                <w:szCs w:val="18"/>
              </w:rPr>
            </w:pPr>
            <w:r w:rsidRPr="006118E4">
              <w:t>AV9D, AV9H, AV9L, BV4D, BV4F, BV4G, BV4H, BV4I, BV4J, BV4K, BV4L, BV4M, BV4N, BV4O, BV4P, BV5A, BV5B, BV5C, BV5E, BV5F, BV5G, BV5H, BV5I, BV5J, BV5K, BV5L, BV5M, BV5N, BV5O, BV5P, BV7A, BV7B, BV7C, BV7D, BV7E, BV7F, BV7G, BV7H, BV7I, BV7J, BV7K, BV7L, BV8A, BV8B, BV8C, BV8E, BV8F, BV8I, AV9C3, AV9C6, AV9C9, AV9G3, AV9G6, AV9G9, AV9K3, AV9P2, AV9P3, BV1P8, BV1P9, BV2M7, BV2M8, BV2M9, BV2N4, BV2N5, BV2N6, BV2N7, BV2N8, BV2N9, BV2O7, BV2O8, BV2O9, BV2P7, BV4B8, BV4B9, BV4C2, BV4C3, BV4C4, BV4C5, BV4C6, BV4C7, BV4C8, BV4C9, BV4E6, BV4E8, BV4E9, BV5D1, BV5D2, BV5D4, BV5D5, BV5D6, BV5D7, BV5D8, BV5D9, BV6A7, BV6E1, BV6E4, BV6E7, BV6E8, BV6I1, BV6I2, BV6I4, BV6I5, BV6I7, BV6M1, BV6M4, BV7M1, BV7M2, BV7M3, BV7M4, BV7M5, BV7M6, BV7N1, BV7N2, BV7N3, BV7N4, BV7N5, BV7N6, BV7O1, BV7O2, BV7O3, BV7O4, BV7O5, BV7O6, BV7P1, BV7P2, BV7P3, BV7P4, BV7P5, BV8D1, BV8D2, BV8D3, BV8D4, BV8D5, BV8D7, BV8G1, BV8G2, BV8G3, BV8G4, BV8G5, BV8G6, BV8G7, BV8G8, BV8H1, BV8J1, BV8J2, BV8J3, BV8</w:t>
            </w:r>
            <w:r>
              <w:t xml:space="preserve">J4, </w:t>
            </w:r>
            <w:r w:rsidRPr="006118E4">
              <w:t>BV8J5, BV8J7, BV8M1, BV8M2</w:t>
            </w:r>
          </w:p>
        </w:tc>
      </w:tr>
      <w:tr w:rsidR="00867AD6" w14:paraId="2E2A9C8F" w14:textId="77777777" w:rsidTr="004C5636">
        <w:trPr>
          <w:cantSplit/>
        </w:trPr>
        <w:tc>
          <w:tcPr>
            <w:tcW w:w="1418" w:type="dxa"/>
          </w:tcPr>
          <w:p w14:paraId="7DB1553A" w14:textId="2040E8E9" w:rsidR="00867AD6" w:rsidRPr="003D5EDD" w:rsidRDefault="001D49E9" w:rsidP="00B90FFA">
            <w:pPr>
              <w:pStyle w:val="TableBody"/>
              <w:rPr>
                <w:sz w:val="18"/>
                <w:szCs w:val="18"/>
              </w:rPr>
            </w:pPr>
            <w:r>
              <w:rPr>
                <w:sz w:val="18"/>
                <w:szCs w:val="18"/>
              </w:rPr>
              <w:t>Geeveston</w:t>
            </w:r>
          </w:p>
        </w:tc>
        <w:tc>
          <w:tcPr>
            <w:tcW w:w="6379" w:type="dxa"/>
          </w:tcPr>
          <w:p w14:paraId="171F7DD2" w14:textId="1C39912E" w:rsidR="00867AD6" w:rsidRPr="00AC0533" w:rsidRDefault="001D49E9" w:rsidP="00B90FFA">
            <w:pPr>
              <w:pStyle w:val="TableBody"/>
            </w:pPr>
            <w:r w:rsidRPr="006118E4">
              <w:t>LY8B, LY8C, LY8D, LY8E, LY8F, LY8G, LY8H, LY8I, LY8J, LY8K, LY8L, LY8M, LY8N, LY8O, LY8P, LY9A, LY9E, LY9F, LY9G, LY9I, LY9J, LY9K, LY9M, LY9N, LY9O, LY9P, LZ2A, LZ2B, LZ2C, LZ2D, LZ2E, LZ2F, LZ2G, LZ2H, LZ2I, LZ2J, LZ2K, LZ2L, LZ2N, LZ2O, LZ2P, LZ3A, LZ3B, LZ3C, LZ3D, LZ3E, LZ3F, LZ3G, LZ3H, LZ3I, LZ3J, LZ3K, LZ3L, LZ3M, LZ3N, LZ3O, LY5N9, LY5O7, LY5O8, LY5O9, LY5P7, LY5P8, LY5P9, LY6M7, LY6M8, LY6M9, LY7H9, LY7L3, LY7L5, LY7L6, LY7L8, LY7L9, LY7P2, LY7P3, LY7P5, LY7P6, LY7P8, LY7P9, LY8A6, LY8A8, LY8A9, LY9B1, LY9B2, LY9B4, LY9B5, LY9B6, LY9B7, LY9B8, LY9B9, LY9C4, LY9C7, LY9C8, LY9H4, LY9H7, LY9L1, LY9L2, LY9L4, LY9L5, LY9L7, LY9L8, LY9L9, LZ1D2, LZ1D3, LZ1D5, LZ1D6, LZ1D8, LZ1D9, LZ1H2, LZ1H3, LZ1H5, LZ1H6, LZ1H9, LZ1L3, LZ1L6, LZ2M1, LZ2M2, LZ2M3, LZ2M5, LZ2M6, LZ2M9, LZ3P1, LZ3P2, LZ3P3, LZ3P4, LZ3P5, LZ3P6, LZ3P7, LZ3P8, MZ1A1, MZ1A4, MZ1A7, MZ1E1, MZ1E4, MZ1E7, MZ1I1, MZ1I4</w:t>
            </w:r>
          </w:p>
        </w:tc>
      </w:tr>
    </w:tbl>
    <w:p w14:paraId="25F17945" w14:textId="6F898A66" w:rsidR="00FD67FC" w:rsidRDefault="00FD67FC" w:rsidP="007E1F91"/>
    <w:sectPr w:rsidR="00FD67FC" w:rsidSect="00AB40D2">
      <w:headerReference w:type="even" r:id="rId54"/>
      <w:headerReference w:type="default" r:id="rId55"/>
      <w:footerReference w:type="even" r:id="rId56"/>
      <w:footerReference w:type="default" r:id="rId57"/>
      <w:pgSz w:w="11906" w:h="16838" w:code="9"/>
      <w:pgMar w:top="1945" w:right="3101" w:bottom="1134" w:left="1134" w:header="709" w:footer="11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16F7B73" w14:textId="77777777" w:rsidR="0024172A" w:rsidRDefault="0024172A">
      <w:r>
        <w:separator/>
      </w:r>
    </w:p>
  </w:endnote>
  <w:endnote w:type="continuationSeparator" w:id="0">
    <w:p w14:paraId="72AB8EDB" w14:textId="77777777" w:rsidR="0024172A" w:rsidRDefault="0024172A">
      <w:r>
        <w:continuationSeparator/>
      </w:r>
    </w:p>
  </w:endnote>
  <w:endnote w:type="continuationNotice" w:id="1">
    <w:p w14:paraId="69D93B89" w14:textId="77777777" w:rsidR="0024172A" w:rsidRDefault="0024172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HelveticaNeueLT Std Lt">
    <w:altName w:val="Arial"/>
    <w:panose1 w:val="020B0403020202020204"/>
    <w:charset w:val="00"/>
    <w:family w:val="swiss"/>
    <w:notTrueType/>
    <w:pitch w:val="variable"/>
    <w:sig w:usb0="800000AF" w:usb1="4000204A"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panose1 w:val="00000400000000000000"/>
    <w:charset w:val="00"/>
    <w:family w:val="swiss"/>
    <w:pitch w:val="variable"/>
    <w:sig w:usb0="0001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684883" w14:textId="77777777" w:rsidR="0024172A" w:rsidRPr="00A5474E" w:rsidRDefault="0024172A" w:rsidP="00A5474E">
    <w:pPr>
      <w:pStyle w:val="Footer"/>
    </w:pPr>
    <w:r>
      <w:rPr>
        <w:noProof/>
      </w:rPr>
      <w:drawing>
        <wp:inline distT="0" distB="0" distL="0" distR="0" wp14:anchorId="24C057BE" wp14:editId="01F2C7F4">
          <wp:extent cx="3483864" cy="249613"/>
          <wp:effectExtent l="0" t="0" r="0" b="0"/>
          <wp:docPr id="24" name="Picture 2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13A074" w14:textId="77777777" w:rsidR="0024172A" w:rsidRDefault="0024172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4DE254" w14:textId="77777777" w:rsidR="0024172A" w:rsidRDefault="0024172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5CDA8F" w14:textId="3A66EB69" w:rsidR="0024172A" w:rsidRPr="00622A3B" w:rsidRDefault="0024172A" w:rsidP="00971914">
    <w:pPr>
      <w:pStyle w:val="Footer"/>
      <w:framePr w:w="1334" w:h="357" w:hRule="exact" w:vSpace="425" w:wrap="around" w:vAnchor="page" w:hAnchor="page" w:x="1156" w:y="16166"/>
      <w:pBdr>
        <w:top w:val="single" w:sz="4" w:space="1" w:color="auto"/>
      </w:pBdr>
      <w:tabs>
        <w:tab w:val="clear" w:pos="113"/>
        <w:tab w:val="left" w:pos="284"/>
      </w:tabs>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iv</w:t>
    </w:r>
    <w:r w:rsidRPr="002E4DDC">
      <w:rPr>
        <w:color w:val="505050"/>
      </w:rPr>
      <w:fldChar w:fldCharType="end"/>
    </w:r>
  </w:p>
  <w:p w14:paraId="5D397750" w14:textId="77777777" w:rsidR="0024172A" w:rsidRPr="00A5474E" w:rsidRDefault="0024172A" w:rsidP="00A5474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81A816" w14:textId="77777777" w:rsidR="0024172A" w:rsidRPr="00622A3B" w:rsidRDefault="0024172A" w:rsidP="00971914">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v</w:t>
    </w:r>
    <w:r w:rsidRPr="002E4DDC">
      <w:rPr>
        <w:color w:val="505050"/>
      </w:rPr>
      <w:fldChar w:fldCharType="end"/>
    </w:r>
  </w:p>
  <w:p w14:paraId="7C1A15DA" w14:textId="77777777" w:rsidR="0024172A" w:rsidRPr="00A5474E" w:rsidRDefault="0024172A" w:rsidP="00A5474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D8A94A" w14:textId="563C6ED0" w:rsidR="0024172A" w:rsidRPr="00622A3B" w:rsidRDefault="0024172A"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iii</w:t>
    </w:r>
    <w:r w:rsidRPr="002E4DDC">
      <w:rPr>
        <w:color w:val="505050"/>
      </w:rPr>
      <w:fldChar w:fldCharType="end"/>
    </w:r>
  </w:p>
  <w:p w14:paraId="78E33606" w14:textId="77777777" w:rsidR="0024172A" w:rsidRPr="00A5474E" w:rsidRDefault="0024172A" w:rsidP="00A5474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CE2067" w14:textId="324CF802" w:rsidR="0024172A" w:rsidRPr="00622A3B" w:rsidRDefault="0024172A" w:rsidP="003952A0">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Pr>
        <w:noProof/>
      </w:rPr>
      <w:t>46</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024AA6D7" w14:textId="77777777" w:rsidR="0024172A" w:rsidRDefault="0024172A">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6D9F33" w14:textId="13855999" w:rsidR="0024172A" w:rsidRPr="00622A3B" w:rsidRDefault="0024172A" w:rsidP="003952A0">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Pr>
        <w:noProof/>
        <w:color w:val="505050"/>
      </w:rPr>
      <w:t>47</w:t>
    </w:r>
    <w:r w:rsidRPr="00575AC5">
      <w:rPr>
        <w:color w:val="505050"/>
      </w:rPr>
      <w:fldChar w:fldCharType="end"/>
    </w:r>
  </w:p>
  <w:p w14:paraId="47BE7128" w14:textId="77777777" w:rsidR="0024172A" w:rsidRDefault="0024172A">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AF14A2" w14:textId="1EC55A65" w:rsidR="0024172A" w:rsidRPr="00622A3B" w:rsidRDefault="0024172A"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Pr>
        <w:noProof/>
      </w:rPr>
      <w:t>54</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63B776D2" w14:textId="77777777" w:rsidR="0024172A" w:rsidRPr="00A5474E" w:rsidRDefault="0024172A" w:rsidP="00A5474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CB4242" w14:textId="10EC9F2C" w:rsidR="0024172A" w:rsidRPr="00622A3B" w:rsidRDefault="0024172A"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Pr>
        <w:noProof/>
        <w:color w:val="505050"/>
      </w:rPr>
      <w:t>53</w:t>
    </w:r>
    <w:r w:rsidRPr="00575AC5">
      <w:rPr>
        <w:color w:val="505050"/>
      </w:rPr>
      <w:fldChar w:fldCharType="end"/>
    </w:r>
  </w:p>
  <w:p w14:paraId="65B9B604" w14:textId="77777777" w:rsidR="0024172A" w:rsidRPr="00A5474E" w:rsidRDefault="0024172A"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3D367D" w14:textId="77777777" w:rsidR="0024172A" w:rsidRDefault="0024172A">
      <w:r>
        <w:separator/>
      </w:r>
    </w:p>
  </w:footnote>
  <w:footnote w:type="continuationSeparator" w:id="0">
    <w:p w14:paraId="5B07D3FC" w14:textId="77777777" w:rsidR="0024172A" w:rsidRDefault="0024172A">
      <w:r>
        <w:continuationSeparator/>
      </w:r>
    </w:p>
  </w:footnote>
  <w:footnote w:type="continuationNotice" w:id="1">
    <w:p w14:paraId="3141A764" w14:textId="77777777" w:rsidR="0024172A" w:rsidRDefault="0024172A">
      <w:pPr>
        <w:spacing w:after="0" w:line="240" w:lineRule="auto"/>
      </w:pPr>
    </w:p>
  </w:footnote>
  <w:footnote w:id="2">
    <w:p w14:paraId="07A0E163" w14:textId="4DE0A342" w:rsidR="0024172A" w:rsidRDefault="0024172A">
      <w:pPr>
        <w:pStyle w:val="FootnoteText"/>
      </w:pPr>
      <w:r>
        <w:rPr>
          <w:rStyle w:val="FootnoteReference"/>
        </w:rPr>
        <w:footnoteRef/>
      </w:r>
      <w:r>
        <w:t xml:space="preserve"> mmWaves span 30 to 300 GHz (i.e. a wavelength of 1 cm to 1 mm), however, in the current 5G context, mmWave bands in consideration span from around 24 GHz up to 86 GHz.</w:t>
      </w:r>
    </w:p>
  </w:footnote>
  <w:footnote w:id="3">
    <w:p w14:paraId="135CBF10" w14:textId="65412852" w:rsidR="0024172A" w:rsidRDefault="0024172A">
      <w:pPr>
        <w:pStyle w:val="FootnoteText"/>
      </w:pPr>
      <w:r>
        <w:rPr>
          <w:rStyle w:val="FootnoteReference"/>
        </w:rPr>
        <w:footnoteRef/>
      </w:r>
      <w:r>
        <w:t xml:space="preserve"> Figure 1 is only referencing wireless broadband services. Other services such as the existing body scanner services and satellite services operating in the frequency range are not depicted.</w:t>
      </w:r>
    </w:p>
  </w:footnote>
  <w:footnote w:id="4">
    <w:p w14:paraId="59ED8A65" w14:textId="77777777" w:rsidR="0024172A" w:rsidRDefault="0024172A" w:rsidP="009B22D2">
      <w:pPr>
        <w:pStyle w:val="FootnoteText"/>
        <w:spacing w:after="0"/>
      </w:pPr>
      <w:r>
        <w:rPr>
          <w:rStyle w:val="FootnoteReference"/>
        </w:rPr>
        <w:footnoteRef/>
      </w:r>
      <w:r>
        <w:t xml:space="preserve"> </w:t>
      </w:r>
      <w:r w:rsidRPr="008E0FD7">
        <w:rPr>
          <w:szCs w:val="20"/>
        </w:rPr>
        <w:t xml:space="preserve">HCIS is a naming convention developed by the ACMA </w:t>
      </w:r>
      <w:r w:rsidRPr="00BF4B8E">
        <w:t xml:space="preserve">that applies unique labels to each five-minute arc square cell in the </w:t>
      </w:r>
      <w:hyperlink r:id="rId1" w:history="1">
        <w:r w:rsidRPr="00BB53BC">
          <w:t>Australian Spectrum Map Grid</w:t>
        </w:r>
      </w:hyperlink>
      <w:r w:rsidRPr="00A96745">
        <w:t>, derived from the cell’s position in a hierarchically arranged gr</w:t>
      </w:r>
      <w:r w:rsidRPr="00C0100E">
        <w:t>oup of cells. The hierarchy has four levels, the smallest being HCIS level 1 (approximately 9 km x 9km) and the largest HCIS level 4 (approximately 330 km x 330 km</w:t>
      </w:r>
      <w:r w:rsidRPr="008E0FD7">
        <w:rPr>
          <w:szCs w:val="20"/>
        </w:rPr>
        <w:t>)</w:t>
      </w:r>
      <w:r>
        <w:rPr>
          <w:szCs w:val="20"/>
        </w:rPr>
        <w:t>.</w:t>
      </w:r>
    </w:p>
  </w:footnote>
  <w:footnote w:id="5">
    <w:p w14:paraId="4BB61A50" w14:textId="40843705" w:rsidR="0024172A" w:rsidRDefault="0024172A" w:rsidP="001A3FF6">
      <w:pPr>
        <w:pStyle w:val="ListBullet"/>
        <w:numPr>
          <w:ilvl w:val="0"/>
          <w:numId w:val="0"/>
        </w:numPr>
        <w:spacing w:after="0" w:line="240" w:lineRule="auto"/>
      </w:pPr>
      <w:r>
        <w:rPr>
          <w:rStyle w:val="FootnoteReference"/>
          <w:sz w:val="16"/>
          <w:szCs w:val="16"/>
        </w:rPr>
        <w:footnoteRef/>
      </w:r>
      <w:r>
        <w:t xml:space="preserve"> </w:t>
      </w:r>
      <w:r w:rsidRPr="00A24CF1">
        <w:rPr>
          <w:sz w:val="16"/>
          <w:szCs w:val="16"/>
        </w:rPr>
        <w:t xml:space="preserve">The ACMA is exploring </w:t>
      </w:r>
      <w:r>
        <w:rPr>
          <w:sz w:val="16"/>
          <w:szCs w:val="16"/>
        </w:rPr>
        <w:t xml:space="preserve">the potential to </w:t>
      </w:r>
      <w:r w:rsidRPr="00A24CF1">
        <w:rPr>
          <w:sz w:val="16"/>
          <w:szCs w:val="16"/>
        </w:rPr>
        <w:t xml:space="preserve">design a new </w:t>
      </w:r>
      <w:r>
        <w:rPr>
          <w:sz w:val="16"/>
          <w:szCs w:val="16"/>
        </w:rPr>
        <w:t>‘</w:t>
      </w:r>
      <w:r w:rsidRPr="00A24CF1">
        <w:rPr>
          <w:sz w:val="16"/>
          <w:szCs w:val="16"/>
        </w:rPr>
        <w:t>spectrum space</w:t>
      </w:r>
      <w:r>
        <w:rPr>
          <w:sz w:val="16"/>
          <w:szCs w:val="16"/>
        </w:rPr>
        <w:t>’</w:t>
      </w:r>
      <w:r w:rsidRPr="00A24CF1">
        <w:rPr>
          <w:sz w:val="16"/>
          <w:szCs w:val="16"/>
        </w:rPr>
        <w:t xml:space="preserve"> apparatus licence type</w:t>
      </w:r>
      <w:r>
        <w:rPr>
          <w:sz w:val="16"/>
          <w:szCs w:val="16"/>
        </w:rPr>
        <w:t>,</w:t>
      </w:r>
      <w:r w:rsidRPr="00A24CF1">
        <w:rPr>
          <w:sz w:val="16"/>
          <w:szCs w:val="16"/>
        </w:rPr>
        <w:t xml:space="preserve"> in response to some stakeholder interest in flexible apparatus licensing arrangements,</w:t>
      </w:r>
      <w:r>
        <w:rPr>
          <w:sz w:val="16"/>
          <w:szCs w:val="16"/>
        </w:rPr>
        <w:t xml:space="preserve"> </w:t>
      </w:r>
      <w:r w:rsidRPr="00A24CF1">
        <w:rPr>
          <w:sz w:val="16"/>
          <w:szCs w:val="16"/>
        </w:rPr>
        <w:t>to support emerging technologies and uses of the band.</w:t>
      </w:r>
    </w:p>
  </w:footnote>
  <w:footnote w:id="6">
    <w:p w14:paraId="241C5498" w14:textId="144B36F7" w:rsidR="0024172A" w:rsidRDefault="0024172A" w:rsidP="001A3FF6">
      <w:pPr>
        <w:pStyle w:val="FootnoteText"/>
        <w:spacing w:after="0" w:line="240" w:lineRule="auto"/>
      </w:pPr>
      <w:r>
        <w:rPr>
          <w:rStyle w:val="FootnoteReference"/>
        </w:rPr>
        <w:footnoteRef/>
      </w:r>
      <w:r>
        <w:t xml:space="preserve"> Existing SRS </w:t>
      </w:r>
      <w:r w:rsidRPr="00A05EC9">
        <w:t>facilities</w:t>
      </w:r>
      <w:r>
        <w:t xml:space="preserve"> are located</w:t>
      </w:r>
      <w:r w:rsidRPr="00A05EC9">
        <w:t xml:space="preserve"> at New Norcia, WA, and Tidbinbilla, ACT</w:t>
      </w:r>
      <w:r>
        <w:t xml:space="preserve"> which are outside the defined areas.</w:t>
      </w:r>
    </w:p>
  </w:footnote>
  <w:footnote w:id="7">
    <w:p w14:paraId="0B5F40E6" w14:textId="29D0471D" w:rsidR="0024172A" w:rsidRDefault="0024172A">
      <w:pPr>
        <w:pStyle w:val="FootnoteText"/>
      </w:pPr>
      <w:r>
        <w:rPr>
          <w:rStyle w:val="FootnoteReference"/>
        </w:rPr>
        <w:footnoteRef/>
      </w:r>
      <w:r>
        <w:t xml:space="preserve"> Existing FSS facilities are located at Waroona, WA and Geeveston, TAS which are outside the defined areas.</w:t>
      </w:r>
    </w:p>
  </w:footnote>
  <w:footnote w:id="8">
    <w:p w14:paraId="5EB98EB8" w14:textId="3D150859" w:rsidR="0024172A" w:rsidRDefault="0024172A" w:rsidP="00F424E7">
      <w:pPr>
        <w:pStyle w:val="FootnoteText"/>
        <w:spacing w:after="40"/>
      </w:pPr>
      <w:r>
        <w:rPr>
          <w:rStyle w:val="FootnoteReference"/>
        </w:rPr>
        <w:footnoteRef/>
      </w:r>
      <w:r>
        <w:t xml:space="preserve"> ACMA </w:t>
      </w:r>
      <w:hyperlink r:id="rId2" w:history="1">
        <w:r>
          <w:rPr>
            <w:rStyle w:val="Hyperlink"/>
            <w:i/>
          </w:rPr>
          <w:t>Corporate plan 2018–19</w:t>
        </w:r>
      </w:hyperlink>
      <w:r w:rsidRPr="0085089F">
        <w:t>.</w:t>
      </w:r>
    </w:p>
  </w:footnote>
  <w:footnote w:id="9">
    <w:p w14:paraId="2F3D5C1E" w14:textId="68F42DFF" w:rsidR="0024172A" w:rsidRDefault="0024172A">
      <w:pPr>
        <w:pStyle w:val="FootnoteText"/>
      </w:pPr>
      <w:r>
        <w:rPr>
          <w:rStyle w:val="FootnoteReference"/>
        </w:rPr>
        <w:footnoteRef/>
      </w:r>
      <w:r>
        <w:t xml:space="preserve"> There are some exemptions from what may be considered unlawful operation of radiocommunications devices. For example, section 27 of the Act details exemption for defence, law enforcement and emergency personnel.</w:t>
      </w:r>
    </w:p>
  </w:footnote>
  <w:footnote w:id="10">
    <w:p w14:paraId="6A3D2310" w14:textId="61566F9D" w:rsidR="0024172A" w:rsidRDefault="0024172A">
      <w:pPr>
        <w:pStyle w:val="FootnoteText"/>
      </w:pPr>
      <w:r>
        <w:rPr>
          <w:rStyle w:val="FootnoteReference"/>
        </w:rPr>
        <w:footnoteRef/>
      </w:r>
      <w:r>
        <w:t xml:space="preserve"> Apparatus licensing has been identified as appropriate for use in the wider 26 GHz band in the less densely populated regions (outside the defined areas), as detailed in Figure 1.</w:t>
      </w:r>
    </w:p>
  </w:footnote>
  <w:footnote w:id="11">
    <w:p w14:paraId="353D948C" w14:textId="3C6B3AD0" w:rsidR="0024172A" w:rsidRDefault="0024172A">
      <w:pPr>
        <w:pStyle w:val="FootnoteText"/>
      </w:pPr>
      <w:r>
        <w:rPr>
          <w:rStyle w:val="FootnoteReference"/>
        </w:rPr>
        <w:footnoteRef/>
      </w:r>
      <w:r>
        <w:t xml:space="preserve"> At 24 April 2019, three apparatus licensed services were registered in the Radiocommunications Register of Licences (RRL).</w:t>
      </w:r>
    </w:p>
  </w:footnote>
  <w:footnote w:id="12">
    <w:p w14:paraId="2BE102A7" w14:textId="77777777" w:rsidR="0024172A" w:rsidRDefault="0024172A" w:rsidP="002732BE">
      <w:pPr>
        <w:pStyle w:val="FootnoteText"/>
      </w:pPr>
      <w:r>
        <w:rPr>
          <w:rStyle w:val="FootnoteReference"/>
        </w:rPr>
        <w:footnoteRef/>
      </w:r>
      <w:r>
        <w:t xml:space="preserve"> Paragraphs 27(1) (b) to (be) of the Act include bodies such as the AFP or a police force of a State or Territory, amongst others.</w:t>
      </w:r>
    </w:p>
  </w:footnote>
  <w:footnote w:id="13">
    <w:p w14:paraId="0E111953" w14:textId="33023534" w:rsidR="0024172A" w:rsidRDefault="0024172A" w:rsidP="003A686E">
      <w:pPr>
        <w:pStyle w:val="FootnoteText"/>
        <w:spacing w:after="0"/>
      </w:pPr>
      <w:r>
        <w:rPr>
          <w:rStyle w:val="FootnoteReference"/>
        </w:rPr>
        <w:footnoteRef/>
      </w:r>
      <w:r>
        <w:t xml:space="preserve"> </w:t>
      </w:r>
      <w:r w:rsidRPr="001E65B1">
        <w:t xml:space="preserve">In a </w:t>
      </w:r>
      <w:r>
        <w:t>‘</w:t>
      </w:r>
      <w:r w:rsidRPr="001E65B1">
        <w:t>beauty contest</w:t>
      </w:r>
      <w:r>
        <w:t>’</w:t>
      </w:r>
      <w:r w:rsidRPr="001E65B1">
        <w:t xml:space="preserve"> (also known as comparative tender), a committee typically sets a number of criteria, possibly with different weightings. Candidates' offers are then evaluated by a jury that selects the plan that has the best </w:t>
      </w:r>
      <w:r>
        <w:t>‘</w:t>
      </w:r>
      <w:r w:rsidRPr="001E65B1">
        <w:t>mix</w:t>
      </w:r>
      <w:r>
        <w:t>’</w:t>
      </w:r>
      <w:r w:rsidRPr="001E65B1">
        <w:t xml:space="preserve"> of those criteria.</w:t>
      </w:r>
    </w:p>
  </w:footnote>
  <w:footnote w:id="14">
    <w:p w14:paraId="292C4B11" w14:textId="06A0EDC6" w:rsidR="0024172A" w:rsidRDefault="0024172A" w:rsidP="007D1900">
      <w:pPr>
        <w:pStyle w:val="FootnoteText"/>
        <w:spacing w:after="0"/>
      </w:pPr>
      <w:r>
        <w:rPr>
          <w:rStyle w:val="FootnoteReference"/>
        </w:rPr>
        <w:footnoteRef/>
      </w:r>
      <w:r>
        <w:t xml:space="preserve"> This is true where bid prices are a proxy for the value of the service for which the spectrum will be put to use. The assumption is that those that </w:t>
      </w:r>
      <w:r w:rsidRPr="006C0700">
        <w:t>value spectrum most would go on to create the highest social and economic value with that spectrum</w:t>
      </w:r>
      <w:r>
        <w:t>.</w:t>
      </w:r>
    </w:p>
  </w:footnote>
  <w:footnote w:id="15">
    <w:p w14:paraId="339382E9" w14:textId="367CABF0" w:rsidR="0024172A" w:rsidRDefault="0024172A" w:rsidP="00F32EB7">
      <w:pPr>
        <w:pStyle w:val="FootnoteText"/>
        <w:spacing w:after="0"/>
      </w:pPr>
      <w:r>
        <w:rPr>
          <w:rStyle w:val="FootnoteReference"/>
        </w:rPr>
        <w:footnoteRef/>
      </w:r>
      <w:r>
        <w:t xml:space="preserve"> The EOO auction is the most common form of auction used. This auction format is most suitable when there are a limited number of lots available and when lots are not interdependent or substitutable.</w:t>
      </w:r>
    </w:p>
  </w:footnote>
  <w:footnote w:id="16">
    <w:p w14:paraId="7EB98AF0" w14:textId="0367B2BB" w:rsidR="0024172A" w:rsidRDefault="0024172A">
      <w:pPr>
        <w:pStyle w:val="FootnoteText"/>
      </w:pPr>
      <w:r>
        <w:rPr>
          <w:rStyle w:val="FootnoteReference"/>
        </w:rPr>
        <w:footnoteRef/>
      </w:r>
      <w:r>
        <w:t xml:space="preserve"> The high-bidder is the one bidder who bid at least the continue price or the bidder with the highest exit bid if no bidders reached the continue price.</w:t>
      </w:r>
    </w:p>
  </w:footnote>
  <w:footnote w:id="17">
    <w:p w14:paraId="7533C8ED" w14:textId="5FCD5EE9" w:rsidR="0024172A" w:rsidRDefault="0024172A" w:rsidP="001C4E83">
      <w:pPr>
        <w:pStyle w:val="FootnoteText"/>
        <w:spacing w:after="0"/>
      </w:pPr>
      <w:r>
        <w:rPr>
          <w:rStyle w:val="FootnoteReference"/>
        </w:rPr>
        <w:footnoteRef/>
      </w:r>
      <w:r>
        <w:t xml:space="preserve"> 3</w:t>
      </w:r>
      <w:r w:rsidRPr="00A63888">
        <w:rPr>
          <w:vertAlign w:val="superscript"/>
        </w:rPr>
        <w:t>rd</w:t>
      </w:r>
      <w:r>
        <w:t xml:space="preserve"> Generation Partnership Project (</w:t>
      </w:r>
      <w:hyperlink r:id="rId3" w:history="1">
        <w:r w:rsidRPr="00B67F30">
          <w:rPr>
            <w:rStyle w:val="Hyperlink"/>
          </w:rPr>
          <w:t>3GPP</w:t>
        </w:r>
      </w:hyperlink>
      <w:r>
        <w:t>) is a</w:t>
      </w:r>
      <w:r w:rsidRPr="00A05EC9">
        <w:t>n international body responsible for the standardisation of (cellular) mobile (including broadband) telecommunications, including the 2G, 3G, 4G and 5G technology standards.</w:t>
      </w:r>
      <w:r>
        <w:t xml:space="preserve"> 400 MHz is the largest channel size in the current version of 3GPP TS 38.104, available on the </w:t>
      </w:r>
      <w:hyperlink r:id="rId4" w:history="1">
        <w:r w:rsidRPr="000201B6">
          <w:rPr>
            <w:rStyle w:val="Hyperlink"/>
          </w:rPr>
          <w:t>3GPP website</w:t>
        </w:r>
      </w:hyperlink>
      <w:r>
        <w:t>.</w:t>
      </w:r>
    </w:p>
  </w:footnote>
  <w:footnote w:id="18">
    <w:p w14:paraId="202D7EE7" w14:textId="30DCCBE7" w:rsidR="0024172A" w:rsidRDefault="0024172A" w:rsidP="001C4E83">
      <w:pPr>
        <w:pStyle w:val="FootnoteText"/>
        <w:spacing w:after="0"/>
      </w:pPr>
      <w:r>
        <w:rPr>
          <w:rStyle w:val="FootnoteReference"/>
        </w:rPr>
        <w:footnoteRef/>
      </w:r>
      <w:r>
        <w:t xml:space="preserve"> Submissions to the options paper are available on the </w:t>
      </w:r>
      <w:hyperlink r:id="rId5" w:history="1">
        <w:r w:rsidRPr="003C53EF">
          <w:rPr>
            <w:rStyle w:val="Hyperlink"/>
          </w:rPr>
          <w:t>ACMA website</w:t>
        </w:r>
      </w:hyperlink>
      <w:r>
        <w:t>.</w:t>
      </w:r>
    </w:p>
  </w:footnote>
  <w:footnote w:id="19">
    <w:p w14:paraId="0CAF7B96" w14:textId="00407072" w:rsidR="0024172A" w:rsidRDefault="0024172A">
      <w:pPr>
        <w:pStyle w:val="FootnoteText"/>
      </w:pPr>
      <w:r>
        <w:rPr>
          <w:rStyle w:val="FootnoteReference"/>
        </w:rPr>
        <w:footnoteRef/>
      </w:r>
      <w:r>
        <w:t xml:space="preserve"> Annex C and F to the decision paper provide detailed information on the proposed coexistence arrangements for wireless broadband with nbn satellite services.</w:t>
      </w:r>
    </w:p>
  </w:footnote>
  <w:footnote w:id="20">
    <w:p w14:paraId="5574EC13" w14:textId="324614C0" w:rsidR="0024172A" w:rsidRDefault="0024172A" w:rsidP="001C4E83">
      <w:pPr>
        <w:pStyle w:val="FootnoteText"/>
        <w:spacing w:after="0"/>
      </w:pPr>
      <w:r>
        <w:rPr>
          <w:rStyle w:val="FootnoteReference"/>
        </w:rPr>
        <w:footnoteRef/>
      </w:r>
      <w:r>
        <w:t xml:space="preserve"> Futher information on 5G standards is available on the </w:t>
      </w:r>
      <w:hyperlink r:id="rId6" w:history="1">
        <w:r w:rsidRPr="000201B6">
          <w:rPr>
            <w:rStyle w:val="Hyperlink"/>
          </w:rPr>
          <w:t>3GPP website</w:t>
        </w:r>
      </w:hyperlink>
      <w:r>
        <w:rPr>
          <w:rStyle w:val="Hyperlink"/>
        </w:rPr>
        <w:t>.</w:t>
      </w:r>
    </w:p>
  </w:footnote>
  <w:footnote w:id="21">
    <w:p w14:paraId="4D4CCECF" w14:textId="276E7D2F" w:rsidR="0024172A" w:rsidRDefault="0024172A">
      <w:pPr>
        <w:pStyle w:val="FootnoteText"/>
      </w:pPr>
      <w:r>
        <w:rPr>
          <w:rStyle w:val="FootnoteReference"/>
        </w:rPr>
        <w:footnoteRef/>
      </w:r>
      <w:r>
        <w:t xml:space="preserve"> The spectrum from 27.0 to 27.5 GHz will have additional technical conditions.</w:t>
      </w:r>
    </w:p>
  </w:footnote>
  <w:footnote w:id="22">
    <w:p w14:paraId="251F636C" w14:textId="77777777" w:rsidR="0024172A" w:rsidRPr="00DF6283" w:rsidRDefault="0024172A" w:rsidP="00C8035A">
      <w:pPr>
        <w:pStyle w:val="FootnoteText"/>
        <w:spacing w:after="0"/>
        <w:rPr>
          <w:rFonts w:cs="Arial"/>
        </w:rPr>
      </w:pPr>
      <w:r w:rsidRPr="00BB2FAA">
        <w:rPr>
          <w:rStyle w:val="FootnoteReference"/>
          <w:rFonts w:cs="Arial"/>
        </w:rPr>
        <w:footnoteRef/>
      </w:r>
      <w:r w:rsidRPr="00BB2FAA">
        <w:rPr>
          <w:rFonts w:cs="Arial"/>
        </w:rPr>
        <w:t xml:space="preserve"> For examples of different geographic boundaries used for spectrum licences, see </w:t>
      </w:r>
      <w:r>
        <w:rPr>
          <w:rFonts w:cs="Arial"/>
        </w:rPr>
        <w:t>the</w:t>
      </w:r>
      <w:r w:rsidRPr="00BB2FAA">
        <w:rPr>
          <w:rFonts w:cs="Arial"/>
        </w:rPr>
        <w:t xml:space="preserve"> </w:t>
      </w:r>
      <w:hyperlink r:id="rId7" w:history="1">
        <w:r w:rsidRPr="007619EA">
          <w:rPr>
            <w:rStyle w:val="Hyperlink"/>
            <w:rFonts w:cs="Arial"/>
          </w:rPr>
          <w:t>Radiofrequency spectrum auctions list</w:t>
        </w:r>
        <w:r w:rsidRPr="00194C1F">
          <w:t xml:space="preserve"> on the ACMA website.</w:t>
        </w:r>
      </w:hyperlink>
    </w:p>
  </w:footnote>
  <w:footnote w:id="23">
    <w:p w14:paraId="09E7AF68" w14:textId="40B484F5" w:rsidR="0024172A" w:rsidRDefault="0024172A" w:rsidP="00C8035A">
      <w:pPr>
        <w:pStyle w:val="FootnoteText"/>
        <w:spacing w:after="0"/>
      </w:pPr>
      <w:r>
        <w:rPr>
          <w:rStyle w:val="FootnoteReference"/>
        </w:rPr>
        <w:footnoteRef/>
      </w:r>
      <w:r>
        <w:t xml:space="preserve"> </w:t>
      </w:r>
      <w:r>
        <w:rPr>
          <w:szCs w:val="20"/>
        </w:rPr>
        <w:t xml:space="preserve">These areas </w:t>
      </w:r>
      <w:r>
        <w:t>consist of population centres greater than 50,000 and smaller centres which are either holiday centres or contain university campuses which have seasonal population increases.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154D74" w14:textId="77777777" w:rsidR="0024172A" w:rsidRPr="00A5474E" w:rsidRDefault="0024172A" w:rsidP="00A5474E">
    <w:pPr>
      <w:pStyle w:val="Header"/>
    </w:pPr>
    <w:r>
      <w:rPr>
        <w:noProof/>
      </w:rPr>
      <w:drawing>
        <wp:inline distT="0" distB="0" distL="0" distR="0" wp14:anchorId="688495D0" wp14:editId="41744679">
          <wp:extent cx="6388100" cy="520700"/>
          <wp:effectExtent l="0" t="0" r="0" b="12700"/>
          <wp:docPr id="4" name="Picture 4"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B96CBA" w14:textId="77777777" w:rsidR="0024172A" w:rsidRPr="00A5474E" w:rsidRDefault="0024172A"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0E9610" w14:textId="77777777" w:rsidR="0024172A" w:rsidRDefault="0024172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81834C" w14:textId="77777777" w:rsidR="0024172A" w:rsidRDefault="0024172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7678" w:type="dxa"/>
      <w:tblLayout w:type="fixed"/>
      <w:tblCellMar>
        <w:left w:w="0" w:type="dxa"/>
        <w:right w:w="0" w:type="dxa"/>
      </w:tblCellMar>
      <w:tblLook w:val="01E0" w:firstRow="1" w:lastRow="1" w:firstColumn="1" w:lastColumn="1" w:noHBand="0" w:noVBand="0"/>
    </w:tblPr>
    <w:tblGrid>
      <w:gridCol w:w="7678"/>
    </w:tblGrid>
    <w:tr w:rsidR="0024172A" w14:paraId="0A832590" w14:textId="77777777" w:rsidTr="00B90FFA">
      <w:trPr>
        <w:trHeight w:hRule="exact" w:val="988"/>
      </w:trPr>
      <w:tc>
        <w:tcPr>
          <w:tcW w:w="7678" w:type="dxa"/>
          <w:shd w:val="clear" w:color="auto" w:fill="auto"/>
        </w:tcPr>
        <w:p w14:paraId="40D6C653" w14:textId="77777777" w:rsidR="0024172A" w:rsidRDefault="0024172A" w:rsidP="00971914">
          <w:pPr>
            <w:pStyle w:val="Header"/>
          </w:pPr>
        </w:p>
      </w:tc>
    </w:tr>
    <w:tr w:rsidR="0024172A" w14:paraId="3C0A4833" w14:textId="77777777" w:rsidTr="00B90FFA">
      <w:tc>
        <w:tcPr>
          <w:tcW w:w="7678" w:type="dxa"/>
          <w:shd w:val="clear" w:color="auto" w:fill="auto"/>
        </w:tcPr>
        <w:p w14:paraId="6444BCC2" w14:textId="77777777" w:rsidR="0024172A" w:rsidRDefault="0024172A" w:rsidP="00971914">
          <w:pPr>
            <w:pStyle w:val="GridTable31"/>
          </w:pPr>
          <w:r>
            <w:t xml:space="preserve">Contents </w:t>
          </w:r>
          <w:r w:rsidRPr="00915B1C">
            <w:rPr>
              <w:b w:val="0"/>
              <w:spacing w:val="0"/>
              <w:sz w:val="28"/>
              <w:szCs w:val="28"/>
            </w:rPr>
            <w:t>(Continued)</w:t>
          </w:r>
        </w:p>
      </w:tc>
    </w:tr>
    <w:tr w:rsidR="0024172A" w14:paraId="712D424A" w14:textId="77777777" w:rsidTr="00B90FFA">
      <w:trPr>
        <w:trHeight w:val="1220"/>
      </w:trPr>
      <w:tc>
        <w:tcPr>
          <w:tcW w:w="7678" w:type="dxa"/>
          <w:shd w:val="clear" w:color="auto" w:fill="auto"/>
        </w:tcPr>
        <w:p w14:paraId="7180B1AE" w14:textId="77777777" w:rsidR="0024172A" w:rsidRDefault="0024172A" w:rsidP="00971914"/>
      </w:tc>
    </w:tr>
  </w:tbl>
  <w:p w14:paraId="7055083E" w14:textId="77777777" w:rsidR="0024172A" w:rsidRDefault="0024172A" w:rsidP="0097191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7678" w:type="dxa"/>
      <w:tblLayout w:type="fixed"/>
      <w:tblCellMar>
        <w:left w:w="0" w:type="dxa"/>
        <w:right w:w="0" w:type="dxa"/>
      </w:tblCellMar>
      <w:tblLook w:val="01E0" w:firstRow="1" w:lastRow="1" w:firstColumn="1" w:lastColumn="1" w:noHBand="0" w:noVBand="0"/>
    </w:tblPr>
    <w:tblGrid>
      <w:gridCol w:w="7678"/>
    </w:tblGrid>
    <w:tr w:rsidR="0024172A" w14:paraId="036E12DE" w14:textId="77777777" w:rsidTr="00B90FFA">
      <w:trPr>
        <w:trHeight w:hRule="exact" w:val="988"/>
      </w:trPr>
      <w:tc>
        <w:tcPr>
          <w:tcW w:w="7678" w:type="dxa"/>
          <w:shd w:val="clear" w:color="auto" w:fill="auto"/>
        </w:tcPr>
        <w:p w14:paraId="2F3445FF" w14:textId="77777777" w:rsidR="0024172A" w:rsidRDefault="0024172A" w:rsidP="00971914">
          <w:pPr>
            <w:pStyle w:val="Header"/>
          </w:pPr>
        </w:p>
      </w:tc>
    </w:tr>
    <w:tr w:rsidR="0024172A" w14:paraId="32673EFC" w14:textId="77777777" w:rsidTr="00B90FFA">
      <w:tc>
        <w:tcPr>
          <w:tcW w:w="7678" w:type="dxa"/>
          <w:shd w:val="clear" w:color="auto" w:fill="auto"/>
        </w:tcPr>
        <w:p w14:paraId="30D69036" w14:textId="77777777" w:rsidR="0024172A" w:rsidRDefault="0024172A" w:rsidP="00971914">
          <w:pPr>
            <w:pStyle w:val="GridTable31"/>
          </w:pPr>
          <w:r>
            <w:t xml:space="preserve">Contents </w:t>
          </w:r>
          <w:r w:rsidRPr="00915B1C">
            <w:rPr>
              <w:b w:val="0"/>
              <w:spacing w:val="0"/>
              <w:sz w:val="28"/>
              <w:szCs w:val="28"/>
            </w:rPr>
            <w:t>(Continued)</w:t>
          </w:r>
        </w:p>
      </w:tc>
    </w:tr>
    <w:tr w:rsidR="0024172A" w14:paraId="0C71AC59" w14:textId="77777777" w:rsidTr="00B90FFA">
      <w:trPr>
        <w:trHeight w:val="1220"/>
      </w:trPr>
      <w:tc>
        <w:tcPr>
          <w:tcW w:w="7678" w:type="dxa"/>
          <w:shd w:val="clear" w:color="auto" w:fill="auto"/>
        </w:tcPr>
        <w:p w14:paraId="3DE81B72" w14:textId="77777777" w:rsidR="0024172A" w:rsidRDefault="0024172A" w:rsidP="00971914"/>
      </w:tc>
    </w:tr>
  </w:tbl>
  <w:p w14:paraId="7FED9431" w14:textId="77777777" w:rsidR="0024172A" w:rsidRPr="00A5474E" w:rsidRDefault="0024172A" w:rsidP="00A5474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4A7873" w14:textId="77777777" w:rsidR="0024172A" w:rsidRDefault="0024172A">
    <w:pPr>
      <w:pStyle w:val="Header"/>
    </w:pPr>
  </w:p>
  <w:p w14:paraId="2DFBCA51" w14:textId="77777777" w:rsidR="0024172A" w:rsidRDefault="0024172A">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DDAFCB" w14:textId="77777777" w:rsidR="0024172A" w:rsidRDefault="0024172A">
    <w:pPr>
      <w:pStyle w:val="Header"/>
    </w:pPr>
  </w:p>
  <w:p w14:paraId="28ADE121" w14:textId="77777777" w:rsidR="0024172A" w:rsidRDefault="0024172A">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6A6584" w14:textId="77777777" w:rsidR="0024172A" w:rsidRDefault="0024172A">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B7478" w14:textId="77777777" w:rsidR="0024172A" w:rsidRDefault="0024172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7.5pt;height:44.5pt" o:bullet="t">
        <v:imagedata r:id="rId1" o:title="clip_image001"/>
      </v:shape>
    </w:pict>
  </w:numPicBullet>
  <w:numPicBullet w:numPicBulletId="1">
    <w:pict>
      <v:shape id="_x0000_i1027" type="#_x0000_t75" style="width:49pt;height:45pt" o:bullet="t">
        <v:imagedata r:id="rId2" o:title="clip_image003"/>
      </v:shape>
    </w:pict>
  </w:numPicBullet>
  <w:numPicBullet w:numPicBulletId="2">
    <w:pict>
      <v:shape id="_x0000_i1028" type="#_x0000_t75" style="width:47.5pt;height:45pt" o:bullet="t">
        <v:imagedata r:id="rId3" o:title="clip_image005"/>
      </v:shape>
    </w:pict>
  </w:numPicBullet>
  <w:numPicBullet w:numPicBulletId="3">
    <w:pict>
      <v:shape id="_x0000_i1029" type="#_x0000_t75" style="width:47.5pt;height:45pt" o:bullet="t">
        <v:imagedata r:id="rId4" o:title="clip_image007"/>
      </v:shape>
    </w:pict>
  </w:numPicBullet>
  <w:numPicBullet w:numPicBulletId="4">
    <w:pict>
      <v:shape id="_x0000_i1030" type="#_x0000_t75" style="width:48pt;height:45pt" o:bullet="t">
        <v:imagedata r:id="rId5" o:title="clip_image009"/>
      </v:shape>
    </w:pict>
  </w:numPicBullet>
  <w:numPicBullet w:numPicBulletId="5">
    <w:pict>
      <v:shape id="_x0000_i1031" type="#_x0000_t75" style="width:48pt;height:44.5pt" o:bullet="t">
        <v:imagedata r:id="rId6" o:title="clip_image011"/>
      </v:shape>
    </w:pict>
  </w:numPicBullet>
  <w:numPicBullet w:numPicBulletId="6">
    <w:pict>
      <v:shape id="_x0000_i1032" type="#_x0000_t75" style="width:47.5pt;height:44.5pt" o:bullet="t">
        <v:imagedata r:id="rId7" o:title="clip_image013"/>
      </v:shape>
    </w:pict>
  </w:numPicBullet>
  <w:abstractNum w:abstractNumId="0" w15:restartNumberingAfterBreak="0">
    <w:nsid w:val="FFFFFF7C"/>
    <w:multiLevelType w:val="singleLevel"/>
    <w:tmpl w:val="A9BE8E08"/>
    <w:lvl w:ilvl="0">
      <w:start w:val="1"/>
      <w:numFmt w:val="decimal"/>
      <w:lvlText w:val="%1."/>
      <w:lvlJc w:val="left"/>
      <w:pPr>
        <w:tabs>
          <w:tab w:val="num" w:pos="1492"/>
        </w:tabs>
        <w:ind w:left="1492" w:hanging="360"/>
      </w:pPr>
    </w:lvl>
  </w:abstractNum>
  <w:abstractNum w:abstractNumId="1" w15:restartNumberingAfterBreak="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2" w15:restartNumberingAfterBreak="0">
    <w:nsid w:val="FFFFFF83"/>
    <w:multiLevelType w:val="singleLevel"/>
    <w:tmpl w:val="6EC058B2"/>
    <w:lvl w:ilvl="0">
      <w:start w:val="1"/>
      <w:numFmt w:val="bullet"/>
      <w:lvlText w:val=""/>
      <w:lvlJc w:val="left"/>
      <w:pPr>
        <w:ind w:left="661" w:hanging="360"/>
      </w:pPr>
      <w:rPr>
        <w:rFonts w:ascii="Symbol" w:hAnsi="Symbol" w:hint="default"/>
        <w:sz w:val="20"/>
      </w:rPr>
    </w:lvl>
  </w:abstractNum>
  <w:abstractNum w:abstractNumId="3" w15:restartNumberingAfterBreak="0">
    <w:nsid w:val="FFFFFF88"/>
    <w:multiLevelType w:val="singleLevel"/>
    <w:tmpl w:val="A7A845C2"/>
    <w:lvl w:ilvl="0">
      <w:start w:val="1"/>
      <w:numFmt w:val="decimal"/>
      <w:pStyle w:val="ListNumber"/>
      <w:lvlText w:val="%1."/>
      <w:lvlJc w:val="left"/>
      <w:pPr>
        <w:ind w:left="36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abstractNum>
  <w:abstractNum w:abstractNumId="4" w15:restartNumberingAfterBreak="0">
    <w:nsid w:val="FFFFFF89"/>
    <w:multiLevelType w:val="singleLevel"/>
    <w:tmpl w:val="8A00C244"/>
    <w:lvl w:ilvl="0">
      <w:start w:val="1"/>
      <w:numFmt w:val="bullet"/>
      <w:pStyle w:val="ListBullet"/>
      <w:lvlText w:val="&gt;"/>
      <w:lvlJc w:val="left"/>
      <w:pPr>
        <w:tabs>
          <w:tab w:val="num" w:pos="1996"/>
        </w:tabs>
        <w:ind w:left="1996" w:hanging="295"/>
      </w:pPr>
      <w:rPr>
        <w:rFonts w:ascii="HelveticaNeueLT Std Lt" w:hAnsi="HelveticaNeueLT Std Lt" w:hint="default"/>
        <w:sz w:val="20"/>
      </w:rPr>
    </w:lvl>
  </w:abstractNum>
  <w:abstractNum w:abstractNumId="5" w15:restartNumberingAfterBreak="0">
    <w:nsid w:val="05943899"/>
    <w:multiLevelType w:val="hybridMultilevel"/>
    <w:tmpl w:val="F70ACB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DE06B1B"/>
    <w:multiLevelType w:val="hybridMultilevel"/>
    <w:tmpl w:val="788E5DFA"/>
    <w:lvl w:ilvl="0" w:tplc="FE9EAA6A">
      <w:start w:val="1"/>
      <w:numFmt w:val="bullet"/>
      <w:lvlText w:val="&gt;"/>
      <w:lvlJc w:val="left"/>
      <w:pPr>
        <w:ind w:left="425" w:hanging="360"/>
      </w:pPr>
      <w:rPr>
        <w:rFonts w:ascii="Vrinda" w:hAnsi="Vrinda" w:hint="default"/>
        <w:b w:val="0"/>
        <w:sz w:val="20"/>
        <w:szCs w:val="20"/>
      </w:rPr>
    </w:lvl>
    <w:lvl w:ilvl="1" w:tplc="0C090003" w:tentative="1">
      <w:start w:val="1"/>
      <w:numFmt w:val="bullet"/>
      <w:lvlText w:val="o"/>
      <w:lvlJc w:val="left"/>
      <w:pPr>
        <w:ind w:left="1145" w:hanging="360"/>
      </w:pPr>
      <w:rPr>
        <w:rFonts w:ascii="Courier New" w:hAnsi="Courier New" w:cs="Courier New" w:hint="default"/>
      </w:rPr>
    </w:lvl>
    <w:lvl w:ilvl="2" w:tplc="0C090005" w:tentative="1">
      <w:start w:val="1"/>
      <w:numFmt w:val="bullet"/>
      <w:lvlText w:val=""/>
      <w:lvlJc w:val="left"/>
      <w:pPr>
        <w:ind w:left="1865" w:hanging="360"/>
      </w:pPr>
      <w:rPr>
        <w:rFonts w:ascii="Wingdings" w:hAnsi="Wingdings" w:hint="default"/>
      </w:rPr>
    </w:lvl>
    <w:lvl w:ilvl="3" w:tplc="0C090001" w:tentative="1">
      <w:start w:val="1"/>
      <w:numFmt w:val="bullet"/>
      <w:lvlText w:val=""/>
      <w:lvlJc w:val="left"/>
      <w:pPr>
        <w:ind w:left="2585" w:hanging="360"/>
      </w:pPr>
      <w:rPr>
        <w:rFonts w:ascii="Symbol" w:hAnsi="Symbol" w:hint="default"/>
      </w:rPr>
    </w:lvl>
    <w:lvl w:ilvl="4" w:tplc="0C090003" w:tentative="1">
      <w:start w:val="1"/>
      <w:numFmt w:val="bullet"/>
      <w:lvlText w:val="o"/>
      <w:lvlJc w:val="left"/>
      <w:pPr>
        <w:ind w:left="3305" w:hanging="360"/>
      </w:pPr>
      <w:rPr>
        <w:rFonts w:ascii="Courier New" w:hAnsi="Courier New" w:cs="Courier New" w:hint="default"/>
      </w:rPr>
    </w:lvl>
    <w:lvl w:ilvl="5" w:tplc="0C090005" w:tentative="1">
      <w:start w:val="1"/>
      <w:numFmt w:val="bullet"/>
      <w:lvlText w:val=""/>
      <w:lvlJc w:val="left"/>
      <w:pPr>
        <w:ind w:left="4025" w:hanging="360"/>
      </w:pPr>
      <w:rPr>
        <w:rFonts w:ascii="Wingdings" w:hAnsi="Wingdings" w:hint="default"/>
      </w:rPr>
    </w:lvl>
    <w:lvl w:ilvl="6" w:tplc="0C090001" w:tentative="1">
      <w:start w:val="1"/>
      <w:numFmt w:val="bullet"/>
      <w:lvlText w:val=""/>
      <w:lvlJc w:val="left"/>
      <w:pPr>
        <w:ind w:left="4745" w:hanging="360"/>
      </w:pPr>
      <w:rPr>
        <w:rFonts w:ascii="Symbol" w:hAnsi="Symbol" w:hint="default"/>
      </w:rPr>
    </w:lvl>
    <w:lvl w:ilvl="7" w:tplc="0C090003" w:tentative="1">
      <w:start w:val="1"/>
      <w:numFmt w:val="bullet"/>
      <w:lvlText w:val="o"/>
      <w:lvlJc w:val="left"/>
      <w:pPr>
        <w:ind w:left="5465" w:hanging="360"/>
      </w:pPr>
      <w:rPr>
        <w:rFonts w:ascii="Courier New" w:hAnsi="Courier New" w:cs="Courier New" w:hint="default"/>
      </w:rPr>
    </w:lvl>
    <w:lvl w:ilvl="8" w:tplc="0C090005" w:tentative="1">
      <w:start w:val="1"/>
      <w:numFmt w:val="bullet"/>
      <w:lvlText w:val=""/>
      <w:lvlJc w:val="left"/>
      <w:pPr>
        <w:ind w:left="6185" w:hanging="360"/>
      </w:pPr>
      <w:rPr>
        <w:rFonts w:ascii="Wingdings" w:hAnsi="Wingdings" w:hint="default"/>
      </w:rPr>
    </w:lvl>
  </w:abstractNum>
  <w:abstractNum w:abstractNumId="7" w15:restartNumberingAfterBreak="0">
    <w:nsid w:val="0FA602FE"/>
    <w:multiLevelType w:val="hybridMultilevel"/>
    <w:tmpl w:val="E23EF2C0"/>
    <w:lvl w:ilvl="0" w:tplc="45B6B8E0">
      <w:start w:val="1"/>
      <w:numFmt w:val="bullet"/>
      <w:lvlText w:val=""/>
      <w:lvlPicBulletId w:val="0"/>
      <w:lvlJc w:val="left"/>
      <w:pPr>
        <w:tabs>
          <w:tab w:val="num" w:pos="720"/>
        </w:tabs>
        <w:ind w:left="720" w:hanging="360"/>
      </w:pPr>
      <w:rPr>
        <w:rFonts w:ascii="Symbol" w:hAnsi="Symbol" w:hint="default"/>
      </w:rPr>
    </w:lvl>
    <w:lvl w:ilvl="1" w:tplc="F91C6258">
      <w:start w:val="1"/>
      <w:numFmt w:val="bullet"/>
      <w:lvlText w:val=""/>
      <w:lvlJc w:val="left"/>
      <w:pPr>
        <w:tabs>
          <w:tab w:val="num" w:pos="1440"/>
        </w:tabs>
        <w:ind w:left="1440" w:hanging="360"/>
      </w:pPr>
      <w:rPr>
        <w:rFonts w:ascii="Symbol" w:hAnsi="Symbol" w:hint="default"/>
      </w:rPr>
    </w:lvl>
    <w:lvl w:ilvl="2" w:tplc="451E0D78">
      <w:start w:val="1"/>
      <w:numFmt w:val="bullet"/>
      <w:lvlText w:val=""/>
      <w:lvlJc w:val="left"/>
      <w:pPr>
        <w:tabs>
          <w:tab w:val="num" w:pos="2160"/>
        </w:tabs>
        <w:ind w:left="2160" w:hanging="360"/>
      </w:pPr>
      <w:rPr>
        <w:rFonts w:ascii="Symbol" w:hAnsi="Symbol" w:hint="default"/>
      </w:rPr>
    </w:lvl>
    <w:lvl w:ilvl="3" w:tplc="3064C9EC">
      <w:start w:val="1"/>
      <w:numFmt w:val="bullet"/>
      <w:lvlText w:val=""/>
      <w:lvlJc w:val="left"/>
      <w:pPr>
        <w:tabs>
          <w:tab w:val="num" w:pos="2880"/>
        </w:tabs>
        <w:ind w:left="2880" w:hanging="360"/>
      </w:pPr>
      <w:rPr>
        <w:rFonts w:ascii="Symbol" w:hAnsi="Symbol" w:hint="default"/>
      </w:rPr>
    </w:lvl>
    <w:lvl w:ilvl="4" w:tplc="EEC47696">
      <w:start w:val="1"/>
      <w:numFmt w:val="bullet"/>
      <w:lvlText w:val=""/>
      <w:lvlJc w:val="left"/>
      <w:pPr>
        <w:tabs>
          <w:tab w:val="num" w:pos="3600"/>
        </w:tabs>
        <w:ind w:left="3600" w:hanging="360"/>
      </w:pPr>
      <w:rPr>
        <w:rFonts w:ascii="Symbol" w:hAnsi="Symbol" w:hint="default"/>
      </w:rPr>
    </w:lvl>
    <w:lvl w:ilvl="5" w:tplc="C65C564A">
      <w:start w:val="1"/>
      <w:numFmt w:val="bullet"/>
      <w:lvlText w:val=""/>
      <w:lvlJc w:val="left"/>
      <w:pPr>
        <w:tabs>
          <w:tab w:val="num" w:pos="4320"/>
        </w:tabs>
        <w:ind w:left="4320" w:hanging="360"/>
      </w:pPr>
      <w:rPr>
        <w:rFonts w:ascii="Symbol" w:hAnsi="Symbol" w:hint="default"/>
      </w:rPr>
    </w:lvl>
    <w:lvl w:ilvl="6" w:tplc="B9208B50">
      <w:start w:val="1"/>
      <w:numFmt w:val="bullet"/>
      <w:lvlText w:val=""/>
      <w:lvlJc w:val="left"/>
      <w:pPr>
        <w:tabs>
          <w:tab w:val="num" w:pos="5040"/>
        </w:tabs>
        <w:ind w:left="5040" w:hanging="360"/>
      </w:pPr>
      <w:rPr>
        <w:rFonts w:ascii="Symbol" w:hAnsi="Symbol" w:hint="default"/>
      </w:rPr>
    </w:lvl>
    <w:lvl w:ilvl="7" w:tplc="10A633F8">
      <w:start w:val="1"/>
      <w:numFmt w:val="bullet"/>
      <w:lvlText w:val=""/>
      <w:lvlJc w:val="left"/>
      <w:pPr>
        <w:tabs>
          <w:tab w:val="num" w:pos="5760"/>
        </w:tabs>
        <w:ind w:left="5760" w:hanging="360"/>
      </w:pPr>
      <w:rPr>
        <w:rFonts w:ascii="Symbol" w:hAnsi="Symbol" w:hint="default"/>
      </w:rPr>
    </w:lvl>
    <w:lvl w:ilvl="8" w:tplc="1B6A04E4">
      <w:start w:val="1"/>
      <w:numFmt w:val="bullet"/>
      <w:lvlText w:val=""/>
      <w:lvlJc w:val="left"/>
      <w:pPr>
        <w:tabs>
          <w:tab w:val="num" w:pos="6480"/>
        </w:tabs>
        <w:ind w:left="6480" w:hanging="360"/>
      </w:pPr>
      <w:rPr>
        <w:rFonts w:ascii="Symbol" w:hAnsi="Symbol" w:hint="default"/>
      </w:rPr>
    </w:lvl>
  </w:abstractNum>
  <w:abstractNum w:abstractNumId="8" w15:restartNumberingAfterBreak="0">
    <w:nsid w:val="13B23A3E"/>
    <w:multiLevelType w:val="hybridMultilevel"/>
    <w:tmpl w:val="304A0892"/>
    <w:lvl w:ilvl="0" w:tplc="FE9EAA6A">
      <w:start w:val="1"/>
      <w:numFmt w:val="bullet"/>
      <w:lvlText w:val="&gt;"/>
      <w:lvlJc w:val="left"/>
      <w:pPr>
        <w:ind w:left="425" w:hanging="360"/>
      </w:pPr>
      <w:rPr>
        <w:rFonts w:ascii="Vrinda" w:hAnsi="Vrinda" w:hint="default"/>
        <w:b w:val="0"/>
        <w:sz w:val="20"/>
        <w:szCs w:val="20"/>
      </w:rPr>
    </w:lvl>
    <w:lvl w:ilvl="1" w:tplc="0C090003" w:tentative="1">
      <w:start w:val="1"/>
      <w:numFmt w:val="bullet"/>
      <w:lvlText w:val="o"/>
      <w:lvlJc w:val="left"/>
      <w:pPr>
        <w:ind w:left="1145" w:hanging="360"/>
      </w:pPr>
      <w:rPr>
        <w:rFonts w:ascii="Courier New" w:hAnsi="Courier New" w:cs="Courier New" w:hint="default"/>
      </w:rPr>
    </w:lvl>
    <w:lvl w:ilvl="2" w:tplc="0C090005" w:tentative="1">
      <w:start w:val="1"/>
      <w:numFmt w:val="bullet"/>
      <w:lvlText w:val=""/>
      <w:lvlJc w:val="left"/>
      <w:pPr>
        <w:ind w:left="1865" w:hanging="360"/>
      </w:pPr>
      <w:rPr>
        <w:rFonts w:ascii="Wingdings" w:hAnsi="Wingdings" w:hint="default"/>
      </w:rPr>
    </w:lvl>
    <w:lvl w:ilvl="3" w:tplc="0C090001" w:tentative="1">
      <w:start w:val="1"/>
      <w:numFmt w:val="bullet"/>
      <w:lvlText w:val=""/>
      <w:lvlJc w:val="left"/>
      <w:pPr>
        <w:ind w:left="2585" w:hanging="360"/>
      </w:pPr>
      <w:rPr>
        <w:rFonts w:ascii="Symbol" w:hAnsi="Symbol" w:hint="default"/>
      </w:rPr>
    </w:lvl>
    <w:lvl w:ilvl="4" w:tplc="0C090003" w:tentative="1">
      <w:start w:val="1"/>
      <w:numFmt w:val="bullet"/>
      <w:lvlText w:val="o"/>
      <w:lvlJc w:val="left"/>
      <w:pPr>
        <w:ind w:left="3305" w:hanging="360"/>
      </w:pPr>
      <w:rPr>
        <w:rFonts w:ascii="Courier New" w:hAnsi="Courier New" w:cs="Courier New" w:hint="default"/>
      </w:rPr>
    </w:lvl>
    <w:lvl w:ilvl="5" w:tplc="0C090005" w:tentative="1">
      <w:start w:val="1"/>
      <w:numFmt w:val="bullet"/>
      <w:lvlText w:val=""/>
      <w:lvlJc w:val="left"/>
      <w:pPr>
        <w:ind w:left="4025" w:hanging="360"/>
      </w:pPr>
      <w:rPr>
        <w:rFonts w:ascii="Wingdings" w:hAnsi="Wingdings" w:hint="default"/>
      </w:rPr>
    </w:lvl>
    <w:lvl w:ilvl="6" w:tplc="0C090001" w:tentative="1">
      <w:start w:val="1"/>
      <w:numFmt w:val="bullet"/>
      <w:lvlText w:val=""/>
      <w:lvlJc w:val="left"/>
      <w:pPr>
        <w:ind w:left="4745" w:hanging="360"/>
      </w:pPr>
      <w:rPr>
        <w:rFonts w:ascii="Symbol" w:hAnsi="Symbol" w:hint="default"/>
      </w:rPr>
    </w:lvl>
    <w:lvl w:ilvl="7" w:tplc="0C090003" w:tentative="1">
      <w:start w:val="1"/>
      <w:numFmt w:val="bullet"/>
      <w:lvlText w:val="o"/>
      <w:lvlJc w:val="left"/>
      <w:pPr>
        <w:ind w:left="5465" w:hanging="360"/>
      </w:pPr>
      <w:rPr>
        <w:rFonts w:ascii="Courier New" w:hAnsi="Courier New" w:cs="Courier New" w:hint="default"/>
      </w:rPr>
    </w:lvl>
    <w:lvl w:ilvl="8" w:tplc="0C090005" w:tentative="1">
      <w:start w:val="1"/>
      <w:numFmt w:val="bullet"/>
      <w:lvlText w:val=""/>
      <w:lvlJc w:val="left"/>
      <w:pPr>
        <w:ind w:left="6185" w:hanging="360"/>
      </w:pPr>
      <w:rPr>
        <w:rFonts w:ascii="Wingdings" w:hAnsi="Wingdings" w:hint="default"/>
      </w:rPr>
    </w:lvl>
  </w:abstractNum>
  <w:abstractNum w:abstractNumId="9" w15:restartNumberingAfterBreak="0">
    <w:nsid w:val="222F2D20"/>
    <w:multiLevelType w:val="hybridMultilevel"/>
    <w:tmpl w:val="1AC69F2C"/>
    <w:lvl w:ilvl="0" w:tplc="8DEAB1F2">
      <w:start w:val="1"/>
      <w:numFmt w:val="bullet"/>
      <w:pStyle w:val="Bulletlevel1"/>
      <w:lvlText w:val=""/>
      <w:lvlJc w:val="left"/>
      <w:pPr>
        <w:ind w:left="360" w:hanging="360"/>
      </w:pPr>
      <w:rPr>
        <w:rFonts w:ascii="Symbol" w:hAnsi="Symbol" w:cs="Calibri" w:hint="default"/>
        <w:bCs w:val="0"/>
        <w:iCs w:val="0"/>
        <w:caps w:val="0"/>
        <w:strike w:val="0"/>
        <w:dstrike w:val="0"/>
        <w:vanish w:val="0"/>
        <w:color w:val="0F293A"/>
        <w:sz w:val="22"/>
        <w:szCs w:val="22"/>
        <w:vertAlign w:val="baseline"/>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225E1CCF"/>
    <w:multiLevelType w:val="hybridMultilevel"/>
    <w:tmpl w:val="EFCA9A3A"/>
    <w:lvl w:ilvl="0" w:tplc="FE9EAA6A">
      <w:start w:val="1"/>
      <w:numFmt w:val="bullet"/>
      <w:lvlText w:val="&gt;"/>
      <w:lvlJc w:val="left"/>
      <w:pPr>
        <w:ind w:left="1080" w:hanging="720"/>
      </w:pPr>
      <w:rPr>
        <w:rFonts w:ascii="Vrinda" w:hAnsi="Vrinda" w:hint="default"/>
        <w:b w:val="0"/>
        <w:sz w:val="20"/>
        <w:szCs w:val="20"/>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1" w15:restartNumberingAfterBreak="0">
    <w:nsid w:val="26861F51"/>
    <w:multiLevelType w:val="hybridMultilevel"/>
    <w:tmpl w:val="1A207C12"/>
    <w:lvl w:ilvl="0" w:tplc="FE9EAA6A">
      <w:start w:val="1"/>
      <w:numFmt w:val="bullet"/>
      <w:lvlText w:val="&gt;"/>
      <w:lvlJc w:val="left"/>
      <w:pPr>
        <w:ind w:left="720" w:hanging="360"/>
      </w:pPr>
      <w:rPr>
        <w:rFonts w:ascii="Vrinda" w:hAnsi="Vrinda" w:hint="default"/>
        <w:b w:val="0"/>
        <w:sz w:val="20"/>
        <w:szCs w:val="20"/>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6E37C00"/>
    <w:multiLevelType w:val="hybridMultilevel"/>
    <w:tmpl w:val="A7EA29D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14" w15:restartNumberingAfterBreak="0">
    <w:nsid w:val="2F5A5080"/>
    <w:multiLevelType w:val="hybridMultilevel"/>
    <w:tmpl w:val="24705096"/>
    <w:lvl w:ilvl="0" w:tplc="2668C79A">
      <w:start w:val="1"/>
      <w:numFmt w:val="bullet"/>
      <w:pStyle w:val="ACMABulletLevel1"/>
      <w:lvlText w:val="●"/>
      <w:lvlJc w:val="left"/>
      <w:pPr>
        <w:tabs>
          <w:tab w:val="num" w:pos="-31680"/>
        </w:tabs>
        <w:ind w:left="357" w:hanging="357"/>
      </w:pPr>
      <w:rPr>
        <w:rFonts w:ascii="Times New Roman" w:hAnsi="Times New Roman" w:cs="Times New Roman" w:hint="default"/>
      </w:rPr>
    </w:lvl>
    <w:lvl w:ilvl="1" w:tplc="04090003" w:tentative="1">
      <w:start w:val="1"/>
      <w:numFmt w:val="bullet"/>
      <w:lvlText w:val="o"/>
      <w:lvlJc w:val="left"/>
      <w:pPr>
        <w:tabs>
          <w:tab w:val="num" w:pos="1728"/>
        </w:tabs>
        <w:ind w:left="1728" w:hanging="360"/>
      </w:pPr>
      <w:rPr>
        <w:rFonts w:ascii="Courier New" w:hAnsi="Courier New" w:hint="default"/>
      </w:rPr>
    </w:lvl>
    <w:lvl w:ilvl="2" w:tplc="04090005" w:tentative="1">
      <w:start w:val="1"/>
      <w:numFmt w:val="bullet"/>
      <w:lvlText w:val=""/>
      <w:lvlJc w:val="left"/>
      <w:pPr>
        <w:tabs>
          <w:tab w:val="num" w:pos="2448"/>
        </w:tabs>
        <w:ind w:left="2448" w:hanging="360"/>
      </w:pPr>
      <w:rPr>
        <w:rFonts w:ascii="Wingdings" w:hAnsi="Wingdings" w:hint="default"/>
      </w:rPr>
    </w:lvl>
    <w:lvl w:ilvl="3" w:tplc="04090001" w:tentative="1">
      <w:start w:val="1"/>
      <w:numFmt w:val="bullet"/>
      <w:lvlText w:val=""/>
      <w:lvlJc w:val="left"/>
      <w:pPr>
        <w:tabs>
          <w:tab w:val="num" w:pos="3168"/>
        </w:tabs>
        <w:ind w:left="3168" w:hanging="360"/>
      </w:pPr>
      <w:rPr>
        <w:rFonts w:ascii="Symbol" w:hAnsi="Symbol" w:hint="default"/>
      </w:rPr>
    </w:lvl>
    <w:lvl w:ilvl="4" w:tplc="04090003" w:tentative="1">
      <w:start w:val="1"/>
      <w:numFmt w:val="bullet"/>
      <w:lvlText w:val="o"/>
      <w:lvlJc w:val="left"/>
      <w:pPr>
        <w:tabs>
          <w:tab w:val="num" w:pos="3888"/>
        </w:tabs>
        <w:ind w:left="3888" w:hanging="360"/>
      </w:pPr>
      <w:rPr>
        <w:rFonts w:ascii="Courier New" w:hAnsi="Courier New" w:hint="default"/>
      </w:rPr>
    </w:lvl>
    <w:lvl w:ilvl="5" w:tplc="04090005" w:tentative="1">
      <w:start w:val="1"/>
      <w:numFmt w:val="bullet"/>
      <w:lvlText w:val=""/>
      <w:lvlJc w:val="left"/>
      <w:pPr>
        <w:tabs>
          <w:tab w:val="num" w:pos="4608"/>
        </w:tabs>
        <w:ind w:left="4608" w:hanging="360"/>
      </w:pPr>
      <w:rPr>
        <w:rFonts w:ascii="Wingdings" w:hAnsi="Wingdings" w:hint="default"/>
      </w:rPr>
    </w:lvl>
    <w:lvl w:ilvl="6" w:tplc="04090001" w:tentative="1">
      <w:start w:val="1"/>
      <w:numFmt w:val="bullet"/>
      <w:lvlText w:val=""/>
      <w:lvlJc w:val="left"/>
      <w:pPr>
        <w:tabs>
          <w:tab w:val="num" w:pos="5328"/>
        </w:tabs>
        <w:ind w:left="5328" w:hanging="360"/>
      </w:pPr>
      <w:rPr>
        <w:rFonts w:ascii="Symbol" w:hAnsi="Symbol" w:hint="default"/>
      </w:rPr>
    </w:lvl>
    <w:lvl w:ilvl="7" w:tplc="04090003" w:tentative="1">
      <w:start w:val="1"/>
      <w:numFmt w:val="bullet"/>
      <w:lvlText w:val="o"/>
      <w:lvlJc w:val="left"/>
      <w:pPr>
        <w:tabs>
          <w:tab w:val="num" w:pos="6048"/>
        </w:tabs>
        <w:ind w:left="6048" w:hanging="360"/>
      </w:pPr>
      <w:rPr>
        <w:rFonts w:ascii="Courier New" w:hAnsi="Courier New" w:hint="default"/>
      </w:rPr>
    </w:lvl>
    <w:lvl w:ilvl="8" w:tplc="04090005" w:tentative="1">
      <w:start w:val="1"/>
      <w:numFmt w:val="bullet"/>
      <w:lvlText w:val=""/>
      <w:lvlJc w:val="left"/>
      <w:pPr>
        <w:tabs>
          <w:tab w:val="num" w:pos="6768"/>
        </w:tabs>
        <w:ind w:left="6768" w:hanging="360"/>
      </w:pPr>
      <w:rPr>
        <w:rFonts w:ascii="Wingdings" w:hAnsi="Wingdings" w:hint="default"/>
      </w:rPr>
    </w:lvl>
  </w:abstractNum>
  <w:abstractNum w:abstractNumId="15" w15:restartNumberingAfterBreak="0">
    <w:nsid w:val="323254ED"/>
    <w:multiLevelType w:val="hybridMultilevel"/>
    <w:tmpl w:val="BE3E036E"/>
    <w:lvl w:ilvl="0" w:tplc="D0AAC94C">
      <w:start w:val="1"/>
      <w:numFmt w:val="bullet"/>
      <w:lvlText w:val=""/>
      <w:lvlPicBulletId w:val="1"/>
      <w:lvlJc w:val="left"/>
      <w:pPr>
        <w:tabs>
          <w:tab w:val="num" w:pos="720"/>
        </w:tabs>
        <w:ind w:left="720" w:hanging="360"/>
      </w:pPr>
      <w:rPr>
        <w:rFonts w:ascii="Symbol" w:hAnsi="Symbol" w:hint="default"/>
      </w:rPr>
    </w:lvl>
    <w:lvl w:ilvl="1" w:tplc="08668CCA">
      <w:start w:val="1"/>
      <w:numFmt w:val="bullet"/>
      <w:lvlText w:val=""/>
      <w:lvlJc w:val="left"/>
      <w:pPr>
        <w:tabs>
          <w:tab w:val="num" w:pos="1440"/>
        </w:tabs>
        <w:ind w:left="1440" w:hanging="360"/>
      </w:pPr>
      <w:rPr>
        <w:rFonts w:ascii="Symbol" w:hAnsi="Symbol" w:hint="default"/>
      </w:rPr>
    </w:lvl>
    <w:lvl w:ilvl="2" w:tplc="ADE8370E">
      <w:start w:val="1"/>
      <w:numFmt w:val="bullet"/>
      <w:lvlText w:val=""/>
      <w:lvlJc w:val="left"/>
      <w:pPr>
        <w:tabs>
          <w:tab w:val="num" w:pos="2160"/>
        </w:tabs>
        <w:ind w:left="2160" w:hanging="360"/>
      </w:pPr>
      <w:rPr>
        <w:rFonts w:ascii="Symbol" w:hAnsi="Symbol" w:hint="default"/>
      </w:rPr>
    </w:lvl>
    <w:lvl w:ilvl="3" w:tplc="86702092">
      <w:start w:val="1"/>
      <w:numFmt w:val="bullet"/>
      <w:lvlText w:val=""/>
      <w:lvlJc w:val="left"/>
      <w:pPr>
        <w:tabs>
          <w:tab w:val="num" w:pos="2880"/>
        </w:tabs>
        <w:ind w:left="2880" w:hanging="360"/>
      </w:pPr>
      <w:rPr>
        <w:rFonts w:ascii="Symbol" w:hAnsi="Symbol" w:hint="default"/>
      </w:rPr>
    </w:lvl>
    <w:lvl w:ilvl="4" w:tplc="CAE2CFD0">
      <w:start w:val="1"/>
      <w:numFmt w:val="bullet"/>
      <w:lvlText w:val=""/>
      <w:lvlJc w:val="left"/>
      <w:pPr>
        <w:tabs>
          <w:tab w:val="num" w:pos="3600"/>
        </w:tabs>
        <w:ind w:left="3600" w:hanging="360"/>
      </w:pPr>
      <w:rPr>
        <w:rFonts w:ascii="Symbol" w:hAnsi="Symbol" w:hint="default"/>
      </w:rPr>
    </w:lvl>
    <w:lvl w:ilvl="5" w:tplc="D850F21A">
      <w:start w:val="1"/>
      <w:numFmt w:val="bullet"/>
      <w:lvlText w:val=""/>
      <w:lvlJc w:val="left"/>
      <w:pPr>
        <w:tabs>
          <w:tab w:val="num" w:pos="4320"/>
        </w:tabs>
        <w:ind w:left="4320" w:hanging="360"/>
      </w:pPr>
      <w:rPr>
        <w:rFonts w:ascii="Symbol" w:hAnsi="Symbol" w:hint="default"/>
      </w:rPr>
    </w:lvl>
    <w:lvl w:ilvl="6" w:tplc="6554D772">
      <w:start w:val="1"/>
      <w:numFmt w:val="bullet"/>
      <w:lvlText w:val=""/>
      <w:lvlJc w:val="left"/>
      <w:pPr>
        <w:tabs>
          <w:tab w:val="num" w:pos="5040"/>
        </w:tabs>
        <w:ind w:left="5040" w:hanging="360"/>
      </w:pPr>
      <w:rPr>
        <w:rFonts w:ascii="Symbol" w:hAnsi="Symbol" w:hint="default"/>
      </w:rPr>
    </w:lvl>
    <w:lvl w:ilvl="7" w:tplc="BDF4B4EA">
      <w:start w:val="1"/>
      <w:numFmt w:val="bullet"/>
      <w:lvlText w:val=""/>
      <w:lvlJc w:val="left"/>
      <w:pPr>
        <w:tabs>
          <w:tab w:val="num" w:pos="5760"/>
        </w:tabs>
        <w:ind w:left="5760" w:hanging="360"/>
      </w:pPr>
      <w:rPr>
        <w:rFonts w:ascii="Symbol" w:hAnsi="Symbol" w:hint="default"/>
      </w:rPr>
    </w:lvl>
    <w:lvl w:ilvl="8" w:tplc="FEE40804">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39EA7495"/>
    <w:multiLevelType w:val="hybridMultilevel"/>
    <w:tmpl w:val="6F9078D0"/>
    <w:lvl w:ilvl="0" w:tplc="61A80806">
      <w:start w:val="1"/>
      <w:numFmt w:val="bullet"/>
      <w:lvlText w:val=""/>
      <w:lvlPicBulletId w:val="2"/>
      <w:lvlJc w:val="left"/>
      <w:pPr>
        <w:tabs>
          <w:tab w:val="num" w:pos="720"/>
        </w:tabs>
        <w:ind w:left="720" w:hanging="360"/>
      </w:pPr>
      <w:rPr>
        <w:rFonts w:ascii="Symbol" w:hAnsi="Symbol" w:hint="default"/>
      </w:rPr>
    </w:lvl>
    <w:lvl w:ilvl="1" w:tplc="383A5E84">
      <w:start w:val="1"/>
      <w:numFmt w:val="bullet"/>
      <w:lvlText w:val=""/>
      <w:lvlJc w:val="left"/>
      <w:pPr>
        <w:tabs>
          <w:tab w:val="num" w:pos="1440"/>
        </w:tabs>
        <w:ind w:left="1440" w:hanging="360"/>
      </w:pPr>
      <w:rPr>
        <w:rFonts w:ascii="Symbol" w:hAnsi="Symbol" w:hint="default"/>
      </w:rPr>
    </w:lvl>
    <w:lvl w:ilvl="2" w:tplc="5524BABA">
      <w:start w:val="1"/>
      <w:numFmt w:val="bullet"/>
      <w:lvlText w:val=""/>
      <w:lvlJc w:val="left"/>
      <w:pPr>
        <w:tabs>
          <w:tab w:val="num" w:pos="2160"/>
        </w:tabs>
        <w:ind w:left="2160" w:hanging="360"/>
      </w:pPr>
      <w:rPr>
        <w:rFonts w:ascii="Symbol" w:hAnsi="Symbol" w:hint="default"/>
      </w:rPr>
    </w:lvl>
    <w:lvl w:ilvl="3" w:tplc="133E9788">
      <w:start w:val="1"/>
      <w:numFmt w:val="bullet"/>
      <w:lvlText w:val=""/>
      <w:lvlJc w:val="left"/>
      <w:pPr>
        <w:tabs>
          <w:tab w:val="num" w:pos="2880"/>
        </w:tabs>
        <w:ind w:left="2880" w:hanging="360"/>
      </w:pPr>
      <w:rPr>
        <w:rFonts w:ascii="Symbol" w:hAnsi="Symbol" w:hint="default"/>
      </w:rPr>
    </w:lvl>
    <w:lvl w:ilvl="4" w:tplc="A6B86E04">
      <w:start w:val="1"/>
      <w:numFmt w:val="bullet"/>
      <w:lvlText w:val=""/>
      <w:lvlJc w:val="left"/>
      <w:pPr>
        <w:tabs>
          <w:tab w:val="num" w:pos="3600"/>
        </w:tabs>
        <w:ind w:left="3600" w:hanging="360"/>
      </w:pPr>
      <w:rPr>
        <w:rFonts w:ascii="Symbol" w:hAnsi="Symbol" w:hint="default"/>
      </w:rPr>
    </w:lvl>
    <w:lvl w:ilvl="5" w:tplc="0E9E4652">
      <w:start w:val="1"/>
      <w:numFmt w:val="bullet"/>
      <w:lvlText w:val=""/>
      <w:lvlJc w:val="left"/>
      <w:pPr>
        <w:tabs>
          <w:tab w:val="num" w:pos="4320"/>
        </w:tabs>
        <w:ind w:left="4320" w:hanging="360"/>
      </w:pPr>
      <w:rPr>
        <w:rFonts w:ascii="Symbol" w:hAnsi="Symbol" w:hint="default"/>
      </w:rPr>
    </w:lvl>
    <w:lvl w:ilvl="6" w:tplc="4DE6DF82">
      <w:start w:val="1"/>
      <w:numFmt w:val="bullet"/>
      <w:lvlText w:val=""/>
      <w:lvlJc w:val="left"/>
      <w:pPr>
        <w:tabs>
          <w:tab w:val="num" w:pos="5040"/>
        </w:tabs>
        <w:ind w:left="5040" w:hanging="360"/>
      </w:pPr>
      <w:rPr>
        <w:rFonts w:ascii="Symbol" w:hAnsi="Symbol" w:hint="default"/>
      </w:rPr>
    </w:lvl>
    <w:lvl w:ilvl="7" w:tplc="109444B8">
      <w:start w:val="1"/>
      <w:numFmt w:val="bullet"/>
      <w:lvlText w:val=""/>
      <w:lvlJc w:val="left"/>
      <w:pPr>
        <w:tabs>
          <w:tab w:val="num" w:pos="5760"/>
        </w:tabs>
        <w:ind w:left="5760" w:hanging="360"/>
      </w:pPr>
      <w:rPr>
        <w:rFonts w:ascii="Symbol" w:hAnsi="Symbol" w:hint="default"/>
      </w:rPr>
    </w:lvl>
    <w:lvl w:ilvl="8" w:tplc="CDF4A4E4">
      <w:start w:val="1"/>
      <w:numFmt w:val="bullet"/>
      <w:lvlText w:val=""/>
      <w:lvlJc w:val="left"/>
      <w:pPr>
        <w:tabs>
          <w:tab w:val="num" w:pos="6480"/>
        </w:tabs>
        <w:ind w:left="6480" w:hanging="360"/>
      </w:pPr>
      <w:rPr>
        <w:rFonts w:ascii="Symbol" w:hAnsi="Symbol" w:hint="default"/>
      </w:rPr>
    </w:lvl>
  </w:abstractNum>
  <w:abstractNum w:abstractNumId="17" w15:restartNumberingAfterBreak="0">
    <w:nsid w:val="40262171"/>
    <w:multiLevelType w:val="hybridMultilevel"/>
    <w:tmpl w:val="29CCC392"/>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42C71C61"/>
    <w:multiLevelType w:val="hybridMultilevel"/>
    <w:tmpl w:val="BEB85300"/>
    <w:lvl w:ilvl="0" w:tplc="83A243B0">
      <w:start w:val="1"/>
      <w:numFmt w:val="bullet"/>
      <w:lvlText w:val=""/>
      <w:lvlPicBulletId w:val="5"/>
      <w:lvlJc w:val="left"/>
      <w:pPr>
        <w:tabs>
          <w:tab w:val="num" w:pos="720"/>
        </w:tabs>
        <w:ind w:left="720" w:hanging="360"/>
      </w:pPr>
      <w:rPr>
        <w:rFonts w:ascii="Symbol" w:hAnsi="Symbol" w:hint="default"/>
      </w:rPr>
    </w:lvl>
    <w:lvl w:ilvl="1" w:tplc="0E0AD852">
      <w:start w:val="1"/>
      <w:numFmt w:val="bullet"/>
      <w:lvlText w:val=""/>
      <w:lvlJc w:val="left"/>
      <w:pPr>
        <w:tabs>
          <w:tab w:val="num" w:pos="1440"/>
        </w:tabs>
        <w:ind w:left="1440" w:hanging="360"/>
      </w:pPr>
      <w:rPr>
        <w:rFonts w:ascii="Symbol" w:hAnsi="Symbol" w:hint="default"/>
      </w:rPr>
    </w:lvl>
    <w:lvl w:ilvl="2" w:tplc="42B82100">
      <w:start w:val="1"/>
      <w:numFmt w:val="bullet"/>
      <w:lvlText w:val=""/>
      <w:lvlJc w:val="left"/>
      <w:pPr>
        <w:tabs>
          <w:tab w:val="num" w:pos="2160"/>
        </w:tabs>
        <w:ind w:left="2160" w:hanging="360"/>
      </w:pPr>
      <w:rPr>
        <w:rFonts w:ascii="Symbol" w:hAnsi="Symbol" w:hint="default"/>
      </w:rPr>
    </w:lvl>
    <w:lvl w:ilvl="3" w:tplc="793A3E30">
      <w:start w:val="1"/>
      <w:numFmt w:val="bullet"/>
      <w:lvlText w:val=""/>
      <w:lvlJc w:val="left"/>
      <w:pPr>
        <w:tabs>
          <w:tab w:val="num" w:pos="2880"/>
        </w:tabs>
        <w:ind w:left="2880" w:hanging="360"/>
      </w:pPr>
      <w:rPr>
        <w:rFonts w:ascii="Symbol" w:hAnsi="Symbol" w:hint="default"/>
      </w:rPr>
    </w:lvl>
    <w:lvl w:ilvl="4" w:tplc="3A2C1D96">
      <w:start w:val="1"/>
      <w:numFmt w:val="bullet"/>
      <w:lvlText w:val=""/>
      <w:lvlJc w:val="left"/>
      <w:pPr>
        <w:tabs>
          <w:tab w:val="num" w:pos="3600"/>
        </w:tabs>
        <w:ind w:left="3600" w:hanging="360"/>
      </w:pPr>
      <w:rPr>
        <w:rFonts w:ascii="Symbol" w:hAnsi="Symbol" w:hint="default"/>
      </w:rPr>
    </w:lvl>
    <w:lvl w:ilvl="5" w:tplc="78363F68">
      <w:start w:val="1"/>
      <w:numFmt w:val="bullet"/>
      <w:lvlText w:val=""/>
      <w:lvlJc w:val="left"/>
      <w:pPr>
        <w:tabs>
          <w:tab w:val="num" w:pos="4320"/>
        </w:tabs>
        <w:ind w:left="4320" w:hanging="360"/>
      </w:pPr>
      <w:rPr>
        <w:rFonts w:ascii="Symbol" w:hAnsi="Symbol" w:hint="default"/>
      </w:rPr>
    </w:lvl>
    <w:lvl w:ilvl="6" w:tplc="CB18F1B2">
      <w:start w:val="1"/>
      <w:numFmt w:val="bullet"/>
      <w:lvlText w:val=""/>
      <w:lvlJc w:val="left"/>
      <w:pPr>
        <w:tabs>
          <w:tab w:val="num" w:pos="5040"/>
        </w:tabs>
        <w:ind w:left="5040" w:hanging="360"/>
      </w:pPr>
      <w:rPr>
        <w:rFonts w:ascii="Symbol" w:hAnsi="Symbol" w:hint="default"/>
      </w:rPr>
    </w:lvl>
    <w:lvl w:ilvl="7" w:tplc="C9AC4BB6">
      <w:start w:val="1"/>
      <w:numFmt w:val="bullet"/>
      <w:lvlText w:val=""/>
      <w:lvlJc w:val="left"/>
      <w:pPr>
        <w:tabs>
          <w:tab w:val="num" w:pos="5760"/>
        </w:tabs>
        <w:ind w:left="5760" w:hanging="360"/>
      </w:pPr>
      <w:rPr>
        <w:rFonts w:ascii="Symbol" w:hAnsi="Symbol" w:hint="default"/>
      </w:rPr>
    </w:lvl>
    <w:lvl w:ilvl="8" w:tplc="D38430E2">
      <w:start w:val="1"/>
      <w:numFmt w:val="bullet"/>
      <w:lvlText w:val=""/>
      <w:lvlJc w:val="left"/>
      <w:pPr>
        <w:tabs>
          <w:tab w:val="num" w:pos="6480"/>
        </w:tabs>
        <w:ind w:left="6480" w:hanging="360"/>
      </w:pPr>
      <w:rPr>
        <w:rFonts w:ascii="Symbol" w:hAnsi="Symbol" w:hint="default"/>
      </w:rPr>
    </w:lvl>
  </w:abstractNum>
  <w:abstractNum w:abstractNumId="19" w15:restartNumberingAfterBreak="0">
    <w:nsid w:val="436673AC"/>
    <w:multiLevelType w:val="hybridMultilevel"/>
    <w:tmpl w:val="A4945F22"/>
    <w:lvl w:ilvl="0" w:tplc="FE9EAA6A">
      <w:start w:val="1"/>
      <w:numFmt w:val="bullet"/>
      <w:lvlText w:val="&gt;"/>
      <w:lvlJc w:val="left"/>
      <w:pPr>
        <w:ind w:left="360" w:hanging="360"/>
      </w:pPr>
      <w:rPr>
        <w:rFonts w:ascii="Vrinda" w:hAnsi="Vrinda" w:hint="default"/>
        <w:b w:val="0"/>
        <w:sz w:val="20"/>
        <w:szCs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0" w15:restartNumberingAfterBreak="0">
    <w:nsid w:val="460438F6"/>
    <w:multiLevelType w:val="hybridMultilevel"/>
    <w:tmpl w:val="EEB087E2"/>
    <w:lvl w:ilvl="0" w:tplc="8B42E24E">
      <w:start w:val="1"/>
      <w:numFmt w:val="bullet"/>
      <w:lvlText w:val=""/>
      <w:lvlPicBulletId w:val="6"/>
      <w:lvlJc w:val="left"/>
      <w:pPr>
        <w:tabs>
          <w:tab w:val="num" w:pos="720"/>
        </w:tabs>
        <w:ind w:left="720" w:hanging="360"/>
      </w:pPr>
      <w:rPr>
        <w:rFonts w:ascii="Symbol" w:hAnsi="Symbol" w:hint="default"/>
      </w:rPr>
    </w:lvl>
    <w:lvl w:ilvl="1" w:tplc="718A2620">
      <w:start w:val="1"/>
      <w:numFmt w:val="bullet"/>
      <w:lvlText w:val=""/>
      <w:lvlJc w:val="left"/>
      <w:pPr>
        <w:tabs>
          <w:tab w:val="num" w:pos="1440"/>
        </w:tabs>
        <w:ind w:left="1440" w:hanging="360"/>
      </w:pPr>
      <w:rPr>
        <w:rFonts w:ascii="Symbol" w:hAnsi="Symbol" w:hint="default"/>
      </w:rPr>
    </w:lvl>
    <w:lvl w:ilvl="2" w:tplc="049892B6">
      <w:start w:val="1"/>
      <w:numFmt w:val="bullet"/>
      <w:lvlText w:val=""/>
      <w:lvlJc w:val="left"/>
      <w:pPr>
        <w:tabs>
          <w:tab w:val="num" w:pos="2160"/>
        </w:tabs>
        <w:ind w:left="2160" w:hanging="360"/>
      </w:pPr>
      <w:rPr>
        <w:rFonts w:ascii="Symbol" w:hAnsi="Symbol" w:hint="default"/>
      </w:rPr>
    </w:lvl>
    <w:lvl w:ilvl="3" w:tplc="BA1A10A4">
      <w:start w:val="1"/>
      <w:numFmt w:val="bullet"/>
      <w:lvlText w:val=""/>
      <w:lvlJc w:val="left"/>
      <w:pPr>
        <w:tabs>
          <w:tab w:val="num" w:pos="2880"/>
        </w:tabs>
        <w:ind w:left="2880" w:hanging="360"/>
      </w:pPr>
      <w:rPr>
        <w:rFonts w:ascii="Symbol" w:hAnsi="Symbol" w:hint="default"/>
      </w:rPr>
    </w:lvl>
    <w:lvl w:ilvl="4" w:tplc="C114B828">
      <w:start w:val="1"/>
      <w:numFmt w:val="bullet"/>
      <w:lvlText w:val=""/>
      <w:lvlJc w:val="left"/>
      <w:pPr>
        <w:tabs>
          <w:tab w:val="num" w:pos="3600"/>
        </w:tabs>
        <w:ind w:left="3600" w:hanging="360"/>
      </w:pPr>
      <w:rPr>
        <w:rFonts w:ascii="Symbol" w:hAnsi="Symbol" w:hint="default"/>
      </w:rPr>
    </w:lvl>
    <w:lvl w:ilvl="5" w:tplc="76646606">
      <w:start w:val="1"/>
      <w:numFmt w:val="bullet"/>
      <w:lvlText w:val=""/>
      <w:lvlJc w:val="left"/>
      <w:pPr>
        <w:tabs>
          <w:tab w:val="num" w:pos="4320"/>
        </w:tabs>
        <w:ind w:left="4320" w:hanging="360"/>
      </w:pPr>
      <w:rPr>
        <w:rFonts w:ascii="Symbol" w:hAnsi="Symbol" w:hint="default"/>
      </w:rPr>
    </w:lvl>
    <w:lvl w:ilvl="6" w:tplc="6E7610A0">
      <w:start w:val="1"/>
      <w:numFmt w:val="bullet"/>
      <w:lvlText w:val=""/>
      <w:lvlJc w:val="left"/>
      <w:pPr>
        <w:tabs>
          <w:tab w:val="num" w:pos="5040"/>
        </w:tabs>
        <w:ind w:left="5040" w:hanging="360"/>
      </w:pPr>
      <w:rPr>
        <w:rFonts w:ascii="Symbol" w:hAnsi="Symbol" w:hint="default"/>
      </w:rPr>
    </w:lvl>
    <w:lvl w:ilvl="7" w:tplc="1E82A46E">
      <w:start w:val="1"/>
      <w:numFmt w:val="bullet"/>
      <w:lvlText w:val=""/>
      <w:lvlJc w:val="left"/>
      <w:pPr>
        <w:tabs>
          <w:tab w:val="num" w:pos="5760"/>
        </w:tabs>
        <w:ind w:left="5760" w:hanging="360"/>
      </w:pPr>
      <w:rPr>
        <w:rFonts w:ascii="Symbol" w:hAnsi="Symbol" w:hint="default"/>
      </w:rPr>
    </w:lvl>
    <w:lvl w:ilvl="8" w:tplc="880EF16C">
      <w:start w:val="1"/>
      <w:numFmt w:val="bullet"/>
      <w:lvlText w:val=""/>
      <w:lvlJc w:val="left"/>
      <w:pPr>
        <w:tabs>
          <w:tab w:val="num" w:pos="6480"/>
        </w:tabs>
        <w:ind w:left="6480" w:hanging="360"/>
      </w:pPr>
      <w:rPr>
        <w:rFonts w:ascii="Symbol" w:hAnsi="Symbol" w:hint="default"/>
      </w:rPr>
    </w:lvl>
  </w:abstractNum>
  <w:abstractNum w:abstractNumId="21" w15:restartNumberingAfterBreak="0">
    <w:nsid w:val="4E8B6AD0"/>
    <w:multiLevelType w:val="hybridMultilevel"/>
    <w:tmpl w:val="4AB0D6F8"/>
    <w:lvl w:ilvl="0" w:tplc="206291C2">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55AA21F0"/>
    <w:multiLevelType w:val="hybridMultilevel"/>
    <w:tmpl w:val="06AC6452"/>
    <w:lvl w:ilvl="0" w:tplc="075A84B2">
      <w:start w:val="1"/>
      <w:numFmt w:val="decimal"/>
      <w:pStyle w:val="ACMATableHeader"/>
      <w:lvlText w:val="Table %1:"/>
      <w:lvlJc w:val="left"/>
      <w:pPr>
        <w:tabs>
          <w:tab w:val="num" w:pos="964"/>
        </w:tabs>
        <w:ind w:left="964" w:hanging="964"/>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6EF6075"/>
    <w:multiLevelType w:val="hybridMultilevel"/>
    <w:tmpl w:val="5284F4D8"/>
    <w:lvl w:ilvl="0" w:tplc="FE9EAA6A">
      <w:start w:val="1"/>
      <w:numFmt w:val="bullet"/>
      <w:lvlText w:val="&gt;"/>
      <w:lvlJc w:val="left"/>
      <w:pPr>
        <w:ind w:left="360" w:hanging="360"/>
      </w:pPr>
      <w:rPr>
        <w:rFonts w:ascii="Vrinda" w:hAnsi="Vrinda" w:hint="default"/>
        <w:b w:val="0"/>
        <w:sz w:val="20"/>
        <w:szCs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4" w15:restartNumberingAfterBreak="0">
    <w:nsid w:val="5D4A1B1B"/>
    <w:multiLevelType w:val="hybridMultilevel"/>
    <w:tmpl w:val="08946234"/>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614028CE"/>
    <w:multiLevelType w:val="hybridMultilevel"/>
    <w:tmpl w:val="55F03F30"/>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61CF09F3"/>
    <w:multiLevelType w:val="hybridMultilevel"/>
    <w:tmpl w:val="C94E5414"/>
    <w:lvl w:ilvl="0" w:tplc="FE84A9C6">
      <w:start w:val="1"/>
      <w:numFmt w:val="bullet"/>
      <w:lvlText w:val=""/>
      <w:lvlPicBulletId w:val="3"/>
      <w:lvlJc w:val="left"/>
      <w:pPr>
        <w:tabs>
          <w:tab w:val="num" w:pos="720"/>
        </w:tabs>
        <w:ind w:left="720" w:hanging="360"/>
      </w:pPr>
      <w:rPr>
        <w:rFonts w:ascii="Symbol" w:hAnsi="Symbol" w:hint="default"/>
      </w:rPr>
    </w:lvl>
    <w:lvl w:ilvl="1" w:tplc="B396EE38">
      <w:start w:val="1"/>
      <w:numFmt w:val="bullet"/>
      <w:lvlText w:val=""/>
      <w:lvlJc w:val="left"/>
      <w:pPr>
        <w:tabs>
          <w:tab w:val="num" w:pos="1440"/>
        </w:tabs>
        <w:ind w:left="1440" w:hanging="360"/>
      </w:pPr>
      <w:rPr>
        <w:rFonts w:ascii="Symbol" w:hAnsi="Symbol" w:hint="default"/>
      </w:rPr>
    </w:lvl>
    <w:lvl w:ilvl="2" w:tplc="6AE65960">
      <w:start w:val="1"/>
      <w:numFmt w:val="bullet"/>
      <w:lvlText w:val=""/>
      <w:lvlJc w:val="left"/>
      <w:pPr>
        <w:tabs>
          <w:tab w:val="num" w:pos="2160"/>
        </w:tabs>
        <w:ind w:left="2160" w:hanging="360"/>
      </w:pPr>
      <w:rPr>
        <w:rFonts w:ascii="Symbol" w:hAnsi="Symbol" w:hint="default"/>
      </w:rPr>
    </w:lvl>
    <w:lvl w:ilvl="3" w:tplc="08E49138">
      <w:start w:val="1"/>
      <w:numFmt w:val="bullet"/>
      <w:lvlText w:val=""/>
      <w:lvlJc w:val="left"/>
      <w:pPr>
        <w:tabs>
          <w:tab w:val="num" w:pos="2880"/>
        </w:tabs>
        <w:ind w:left="2880" w:hanging="360"/>
      </w:pPr>
      <w:rPr>
        <w:rFonts w:ascii="Symbol" w:hAnsi="Symbol" w:hint="default"/>
      </w:rPr>
    </w:lvl>
    <w:lvl w:ilvl="4" w:tplc="ABC41202">
      <w:start w:val="1"/>
      <w:numFmt w:val="bullet"/>
      <w:lvlText w:val=""/>
      <w:lvlJc w:val="left"/>
      <w:pPr>
        <w:tabs>
          <w:tab w:val="num" w:pos="3600"/>
        </w:tabs>
        <w:ind w:left="3600" w:hanging="360"/>
      </w:pPr>
      <w:rPr>
        <w:rFonts w:ascii="Symbol" w:hAnsi="Symbol" w:hint="default"/>
      </w:rPr>
    </w:lvl>
    <w:lvl w:ilvl="5" w:tplc="1658B574">
      <w:start w:val="1"/>
      <w:numFmt w:val="bullet"/>
      <w:lvlText w:val=""/>
      <w:lvlJc w:val="left"/>
      <w:pPr>
        <w:tabs>
          <w:tab w:val="num" w:pos="4320"/>
        </w:tabs>
        <w:ind w:left="4320" w:hanging="360"/>
      </w:pPr>
      <w:rPr>
        <w:rFonts w:ascii="Symbol" w:hAnsi="Symbol" w:hint="default"/>
      </w:rPr>
    </w:lvl>
    <w:lvl w:ilvl="6" w:tplc="C43CDBF2">
      <w:start w:val="1"/>
      <w:numFmt w:val="bullet"/>
      <w:lvlText w:val=""/>
      <w:lvlJc w:val="left"/>
      <w:pPr>
        <w:tabs>
          <w:tab w:val="num" w:pos="5040"/>
        </w:tabs>
        <w:ind w:left="5040" w:hanging="360"/>
      </w:pPr>
      <w:rPr>
        <w:rFonts w:ascii="Symbol" w:hAnsi="Symbol" w:hint="default"/>
      </w:rPr>
    </w:lvl>
    <w:lvl w:ilvl="7" w:tplc="5F0CAB48">
      <w:start w:val="1"/>
      <w:numFmt w:val="bullet"/>
      <w:lvlText w:val=""/>
      <w:lvlJc w:val="left"/>
      <w:pPr>
        <w:tabs>
          <w:tab w:val="num" w:pos="5760"/>
        </w:tabs>
        <w:ind w:left="5760" w:hanging="360"/>
      </w:pPr>
      <w:rPr>
        <w:rFonts w:ascii="Symbol" w:hAnsi="Symbol" w:hint="default"/>
      </w:rPr>
    </w:lvl>
    <w:lvl w:ilvl="8" w:tplc="908835DC">
      <w:start w:val="1"/>
      <w:numFmt w:val="bullet"/>
      <w:lvlText w:val=""/>
      <w:lvlJc w:val="left"/>
      <w:pPr>
        <w:tabs>
          <w:tab w:val="num" w:pos="6480"/>
        </w:tabs>
        <w:ind w:left="6480" w:hanging="360"/>
      </w:pPr>
      <w:rPr>
        <w:rFonts w:ascii="Symbol" w:hAnsi="Symbol" w:hint="default"/>
      </w:rPr>
    </w:lvl>
  </w:abstractNum>
  <w:abstractNum w:abstractNumId="27"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40B4FCF"/>
    <w:multiLevelType w:val="hybridMultilevel"/>
    <w:tmpl w:val="EF3EB990"/>
    <w:lvl w:ilvl="0" w:tplc="8200C772">
      <w:start w:val="1"/>
      <w:numFmt w:val="bullet"/>
      <w:lvlText w:val=""/>
      <w:lvlPicBulletId w:val="4"/>
      <w:lvlJc w:val="left"/>
      <w:pPr>
        <w:tabs>
          <w:tab w:val="num" w:pos="720"/>
        </w:tabs>
        <w:ind w:left="720" w:hanging="360"/>
      </w:pPr>
      <w:rPr>
        <w:rFonts w:ascii="Symbol" w:hAnsi="Symbol" w:hint="default"/>
      </w:rPr>
    </w:lvl>
    <w:lvl w:ilvl="1" w:tplc="00DC7846">
      <w:start w:val="1"/>
      <w:numFmt w:val="bullet"/>
      <w:lvlText w:val=""/>
      <w:lvlJc w:val="left"/>
      <w:pPr>
        <w:tabs>
          <w:tab w:val="num" w:pos="1440"/>
        </w:tabs>
        <w:ind w:left="1440" w:hanging="360"/>
      </w:pPr>
      <w:rPr>
        <w:rFonts w:ascii="Symbol" w:hAnsi="Symbol" w:hint="default"/>
      </w:rPr>
    </w:lvl>
    <w:lvl w:ilvl="2" w:tplc="A726D19A">
      <w:start w:val="1"/>
      <w:numFmt w:val="bullet"/>
      <w:lvlText w:val=""/>
      <w:lvlJc w:val="left"/>
      <w:pPr>
        <w:tabs>
          <w:tab w:val="num" w:pos="2160"/>
        </w:tabs>
        <w:ind w:left="2160" w:hanging="360"/>
      </w:pPr>
      <w:rPr>
        <w:rFonts w:ascii="Symbol" w:hAnsi="Symbol" w:hint="default"/>
      </w:rPr>
    </w:lvl>
    <w:lvl w:ilvl="3" w:tplc="BD4EEDCE">
      <w:start w:val="1"/>
      <w:numFmt w:val="bullet"/>
      <w:lvlText w:val=""/>
      <w:lvlJc w:val="left"/>
      <w:pPr>
        <w:tabs>
          <w:tab w:val="num" w:pos="2880"/>
        </w:tabs>
        <w:ind w:left="2880" w:hanging="360"/>
      </w:pPr>
      <w:rPr>
        <w:rFonts w:ascii="Symbol" w:hAnsi="Symbol" w:hint="default"/>
      </w:rPr>
    </w:lvl>
    <w:lvl w:ilvl="4" w:tplc="AB66EA56">
      <w:start w:val="1"/>
      <w:numFmt w:val="bullet"/>
      <w:lvlText w:val=""/>
      <w:lvlJc w:val="left"/>
      <w:pPr>
        <w:tabs>
          <w:tab w:val="num" w:pos="3600"/>
        </w:tabs>
        <w:ind w:left="3600" w:hanging="360"/>
      </w:pPr>
      <w:rPr>
        <w:rFonts w:ascii="Symbol" w:hAnsi="Symbol" w:hint="default"/>
      </w:rPr>
    </w:lvl>
    <w:lvl w:ilvl="5" w:tplc="7C7403FA">
      <w:start w:val="1"/>
      <w:numFmt w:val="bullet"/>
      <w:lvlText w:val=""/>
      <w:lvlJc w:val="left"/>
      <w:pPr>
        <w:tabs>
          <w:tab w:val="num" w:pos="4320"/>
        </w:tabs>
        <w:ind w:left="4320" w:hanging="360"/>
      </w:pPr>
      <w:rPr>
        <w:rFonts w:ascii="Symbol" w:hAnsi="Symbol" w:hint="default"/>
      </w:rPr>
    </w:lvl>
    <w:lvl w:ilvl="6" w:tplc="0DCED5EC">
      <w:start w:val="1"/>
      <w:numFmt w:val="bullet"/>
      <w:lvlText w:val=""/>
      <w:lvlJc w:val="left"/>
      <w:pPr>
        <w:tabs>
          <w:tab w:val="num" w:pos="5040"/>
        </w:tabs>
        <w:ind w:left="5040" w:hanging="360"/>
      </w:pPr>
      <w:rPr>
        <w:rFonts w:ascii="Symbol" w:hAnsi="Symbol" w:hint="default"/>
      </w:rPr>
    </w:lvl>
    <w:lvl w:ilvl="7" w:tplc="807ED89A">
      <w:start w:val="1"/>
      <w:numFmt w:val="bullet"/>
      <w:lvlText w:val=""/>
      <w:lvlJc w:val="left"/>
      <w:pPr>
        <w:tabs>
          <w:tab w:val="num" w:pos="5760"/>
        </w:tabs>
        <w:ind w:left="5760" w:hanging="360"/>
      </w:pPr>
      <w:rPr>
        <w:rFonts w:ascii="Symbol" w:hAnsi="Symbol" w:hint="default"/>
      </w:rPr>
    </w:lvl>
    <w:lvl w:ilvl="8" w:tplc="2DDA78EE">
      <w:start w:val="1"/>
      <w:numFmt w:val="bullet"/>
      <w:lvlText w:val=""/>
      <w:lvlJc w:val="left"/>
      <w:pPr>
        <w:tabs>
          <w:tab w:val="num" w:pos="6480"/>
        </w:tabs>
        <w:ind w:left="6480" w:hanging="360"/>
      </w:pPr>
      <w:rPr>
        <w:rFonts w:ascii="Symbol" w:hAnsi="Symbol" w:hint="default"/>
      </w:rPr>
    </w:lvl>
  </w:abstractNum>
  <w:abstractNum w:abstractNumId="29" w15:restartNumberingAfterBreak="0">
    <w:nsid w:val="65071478"/>
    <w:multiLevelType w:val="hybridMultilevel"/>
    <w:tmpl w:val="AE022E8A"/>
    <w:lvl w:ilvl="0" w:tplc="58764092">
      <w:start w:val="1"/>
      <w:numFmt w:val="decimal"/>
      <w:pStyle w:val="ACMAFigureHeader"/>
      <w:lvlText w:val="Figure %1: "/>
      <w:lvlJc w:val="left"/>
      <w:pPr>
        <w:tabs>
          <w:tab w:val="num" w:pos="1021"/>
        </w:tabs>
        <w:ind w:left="1021" w:hanging="1021"/>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589" w:hanging="360"/>
      </w:pPr>
    </w:lvl>
    <w:lvl w:ilvl="2" w:tplc="0409001B" w:tentative="1">
      <w:start w:val="1"/>
      <w:numFmt w:val="lowerRoman"/>
      <w:lvlText w:val="%3."/>
      <w:lvlJc w:val="right"/>
      <w:pPr>
        <w:ind w:left="1309" w:hanging="180"/>
      </w:pPr>
    </w:lvl>
    <w:lvl w:ilvl="3" w:tplc="0409000F" w:tentative="1">
      <w:start w:val="1"/>
      <w:numFmt w:val="decimal"/>
      <w:lvlText w:val="%4."/>
      <w:lvlJc w:val="left"/>
      <w:pPr>
        <w:ind w:left="2029" w:hanging="360"/>
      </w:pPr>
    </w:lvl>
    <w:lvl w:ilvl="4" w:tplc="04090019" w:tentative="1">
      <w:start w:val="1"/>
      <w:numFmt w:val="lowerLetter"/>
      <w:lvlText w:val="%5."/>
      <w:lvlJc w:val="left"/>
      <w:pPr>
        <w:ind w:left="2749" w:hanging="360"/>
      </w:pPr>
    </w:lvl>
    <w:lvl w:ilvl="5" w:tplc="0409001B" w:tentative="1">
      <w:start w:val="1"/>
      <w:numFmt w:val="lowerRoman"/>
      <w:lvlText w:val="%6."/>
      <w:lvlJc w:val="right"/>
      <w:pPr>
        <w:ind w:left="3469" w:hanging="180"/>
      </w:pPr>
    </w:lvl>
    <w:lvl w:ilvl="6" w:tplc="0409000F" w:tentative="1">
      <w:start w:val="1"/>
      <w:numFmt w:val="decimal"/>
      <w:lvlText w:val="%7."/>
      <w:lvlJc w:val="left"/>
      <w:pPr>
        <w:ind w:left="4189" w:hanging="360"/>
      </w:pPr>
    </w:lvl>
    <w:lvl w:ilvl="7" w:tplc="04090019" w:tentative="1">
      <w:start w:val="1"/>
      <w:numFmt w:val="lowerLetter"/>
      <w:lvlText w:val="%8."/>
      <w:lvlJc w:val="left"/>
      <w:pPr>
        <w:ind w:left="4909" w:hanging="360"/>
      </w:pPr>
    </w:lvl>
    <w:lvl w:ilvl="8" w:tplc="0409001B" w:tentative="1">
      <w:start w:val="1"/>
      <w:numFmt w:val="lowerRoman"/>
      <w:lvlText w:val="%9."/>
      <w:lvlJc w:val="right"/>
      <w:pPr>
        <w:ind w:left="5629" w:hanging="180"/>
      </w:pPr>
    </w:lvl>
  </w:abstractNum>
  <w:abstractNum w:abstractNumId="30" w15:restartNumberingAfterBreak="0">
    <w:nsid w:val="69B8012C"/>
    <w:multiLevelType w:val="hybridMultilevel"/>
    <w:tmpl w:val="55B226BA"/>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6BC23E3F"/>
    <w:multiLevelType w:val="hybridMultilevel"/>
    <w:tmpl w:val="7CA09DE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2"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DD96093"/>
    <w:multiLevelType w:val="hybridMultilevel"/>
    <w:tmpl w:val="DCD20F1A"/>
    <w:lvl w:ilvl="0" w:tplc="0C090011">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79B27041"/>
    <w:multiLevelType w:val="hybridMultilevel"/>
    <w:tmpl w:val="A2285AB6"/>
    <w:lvl w:ilvl="0" w:tplc="532AD0AA">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7BF06938"/>
    <w:multiLevelType w:val="hybridMultilevel"/>
    <w:tmpl w:val="BB66F252"/>
    <w:lvl w:ilvl="0" w:tplc="FE9EAA6A">
      <w:start w:val="1"/>
      <w:numFmt w:val="bullet"/>
      <w:lvlText w:val="&gt;"/>
      <w:lvlJc w:val="left"/>
      <w:pPr>
        <w:ind w:left="425" w:hanging="360"/>
      </w:pPr>
      <w:rPr>
        <w:rFonts w:ascii="Vrinda" w:hAnsi="Vrinda" w:hint="default"/>
        <w:b w:val="0"/>
        <w:sz w:val="20"/>
        <w:szCs w:val="20"/>
      </w:rPr>
    </w:lvl>
    <w:lvl w:ilvl="1" w:tplc="0C090003" w:tentative="1">
      <w:start w:val="1"/>
      <w:numFmt w:val="bullet"/>
      <w:lvlText w:val="o"/>
      <w:lvlJc w:val="left"/>
      <w:pPr>
        <w:ind w:left="1145" w:hanging="360"/>
      </w:pPr>
      <w:rPr>
        <w:rFonts w:ascii="Courier New" w:hAnsi="Courier New" w:cs="Courier New" w:hint="default"/>
      </w:rPr>
    </w:lvl>
    <w:lvl w:ilvl="2" w:tplc="0C090005" w:tentative="1">
      <w:start w:val="1"/>
      <w:numFmt w:val="bullet"/>
      <w:lvlText w:val=""/>
      <w:lvlJc w:val="left"/>
      <w:pPr>
        <w:ind w:left="1865" w:hanging="360"/>
      </w:pPr>
      <w:rPr>
        <w:rFonts w:ascii="Wingdings" w:hAnsi="Wingdings" w:hint="default"/>
      </w:rPr>
    </w:lvl>
    <w:lvl w:ilvl="3" w:tplc="0C090001" w:tentative="1">
      <w:start w:val="1"/>
      <w:numFmt w:val="bullet"/>
      <w:lvlText w:val=""/>
      <w:lvlJc w:val="left"/>
      <w:pPr>
        <w:ind w:left="2585" w:hanging="360"/>
      </w:pPr>
      <w:rPr>
        <w:rFonts w:ascii="Symbol" w:hAnsi="Symbol" w:hint="default"/>
      </w:rPr>
    </w:lvl>
    <w:lvl w:ilvl="4" w:tplc="0C090003" w:tentative="1">
      <w:start w:val="1"/>
      <w:numFmt w:val="bullet"/>
      <w:lvlText w:val="o"/>
      <w:lvlJc w:val="left"/>
      <w:pPr>
        <w:ind w:left="3305" w:hanging="360"/>
      </w:pPr>
      <w:rPr>
        <w:rFonts w:ascii="Courier New" w:hAnsi="Courier New" w:cs="Courier New" w:hint="default"/>
      </w:rPr>
    </w:lvl>
    <w:lvl w:ilvl="5" w:tplc="0C090005" w:tentative="1">
      <w:start w:val="1"/>
      <w:numFmt w:val="bullet"/>
      <w:lvlText w:val=""/>
      <w:lvlJc w:val="left"/>
      <w:pPr>
        <w:ind w:left="4025" w:hanging="360"/>
      </w:pPr>
      <w:rPr>
        <w:rFonts w:ascii="Wingdings" w:hAnsi="Wingdings" w:hint="default"/>
      </w:rPr>
    </w:lvl>
    <w:lvl w:ilvl="6" w:tplc="0C090001" w:tentative="1">
      <w:start w:val="1"/>
      <w:numFmt w:val="bullet"/>
      <w:lvlText w:val=""/>
      <w:lvlJc w:val="left"/>
      <w:pPr>
        <w:ind w:left="4745" w:hanging="360"/>
      </w:pPr>
      <w:rPr>
        <w:rFonts w:ascii="Symbol" w:hAnsi="Symbol" w:hint="default"/>
      </w:rPr>
    </w:lvl>
    <w:lvl w:ilvl="7" w:tplc="0C090003" w:tentative="1">
      <w:start w:val="1"/>
      <w:numFmt w:val="bullet"/>
      <w:lvlText w:val="o"/>
      <w:lvlJc w:val="left"/>
      <w:pPr>
        <w:ind w:left="5465" w:hanging="360"/>
      </w:pPr>
      <w:rPr>
        <w:rFonts w:ascii="Courier New" w:hAnsi="Courier New" w:cs="Courier New" w:hint="default"/>
      </w:rPr>
    </w:lvl>
    <w:lvl w:ilvl="8" w:tplc="0C090005" w:tentative="1">
      <w:start w:val="1"/>
      <w:numFmt w:val="bullet"/>
      <w:lvlText w:val=""/>
      <w:lvlJc w:val="left"/>
      <w:pPr>
        <w:ind w:left="6185" w:hanging="360"/>
      </w:pPr>
      <w:rPr>
        <w:rFonts w:ascii="Wingdings" w:hAnsi="Wingdings" w:hint="default"/>
      </w:rPr>
    </w:lvl>
  </w:abstractNum>
  <w:abstractNum w:abstractNumId="36" w15:restartNumberingAfterBreak="0">
    <w:nsid w:val="7C5230D8"/>
    <w:multiLevelType w:val="hybridMultilevel"/>
    <w:tmpl w:val="2ED64030"/>
    <w:lvl w:ilvl="0" w:tplc="FE9EAA6A">
      <w:start w:val="1"/>
      <w:numFmt w:val="bullet"/>
      <w:lvlText w:val="&gt;"/>
      <w:lvlJc w:val="left"/>
      <w:pPr>
        <w:ind w:left="425" w:hanging="360"/>
      </w:pPr>
      <w:rPr>
        <w:rFonts w:ascii="Vrinda" w:hAnsi="Vrinda" w:hint="default"/>
        <w:b w:val="0"/>
        <w:sz w:val="20"/>
        <w:szCs w:val="20"/>
      </w:rPr>
    </w:lvl>
    <w:lvl w:ilvl="1" w:tplc="0C090003" w:tentative="1">
      <w:start w:val="1"/>
      <w:numFmt w:val="bullet"/>
      <w:lvlText w:val="o"/>
      <w:lvlJc w:val="left"/>
      <w:pPr>
        <w:ind w:left="1145" w:hanging="360"/>
      </w:pPr>
      <w:rPr>
        <w:rFonts w:ascii="Courier New" w:hAnsi="Courier New" w:cs="Courier New" w:hint="default"/>
      </w:rPr>
    </w:lvl>
    <w:lvl w:ilvl="2" w:tplc="0C090005" w:tentative="1">
      <w:start w:val="1"/>
      <w:numFmt w:val="bullet"/>
      <w:lvlText w:val=""/>
      <w:lvlJc w:val="left"/>
      <w:pPr>
        <w:ind w:left="1865" w:hanging="360"/>
      </w:pPr>
      <w:rPr>
        <w:rFonts w:ascii="Wingdings" w:hAnsi="Wingdings" w:hint="default"/>
      </w:rPr>
    </w:lvl>
    <w:lvl w:ilvl="3" w:tplc="0C090001" w:tentative="1">
      <w:start w:val="1"/>
      <w:numFmt w:val="bullet"/>
      <w:lvlText w:val=""/>
      <w:lvlJc w:val="left"/>
      <w:pPr>
        <w:ind w:left="2585" w:hanging="360"/>
      </w:pPr>
      <w:rPr>
        <w:rFonts w:ascii="Symbol" w:hAnsi="Symbol" w:hint="default"/>
      </w:rPr>
    </w:lvl>
    <w:lvl w:ilvl="4" w:tplc="0C090003" w:tentative="1">
      <w:start w:val="1"/>
      <w:numFmt w:val="bullet"/>
      <w:lvlText w:val="o"/>
      <w:lvlJc w:val="left"/>
      <w:pPr>
        <w:ind w:left="3305" w:hanging="360"/>
      </w:pPr>
      <w:rPr>
        <w:rFonts w:ascii="Courier New" w:hAnsi="Courier New" w:cs="Courier New" w:hint="default"/>
      </w:rPr>
    </w:lvl>
    <w:lvl w:ilvl="5" w:tplc="0C090005" w:tentative="1">
      <w:start w:val="1"/>
      <w:numFmt w:val="bullet"/>
      <w:lvlText w:val=""/>
      <w:lvlJc w:val="left"/>
      <w:pPr>
        <w:ind w:left="4025" w:hanging="360"/>
      </w:pPr>
      <w:rPr>
        <w:rFonts w:ascii="Wingdings" w:hAnsi="Wingdings" w:hint="default"/>
      </w:rPr>
    </w:lvl>
    <w:lvl w:ilvl="6" w:tplc="0C090001" w:tentative="1">
      <w:start w:val="1"/>
      <w:numFmt w:val="bullet"/>
      <w:lvlText w:val=""/>
      <w:lvlJc w:val="left"/>
      <w:pPr>
        <w:ind w:left="4745" w:hanging="360"/>
      </w:pPr>
      <w:rPr>
        <w:rFonts w:ascii="Symbol" w:hAnsi="Symbol" w:hint="default"/>
      </w:rPr>
    </w:lvl>
    <w:lvl w:ilvl="7" w:tplc="0C090003" w:tentative="1">
      <w:start w:val="1"/>
      <w:numFmt w:val="bullet"/>
      <w:lvlText w:val="o"/>
      <w:lvlJc w:val="left"/>
      <w:pPr>
        <w:ind w:left="5465" w:hanging="360"/>
      </w:pPr>
      <w:rPr>
        <w:rFonts w:ascii="Courier New" w:hAnsi="Courier New" w:cs="Courier New" w:hint="default"/>
      </w:rPr>
    </w:lvl>
    <w:lvl w:ilvl="8" w:tplc="0C090005" w:tentative="1">
      <w:start w:val="1"/>
      <w:numFmt w:val="bullet"/>
      <w:lvlText w:val=""/>
      <w:lvlJc w:val="left"/>
      <w:pPr>
        <w:ind w:left="6185" w:hanging="360"/>
      </w:pPr>
      <w:rPr>
        <w:rFonts w:ascii="Wingdings" w:hAnsi="Wingdings" w:hint="default"/>
      </w:rPr>
    </w:lvl>
  </w:abstractNum>
  <w:num w:numId="1">
    <w:abstractNumId w:val="4"/>
  </w:num>
  <w:num w:numId="2">
    <w:abstractNumId w:val="2"/>
  </w:num>
  <w:num w:numId="3">
    <w:abstractNumId w:val="3"/>
  </w:num>
  <w:num w:numId="4">
    <w:abstractNumId w:val="1"/>
  </w:num>
  <w:num w:numId="5">
    <w:abstractNumId w:val="13"/>
  </w:num>
  <w:num w:numId="6">
    <w:abstractNumId w:val="29"/>
  </w:num>
  <w:num w:numId="7">
    <w:abstractNumId w:val="22"/>
  </w:num>
  <w:num w:numId="8">
    <w:abstractNumId w:val="27"/>
  </w:num>
  <w:num w:numId="9">
    <w:abstractNumId w:val="32"/>
  </w:num>
  <w:num w:numId="10">
    <w:abstractNumId w:val="14"/>
  </w:num>
  <w:num w:numId="11">
    <w:abstractNumId w:val="11"/>
  </w:num>
  <w:num w:numId="12">
    <w:abstractNumId w:val="17"/>
  </w:num>
  <w:num w:numId="13">
    <w:abstractNumId w:val="25"/>
  </w:num>
  <w:num w:numId="14">
    <w:abstractNumId w:val="29"/>
  </w:num>
  <w:num w:numId="15">
    <w:abstractNumId w:val="7"/>
  </w:num>
  <w:num w:numId="16">
    <w:abstractNumId w:val="15"/>
  </w:num>
  <w:num w:numId="17">
    <w:abstractNumId w:val="16"/>
  </w:num>
  <w:num w:numId="18">
    <w:abstractNumId w:val="26"/>
  </w:num>
  <w:num w:numId="19">
    <w:abstractNumId w:val="28"/>
  </w:num>
  <w:num w:numId="20">
    <w:abstractNumId w:val="18"/>
  </w:num>
  <w:num w:numId="21">
    <w:abstractNumId w:val="20"/>
  </w:num>
  <w:num w:numId="22">
    <w:abstractNumId w:val="10"/>
  </w:num>
  <w:num w:numId="23">
    <w:abstractNumId w:val="5"/>
  </w:num>
  <w:num w:numId="24">
    <w:abstractNumId w:val="9"/>
  </w:num>
  <w:num w:numId="25">
    <w:abstractNumId w:val="12"/>
  </w:num>
  <w:num w:numId="26">
    <w:abstractNumId w:val="21"/>
  </w:num>
  <w:num w:numId="27">
    <w:abstractNumId w:val="0"/>
  </w:num>
  <w:num w:numId="28">
    <w:abstractNumId w:val="30"/>
  </w:num>
  <w:num w:numId="29">
    <w:abstractNumId w:val="33"/>
  </w:num>
  <w:num w:numId="30">
    <w:abstractNumId w:val="31"/>
  </w:num>
  <w:num w:numId="31">
    <w:abstractNumId w:val="23"/>
  </w:num>
  <w:num w:numId="32">
    <w:abstractNumId w:val="6"/>
  </w:num>
  <w:num w:numId="33">
    <w:abstractNumId w:val="19"/>
  </w:num>
  <w:num w:numId="34">
    <w:abstractNumId w:val="35"/>
  </w:num>
  <w:num w:numId="35">
    <w:abstractNumId w:val="36"/>
  </w:num>
  <w:num w:numId="36">
    <w:abstractNumId w:val="8"/>
  </w:num>
  <w:num w:numId="37">
    <w:abstractNumId w:val="24"/>
  </w:num>
  <w:num w:numId="38">
    <w:abstractNumId w:val="34"/>
  </w:num>
  <w:num w:numId="39">
    <w:abstractNumId w:val="4"/>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removePersonalInformation/>
  <w:removeDateAndTime/>
  <w:hideSpellingErrors/>
  <w:hideGrammaticalErrors/>
  <w:proofState w:spelling="clean" w:grammar="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284"/>
  <w:evenAndOddHeaders/>
  <w:drawingGridHorizontalSpacing w:val="100"/>
  <w:displayHorizontalDrawingGridEvery w:val="2"/>
  <w:characterSpacingControl w:val="doNotCompress"/>
  <w:hdrShapeDefaults>
    <o:shapedefaults v:ext="edit" spidmax="2049">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40D2"/>
    <w:rsid w:val="000004F0"/>
    <w:rsid w:val="000005C3"/>
    <w:rsid w:val="00001935"/>
    <w:rsid w:val="00001B08"/>
    <w:rsid w:val="00001EB0"/>
    <w:rsid w:val="000041EB"/>
    <w:rsid w:val="00005302"/>
    <w:rsid w:val="00005843"/>
    <w:rsid w:val="00005CE7"/>
    <w:rsid w:val="00006617"/>
    <w:rsid w:val="00006A98"/>
    <w:rsid w:val="00010667"/>
    <w:rsid w:val="000129D5"/>
    <w:rsid w:val="00014260"/>
    <w:rsid w:val="000143F6"/>
    <w:rsid w:val="0001491D"/>
    <w:rsid w:val="00014C01"/>
    <w:rsid w:val="00014CDD"/>
    <w:rsid w:val="00015741"/>
    <w:rsid w:val="00015AE7"/>
    <w:rsid w:val="00016376"/>
    <w:rsid w:val="00016B3F"/>
    <w:rsid w:val="00016E21"/>
    <w:rsid w:val="0001719C"/>
    <w:rsid w:val="000202F0"/>
    <w:rsid w:val="00020A04"/>
    <w:rsid w:val="0002224E"/>
    <w:rsid w:val="000243BB"/>
    <w:rsid w:val="00024643"/>
    <w:rsid w:val="00026520"/>
    <w:rsid w:val="00026CAA"/>
    <w:rsid w:val="00026EA9"/>
    <w:rsid w:val="00026F91"/>
    <w:rsid w:val="00027687"/>
    <w:rsid w:val="00027ABF"/>
    <w:rsid w:val="00027EED"/>
    <w:rsid w:val="0003004D"/>
    <w:rsid w:val="00031C12"/>
    <w:rsid w:val="00031F54"/>
    <w:rsid w:val="00033744"/>
    <w:rsid w:val="00033D30"/>
    <w:rsid w:val="0003708B"/>
    <w:rsid w:val="000376AA"/>
    <w:rsid w:val="00037810"/>
    <w:rsid w:val="00040D4A"/>
    <w:rsid w:val="00040EB4"/>
    <w:rsid w:val="00041C66"/>
    <w:rsid w:val="00042CB2"/>
    <w:rsid w:val="0004301E"/>
    <w:rsid w:val="000434D1"/>
    <w:rsid w:val="00043A85"/>
    <w:rsid w:val="00046B2F"/>
    <w:rsid w:val="0004764C"/>
    <w:rsid w:val="00047C16"/>
    <w:rsid w:val="0005011A"/>
    <w:rsid w:val="0005045A"/>
    <w:rsid w:val="000505D6"/>
    <w:rsid w:val="000505EA"/>
    <w:rsid w:val="00051466"/>
    <w:rsid w:val="000515E6"/>
    <w:rsid w:val="000518CB"/>
    <w:rsid w:val="00051C1E"/>
    <w:rsid w:val="00052987"/>
    <w:rsid w:val="00052AE9"/>
    <w:rsid w:val="00052FBF"/>
    <w:rsid w:val="00053602"/>
    <w:rsid w:val="0005384F"/>
    <w:rsid w:val="000539F9"/>
    <w:rsid w:val="00054C27"/>
    <w:rsid w:val="000557CE"/>
    <w:rsid w:val="00055EC3"/>
    <w:rsid w:val="000563CE"/>
    <w:rsid w:val="000566DF"/>
    <w:rsid w:val="0006099A"/>
    <w:rsid w:val="00060A23"/>
    <w:rsid w:val="00061E41"/>
    <w:rsid w:val="000620C8"/>
    <w:rsid w:val="00062461"/>
    <w:rsid w:val="0006342D"/>
    <w:rsid w:val="00063E57"/>
    <w:rsid w:val="00064ABA"/>
    <w:rsid w:val="00064C6C"/>
    <w:rsid w:val="000659B6"/>
    <w:rsid w:val="00066120"/>
    <w:rsid w:val="0006686F"/>
    <w:rsid w:val="0006722A"/>
    <w:rsid w:val="0006743E"/>
    <w:rsid w:val="000700C4"/>
    <w:rsid w:val="00070396"/>
    <w:rsid w:val="00070BDF"/>
    <w:rsid w:val="00070F0C"/>
    <w:rsid w:val="000732CF"/>
    <w:rsid w:val="00075550"/>
    <w:rsid w:val="00075B96"/>
    <w:rsid w:val="00080BE0"/>
    <w:rsid w:val="0008196A"/>
    <w:rsid w:val="00081FCD"/>
    <w:rsid w:val="00082502"/>
    <w:rsid w:val="00083639"/>
    <w:rsid w:val="00083826"/>
    <w:rsid w:val="00083DC1"/>
    <w:rsid w:val="000840FC"/>
    <w:rsid w:val="000844CF"/>
    <w:rsid w:val="00085126"/>
    <w:rsid w:val="0008622C"/>
    <w:rsid w:val="000873AE"/>
    <w:rsid w:val="00087C62"/>
    <w:rsid w:val="00090915"/>
    <w:rsid w:val="000915ED"/>
    <w:rsid w:val="00091714"/>
    <w:rsid w:val="0009209D"/>
    <w:rsid w:val="00092137"/>
    <w:rsid w:val="000924EA"/>
    <w:rsid w:val="00092944"/>
    <w:rsid w:val="00093AC9"/>
    <w:rsid w:val="000960C8"/>
    <w:rsid w:val="00096222"/>
    <w:rsid w:val="000969BD"/>
    <w:rsid w:val="000969BF"/>
    <w:rsid w:val="00096FF5"/>
    <w:rsid w:val="00097B6D"/>
    <w:rsid w:val="000A03BB"/>
    <w:rsid w:val="000A0C22"/>
    <w:rsid w:val="000A0D61"/>
    <w:rsid w:val="000A1400"/>
    <w:rsid w:val="000A1724"/>
    <w:rsid w:val="000A1B87"/>
    <w:rsid w:val="000A1E18"/>
    <w:rsid w:val="000A3C43"/>
    <w:rsid w:val="000A412E"/>
    <w:rsid w:val="000A4391"/>
    <w:rsid w:val="000A45C9"/>
    <w:rsid w:val="000A4A51"/>
    <w:rsid w:val="000A4AFF"/>
    <w:rsid w:val="000A5AF7"/>
    <w:rsid w:val="000A5D2B"/>
    <w:rsid w:val="000A6178"/>
    <w:rsid w:val="000A7740"/>
    <w:rsid w:val="000B019C"/>
    <w:rsid w:val="000B0883"/>
    <w:rsid w:val="000B0F4B"/>
    <w:rsid w:val="000B1270"/>
    <w:rsid w:val="000B2909"/>
    <w:rsid w:val="000B2917"/>
    <w:rsid w:val="000B377E"/>
    <w:rsid w:val="000B4B60"/>
    <w:rsid w:val="000B5DE3"/>
    <w:rsid w:val="000B6210"/>
    <w:rsid w:val="000C01C9"/>
    <w:rsid w:val="000C0A57"/>
    <w:rsid w:val="000C0A6C"/>
    <w:rsid w:val="000C15EA"/>
    <w:rsid w:val="000C1B3B"/>
    <w:rsid w:val="000C230C"/>
    <w:rsid w:val="000C2798"/>
    <w:rsid w:val="000C3268"/>
    <w:rsid w:val="000C4172"/>
    <w:rsid w:val="000C45E1"/>
    <w:rsid w:val="000C4F62"/>
    <w:rsid w:val="000C51F8"/>
    <w:rsid w:val="000C5585"/>
    <w:rsid w:val="000C6368"/>
    <w:rsid w:val="000C6432"/>
    <w:rsid w:val="000C6AB4"/>
    <w:rsid w:val="000C6D63"/>
    <w:rsid w:val="000C74DC"/>
    <w:rsid w:val="000C74EB"/>
    <w:rsid w:val="000D081F"/>
    <w:rsid w:val="000D1632"/>
    <w:rsid w:val="000D26D5"/>
    <w:rsid w:val="000D26FA"/>
    <w:rsid w:val="000D28D9"/>
    <w:rsid w:val="000D4115"/>
    <w:rsid w:val="000D44F3"/>
    <w:rsid w:val="000D52A7"/>
    <w:rsid w:val="000D592F"/>
    <w:rsid w:val="000D5A44"/>
    <w:rsid w:val="000D6C09"/>
    <w:rsid w:val="000D71D9"/>
    <w:rsid w:val="000D76E0"/>
    <w:rsid w:val="000D7B64"/>
    <w:rsid w:val="000D7E8B"/>
    <w:rsid w:val="000E0A1A"/>
    <w:rsid w:val="000E0DF8"/>
    <w:rsid w:val="000E105E"/>
    <w:rsid w:val="000E1A88"/>
    <w:rsid w:val="000E21AD"/>
    <w:rsid w:val="000E2F90"/>
    <w:rsid w:val="000E3501"/>
    <w:rsid w:val="000E4449"/>
    <w:rsid w:val="000E5C89"/>
    <w:rsid w:val="000E5FF9"/>
    <w:rsid w:val="000E6097"/>
    <w:rsid w:val="000E6CF1"/>
    <w:rsid w:val="000E77EA"/>
    <w:rsid w:val="000F3580"/>
    <w:rsid w:val="000F397E"/>
    <w:rsid w:val="000F481F"/>
    <w:rsid w:val="000F5FEA"/>
    <w:rsid w:val="000F777A"/>
    <w:rsid w:val="00101026"/>
    <w:rsid w:val="00101536"/>
    <w:rsid w:val="00101F15"/>
    <w:rsid w:val="00102BE8"/>
    <w:rsid w:val="0010369E"/>
    <w:rsid w:val="00103829"/>
    <w:rsid w:val="00103911"/>
    <w:rsid w:val="00103963"/>
    <w:rsid w:val="00103E96"/>
    <w:rsid w:val="0010550A"/>
    <w:rsid w:val="00105F75"/>
    <w:rsid w:val="00106933"/>
    <w:rsid w:val="0010702D"/>
    <w:rsid w:val="00107131"/>
    <w:rsid w:val="00107498"/>
    <w:rsid w:val="00107AB0"/>
    <w:rsid w:val="00110976"/>
    <w:rsid w:val="00110E24"/>
    <w:rsid w:val="00111C06"/>
    <w:rsid w:val="00111FCE"/>
    <w:rsid w:val="00113640"/>
    <w:rsid w:val="00114BB1"/>
    <w:rsid w:val="00115E45"/>
    <w:rsid w:val="00120497"/>
    <w:rsid w:val="00120A66"/>
    <w:rsid w:val="001229A5"/>
    <w:rsid w:val="00123129"/>
    <w:rsid w:val="00123280"/>
    <w:rsid w:val="00123320"/>
    <w:rsid w:val="00123755"/>
    <w:rsid w:val="00123F72"/>
    <w:rsid w:val="0012430D"/>
    <w:rsid w:val="0012489B"/>
    <w:rsid w:val="001261C0"/>
    <w:rsid w:val="001264B2"/>
    <w:rsid w:val="00130017"/>
    <w:rsid w:val="00130F91"/>
    <w:rsid w:val="001310BD"/>
    <w:rsid w:val="0013185C"/>
    <w:rsid w:val="00131F0D"/>
    <w:rsid w:val="001324DD"/>
    <w:rsid w:val="001331FD"/>
    <w:rsid w:val="00133736"/>
    <w:rsid w:val="00133ADC"/>
    <w:rsid w:val="00134590"/>
    <w:rsid w:val="001349ED"/>
    <w:rsid w:val="001351C5"/>
    <w:rsid w:val="001352D5"/>
    <w:rsid w:val="00135D70"/>
    <w:rsid w:val="00137424"/>
    <w:rsid w:val="00137651"/>
    <w:rsid w:val="001376D2"/>
    <w:rsid w:val="00140318"/>
    <w:rsid w:val="00141AD9"/>
    <w:rsid w:val="0014201E"/>
    <w:rsid w:val="00142DA3"/>
    <w:rsid w:val="001431DF"/>
    <w:rsid w:val="001436EA"/>
    <w:rsid w:val="00143731"/>
    <w:rsid w:val="00144B7A"/>
    <w:rsid w:val="00144C14"/>
    <w:rsid w:val="00144D2E"/>
    <w:rsid w:val="00145B23"/>
    <w:rsid w:val="00145E28"/>
    <w:rsid w:val="00146CE6"/>
    <w:rsid w:val="001477FF"/>
    <w:rsid w:val="00151794"/>
    <w:rsid w:val="001526CB"/>
    <w:rsid w:val="00152903"/>
    <w:rsid w:val="00152EBF"/>
    <w:rsid w:val="00153785"/>
    <w:rsid w:val="0015386C"/>
    <w:rsid w:val="00153D96"/>
    <w:rsid w:val="00153FD5"/>
    <w:rsid w:val="00155E05"/>
    <w:rsid w:val="0015614F"/>
    <w:rsid w:val="0015642C"/>
    <w:rsid w:val="001577C2"/>
    <w:rsid w:val="00160FD1"/>
    <w:rsid w:val="00160FE7"/>
    <w:rsid w:val="001633C4"/>
    <w:rsid w:val="00163694"/>
    <w:rsid w:val="00164648"/>
    <w:rsid w:val="0016471D"/>
    <w:rsid w:val="0016613A"/>
    <w:rsid w:val="00166BC2"/>
    <w:rsid w:val="00167866"/>
    <w:rsid w:val="001678F6"/>
    <w:rsid w:val="00167F21"/>
    <w:rsid w:val="00171591"/>
    <w:rsid w:val="0017161A"/>
    <w:rsid w:val="001733D9"/>
    <w:rsid w:val="00173640"/>
    <w:rsid w:val="00173981"/>
    <w:rsid w:val="00174B51"/>
    <w:rsid w:val="00174C4B"/>
    <w:rsid w:val="0017575E"/>
    <w:rsid w:val="00176577"/>
    <w:rsid w:val="0017719D"/>
    <w:rsid w:val="00177543"/>
    <w:rsid w:val="00183FD7"/>
    <w:rsid w:val="00184B97"/>
    <w:rsid w:val="00185A38"/>
    <w:rsid w:val="00185CAB"/>
    <w:rsid w:val="001863C2"/>
    <w:rsid w:val="001875B7"/>
    <w:rsid w:val="00187A90"/>
    <w:rsid w:val="00187CB3"/>
    <w:rsid w:val="0019050A"/>
    <w:rsid w:val="00190AE7"/>
    <w:rsid w:val="001910D4"/>
    <w:rsid w:val="00191506"/>
    <w:rsid w:val="001920A8"/>
    <w:rsid w:val="0019275F"/>
    <w:rsid w:val="00192DDD"/>
    <w:rsid w:val="0019327D"/>
    <w:rsid w:val="00193966"/>
    <w:rsid w:val="00193E8D"/>
    <w:rsid w:val="00195385"/>
    <w:rsid w:val="00197334"/>
    <w:rsid w:val="001976E3"/>
    <w:rsid w:val="001A00C7"/>
    <w:rsid w:val="001A054B"/>
    <w:rsid w:val="001A17A5"/>
    <w:rsid w:val="001A1838"/>
    <w:rsid w:val="001A18FE"/>
    <w:rsid w:val="001A21B6"/>
    <w:rsid w:val="001A2963"/>
    <w:rsid w:val="001A2A40"/>
    <w:rsid w:val="001A3FF6"/>
    <w:rsid w:val="001A44EC"/>
    <w:rsid w:val="001A49B3"/>
    <w:rsid w:val="001A5031"/>
    <w:rsid w:val="001A5383"/>
    <w:rsid w:val="001A5490"/>
    <w:rsid w:val="001A57CF"/>
    <w:rsid w:val="001A5EEC"/>
    <w:rsid w:val="001A717C"/>
    <w:rsid w:val="001A755A"/>
    <w:rsid w:val="001A7776"/>
    <w:rsid w:val="001A77EE"/>
    <w:rsid w:val="001A7D83"/>
    <w:rsid w:val="001B09F8"/>
    <w:rsid w:val="001B4109"/>
    <w:rsid w:val="001B54EF"/>
    <w:rsid w:val="001B58AA"/>
    <w:rsid w:val="001B67FC"/>
    <w:rsid w:val="001B7E48"/>
    <w:rsid w:val="001C0933"/>
    <w:rsid w:val="001C0F1C"/>
    <w:rsid w:val="001C1503"/>
    <w:rsid w:val="001C17CE"/>
    <w:rsid w:val="001C1AF7"/>
    <w:rsid w:val="001C206B"/>
    <w:rsid w:val="001C2DF2"/>
    <w:rsid w:val="001C2FD9"/>
    <w:rsid w:val="001C3339"/>
    <w:rsid w:val="001C36CA"/>
    <w:rsid w:val="001C3BE3"/>
    <w:rsid w:val="001C4355"/>
    <w:rsid w:val="001C44D1"/>
    <w:rsid w:val="001C4E83"/>
    <w:rsid w:val="001C51FC"/>
    <w:rsid w:val="001C534A"/>
    <w:rsid w:val="001C66DB"/>
    <w:rsid w:val="001C6AEE"/>
    <w:rsid w:val="001C7630"/>
    <w:rsid w:val="001C7F6C"/>
    <w:rsid w:val="001D007F"/>
    <w:rsid w:val="001D114D"/>
    <w:rsid w:val="001D2871"/>
    <w:rsid w:val="001D2F2E"/>
    <w:rsid w:val="001D36F7"/>
    <w:rsid w:val="001D380F"/>
    <w:rsid w:val="001D3E62"/>
    <w:rsid w:val="001D49E9"/>
    <w:rsid w:val="001D5E61"/>
    <w:rsid w:val="001D5F3A"/>
    <w:rsid w:val="001D63A0"/>
    <w:rsid w:val="001D6D15"/>
    <w:rsid w:val="001D70F3"/>
    <w:rsid w:val="001D7BC3"/>
    <w:rsid w:val="001E064E"/>
    <w:rsid w:val="001E0670"/>
    <w:rsid w:val="001E0728"/>
    <w:rsid w:val="001E0782"/>
    <w:rsid w:val="001E121D"/>
    <w:rsid w:val="001E1615"/>
    <w:rsid w:val="001E2319"/>
    <w:rsid w:val="001E25AD"/>
    <w:rsid w:val="001E2621"/>
    <w:rsid w:val="001E2B35"/>
    <w:rsid w:val="001E4682"/>
    <w:rsid w:val="001E4AD2"/>
    <w:rsid w:val="001E5CDE"/>
    <w:rsid w:val="001E628F"/>
    <w:rsid w:val="001E638F"/>
    <w:rsid w:val="001E66C0"/>
    <w:rsid w:val="001E66D4"/>
    <w:rsid w:val="001E6A7E"/>
    <w:rsid w:val="001E72B8"/>
    <w:rsid w:val="001F0B7A"/>
    <w:rsid w:val="001F1658"/>
    <w:rsid w:val="001F4279"/>
    <w:rsid w:val="001F4631"/>
    <w:rsid w:val="001F4705"/>
    <w:rsid w:val="001F49FB"/>
    <w:rsid w:val="001F5CF0"/>
    <w:rsid w:val="001F6086"/>
    <w:rsid w:val="001F7558"/>
    <w:rsid w:val="00203211"/>
    <w:rsid w:val="002057E1"/>
    <w:rsid w:val="00205B57"/>
    <w:rsid w:val="002066A0"/>
    <w:rsid w:val="00206A57"/>
    <w:rsid w:val="0020717B"/>
    <w:rsid w:val="002072E6"/>
    <w:rsid w:val="00207B12"/>
    <w:rsid w:val="0021005D"/>
    <w:rsid w:val="00210235"/>
    <w:rsid w:val="00212009"/>
    <w:rsid w:val="0021220A"/>
    <w:rsid w:val="00212E28"/>
    <w:rsid w:val="002145C3"/>
    <w:rsid w:val="002148BC"/>
    <w:rsid w:val="002149E7"/>
    <w:rsid w:val="0021558C"/>
    <w:rsid w:val="002157E0"/>
    <w:rsid w:val="00215FC6"/>
    <w:rsid w:val="002166F4"/>
    <w:rsid w:val="00216A01"/>
    <w:rsid w:val="00216A57"/>
    <w:rsid w:val="00216DCB"/>
    <w:rsid w:val="00220439"/>
    <w:rsid w:val="00220B7D"/>
    <w:rsid w:val="0022226E"/>
    <w:rsid w:val="00222DD8"/>
    <w:rsid w:val="00222F8B"/>
    <w:rsid w:val="0022334F"/>
    <w:rsid w:val="0022385D"/>
    <w:rsid w:val="00223DB1"/>
    <w:rsid w:val="00224259"/>
    <w:rsid w:val="002256A3"/>
    <w:rsid w:val="00226741"/>
    <w:rsid w:val="00226819"/>
    <w:rsid w:val="002269AB"/>
    <w:rsid w:val="00226A56"/>
    <w:rsid w:val="0022719B"/>
    <w:rsid w:val="00227528"/>
    <w:rsid w:val="002308DD"/>
    <w:rsid w:val="002309D4"/>
    <w:rsid w:val="00230D11"/>
    <w:rsid w:val="002319CC"/>
    <w:rsid w:val="00231F31"/>
    <w:rsid w:val="002322E8"/>
    <w:rsid w:val="0023288C"/>
    <w:rsid w:val="0023300C"/>
    <w:rsid w:val="00233101"/>
    <w:rsid w:val="0023326F"/>
    <w:rsid w:val="00233817"/>
    <w:rsid w:val="00234035"/>
    <w:rsid w:val="0023552A"/>
    <w:rsid w:val="002359B5"/>
    <w:rsid w:val="00235CB1"/>
    <w:rsid w:val="00235CEC"/>
    <w:rsid w:val="00235ECA"/>
    <w:rsid w:val="002367FF"/>
    <w:rsid w:val="002378A4"/>
    <w:rsid w:val="00240CE9"/>
    <w:rsid w:val="0024172A"/>
    <w:rsid w:val="0024288F"/>
    <w:rsid w:val="00242CF0"/>
    <w:rsid w:val="0024306A"/>
    <w:rsid w:val="002434BA"/>
    <w:rsid w:val="002446FA"/>
    <w:rsid w:val="00246089"/>
    <w:rsid w:val="00246093"/>
    <w:rsid w:val="00246702"/>
    <w:rsid w:val="002469B1"/>
    <w:rsid w:val="00247BA6"/>
    <w:rsid w:val="00247C59"/>
    <w:rsid w:val="00247F2E"/>
    <w:rsid w:val="00250ADC"/>
    <w:rsid w:val="00250B07"/>
    <w:rsid w:val="00250CFE"/>
    <w:rsid w:val="00250FFA"/>
    <w:rsid w:val="00251E98"/>
    <w:rsid w:val="00253DD7"/>
    <w:rsid w:val="00254CA2"/>
    <w:rsid w:val="002557AF"/>
    <w:rsid w:val="00255AC6"/>
    <w:rsid w:val="00256047"/>
    <w:rsid w:val="002570DD"/>
    <w:rsid w:val="0025735A"/>
    <w:rsid w:val="00257553"/>
    <w:rsid w:val="002603F3"/>
    <w:rsid w:val="00260FB2"/>
    <w:rsid w:val="002610E8"/>
    <w:rsid w:val="002619A2"/>
    <w:rsid w:val="00262128"/>
    <w:rsid w:val="002623F6"/>
    <w:rsid w:val="002625A3"/>
    <w:rsid w:val="00263009"/>
    <w:rsid w:val="00263012"/>
    <w:rsid w:val="002634C9"/>
    <w:rsid w:val="00263A00"/>
    <w:rsid w:val="00264379"/>
    <w:rsid w:val="002653E2"/>
    <w:rsid w:val="0026646A"/>
    <w:rsid w:val="002664A6"/>
    <w:rsid w:val="0026770B"/>
    <w:rsid w:val="00270DE8"/>
    <w:rsid w:val="0027165D"/>
    <w:rsid w:val="00272006"/>
    <w:rsid w:val="0027249E"/>
    <w:rsid w:val="002732BE"/>
    <w:rsid w:val="00273CEB"/>
    <w:rsid w:val="0027580A"/>
    <w:rsid w:val="0027640D"/>
    <w:rsid w:val="00276CB1"/>
    <w:rsid w:val="00276E88"/>
    <w:rsid w:val="00277D20"/>
    <w:rsid w:val="0028145F"/>
    <w:rsid w:val="002816EC"/>
    <w:rsid w:val="00281A11"/>
    <w:rsid w:val="00281C89"/>
    <w:rsid w:val="00281CEF"/>
    <w:rsid w:val="002825B5"/>
    <w:rsid w:val="0028282F"/>
    <w:rsid w:val="00282AC4"/>
    <w:rsid w:val="002838EE"/>
    <w:rsid w:val="002859A1"/>
    <w:rsid w:val="00285C3D"/>
    <w:rsid w:val="00286450"/>
    <w:rsid w:val="00287115"/>
    <w:rsid w:val="002876BE"/>
    <w:rsid w:val="0029030C"/>
    <w:rsid w:val="002906A7"/>
    <w:rsid w:val="00291A44"/>
    <w:rsid w:val="00291AA9"/>
    <w:rsid w:val="00291D23"/>
    <w:rsid w:val="00292088"/>
    <w:rsid w:val="00293F96"/>
    <w:rsid w:val="002940B8"/>
    <w:rsid w:val="0029412C"/>
    <w:rsid w:val="002941E7"/>
    <w:rsid w:val="00294299"/>
    <w:rsid w:val="0029593B"/>
    <w:rsid w:val="00296180"/>
    <w:rsid w:val="00296230"/>
    <w:rsid w:val="00297CBA"/>
    <w:rsid w:val="00297EA1"/>
    <w:rsid w:val="00297FC5"/>
    <w:rsid w:val="002A01B8"/>
    <w:rsid w:val="002A0348"/>
    <w:rsid w:val="002A0408"/>
    <w:rsid w:val="002A0417"/>
    <w:rsid w:val="002A16D8"/>
    <w:rsid w:val="002A18B3"/>
    <w:rsid w:val="002A1BC8"/>
    <w:rsid w:val="002A201B"/>
    <w:rsid w:val="002A2ABB"/>
    <w:rsid w:val="002A3EF2"/>
    <w:rsid w:val="002A4789"/>
    <w:rsid w:val="002A5BEA"/>
    <w:rsid w:val="002A62BC"/>
    <w:rsid w:val="002A6785"/>
    <w:rsid w:val="002A6BBC"/>
    <w:rsid w:val="002A73C1"/>
    <w:rsid w:val="002A758C"/>
    <w:rsid w:val="002A79FA"/>
    <w:rsid w:val="002A7E6C"/>
    <w:rsid w:val="002B0CF0"/>
    <w:rsid w:val="002B0DED"/>
    <w:rsid w:val="002B0F5E"/>
    <w:rsid w:val="002B19A2"/>
    <w:rsid w:val="002B214E"/>
    <w:rsid w:val="002B3658"/>
    <w:rsid w:val="002B381A"/>
    <w:rsid w:val="002B3AAC"/>
    <w:rsid w:val="002B4FCC"/>
    <w:rsid w:val="002B51EF"/>
    <w:rsid w:val="002B60D3"/>
    <w:rsid w:val="002B6AD9"/>
    <w:rsid w:val="002B7408"/>
    <w:rsid w:val="002B7543"/>
    <w:rsid w:val="002B7CFD"/>
    <w:rsid w:val="002C1201"/>
    <w:rsid w:val="002C210F"/>
    <w:rsid w:val="002C261A"/>
    <w:rsid w:val="002C2EB3"/>
    <w:rsid w:val="002C3E56"/>
    <w:rsid w:val="002C489B"/>
    <w:rsid w:val="002C5A29"/>
    <w:rsid w:val="002C6C18"/>
    <w:rsid w:val="002D07B8"/>
    <w:rsid w:val="002D0A84"/>
    <w:rsid w:val="002D0CFF"/>
    <w:rsid w:val="002D0E32"/>
    <w:rsid w:val="002D1485"/>
    <w:rsid w:val="002D3101"/>
    <w:rsid w:val="002D3600"/>
    <w:rsid w:val="002D4E78"/>
    <w:rsid w:val="002D6FE0"/>
    <w:rsid w:val="002D76EB"/>
    <w:rsid w:val="002D7775"/>
    <w:rsid w:val="002D7ED9"/>
    <w:rsid w:val="002E0F36"/>
    <w:rsid w:val="002E140A"/>
    <w:rsid w:val="002E17E1"/>
    <w:rsid w:val="002E3570"/>
    <w:rsid w:val="002E44F4"/>
    <w:rsid w:val="002E4DDC"/>
    <w:rsid w:val="002E4EF5"/>
    <w:rsid w:val="002E655D"/>
    <w:rsid w:val="002E67D2"/>
    <w:rsid w:val="002E681E"/>
    <w:rsid w:val="002E70B9"/>
    <w:rsid w:val="002E77E7"/>
    <w:rsid w:val="002F0C72"/>
    <w:rsid w:val="002F35A9"/>
    <w:rsid w:val="002F48C6"/>
    <w:rsid w:val="002F5350"/>
    <w:rsid w:val="002F5481"/>
    <w:rsid w:val="002F5981"/>
    <w:rsid w:val="002F5C75"/>
    <w:rsid w:val="00300C8B"/>
    <w:rsid w:val="00302480"/>
    <w:rsid w:val="0030403B"/>
    <w:rsid w:val="00304D26"/>
    <w:rsid w:val="003051AE"/>
    <w:rsid w:val="00305CD8"/>
    <w:rsid w:val="00306D86"/>
    <w:rsid w:val="00311C3F"/>
    <w:rsid w:val="003122DB"/>
    <w:rsid w:val="0031398B"/>
    <w:rsid w:val="00313BD2"/>
    <w:rsid w:val="00313DDC"/>
    <w:rsid w:val="00314841"/>
    <w:rsid w:val="0031533B"/>
    <w:rsid w:val="00315FD7"/>
    <w:rsid w:val="003165E6"/>
    <w:rsid w:val="003173BC"/>
    <w:rsid w:val="003215B5"/>
    <w:rsid w:val="003221CF"/>
    <w:rsid w:val="003233ED"/>
    <w:rsid w:val="0032359D"/>
    <w:rsid w:val="00323AE9"/>
    <w:rsid w:val="00323DDB"/>
    <w:rsid w:val="00324D9F"/>
    <w:rsid w:val="00324F63"/>
    <w:rsid w:val="00325449"/>
    <w:rsid w:val="00326ABE"/>
    <w:rsid w:val="00327948"/>
    <w:rsid w:val="0033000F"/>
    <w:rsid w:val="00332011"/>
    <w:rsid w:val="00332362"/>
    <w:rsid w:val="00332518"/>
    <w:rsid w:val="00332925"/>
    <w:rsid w:val="003332ED"/>
    <w:rsid w:val="0033347F"/>
    <w:rsid w:val="003334D9"/>
    <w:rsid w:val="00333B28"/>
    <w:rsid w:val="00333EBE"/>
    <w:rsid w:val="0033404B"/>
    <w:rsid w:val="00336497"/>
    <w:rsid w:val="003364F1"/>
    <w:rsid w:val="003368DC"/>
    <w:rsid w:val="00337A99"/>
    <w:rsid w:val="00340A14"/>
    <w:rsid w:val="003427A7"/>
    <w:rsid w:val="00342CE9"/>
    <w:rsid w:val="00342FB5"/>
    <w:rsid w:val="003433B0"/>
    <w:rsid w:val="0034471A"/>
    <w:rsid w:val="00345927"/>
    <w:rsid w:val="00347F7F"/>
    <w:rsid w:val="00350584"/>
    <w:rsid w:val="00350BFC"/>
    <w:rsid w:val="00351857"/>
    <w:rsid w:val="003524EC"/>
    <w:rsid w:val="00352F24"/>
    <w:rsid w:val="00353E53"/>
    <w:rsid w:val="003545E8"/>
    <w:rsid w:val="00354D3C"/>
    <w:rsid w:val="00355275"/>
    <w:rsid w:val="003556D3"/>
    <w:rsid w:val="00356DAE"/>
    <w:rsid w:val="00357559"/>
    <w:rsid w:val="00360321"/>
    <w:rsid w:val="003610E1"/>
    <w:rsid w:val="0036112E"/>
    <w:rsid w:val="003620C4"/>
    <w:rsid w:val="003627D0"/>
    <w:rsid w:val="003630CC"/>
    <w:rsid w:val="00363A20"/>
    <w:rsid w:val="00363E8D"/>
    <w:rsid w:val="003641A3"/>
    <w:rsid w:val="003643E2"/>
    <w:rsid w:val="00366024"/>
    <w:rsid w:val="003671BE"/>
    <w:rsid w:val="00367A2C"/>
    <w:rsid w:val="00367E01"/>
    <w:rsid w:val="003716EB"/>
    <w:rsid w:val="00371B1B"/>
    <w:rsid w:val="00371B1E"/>
    <w:rsid w:val="00371EFA"/>
    <w:rsid w:val="00372485"/>
    <w:rsid w:val="00373200"/>
    <w:rsid w:val="00374CF4"/>
    <w:rsid w:val="00375493"/>
    <w:rsid w:val="003755D7"/>
    <w:rsid w:val="00375CE3"/>
    <w:rsid w:val="00375EF5"/>
    <w:rsid w:val="00376696"/>
    <w:rsid w:val="003767A5"/>
    <w:rsid w:val="00377F30"/>
    <w:rsid w:val="00380201"/>
    <w:rsid w:val="00381D15"/>
    <w:rsid w:val="00381F10"/>
    <w:rsid w:val="00381F7B"/>
    <w:rsid w:val="003821A8"/>
    <w:rsid w:val="003826C7"/>
    <w:rsid w:val="00382C7F"/>
    <w:rsid w:val="00383960"/>
    <w:rsid w:val="0038398A"/>
    <w:rsid w:val="00383DFB"/>
    <w:rsid w:val="003848DD"/>
    <w:rsid w:val="00385254"/>
    <w:rsid w:val="003852A5"/>
    <w:rsid w:val="003867EB"/>
    <w:rsid w:val="00387631"/>
    <w:rsid w:val="00391183"/>
    <w:rsid w:val="0039244C"/>
    <w:rsid w:val="00393739"/>
    <w:rsid w:val="00394250"/>
    <w:rsid w:val="00394279"/>
    <w:rsid w:val="00394D59"/>
    <w:rsid w:val="003952A0"/>
    <w:rsid w:val="00396789"/>
    <w:rsid w:val="00396FAD"/>
    <w:rsid w:val="003A03F6"/>
    <w:rsid w:val="003A04DB"/>
    <w:rsid w:val="003A1444"/>
    <w:rsid w:val="003A2218"/>
    <w:rsid w:val="003A22F6"/>
    <w:rsid w:val="003A2385"/>
    <w:rsid w:val="003A31FD"/>
    <w:rsid w:val="003A39BC"/>
    <w:rsid w:val="003A3F10"/>
    <w:rsid w:val="003A44EC"/>
    <w:rsid w:val="003A4A51"/>
    <w:rsid w:val="003A5F5B"/>
    <w:rsid w:val="003A6802"/>
    <w:rsid w:val="003A686E"/>
    <w:rsid w:val="003A6BEC"/>
    <w:rsid w:val="003A703A"/>
    <w:rsid w:val="003A789A"/>
    <w:rsid w:val="003B0675"/>
    <w:rsid w:val="003B0894"/>
    <w:rsid w:val="003B08F8"/>
    <w:rsid w:val="003B12EC"/>
    <w:rsid w:val="003B13E6"/>
    <w:rsid w:val="003B1B32"/>
    <w:rsid w:val="003B1B63"/>
    <w:rsid w:val="003B24E3"/>
    <w:rsid w:val="003B2FEB"/>
    <w:rsid w:val="003B30C9"/>
    <w:rsid w:val="003B411E"/>
    <w:rsid w:val="003B4DFC"/>
    <w:rsid w:val="003B698B"/>
    <w:rsid w:val="003B6F27"/>
    <w:rsid w:val="003B7060"/>
    <w:rsid w:val="003C1828"/>
    <w:rsid w:val="003C3418"/>
    <w:rsid w:val="003C3AD3"/>
    <w:rsid w:val="003C3E25"/>
    <w:rsid w:val="003C4F2C"/>
    <w:rsid w:val="003C53EF"/>
    <w:rsid w:val="003C5C9E"/>
    <w:rsid w:val="003C6FC7"/>
    <w:rsid w:val="003C7583"/>
    <w:rsid w:val="003C77E0"/>
    <w:rsid w:val="003C7BD8"/>
    <w:rsid w:val="003D057E"/>
    <w:rsid w:val="003D0CF6"/>
    <w:rsid w:val="003D15E6"/>
    <w:rsid w:val="003D17D7"/>
    <w:rsid w:val="003D2678"/>
    <w:rsid w:val="003D347C"/>
    <w:rsid w:val="003D3C0D"/>
    <w:rsid w:val="003D4110"/>
    <w:rsid w:val="003D4C9D"/>
    <w:rsid w:val="003D4EF5"/>
    <w:rsid w:val="003D542C"/>
    <w:rsid w:val="003D5D12"/>
    <w:rsid w:val="003D71A3"/>
    <w:rsid w:val="003E2B8A"/>
    <w:rsid w:val="003E3D9D"/>
    <w:rsid w:val="003E41CD"/>
    <w:rsid w:val="003E58CB"/>
    <w:rsid w:val="003E5DE2"/>
    <w:rsid w:val="003E620F"/>
    <w:rsid w:val="003F08C5"/>
    <w:rsid w:val="003F08FF"/>
    <w:rsid w:val="003F10EE"/>
    <w:rsid w:val="003F16F6"/>
    <w:rsid w:val="003F18AD"/>
    <w:rsid w:val="003F1A7A"/>
    <w:rsid w:val="003F2075"/>
    <w:rsid w:val="003F2333"/>
    <w:rsid w:val="003F345F"/>
    <w:rsid w:val="003F4588"/>
    <w:rsid w:val="003F4833"/>
    <w:rsid w:val="003F4DC7"/>
    <w:rsid w:val="003F5235"/>
    <w:rsid w:val="003F7261"/>
    <w:rsid w:val="003F726B"/>
    <w:rsid w:val="00400675"/>
    <w:rsid w:val="00401426"/>
    <w:rsid w:val="004021C7"/>
    <w:rsid w:val="004024F8"/>
    <w:rsid w:val="004027E4"/>
    <w:rsid w:val="0040372B"/>
    <w:rsid w:val="004042E0"/>
    <w:rsid w:val="00405298"/>
    <w:rsid w:val="0040570D"/>
    <w:rsid w:val="00406544"/>
    <w:rsid w:val="0041071D"/>
    <w:rsid w:val="00410FF4"/>
    <w:rsid w:val="00411468"/>
    <w:rsid w:val="004126D6"/>
    <w:rsid w:val="004127E4"/>
    <w:rsid w:val="004139BC"/>
    <w:rsid w:val="00413FCA"/>
    <w:rsid w:val="004141EF"/>
    <w:rsid w:val="00414AFC"/>
    <w:rsid w:val="00414EF9"/>
    <w:rsid w:val="004151A7"/>
    <w:rsid w:val="00415310"/>
    <w:rsid w:val="004155D8"/>
    <w:rsid w:val="004155E5"/>
    <w:rsid w:val="004171A1"/>
    <w:rsid w:val="004172FB"/>
    <w:rsid w:val="004179F7"/>
    <w:rsid w:val="00421709"/>
    <w:rsid w:val="00423241"/>
    <w:rsid w:val="00423763"/>
    <w:rsid w:val="004238E8"/>
    <w:rsid w:val="00424E6D"/>
    <w:rsid w:val="0042643E"/>
    <w:rsid w:val="004267B6"/>
    <w:rsid w:val="0042762F"/>
    <w:rsid w:val="00427AC0"/>
    <w:rsid w:val="00427DC7"/>
    <w:rsid w:val="004306C4"/>
    <w:rsid w:val="0043094E"/>
    <w:rsid w:val="00431103"/>
    <w:rsid w:val="00431310"/>
    <w:rsid w:val="004315A4"/>
    <w:rsid w:val="004315CF"/>
    <w:rsid w:val="00431613"/>
    <w:rsid w:val="00431792"/>
    <w:rsid w:val="0043236B"/>
    <w:rsid w:val="0043297A"/>
    <w:rsid w:val="00432D04"/>
    <w:rsid w:val="00432EB2"/>
    <w:rsid w:val="004338DA"/>
    <w:rsid w:val="00434020"/>
    <w:rsid w:val="004348EB"/>
    <w:rsid w:val="00434ACA"/>
    <w:rsid w:val="004351E7"/>
    <w:rsid w:val="00436577"/>
    <w:rsid w:val="00436719"/>
    <w:rsid w:val="00436D1B"/>
    <w:rsid w:val="0043714F"/>
    <w:rsid w:val="00437499"/>
    <w:rsid w:val="00437CC4"/>
    <w:rsid w:val="004422F8"/>
    <w:rsid w:val="00442D59"/>
    <w:rsid w:val="00443866"/>
    <w:rsid w:val="004438B5"/>
    <w:rsid w:val="004444E7"/>
    <w:rsid w:val="004448C1"/>
    <w:rsid w:val="00445E75"/>
    <w:rsid w:val="00446223"/>
    <w:rsid w:val="004462A9"/>
    <w:rsid w:val="00447037"/>
    <w:rsid w:val="00447B80"/>
    <w:rsid w:val="00450069"/>
    <w:rsid w:val="00450B4D"/>
    <w:rsid w:val="0045124D"/>
    <w:rsid w:val="004512E9"/>
    <w:rsid w:val="00451B77"/>
    <w:rsid w:val="004530C3"/>
    <w:rsid w:val="00453BC5"/>
    <w:rsid w:val="00454596"/>
    <w:rsid w:val="00454A72"/>
    <w:rsid w:val="00455216"/>
    <w:rsid w:val="004555BA"/>
    <w:rsid w:val="00455602"/>
    <w:rsid w:val="0045605D"/>
    <w:rsid w:val="00456551"/>
    <w:rsid w:val="00456648"/>
    <w:rsid w:val="00456948"/>
    <w:rsid w:val="004602C1"/>
    <w:rsid w:val="0046135B"/>
    <w:rsid w:val="00461D47"/>
    <w:rsid w:val="004634A0"/>
    <w:rsid w:val="00463687"/>
    <w:rsid w:val="00464B38"/>
    <w:rsid w:val="00464DBC"/>
    <w:rsid w:val="00465075"/>
    <w:rsid w:val="004653D5"/>
    <w:rsid w:val="00465B39"/>
    <w:rsid w:val="00466377"/>
    <w:rsid w:val="004708A6"/>
    <w:rsid w:val="004718CC"/>
    <w:rsid w:val="00472C30"/>
    <w:rsid w:val="004736A3"/>
    <w:rsid w:val="00473799"/>
    <w:rsid w:val="00473C36"/>
    <w:rsid w:val="00474BC9"/>
    <w:rsid w:val="00474D14"/>
    <w:rsid w:val="0047716F"/>
    <w:rsid w:val="0047718A"/>
    <w:rsid w:val="004774C7"/>
    <w:rsid w:val="00477FEA"/>
    <w:rsid w:val="00480369"/>
    <w:rsid w:val="00481695"/>
    <w:rsid w:val="0048281A"/>
    <w:rsid w:val="00485A0E"/>
    <w:rsid w:val="00486A9D"/>
    <w:rsid w:val="0049240D"/>
    <w:rsid w:val="004929E7"/>
    <w:rsid w:val="00494596"/>
    <w:rsid w:val="004948A2"/>
    <w:rsid w:val="00495897"/>
    <w:rsid w:val="004959BF"/>
    <w:rsid w:val="00495A96"/>
    <w:rsid w:val="00495BB3"/>
    <w:rsid w:val="00496A5F"/>
    <w:rsid w:val="004971B1"/>
    <w:rsid w:val="004A15F6"/>
    <w:rsid w:val="004A1E30"/>
    <w:rsid w:val="004A2B97"/>
    <w:rsid w:val="004A3531"/>
    <w:rsid w:val="004A3A6D"/>
    <w:rsid w:val="004A3D4E"/>
    <w:rsid w:val="004A4487"/>
    <w:rsid w:val="004A56BB"/>
    <w:rsid w:val="004A5CD1"/>
    <w:rsid w:val="004A5CFD"/>
    <w:rsid w:val="004A5F18"/>
    <w:rsid w:val="004A6424"/>
    <w:rsid w:val="004A78C9"/>
    <w:rsid w:val="004B0628"/>
    <w:rsid w:val="004B070A"/>
    <w:rsid w:val="004B076D"/>
    <w:rsid w:val="004B0DA5"/>
    <w:rsid w:val="004B0E9E"/>
    <w:rsid w:val="004B1751"/>
    <w:rsid w:val="004B2667"/>
    <w:rsid w:val="004B33BA"/>
    <w:rsid w:val="004B441C"/>
    <w:rsid w:val="004B4469"/>
    <w:rsid w:val="004B596D"/>
    <w:rsid w:val="004B6968"/>
    <w:rsid w:val="004C0253"/>
    <w:rsid w:val="004C0480"/>
    <w:rsid w:val="004C0B1C"/>
    <w:rsid w:val="004C16D3"/>
    <w:rsid w:val="004C1900"/>
    <w:rsid w:val="004C21DD"/>
    <w:rsid w:val="004C274F"/>
    <w:rsid w:val="004C5636"/>
    <w:rsid w:val="004C5759"/>
    <w:rsid w:val="004C68DB"/>
    <w:rsid w:val="004C73A2"/>
    <w:rsid w:val="004C77F0"/>
    <w:rsid w:val="004D0ACE"/>
    <w:rsid w:val="004D1271"/>
    <w:rsid w:val="004D1579"/>
    <w:rsid w:val="004D1740"/>
    <w:rsid w:val="004D27E5"/>
    <w:rsid w:val="004D2DB6"/>
    <w:rsid w:val="004D3002"/>
    <w:rsid w:val="004D36CC"/>
    <w:rsid w:val="004D445A"/>
    <w:rsid w:val="004D48F2"/>
    <w:rsid w:val="004D523D"/>
    <w:rsid w:val="004D56FF"/>
    <w:rsid w:val="004D5783"/>
    <w:rsid w:val="004D5A04"/>
    <w:rsid w:val="004D69BD"/>
    <w:rsid w:val="004D7ACA"/>
    <w:rsid w:val="004E07A5"/>
    <w:rsid w:val="004E2E6B"/>
    <w:rsid w:val="004E39D3"/>
    <w:rsid w:val="004E508A"/>
    <w:rsid w:val="004E542C"/>
    <w:rsid w:val="004E616D"/>
    <w:rsid w:val="004E6D09"/>
    <w:rsid w:val="004E718C"/>
    <w:rsid w:val="004F0538"/>
    <w:rsid w:val="004F0649"/>
    <w:rsid w:val="004F085F"/>
    <w:rsid w:val="004F134E"/>
    <w:rsid w:val="004F1BDE"/>
    <w:rsid w:val="004F1DCF"/>
    <w:rsid w:val="004F2308"/>
    <w:rsid w:val="004F2CEE"/>
    <w:rsid w:val="004F3569"/>
    <w:rsid w:val="004F3847"/>
    <w:rsid w:val="004F396D"/>
    <w:rsid w:val="004F556E"/>
    <w:rsid w:val="004F591C"/>
    <w:rsid w:val="004F61B2"/>
    <w:rsid w:val="004F7CE6"/>
    <w:rsid w:val="004F7F44"/>
    <w:rsid w:val="00500CA9"/>
    <w:rsid w:val="0050136B"/>
    <w:rsid w:val="0050331D"/>
    <w:rsid w:val="005037B4"/>
    <w:rsid w:val="00505220"/>
    <w:rsid w:val="00506445"/>
    <w:rsid w:val="00507166"/>
    <w:rsid w:val="005079BF"/>
    <w:rsid w:val="00507E17"/>
    <w:rsid w:val="0051214E"/>
    <w:rsid w:val="0051269A"/>
    <w:rsid w:val="00512E83"/>
    <w:rsid w:val="0051330D"/>
    <w:rsid w:val="0051334E"/>
    <w:rsid w:val="005155A5"/>
    <w:rsid w:val="00515FE3"/>
    <w:rsid w:val="005219E7"/>
    <w:rsid w:val="005220CA"/>
    <w:rsid w:val="00523C97"/>
    <w:rsid w:val="00524B4B"/>
    <w:rsid w:val="00524E1A"/>
    <w:rsid w:val="00525FAF"/>
    <w:rsid w:val="0052630C"/>
    <w:rsid w:val="005264D1"/>
    <w:rsid w:val="00526BA0"/>
    <w:rsid w:val="00526E55"/>
    <w:rsid w:val="00526EA6"/>
    <w:rsid w:val="00527562"/>
    <w:rsid w:val="00530459"/>
    <w:rsid w:val="00530571"/>
    <w:rsid w:val="00531B9A"/>
    <w:rsid w:val="00531D15"/>
    <w:rsid w:val="00533101"/>
    <w:rsid w:val="00534FC0"/>
    <w:rsid w:val="00537604"/>
    <w:rsid w:val="00540206"/>
    <w:rsid w:val="00541088"/>
    <w:rsid w:val="005411E8"/>
    <w:rsid w:val="005419AF"/>
    <w:rsid w:val="00542377"/>
    <w:rsid w:val="005423FA"/>
    <w:rsid w:val="00542456"/>
    <w:rsid w:val="005456DA"/>
    <w:rsid w:val="00546CDB"/>
    <w:rsid w:val="005476EB"/>
    <w:rsid w:val="00550426"/>
    <w:rsid w:val="00550A2B"/>
    <w:rsid w:val="00550F18"/>
    <w:rsid w:val="00551782"/>
    <w:rsid w:val="0055423A"/>
    <w:rsid w:val="00554DCE"/>
    <w:rsid w:val="00555123"/>
    <w:rsid w:val="00555328"/>
    <w:rsid w:val="005572EE"/>
    <w:rsid w:val="005603F4"/>
    <w:rsid w:val="00560546"/>
    <w:rsid w:val="00560802"/>
    <w:rsid w:val="00562711"/>
    <w:rsid w:val="00563EF1"/>
    <w:rsid w:val="00564144"/>
    <w:rsid w:val="00564763"/>
    <w:rsid w:val="00564B18"/>
    <w:rsid w:val="005659DD"/>
    <w:rsid w:val="00565FE2"/>
    <w:rsid w:val="00566450"/>
    <w:rsid w:val="00566AB4"/>
    <w:rsid w:val="00567056"/>
    <w:rsid w:val="00570757"/>
    <w:rsid w:val="005718A6"/>
    <w:rsid w:val="00572081"/>
    <w:rsid w:val="00572B93"/>
    <w:rsid w:val="00572E7B"/>
    <w:rsid w:val="00573522"/>
    <w:rsid w:val="0057466B"/>
    <w:rsid w:val="00575011"/>
    <w:rsid w:val="00575175"/>
    <w:rsid w:val="00575AC5"/>
    <w:rsid w:val="00575F9E"/>
    <w:rsid w:val="0057605D"/>
    <w:rsid w:val="00576178"/>
    <w:rsid w:val="005762BB"/>
    <w:rsid w:val="00576463"/>
    <w:rsid w:val="00576B2F"/>
    <w:rsid w:val="0057712F"/>
    <w:rsid w:val="00577FC4"/>
    <w:rsid w:val="005812C3"/>
    <w:rsid w:val="00581347"/>
    <w:rsid w:val="00581AC9"/>
    <w:rsid w:val="00583DDA"/>
    <w:rsid w:val="005842AE"/>
    <w:rsid w:val="005849C4"/>
    <w:rsid w:val="005849F8"/>
    <w:rsid w:val="00584CB9"/>
    <w:rsid w:val="0058556D"/>
    <w:rsid w:val="005865D8"/>
    <w:rsid w:val="0058696A"/>
    <w:rsid w:val="0058761C"/>
    <w:rsid w:val="00590189"/>
    <w:rsid w:val="005906CE"/>
    <w:rsid w:val="0059129F"/>
    <w:rsid w:val="00592A8E"/>
    <w:rsid w:val="00592C90"/>
    <w:rsid w:val="00592C9B"/>
    <w:rsid w:val="00592DC3"/>
    <w:rsid w:val="0059328D"/>
    <w:rsid w:val="005938DF"/>
    <w:rsid w:val="00594685"/>
    <w:rsid w:val="00594C68"/>
    <w:rsid w:val="00594E9C"/>
    <w:rsid w:val="00595503"/>
    <w:rsid w:val="00596819"/>
    <w:rsid w:val="00596ADB"/>
    <w:rsid w:val="00596E78"/>
    <w:rsid w:val="0059729E"/>
    <w:rsid w:val="005A099B"/>
    <w:rsid w:val="005A0EAA"/>
    <w:rsid w:val="005A139E"/>
    <w:rsid w:val="005A1C2A"/>
    <w:rsid w:val="005A2D9C"/>
    <w:rsid w:val="005A37D6"/>
    <w:rsid w:val="005A3B58"/>
    <w:rsid w:val="005A55FE"/>
    <w:rsid w:val="005A5847"/>
    <w:rsid w:val="005A6A11"/>
    <w:rsid w:val="005A7F58"/>
    <w:rsid w:val="005B03E6"/>
    <w:rsid w:val="005B09D5"/>
    <w:rsid w:val="005B0CC5"/>
    <w:rsid w:val="005B0FF7"/>
    <w:rsid w:val="005B2389"/>
    <w:rsid w:val="005B53E4"/>
    <w:rsid w:val="005B54A8"/>
    <w:rsid w:val="005B5C10"/>
    <w:rsid w:val="005B60AF"/>
    <w:rsid w:val="005B6594"/>
    <w:rsid w:val="005B7F74"/>
    <w:rsid w:val="005C0384"/>
    <w:rsid w:val="005C03E3"/>
    <w:rsid w:val="005C0788"/>
    <w:rsid w:val="005C0CEF"/>
    <w:rsid w:val="005C0FEE"/>
    <w:rsid w:val="005C1D40"/>
    <w:rsid w:val="005C33C6"/>
    <w:rsid w:val="005C46C6"/>
    <w:rsid w:val="005C5F58"/>
    <w:rsid w:val="005C67AC"/>
    <w:rsid w:val="005C718E"/>
    <w:rsid w:val="005D18BF"/>
    <w:rsid w:val="005D2502"/>
    <w:rsid w:val="005D29D1"/>
    <w:rsid w:val="005D3490"/>
    <w:rsid w:val="005D3912"/>
    <w:rsid w:val="005D40BB"/>
    <w:rsid w:val="005D47F3"/>
    <w:rsid w:val="005D49BF"/>
    <w:rsid w:val="005D4AA5"/>
    <w:rsid w:val="005D6DCD"/>
    <w:rsid w:val="005D6F4E"/>
    <w:rsid w:val="005D7B6E"/>
    <w:rsid w:val="005D7C73"/>
    <w:rsid w:val="005E11EA"/>
    <w:rsid w:val="005E2A49"/>
    <w:rsid w:val="005E3ACD"/>
    <w:rsid w:val="005E3C58"/>
    <w:rsid w:val="005E40C1"/>
    <w:rsid w:val="005E6853"/>
    <w:rsid w:val="005E7226"/>
    <w:rsid w:val="005E7245"/>
    <w:rsid w:val="005E7A57"/>
    <w:rsid w:val="005F01EE"/>
    <w:rsid w:val="005F039D"/>
    <w:rsid w:val="005F0937"/>
    <w:rsid w:val="005F0C54"/>
    <w:rsid w:val="005F0E6A"/>
    <w:rsid w:val="005F24B0"/>
    <w:rsid w:val="005F24EE"/>
    <w:rsid w:val="005F251E"/>
    <w:rsid w:val="005F2663"/>
    <w:rsid w:val="005F2B70"/>
    <w:rsid w:val="005F39D7"/>
    <w:rsid w:val="005F482A"/>
    <w:rsid w:val="005F6655"/>
    <w:rsid w:val="005F6948"/>
    <w:rsid w:val="006009FC"/>
    <w:rsid w:val="00600B6A"/>
    <w:rsid w:val="00601A4F"/>
    <w:rsid w:val="006038BF"/>
    <w:rsid w:val="0060429E"/>
    <w:rsid w:val="00604315"/>
    <w:rsid w:val="0060441E"/>
    <w:rsid w:val="00604E26"/>
    <w:rsid w:val="006052CF"/>
    <w:rsid w:val="00606D83"/>
    <w:rsid w:val="00607B8D"/>
    <w:rsid w:val="00607F2C"/>
    <w:rsid w:val="00610F9A"/>
    <w:rsid w:val="00611F5C"/>
    <w:rsid w:val="00614279"/>
    <w:rsid w:val="00616757"/>
    <w:rsid w:val="00616E09"/>
    <w:rsid w:val="006173B9"/>
    <w:rsid w:val="00617EFE"/>
    <w:rsid w:val="00621882"/>
    <w:rsid w:val="0062226E"/>
    <w:rsid w:val="00622A3B"/>
    <w:rsid w:val="00622EEA"/>
    <w:rsid w:val="0062313F"/>
    <w:rsid w:val="0062396C"/>
    <w:rsid w:val="00623FF9"/>
    <w:rsid w:val="006244B7"/>
    <w:rsid w:val="00624BCD"/>
    <w:rsid w:val="00627CFB"/>
    <w:rsid w:val="00627D4E"/>
    <w:rsid w:val="0063094A"/>
    <w:rsid w:val="00631161"/>
    <w:rsid w:val="00631E12"/>
    <w:rsid w:val="00632B89"/>
    <w:rsid w:val="00632FFF"/>
    <w:rsid w:val="006331F3"/>
    <w:rsid w:val="00633E45"/>
    <w:rsid w:val="00634137"/>
    <w:rsid w:val="00634478"/>
    <w:rsid w:val="00634C12"/>
    <w:rsid w:val="00635522"/>
    <w:rsid w:val="00637446"/>
    <w:rsid w:val="00637598"/>
    <w:rsid w:val="00640CF4"/>
    <w:rsid w:val="00640FDC"/>
    <w:rsid w:val="00641A30"/>
    <w:rsid w:val="00641B7E"/>
    <w:rsid w:val="00642EE8"/>
    <w:rsid w:val="006434FF"/>
    <w:rsid w:val="006442CF"/>
    <w:rsid w:val="00644373"/>
    <w:rsid w:val="00644B45"/>
    <w:rsid w:val="00645189"/>
    <w:rsid w:val="00645915"/>
    <w:rsid w:val="00646BD5"/>
    <w:rsid w:val="00646DA9"/>
    <w:rsid w:val="006474EA"/>
    <w:rsid w:val="00647A78"/>
    <w:rsid w:val="00650120"/>
    <w:rsid w:val="0065107D"/>
    <w:rsid w:val="00651357"/>
    <w:rsid w:val="006519C3"/>
    <w:rsid w:val="00651AB1"/>
    <w:rsid w:val="00651C99"/>
    <w:rsid w:val="00651FCE"/>
    <w:rsid w:val="00652B30"/>
    <w:rsid w:val="006546A3"/>
    <w:rsid w:val="006551AB"/>
    <w:rsid w:val="006551D3"/>
    <w:rsid w:val="0065597A"/>
    <w:rsid w:val="00655D0E"/>
    <w:rsid w:val="006561F4"/>
    <w:rsid w:val="00656345"/>
    <w:rsid w:val="00656DC6"/>
    <w:rsid w:val="00657146"/>
    <w:rsid w:val="006573C6"/>
    <w:rsid w:val="00660084"/>
    <w:rsid w:val="00660EC6"/>
    <w:rsid w:val="00661BC9"/>
    <w:rsid w:val="00662FE1"/>
    <w:rsid w:val="0066323C"/>
    <w:rsid w:val="00664110"/>
    <w:rsid w:val="00664D17"/>
    <w:rsid w:val="00666520"/>
    <w:rsid w:val="00667037"/>
    <w:rsid w:val="00667C5B"/>
    <w:rsid w:val="00667D3A"/>
    <w:rsid w:val="00667D87"/>
    <w:rsid w:val="0067292F"/>
    <w:rsid w:val="0067361F"/>
    <w:rsid w:val="00673E5C"/>
    <w:rsid w:val="00676360"/>
    <w:rsid w:val="006765CF"/>
    <w:rsid w:val="006767B9"/>
    <w:rsid w:val="006813BD"/>
    <w:rsid w:val="006846BB"/>
    <w:rsid w:val="00684961"/>
    <w:rsid w:val="00684968"/>
    <w:rsid w:val="00685989"/>
    <w:rsid w:val="00685A25"/>
    <w:rsid w:val="00685F42"/>
    <w:rsid w:val="00687117"/>
    <w:rsid w:val="00687505"/>
    <w:rsid w:val="00687990"/>
    <w:rsid w:val="00690774"/>
    <w:rsid w:val="00690D35"/>
    <w:rsid w:val="0069128C"/>
    <w:rsid w:val="006915DB"/>
    <w:rsid w:val="00691EB8"/>
    <w:rsid w:val="00692CDE"/>
    <w:rsid w:val="00693073"/>
    <w:rsid w:val="0069332A"/>
    <w:rsid w:val="00693627"/>
    <w:rsid w:val="006946C8"/>
    <w:rsid w:val="0069470E"/>
    <w:rsid w:val="006953D1"/>
    <w:rsid w:val="00695985"/>
    <w:rsid w:val="00696620"/>
    <w:rsid w:val="006977FF"/>
    <w:rsid w:val="006A01FA"/>
    <w:rsid w:val="006A0340"/>
    <w:rsid w:val="006A0DFB"/>
    <w:rsid w:val="006A0E9E"/>
    <w:rsid w:val="006A0EFB"/>
    <w:rsid w:val="006A25C7"/>
    <w:rsid w:val="006A497E"/>
    <w:rsid w:val="006A4AAD"/>
    <w:rsid w:val="006A6775"/>
    <w:rsid w:val="006A6DA2"/>
    <w:rsid w:val="006A7AB2"/>
    <w:rsid w:val="006A7D71"/>
    <w:rsid w:val="006B1255"/>
    <w:rsid w:val="006B167C"/>
    <w:rsid w:val="006B1919"/>
    <w:rsid w:val="006B3064"/>
    <w:rsid w:val="006B3169"/>
    <w:rsid w:val="006B5717"/>
    <w:rsid w:val="006B582F"/>
    <w:rsid w:val="006B789F"/>
    <w:rsid w:val="006C0700"/>
    <w:rsid w:val="006C0CEB"/>
    <w:rsid w:val="006C1F28"/>
    <w:rsid w:val="006C20CA"/>
    <w:rsid w:val="006C226C"/>
    <w:rsid w:val="006C23A1"/>
    <w:rsid w:val="006C28CD"/>
    <w:rsid w:val="006C31A8"/>
    <w:rsid w:val="006C3B1E"/>
    <w:rsid w:val="006C3E00"/>
    <w:rsid w:val="006C47FD"/>
    <w:rsid w:val="006C5C19"/>
    <w:rsid w:val="006C644D"/>
    <w:rsid w:val="006C6972"/>
    <w:rsid w:val="006C6C94"/>
    <w:rsid w:val="006C6D7F"/>
    <w:rsid w:val="006C70A0"/>
    <w:rsid w:val="006C71C3"/>
    <w:rsid w:val="006C76C4"/>
    <w:rsid w:val="006C7D11"/>
    <w:rsid w:val="006D0670"/>
    <w:rsid w:val="006D11D6"/>
    <w:rsid w:val="006D2014"/>
    <w:rsid w:val="006D2730"/>
    <w:rsid w:val="006D27CB"/>
    <w:rsid w:val="006D2F08"/>
    <w:rsid w:val="006D37C2"/>
    <w:rsid w:val="006D4873"/>
    <w:rsid w:val="006D4B9E"/>
    <w:rsid w:val="006D576C"/>
    <w:rsid w:val="006D5865"/>
    <w:rsid w:val="006D7455"/>
    <w:rsid w:val="006D7D66"/>
    <w:rsid w:val="006D7E7E"/>
    <w:rsid w:val="006D7F9D"/>
    <w:rsid w:val="006E0DC8"/>
    <w:rsid w:val="006E2276"/>
    <w:rsid w:val="006E2897"/>
    <w:rsid w:val="006E4B1B"/>
    <w:rsid w:val="006E5156"/>
    <w:rsid w:val="006E5445"/>
    <w:rsid w:val="006E5D46"/>
    <w:rsid w:val="006E6EA1"/>
    <w:rsid w:val="006E7044"/>
    <w:rsid w:val="006E7D93"/>
    <w:rsid w:val="006F11D5"/>
    <w:rsid w:val="006F1882"/>
    <w:rsid w:val="006F1A2D"/>
    <w:rsid w:val="006F2949"/>
    <w:rsid w:val="006F2C70"/>
    <w:rsid w:val="006F301F"/>
    <w:rsid w:val="006F4542"/>
    <w:rsid w:val="006F52B0"/>
    <w:rsid w:val="006F7985"/>
    <w:rsid w:val="006F7AF0"/>
    <w:rsid w:val="0070013F"/>
    <w:rsid w:val="0070051B"/>
    <w:rsid w:val="007007E7"/>
    <w:rsid w:val="00700C6F"/>
    <w:rsid w:val="00700E9B"/>
    <w:rsid w:val="00701876"/>
    <w:rsid w:val="007029A3"/>
    <w:rsid w:val="007049A0"/>
    <w:rsid w:val="00704E05"/>
    <w:rsid w:val="00706429"/>
    <w:rsid w:val="00706E4E"/>
    <w:rsid w:val="007071DA"/>
    <w:rsid w:val="007075CB"/>
    <w:rsid w:val="00707605"/>
    <w:rsid w:val="0070791C"/>
    <w:rsid w:val="007108CE"/>
    <w:rsid w:val="007111C4"/>
    <w:rsid w:val="00711833"/>
    <w:rsid w:val="00711A8B"/>
    <w:rsid w:val="0071383C"/>
    <w:rsid w:val="007141A7"/>
    <w:rsid w:val="007142DA"/>
    <w:rsid w:val="00715084"/>
    <w:rsid w:val="00715722"/>
    <w:rsid w:val="00716A8B"/>
    <w:rsid w:val="00716F4C"/>
    <w:rsid w:val="00720703"/>
    <w:rsid w:val="0072087F"/>
    <w:rsid w:val="00720CFE"/>
    <w:rsid w:val="00720EA6"/>
    <w:rsid w:val="00721032"/>
    <w:rsid w:val="00721143"/>
    <w:rsid w:val="00721B55"/>
    <w:rsid w:val="00723B34"/>
    <w:rsid w:val="007240B6"/>
    <w:rsid w:val="0072568B"/>
    <w:rsid w:val="00725DF9"/>
    <w:rsid w:val="00726212"/>
    <w:rsid w:val="00726CE4"/>
    <w:rsid w:val="00727E1A"/>
    <w:rsid w:val="00730364"/>
    <w:rsid w:val="007304BD"/>
    <w:rsid w:val="00730E78"/>
    <w:rsid w:val="007319C2"/>
    <w:rsid w:val="00731D1D"/>
    <w:rsid w:val="007332C7"/>
    <w:rsid w:val="007335E2"/>
    <w:rsid w:val="00733809"/>
    <w:rsid w:val="00733A1E"/>
    <w:rsid w:val="00734143"/>
    <w:rsid w:val="00735543"/>
    <w:rsid w:val="007356E0"/>
    <w:rsid w:val="0073574D"/>
    <w:rsid w:val="00735D59"/>
    <w:rsid w:val="00735E60"/>
    <w:rsid w:val="00736925"/>
    <w:rsid w:val="00736C59"/>
    <w:rsid w:val="00736FBA"/>
    <w:rsid w:val="00737A27"/>
    <w:rsid w:val="00737E47"/>
    <w:rsid w:val="007402B7"/>
    <w:rsid w:val="00740A64"/>
    <w:rsid w:val="00740EAC"/>
    <w:rsid w:val="00742205"/>
    <w:rsid w:val="00742910"/>
    <w:rsid w:val="00744527"/>
    <w:rsid w:val="00744956"/>
    <w:rsid w:val="00745A5C"/>
    <w:rsid w:val="0074605F"/>
    <w:rsid w:val="00746765"/>
    <w:rsid w:val="00746923"/>
    <w:rsid w:val="00747E94"/>
    <w:rsid w:val="00750E7F"/>
    <w:rsid w:val="00751E23"/>
    <w:rsid w:val="00753A35"/>
    <w:rsid w:val="00754C83"/>
    <w:rsid w:val="00755783"/>
    <w:rsid w:val="007573F6"/>
    <w:rsid w:val="00757908"/>
    <w:rsid w:val="00757994"/>
    <w:rsid w:val="007579AD"/>
    <w:rsid w:val="00757B76"/>
    <w:rsid w:val="00757C8C"/>
    <w:rsid w:val="00757F18"/>
    <w:rsid w:val="00760CC8"/>
    <w:rsid w:val="00762145"/>
    <w:rsid w:val="007636FD"/>
    <w:rsid w:val="00763A61"/>
    <w:rsid w:val="00764EFE"/>
    <w:rsid w:val="007654BB"/>
    <w:rsid w:val="00765DF8"/>
    <w:rsid w:val="00766749"/>
    <w:rsid w:val="00767BFA"/>
    <w:rsid w:val="00767C1B"/>
    <w:rsid w:val="007714A9"/>
    <w:rsid w:val="007730B9"/>
    <w:rsid w:val="00773DC1"/>
    <w:rsid w:val="007740AB"/>
    <w:rsid w:val="007740F0"/>
    <w:rsid w:val="007741FC"/>
    <w:rsid w:val="00774F88"/>
    <w:rsid w:val="00774FDB"/>
    <w:rsid w:val="00775955"/>
    <w:rsid w:val="00775CB7"/>
    <w:rsid w:val="0077659E"/>
    <w:rsid w:val="00777604"/>
    <w:rsid w:val="00777BA2"/>
    <w:rsid w:val="00781408"/>
    <w:rsid w:val="00781599"/>
    <w:rsid w:val="00782046"/>
    <w:rsid w:val="007822B6"/>
    <w:rsid w:val="00782AF5"/>
    <w:rsid w:val="007842A5"/>
    <w:rsid w:val="00784F7F"/>
    <w:rsid w:val="0078585E"/>
    <w:rsid w:val="00785F2D"/>
    <w:rsid w:val="007878BD"/>
    <w:rsid w:val="00787E4F"/>
    <w:rsid w:val="007900C1"/>
    <w:rsid w:val="007909B6"/>
    <w:rsid w:val="00791085"/>
    <w:rsid w:val="00791BFE"/>
    <w:rsid w:val="00791C95"/>
    <w:rsid w:val="00791F84"/>
    <w:rsid w:val="00792592"/>
    <w:rsid w:val="00792CDA"/>
    <w:rsid w:val="00796F25"/>
    <w:rsid w:val="00797815"/>
    <w:rsid w:val="007A0150"/>
    <w:rsid w:val="007A072F"/>
    <w:rsid w:val="007A146A"/>
    <w:rsid w:val="007A1D7F"/>
    <w:rsid w:val="007A2C99"/>
    <w:rsid w:val="007A2E98"/>
    <w:rsid w:val="007A3BA3"/>
    <w:rsid w:val="007A45C8"/>
    <w:rsid w:val="007A4973"/>
    <w:rsid w:val="007A4C63"/>
    <w:rsid w:val="007A5896"/>
    <w:rsid w:val="007A5A8F"/>
    <w:rsid w:val="007A6350"/>
    <w:rsid w:val="007A6BA9"/>
    <w:rsid w:val="007A6CC0"/>
    <w:rsid w:val="007A72ED"/>
    <w:rsid w:val="007A7FEC"/>
    <w:rsid w:val="007B0B3D"/>
    <w:rsid w:val="007B0CA7"/>
    <w:rsid w:val="007B1499"/>
    <w:rsid w:val="007B1BBF"/>
    <w:rsid w:val="007B2960"/>
    <w:rsid w:val="007B29E4"/>
    <w:rsid w:val="007B355D"/>
    <w:rsid w:val="007B4579"/>
    <w:rsid w:val="007B5154"/>
    <w:rsid w:val="007B72DD"/>
    <w:rsid w:val="007B7934"/>
    <w:rsid w:val="007B7980"/>
    <w:rsid w:val="007B7EA1"/>
    <w:rsid w:val="007C0C58"/>
    <w:rsid w:val="007C0DEF"/>
    <w:rsid w:val="007C0F49"/>
    <w:rsid w:val="007C17E4"/>
    <w:rsid w:val="007C1882"/>
    <w:rsid w:val="007C1A2F"/>
    <w:rsid w:val="007C2908"/>
    <w:rsid w:val="007C37B1"/>
    <w:rsid w:val="007C3EAD"/>
    <w:rsid w:val="007C42CA"/>
    <w:rsid w:val="007C4EF2"/>
    <w:rsid w:val="007C58E2"/>
    <w:rsid w:val="007C5D5A"/>
    <w:rsid w:val="007C5E41"/>
    <w:rsid w:val="007C607F"/>
    <w:rsid w:val="007C7260"/>
    <w:rsid w:val="007C7842"/>
    <w:rsid w:val="007C79DD"/>
    <w:rsid w:val="007D1900"/>
    <w:rsid w:val="007D1A97"/>
    <w:rsid w:val="007D22AE"/>
    <w:rsid w:val="007D2CD6"/>
    <w:rsid w:val="007D3063"/>
    <w:rsid w:val="007D380B"/>
    <w:rsid w:val="007D3CEB"/>
    <w:rsid w:val="007D40BC"/>
    <w:rsid w:val="007D4572"/>
    <w:rsid w:val="007D49DA"/>
    <w:rsid w:val="007D60DD"/>
    <w:rsid w:val="007D6B39"/>
    <w:rsid w:val="007D7609"/>
    <w:rsid w:val="007E0A0D"/>
    <w:rsid w:val="007E0A48"/>
    <w:rsid w:val="007E1C0B"/>
    <w:rsid w:val="007E1C41"/>
    <w:rsid w:val="007E1F91"/>
    <w:rsid w:val="007E225A"/>
    <w:rsid w:val="007E2305"/>
    <w:rsid w:val="007E3133"/>
    <w:rsid w:val="007E3381"/>
    <w:rsid w:val="007E3BB9"/>
    <w:rsid w:val="007E4589"/>
    <w:rsid w:val="007E54E2"/>
    <w:rsid w:val="007E5AFF"/>
    <w:rsid w:val="007E5EF0"/>
    <w:rsid w:val="007E5F1B"/>
    <w:rsid w:val="007E67DC"/>
    <w:rsid w:val="007E7683"/>
    <w:rsid w:val="007E7DD9"/>
    <w:rsid w:val="007F05DE"/>
    <w:rsid w:val="007F0B00"/>
    <w:rsid w:val="007F2F6D"/>
    <w:rsid w:val="007F3664"/>
    <w:rsid w:val="007F3C39"/>
    <w:rsid w:val="007F49FA"/>
    <w:rsid w:val="007F4AC5"/>
    <w:rsid w:val="007F4B0E"/>
    <w:rsid w:val="007F4E64"/>
    <w:rsid w:val="007F54C4"/>
    <w:rsid w:val="007F67A4"/>
    <w:rsid w:val="007F6E9A"/>
    <w:rsid w:val="007F739A"/>
    <w:rsid w:val="007F7757"/>
    <w:rsid w:val="007F77D8"/>
    <w:rsid w:val="007F7AB1"/>
    <w:rsid w:val="0080024F"/>
    <w:rsid w:val="00800426"/>
    <w:rsid w:val="00800CF3"/>
    <w:rsid w:val="00801D59"/>
    <w:rsid w:val="008024D0"/>
    <w:rsid w:val="00802643"/>
    <w:rsid w:val="00802C5D"/>
    <w:rsid w:val="0080346E"/>
    <w:rsid w:val="00803C76"/>
    <w:rsid w:val="00803CEA"/>
    <w:rsid w:val="008044D4"/>
    <w:rsid w:val="00804E45"/>
    <w:rsid w:val="0080586D"/>
    <w:rsid w:val="00805B10"/>
    <w:rsid w:val="0080611F"/>
    <w:rsid w:val="00806313"/>
    <w:rsid w:val="00806A5D"/>
    <w:rsid w:val="00807FF8"/>
    <w:rsid w:val="00810818"/>
    <w:rsid w:val="008108BF"/>
    <w:rsid w:val="00810AB4"/>
    <w:rsid w:val="008110B8"/>
    <w:rsid w:val="00812C8F"/>
    <w:rsid w:val="0081370C"/>
    <w:rsid w:val="008146B9"/>
    <w:rsid w:val="0081697F"/>
    <w:rsid w:val="00816AD2"/>
    <w:rsid w:val="00817991"/>
    <w:rsid w:val="00817B56"/>
    <w:rsid w:val="00817E5D"/>
    <w:rsid w:val="00821355"/>
    <w:rsid w:val="00821A88"/>
    <w:rsid w:val="00822412"/>
    <w:rsid w:val="00823506"/>
    <w:rsid w:val="00823B00"/>
    <w:rsid w:val="008240C7"/>
    <w:rsid w:val="0082414F"/>
    <w:rsid w:val="0082495D"/>
    <w:rsid w:val="00824E2C"/>
    <w:rsid w:val="008264F1"/>
    <w:rsid w:val="0082702D"/>
    <w:rsid w:val="00830BD3"/>
    <w:rsid w:val="00830F44"/>
    <w:rsid w:val="00831478"/>
    <w:rsid w:val="00831AC3"/>
    <w:rsid w:val="00832821"/>
    <w:rsid w:val="00833D44"/>
    <w:rsid w:val="008344C4"/>
    <w:rsid w:val="008344D5"/>
    <w:rsid w:val="00835785"/>
    <w:rsid w:val="00835CFD"/>
    <w:rsid w:val="00835FED"/>
    <w:rsid w:val="008367E0"/>
    <w:rsid w:val="00837063"/>
    <w:rsid w:val="00840285"/>
    <w:rsid w:val="008408FF"/>
    <w:rsid w:val="008413FB"/>
    <w:rsid w:val="00842992"/>
    <w:rsid w:val="00842D30"/>
    <w:rsid w:val="0084308F"/>
    <w:rsid w:val="00843556"/>
    <w:rsid w:val="0084365C"/>
    <w:rsid w:val="00843A40"/>
    <w:rsid w:val="00843CEA"/>
    <w:rsid w:val="0084455E"/>
    <w:rsid w:val="0084487F"/>
    <w:rsid w:val="00845CA6"/>
    <w:rsid w:val="00846181"/>
    <w:rsid w:val="00846216"/>
    <w:rsid w:val="00846477"/>
    <w:rsid w:val="00846AB1"/>
    <w:rsid w:val="008473B0"/>
    <w:rsid w:val="008478A2"/>
    <w:rsid w:val="00847F08"/>
    <w:rsid w:val="0085089F"/>
    <w:rsid w:val="00850A90"/>
    <w:rsid w:val="00850CB8"/>
    <w:rsid w:val="00851286"/>
    <w:rsid w:val="00851B8D"/>
    <w:rsid w:val="00851F3F"/>
    <w:rsid w:val="0085350A"/>
    <w:rsid w:val="00854A73"/>
    <w:rsid w:val="008564F0"/>
    <w:rsid w:val="00856EDC"/>
    <w:rsid w:val="008623B5"/>
    <w:rsid w:val="008644A0"/>
    <w:rsid w:val="0086469E"/>
    <w:rsid w:val="00866E47"/>
    <w:rsid w:val="00867836"/>
    <w:rsid w:val="00867AD6"/>
    <w:rsid w:val="008700F4"/>
    <w:rsid w:val="00870ABA"/>
    <w:rsid w:val="008710E1"/>
    <w:rsid w:val="008710FE"/>
    <w:rsid w:val="008716E5"/>
    <w:rsid w:val="0087319C"/>
    <w:rsid w:val="0087413F"/>
    <w:rsid w:val="008757B2"/>
    <w:rsid w:val="00876708"/>
    <w:rsid w:val="00877415"/>
    <w:rsid w:val="0087779C"/>
    <w:rsid w:val="00881CA9"/>
    <w:rsid w:val="00881D54"/>
    <w:rsid w:val="00881F02"/>
    <w:rsid w:val="00882784"/>
    <w:rsid w:val="00883628"/>
    <w:rsid w:val="00884DD0"/>
    <w:rsid w:val="00885265"/>
    <w:rsid w:val="00885493"/>
    <w:rsid w:val="00885544"/>
    <w:rsid w:val="0088634E"/>
    <w:rsid w:val="00886772"/>
    <w:rsid w:val="008877E4"/>
    <w:rsid w:val="00887BEB"/>
    <w:rsid w:val="008911DA"/>
    <w:rsid w:val="00891EBF"/>
    <w:rsid w:val="008921CD"/>
    <w:rsid w:val="008924E3"/>
    <w:rsid w:val="00892C5F"/>
    <w:rsid w:val="0089333C"/>
    <w:rsid w:val="00893AB8"/>
    <w:rsid w:val="00893B5A"/>
    <w:rsid w:val="008947C2"/>
    <w:rsid w:val="008954D0"/>
    <w:rsid w:val="008957FE"/>
    <w:rsid w:val="008972A5"/>
    <w:rsid w:val="008A04C8"/>
    <w:rsid w:val="008A0723"/>
    <w:rsid w:val="008A09B7"/>
    <w:rsid w:val="008A1DAF"/>
    <w:rsid w:val="008A1EC3"/>
    <w:rsid w:val="008A2C32"/>
    <w:rsid w:val="008A30E3"/>
    <w:rsid w:val="008A3422"/>
    <w:rsid w:val="008A4D18"/>
    <w:rsid w:val="008A5E64"/>
    <w:rsid w:val="008A6913"/>
    <w:rsid w:val="008B0EAF"/>
    <w:rsid w:val="008B0EFA"/>
    <w:rsid w:val="008B143A"/>
    <w:rsid w:val="008B1CBE"/>
    <w:rsid w:val="008B2FC5"/>
    <w:rsid w:val="008B3357"/>
    <w:rsid w:val="008B3847"/>
    <w:rsid w:val="008B3C5A"/>
    <w:rsid w:val="008B3D2A"/>
    <w:rsid w:val="008B61E0"/>
    <w:rsid w:val="008B69D7"/>
    <w:rsid w:val="008B6D1B"/>
    <w:rsid w:val="008B6D1E"/>
    <w:rsid w:val="008B6E2D"/>
    <w:rsid w:val="008B70F3"/>
    <w:rsid w:val="008B71C4"/>
    <w:rsid w:val="008B7457"/>
    <w:rsid w:val="008B76DF"/>
    <w:rsid w:val="008C0157"/>
    <w:rsid w:val="008C02A2"/>
    <w:rsid w:val="008C10F4"/>
    <w:rsid w:val="008C490E"/>
    <w:rsid w:val="008C5D95"/>
    <w:rsid w:val="008C5F53"/>
    <w:rsid w:val="008C65F7"/>
    <w:rsid w:val="008C6EC7"/>
    <w:rsid w:val="008C7CEA"/>
    <w:rsid w:val="008C7DF2"/>
    <w:rsid w:val="008D12EB"/>
    <w:rsid w:val="008D2DA9"/>
    <w:rsid w:val="008D4C16"/>
    <w:rsid w:val="008D592C"/>
    <w:rsid w:val="008D5FD2"/>
    <w:rsid w:val="008D629A"/>
    <w:rsid w:val="008D65F7"/>
    <w:rsid w:val="008D6789"/>
    <w:rsid w:val="008D7294"/>
    <w:rsid w:val="008D7A7E"/>
    <w:rsid w:val="008E01E2"/>
    <w:rsid w:val="008E0C6C"/>
    <w:rsid w:val="008E2FF5"/>
    <w:rsid w:val="008E311D"/>
    <w:rsid w:val="008E3A1F"/>
    <w:rsid w:val="008E41A5"/>
    <w:rsid w:val="008E4767"/>
    <w:rsid w:val="008E5A13"/>
    <w:rsid w:val="008E5DA4"/>
    <w:rsid w:val="008E6854"/>
    <w:rsid w:val="008E7867"/>
    <w:rsid w:val="008E7A8C"/>
    <w:rsid w:val="008F1353"/>
    <w:rsid w:val="008F1388"/>
    <w:rsid w:val="008F1454"/>
    <w:rsid w:val="008F2DDD"/>
    <w:rsid w:val="008F31B4"/>
    <w:rsid w:val="008F365F"/>
    <w:rsid w:val="008F4AA6"/>
    <w:rsid w:val="008F4AB1"/>
    <w:rsid w:val="008F51D9"/>
    <w:rsid w:val="008F6FE0"/>
    <w:rsid w:val="008F74A8"/>
    <w:rsid w:val="008F7945"/>
    <w:rsid w:val="00900863"/>
    <w:rsid w:val="009008AC"/>
    <w:rsid w:val="00900BA2"/>
    <w:rsid w:val="009019F1"/>
    <w:rsid w:val="00901C5F"/>
    <w:rsid w:val="00902CD3"/>
    <w:rsid w:val="00903285"/>
    <w:rsid w:val="009035F3"/>
    <w:rsid w:val="0090374A"/>
    <w:rsid w:val="00904613"/>
    <w:rsid w:val="00904CA3"/>
    <w:rsid w:val="0090537A"/>
    <w:rsid w:val="00905FDC"/>
    <w:rsid w:val="009061BE"/>
    <w:rsid w:val="009068C2"/>
    <w:rsid w:val="00906A02"/>
    <w:rsid w:val="00906F40"/>
    <w:rsid w:val="0090731E"/>
    <w:rsid w:val="00910BBA"/>
    <w:rsid w:val="00910CB1"/>
    <w:rsid w:val="009117AA"/>
    <w:rsid w:val="009129F4"/>
    <w:rsid w:val="00912AA7"/>
    <w:rsid w:val="00913E1D"/>
    <w:rsid w:val="009140F4"/>
    <w:rsid w:val="009156E8"/>
    <w:rsid w:val="009156F0"/>
    <w:rsid w:val="00915AEC"/>
    <w:rsid w:val="00915B1C"/>
    <w:rsid w:val="00915B98"/>
    <w:rsid w:val="009174F3"/>
    <w:rsid w:val="0091797D"/>
    <w:rsid w:val="00917DF1"/>
    <w:rsid w:val="0092135B"/>
    <w:rsid w:val="00921C42"/>
    <w:rsid w:val="00922DA3"/>
    <w:rsid w:val="009231D5"/>
    <w:rsid w:val="00923621"/>
    <w:rsid w:val="00923793"/>
    <w:rsid w:val="00923CBA"/>
    <w:rsid w:val="00924075"/>
    <w:rsid w:val="009240F6"/>
    <w:rsid w:val="00924BD6"/>
    <w:rsid w:val="00924E07"/>
    <w:rsid w:val="009250DA"/>
    <w:rsid w:val="0092648F"/>
    <w:rsid w:val="00926703"/>
    <w:rsid w:val="00927691"/>
    <w:rsid w:val="00927A5F"/>
    <w:rsid w:val="00930AE7"/>
    <w:rsid w:val="00931748"/>
    <w:rsid w:val="00931C59"/>
    <w:rsid w:val="00931D1A"/>
    <w:rsid w:val="009349CF"/>
    <w:rsid w:val="0093505D"/>
    <w:rsid w:val="00935065"/>
    <w:rsid w:val="00935B63"/>
    <w:rsid w:val="009366D6"/>
    <w:rsid w:val="0094077A"/>
    <w:rsid w:val="0094078F"/>
    <w:rsid w:val="00940FA3"/>
    <w:rsid w:val="009410C9"/>
    <w:rsid w:val="0094123C"/>
    <w:rsid w:val="00941562"/>
    <w:rsid w:val="009415DA"/>
    <w:rsid w:val="00941FB0"/>
    <w:rsid w:val="00942199"/>
    <w:rsid w:val="0094269E"/>
    <w:rsid w:val="009426D4"/>
    <w:rsid w:val="00943592"/>
    <w:rsid w:val="00943A29"/>
    <w:rsid w:val="00944284"/>
    <w:rsid w:val="00945A53"/>
    <w:rsid w:val="009468DF"/>
    <w:rsid w:val="00946957"/>
    <w:rsid w:val="009472DA"/>
    <w:rsid w:val="009478E8"/>
    <w:rsid w:val="00947F25"/>
    <w:rsid w:val="00950159"/>
    <w:rsid w:val="0095032A"/>
    <w:rsid w:val="00952620"/>
    <w:rsid w:val="0095367B"/>
    <w:rsid w:val="00953E2B"/>
    <w:rsid w:val="0095490B"/>
    <w:rsid w:val="009579E2"/>
    <w:rsid w:val="009603F5"/>
    <w:rsid w:val="00960A33"/>
    <w:rsid w:val="00960F0C"/>
    <w:rsid w:val="00961875"/>
    <w:rsid w:val="00962786"/>
    <w:rsid w:val="00963358"/>
    <w:rsid w:val="00963D2A"/>
    <w:rsid w:val="009645EF"/>
    <w:rsid w:val="009645F8"/>
    <w:rsid w:val="0096649A"/>
    <w:rsid w:val="00966EEC"/>
    <w:rsid w:val="00970210"/>
    <w:rsid w:val="009704D2"/>
    <w:rsid w:val="00970703"/>
    <w:rsid w:val="00970D71"/>
    <w:rsid w:val="00971914"/>
    <w:rsid w:val="0097245B"/>
    <w:rsid w:val="00974363"/>
    <w:rsid w:val="00974B59"/>
    <w:rsid w:val="00974C23"/>
    <w:rsid w:val="00975492"/>
    <w:rsid w:val="0097551E"/>
    <w:rsid w:val="009757F1"/>
    <w:rsid w:val="009759AF"/>
    <w:rsid w:val="00975F0B"/>
    <w:rsid w:val="00977279"/>
    <w:rsid w:val="009778D1"/>
    <w:rsid w:val="00980039"/>
    <w:rsid w:val="00981203"/>
    <w:rsid w:val="00981898"/>
    <w:rsid w:val="00981EE2"/>
    <w:rsid w:val="00984EA4"/>
    <w:rsid w:val="00990762"/>
    <w:rsid w:val="009912EC"/>
    <w:rsid w:val="0099237A"/>
    <w:rsid w:val="0099577C"/>
    <w:rsid w:val="0099709F"/>
    <w:rsid w:val="009976FF"/>
    <w:rsid w:val="009A06D3"/>
    <w:rsid w:val="009A13B1"/>
    <w:rsid w:val="009A1411"/>
    <w:rsid w:val="009A15B1"/>
    <w:rsid w:val="009A26FF"/>
    <w:rsid w:val="009A3FDE"/>
    <w:rsid w:val="009A62DC"/>
    <w:rsid w:val="009A6B49"/>
    <w:rsid w:val="009A760C"/>
    <w:rsid w:val="009A7828"/>
    <w:rsid w:val="009B02CA"/>
    <w:rsid w:val="009B22D2"/>
    <w:rsid w:val="009B2601"/>
    <w:rsid w:val="009B2748"/>
    <w:rsid w:val="009B3C56"/>
    <w:rsid w:val="009B3D5A"/>
    <w:rsid w:val="009B3FA7"/>
    <w:rsid w:val="009B43E1"/>
    <w:rsid w:val="009B4E9E"/>
    <w:rsid w:val="009B6951"/>
    <w:rsid w:val="009B7081"/>
    <w:rsid w:val="009B7685"/>
    <w:rsid w:val="009B7878"/>
    <w:rsid w:val="009B7BB7"/>
    <w:rsid w:val="009C13B9"/>
    <w:rsid w:val="009C1690"/>
    <w:rsid w:val="009C1BC8"/>
    <w:rsid w:val="009C1E9C"/>
    <w:rsid w:val="009C2D80"/>
    <w:rsid w:val="009C3176"/>
    <w:rsid w:val="009C3552"/>
    <w:rsid w:val="009C3EDD"/>
    <w:rsid w:val="009C6824"/>
    <w:rsid w:val="009C6881"/>
    <w:rsid w:val="009C763B"/>
    <w:rsid w:val="009C773F"/>
    <w:rsid w:val="009C7759"/>
    <w:rsid w:val="009C77A1"/>
    <w:rsid w:val="009D0004"/>
    <w:rsid w:val="009D02D1"/>
    <w:rsid w:val="009D043D"/>
    <w:rsid w:val="009D04CF"/>
    <w:rsid w:val="009D07C8"/>
    <w:rsid w:val="009D0EDA"/>
    <w:rsid w:val="009D280C"/>
    <w:rsid w:val="009D3E2D"/>
    <w:rsid w:val="009D540A"/>
    <w:rsid w:val="009D5F1A"/>
    <w:rsid w:val="009D6C71"/>
    <w:rsid w:val="009D7391"/>
    <w:rsid w:val="009D7883"/>
    <w:rsid w:val="009D7C4C"/>
    <w:rsid w:val="009D7F72"/>
    <w:rsid w:val="009E0631"/>
    <w:rsid w:val="009E081D"/>
    <w:rsid w:val="009E13DD"/>
    <w:rsid w:val="009E16D0"/>
    <w:rsid w:val="009E1E41"/>
    <w:rsid w:val="009E1F26"/>
    <w:rsid w:val="009E22B1"/>
    <w:rsid w:val="009E2A06"/>
    <w:rsid w:val="009E2B0B"/>
    <w:rsid w:val="009E2BE1"/>
    <w:rsid w:val="009E38FD"/>
    <w:rsid w:val="009E402E"/>
    <w:rsid w:val="009E4626"/>
    <w:rsid w:val="009E4775"/>
    <w:rsid w:val="009E540E"/>
    <w:rsid w:val="009E6536"/>
    <w:rsid w:val="009E7C67"/>
    <w:rsid w:val="009F08DC"/>
    <w:rsid w:val="009F13D6"/>
    <w:rsid w:val="009F26CB"/>
    <w:rsid w:val="009F2FC2"/>
    <w:rsid w:val="009F38C6"/>
    <w:rsid w:val="009F4372"/>
    <w:rsid w:val="009F4C6B"/>
    <w:rsid w:val="009F4E38"/>
    <w:rsid w:val="009F6A73"/>
    <w:rsid w:val="009F6B3B"/>
    <w:rsid w:val="009F7184"/>
    <w:rsid w:val="009F74FC"/>
    <w:rsid w:val="009F78A8"/>
    <w:rsid w:val="009F7FD4"/>
    <w:rsid w:val="00A007F5"/>
    <w:rsid w:val="00A0157B"/>
    <w:rsid w:val="00A0210B"/>
    <w:rsid w:val="00A02AD6"/>
    <w:rsid w:val="00A031F5"/>
    <w:rsid w:val="00A05993"/>
    <w:rsid w:val="00A05E0D"/>
    <w:rsid w:val="00A0670B"/>
    <w:rsid w:val="00A07096"/>
    <w:rsid w:val="00A072FB"/>
    <w:rsid w:val="00A07318"/>
    <w:rsid w:val="00A106FE"/>
    <w:rsid w:val="00A11370"/>
    <w:rsid w:val="00A1158A"/>
    <w:rsid w:val="00A131D8"/>
    <w:rsid w:val="00A13DC0"/>
    <w:rsid w:val="00A14C3E"/>
    <w:rsid w:val="00A14F6B"/>
    <w:rsid w:val="00A1526F"/>
    <w:rsid w:val="00A1595E"/>
    <w:rsid w:val="00A15C0C"/>
    <w:rsid w:val="00A21724"/>
    <w:rsid w:val="00A219C0"/>
    <w:rsid w:val="00A224CE"/>
    <w:rsid w:val="00A22522"/>
    <w:rsid w:val="00A23857"/>
    <w:rsid w:val="00A24875"/>
    <w:rsid w:val="00A24AFD"/>
    <w:rsid w:val="00A24D7F"/>
    <w:rsid w:val="00A24E26"/>
    <w:rsid w:val="00A24F5C"/>
    <w:rsid w:val="00A274F9"/>
    <w:rsid w:val="00A278A2"/>
    <w:rsid w:val="00A279D3"/>
    <w:rsid w:val="00A30377"/>
    <w:rsid w:val="00A3189E"/>
    <w:rsid w:val="00A31FC8"/>
    <w:rsid w:val="00A32324"/>
    <w:rsid w:val="00A32F96"/>
    <w:rsid w:val="00A330FF"/>
    <w:rsid w:val="00A3501B"/>
    <w:rsid w:val="00A35F27"/>
    <w:rsid w:val="00A365B3"/>
    <w:rsid w:val="00A36DD2"/>
    <w:rsid w:val="00A37805"/>
    <w:rsid w:val="00A37E4A"/>
    <w:rsid w:val="00A405E0"/>
    <w:rsid w:val="00A40871"/>
    <w:rsid w:val="00A412AB"/>
    <w:rsid w:val="00A4193E"/>
    <w:rsid w:val="00A419B4"/>
    <w:rsid w:val="00A424EF"/>
    <w:rsid w:val="00A42948"/>
    <w:rsid w:val="00A440E0"/>
    <w:rsid w:val="00A442EF"/>
    <w:rsid w:val="00A44455"/>
    <w:rsid w:val="00A455FD"/>
    <w:rsid w:val="00A47EF0"/>
    <w:rsid w:val="00A5003B"/>
    <w:rsid w:val="00A512B9"/>
    <w:rsid w:val="00A51C67"/>
    <w:rsid w:val="00A51D1A"/>
    <w:rsid w:val="00A526BB"/>
    <w:rsid w:val="00A5414E"/>
    <w:rsid w:val="00A5416F"/>
    <w:rsid w:val="00A5418D"/>
    <w:rsid w:val="00A5461E"/>
    <w:rsid w:val="00A5474E"/>
    <w:rsid w:val="00A55A90"/>
    <w:rsid w:val="00A578BE"/>
    <w:rsid w:val="00A606AA"/>
    <w:rsid w:val="00A607EA"/>
    <w:rsid w:val="00A60C19"/>
    <w:rsid w:val="00A610DD"/>
    <w:rsid w:val="00A6173A"/>
    <w:rsid w:val="00A61D65"/>
    <w:rsid w:val="00A624E2"/>
    <w:rsid w:val="00A6288A"/>
    <w:rsid w:val="00A63C20"/>
    <w:rsid w:val="00A64234"/>
    <w:rsid w:val="00A64BDE"/>
    <w:rsid w:val="00A64F6B"/>
    <w:rsid w:val="00A6782F"/>
    <w:rsid w:val="00A67DC2"/>
    <w:rsid w:val="00A70595"/>
    <w:rsid w:val="00A70ADF"/>
    <w:rsid w:val="00A71466"/>
    <w:rsid w:val="00A71DC5"/>
    <w:rsid w:val="00A722CB"/>
    <w:rsid w:val="00A73C68"/>
    <w:rsid w:val="00A74188"/>
    <w:rsid w:val="00A74B2A"/>
    <w:rsid w:val="00A74B5E"/>
    <w:rsid w:val="00A74CC4"/>
    <w:rsid w:val="00A74FC1"/>
    <w:rsid w:val="00A7524C"/>
    <w:rsid w:val="00A80417"/>
    <w:rsid w:val="00A80ABF"/>
    <w:rsid w:val="00A81076"/>
    <w:rsid w:val="00A81BED"/>
    <w:rsid w:val="00A81EC4"/>
    <w:rsid w:val="00A82914"/>
    <w:rsid w:val="00A846DE"/>
    <w:rsid w:val="00A85904"/>
    <w:rsid w:val="00A861F2"/>
    <w:rsid w:val="00A86310"/>
    <w:rsid w:val="00A86552"/>
    <w:rsid w:val="00A87ECB"/>
    <w:rsid w:val="00A919E3"/>
    <w:rsid w:val="00A91E89"/>
    <w:rsid w:val="00A92FEC"/>
    <w:rsid w:val="00A96745"/>
    <w:rsid w:val="00A967FD"/>
    <w:rsid w:val="00A96B66"/>
    <w:rsid w:val="00A97A90"/>
    <w:rsid w:val="00A97AFA"/>
    <w:rsid w:val="00AA0230"/>
    <w:rsid w:val="00AA2EC2"/>
    <w:rsid w:val="00AA5D0C"/>
    <w:rsid w:val="00AA6ACE"/>
    <w:rsid w:val="00AA7431"/>
    <w:rsid w:val="00AA7D03"/>
    <w:rsid w:val="00AB017F"/>
    <w:rsid w:val="00AB0439"/>
    <w:rsid w:val="00AB0716"/>
    <w:rsid w:val="00AB0AEC"/>
    <w:rsid w:val="00AB156C"/>
    <w:rsid w:val="00AB2F2F"/>
    <w:rsid w:val="00AB4043"/>
    <w:rsid w:val="00AB40D2"/>
    <w:rsid w:val="00AB467F"/>
    <w:rsid w:val="00AB5433"/>
    <w:rsid w:val="00AB592F"/>
    <w:rsid w:val="00AB6814"/>
    <w:rsid w:val="00AB7EAF"/>
    <w:rsid w:val="00AC0376"/>
    <w:rsid w:val="00AC03F1"/>
    <w:rsid w:val="00AC04BA"/>
    <w:rsid w:val="00AC0A37"/>
    <w:rsid w:val="00AC0E39"/>
    <w:rsid w:val="00AC10DF"/>
    <w:rsid w:val="00AC1302"/>
    <w:rsid w:val="00AC220F"/>
    <w:rsid w:val="00AC254B"/>
    <w:rsid w:val="00AC33D8"/>
    <w:rsid w:val="00AC4090"/>
    <w:rsid w:val="00AC415C"/>
    <w:rsid w:val="00AC4E5C"/>
    <w:rsid w:val="00AC5B94"/>
    <w:rsid w:val="00AC5D1B"/>
    <w:rsid w:val="00AD030C"/>
    <w:rsid w:val="00AD0567"/>
    <w:rsid w:val="00AD292A"/>
    <w:rsid w:val="00AD3082"/>
    <w:rsid w:val="00AD32B4"/>
    <w:rsid w:val="00AD33C6"/>
    <w:rsid w:val="00AD476A"/>
    <w:rsid w:val="00AD4AD0"/>
    <w:rsid w:val="00AD4AD4"/>
    <w:rsid w:val="00AD4C24"/>
    <w:rsid w:val="00AD5436"/>
    <w:rsid w:val="00AD60CD"/>
    <w:rsid w:val="00AD6C17"/>
    <w:rsid w:val="00AD6C8C"/>
    <w:rsid w:val="00AE02B6"/>
    <w:rsid w:val="00AE091D"/>
    <w:rsid w:val="00AE3B60"/>
    <w:rsid w:val="00AE4565"/>
    <w:rsid w:val="00AE53A1"/>
    <w:rsid w:val="00AE53FB"/>
    <w:rsid w:val="00AE57FB"/>
    <w:rsid w:val="00AE742B"/>
    <w:rsid w:val="00AE7AD2"/>
    <w:rsid w:val="00AE7B14"/>
    <w:rsid w:val="00AE7CAC"/>
    <w:rsid w:val="00AF047E"/>
    <w:rsid w:val="00AF1118"/>
    <w:rsid w:val="00AF1C9F"/>
    <w:rsid w:val="00AF20D0"/>
    <w:rsid w:val="00AF2484"/>
    <w:rsid w:val="00AF305F"/>
    <w:rsid w:val="00AF3E10"/>
    <w:rsid w:val="00AF53B1"/>
    <w:rsid w:val="00AF63E7"/>
    <w:rsid w:val="00AF6BE9"/>
    <w:rsid w:val="00AF6E17"/>
    <w:rsid w:val="00B00B6F"/>
    <w:rsid w:val="00B00E5A"/>
    <w:rsid w:val="00B010B7"/>
    <w:rsid w:val="00B013D1"/>
    <w:rsid w:val="00B0165D"/>
    <w:rsid w:val="00B01B60"/>
    <w:rsid w:val="00B023A4"/>
    <w:rsid w:val="00B027C0"/>
    <w:rsid w:val="00B031F3"/>
    <w:rsid w:val="00B048D0"/>
    <w:rsid w:val="00B052A4"/>
    <w:rsid w:val="00B060DF"/>
    <w:rsid w:val="00B06CC0"/>
    <w:rsid w:val="00B07385"/>
    <w:rsid w:val="00B10A77"/>
    <w:rsid w:val="00B12369"/>
    <w:rsid w:val="00B125DE"/>
    <w:rsid w:val="00B138E1"/>
    <w:rsid w:val="00B13991"/>
    <w:rsid w:val="00B13FDD"/>
    <w:rsid w:val="00B14E2C"/>
    <w:rsid w:val="00B150D1"/>
    <w:rsid w:val="00B15435"/>
    <w:rsid w:val="00B1547A"/>
    <w:rsid w:val="00B15590"/>
    <w:rsid w:val="00B161B2"/>
    <w:rsid w:val="00B16321"/>
    <w:rsid w:val="00B16CA2"/>
    <w:rsid w:val="00B17130"/>
    <w:rsid w:val="00B20472"/>
    <w:rsid w:val="00B20C2C"/>
    <w:rsid w:val="00B22464"/>
    <w:rsid w:val="00B22EB2"/>
    <w:rsid w:val="00B2368D"/>
    <w:rsid w:val="00B2539C"/>
    <w:rsid w:val="00B25828"/>
    <w:rsid w:val="00B26268"/>
    <w:rsid w:val="00B26B02"/>
    <w:rsid w:val="00B27442"/>
    <w:rsid w:val="00B278A7"/>
    <w:rsid w:val="00B30377"/>
    <w:rsid w:val="00B31167"/>
    <w:rsid w:val="00B316E0"/>
    <w:rsid w:val="00B329D8"/>
    <w:rsid w:val="00B32BB9"/>
    <w:rsid w:val="00B32C5B"/>
    <w:rsid w:val="00B336A5"/>
    <w:rsid w:val="00B33AE1"/>
    <w:rsid w:val="00B34CE8"/>
    <w:rsid w:val="00B35A38"/>
    <w:rsid w:val="00B35F07"/>
    <w:rsid w:val="00B363D2"/>
    <w:rsid w:val="00B36E4E"/>
    <w:rsid w:val="00B37530"/>
    <w:rsid w:val="00B37C38"/>
    <w:rsid w:val="00B40492"/>
    <w:rsid w:val="00B406AD"/>
    <w:rsid w:val="00B40CFC"/>
    <w:rsid w:val="00B40ED5"/>
    <w:rsid w:val="00B422A8"/>
    <w:rsid w:val="00B4288C"/>
    <w:rsid w:val="00B43262"/>
    <w:rsid w:val="00B437BA"/>
    <w:rsid w:val="00B43E20"/>
    <w:rsid w:val="00B44100"/>
    <w:rsid w:val="00B44461"/>
    <w:rsid w:val="00B45265"/>
    <w:rsid w:val="00B458C0"/>
    <w:rsid w:val="00B46BD4"/>
    <w:rsid w:val="00B46CBA"/>
    <w:rsid w:val="00B46F94"/>
    <w:rsid w:val="00B47628"/>
    <w:rsid w:val="00B4767A"/>
    <w:rsid w:val="00B478FA"/>
    <w:rsid w:val="00B51AA2"/>
    <w:rsid w:val="00B52D15"/>
    <w:rsid w:val="00B5374A"/>
    <w:rsid w:val="00B538CA"/>
    <w:rsid w:val="00B570DD"/>
    <w:rsid w:val="00B57482"/>
    <w:rsid w:val="00B6003C"/>
    <w:rsid w:val="00B613B3"/>
    <w:rsid w:val="00B61F03"/>
    <w:rsid w:val="00B626E4"/>
    <w:rsid w:val="00B6383C"/>
    <w:rsid w:val="00B64B2E"/>
    <w:rsid w:val="00B6645F"/>
    <w:rsid w:val="00B66599"/>
    <w:rsid w:val="00B67132"/>
    <w:rsid w:val="00B67323"/>
    <w:rsid w:val="00B6753F"/>
    <w:rsid w:val="00B67803"/>
    <w:rsid w:val="00B67D1E"/>
    <w:rsid w:val="00B67F30"/>
    <w:rsid w:val="00B7061D"/>
    <w:rsid w:val="00B70994"/>
    <w:rsid w:val="00B71B9C"/>
    <w:rsid w:val="00B71BE8"/>
    <w:rsid w:val="00B71EFE"/>
    <w:rsid w:val="00B72CEE"/>
    <w:rsid w:val="00B72E9B"/>
    <w:rsid w:val="00B72F4A"/>
    <w:rsid w:val="00B73A12"/>
    <w:rsid w:val="00B755F5"/>
    <w:rsid w:val="00B77FCA"/>
    <w:rsid w:val="00B81FAB"/>
    <w:rsid w:val="00B8336F"/>
    <w:rsid w:val="00B83A17"/>
    <w:rsid w:val="00B83C27"/>
    <w:rsid w:val="00B842F2"/>
    <w:rsid w:val="00B84BC3"/>
    <w:rsid w:val="00B84BDD"/>
    <w:rsid w:val="00B85DBD"/>
    <w:rsid w:val="00B86078"/>
    <w:rsid w:val="00B86531"/>
    <w:rsid w:val="00B86564"/>
    <w:rsid w:val="00B90082"/>
    <w:rsid w:val="00B90FFA"/>
    <w:rsid w:val="00B91385"/>
    <w:rsid w:val="00B91763"/>
    <w:rsid w:val="00B92812"/>
    <w:rsid w:val="00B93684"/>
    <w:rsid w:val="00B937D6"/>
    <w:rsid w:val="00B9677B"/>
    <w:rsid w:val="00B96A69"/>
    <w:rsid w:val="00BA1B55"/>
    <w:rsid w:val="00BA201B"/>
    <w:rsid w:val="00BA2F3B"/>
    <w:rsid w:val="00BA3ACF"/>
    <w:rsid w:val="00BA4C05"/>
    <w:rsid w:val="00BA4C5D"/>
    <w:rsid w:val="00BA55AF"/>
    <w:rsid w:val="00BA577D"/>
    <w:rsid w:val="00BA6337"/>
    <w:rsid w:val="00BB05D6"/>
    <w:rsid w:val="00BB18D2"/>
    <w:rsid w:val="00BB1E73"/>
    <w:rsid w:val="00BB24CC"/>
    <w:rsid w:val="00BB25A4"/>
    <w:rsid w:val="00BB2CB6"/>
    <w:rsid w:val="00BB2CE5"/>
    <w:rsid w:val="00BB3868"/>
    <w:rsid w:val="00BB3B4C"/>
    <w:rsid w:val="00BB3B60"/>
    <w:rsid w:val="00BB3D29"/>
    <w:rsid w:val="00BB45A1"/>
    <w:rsid w:val="00BB53BC"/>
    <w:rsid w:val="00BB53CE"/>
    <w:rsid w:val="00BB56CB"/>
    <w:rsid w:val="00BB7686"/>
    <w:rsid w:val="00BB7AA7"/>
    <w:rsid w:val="00BC033E"/>
    <w:rsid w:val="00BC0AA4"/>
    <w:rsid w:val="00BC0CBC"/>
    <w:rsid w:val="00BC1597"/>
    <w:rsid w:val="00BC17EC"/>
    <w:rsid w:val="00BC23F9"/>
    <w:rsid w:val="00BC2713"/>
    <w:rsid w:val="00BC3421"/>
    <w:rsid w:val="00BC3E9F"/>
    <w:rsid w:val="00BC4DC6"/>
    <w:rsid w:val="00BC6A89"/>
    <w:rsid w:val="00BC732C"/>
    <w:rsid w:val="00BC73FE"/>
    <w:rsid w:val="00BD046E"/>
    <w:rsid w:val="00BD0E57"/>
    <w:rsid w:val="00BD12F7"/>
    <w:rsid w:val="00BD164B"/>
    <w:rsid w:val="00BD1A2C"/>
    <w:rsid w:val="00BD26AE"/>
    <w:rsid w:val="00BD3308"/>
    <w:rsid w:val="00BD34C5"/>
    <w:rsid w:val="00BD3DB6"/>
    <w:rsid w:val="00BD50AB"/>
    <w:rsid w:val="00BD580A"/>
    <w:rsid w:val="00BD5C6E"/>
    <w:rsid w:val="00BD6B19"/>
    <w:rsid w:val="00BD7605"/>
    <w:rsid w:val="00BD7623"/>
    <w:rsid w:val="00BD7EA7"/>
    <w:rsid w:val="00BE0206"/>
    <w:rsid w:val="00BE107E"/>
    <w:rsid w:val="00BE2580"/>
    <w:rsid w:val="00BE266D"/>
    <w:rsid w:val="00BE2DA0"/>
    <w:rsid w:val="00BE2E3C"/>
    <w:rsid w:val="00BE3356"/>
    <w:rsid w:val="00BE3938"/>
    <w:rsid w:val="00BE4B1E"/>
    <w:rsid w:val="00BE4C11"/>
    <w:rsid w:val="00BE510F"/>
    <w:rsid w:val="00BE71C0"/>
    <w:rsid w:val="00BF0B81"/>
    <w:rsid w:val="00BF30FB"/>
    <w:rsid w:val="00BF3689"/>
    <w:rsid w:val="00BF3707"/>
    <w:rsid w:val="00BF379E"/>
    <w:rsid w:val="00BF380F"/>
    <w:rsid w:val="00BF405F"/>
    <w:rsid w:val="00BF4B8E"/>
    <w:rsid w:val="00BF610C"/>
    <w:rsid w:val="00BF645C"/>
    <w:rsid w:val="00BF6562"/>
    <w:rsid w:val="00BF6C73"/>
    <w:rsid w:val="00BF794B"/>
    <w:rsid w:val="00BF7BCB"/>
    <w:rsid w:val="00C0060B"/>
    <w:rsid w:val="00C0100E"/>
    <w:rsid w:val="00C0113F"/>
    <w:rsid w:val="00C011D8"/>
    <w:rsid w:val="00C01CA3"/>
    <w:rsid w:val="00C02765"/>
    <w:rsid w:val="00C0277D"/>
    <w:rsid w:val="00C039BB"/>
    <w:rsid w:val="00C03EF0"/>
    <w:rsid w:val="00C05388"/>
    <w:rsid w:val="00C053A1"/>
    <w:rsid w:val="00C053CB"/>
    <w:rsid w:val="00C0547C"/>
    <w:rsid w:val="00C0572D"/>
    <w:rsid w:val="00C06395"/>
    <w:rsid w:val="00C0649F"/>
    <w:rsid w:val="00C0652C"/>
    <w:rsid w:val="00C06984"/>
    <w:rsid w:val="00C07800"/>
    <w:rsid w:val="00C07BBF"/>
    <w:rsid w:val="00C10CB2"/>
    <w:rsid w:val="00C10DAA"/>
    <w:rsid w:val="00C11312"/>
    <w:rsid w:val="00C1189C"/>
    <w:rsid w:val="00C11D57"/>
    <w:rsid w:val="00C1217D"/>
    <w:rsid w:val="00C13AC6"/>
    <w:rsid w:val="00C16198"/>
    <w:rsid w:val="00C16437"/>
    <w:rsid w:val="00C16A7A"/>
    <w:rsid w:val="00C16CB3"/>
    <w:rsid w:val="00C16E16"/>
    <w:rsid w:val="00C17C85"/>
    <w:rsid w:val="00C2083D"/>
    <w:rsid w:val="00C20FF3"/>
    <w:rsid w:val="00C230A2"/>
    <w:rsid w:val="00C23390"/>
    <w:rsid w:val="00C239E2"/>
    <w:rsid w:val="00C243A4"/>
    <w:rsid w:val="00C24447"/>
    <w:rsid w:val="00C24A53"/>
    <w:rsid w:val="00C251B3"/>
    <w:rsid w:val="00C268A3"/>
    <w:rsid w:val="00C26D8B"/>
    <w:rsid w:val="00C273D4"/>
    <w:rsid w:val="00C30669"/>
    <w:rsid w:val="00C327F0"/>
    <w:rsid w:val="00C3288F"/>
    <w:rsid w:val="00C336A9"/>
    <w:rsid w:val="00C33BF1"/>
    <w:rsid w:val="00C33BFF"/>
    <w:rsid w:val="00C34A05"/>
    <w:rsid w:val="00C34C76"/>
    <w:rsid w:val="00C35018"/>
    <w:rsid w:val="00C3521A"/>
    <w:rsid w:val="00C357E5"/>
    <w:rsid w:val="00C35EA9"/>
    <w:rsid w:val="00C36A38"/>
    <w:rsid w:val="00C36FA7"/>
    <w:rsid w:val="00C4016D"/>
    <w:rsid w:val="00C4032F"/>
    <w:rsid w:val="00C40B75"/>
    <w:rsid w:val="00C40FA6"/>
    <w:rsid w:val="00C41A36"/>
    <w:rsid w:val="00C4240E"/>
    <w:rsid w:val="00C43EA3"/>
    <w:rsid w:val="00C44047"/>
    <w:rsid w:val="00C4430D"/>
    <w:rsid w:val="00C45155"/>
    <w:rsid w:val="00C45399"/>
    <w:rsid w:val="00C46F43"/>
    <w:rsid w:val="00C4721D"/>
    <w:rsid w:val="00C50A4B"/>
    <w:rsid w:val="00C50E71"/>
    <w:rsid w:val="00C541AF"/>
    <w:rsid w:val="00C5498F"/>
    <w:rsid w:val="00C549A9"/>
    <w:rsid w:val="00C54A07"/>
    <w:rsid w:val="00C55235"/>
    <w:rsid w:val="00C55A3C"/>
    <w:rsid w:val="00C56772"/>
    <w:rsid w:val="00C57A55"/>
    <w:rsid w:val="00C61317"/>
    <w:rsid w:val="00C61A43"/>
    <w:rsid w:val="00C61C4A"/>
    <w:rsid w:val="00C62ADA"/>
    <w:rsid w:val="00C64CD0"/>
    <w:rsid w:val="00C64D84"/>
    <w:rsid w:val="00C64F3A"/>
    <w:rsid w:val="00C6684F"/>
    <w:rsid w:val="00C67ACA"/>
    <w:rsid w:val="00C700BE"/>
    <w:rsid w:val="00C704BF"/>
    <w:rsid w:val="00C70706"/>
    <w:rsid w:val="00C70805"/>
    <w:rsid w:val="00C70E70"/>
    <w:rsid w:val="00C7231C"/>
    <w:rsid w:val="00C7348E"/>
    <w:rsid w:val="00C734DA"/>
    <w:rsid w:val="00C736DE"/>
    <w:rsid w:val="00C7527D"/>
    <w:rsid w:val="00C75E42"/>
    <w:rsid w:val="00C75F8D"/>
    <w:rsid w:val="00C7648C"/>
    <w:rsid w:val="00C76C70"/>
    <w:rsid w:val="00C76F14"/>
    <w:rsid w:val="00C77380"/>
    <w:rsid w:val="00C8035A"/>
    <w:rsid w:val="00C80B57"/>
    <w:rsid w:val="00C80BC6"/>
    <w:rsid w:val="00C81784"/>
    <w:rsid w:val="00C81822"/>
    <w:rsid w:val="00C82AB8"/>
    <w:rsid w:val="00C82AF9"/>
    <w:rsid w:val="00C82AFC"/>
    <w:rsid w:val="00C832C6"/>
    <w:rsid w:val="00C83C51"/>
    <w:rsid w:val="00C849A5"/>
    <w:rsid w:val="00C87AB4"/>
    <w:rsid w:val="00C9043D"/>
    <w:rsid w:val="00C90DF5"/>
    <w:rsid w:val="00C91485"/>
    <w:rsid w:val="00C917C2"/>
    <w:rsid w:val="00C924D6"/>
    <w:rsid w:val="00C927C0"/>
    <w:rsid w:val="00C92C61"/>
    <w:rsid w:val="00C9313F"/>
    <w:rsid w:val="00C94E90"/>
    <w:rsid w:val="00C96008"/>
    <w:rsid w:val="00C96A7F"/>
    <w:rsid w:val="00C9765F"/>
    <w:rsid w:val="00C97736"/>
    <w:rsid w:val="00C97BE8"/>
    <w:rsid w:val="00CA0500"/>
    <w:rsid w:val="00CA1BEC"/>
    <w:rsid w:val="00CA20E3"/>
    <w:rsid w:val="00CA21BF"/>
    <w:rsid w:val="00CA2A9C"/>
    <w:rsid w:val="00CA3269"/>
    <w:rsid w:val="00CA345A"/>
    <w:rsid w:val="00CA4060"/>
    <w:rsid w:val="00CA41E3"/>
    <w:rsid w:val="00CA4D7D"/>
    <w:rsid w:val="00CA6736"/>
    <w:rsid w:val="00CA7590"/>
    <w:rsid w:val="00CB1E82"/>
    <w:rsid w:val="00CB2338"/>
    <w:rsid w:val="00CB2703"/>
    <w:rsid w:val="00CB2C26"/>
    <w:rsid w:val="00CB3328"/>
    <w:rsid w:val="00CB3FC9"/>
    <w:rsid w:val="00CB489C"/>
    <w:rsid w:val="00CB4BA8"/>
    <w:rsid w:val="00CB52D7"/>
    <w:rsid w:val="00CB6987"/>
    <w:rsid w:val="00CB77A5"/>
    <w:rsid w:val="00CC00D7"/>
    <w:rsid w:val="00CC03F0"/>
    <w:rsid w:val="00CC0416"/>
    <w:rsid w:val="00CC1E96"/>
    <w:rsid w:val="00CC2C16"/>
    <w:rsid w:val="00CC2CC5"/>
    <w:rsid w:val="00CC476F"/>
    <w:rsid w:val="00CC4CD5"/>
    <w:rsid w:val="00CC4F1B"/>
    <w:rsid w:val="00CC512D"/>
    <w:rsid w:val="00CC58B6"/>
    <w:rsid w:val="00CC6732"/>
    <w:rsid w:val="00CC7F7B"/>
    <w:rsid w:val="00CD1408"/>
    <w:rsid w:val="00CD21F4"/>
    <w:rsid w:val="00CD2600"/>
    <w:rsid w:val="00CD26DD"/>
    <w:rsid w:val="00CD4082"/>
    <w:rsid w:val="00CD4249"/>
    <w:rsid w:val="00CD51DB"/>
    <w:rsid w:val="00CD5377"/>
    <w:rsid w:val="00CD5A74"/>
    <w:rsid w:val="00CD7C5E"/>
    <w:rsid w:val="00CE0180"/>
    <w:rsid w:val="00CE1524"/>
    <w:rsid w:val="00CE1D1A"/>
    <w:rsid w:val="00CE1D62"/>
    <w:rsid w:val="00CE3496"/>
    <w:rsid w:val="00CE3639"/>
    <w:rsid w:val="00CE38B7"/>
    <w:rsid w:val="00CE39B1"/>
    <w:rsid w:val="00CE3C72"/>
    <w:rsid w:val="00CE3C96"/>
    <w:rsid w:val="00CE4331"/>
    <w:rsid w:val="00CE4FB4"/>
    <w:rsid w:val="00CE51A8"/>
    <w:rsid w:val="00CE5569"/>
    <w:rsid w:val="00CE736F"/>
    <w:rsid w:val="00CF102D"/>
    <w:rsid w:val="00CF29F6"/>
    <w:rsid w:val="00CF2A6E"/>
    <w:rsid w:val="00CF2C1D"/>
    <w:rsid w:val="00CF369B"/>
    <w:rsid w:val="00CF37DE"/>
    <w:rsid w:val="00CF442C"/>
    <w:rsid w:val="00CF4794"/>
    <w:rsid w:val="00CF51FF"/>
    <w:rsid w:val="00CF6FE3"/>
    <w:rsid w:val="00D007D8"/>
    <w:rsid w:val="00D00E28"/>
    <w:rsid w:val="00D020C3"/>
    <w:rsid w:val="00D02333"/>
    <w:rsid w:val="00D0251D"/>
    <w:rsid w:val="00D0269E"/>
    <w:rsid w:val="00D03936"/>
    <w:rsid w:val="00D05406"/>
    <w:rsid w:val="00D05D34"/>
    <w:rsid w:val="00D05D6C"/>
    <w:rsid w:val="00D0635C"/>
    <w:rsid w:val="00D06CF7"/>
    <w:rsid w:val="00D11334"/>
    <w:rsid w:val="00D113EA"/>
    <w:rsid w:val="00D12AA8"/>
    <w:rsid w:val="00D13CAA"/>
    <w:rsid w:val="00D1435A"/>
    <w:rsid w:val="00D1469D"/>
    <w:rsid w:val="00D1549B"/>
    <w:rsid w:val="00D15810"/>
    <w:rsid w:val="00D15B1C"/>
    <w:rsid w:val="00D168E1"/>
    <w:rsid w:val="00D16D4E"/>
    <w:rsid w:val="00D16FE3"/>
    <w:rsid w:val="00D17AA9"/>
    <w:rsid w:val="00D17F84"/>
    <w:rsid w:val="00D2039A"/>
    <w:rsid w:val="00D20B60"/>
    <w:rsid w:val="00D21570"/>
    <w:rsid w:val="00D2336C"/>
    <w:rsid w:val="00D233CB"/>
    <w:rsid w:val="00D24FBA"/>
    <w:rsid w:val="00D25CB0"/>
    <w:rsid w:val="00D2605A"/>
    <w:rsid w:val="00D26534"/>
    <w:rsid w:val="00D2672B"/>
    <w:rsid w:val="00D2769F"/>
    <w:rsid w:val="00D27E8C"/>
    <w:rsid w:val="00D27F41"/>
    <w:rsid w:val="00D31D42"/>
    <w:rsid w:val="00D32223"/>
    <w:rsid w:val="00D32741"/>
    <w:rsid w:val="00D33C4D"/>
    <w:rsid w:val="00D33D99"/>
    <w:rsid w:val="00D33FAE"/>
    <w:rsid w:val="00D34197"/>
    <w:rsid w:val="00D35092"/>
    <w:rsid w:val="00D36441"/>
    <w:rsid w:val="00D4064E"/>
    <w:rsid w:val="00D40698"/>
    <w:rsid w:val="00D407C7"/>
    <w:rsid w:val="00D41514"/>
    <w:rsid w:val="00D4176D"/>
    <w:rsid w:val="00D421D2"/>
    <w:rsid w:val="00D4365E"/>
    <w:rsid w:val="00D440D0"/>
    <w:rsid w:val="00D4436E"/>
    <w:rsid w:val="00D447A6"/>
    <w:rsid w:val="00D44CBA"/>
    <w:rsid w:val="00D44E9B"/>
    <w:rsid w:val="00D46250"/>
    <w:rsid w:val="00D4640D"/>
    <w:rsid w:val="00D46831"/>
    <w:rsid w:val="00D470D6"/>
    <w:rsid w:val="00D47710"/>
    <w:rsid w:val="00D47AA1"/>
    <w:rsid w:val="00D47AEB"/>
    <w:rsid w:val="00D50DB9"/>
    <w:rsid w:val="00D5125D"/>
    <w:rsid w:val="00D51302"/>
    <w:rsid w:val="00D5155E"/>
    <w:rsid w:val="00D51631"/>
    <w:rsid w:val="00D52549"/>
    <w:rsid w:val="00D52C43"/>
    <w:rsid w:val="00D52F60"/>
    <w:rsid w:val="00D53283"/>
    <w:rsid w:val="00D5402A"/>
    <w:rsid w:val="00D547E6"/>
    <w:rsid w:val="00D55260"/>
    <w:rsid w:val="00D559D3"/>
    <w:rsid w:val="00D55A13"/>
    <w:rsid w:val="00D55AE8"/>
    <w:rsid w:val="00D56CAF"/>
    <w:rsid w:val="00D60BC3"/>
    <w:rsid w:val="00D62084"/>
    <w:rsid w:val="00D622B0"/>
    <w:rsid w:val="00D62EA4"/>
    <w:rsid w:val="00D63574"/>
    <w:rsid w:val="00D63988"/>
    <w:rsid w:val="00D63A50"/>
    <w:rsid w:val="00D6507F"/>
    <w:rsid w:val="00D671EB"/>
    <w:rsid w:val="00D67D36"/>
    <w:rsid w:val="00D7028D"/>
    <w:rsid w:val="00D703E9"/>
    <w:rsid w:val="00D704F4"/>
    <w:rsid w:val="00D70C31"/>
    <w:rsid w:val="00D7106A"/>
    <w:rsid w:val="00D710CF"/>
    <w:rsid w:val="00D730BC"/>
    <w:rsid w:val="00D7349D"/>
    <w:rsid w:val="00D73912"/>
    <w:rsid w:val="00D754E1"/>
    <w:rsid w:val="00D7637A"/>
    <w:rsid w:val="00D76597"/>
    <w:rsid w:val="00D80B66"/>
    <w:rsid w:val="00D81A15"/>
    <w:rsid w:val="00D830A3"/>
    <w:rsid w:val="00D84399"/>
    <w:rsid w:val="00D847A8"/>
    <w:rsid w:val="00D85226"/>
    <w:rsid w:val="00D8632D"/>
    <w:rsid w:val="00D87B94"/>
    <w:rsid w:val="00D907DC"/>
    <w:rsid w:val="00D909A5"/>
    <w:rsid w:val="00D92D49"/>
    <w:rsid w:val="00D92E8B"/>
    <w:rsid w:val="00D92EC1"/>
    <w:rsid w:val="00D92EF4"/>
    <w:rsid w:val="00D93606"/>
    <w:rsid w:val="00D93907"/>
    <w:rsid w:val="00D93A5E"/>
    <w:rsid w:val="00D95B5B"/>
    <w:rsid w:val="00D96DEA"/>
    <w:rsid w:val="00DA0235"/>
    <w:rsid w:val="00DA08B9"/>
    <w:rsid w:val="00DA3128"/>
    <w:rsid w:val="00DA3C8E"/>
    <w:rsid w:val="00DA4E41"/>
    <w:rsid w:val="00DA5A26"/>
    <w:rsid w:val="00DA60EB"/>
    <w:rsid w:val="00DA6457"/>
    <w:rsid w:val="00DA645A"/>
    <w:rsid w:val="00DA6E8A"/>
    <w:rsid w:val="00DA7314"/>
    <w:rsid w:val="00DA77CB"/>
    <w:rsid w:val="00DA794B"/>
    <w:rsid w:val="00DB0829"/>
    <w:rsid w:val="00DB093D"/>
    <w:rsid w:val="00DB117A"/>
    <w:rsid w:val="00DB280A"/>
    <w:rsid w:val="00DB3511"/>
    <w:rsid w:val="00DB37D9"/>
    <w:rsid w:val="00DB39EC"/>
    <w:rsid w:val="00DB4E32"/>
    <w:rsid w:val="00DB5173"/>
    <w:rsid w:val="00DB662B"/>
    <w:rsid w:val="00DB7873"/>
    <w:rsid w:val="00DB7FBB"/>
    <w:rsid w:val="00DC087F"/>
    <w:rsid w:val="00DC1424"/>
    <w:rsid w:val="00DC1762"/>
    <w:rsid w:val="00DC187B"/>
    <w:rsid w:val="00DC1CD6"/>
    <w:rsid w:val="00DC2A82"/>
    <w:rsid w:val="00DC31A0"/>
    <w:rsid w:val="00DC3733"/>
    <w:rsid w:val="00DC402B"/>
    <w:rsid w:val="00DC6A8B"/>
    <w:rsid w:val="00DC7ABD"/>
    <w:rsid w:val="00DC7F82"/>
    <w:rsid w:val="00DD109B"/>
    <w:rsid w:val="00DD1579"/>
    <w:rsid w:val="00DD15DA"/>
    <w:rsid w:val="00DD1D9E"/>
    <w:rsid w:val="00DD2826"/>
    <w:rsid w:val="00DD4574"/>
    <w:rsid w:val="00DD541D"/>
    <w:rsid w:val="00DD59BE"/>
    <w:rsid w:val="00DD5BB9"/>
    <w:rsid w:val="00DD63AA"/>
    <w:rsid w:val="00DD69C4"/>
    <w:rsid w:val="00DD73C2"/>
    <w:rsid w:val="00DE043A"/>
    <w:rsid w:val="00DE0503"/>
    <w:rsid w:val="00DE1DC0"/>
    <w:rsid w:val="00DE319B"/>
    <w:rsid w:val="00DE35B8"/>
    <w:rsid w:val="00DE59D4"/>
    <w:rsid w:val="00DE6D2B"/>
    <w:rsid w:val="00DE774D"/>
    <w:rsid w:val="00DF0199"/>
    <w:rsid w:val="00DF069F"/>
    <w:rsid w:val="00DF0DEF"/>
    <w:rsid w:val="00DF140C"/>
    <w:rsid w:val="00DF2D32"/>
    <w:rsid w:val="00DF3250"/>
    <w:rsid w:val="00DF34FE"/>
    <w:rsid w:val="00DF3FFF"/>
    <w:rsid w:val="00DF50DD"/>
    <w:rsid w:val="00DF56AA"/>
    <w:rsid w:val="00DF56AF"/>
    <w:rsid w:val="00DF6289"/>
    <w:rsid w:val="00DF62B8"/>
    <w:rsid w:val="00DF638E"/>
    <w:rsid w:val="00DF66E8"/>
    <w:rsid w:val="00DF6B30"/>
    <w:rsid w:val="00DF6F18"/>
    <w:rsid w:val="00DF78E7"/>
    <w:rsid w:val="00E00F7A"/>
    <w:rsid w:val="00E0197D"/>
    <w:rsid w:val="00E01F9D"/>
    <w:rsid w:val="00E058CD"/>
    <w:rsid w:val="00E05CF6"/>
    <w:rsid w:val="00E066E1"/>
    <w:rsid w:val="00E06AD3"/>
    <w:rsid w:val="00E1021E"/>
    <w:rsid w:val="00E110E0"/>
    <w:rsid w:val="00E11166"/>
    <w:rsid w:val="00E112B8"/>
    <w:rsid w:val="00E11C99"/>
    <w:rsid w:val="00E13AF6"/>
    <w:rsid w:val="00E14099"/>
    <w:rsid w:val="00E1475F"/>
    <w:rsid w:val="00E15371"/>
    <w:rsid w:val="00E204C0"/>
    <w:rsid w:val="00E2085A"/>
    <w:rsid w:val="00E208B6"/>
    <w:rsid w:val="00E212DB"/>
    <w:rsid w:val="00E21652"/>
    <w:rsid w:val="00E22029"/>
    <w:rsid w:val="00E22838"/>
    <w:rsid w:val="00E23A91"/>
    <w:rsid w:val="00E24104"/>
    <w:rsid w:val="00E242BA"/>
    <w:rsid w:val="00E243BA"/>
    <w:rsid w:val="00E24A5B"/>
    <w:rsid w:val="00E25DB7"/>
    <w:rsid w:val="00E262C7"/>
    <w:rsid w:val="00E26E32"/>
    <w:rsid w:val="00E27801"/>
    <w:rsid w:val="00E27901"/>
    <w:rsid w:val="00E302D0"/>
    <w:rsid w:val="00E31406"/>
    <w:rsid w:val="00E3182D"/>
    <w:rsid w:val="00E32548"/>
    <w:rsid w:val="00E34841"/>
    <w:rsid w:val="00E348A6"/>
    <w:rsid w:val="00E35402"/>
    <w:rsid w:val="00E35707"/>
    <w:rsid w:val="00E359BF"/>
    <w:rsid w:val="00E36AA1"/>
    <w:rsid w:val="00E36EBE"/>
    <w:rsid w:val="00E37402"/>
    <w:rsid w:val="00E37E87"/>
    <w:rsid w:val="00E41ECB"/>
    <w:rsid w:val="00E42219"/>
    <w:rsid w:val="00E425DA"/>
    <w:rsid w:val="00E42ED2"/>
    <w:rsid w:val="00E43764"/>
    <w:rsid w:val="00E439FE"/>
    <w:rsid w:val="00E43A65"/>
    <w:rsid w:val="00E478A5"/>
    <w:rsid w:val="00E507A7"/>
    <w:rsid w:val="00E50CEC"/>
    <w:rsid w:val="00E5127E"/>
    <w:rsid w:val="00E52189"/>
    <w:rsid w:val="00E54FDB"/>
    <w:rsid w:val="00E554D9"/>
    <w:rsid w:val="00E5617D"/>
    <w:rsid w:val="00E5620D"/>
    <w:rsid w:val="00E563D7"/>
    <w:rsid w:val="00E56B3F"/>
    <w:rsid w:val="00E56C76"/>
    <w:rsid w:val="00E57E19"/>
    <w:rsid w:val="00E57F77"/>
    <w:rsid w:val="00E60218"/>
    <w:rsid w:val="00E609AA"/>
    <w:rsid w:val="00E60FFA"/>
    <w:rsid w:val="00E619A0"/>
    <w:rsid w:val="00E61F46"/>
    <w:rsid w:val="00E62DF6"/>
    <w:rsid w:val="00E64804"/>
    <w:rsid w:val="00E663F4"/>
    <w:rsid w:val="00E666CA"/>
    <w:rsid w:val="00E666F2"/>
    <w:rsid w:val="00E66912"/>
    <w:rsid w:val="00E66DD4"/>
    <w:rsid w:val="00E67020"/>
    <w:rsid w:val="00E67988"/>
    <w:rsid w:val="00E679A9"/>
    <w:rsid w:val="00E719DC"/>
    <w:rsid w:val="00E727F2"/>
    <w:rsid w:val="00E728F1"/>
    <w:rsid w:val="00E72FCB"/>
    <w:rsid w:val="00E74814"/>
    <w:rsid w:val="00E748CC"/>
    <w:rsid w:val="00E75415"/>
    <w:rsid w:val="00E775B1"/>
    <w:rsid w:val="00E801DF"/>
    <w:rsid w:val="00E8152A"/>
    <w:rsid w:val="00E815F1"/>
    <w:rsid w:val="00E81783"/>
    <w:rsid w:val="00E82111"/>
    <w:rsid w:val="00E82E38"/>
    <w:rsid w:val="00E834E7"/>
    <w:rsid w:val="00E84F53"/>
    <w:rsid w:val="00E85753"/>
    <w:rsid w:val="00E86097"/>
    <w:rsid w:val="00E86AC7"/>
    <w:rsid w:val="00E86D38"/>
    <w:rsid w:val="00E87872"/>
    <w:rsid w:val="00E90AAA"/>
    <w:rsid w:val="00E90FA8"/>
    <w:rsid w:val="00E91B82"/>
    <w:rsid w:val="00E93629"/>
    <w:rsid w:val="00E93B5C"/>
    <w:rsid w:val="00E93D13"/>
    <w:rsid w:val="00E94CEC"/>
    <w:rsid w:val="00E95F92"/>
    <w:rsid w:val="00E964B0"/>
    <w:rsid w:val="00E96698"/>
    <w:rsid w:val="00E97354"/>
    <w:rsid w:val="00EA04EF"/>
    <w:rsid w:val="00EA073B"/>
    <w:rsid w:val="00EA07D6"/>
    <w:rsid w:val="00EA152E"/>
    <w:rsid w:val="00EA19DE"/>
    <w:rsid w:val="00EA2F11"/>
    <w:rsid w:val="00EA306A"/>
    <w:rsid w:val="00EA32DA"/>
    <w:rsid w:val="00EA3A8E"/>
    <w:rsid w:val="00EA41DF"/>
    <w:rsid w:val="00EA4928"/>
    <w:rsid w:val="00EA4AC3"/>
    <w:rsid w:val="00EA4E8F"/>
    <w:rsid w:val="00EA4FC6"/>
    <w:rsid w:val="00EA50F0"/>
    <w:rsid w:val="00EA5DE3"/>
    <w:rsid w:val="00EA5F67"/>
    <w:rsid w:val="00EA6F19"/>
    <w:rsid w:val="00EA76B7"/>
    <w:rsid w:val="00EB0A8A"/>
    <w:rsid w:val="00EB15A1"/>
    <w:rsid w:val="00EB29D8"/>
    <w:rsid w:val="00EB2E73"/>
    <w:rsid w:val="00EB3D99"/>
    <w:rsid w:val="00EB4429"/>
    <w:rsid w:val="00EB4ED4"/>
    <w:rsid w:val="00EB69D0"/>
    <w:rsid w:val="00EB7090"/>
    <w:rsid w:val="00EB73F8"/>
    <w:rsid w:val="00EC00D5"/>
    <w:rsid w:val="00EC00EC"/>
    <w:rsid w:val="00EC0F39"/>
    <w:rsid w:val="00EC1BBE"/>
    <w:rsid w:val="00EC1C7F"/>
    <w:rsid w:val="00EC1DA1"/>
    <w:rsid w:val="00EC3C8B"/>
    <w:rsid w:val="00EC42BC"/>
    <w:rsid w:val="00EC495A"/>
    <w:rsid w:val="00EC54A9"/>
    <w:rsid w:val="00EC5985"/>
    <w:rsid w:val="00EC5CD7"/>
    <w:rsid w:val="00EC7479"/>
    <w:rsid w:val="00ED08F8"/>
    <w:rsid w:val="00ED0F4A"/>
    <w:rsid w:val="00ED138D"/>
    <w:rsid w:val="00ED3E13"/>
    <w:rsid w:val="00ED6AB9"/>
    <w:rsid w:val="00ED7066"/>
    <w:rsid w:val="00ED749B"/>
    <w:rsid w:val="00ED7E94"/>
    <w:rsid w:val="00EE020F"/>
    <w:rsid w:val="00EE02F1"/>
    <w:rsid w:val="00EE0712"/>
    <w:rsid w:val="00EE0B0A"/>
    <w:rsid w:val="00EE158B"/>
    <w:rsid w:val="00EE1608"/>
    <w:rsid w:val="00EE1EE3"/>
    <w:rsid w:val="00EE210D"/>
    <w:rsid w:val="00EE2544"/>
    <w:rsid w:val="00EE2AA2"/>
    <w:rsid w:val="00EE3F50"/>
    <w:rsid w:val="00EE458C"/>
    <w:rsid w:val="00EE5B97"/>
    <w:rsid w:val="00EE5FB3"/>
    <w:rsid w:val="00EE62C0"/>
    <w:rsid w:val="00EE77DC"/>
    <w:rsid w:val="00EE7F79"/>
    <w:rsid w:val="00EF07F5"/>
    <w:rsid w:val="00EF0B40"/>
    <w:rsid w:val="00EF138F"/>
    <w:rsid w:val="00EF25E4"/>
    <w:rsid w:val="00EF2D04"/>
    <w:rsid w:val="00EF3405"/>
    <w:rsid w:val="00EF3B1C"/>
    <w:rsid w:val="00EF3D00"/>
    <w:rsid w:val="00EF4B44"/>
    <w:rsid w:val="00EF5BC2"/>
    <w:rsid w:val="00EF60AD"/>
    <w:rsid w:val="00EF645A"/>
    <w:rsid w:val="00EF713E"/>
    <w:rsid w:val="00EF715A"/>
    <w:rsid w:val="00F00D1A"/>
    <w:rsid w:val="00F011D5"/>
    <w:rsid w:val="00F015D3"/>
    <w:rsid w:val="00F0229F"/>
    <w:rsid w:val="00F02E2C"/>
    <w:rsid w:val="00F02E8A"/>
    <w:rsid w:val="00F06E14"/>
    <w:rsid w:val="00F06E61"/>
    <w:rsid w:val="00F1085D"/>
    <w:rsid w:val="00F11442"/>
    <w:rsid w:val="00F1182F"/>
    <w:rsid w:val="00F11957"/>
    <w:rsid w:val="00F1277B"/>
    <w:rsid w:val="00F131A9"/>
    <w:rsid w:val="00F135B7"/>
    <w:rsid w:val="00F1447B"/>
    <w:rsid w:val="00F1527E"/>
    <w:rsid w:val="00F165D5"/>
    <w:rsid w:val="00F17442"/>
    <w:rsid w:val="00F179D4"/>
    <w:rsid w:val="00F2031D"/>
    <w:rsid w:val="00F215CC"/>
    <w:rsid w:val="00F23EA6"/>
    <w:rsid w:val="00F255E9"/>
    <w:rsid w:val="00F25E8E"/>
    <w:rsid w:val="00F26361"/>
    <w:rsid w:val="00F27201"/>
    <w:rsid w:val="00F31CB0"/>
    <w:rsid w:val="00F31DEE"/>
    <w:rsid w:val="00F328B6"/>
    <w:rsid w:val="00F32EB7"/>
    <w:rsid w:val="00F3327E"/>
    <w:rsid w:val="00F33C56"/>
    <w:rsid w:val="00F347C7"/>
    <w:rsid w:val="00F34848"/>
    <w:rsid w:val="00F34E9E"/>
    <w:rsid w:val="00F35427"/>
    <w:rsid w:val="00F36C3A"/>
    <w:rsid w:val="00F40F81"/>
    <w:rsid w:val="00F41D63"/>
    <w:rsid w:val="00F41DB6"/>
    <w:rsid w:val="00F424E7"/>
    <w:rsid w:val="00F42D46"/>
    <w:rsid w:val="00F43280"/>
    <w:rsid w:val="00F44048"/>
    <w:rsid w:val="00F4496C"/>
    <w:rsid w:val="00F44F3A"/>
    <w:rsid w:val="00F45CE5"/>
    <w:rsid w:val="00F46975"/>
    <w:rsid w:val="00F47898"/>
    <w:rsid w:val="00F50E63"/>
    <w:rsid w:val="00F51F10"/>
    <w:rsid w:val="00F52246"/>
    <w:rsid w:val="00F525D6"/>
    <w:rsid w:val="00F529A5"/>
    <w:rsid w:val="00F53AB7"/>
    <w:rsid w:val="00F55058"/>
    <w:rsid w:val="00F552E5"/>
    <w:rsid w:val="00F56A87"/>
    <w:rsid w:val="00F6067D"/>
    <w:rsid w:val="00F60F00"/>
    <w:rsid w:val="00F614C0"/>
    <w:rsid w:val="00F63DE5"/>
    <w:rsid w:val="00F640B6"/>
    <w:rsid w:val="00F640BF"/>
    <w:rsid w:val="00F642C9"/>
    <w:rsid w:val="00F661D3"/>
    <w:rsid w:val="00F663FD"/>
    <w:rsid w:val="00F667E3"/>
    <w:rsid w:val="00F70849"/>
    <w:rsid w:val="00F70E72"/>
    <w:rsid w:val="00F71749"/>
    <w:rsid w:val="00F72597"/>
    <w:rsid w:val="00F72C94"/>
    <w:rsid w:val="00F736CC"/>
    <w:rsid w:val="00F745BA"/>
    <w:rsid w:val="00F753EF"/>
    <w:rsid w:val="00F755FD"/>
    <w:rsid w:val="00F75DB6"/>
    <w:rsid w:val="00F76348"/>
    <w:rsid w:val="00F76CDA"/>
    <w:rsid w:val="00F76EB2"/>
    <w:rsid w:val="00F80104"/>
    <w:rsid w:val="00F808A4"/>
    <w:rsid w:val="00F80F53"/>
    <w:rsid w:val="00F81A07"/>
    <w:rsid w:val="00F81BF4"/>
    <w:rsid w:val="00F83848"/>
    <w:rsid w:val="00F83C7D"/>
    <w:rsid w:val="00F83DA9"/>
    <w:rsid w:val="00F85500"/>
    <w:rsid w:val="00F85764"/>
    <w:rsid w:val="00F85E46"/>
    <w:rsid w:val="00F860F3"/>
    <w:rsid w:val="00F86CF9"/>
    <w:rsid w:val="00F8764D"/>
    <w:rsid w:val="00F87BF8"/>
    <w:rsid w:val="00F91167"/>
    <w:rsid w:val="00F91C6A"/>
    <w:rsid w:val="00F926EC"/>
    <w:rsid w:val="00F94BF0"/>
    <w:rsid w:val="00F96D43"/>
    <w:rsid w:val="00F974E4"/>
    <w:rsid w:val="00F975E9"/>
    <w:rsid w:val="00F97780"/>
    <w:rsid w:val="00FA1B7D"/>
    <w:rsid w:val="00FA1CB1"/>
    <w:rsid w:val="00FA2340"/>
    <w:rsid w:val="00FA28D3"/>
    <w:rsid w:val="00FA2BAF"/>
    <w:rsid w:val="00FA3ADC"/>
    <w:rsid w:val="00FA4F7B"/>
    <w:rsid w:val="00FA70FC"/>
    <w:rsid w:val="00FA7F26"/>
    <w:rsid w:val="00FB0DBA"/>
    <w:rsid w:val="00FB128B"/>
    <w:rsid w:val="00FB188D"/>
    <w:rsid w:val="00FB2498"/>
    <w:rsid w:val="00FB392C"/>
    <w:rsid w:val="00FB409F"/>
    <w:rsid w:val="00FB6310"/>
    <w:rsid w:val="00FB6F4B"/>
    <w:rsid w:val="00FB760D"/>
    <w:rsid w:val="00FC01F9"/>
    <w:rsid w:val="00FC035F"/>
    <w:rsid w:val="00FC07B9"/>
    <w:rsid w:val="00FC07D0"/>
    <w:rsid w:val="00FC08E9"/>
    <w:rsid w:val="00FC13B0"/>
    <w:rsid w:val="00FC1458"/>
    <w:rsid w:val="00FC4929"/>
    <w:rsid w:val="00FC4E21"/>
    <w:rsid w:val="00FC59B8"/>
    <w:rsid w:val="00FC5F6D"/>
    <w:rsid w:val="00FD0107"/>
    <w:rsid w:val="00FD01CD"/>
    <w:rsid w:val="00FD02D9"/>
    <w:rsid w:val="00FD0B36"/>
    <w:rsid w:val="00FD1671"/>
    <w:rsid w:val="00FD2208"/>
    <w:rsid w:val="00FD298F"/>
    <w:rsid w:val="00FD2C2F"/>
    <w:rsid w:val="00FD347A"/>
    <w:rsid w:val="00FD3593"/>
    <w:rsid w:val="00FD3B31"/>
    <w:rsid w:val="00FD3F2E"/>
    <w:rsid w:val="00FD4BF4"/>
    <w:rsid w:val="00FD67FC"/>
    <w:rsid w:val="00FD6F52"/>
    <w:rsid w:val="00FE1823"/>
    <w:rsid w:val="00FE2561"/>
    <w:rsid w:val="00FE487A"/>
    <w:rsid w:val="00FE65A4"/>
    <w:rsid w:val="00FE77DC"/>
    <w:rsid w:val="00FE7C20"/>
    <w:rsid w:val="00FF0108"/>
    <w:rsid w:val="00FF0569"/>
    <w:rsid w:val="00FF206E"/>
    <w:rsid w:val="00FF222B"/>
    <w:rsid w:val="00FF25D9"/>
    <w:rsid w:val="00FF3306"/>
    <w:rsid w:val="00FF3986"/>
    <w:rsid w:val="00FF3C69"/>
    <w:rsid w:val="00FF40B6"/>
    <w:rsid w:val="00FF4153"/>
    <w:rsid w:val="00FF53D6"/>
    <w:rsid w:val="00FF64FE"/>
    <w:rsid w:val="00FF6853"/>
    <w:rsid w:val="00FF6E0A"/>
    <w:rsid w:val="00FF6F85"/>
    <w:rsid w:val="00FF7141"/>
  </w:rsids>
  <m:mathPr>
    <m:mathFont m:val="Cambria Math"/>
    <m:brkBin m:val="before"/>
    <m:brkBinSub m:val="--"/>
    <m:smallFrac/>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red,#4d4d4f"/>
    </o:shapedefaults>
    <o:shapelayout v:ext="edit">
      <o:idmap v:ext="edit" data="1"/>
    </o:shapelayout>
  </w:shapeDefaults>
  <w:decimalSymbol w:val="."/>
  <w:listSeparator w:val=","/>
  <w14:docId w14:val="19132E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Hyperlink" w:uiPriority="99"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66E47"/>
    <w:pPr>
      <w:spacing w:after="240" w:line="240" w:lineRule="atLeast"/>
    </w:pPr>
    <w:rPr>
      <w:rFonts w:ascii="Arial" w:hAnsi="Arial"/>
      <w:sz w:val="20"/>
    </w:rPr>
  </w:style>
  <w:style w:type="paragraph" w:styleId="Heading1">
    <w:name w:val="heading 1"/>
    <w:basedOn w:val="Normal"/>
    <w:next w:val="Normal"/>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5"/>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aliases w:val="List Bullet 1"/>
    <w:basedOn w:val="Normal"/>
    <w:link w:val="ListBulletChar"/>
    <w:uiPriority w:val="99"/>
    <w:qFormat/>
    <w:rsid w:val="001C6AEE"/>
    <w:pPr>
      <w:numPr>
        <w:numId w:val="1"/>
      </w:numPr>
      <w:spacing w:after="80"/>
    </w:pPr>
  </w:style>
  <w:style w:type="paragraph" w:styleId="ListBullet2">
    <w:name w:val="List Bullet 2"/>
    <w:basedOn w:val="Normal"/>
    <w:qFormat/>
    <w:rsid w:val="001C6AEE"/>
    <w:p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NECG) Footnote Reference,(NECG) Footnote Reference1,o,Style 12"/>
    <w:basedOn w:val="DefaultParagraphFont"/>
    <w:uiPriority w:val="99"/>
    <w:rsid w:val="00566AB4"/>
    <w:rPr>
      <w:rFonts w:ascii="Arial" w:hAnsi="Arial"/>
      <w:vertAlign w:val="superscript"/>
    </w:rPr>
  </w:style>
  <w:style w:type="paragraph" w:styleId="FootnoteText">
    <w:name w:val="footnote text"/>
    <w:aliases w:val="ACMA Footnote Text,footnote text,Footnote Text Char1,Footnote Text Char Char,Footnote Text Char1 Char Char,Footnote Text Char Char Char Char,Footnote Text Char1 Char Char Char Char,Footnote Text Char Char Char Char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uiPriority w:val="22"/>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7"/>
      </w:numPr>
      <w:spacing w:after="160"/>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uiPriority w:val="20"/>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14"/>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8"/>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paragraph" w:customStyle="1" w:styleId="ReportTitle">
    <w:name w:val="Report Title"/>
    <w:basedOn w:val="Normal"/>
    <w:rsid w:val="00AB40D2"/>
    <w:pPr>
      <w:spacing w:after="0" w:line="560" w:lineRule="exact"/>
    </w:pPr>
    <w:rPr>
      <w:b/>
      <w:color w:val="4D4D4F"/>
      <w:spacing w:val="-28"/>
      <w:sz w:val="53"/>
    </w:rPr>
  </w:style>
  <w:style w:type="paragraph" w:customStyle="1" w:styleId="ReportSubtitle">
    <w:name w:val="Report Sub title"/>
    <w:basedOn w:val="Normal"/>
    <w:rsid w:val="00AB40D2"/>
    <w:pPr>
      <w:spacing w:after="0" w:line="560" w:lineRule="exact"/>
    </w:pPr>
    <w:rPr>
      <w:color w:val="808285"/>
      <w:spacing w:val="-28"/>
      <w:sz w:val="53"/>
    </w:rPr>
  </w:style>
  <w:style w:type="paragraph" w:customStyle="1" w:styleId="ReportDate">
    <w:name w:val="Report Date"/>
    <w:basedOn w:val="ReportSubtitle"/>
    <w:rsid w:val="00AB40D2"/>
    <w:pPr>
      <w:spacing w:line="240" w:lineRule="auto"/>
    </w:pPr>
    <w:rPr>
      <w:caps/>
      <w:spacing w:val="-10"/>
      <w:sz w:val="20"/>
    </w:rPr>
  </w:style>
  <w:style w:type="paragraph" w:customStyle="1" w:styleId="Bodysubheader0">
    <w:name w:val="Body sub header"/>
    <w:basedOn w:val="Normal"/>
    <w:next w:val="Normal"/>
    <w:rsid w:val="00AB40D2"/>
    <w:pPr>
      <w:spacing w:after="0"/>
    </w:pPr>
    <w:rPr>
      <w:b/>
      <w:i/>
    </w:rPr>
  </w:style>
  <w:style w:type="paragraph" w:customStyle="1" w:styleId="ExecSummaryHeading">
    <w:name w:val="Exec Summary Heading"/>
    <w:basedOn w:val="Normal"/>
    <w:rsid w:val="00AB40D2"/>
    <w:pPr>
      <w:spacing w:after="1440" w:line="550" w:lineRule="exact"/>
    </w:pPr>
    <w:rPr>
      <w:b/>
      <w:color w:val="4D4D4F"/>
      <w:spacing w:val="-18"/>
      <w:sz w:val="53"/>
    </w:rPr>
  </w:style>
  <w:style w:type="paragraph" w:styleId="TOC9">
    <w:name w:val="toc 9"/>
    <w:aliases w:val="TOC ExecSumm"/>
    <w:basedOn w:val="Normal"/>
    <w:next w:val="Normal"/>
    <w:uiPriority w:val="39"/>
    <w:rsid w:val="00AB40D2"/>
    <w:pPr>
      <w:tabs>
        <w:tab w:val="right" w:pos="7660"/>
      </w:tabs>
      <w:spacing w:before="280" w:after="0" w:line="320" w:lineRule="exact"/>
    </w:pPr>
    <w:rPr>
      <w:b/>
      <w:noProof/>
      <w:color w:val="808285"/>
      <w:sz w:val="28"/>
      <w:szCs w:val="28"/>
    </w:rPr>
  </w:style>
  <w:style w:type="paragraph" w:customStyle="1" w:styleId="ChapterHeading">
    <w:name w:val="Chapter Heading"/>
    <w:basedOn w:val="Normal"/>
    <w:rsid w:val="00AB40D2"/>
    <w:pPr>
      <w:spacing w:after="0" w:line="560" w:lineRule="exact"/>
    </w:pPr>
    <w:rPr>
      <w:color w:val="808285"/>
      <w:spacing w:val="-28"/>
      <w:sz w:val="53"/>
    </w:rPr>
  </w:style>
  <w:style w:type="character" w:customStyle="1" w:styleId="apple-style-span">
    <w:name w:val="apple-style-span"/>
    <w:basedOn w:val="DefaultParagraphFont"/>
    <w:rsid w:val="00AB40D2"/>
  </w:style>
  <w:style w:type="character" w:customStyle="1" w:styleId="FootnoteTextChar">
    <w:name w:val="Footnote Text Char"/>
    <w:aliases w:val="ACMA Footnote Text Char,footnote text Char,Footnote Text Char1 Char,Footnote Text Char Char Char,Footnote Text Char1 Char Char Char,Footnote Text Char Char Char Char Char,Footnote Text Char1 Char Char Char Char Char,f Char,fn Char"/>
    <w:basedOn w:val="DefaultParagraphFont"/>
    <w:link w:val="FootnoteText"/>
    <w:rsid w:val="00AB40D2"/>
    <w:rPr>
      <w:rFonts w:ascii="Arial" w:hAnsi="Arial"/>
      <w:sz w:val="16"/>
      <w:szCs w:val="16"/>
    </w:rPr>
  </w:style>
  <w:style w:type="paragraph" w:customStyle="1" w:styleId="ACMABodyText">
    <w:name w:val="ACMA Body Text"/>
    <w:link w:val="ACMABodyTextChar"/>
    <w:qFormat/>
    <w:rsid w:val="00AB40D2"/>
    <w:pPr>
      <w:suppressAutoHyphens/>
      <w:spacing w:before="80" w:after="120" w:line="280" w:lineRule="atLeast"/>
    </w:pPr>
    <w:rPr>
      <w:snapToGrid w:val="0"/>
      <w:szCs w:val="20"/>
      <w:lang w:eastAsia="en-US"/>
    </w:rPr>
  </w:style>
  <w:style w:type="character" w:customStyle="1" w:styleId="ACMABodyTextChar">
    <w:name w:val="ACMA Body Text Char"/>
    <w:basedOn w:val="DefaultParagraphFont"/>
    <w:link w:val="ACMABodyText"/>
    <w:rsid w:val="00AB40D2"/>
    <w:rPr>
      <w:snapToGrid w:val="0"/>
      <w:szCs w:val="20"/>
      <w:lang w:eastAsia="en-US"/>
    </w:rPr>
  </w:style>
  <w:style w:type="paragraph" w:styleId="NoSpacing">
    <w:name w:val="No Spacing"/>
    <w:uiPriority w:val="1"/>
    <w:qFormat/>
    <w:rsid w:val="00AB40D2"/>
    <w:rPr>
      <w:rFonts w:ascii="Calibri" w:eastAsia="Calibri" w:hAnsi="Calibri"/>
      <w:sz w:val="22"/>
      <w:szCs w:val="22"/>
      <w:lang w:eastAsia="en-US"/>
    </w:rPr>
  </w:style>
  <w:style w:type="paragraph" w:customStyle="1" w:styleId="ACMABulletLevel1">
    <w:name w:val="ACMA Bullet Level 1"/>
    <w:rsid w:val="00AB40D2"/>
    <w:pPr>
      <w:numPr>
        <w:numId w:val="10"/>
      </w:numPr>
      <w:spacing w:after="120"/>
    </w:pPr>
    <w:rPr>
      <w:szCs w:val="20"/>
      <w:lang w:eastAsia="en-US"/>
    </w:rPr>
  </w:style>
  <w:style w:type="paragraph" w:styleId="ListParagraph">
    <w:name w:val="List Paragraph"/>
    <w:basedOn w:val="Normal"/>
    <w:link w:val="ListParagraphChar"/>
    <w:uiPriority w:val="34"/>
    <w:qFormat/>
    <w:rsid w:val="00AB40D2"/>
    <w:pPr>
      <w:spacing w:after="0"/>
      <w:ind w:left="720"/>
      <w:contextualSpacing/>
    </w:pPr>
  </w:style>
  <w:style w:type="paragraph" w:styleId="Revision">
    <w:name w:val="Revision"/>
    <w:hidden/>
    <w:uiPriority w:val="99"/>
    <w:semiHidden/>
    <w:rsid w:val="00AB40D2"/>
    <w:rPr>
      <w:rFonts w:ascii="Arial" w:hAnsi="Arial"/>
      <w:sz w:val="20"/>
    </w:rPr>
  </w:style>
  <w:style w:type="character" w:customStyle="1" w:styleId="ListParagraphChar">
    <w:name w:val="List Paragraph Char"/>
    <w:basedOn w:val="DefaultParagraphFont"/>
    <w:link w:val="ListParagraph"/>
    <w:uiPriority w:val="34"/>
    <w:rsid w:val="00AB40D2"/>
    <w:rPr>
      <w:rFonts w:ascii="Arial" w:hAnsi="Arial"/>
      <w:sz w:val="20"/>
    </w:rPr>
  </w:style>
  <w:style w:type="paragraph" w:customStyle="1" w:styleId="StrongSubheading">
    <w:name w:val="Strong Subheading"/>
    <w:basedOn w:val="Normal"/>
    <w:link w:val="StrongSubheadingChar"/>
    <w:qFormat/>
    <w:rsid w:val="00AB40D2"/>
    <w:pPr>
      <w:spacing w:before="120" w:after="120" w:line="240" w:lineRule="auto"/>
    </w:pPr>
    <w:rPr>
      <w:rFonts w:asciiTheme="minorHAnsi" w:eastAsiaTheme="minorHAnsi" w:hAnsiTheme="minorHAnsi" w:cstheme="minorBidi"/>
      <w:b/>
      <w:sz w:val="28"/>
      <w:szCs w:val="28"/>
      <w:lang w:eastAsia="en-US"/>
    </w:rPr>
  </w:style>
  <w:style w:type="character" w:customStyle="1" w:styleId="StrongSubheadingChar">
    <w:name w:val="Strong Subheading Char"/>
    <w:basedOn w:val="DefaultParagraphFont"/>
    <w:link w:val="StrongSubheading"/>
    <w:rsid w:val="00AB40D2"/>
    <w:rPr>
      <w:rFonts w:asciiTheme="minorHAnsi" w:eastAsiaTheme="minorHAnsi" w:hAnsiTheme="minorHAnsi" w:cstheme="minorBidi"/>
      <w:b/>
      <w:sz w:val="28"/>
      <w:szCs w:val="28"/>
      <w:lang w:eastAsia="en-US"/>
    </w:rPr>
  </w:style>
  <w:style w:type="paragraph" w:styleId="BodyText2">
    <w:name w:val="Body Text 2"/>
    <w:basedOn w:val="Normal"/>
    <w:link w:val="BodyText2Char"/>
    <w:uiPriority w:val="99"/>
    <w:semiHidden/>
    <w:unhideWhenUsed/>
    <w:rsid w:val="00AB40D2"/>
    <w:pPr>
      <w:spacing w:before="120" w:after="120" w:line="240" w:lineRule="auto"/>
    </w:pPr>
    <w:rPr>
      <w:rFonts w:ascii="Times New Roman" w:eastAsiaTheme="minorHAnsi" w:hAnsi="Times New Roman"/>
      <w:sz w:val="22"/>
      <w:szCs w:val="22"/>
    </w:rPr>
  </w:style>
  <w:style w:type="character" w:customStyle="1" w:styleId="BodyText2Char">
    <w:name w:val="Body Text 2 Char"/>
    <w:basedOn w:val="DefaultParagraphFont"/>
    <w:link w:val="BodyText2"/>
    <w:uiPriority w:val="99"/>
    <w:semiHidden/>
    <w:rsid w:val="00AB40D2"/>
    <w:rPr>
      <w:rFonts w:eastAsiaTheme="minorHAnsi"/>
      <w:sz w:val="22"/>
      <w:szCs w:val="22"/>
    </w:rPr>
  </w:style>
  <w:style w:type="character" w:customStyle="1" w:styleId="st1">
    <w:name w:val="st1"/>
    <w:basedOn w:val="DefaultParagraphFont"/>
    <w:rsid w:val="00AB40D2"/>
  </w:style>
  <w:style w:type="character" w:customStyle="1" w:styleId="legtitle1">
    <w:name w:val="legtitle1"/>
    <w:basedOn w:val="DefaultParagraphFont"/>
    <w:rsid w:val="00AB40D2"/>
    <w:rPr>
      <w:rFonts w:ascii="Arial" w:hAnsi="Arial" w:cs="Arial" w:hint="default"/>
      <w:b/>
      <w:bCs/>
      <w:color w:val="10418E"/>
      <w:sz w:val="40"/>
      <w:szCs w:val="40"/>
    </w:rPr>
  </w:style>
  <w:style w:type="paragraph" w:customStyle="1" w:styleId="Default">
    <w:name w:val="Default"/>
    <w:rsid w:val="00AB40D2"/>
    <w:pPr>
      <w:autoSpaceDE w:val="0"/>
      <w:autoSpaceDN w:val="0"/>
      <w:adjustRightInd w:val="0"/>
    </w:pPr>
    <w:rPr>
      <w:rFonts w:ascii="Arial" w:hAnsi="Arial" w:cs="Arial"/>
      <w:color w:val="000000"/>
    </w:rPr>
  </w:style>
  <w:style w:type="paragraph" w:customStyle="1" w:styleId="CM33">
    <w:name w:val="CM33"/>
    <w:basedOn w:val="Default"/>
    <w:next w:val="Default"/>
    <w:uiPriority w:val="99"/>
    <w:rsid w:val="00AB40D2"/>
    <w:rPr>
      <w:rFonts w:ascii="Times New Roman" w:hAnsi="Times New Roman" w:cs="Times New Roman"/>
      <w:color w:val="auto"/>
    </w:rPr>
  </w:style>
  <w:style w:type="character" w:customStyle="1" w:styleId="Heading3Char">
    <w:name w:val="Heading 3 Char"/>
    <w:basedOn w:val="DefaultParagraphFont"/>
    <w:link w:val="Heading3"/>
    <w:rsid w:val="00AB40D2"/>
    <w:rPr>
      <w:rFonts w:ascii="Arial" w:hAnsi="Arial" w:cs="Arial"/>
      <w:b/>
      <w:bCs/>
      <w:sz w:val="20"/>
      <w:szCs w:val="26"/>
    </w:rPr>
  </w:style>
  <w:style w:type="character" w:customStyle="1" w:styleId="ListBulletChar">
    <w:name w:val="List Bullet Char"/>
    <w:aliases w:val="List Bullet 1 Char"/>
    <w:basedOn w:val="DefaultParagraphFont"/>
    <w:link w:val="ListBullet"/>
    <w:uiPriority w:val="99"/>
    <w:rsid w:val="00AB40D2"/>
    <w:rPr>
      <w:rFonts w:ascii="Arial" w:hAnsi="Arial"/>
      <w:sz w:val="20"/>
    </w:rPr>
  </w:style>
  <w:style w:type="character" w:styleId="UnresolvedMention">
    <w:name w:val="Unresolved Mention"/>
    <w:basedOn w:val="DefaultParagraphFont"/>
    <w:uiPriority w:val="99"/>
    <w:semiHidden/>
    <w:unhideWhenUsed/>
    <w:rsid w:val="008E7867"/>
    <w:rPr>
      <w:color w:val="605E5C"/>
      <w:shd w:val="clear" w:color="auto" w:fill="E1DFDD"/>
    </w:rPr>
  </w:style>
  <w:style w:type="paragraph" w:customStyle="1" w:styleId="Bulletlevel1">
    <w:name w:val="Bullet level 1"/>
    <w:basedOn w:val="Normal"/>
    <w:qFormat/>
    <w:rsid w:val="00354D3C"/>
    <w:pPr>
      <w:numPr>
        <w:numId w:val="24"/>
      </w:numPr>
      <w:spacing w:after="200" w:line="240" w:lineRule="auto"/>
      <w:contextualSpacing/>
    </w:pPr>
    <w:rPr>
      <w:rFonts w:asciiTheme="minorHAnsi" w:eastAsiaTheme="minorHAnsi" w:hAnsiTheme="minorHAnsi" w:cstheme="minorBidi"/>
      <w:sz w:val="22"/>
      <w:szCs w:val="22"/>
      <w:lang w:eastAsia="en-US"/>
    </w:rPr>
  </w:style>
  <w:style w:type="table" w:customStyle="1" w:styleId="TableGrid1">
    <w:name w:val="Table Grid1"/>
    <w:basedOn w:val="TableNormal"/>
    <w:next w:val="TableGrid"/>
    <w:uiPriority w:val="39"/>
    <w:rsid w:val="00E348A6"/>
    <w:pPr>
      <w:spacing w:line="240" w:lineRule="atLeast"/>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RIS Heading 2 Char"/>
    <w:basedOn w:val="DefaultParagraphFont"/>
    <w:link w:val="Heading2"/>
    <w:rsid w:val="007573F6"/>
    <w:rPr>
      <w:rFonts w:ascii="Arial" w:hAnsi="Arial" w:cs="Arial"/>
      <w:b/>
      <w:bCs/>
      <w:iCs/>
      <w:sz w:val="28"/>
      <w:szCs w:val="28"/>
    </w:rPr>
  </w:style>
  <w:style w:type="character" w:customStyle="1" w:styleId="ilfuvd">
    <w:name w:val="ilfuvd"/>
    <w:basedOn w:val="DefaultParagraphFont"/>
    <w:rsid w:val="00806A5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5984319">
      <w:bodyDiv w:val="1"/>
      <w:marLeft w:val="0"/>
      <w:marRight w:val="0"/>
      <w:marTop w:val="0"/>
      <w:marBottom w:val="0"/>
      <w:divBdr>
        <w:top w:val="none" w:sz="0" w:space="0" w:color="auto"/>
        <w:left w:val="none" w:sz="0" w:space="0" w:color="auto"/>
        <w:bottom w:val="none" w:sz="0" w:space="0" w:color="auto"/>
        <w:right w:val="none" w:sz="0" w:space="0" w:color="auto"/>
      </w:divBdr>
    </w:div>
    <w:div w:id="175583293">
      <w:bodyDiv w:val="1"/>
      <w:marLeft w:val="0"/>
      <w:marRight w:val="0"/>
      <w:marTop w:val="0"/>
      <w:marBottom w:val="0"/>
      <w:divBdr>
        <w:top w:val="none" w:sz="0" w:space="0" w:color="auto"/>
        <w:left w:val="none" w:sz="0" w:space="0" w:color="auto"/>
        <w:bottom w:val="none" w:sz="0" w:space="0" w:color="auto"/>
        <w:right w:val="none" w:sz="0" w:space="0" w:color="auto"/>
      </w:divBdr>
    </w:div>
    <w:div w:id="555051039">
      <w:bodyDiv w:val="1"/>
      <w:marLeft w:val="0"/>
      <w:marRight w:val="0"/>
      <w:marTop w:val="0"/>
      <w:marBottom w:val="0"/>
      <w:divBdr>
        <w:top w:val="none" w:sz="0" w:space="0" w:color="auto"/>
        <w:left w:val="none" w:sz="0" w:space="0" w:color="auto"/>
        <w:bottom w:val="none" w:sz="0" w:space="0" w:color="auto"/>
        <w:right w:val="none" w:sz="0" w:space="0" w:color="auto"/>
      </w:divBdr>
    </w:div>
    <w:div w:id="608700317">
      <w:bodyDiv w:val="1"/>
      <w:marLeft w:val="0"/>
      <w:marRight w:val="0"/>
      <w:marTop w:val="0"/>
      <w:marBottom w:val="0"/>
      <w:divBdr>
        <w:top w:val="none" w:sz="0" w:space="0" w:color="auto"/>
        <w:left w:val="none" w:sz="0" w:space="0" w:color="auto"/>
        <w:bottom w:val="none" w:sz="0" w:space="0" w:color="auto"/>
        <w:right w:val="none" w:sz="0" w:space="0" w:color="auto"/>
      </w:divBdr>
    </w:div>
    <w:div w:id="935748680">
      <w:bodyDiv w:val="1"/>
      <w:marLeft w:val="0"/>
      <w:marRight w:val="0"/>
      <w:marTop w:val="0"/>
      <w:marBottom w:val="0"/>
      <w:divBdr>
        <w:top w:val="none" w:sz="0" w:space="0" w:color="auto"/>
        <w:left w:val="none" w:sz="0" w:space="0" w:color="auto"/>
        <w:bottom w:val="none" w:sz="0" w:space="0" w:color="auto"/>
        <w:right w:val="none" w:sz="0" w:space="0" w:color="auto"/>
      </w:divBdr>
    </w:div>
    <w:div w:id="1022514621">
      <w:bodyDiv w:val="1"/>
      <w:marLeft w:val="0"/>
      <w:marRight w:val="0"/>
      <w:marTop w:val="0"/>
      <w:marBottom w:val="0"/>
      <w:divBdr>
        <w:top w:val="none" w:sz="0" w:space="0" w:color="auto"/>
        <w:left w:val="none" w:sz="0" w:space="0" w:color="auto"/>
        <w:bottom w:val="none" w:sz="0" w:space="0" w:color="auto"/>
        <w:right w:val="none" w:sz="0" w:space="0" w:color="auto"/>
      </w:divBdr>
    </w:div>
    <w:div w:id="1174952090">
      <w:bodyDiv w:val="1"/>
      <w:marLeft w:val="0"/>
      <w:marRight w:val="0"/>
      <w:marTop w:val="0"/>
      <w:marBottom w:val="0"/>
      <w:divBdr>
        <w:top w:val="none" w:sz="0" w:space="0" w:color="auto"/>
        <w:left w:val="none" w:sz="0" w:space="0" w:color="auto"/>
        <w:bottom w:val="none" w:sz="0" w:space="0" w:color="auto"/>
        <w:right w:val="none" w:sz="0" w:space="0" w:color="auto"/>
      </w:divBdr>
    </w:div>
    <w:div w:id="1415741398">
      <w:bodyDiv w:val="1"/>
      <w:marLeft w:val="0"/>
      <w:marRight w:val="0"/>
      <w:marTop w:val="0"/>
      <w:marBottom w:val="0"/>
      <w:divBdr>
        <w:top w:val="none" w:sz="0" w:space="0" w:color="auto"/>
        <w:left w:val="none" w:sz="0" w:space="0" w:color="auto"/>
        <w:bottom w:val="none" w:sz="0" w:space="0" w:color="auto"/>
        <w:right w:val="none" w:sz="0" w:space="0" w:color="auto"/>
      </w:divBdr>
    </w:div>
    <w:div w:id="1436628621">
      <w:bodyDiv w:val="1"/>
      <w:marLeft w:val="0"/>
      <w:marRight w:val="0"/>
      <w:marTop w:val="0"/>
      <w:marBottom w:val="0"/>
      <w:divBdr>
        <w:top w:val="none" w:sz="0" w:space="0" w:color="auto"/>
        <w:left w:val="none" w:sz="0" w:space="0" w:color="auto"/>
        <w:bottom w:val="none" w:sz="0" w:space="0" w:color="auto"/>
        <w:right w:val="none" w:sz="0" w:space="0" w:color="auto"/>
      </w:divBdr>
    </w:div>
    <w:div w:id="1857843637">
      <w:bodyDiv w:val="1"/>
      <w:marLeft w:val="0"/>
      <w:marRight w:val="0"/>
      <w:marTop w:val="0"/>
      <w:marBottom w:val="0"/>
      <w:divBdr>
        <w:top w:val="none" w:sz="0" w:space="0" w:color="auto"/>
        <w:left w:val="none" w:sz="0" w:space="0" w:color="auto"/>
        <w:bottom w:val="none" w:sz="0" w:space="0" w:color="auto"/>
        <w:right w:val="none" w:sz="0" w:space="0" w:color="auto"/>
      </w:divBdr>
    </w:div>
    <w:div w:id="1954706106">
      <w:bodyDiv w:val="1"/>
      <w:marLeft w:val="0"/>
      <w:marRight w:val="0"/>
      <w:marTop w:val="0"/>
      <w:marBottom w:val="0"/>
      <w:divBdr>
        <w:top w:val="none" w:sz="0" w:space="0" w:color="auto"/>
        <w:left w:val="none" w:sz="0" w:space="0" w:color="auto"/>
        <w:bottom w:val="none" w:sz="0" w:space="0" w:color="auto"/>
        <w:right w:val="none" w:sz="0" w:space="0" w:color="auto"/>
      </w:divBdr>
    </w:div>
    <w:div w:id="2066679772">
      <w:bodyDiv w:val="1"/>
      <w:marLeft w:val="0"/>
      <w:marRight w:val="0"/>
      <w:marTop w:val="0"/>
      <w:marBottom w:val="0"/>
      <w:divBdr>
        <w:top w:val="none" w:sz="0" w:space="0" w:color="auto"/>
        <w:left w:val="none" w:sz="0" w:space="0" w:color="auto"/>
        <w:bottom w:val="none" w:sz="0" w:space="0" w:color="auto"/>
        <w:right w:val="none" w:sz="0" w:space="0" w:color="auto"/>
      </w:divBdr>
    </w:div>
    <w:div w:id="20745481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creativecommons.org/licenses/by/4.0/" TargetMode="External"/><Relationship Id="rId18" Type="http://schemas.openxmlformats.org/officeDocument/2006/relationships/footer" Target="footer3.xml"/><Relationship Id="rId26" Type="http://schemas.openxmlformats.org/officeDocument/2006/relationships/hyperlink" Target="https://www.acma.gov.au/Home/Industry/Spectrum/Spectrum-projects/5-Year-Spectrum-Outlook/previous-editions-five-year-spectrum-outlook" TargetMode="External"/><Relationship Id="rId39" Type="http://schemas.openxmlformats.org/officeDocument/2006/relationships/image" Target="media/image17.png"/><Relationship Id="rId21" Type="http://schemas.openxmlformats.org/officeDocument/2006/relationships/footer" Target="footer4.xml"/><Relationship Id="rId34" Type="http://schemas.openxmlformats.org/officeDocument/2006/relationships/hyperlink" Target="https://www.acma.gov.au/-/media/Spectrum-Engineering/Regulation/Word-Document/Embargo-No-69-docx.docx?la=en" TargetMode="External"/><Relationship Id="rId42" Type="http://schemas.openxmlformats.org/officeDocument/2006/relationships/image" Target="media/image20.png"/><Relationship Id="rId47" Type="http://schemas.microsoft.com/office/2007/relationships/diagramDrawing" Target="diagrams/drawing1.xml"/><Relationship Id="rId50" Type="http://schemas.openxmlformats.org/officeDocument/2006/relationships/header" Target="header7.xml"/><Relationship Id="rId55" Type="http://schemas.openxmlformats.org/officeDocument/2006/relationships/header" Target="header10.xml"/><Relationship Id="rId7" Type="http://schemas.openxmlformats.org/officeDocument/2006/relationships/endnotes" Target="endnotes.xml"/><Relationship Id="rId12" Type="http://schemas.openxmlformats.org/officeDocument/2006/relationships/image" Target="media/image10.png"/><Relationship Id="rId17" Type="http://schemas.openxmlformats.org/officeDocument/2006/relationships/footer" Target="footer2.xml"/><Relationship Id="rId25" Type="http://schemas.openxmlformats.org/officeDocument/2006/relationships/image" Target="media/image12.png"/><Relationship Id="rId33" Type="http://schemas.openxmlformats.org/officeDocument/2006/relationships/image" Target="media/image16.png"/><Relationship Id="rId38" Type="http://schemas.openxmlformats.org/officeDocument/2006/relationships/hyperlink" Target="http://www.acma.gov.au/privacypolicy" TargetMode="External"/><Relationship Id="rId46" Type="http://schemas.openxmlformats.org/officeDocument/2006/relationships/diagramColors" Target="diagrams/colors1.xml"/><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hyperlink" Target="https://www.acma.gov.au/theACMA/" TargetMode="External"/><Relationship Id="rId41" Type="http://schemas.openxmlformats.org/officeDocument/2006/relationships/image" Target="media/image19.png"/><Relationship Id="rId54"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i.creativecommons.org/l/by/3.0/88x31.png" TargetMode="External"/><Relationship Id="rId24" Type="http://schemas.openxmlformats.org/officeDocument/2006/relationships/image" Target="media/image11.png"/><Relationship Id="rId32" Type="http://schemas.openxmlformats.org/officeDocument/2006/relationships/image" Target="media/image15.png"/><Relationship Id="rId37" Type="http://schemas.openxmlformats.org/officeDocument/2006/relationships/hyperlink" Target="https://www.acma.gov.au/theACMA/About/Corporate/Accountability/privacy-and-consultations" TargetMode="External"/><Relationship Id="rId40" Type="http://schemas.openxmlformats.org/officeDocument/2006/relationships/image" Target="media/image18.png"/><Relationship Id="rId45" Type="http://schemas.openxmlformats.org/officeDocument/2006/relationships/diagramQuickStyle" Target="diagrams/quickStyle1.xml"/><Relationship Id="rId53" Type="http://schemas.openxmlformats.org/officeDocument/2006/relationships/footer" Target="footer8.xml"/><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image" Target="media/image13.emf"/><Relationship Id="rId36" Type="http://schemas.openxmlformats.org/officeDocument/2006/relationships/hyperlink" Target="mailto:spectrumallocations@acma.gov.au" TargetMode="External"/><Relationship Id="rId49" Type="http://schemas.openxmlformats.org/officeDocument/2006/relationships/hyperlink" Target="http://www.comlaw.gov.au/" TargetMode="External"/><Relationship Id="rId57" Type="http://schemas.openxmlformats.org/officeDocument/2006/relationships/footer" Target="footer10.xml"/><Relationship Id="rId10" Type="http://schemas.openxmlformats.org/officeDocument/2006/relationships/header" Target="header2.xml"/><Relationship Id="rId19" Type="http://schemas.openxmlformats.org/officeDocument/2006/relationships/header" Target="header5.xml"/><Relationship Id="rId31" Type="http://schemas.openxmlformats.org/officeDocument/2006/relationships/image" Target="media/image14.png"/><Relationship Id="rId44" Type="http://schemas.openxmlformats.org/officeDocument/2006/relationships/diagramLayout" Target="diagrams/layout1.xml"/><Relationship Id="rId52" Type="http://schemas.openxmlformats.org/officeDocument/2006/relationships/footer" Target="footer7.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acma.gov.au" TargetMode="External"/><Relationship Id="rId22" Type="http://schemas.openxmlformats.org/officeDocument/2006/relationships/footer" Target="footer5.xml"/><Relationship Id="rId27" Type="http://schemas.openxmlformats.org/officeDocument/2006/relationships/hyperlink" Target="https://www.acma.gov.au/theACMA/-/media/15EF7BCEB00E4297B99953C9CDC27125.ashx" TargetMode="External"/><Relationship Id="rId30" Type="http://schemas.openxmlformats.org/officeDocument/2006/relationships/hyperlink" Target="https://www.acma.gov.au/theACMA/" TargetMode="External"/><Relationship Id="rId35" Type="http://schemas.openxmlformats.org/officeDocument/2006/relationships/hyperlink" Target="https://www.legislation.gov.au/Details/F2018L01583" TargetMode="External"/><Relationship Id="rId43" Type="http://schemas.openxmlformats.org/officeDocument/2006/relationships/diagramData" Target="diagrams/data1.xml"/><Relationship Id="rId48" Type="http://schemas.openxmlformats.org/officeDocument/2006/relationships/image" Target="media/image21.png"/><Relationship Id="rId56" Type="http://schemas.openxmlformats.org/officeDocument/2006/relationships/footer" Target="footer9.xml"/><Relationship Id="rId8" Type="http://schemas.openxmlformats.org/officeDocument/2006/relationships/header" Target="header1.xml"/><Relationship Id="rId51" Type="http://schemas.openxmlformats.org/officeDocument/2006/relationships/header" Target="header8.xm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9.jpeg"/></Relationships>
</file>

<file path=word/_rels/footnotes.xml.rels><?xml version="1.0" encoding="UTF-8" standalone="yes"?>
<Relationships xmlns="http://schemas.openxmlformats.org/package/2006/relationships"><Relationship Id="rId3" Type="http://schemas.openxmlformats.org/officeDocument/2006/relationships/hyperlink" Target="https://www.3gpp.org/" TargetMode="External"/><Relationship Id="rId7" Type="http://schemas.openxmlformats.org/officeDocument/2006/relationships/hyperlink" Target="http://www.acma.gov.au/Industry/Spectrum/Radiocomms-licensing/Spectrum-licences/spectrum-auctions-list-spectrum-planning-acma" TargetMode="External"/><Relationship Id="rId2" Type="http://schemas.openxmlformats.org/officeDocument/2006/relationships/hyperlink" Target="https://www.acma.gov.au/theACMA/acma-corporate-plan" TargetMode="External"/><Relationship Id="rId1" Type="http://schemas.openxmlformats.org/officeDocument/2006/relationships/hyperlink" Target="http://www.acma.gov.au/Industry/Spectrum/Radiocomms-licensing/Spectrum-licences/spectrum_23" TargetMode="External"/><Relationship Id="rId6" Type="http://schemas.openxmlformats.org/officeDocument/2006/relationships/hyperlink" Target="http://www.3gpp.org/" TargetMode="External"/><Relationship Id="rId5" Type="http://schemas.openxmlformats.org/officeDocument/2006/relationships/hyperlink" Target="https://www.acma.gov.au/theACMA/options-for-wireless-broadband-in-the-26-ghz-band" TargetMode="External"/><Relationship Id="rId4" Type="http://schemas.openxmlformats.org/officeDocument/2006/relationships/hyperlink" Target="http://www.3gpp.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CB05405-3E93-4388-BFFC-553630543534}" type="doc">
      <dgm:prSet loTypeId="urn:microsoft.com/office/officeart/2005/8/layout/chevron2" loCatId="process" qsTypeId="urn:microsoft.com/office/officeart/2005/8/quickstyle/simple1" qsCatId="simple" csTypeId="urn:microsoft.com/office/officeart/2005/8/colors/accent1_2" csCatId="accent1" phldr="1"/>
      <dgm:spPr/>
      <dgm:t>
        <a:bodyPr/>
        <a:lstStyle/>
        <a:p>
          <a:endParaRPr lang="en-AU"/>
        </a:p>
      </dgm:t>
    </dgm:pt>
    <dgm:pt modelId="{7E1FE4BA-2754-407F-96EC-3A652627300B}">
      <dgm:prSet phldrT="[Text]" custT="1"/>
      <dgm:spPr>
        <a:solidFill>
          <a:schemeClr val="accent1">
            <a:lumMod val="75000"/>
          </a:schemeClr>
        </a:solidFill>
      </dgm:spPr>
      <dgm:t>
        <a:bodyPr/>
        <a:lstStyle/>
        <a:p>
          <a:r>
            <a:rPr lang="en-AU" sz="1050" b="0">
              <a:latin typeface="+mn-lt"/>
              <a:cs typeface="Arial" panose="020B0604020202020204" pitchFamily="34" charset="0"/>
            </a:rPr>
            <a:t>1</a:t>
          </a:r>
        </a:p>
      </dgm:t>
    </dgm:pt>
    <dgm:pt modelId="{89A6DA66-46A1-4AEF-AEB8-AB5E0AC26EB5}" type="parTrans" cxnId="{D2C76103-0D67-419F-B857-C958E4267FDF}">
      <dgm:prSet/>
      <dgm:spPr/>
      <dgm:t>
        <a:bodyPr/>
        <a:lstStyle/>
        <a:p>
          <a:endParaRPr lang="en-AU" sz="1050" b="0">
            <a:latin typeface="+mn-lt"/>
            <a:cs typeface="Arial" panose="020B0604020202020204" pitchFamily="34" charset="0"/>
          </a:endParaRPr>
        </a:p>
      </dgm:t>
    </dgm:pt>
    <dgm:pt modelId="{21DE2F6C-64C5-4126-970F-2C28BB4B00CA}" type="sibTrans" cxnId="{D2C76103-0D67-419F-B857-C958E4267FDF}">
      <dgm:prSet/>
      <dgm:spPr/>
      <dgm:t>
        <a:bodyPr/>
        <a:lstStyle/>
        <a:p>
          <a:endParaRPr lang="en-AU" sz="1050" b="0">
            <a:latin typeface="+mn-lt"/>
            <a:cs typeface="Arial" panose="020B0604020202020204" pitchFamily="34" charset="0"/>
          </a:endParaRPr>
        </a:p>
      </dgm:t>
    </dgm:pt>
    <dgm:pt modelId="{70A5C894-1299-4743-9BEA-338B390C3006}">
      <dgm:prSet phldrT="[Text]" custT="1"/>
      <dgm:spPr>
        <a:solidFill>
          <a:schemeClr val="accent1">
            <a:lumMod val="75000"/>
          </a:schemeClr>
        </a:solidFill>
      </dgm:spPr>
      <dgm:t>
        <a:bodyPr/>
        <a:lstStyle/>
        <a:p>
          <a:r>
            <a:rPr lang="en-AU" sz="1050" b="0">
              <a:latin typeface="+mn-lt"/>
              <a:cs typeface="Arial" panose="020B0604020202020204" pitchFamily="34" charset="0"/>
            </a:rPr>
            <a:t>2</a:t>
          </a:r>
        </a:p>
      </dgm:t>
    </dgm:pt>
    <dgm:pt modelId="{BA00B7FB-FCE9-4886-A83D-67048C53A077}" type="parTrans" cxnId="{A2BEE0F3-763D-48F7-8E94-B48EDD37B070}">
      <dgm:prSet/>
      <dgm:spPr/>
      <dgm:t>
        <a:bodyPr/>
        <a:lstStyle/>
        <a:p>
          <a:endParaRPr lang="en-AU" sz="1050" b="0">
            <a:latin typeface="+mn-lt"/>
            <a:cs typeface="Arial" panose="020B0604020202020204" pitchFamily="34" charset="0"/>
          </a:endParaRPr>
        </a:p>
      </dgm:t>
    </dgm:pt>
    <dgm:pt modelId="{E3971D80-953F-4ECD-A830-AA2716AE9608}" type="sibTrans" cxnId="{A2BEE0F3-763D-48F7-8E94-B48EDD37B070}">
      <dgm:prSet/>
      <dgm:spPr/>
      <dgm:t>
        <a:bodyPr/>
        <a:lstStyle/>
        <a:p>
          <a:endParaRPr lang="en-AU" sz="1050" b="0">
            <a:latin typeface="+mn-lt"/>
            <a:cs typeface="Arial" panose="020B0604020202020204" pitchFamily="34" charset="0"/>
          </a:endParaRPr>
        </a:p>
      </dgm:t>
    </dgm:pt>
    <dgm:pt modelId="{626883BB-23EE-42EB-953A-1DFB2A5C528E}">
      <dgm:prSet phldrT="[Text]" custT="1"/>
      <dgm:spPr/>
      <dgm:t>
        <a:bodyPr/>
        <a:lstStyle/>
        <a:p>
          <a:r>
            <a:rPr lang="en-AU" sz="1050" b="0">
              <a:latin typeface="+mn-lt"/>
              <a:cs typeface="Arial" panose="020B0604020202020204" pitchFamily="34" charset="0"/>
            </a:rPr>
            <a:t>Final Recommendation</a:t>
          </a:r>
        </a:p>
      </dgm:t>
      <dgm:extLst>
        <a:ext uri="{E40237B7-FDA0-4F09-8148-C483321AD2D9}">
          <dgm14:cNvPr xmlns:dgm14="http://schemas.microsoft.com/office/drawing/2010/diagram" id="0" name="" descr="The image describes the allocation process in six steps: draft recommendation, final recommendation, ministerial direction, draft allocation instruments, final allocation instruments and then the auction." title="Figure 9: The reallocation process"/>
        </a:ext>
      </dgm:extLst>
    </dgm:pt>
    <dgm:pt modelId="{E1F10C7D-AB3D-4125-B7F5-7115999A9B3B}" type="parTrans" cxnId="{90019656-7FFC-4E63-886B-0C2D6B539A70}">
      <dgm:prSet/>
      <dgm:spPr/>
      <dgm:t>
        <a:bodyPr/>
        <a:lstStyle/>
        <a:p>
          <a:endParaRPr lang="en-AU" sz="1050" b="0">
            <a:latin typeface="+mn-lt"/>
            <a:cs typeface="Arial" panose="020B0604020202020204" pitchFamily="34" charset="0"/>
          </a:endParaRPr>
        </a:p>
      </dgm:t>
    </dgm:pt>
    <dgm:pt modelId="{4B6448E2-0107-4B88-A4A5-56F62939634C}" type="sibTrans" cxnId="{90019656-7FFC-4E63-886B-0C2D6B539A70}">
      <dgm:prSet/>
      <dgm:spPr/>
      <dgm:t>
        <a:bodyPr/>
        <a:lstStyle/>
        <a:p>
          <a:endParaRPr lang="en-AU" sz="1050" b="0">
            <a:latin typeface="+mn-lt"/>
            <a:cs typeface="Arial" panose="020B0604020202020204" pitchFamily="34" charset="0"/>
          </a:endParaRPr>
        </a:p>
      </dgm:t>
    </dgm:pt>
    <dgm:pt modelId="{DF3AB2B5-FE85-4F7A-9B74-96D09141E653}">
      <dgm:prSet phldrT="[Text]" custT="1"/>
      <dgm:spPr>
        <a:solidFill>
          <a:schemeClr val="accent1">
            <a:lumMod val="75000"/>
          </a:schemeClr>
        </a:solidFill>
      </dgm:spPr>
      <dgm:t>
        <a:bodyPr/>
        <a:lstStyle/>
        <a:p>
          <a:r>
            <a:rPr lang="en-AU" sz="1050" b="0">
              <a:latin typeface="+mn-lt"/>
              <a:cs typeface="Arial" panose="020B0604020202020204" pitchFamily="34" charset="0"/>
            </a:rPr>
            <a:t>3</a:t>
          </a:r>
        </a:p>
      </dgm:t>
    </dgm:pt>
    <dgm:pt modelId="{388765E6-FFA1-4DF5-A965-78E40223B713}" type="parTrans" cxnId="{8873D567-12CE-44DF-A100-49A0BD3B62B2}">
      <dgm:prSet/>
      <dgm:spPr/>
      <dgm:t>
        <a:bodyPr/>
        <a:lstStyle/>
        <a:p>
          <a:endParaRPr lang="en-AU" sz="1050" b="0">
            <a:latin typeface="+mn-lt"/>
            <a:cs typeface="Arial" panose="020B0604020202020204" pitchFamily="34" charset="0"/>
          </a:endParaRPr>
        </a:p>
      </dgm:t>
    </dgm:pt>
    <dgm:pt modelId="{023E4E86-E01E-4A04-A8B5-AA79A79E92D4}" type="sibTrans" cxnId="{8873D567-12CE-44DF-A100-49A0BD3B62B2}">
      <dgm:prSet/>
      <dgm:spPr/>
      <dgm:t>
        <a:bodyPr/>
        <a:lstStyle/>
        <a:p>
          <a:endParaRPr lang="en-AU" sz="1050" b="0">
            <a:latin typeface="+mn-lt"/>
            <a:cs typeface="Arial" panose="020B0604020202020204" pitchFamily="34" charset="0"/>
          </a:endParaRPr>
        </a:p>
      </dgm:t>
    </dgm:pt>
    <dgm:pt modelId="{3C7F0282-97B7-4A6B-A0B7-9D3849D255E2}">
      <dgm:prSet phldrT="[Text]" custT="1"/>
      <dgm:spPr/>
      <dgm:t>
        <a:bodyPr/>
        <a:lstStyle/>
        <a:p>
          <a:r>
            <a:rPr lang="en-AU" sz="1050" b="0">
              <a:latin typeface="+mn-lt"/>
              <a:cs typeface="Arial" panose="020B0604020202020204" pitchFamily="34" charset="0"/>
            </a:rPr>
            <a:t>Reallocation Declaration</a:t>
          </a:r>
        </a:p>
      </dgm:t>
      <dgm:extLst>
        <a:ext uri="{E40237B7-FDA0-4F09-8148-C483321AD2D9}">
          <dgm14:cNvPr xmlns:dgm14="http://schemas.microsoft.com/office/drawing/2010/diagram" id="0" name="" descr="The image describes the allocation process in six steps: draft recommendation, final recommendation, ministerial direction, draft allocation instruments, final allocation instruments and then the auction." title="Figure 9: The reallocation process"/>
        </a:ext>
      </dgm:extLst>
    </dgm:pt>
    <dgm:pt modelId="{B8E158D8-7A45-4C36-A03B-823C7E5A2EBB}" type="parTrans" cxnId="{1A9FB8BF-0285-44E6-92C4-32CB7153D305}">
      <dgm:prSet/>
      <dgm:spPr/>
      <dgm:t>
        <a:bodyPr/>
        <a:lstStyle/>
        <a:p>
          <a:endParaRPr lang="en-AU" sz="1050" b="0">
            <a:latin typeface="+mn-lt"/>
            <a:cs typeface="Arial" panose="020B0604020202020204" pitchFamily="34" charset="0"/>
          </a:endParaRPr>
        </a:p>
      </dgm:t>
    </dgm:pt>
    <dgm:pt modelId="{2C16D9AE-851B-4188-80F2-8CD01DE4D912}" type="sibTrans" cxnId="{1A9FB8BF-0285-44E6-92C4-32CB7153D305}">
      <dgm:prSet/>
      <dgm:spPr/>
      <dgm:t>
        <a:bodyPr/>
        <a:lstStyle/>
        <a:p>
          <a:endParaRPr lang="en-AU" sz="1050" b="0">
            <a:latin typeface="+mn-lt"/>
            <a:cs typeface="Arial" panose="020B0604020202020204" pitchFamily="34" charset="0"/>
          </a:endParaRPr>
        </a:p>
      </dgm:t>
    </dgm:pt>
    <dgm:pt modelId="{5547D210-CD7A-4078-8018-93F877223974}">
      <dgm:prSet phldrT="[Text]" custT="1"/>
      <dgm:spPr>
        <a:solidFill>
          <a:schemeClr val="accent1">
            <a:lumMod val="75000"/>
          </a:schemeClr>
        </a:solidFill>
      </dgm:spPr>
      <dgm:t>
        <a:bodyPr/>
        <a:lstStyle/>
        <a:p>
          <a:r>
            <a:rPr lang="en-AU" sz="1050" b="0">
              <a:latin typeface="+mn-lt"/>
              <a:cs typeface="Arial" panose="020B0604020202020204" pitchFamily="34" charset="0"/>
            </a:rPr>
            <a:t>4</a:t>
          </a:r>
        </a:p>
      </dgm:t>
    </dgm:pt>
    <dgm:pt modelId="{3B2CB3D8-0326-4667-91D4-5C5562FB39CB}" type="parTrans" cxnId="{2240B4B6-3C53-47A1-ABAB-6E8BDCE94F49}">
      <dgm:prSet/>
      <dgm:spPr/>
      <dgm:t>
        <a:bodyPr/>
        <a:lstStyle/>
        <a:p>
          <a:endParaRPr lang="en-AU" sz="1050" b="0">
            <a:latin typeface="+mn-lt"/>
            <a:cs typeface="Arial" panose="020B0604020202020204" pitchFamily="34" charset="0"/>
          </a:endParaRPr>
        </a:p>
      </dgm:t>
    </dgm:pt>
    <dgm:pt modelId="{49EABCEF-B7B3-413C-AC49-E6821FAB0F06}" type="sibTrans" cxnId="{2240B4B6-3C53-47A1-ABAB-6E8BDCE94F49}">
      <dgm:prSet/>
      <dgm:spPr/>
      <dgm:t>
        <a:bodyPr/>
        <a:lstStyle/>
        <a:p>
          <a:endParaRPr lang="en-AU" sz="1050" b="0">
            <a:latin typeface="+mn-lt"/>
            <a:cs typeface="Arial" panose="020B0604020202020204" pitchFamily="34" charset="0"/>
          </a:endParaRPr>
        </a:p>
      </dgm:t>
    </dgm:pt>
    <dgm:pt modelId="{EFF23495-8AB6-4338-9B2F-F2D5C48CFD56}">
      <dgm:prSet phldrT="[Text]" custT="1"/>
      <dgm:spPr>
        <a:solidFill>
          <a:schemeClr val="accent1">
            <a:lumMod val="75000"/>
          </a:schemeClr>
        </a:solidFill>
      </dgm:spPr>
      <dgm:t>
        <a:bodyPr/>
        <a:lstStyle/>
        <a:p>
          <a:r>
            <a:rPr lang="en-AU" sz="1050" b="0">
              <a:latin typeface="+mn-lt"/>
              <a:cs typeface="Arial" panose="020B0604020202020204" pitchFamily="34" charset="0"/>
            </a:rPr>
            <a:t>5</a:t>
          </a:r>
        </a:p>
      </dgm:t>
    </dgm:pt>
    <dgm:pt modelId="{6D56CF53-8761-4EE7-9A99-84A0078BD7BD}" type="parTrans" cxnId="{F5E440C3-A6E9-4EA5-A0B0-1C0D69C96C49}">
      <dgm:prSet/>
      <dgm:spPr/>
      <dgm:t>
        <a:bodyPr/>
        <a:lstStyle/>
        <a:p>
          <a:endParaRPr lang="en-AU" sz="1050" b="0">
            <a:latin typeface="+mn-lt"/>
            <a:cs typeface="Arial" panose="020B0604020202020204" pitchFamily="34" charset="0"/>
          </a:endParaRPr>
        </a:p>
      </dgm:t>
    </dgm:pt>
    <dgm:pt modelId="{65A4497D-88AD-4FF6-BC94-1C7F3E7FF8B9}" type="sibTrans" cxnId="{F5E440C3-A6E9-4EA5-A0B0-1C0D69C96C49}">
      <dgm:prSet/>
      <dgm:spPr/>
      <dgm:t>
        <a:bodyPr/>
        <a:lstStyle/>
        <a:p>
          <a:endParaRPr lang="en-AU" sz="1050" b="0">
            <a:latin typeface="+mn-lt"/>
            <a:cs typeface="Arial" panose="020B0604020202020204" pitchFamily="34" charset="0"/>
          </a:endParaRPr>
        </a:p>
      </dgm:t>
    </dgm:pt>
    <dgm:pt modelId="{80CF674D-AD3A-4552-8868-984624654364}">
      <dgm:prSet phldrT="[Text]" custT="1"/>
      <dgm:spPr>
        <a:solidFill>
          <a:schemeClr val="accent1">
            <a:lumMod val="75000"/>
          </a:schemeClr>
        </a:solidFill>
      </dgm:spPr>
      <dgm:t>
        <a:bodyPr/>
        <a:lstStyle/>
        <a:p>
          <a:r>
            <a:rPr lang="en-AU" sz="1050" b="0">
              <a:latin typeface="+mn-lt"/>
              <a:cs typeface="Arial" panose="020B0604020202020204" pitchFamily="34" charset="0"/>
            </a:rPr>
            <a:t>6</a:t>
          </a:r>
        </a:p>
      </dgm:t>
    </dgm:pt>
    <dgm:pt modelId="{B289519C-54E8-4BC2-989A-97F4CFE78373}" type="parTrans" cxnId="{93F3EF03-AA1E-47E9-B426-EEAD79C8452C}">
      <dgm:prSet/>
      <dgm:spPr/>
      <dgm:t>
        <a:bodyPr/>
        <a:lstStyle/>
        <a:p>
          <a:endParaRPr lang="en-AU" sz="1050" b="0">
            <a:latin typeface="+mn-lt"/>
            <a:cs typeface="Arial" panose="020B0604020202020204" pitchFamily="34" charset="0"/>
          </a:endParaRPr>
        </a:p>
      </dgm:t>
    </dgm:pt>
    <dgm:pt modelId="{3A2431ED-8278-4620-8E59-4B043BBC1F01}" type="sibTrans" cxnId="{93F3EF03-AA1E-47E9-B426-EEAD79C8452C}">
      <dgm:prSet/>
      <dgm:spPr/>
      <dgm:t>
        <a:bodyPr/>
        <a:lstStyle/>
        <a:p>
          <a:endParaRPr lang="en-AU" sz="1050" b="0">
            <a:latin typeface="+mn-lt"/>
            <a:cs typeface="Arial" panose="020B0604020202020204" pitchFamily="34" charset="0"/>
          </a:endParaRPr>
        </a:p>
      </dgm:t>
    </dgm:pt>
    <dgm:pt modelId="{1261A5FA-0B14-4E24-AA95-C381DAE6948B}">
      <dgm:prSet custT="1"/>
      <dgm:spPr/>
      <dgm:t>
        <a:bodyPr/>
        <a:lstStyle/>
        <a:p>
          <a:r>
            <a:rPr lang="en-AU" sz="1050" b="0">
              <a:latin typeface="+mn-lt"/>
              <a:cs typeface="Arial" panose="020B0604020202020204" pitchFamily="34" charset="0"/>
            </a:rPr>
            <a:t>Draft Allocation Instruments </a:t>
          </a:r>
        </a:p>
      </dgm:t>
      <dgm:extLst>
        <a:ext uri="{E40237B7-FDA0-4F09-8148-C483321AD2D9}">
          <dgm14:cNvPr xmlns:dgm14="http://schemas.microsoft.com/office/drawing/2010/diagram" id="0" name="" descr="The image describes the allocation process in six steps: draft recommendation, final recommendation, ministerial direction, draft allocation instruments, final allocation instruments and then the auction." title="Figure 9: The reallocation process"/>
        </a:ext>
      </dgm:extLst>
    </dgm:pt>
    <dgm:pt modelId="{1D9CCEFA-C37C-4DD0-AA3A-52AD34827153}" type="parTrans" cxnId="{23D25FD3-5642-487A-85B9-5856AF568AAB}">
      <dgm:prSet/>
      <dgm:spPr/>
      <dgm:t>
        <a:bodyPr/>
        <a:lstStyle/>
        <a:p>
          <a:endParaRPr lang="en-AU" sz="1050" b="0">
            <a:latin typeface="+mn-lt"/>
            <a:cs typeface="Arial" panose="020B0604020202020204" pitchFamily="34" charset="0"/>
          </a:endParaRPr>
        </a:p>
      </dgm:t>
    </dgm:pt>
    <dgm:pt modelId="{0F199867-A080-44F7-9FE5-A3DF480E4052}" type="sibTrans" cxnId="{23D25FD3-5642-487A-85B9-5856AF568AAB}">
      <dgm:prSet/>
      <dgm:spPr/>
      <dgm:t>
        <a:bodyPr/>
        <a:lstStyle/>
        <a:p>
          <a:endParaRPr lang="en-AU" sz="1050" b="0">
            <a:latin typeface="+mn-lt"/>
            <a:cs typeface="Arial" panose="020B0604020202020204" pitchFamily="34" charset="0"/>
          </a:endParaRPr>
        </a:p>
      </dgm:t>
    </dgm:pt>
    <dgm:pt modelId="{F44CC205-9EAD-46C0-9A53-79164BC10C80}">
      <dgm:prSet custT="1"/>
      <dgm:spPr/>
      <dgm:t>
        <a:bodyPr/>
        <a:lstStyle/>
        <a:p>
          <a:r>
            <a:rPr lang="en-AU" sz="1050" b="0">
              <a:latin typeface="+mn-lt"/>
              <a:cs typeface="Arial" panose="020B0604020202020204" pitchFamily="34" charset="0"/>
            </a:rPr>
            <a:t>Final Allocation Instruments </a:t>
          </a:r>
        </a:p>
      </dgm:t>
      <dgm:extLst>
        <a:ext uri="{E40237B7-FDA0-4F09-8148-C483321AD2D9}">
          <dgm14:cNvPr xmlns:dgm14="http://schemas.microsoft.com/office/drawing/2010/diagram" id="0" name="" descr="The image describes the allocation process in six steps: draft recommendation, final recommendation, ministerial direction, draft allocation instruments, final allocation instruments and then the auction." title="Figure 9: The reallocation process"/>
        </a:ext>
      </dgm:extLst>
    </dgm:pt>
    <dgm:pt modelId="{435C29FA-82C1-40BB-BAF2-0FD851B2CBEC}" type="parTrans" cxnId="{A6308344-8A3D-4B4D-8D3A-5D4BA156C4CB}">
      <dgm:prSet/>
      <dgm:spPr/>
      <dgm:t>
        <a:bodyPr/>
        <a:lstStyle/>
        <a:p>
          <a:endParaRPr lang="en-AU" sz="1050" b="0">
            <a:latin typeface="+mn-lt"/>
            <a:cs typeface="Arial" panose="020B0604020202020204" pitchFamily="34" charset="0"/>
          </a:endParaRPr>
        </a:p>
      </dgm:t>
    </dgm:pt>
    <dgm:pt modelId="{7DC81601-5722-4D39-B67A-C04959633417}" type="sibTrans" cxnId="{A6308344-8A3D-4B4D-8D3A-5D4BA156C4CB}">
      <dgm:prSet/>
      <dgm:spPr/>
      <dgm:t>
        <a:bodyPr/>
        <a:lstStyle/>
        <a:p>
          <a:endParaRPr lang="en-AU" sz="1050" b="0">
            <a:latin typeface="+mn-lt"/>
            <a:cs typeface="Arial" panose="020B0604020202020204" pitchFamily="34" charset="0"/>
          </a:endParaRPr>
        </a:p>
      </dgm:t>
    </dgm:pt>
    <dgm:pt modelId="{11A43633-C1A9-4E2D-9049-B167B1301A39}">
      <dgm:prSet custT="1"/>
      <dgm:spPr/>
      <dgm:t>
        <a:bodyPr/>
        <a:lstStyle/>
        <a:p>
          <a:r>
            <a:rPr lang="en-AU" sz="1050" b="0">
              <a:latin typeface="+mn-lt"/>
              <a:cs typeface="Arial" panose="020B0604020202020204" pitchFamily="34" charset="0"/>
            </a:rPr>
            <a:t>Allocation</a:t>
          </a:r>
        </a:p>
      </dgm:t>
      <dgm:extLst>
        <a:ext uri="{E40237B7-FDA0-4F09-8148-C483321AD2D9}">
          <dgm14:cNvPr xmlns:dgm14="http://schemas.microsoft.com/office/drawing/2010/diagram" id="0" name="" descr="The image describes the allocation process in six steps: draft recommendation, final recommendation, ministerial direction, draft allocation instruments, final allocation instruments and then the auction." title="Figure 9: The reallocation process"/>
        </a:ext>
      </dgm:extLst>
    </dgm:pt>
    <dgm:pt modelId="{BF728B36-E207-47FD-BAE0-D907DE370E61}" type="parTrans" cxnId="{9E5FE67F-3591-4E4D-AF38-7C242CA99C9B}">
      <dgm:prSet/>
      <dgm:spPr/>
      <dgm:t>
        <a:bodyPr/>
        <a:lstStyle/>
        <a:p>
          <a:endParaRPr lang="en-AU" sz="1050" b="0">
            <a:latin typeface="+mn-lt"/>
            <a:cs typeface="Arial" panose="020B0604020202020204" pitchFamily="34" charset="0"/>
          </a:endParaRPr>
        </a:p>
      </dgm:t>
    </dgm:pt>
    <dgm:pt modelId="{EB0223B9-F9CD-4E3C-849F-CCA5A73083A5}" type="sibTrans" cxnId="{9E5FE67F-3591-4E4D-AF38-7C242CA99C9B}">
      <dgm:prSet/>
      <dgm:spPr/>
      <dgm:t>
        <a:bodyPr/>
        <a:lstStyle/>
        <a:p>
          <a:endParaRPr lang="en-AU" sz="1050" b="0">
            <a:latin typeface="+mn-lt"/>
            <a:cs typeface="Arial" panose="020B0604020202020204" pitchFamily="34" charset="0"/>
          </a:endParaRPr>
        </a:p>
      </dgm:t>
    </dgm:pt>
    <dgm:pt modelId="{17408EB8-44DE-4957-A530-45263173F80A}">
      <dgm:prSet phldrT="[Text]" custT="1"/>
      <dgm:spPr/>
      <dgm:t>
        <a:bodyPr/>
        <a:lstStyle/>
        <a:p>
          <a:r>
            <a:rPr lang="en-AU" sz="1050" b="0">
              <a:latin typeface="+mn-lt"/>
              <a:cs typeface="Arial" panose="020B0604020202020204" pitchFamily="34" charset="0"/>
            </a:rPr>
            <a:t>Draft </a:t>
          </a:r>
          <a:r>
            <a:rPr lang="en-AU" sz="1050" b="0">
              <a:latin typeface="+mn-lt"/>
              <a:cs typeface="Times New Roman" panose="02020603050405020304" pitchFamily="18" charset="0"/>
            </a:rPr>
            <a:t>Recommendation</a:t>
          </a:r>
          <a:r>
            <a:rPr lang="en-AU" sz="1050" b="0">
              <a:latin typeface="+mn-lt"/>
              <a:cs typeface="Arial" panose="020B0604020202020204" pitchFamily="34" charset="0"/>
            </a:rPr>
            <a:t> </a:t>
          </a:r>
        </a:p>
      </dgm:t>
      <dgm:extLst>
        <a:ext uri="{E40237B7-FDA0-4F09-8148-C483321AD2D9}">
          <dgm14:cNvPr xmlns:dgm14="http://schemas.microsoft.com/office/drawing/2010/diagram" id="0" name="" descr="The image describes the allocation process in six steps: draft recommendation, final recommendation, ministerial direction, draft allocation instruments, final allocation instruments and then the auction." title="Figure 9: The reallocation process"/>
        </a:ext>
      </dgm:extLst>
    </dgm:pt>
    <dgm:pt modelId="{FF60BE1D-875A-4D78-B2D1-296AD013B3F8}" type="sibTrans" cxnId="{DBF59980-9AD5-4D42-958B-D6157ACE94CA}">
      <dgm:prSet/>
      <dgm:spPr/>
      <dgm:t>
        <a:bodyPr/>
        <a:lstStyle/>
        <a:p>
          <a:endParaRPr lang="en-AU" sz="1050" b="0">
            <a:latin typeface="+mn-lt"/>
            <a:cs typeface="Arial" panose="020B0604020202020204" pitchFamily="34" charset="0"/>
          </a:endParaRPr>
        </a:p>
      </dgm:t>
    </dgm:pt>
    <dgm:pt modelId="{3D66B315-FE9F-41FD-96E0-85F91D2884FE}" type="parTrans" cxnId="{DBF59980-9AD5-4D42-958B-D6157ACE94CA}">
      <dgm:prSet/>
      <dgm:spPr/>
      <dgm:t>
        <a:bodyPr/>
        <a:lstStyle/>
        <a:p>
          <a:endParaRPr lang="en-AU" sz="1050" b="0">
            <a:latin typeface="+mn-lt"/>
            <a:cs typeface="Arial" panose="020B0604020202020204" pitchFamily="34" charset="0"/>
          </a:endParaRPr>
        </a:p>
      </dgm:t>
    </dgm:pt>
    <dgm:pt modelId="{EFF1EE1A-8632-411C-BCE7-3142D1BFBDB9}" type="pres">
      <dgm:prSet presAssocID="{2CB05405-3E93-4388-BFFC-553630543534}" presName="linearFlow" presStyleCnt="0">
        <dgm:presLayoutVars>
          <dgm:dir/>
          <dgm:animLvl val="lvl"/>
          <dgm:resizeHandles val="exact"/>
        </dgm:presLayoutVars>
      </dgm:prSet>
      <dgm:spPr/>
    </dgm:pt>
    <dgm:pt modelId="{AB2DFF8F-F434-4BF8-8A05-91379A9820AD}" type="pres">
      <dgm:prSet presAssocID="{7E1FE4BA-2754-407F-96EC-3A652627300B}" presName="composite" presStyleCnt="0"/>
      <dgm:spPr/>
    </dgm:pt>
    <dgm:pt modelId="{47C72029-A96B-47ED-B35A-594EB96EFF25}" type="pres">
      <dgm:prSet presAssocID="{7E1FE4BA-2754-407F-96EC-3A652627300B}" presName="parentText" presStyleLbl="alignNode1" presStyleIdx="0" presStyleCnt="6">
        <dgm:presLayoutVars>
          <dgm:chMax val="1"/>
          <dgm:bulletEnabled val="1"/>
        </dgm:presLayoutVars>
      </dgm:prSet>
      <dgm:spPr/>
    </dgm:pt>
    <dgm:pt modelId="{E77B4EBE-9303-4A69-9E32-B3C9A9EA37BA}" type="pres">
      <dgm:prSet presAssocID="{7E1FE4BA-2754-407F-96EC-3A652627300B}" presName="descendantText" presStyleLbl="alignAcc1" presStyleIdx="0" presStyleCnt="6">
        <dgm:presLayoutVars>
          <dgm:bulletEnabled val="1"/>
        </dgm:presLayoutVars>
      </dgm:prSet>
      <dgm:spPr/>
    </dgm:pt>
    <dgm:pt modelId="{3CC7A0ED-6743-42E0-A839-96E524B9C977}" type="pres">
      <dgm:prSet presAssocID="{21DE2F6C-64C5-4126-970F-2C28BB4B00CA}" presName="sp" presStyleCnt="0"/>
      <dgm:spPr/>
    </dgm:pt>
    <dgm:pt modelId="{03279751-3909-468B-AB59-4B3BB605A831}" type="pres">
      <dgm:prSet presAssocID="{70A5C894-1299-4743-9BEA-338B390C3006}" presName="composite" presStyleCnt="0"/>
      <dgm:spPr/>
    </dgm:pt>
    <dgm:pt modelId="{AA770556-52DC-4FC2-A389-A337B2E4A1DC}" type="pres">
      <dgm:prSet presAssocID="{70A5C894-1299-4743-9BEA-338B390C3006}" presName="parentText" presStyleLbl="alignNode1" presStyleIdx="1" presStyleCnt="6">
        <dgm:presLayoutVars>
          <dgm:chMax val="1"/>
          <dgm:bulletEnabled val="1"/>
        </dgm:presLayoutVars>
      </dgm:prSet>
      <dgm:spPr/>
    </dgm:pt>
    <dgm:pt modelId="{BCE2B56B-3798-4386-BDAC-0825AB501151}" type="pres">
      <dgm:prSet presAssocID="{70A5C894-1299-4743-9BEA-338B390C3006}" presName="descendantText" presStyleLbl="alignAcc1" presStyleIdx="1" presStyleCnt="6">
        <dgm:presLayoutVars>
          <dgm:bulletEnabled val="1"/>
        </dgm:presLayoutVars>
      </dgm:prSet>
      <dgm:spPr/>
    </dgm:pt>
    <dgm:pt modelId="{7568E436-9BBE-44A3-9931-0A6DDBC1DB45}" type="pres">
      <dgm:prSet presAssocID="{E3971D80-953F-4ECD-A830-AA2716AE9608}" presName="sp" presStyleCnt="0"/>
      <dgm:spPr/>
    </dgm:pt>
    <dgm:pt modelId="{6E84BEA3-666F-45F1-8F3D-84511B40B9C2}" type="pres">
      <dgm:prSet presAssocID="{DF3AB2B5-FE85-4F7A-9B74-96D09141E653}" presName="composite" presStyleCnt="0"/>
      <dgm:spPr/>
    </dgm:pt>
    <dgm:pt modelId="{0F77DE4C-A73D-47A4-8BF8-12B2AD7B8982}" type="pres">
      <dgm:prSet presAssocID="{DF3AB2B5-FE85-4F7A-9B74-96D09141E653}" presName="parentText" presStyleLbl="alignNode1" presStyleIdx="2" presStyleCnt="6" custLinFactNeighborX="-23752" custLinFactNeighborY="-1847">
        <dgm:presLayoutVars>
          <dgm:chMax val="1"/>
          <dgm:bulletEnabled val="1"/>
        </dgm:presLayoutVars>
      </dgm:prSet>
      <dgm:spPr/>
    </dgm:pt>
    <dgm:pt modelId="{97C7EE95-B63B-4041-B959-058EEA521891}" type="pres">
      <dgm:prSet presAssocID="{DF3AB2B5-FE85-4F7A-9B74-96D09141E653}" presName="descendantText" presStyleLbl="alignAcc1" presStyleIdx="2" presStyleCnt="6" custAng="0">
        <dgm:presLayoutVars>
          <dgm:bulletEnabled val="1"/>
        </dgm:presLayoutVars>
      </dgm:prSet>
      <dgm:spPr/>
    </dgm:pt>
    <dgm:pt modelId="{73B813FB-F357-4B66-A2BF-B5D4F16B11E0}" type="pres">
      <dgm:prSet presAssocID="{023E4E86-E01E-4A04-A8B5-AA79A79E92D4}" presName="sp" presStyleCnt="0"/>
      <dgm:spPr/>
    </dgm:pt>
    <dgm:pt modelId="{2A1043BE-02EC-427E-A62C-7C8F462B2694}" type="pres">
      <dgm:prSet presAssocID="{5547D210-CD7A-4078-8018-93F877223974}" presName="composite" presStyleCnt="0"/>
      <dgm:spPr/>
    </dgm:pt>
    <dgm:pt modelId="{1D0CA02A-9599-4888-B95D-1AB945A1F5FF}" type="pres">
      <dgm:prSet presAssocID="{5547D210-CD7A-4078-8018-93F877223974}" presName="parentText" presStyleLbl="alignNode1" presStyleIdx="3" presStyleCnt="6">
        <dgm:presLayoutVars>
          <dgm:chMax val="1"/>
          <dgm:bulletEnabled val="1"/>
        </dgm:presLayoutVars>
      </dgm:prSet>
      <dgm:spPr/>
    </dgm:pt>
    <dgm:pt modelId="{457BA2CF-1879-41BC-A398-1F36F1F7EE91}" type="pres">
      <dgm:prSet presAssocID="{5547D210-CD7A-4078-8018-93F877223974}" presName="descendantText" presStyleLbl="alignAcc1" presStyleIdx="3" presStyleCnt="6">
        <dgm:presLayoutVars>
          <dgm:bulletEnabled val="1"/>
        </dgm:presLayoutVars>
      </dgm:prSet>
      <dgm:spPr/>
    </dgm:pt>
    <dgm:pt modelId="{66C829B4-33C7-4DB5-86F1-02CB2F5FA8DC}" type="pres">
      <dgm:prSet presAssocID="{49EABCEF-B7B3-413C-AC49-E6821FAB0F06}" presName="sp" presStyleCnt="0"/>
      <dgm:spPr/>
    </dgm:pt>
    <dgm:pt modelId="{922DC01A-E457-483C-B807-B4279DCAE170}" type="pres">
      <dgm:prSet presAssocID="{EFF23495-8AB6-4338-9B2F-F2D5C48CFD56}" presName="composite" presStyleCnt="0"/>
      <dgm:spPr/>
    </dgm:pt>
    <dgm:pt modelId="{97F29C64-BF0D-478E-9258-52ADF6580582}" type="pres">
      <dgm:prSet presAssocID="{EFF23495-8AB6-4338-9B2F-F2D5C48CFD56}" presName="parentText" presStyleLbl="alignNode1" presStyleIdx="4" presStyleCnt="6">
        <dgm:presLayoutVars>
          <dgm:chMax val="1"/>
          <dgm:bulletEnabled val="1"/>
        </dgm:presLayoutVars>
      </dgm:prSet>
      <dgm:spPr/>
    </dgm:pt>
    <dgm:pt modelId="{11894391-872B-4B30-AC0A-C98880252CDD}" type="pres">
      <dgm:prSet presAssocID="{EFF23495-8AB6-4338-9B2F-F2D5C48CFD56}" presName="descendantText" presStyleLbl="alignAcc1" presStyleIdx="4" presStyleCnt="6">
        <dgm:presLayoutVars>
          <dgm:bulletEnabled val="1"/>
        </dgm:presLayoutVars>
      </dgm:prSet>
      <dgm:spPr/>
    </dgm:pt>
    <dgm:pt modelId="{271517FE-CE57-4144-81BC-44A9C869E8F5}" type="pres">
      <dgm:prSet presAssocID="{65A4497D-88AD-4FF6-BC94-1C7F3E7FF8B9}" presName="sp" presStyleCnt="0"/>
      <dgm:spPr/>
    </dgm:pt>
    <dgm:pt modelId="{2D862482-632F-4293-B748-CB3069820617}" type="pres">
      <dgm:prSet presAssocID="{80CF674D-AD3A-4552-8868-984624654364}" presName="composite" presStyleCnt="0"/>
      <dgm:spPr/>
    </dgm:pt>
    <dgm:pt modelId="{97FB1E42-9526-42C5-B375-CEC579A05E14}" type="pres">
      <dgm:prSet presAssocID="{80CF674D-AD3A-4552-8868-984624654364}" presName="parentText" presStyleLbl="alignNode1" presStyleIdx="5" presStyleCnt="6">
        <dgm:presLayoutVars>
          <dgm:chMax val="1"/>
          <dgm:bulletEnabled val="1"/>
        </dgm:presLayoutVars>
      </dgm:prSet>
      <dgm:spPr/>
    </dgm:pt>
    <dgm:pt modelId="{CBD86608-22C0-4D5E-9602-0E3D11AF5D4F}" type="pres">
      <dgm:prSet presAssocID="{80CF674D-AD3A-4552-8868-984624654364}" presName="descendantText" presStyleLbl="alignAcc1" presStyleIdx="5" presStyleCnt="6">
        <dgm:presLayoutVars>
          <dgm:bulletEnabled val="1"/>
        </dgm:presLayoutVars>
      </dgm:prSet>
      <dgm:spPr/>
    </dgm:pt>
  </dgm:ptLst>
  <dgm:cxnLst>
    <dgm:cxn modelId="{D2C76103-0D67-419F-B857-C958E4267FDF}" srcId="{2CB05405-3E93-4388-BFFC-553630543534}" destId="{7E1FE4BA-2754-407F-96EC-3A652627300B}" srcOrd="0" destOrd="0" parTransId="{89A6DA66-46A1-4AEF-AEB8-AB5E0AC26EB5}" sibTransId="{21DE2F6C-64C5-4126-970F-2C28BB4B00CA}"/>
    <dgm:cxn modelId="{93F3EF03-AA1E-47E9-B426-EEAD79C8452C}" srcId="{2CB05405-3E93-4388-BFFC-553630543534}" destId="{80CF674D-AD3A-4552-8868-984624654364}" srcOrd="5" destOrd="0" parTransId="{B289519C-54E8-4BC2-989A-97F4CFE78373}" sibTransId="{3A2431ED-8278-4620-8E59-4B043BBC1F01}"/>
    <dgm:cxn modelId="{6E9B440D-73AD-45F5-B2F2-D9AA1046BA57}" type="presOf" srcId="{70A5C894-1299-4743-9BEA-338B390C3006}" destId="{AA770556-52DC-4FC2-A389-A337B2E4A1DC}" srcOrd="0" destOrd="0" presId="urn:microsoft.com/office/officeart/2005/8/layout/chevron2"/>
    <dgm:cxn modelId="{59495A1F-2DBD-4FAF-A971-21CD88235485}" type="presOf" srcId="{3C7F0282-97B7-4A6B-A0B7-9D3849D255E2}" destId="{97C7EE95-B63B-4041-B959-058EEA521891}" srcOrd="0" destOrd="0" presId="urn:microsoft.com/office/officeart/2005/8/layout/chevron2"/>
    <dgm:cxn modelId="{7B6BA11F-F754-4D8D-ADAF-071278043D23}" type="presOf" srcId="{11A43633-C1A9-4E2D-9049-B167B1301A39}" destId="{CBD86608-22C0-4D5E-9602-0E3D11AF5D4F}" srcOrd="0" destOrd="0" presId="urn:microsoft.com/office/officeart/2005/8/layout/chevron2"/>
    <dgm:cxn modelId="{B2B1115F-ECB9-401C-B97B-FBB784CF6EFD}" type="presOf" srcId="{EFF23495-8AB6-4338-9B2F-F2D5C48CFD56}" destId="{97F29C64-BF0D-478E-9258-52ADF6580582}" srcOrd="0" destOrd="0" presId="urn:microsoft.com/office/officeart/2005/8/layout/chevron2"/>
    <dgm:cxn modelId="{A6308344-8A3D-4B4D-8D3A-5D4BA156C4CB}" srcId="{EFF23495-8AB6-4338-9B2F-F2D5C48CFD56}" destId="{F44CC205-9EAD-46C0-9A53-79164BC10C80}" srcOrd="0" destOrd="0" parTransId="{435C29FA-82C1-40BB-BAF2-0FD851B2CBEC}" sibTransId="{7DC81601-5722-4D39-B67A-C04959633417}"/>
    <dgm:cxn modelId="{8873D567-12CE-44DF-A100-49A0BD3B62B2}" srcId="{2CB05405-3E93-4388-BFFC-553630543534}" destId="{DF3AB2B5-FE85-4F7A-9B74-96D09141E653}" srcOrd="2" destOrd="0" parTransId="{388765E6-FFA1-4DF5-A965-78E40223B713}" sibTransId="{023E4E86-E01E-4A04-A8B5-AA79A79E92D4}"/>
    <dgm:cxn modelId="{90508A6F-63EA-4B9F-9F20-F230C48FA309}" type="presOf" srcId="{F44CC205-9EAD-46C0-9A53-79164BC10C80}" destId="{11894391-872B-4B30-AC0A-C98880252CDD}" srcOrd="0" destOrd="0" presId="urn:microsoft.com/office/officeart/2005/8/layout/chevron2"/>
    <dgm:cxn modelId="{90019656-7FFC-4E63-886B-0C2D6B539A70}" srcId="{70A5C894-1299-4743-9BEA-338B390C3006}" destId="{626883BB-23EE-42EB-953A-1DFB2A5C528E}" srcOrd="0" destOrd="0" parTransId="{E1F10C7D-AB3D-4125-B7F5-7115999A9B3B}" sibTransId="{4B6448E2-0107-4B88-A4A5-56F62939634C}"/>
    <dgm:cxn modelId="{A084A85A-0CF0-4FFE-B76C-7AD6F4B54ACB}" type="presOf" srcId="{5547D210-CD7A-4078-8018-93F877223974}" destId="{1D0CA02A-9599-4888-B95D-1AB945A1F5FF}" srcOrd="0" destOrd="0" presId="urn:microsoft.com/office/officeart/2005/8/layout/chevron2"/>
    <dgm:cxn modelId="{9E5FE67F-3591-4E4D-AF38-7C242CA99C9B}" srcId="{80CF674D-AD3A-4552-8868-984624654364}" destId="{11A43633-C1A9-4E2D-9049-B167B1301A39}" srcOrd="0" destOrd="0" parTransId="{BF728B36-E207-47FD-BAE0-D907DE370E61}" sibTransId="{EB0223B9-F9CD-4E3C-849F-CCA5A73083A5}"/>
    <dgm:cxn modelId="{DBF59980-9AD5-4D42-958B-D6157ACE94CA}" srcId="{7E1FE4BA-2754-407F-96EC-3A652627300B}" destId="{17408EB8-44DE-4957-A530-45263173F80A}" srcOrd="0" destOrd="0" parTransId="{3D66B315-FE9F-41FD-96E0-85F91D2884FE}" sibTransId="{FF60BE1D-875A-4D78-B2D1-296AD013B3F8}"/>
    <dgm:cxn modelId="{4ED6558B-75D8-4572-AD75-81A28BE2443C}" type="presOf" srcId="{DF3AB2B5-FE85-4F7A-9B74-96D09141E653}" destId="{0F77DE4C-A73D-47A4-8BF8-12B2AD7B8982}" srcOrd="0" destOrd="0" presId="urn:microsoft.com/office/officeart/2005/8/layout/chevron2"/>
    <dgm:cxn modelId="{55DA8490-DDF2-4CF1-A8D9-86745A0FE99A}" type="presOf" srcId="{2CB05405-3E93-4388-BFFC-553630543534}" destId="{EFF1EE1A-8632-411C-BCE7-3142D1BFBDB9}" srcOrd="0" destOrd="0" presId="urn:microsoft.com/office/officeart/2005/8/layout/chevron2"/>
    <dgm:cxn modelId="{807901A5-F745-403D-B6B6-392B8A7E3EE9}" type="presOf" srcId="{1261A5FA-0B14-4E24-AA95-C381DAE6948B}" destId="{457BA2CF-1879-41BC-A398-1F36F1F7EE91}" srcOrd="0" destOrd="0" presId="urn:microsoft.com/office/officeart/2005/8/layout/chevron2"/>
    <dgm:cxn modelId="{E25890A9-DBEC-49B0-8C2B-E4B024D2367E}" type="presOf" srcId="{626883BB-23EE-42EB-953A-1DFB2A5C528E}" destId="{BCE2B56B-3798-4386-BDAC-0825AB501151}" srcOrd="0" destOrd="0" presId="urn:microsoft.com/office/officeart/2005/8/layout/chevron2"/>
    <dgm:cxn modelId="{CBCCA7AB-BFA5-4599-90FD-174B39DC4AE4}" type="presOf" srcId="{17408EB8-44DE-4957-A530-45263173F80A}" destId="{E77B4EBE-9303-4A69-9E32-B3C9A9EA37BA}" srcOrd="0" destOrd="0" presId="urn:microsoft.com/office/officeart/2005/8/layout/chevron2"/>
    <dgm:cxn modelId="{2240B4B6-3C53-47A1-ABAB-6E8BDCE94F49}" srcId="{2CB05405-3E93-4388-BFFC-553630543534}" destId="{5547D210-CD7A-4078-8018-93F877223974}" srcOrd="3" destOrd="0" parTransId="{3B2CB3D8-0326-4667-91D4-5C5562FB39CB}" sibTransId="{49EABCEF-B7B3-413C-AC49-E6821FAB0F06}"/>
    <dgm:cxn modelId="{1A9FB8BF-0285-44E6-92C4-32CB7153D305}" srcId="{DF3AB2B5-FE85-4F7A-9B74-96D09141E653}" destId="{3C7F0282-97B7-4A6B-A0B7-9D3849D255E2}" srcOrd="0" destOrd="0" parTransId="{B8E158D8-7A45-4C36-A03B-823C7E5A2EBB}" sibTransId="{2C16D9AE-851B-4188-80F2-8CD01DE4D912}"/>
    <dgm:cxn modelId="{F5E440C3-A6E9-4EA5-A0B0-1C0D69C96C49}" srcId="{2CB05405-3E93-4388-BFFC-553630543534}" destId="{EFF23495-8AB6-4338-9B2F-F2D5C48CFD56}" srcOrd="4" destOrd="0" parTransId="{6D56CF53-8761-4EE7-9A99-84A0078BD7BD}" sibTransId="{65A4497D-88AD-4FF6-BC94-1C7F3E7FF8B9}"/>
    <dgm:cxn modelId="{F863D6C7-386D-4152-8DBF-63AF6A6A3092}" type="presOf" srcId="{7E1FE4BA-2754-407F-96EC-3A652627300B}" destId="{47C72029-A96B-47ED-B35A-594EB96EFF25}" srcOrd="0" destOrd="0" presId="urn:microsoft.com/office/officeart/2005/8/layout/chevron2"/>
    <dgm:cxn modelId="{23D25FD3-5642-487A-85B9-5856AF568AAB}" srcId="{5547D210-CD7A-4078-8018-93F877223974}" destId="{1261A5FA-0B14-4E24-AA95-C381DAE6948B}" srcOrd="0" destOrd="0" parTransId="{1D9CCEFA-C37C-4DD0-AA3A-52AD34827153}" sibTransId="{0F199867-A080-44F7-9FE5-A3DF480E4052}"/>
    <dgm:cxn modelId="{3281F7DF-718E-4289-8138-B3C6A2870EE9}" type="presOf" srcId="{80CF674D-AD3A-4552-8868-984624654364}" destId="{97FB1E42-9526-42C5-B375-CEC579A05E14}" srcOrd="0" destOrd="0" presId="urn:microsoft.com/office/officeart/2005/8/layout/chevron2"/>
    <dgm:cxn modelId="{A2BEE0F3-763D-48F7-8E94-B48EDD37B070}" srcId="{2CB05405-3E93-4388-BFFC-553630543534}" destId="{70A5C894-1299-4743-9BEA-338B390C3006}" srcOrd="1" destOrd="0" parTransId="{BA00B7FB-FCE9-4886-A83D-67048C53A077}" sibTransId="{E3971D80-953F-4ECD-A830-AA2716AE9608}"/>
    <dgm:cxn modelId="{43AB5E09-658A-4A09-AF0D-9080C417C174}" type="presParOf" srcId="{EFF1EE1A-8632-411C-BCE7-3142D1BFBDB9}" destId="{AB2DFF8F-F434-4BF8-8A05-91379A9820AD}" srcOrd="0" destOrd="0" presId="urn:microsoft.com/office/officeart/2005/8/layout/chevron2"/>
    <dgm:cxn modelId="{2F6E1AC2-E052-48D7-9527-3EA37E629C88}" type="presParOf" srcId="{AB2DFF8F-F434-4BF8-8A05-91379A9820AD}" destId="{47C72029-A96B-47ED-B35A-594EB96EFF25}" srcOrd="0" destOrd="0" presId="urn:microsoft.com/office/officeart/2005/8/layout/chevron2"/>
    <dgm:cxn modelId="{7C06D055-FC3D-4B0D-8C79-D19DEEFA68CA}" type="presParOf" srcId="{AB2DFF8F-F434-4BF8-8A05-91379A9820AD}" destId="{E77B4EBE-9303-4A69-9E32-B3C9A9EA37BA}" srcOrd="1" destOrd="0" presId="urn:microsoft.com/office/officeart/2005/8/layout/chevron2"/>
    <dgm:cxn modelId="{7D666D95-FFBC-4C34-AB7A-BF7B2C23E2F5}" type="presParOf" srcId="{EFF1EE1A-8632-411C-BCE7-3142D1BFBDB9}" destId="{3CC7A0ED-6743-42E0-A839-96E524B9C977}" srcOrd="1" destOrd="0" presId="urn:microsoft.com/office/officeart/2005/8/layout/chevron2"/>
    <dgm:cxn modelId="{BD37D888-DAFE-4D7D-9E51-1EB076E482D4}" type="presParOf" srcId="{EFF1EE1A-8632-411C-BCE7-3142D1BFBDB9}" destId="{03279751-3909-468B-AB59-4B3BB605A831}" srcOrd="2" destOrd="0" presId="urn:microsoft.com/office/officeart/2005/8/layout/chevron2"/>
    <dgm:cxn modelId="{60AD7D69-84B4-4BBF-A4B1-5FCB4EEBA0B6}" type="presParOf" srcId="{03279751-3909-468B-AB59-4B3BB605A831}" destId="{AA770556-52DC-4FC2-A389-A337B2E4A1DC}" srcOrd="0" destOrd="0" presId="urn:microsoft.com/office/officeart/2005/8/layout/chevron2"/>
    <dgm:cxn modelId="{26E92BFB-6A9F-4B38-973F-D9BB312533FA}" type="presParOf" srcId="{03279751-3909-468B-AB59-4B3BB605A831}" destId="{BCE2B56B-3798-4386-BDAC-0825AB501151}" srcOrd="1" destOrd="0" presId="urn:microsoft.com/office/officeart/2005/8/layout/chevron2"/>
    <dgm:cxn modelId="{CF0258FC-8679-431A-8952-31D35C2A0769}" type="presParOf" srcId="{EFF1EE1A-8632-411C-BCE7-3142D1BFBDB9}" destId="{7568E436-9BBE-44A3-9931-0A6DDBC1DB45}" srcOrd="3" destOrd="0" presId="urn:microsoft.com/office/officeart/2005/8/layout/chevron2"/>
    <dgm:cxn modelId="{C63AD036-FFA0-45C6-ABF8-E136A75766D7}" type="presParOf" srcId="{EFF1EE1A-8632-411C-BCE7-3142D1BFBDB9}" destId="{6E84BEA3-666F-45F1-8F3D-84511B40B9C2}" srcOrd="4" destOrd="0" presId="urn:microsoft.com/office/officeart/2005/8/layout/chevron2"/>
    <dgm:cxn modelId="{4B331856-C1D5-4775-9C14-53608CC274E2}" type="presParOf" srcId="{6E84BEA3-666F-45F1-8F3D-84511B40B9C2}" destId="{0F77DE4C-A73D-47A4-8BF8-12B2AD7B8982}" srcOrd="0" destOrd="0" presId="urn:microsoft.com/office/officeart/2005/8/layout/chevron2"/>
    <dgm:cxn modelId="{B8402E18-9472-457F-9CD1-D12505748EB1}" type="presParOf" srcId="{6E84BEA3-666F-45F1-8F3D-84511B40B9C2}" destId="{97C7EE95-B63B-4041-B959-058EEA521891}" srcOrd="1" destOrd="0" presId="urn:microsoft.com/office/officeart/2005/8/layout/chevron2"/>
    <dgm:cxn modelId="{88B0D960-AF72-4A78-A194-FFDE9CAA5630}" type="presParOf" srcId="{EFF1EE1A-8632-411C-BCE7-3142D1BFBDB9}" destId="{73B813FB-F357-4B66-A2BF-B5D4F16B11E0}" srcOrd="5" destOrd="0" presId="urn:microsoft.com/office/officeart/2005/8/layout/chevron2"/>
    <dgm:cxn modelId="{7D1BDB1A-2B4E-48DA-8519-FA3AB9F394B7}" type="presParOf" srcId="{EFF1EE1A-8632-411C-BCE7-3142D1BFBDB9}" destId="{2A1043BE-02EC-427E-A62C-7C8F462B2694}" srcOrd="6" destOrd="0" presId="urn:microsoft.com/office/officeart/2005/8/layout/chevron2"/>
    <dgm:cxn modelId="{D5FDB900-DF91-44C4-9541-EDE6DB39488F}" type="presParOf" srcId="{2A1043BE-02EC-427E-A62C-7C8F462B2694}" destId="{1D0CA02A-9599-4888-B95D-1AB945A1F5FF}" srcOrd="0" destOrd="0" presId="urn:microsoft.com/office/officeart/2005/8/layout/chevron2"/>
    <dgm:cxn modelId="{AFAF0C13-B613-487A-93DE-C4F19944FC8B}" type="presParOf" srcId="{2A1043BE-02EC-427E-A62C-7C8F462B2694}" destId="{457BA2CF-1879-41BC-A398-1F36F1F7EE91}" srcOrd="1" destOrd="0" presId="urn:microsoft.com/office/officeart/2005/8/layout/chevron2"/>
    <dgm:cxn modelId="{99D64A2F-56DE-4A6A-BA03-62781B5FAF30}" type="presParOf" srcId="{EFF1EE1A-8632-411C-BCE7-3142D1BFBDB9}" destId="{66C829B4-33C7-4DB5-86F1-02CB2F5FA8DC}" srcOrd="7" destOrd="0" presId="urn:microsoft.com/office/officeart/2005/8/layout/chevron2"/>
    <dgm:cxn modelId="{52784532-2584-401C-8F80-20BDA89DD8D8}" type="presParOf" srcId="{EFF1EE1A-8632-411C-BCE7-3142D1BFBDB9}" destId="{922DC01A-E457-483C-B807-B4279DCAE170}" srcOrd="8" destOrd="0" presId="urn:microsoft.com/office/officeart/2005/8/layout/chevron2"/>
    <dgm:cxn modelId="{950A633B-DDC0-404B-B9E7-4B20C7045FF6}" type="presParOf" srcId="{922DC01A-E457-483C-B807-B4279DCAE170}" destId="{97F29C64-BF0D-478E-9258-52ADF6580582}" srcOrd="0" destOrd="0" presId="urn:microsoft.com/office/officeart/2005/8/layout/chevron2"/>
    <dgm:cxn modelId="{F4FFC9AD-70A5-42D7-AFC3-3955BB14B93B}" type="presParOf" srcId="{922DC01A-E457-483C-B807-B4279DCAE170}" destId="{11894391-872B-4B30-AC0A-C98880252CDD}" srcOrd="1" destOrd="0" presId="urn:microsoft.com/office/officeart/2005/8/layout/chevron2"/>
    <dgm:cxn modelId="{7C4BCA1C-5007-4921-B7EC-4DAC9BCAAFC4}" type="presParOf" srcId="{EFF1EE1A-8632-411C-BCE7-3142D1BFBDB9}" destId="{271517FE-CE57-4144-81BC-44A9C869E8F5}" srcOrd="9" destOrd="0" presId="urn:microsoft.com/office/officeart/2005/8/layout/chevron2"/>
    <dgm:cxn modelId="{98B3AC8A-91E0-4BBB-85B7-843CF070664E}" type="presParOf" srcId="{EFF1EE1A-8632-411C-BCE7-3142D1BFBDB9}" destId="{2D862482-632F-4293-B748-CB3069820617}" srcOrd="10" destOrd="0" presId="urn:microsoft.com/office/officeart/2005/8/layout/chevron2"/>
    <dgm:cxn modelId="{3C23489F-0B59-4E28-A8EA-2733CFAFF32E}" type="presParOf" srcId="{2D862482-632F-4293-B748-CB3069820617}" destId="{97FB1E42-9526-42C5-B375-CEC579A05E14}" srcOrd="0" destOrd="0" presId="urn:microsoft.com/office/officeart/2005/8/layout/chevron2"/>
    <dgm:cxn modelId="{BE135D03-3D1D-4C8B-9137-2BB5E7D42343}" type="presParOf" srcId="{2D862482-632F-4293-B748-CB3069820617}" destId="{CBD86608-22C0-4D5E-9602-0E3D11AF5D4F}" srcOrd="1" destOrd="0" presId="urn:microsoft.com/office/officeart/2005/8/layout/chevron2"/>
  </dgm:cxnLst>
  <dgm:bg/>
  <dgm:whole/>
  <dgm:extLst>
    <a:ext uri="http://schemas.microsoft.com/office/drawing/2008/diagram">
      <dsp:dataModelExt xmlns:dsp="http://schemas.microsoft.com/office/drawing/2008/diagram" relId="rId4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7C72029-A96B-47ED-B35A-594EB96EFF25}">
      <dsp:nvSpPr>
        <dsp:cNvPr id="0" name=""/>
        <dsp:cNvSpPr/>
      </dsp:nvSpPr>
      <dsp:spPr>
        <a:xfrm rot="5400000">
          <a:off x="-75672" y="77001"/>
          <a:ext cx="504480" cy="353136"/>
        </a:xfrm>
        <a:prstGeom prst="chevron">
          <a:avLst/>
        </a:prstGeom>
        <a:solidFill>
          <a:schemeClr val="accent1">
            <a:lumMod val="7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66725">
            <a:lnSpc>
              <a:spcPct val="90000"/>
            </a:lnSpc>
            <a:spcBef>
              <a:spcPct val="0"/>
            </a:spcBef>
            <a:spcAft>
              <a:spcPct val="35000"/>
            </a:spcAft>
            <a:buNone/>
          </a:pPr>
          <a:r>
            <a:rPr lang="en-AU" sz="1050" b="0" kern="1200">
              <a:latin typeface="+mn-lt"/>
              <a:cs typeface="Arial" panose="020B0604020202020204" pitchFamily="34" charset="0"/>
            </a:rPr>
            <a:t>1</a:t>
          </a:r>
        </a:p>
      </dsp:txBody>
      <dsp:txXfrm rot="-5400000">
        <a:off x="0" y="177897"/>
        <a:ext cx="353136" cy="151344"/>
      </dsp:txXfrm>
    </dsp:sp>
    <dsp:sp modelId="{E77B4EBE-9303-4A69-9E32-B3C9A9EA37BA}">
      <dsp:nvSpPr>
        <dsp:cNvPr id="0" name=""/>
        <dsp:cNvSpPr/>
      </dsp:nvSpPr>
      <dsp:spPr>
        <a:xfrm rot="5400000">
          <a:off x="2417588" y="-2063122"/>
          <a:ext cx="328084" cy="4456988"/>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66725">
            <a:lnSpc>
              <a:spcPct val="90000"/>
            </a:lnSpc>
            <a:spcBef>
              <a:spcPct val="0"/>
            </a:spcBef>
            <a:spcAft>
              <a:spcPct val="15000"/>
            </a:spcAft>
            <a:buChar char="•"/>
          </a:pPr>
          <a:r>
            <a:rPr lang="en-AU" sz="1050" b="0" kern="1200">
              <a:latin typeface="+mn-lt"/>
              <a:cs typeface="Arial" panose="020B0604020202020204" pitchFamily="34" charset="0"/>
            </a:rPr>
            <a:t>Draft </a:t>
          </a:r>
          <a:r>
            <a:rPr lang="en-AU" sz="1050" b="0" kern="1200">
              <a:latin typeface="+mn-lt"/>
              <a:cs typeface="Times New Roman" panose="02020603050405020304" pitchFamily="18" charset="0"/>
            </a:rPr>
            <a:t>Recommendation</a:t>
          </a:r>
          <a:r>
            <a:rPr lang="en-AU" sz="1050" b="0" kern="1200">
              <a:latin typeface="+mn-lt"/>
              <a:cs typeface="Arial" panose="020B0604020202020204" pitchFamily="34" charset="0"/>
            </a:rPr>
            <a:t> </a:t>
          </a:r>
        </a:p>
      </dsp:txBody>
      <dsp:txXfrm rot="-5400000">
        <a:off x="353136" y="17346"/>
        <a:ext cx="4440972" cy="296052"/>
      </dsp:txXfrm>
    </dsp:sp>
    <dsp:sp modelId="{AA770556-52DC-4FC2-A389-A337B2E4A1DC}">
      <dsp:nvSpPr>
        <dsp:cNvPr id="0" name=""/>
        <dsp:cNvSpPr/>
      </dsp:nvSpPr>
      <dsp:spPr>
        <a:xfrm rot="5400000">
          <a:off x="-75672" y="472778"/>
          <a:ext cx="504480" cy="353136"/>
        </a:xfrm>
        <a:prstGeom prst="chevron">
          <a:avLst/>
        </a:prstGeom>
        <a:solidFill>
          <a:schemeClr val="accent1">
            <a:lumMod val="7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66725">
            <a:lnSpc>
              <a:spcPct val="90000"/>
            </a:lnSpc>
            <a:spcBef>
              <a:spcPct val="0"/>
            </a:spcBef>
            <a:spcAft>
              <a:spcPct val="35000"/>
            </a:spcAft>
            <a:buNone/>
          </a:pPr>
          <a:r>
            <a:rPr lang="en-AU" sz="1050" b="0" kern="1200">
              <a:latin typeface="+mn-lt"/>
              <a:cs typeface="Arial" panose="020B0604020202020204" pitchFamily="34" charset="0"/>
            </a:rPr>
            <a:t>2</a:t>
          </a:r>
        </a:p>
      </dsp:txBody>
      <dsp:txXfrm rot="-5400000">
        <a:off x="0" y="573674"/>
        <a:ext cx="353136" cy="151344"/>
      </dsp:txXfrm>
    </dsp:sp>
    <dsp:sp modelId="{BCE2B56B-3798-4386-BDAC-0825AB501151}">
      <dsp:nvSpPr>
        <dsp:cNvPr id="0" name=""/>
        <dsp:cNvSpPr/>
      </dsp:nvSpPr>
      <dsp:spPr>
        <a:xfrm rot="5400000">
          <a:off x="2417674" y="-1667431"/>
          <a:ext cx="327912" cy="4456988"/>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66725">
            <a:lnSpc>
              <a:spcPct val="90000"/>
            </a:lnSpc>
            <a:spcBef>
              <a:spcPct val="0"/>
            </a:spcBef>
            <a:spcAft>
              <a:spcPct val="15000"/>
            </a:spcAft>
            <a:buChar char="•"/>
          </a:pPr>
          <a:r>
            <a:rPr lang="en-AU" sz="1050" b="0" kern="1200">
              <a:latin typeface="+mn-lt"/>
              <a:cs typeface="Arial" panose="020B0604020202020204" pitchFamily="34" charset="0"/>
            </a:rPr>
            <a:t>Final Recommendation</a:t>
          </a:r>
        </a:p>
      </dsp:txBody>
      <dsp:txXfrm rot="-5400000">
        <a:off x="353137" y="413113"/>
        <a:ext cx="4440981" cy="295898"/>
      </dsp:txXfrm>
    </dsp:sp>
    <dsp:sp modelId="{0F77DE4C-A73D-47A4-8BF8-12B2AD7B8982}">
      <dsp:nvSpPr>
        <dsp:cNvPr id="0" name=""/>
        <dsp:cNvSpPr/>
      </dsp:nvSpPr>
      <dsp:spPr>
        <a:xfrm rot="5400000">
          <a:off x="-75672" y="859238"/>
          <a:ext cx="504480" cy="353136"/>
        </a:xfrm>
        <a:prstGeom prst="chevron">
          <a:avLst/>
        </a:prstGeom>
        <a:solidFill>
          <a:schemeClr val="accent1">
            <a:lumMod val="7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66725">
            <a:lnSpc>
              <a:spcPct val="90000"/>
            </a:lnSpc>
            <a:spcBef>
              <a:spcPct val="0"/>
            </a:spcBef>
            <a:spcAft>
              <a:spcPct val="35000"/>
            </a:spcAft>
            <a:buNone/>
          </a:pPr>
          <a:r>
            <a:rPr lang="en-AU" sz="1050" b="0" kern="1200">
              <a:latin typeface="+mn-lt"/>
              <a:cs typeface="Arial" panose="020B0604020202020204" pitchFamily="34" charset="0"/>
            </a:rPr>
            <a:t>3</a:t>
          </a:r>
        </a:p>
      </dsp:txBody>
      <dsp:txXfrm rot="-5400000">
        <a:off x="0" y="960134"/>
        <a:ext cx="353136" cy="151344"/>
      </dsp:txXfrm>
    </dsp:sp>
    <dsp:sp modelId="{97C7EE95-B63B-4041-B959-058EEA521891}">
      <dsp:nvSpPr>
        <dsp:cNvPr id="0" name=""/>
        <dsp:cNvSpPr/>
      </dsp:nvSpPr>
      <dsp:spPr>
        <a:xfrm rot="5400000">
          <a:off x="2417674" y="-1271654"/>
          <a:ext cx="327912" cy="4456988"/>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66725">
            <a:lnSpc>
              <a:spcPct val="90000"/>
            </a:lnSpc>
            <a:spcBef>
              <a:spcPct val="0"/>
            </a:spcBef>
            <a:spcAft>
              <a:spcPct val="15000"/>
            </a:spcAft>
            <a:buChar char="•"/>
          </a:pPr>
          <a:r>
            <a:rPr lang="en-AU" sz="1050" b="0" kern="1200">
              <a:latin typeface="+mn-lt"/>
              <a:cs typeface="Arial" panose="020B0604020202020204" pitchFamily="34" charset="0"/>
            </a:rPr>
            <a:t>Reallocation Declaration</a:t>
          </a:r>
        </a:p>
      </dsp:txBody>
      <dsp:txXfrm rot="-5400000">
        <a:off x="353137" y="808890"/>
        <a:ext cx="4440981" cy="295898"/>
      </dsp:txXfrm>
    </dsp:sp>
    <dsp:sp modelId="{1D0CA02A-9599-4888-B95D-1AB945A1F5FF}">
      <dsp:nvSpPr>
        <dsp:cNvPr id="0" name=""/>
        <dsp:cNvSpPr/>
      </dsp:nvSpPr>
      <dsp:spPr>
        <a:xfrm rot="5400000">
          <a:off x="-75672" y="1264332"/>
          <a:ext cx="504480" cy="353136"/>
        </a:xfrm>
        <a:prstGeom prst="chevron">
          <a:avLst/>
        </a:prstGeom>
        <a:solidFill>
          <a:schemeClr val="accent1">
            <a:lumMod val="7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66725">
            <a:lnSpc>
              <a:spcPct val="90000"/>
            </a:lnSpc>
            <a:spcBef>
              <a:spcPct val="0"/>
            </a:spcBef>
            <a:spcAft>
              <a:spcPct val="35000"/>
            </a:spcAft>
            <a:buNone/>
          </a:pPr>
          <a:r>
            <a:rPr lang="en-AU" sz="1050" b="0" kern="1200">
              <a:latin typeface="+mn-lt"/>
              <a:cs typeface="Arial" panose="020B0604020202020204" pitchFamily="34" charset="0"/>
            </a:rPr>
            <a:t>4</a:t>
          </a:r>
        </a:p>
      </dsp:txBody>
      <dsp:txXfrm rot="-5400000">
        <a:off x="0" y="1365228"/>
        <a:ext cx="353136" cy="151344"/>
      </dsp:txXfrm>
    </dsp:sp>
    <dsp:sp modelId="{457BA2CF-1879-41BC-A398-1F36F1F7EE91}">
      <dsp:nvSpPr>
        <dsp:cNvPr id="0" name=""/>
        <dsp:cNvSpPr/>
      </dsp:nvSpPr>
      <dsp:spPr>
        <a:xfrm rot="5400000">
          <a:off x="2417674" y="-875877"/>
          <a:ext cx="327912" cy="4456988"/>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66725">
            <a:lnSpc>
              <a:spcPct val="90000"/>
            </a:lnSpc>
            <a:spcBef>
              <a:spcPct val="0"/>
            </a:spcBef>
            <a:spcAft>
              <a:spcPct val="15000"/>
            </a:spcAft>
            <a:buChar char="•"/>
          </a:pPr>
          <a:r>
            <a:rPr lang="en-AU" sz="1050" b="0" kern="1200">
              <a:latin typeface="+mn-lt"/>
              <a:cs typeface="Arial" panose="020B0604020202020204" pitchFamily="34" charset="0"/>
            </a:rPr>
            <a:t>Draft Allocation Instruments </a:t>
          </a:r>
        </a:p>
      </dsp:txBody>
      <dsp:txXfrm rot="-5400000">
        <a:off x="353137" y="1204667"/>
        <a:ext cx="4440981" cy="295898"/>
      </dsp:txXfrm>
    </dsp:sp>
    <dsp:sp modelId="{97F29C64-BF0D-478E-9258-52ADF6580582}">
      <dsp:nvSpPr>
        <dsp:cNvPr id="0" name=""/>
        <dsp:cNvSpPr/>
      </dsp:nvSpPr>
      <dsp:spPr>
        <a:xfrm rot="5400000">
          <a:off x="-75672" y="1660109"/>
          <a:ext cx="504480" cy="353136"/>
        </a:xfrm>
        <a:prstGeom prst="chevron">
          <a:avLst/>
        </a:prstGeom>
        <a:solidFill>
          <a:schemeClr val="accent1">
            <a:lumMod val="7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66725">
            <a:lnSpc>
              <a:spcPct val="90000"/>
            </a:lnSpc>
            <a:spcBef>
              <a:spcPct val="0"/>
            </a:spcBef>
            <a:spcAft>
              <a:spcPct val="35000"/>
            </a:spcAft>
            <a:buNone/>
          </a:pPr>
          <a:r>
            <a:rPr lang="en-AU" sz="1050" b="0" kern="1200">
              <a:latin typeface="+mn-lt"/>
              <a:cs typeface="Arial" panose="020B0604020202020204" pitchFamily="34" charset="0"/>
            </a:rPr>
            <a:t>5</a:t>
          </a:r>
        </a:p>
      </dsp:txBody>
      <dsp:txXfrm rot="-5400000">
        <a:off x="0" y="1761005"/>
        <a:ext cx="353136" cy="151344"/>
      </dsp:txXfrm>
    </dsp:sp>
    <dsp:sp modelId="{11894391-872B-4B30-AC0A-C98880252CDD}">
      <dsp:nvSpPr>
        <dsp:cNvPr id="0" name=""/>
        <dsp:cNvSpPr/>
      </dsp:nvSpPr>
      <dsp:spPr>
        <a:xfrm rot="5400000">
          <a:off x="2417674" y="-480100"/>
          <a:ext cx="327912" cy="4456988"/>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66725">
            <a:lnSpc>
              <a:spcPct val="90000"/>
            </a:lnSpc>
            <a:spcBef>
              <a:spcPct val="0"/>
            </a:spcBef>
            <a:spcAft>
              <a:spcPct val="15000"/>
            </a:spcAft>
            <a:buChar char="•"/>
          </a:pPr>
          <a:r>
            <a:rPr lang="en-AU" sz="1050" b="0" kern="1200">
              <a:latin typeface="+mn-lt"/>
              <a:cs typeface="Arial" panose="020B0604020202020204" pitchFamily="34" charset="0"/>
            </a:rPr>
            <a:t>Final Allocation Instruments </a:t>
          </a:r>
        </a:p>
      </dsp:txBody>
      <dsp:txXfrm rot="-5400000">
        <a:off x="353137" y="1600444"/>
        <a:ext cx="4440981" cy="295898"/>
      </dsp:txXfrm>
    </dsp:sp>
    <dsp:sp modelId="{97FB1E42-9526-42C5-B375-CEC579A05E14}">
      <dsp:nvSpPr>
        <dsp:cNvPr id="0" name=""/>
        <dsp:cNvSpPr/>
      </dsp:nvSpPr>
      <dsp:spPr>
        <a:xfrm rot="5400000">
          <a:off x="-75672" y="2055886"/>
          <a:ext cx="504480" cy="353136"/>
        </a:xfrm>
        <a:prstGeom prst="chevron">
          <a:avLst/>
        </a:prstGeom>
        <a:solidFill>
          <a:schemeClr val="accent1">
            <a:lumMod val="7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66725">
            <a:lnSpc>
              <a:spcPct val="90000"/>
            </a:lnSpc>
            <a:spcBef>
              <a:spcPct val="0"/>
            </a:spcBef>
            <a:spcAft>
              <a:spcPct val="35000"/>
            </a:spcAft>
            <a:buNone/>
          </a:pPr>
          <a:r>
            <a:rPr lang="en-AU" sz="1050" b="0" kern="1200">
              <a:latin typeface="+mn-lt"/>
              <a:cs typeface="Arial" panose="020B0604020202020204" pitchFamily="34" charset="0"/>
            </a:rPr>
            <a:t>6</a:t>
          </a:r>
        </a:p>
      </dsp:txBody>
      <dsp:txXfrm rot="-5400000">
        <a:off x="0" y="2156782"/>
        <a:ext cx="353136" cy="151344"/>
      </dsp:txXfrm>
    </dsp:sp>
    <dsp:sp modelId="{CBD86608-22C0-4D5E-9602-0E3D11AF5D4F}">
      <dsp:nvSpPr>
        <dsp:cNvPr id="0" name=""/>
        <dsp:cNvSpPr/>
      </dsp:nvSpPr>
      <dsp:spPr>
        <a:xfrm rot="5400000">
          <a:off x="2417674" y="-84323"/>
          <a:ext cx="327912" cy="4456988"/>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66725">
            <a:lnSpc>
              <a:spcPct val="90000"/>
            </a:lnSpc>
            <a:spcBef>
              <a:spcPct val="0"/>
            </a:spcBef>
            <a:spcAft>
              <a:spcPct val="15000"/>
            </a:spcAft>
            <a:buChar char="•"/>
          </a:pPr>
          <a:r>
            <a:rPr lang="en-AU" sz="1050" b="0" kern="1200">
              <a:latin typeface="+mn-lt"/>
              <a:cs typeface="Arial" panose="020B0604020202020204" pitchFamily="34" charset="0"/>
            </a:rPr>
            <a:t>Allocation</a:t>
          </a:r>
        </a:p>
      </dsp:txBody>
      <dsp:txXfrm rot="-5400000">
        <a:off x="353137" y="1996221"/>
        <a:ext cx="4440981" cy="295898"/>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5734FC-FB53-424C-A5DA-70F0939C16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46</Pages>
  <Words>12064</Words>
  <Characters>68765</Characters>
  <Application>Microsoft Office Word</Application>
  <DocSecurity>0</DocSecurity>
  <Lines>573</Lines>
  <Paragraphs>161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80668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2019-05-08T02:30:00Z</dcterms:created>
  <dcterms:modified xsi:type="dcterms:W3CDTF">2019-05-08T02:30:00Z</dcterms:modified>
  <cp:category/>
</cp:coreProperties>
</file>