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D3648" w14:textId="752BEB35" w:rsidR="000D5DB0" w:rsidRPr="0071589C" w:rsidRDefault="000D5DB0" w:rsidP="000D5DB0">
      <w:pPr>
        <w:pStyle w:val="Reporttitle"/>
      </w:pPr>
      <w:bookmarkStart w:id="0" w:name="_Hlk71281631"/>
      <w:r w:rsidRPr="00C60F78">
        <w:rPr>
          <w:b w:val="0"/>
          <w:color w:val="323232"/>
        </w:rPr>
        <w:t xml:space="preserve">Automatic sunsetting of </w:t>
      </w:r>
      <w:r w:rsidRPr="00C60F78">
        <w:rPr>
          <w:b w:val="0"/>
          <w:color w:val="323232"/>
        </w:rPr>
        <w:br/>
        <w:t>legislative instruments</w:t>
      </w:r>
      <w:r w:rsidR="00114E6F">
        <w:rPr>
          <w:b w:val="0"/>
          <w:color w:val="323232"/>
        </w:rPr>
        <w:t>:</w:t>
      </w:r>
      <w:r>
        <w:br/>
        <w:t xml:space="preserve">Proposal to </w:t>
      </w:r>
      <w:bookmarkStart w:id="1" w:name="_Hlk70953663"/>
      <w:bookmarkStart w:id="2" w:name="_Hlk70953032"/>
      <w:r>
        <w:t>remake</w:t>
      </w:r>
      <w:r w:rsidR="00D90CDC">
        <w:t xml:space="preserve"> the</w:t>
      </w:r>
      <w:r>
        <w:t xml:space="preserve"> </w:t>
      </w:r>
      <w:bookmarkEnd w:id="1"/>
      <w:bookmarkEnd w:id="2"/>
      <w:r w:rsidR="00495E93" w:rsidRPr="004C284A">
        <w:t>Telecommunications (Infringement Notices) Guidelines 2011</w:t>
      </w:r>
      <w:r w:rsidRPr="006D1027">
        <w:rPr>
          <w:i/>
          <w:iCs/>
        </w:rPr>
        <w:t xml:space="preserve"> </w:t>
      </w:r>
    </w:p>
    <w:p w14:paraId="3C78460B" w14:textId="77777777" w:rsidR="000D5DB0" w:rsidRPr="0071589C" w:rsidRDefault="000D5DB0" w:rsidP="006D1027">
      <w:pPr>
        <w:pStyle w:val="Reportsubtitle"/>
      </w:pPr>
      <w:r w:rsidRPr="0071589C">
        <w:t>Consultation paper</w:t>
      </w:r>
    </w:p>
    <w:p w14:paraId="6843F075" w14:textId="1751E47A" w:rsidR="00C97736" w:rsidRPr="00F80FAF" w:rsidRDefault="00F80FAF" w:rsidP="00EC2B68">
      <w:pPr>
        <w:pStyle w:val="Reportdate"/>
        <w:spacing w:after="720"/>
        <w:rPr>
          <w:rFonts w:cs="Arial"/>
          <w:color w:val="auto"/>
        </w:rPr>
        <w:sectPr w:rsidR="00C97736" w:rsidRPr="00F80FAF" w:rsidSect="0021426C">
          <w:headerReference w:type="default" r:id="rId8"/>
          <w:footerReference w:type="default" r:id="rId9"/>
          <w:headerReference w:type="first" r:id="rId10"/>
          <w:pgSz w:w="11906" w:h="16838" w:code="9"/>
          <w:pgMar w:top="3924" w:right="992" w:bottom="1440" w:left="1134" w:header="709" w:footer="454" w:gutter="0"/>
          <w:cols w:space="708"/>
          <w:docGrid w:linePitch="360"/>
        </w:sectPr>
      </w:pPr>
      <w:r w:rsidRPr="00F80FAF">
        <w:rPr>
          <w:color w:val="auto"/>
        </w:rPr>
        <w:t>nOVEMBER</w:t>
      </w:r>
      <w:r w:rsidR="00C60F78" w:rsidRPr="00F80FAF">
        <w:rPr>
          <w:color w:val="auto"/>
        </w:rPr>
        <w:t xml:space="preserve"> </w:t>
      </w:r>
      <w:r w:rsidR="000D5DB0" w:rsidRPr="00F80FAF">
        <w:rPr>
          <w:color w:val="auto"/>
        </w:rPr>
        <w:t>2021</w:t>
      </w:r>
    </w:p>
    <w:bookmarkEnd w:id="0"/>
    <w:p w14:paraId="116CA8F9" w14:textId="77777777" w:rsidR="0005011A" w:rsidRPr="00F44F3A" w:rsidRDefault="0005011A" w:rsidP="00FC07B9">
      <w:pPr>
        <w:pStyle w:val="ACMACorporateAddressHeader"/>
      </w:pPr>
      <w:r w:rsidRPr="00F44F3A">
        <w:lastRenderedPageBreak/>
        <w:t>Canberra</w:t>
      </w:r>
    </w:p>
    <w:p w14:paraId="109B2496" w14:textId="77777777" w:rsidR="0005011A" w:rsidRPr="00FC07B9" w:rsidRDefault="0005011A" w:rsidP="00FC07B9">
      <w:pPr>
        <w:pStyle w:val="ACMACorporateAddresses"/>
      </w:pPr>
      <w:r w:rsidRPr="00FC07B9">
        <w:t xml:space="preserve">Red Building </w:t>
      </w:r>
      <w:r w:rsidRPr="00FC07B9">
        <w:br/>
        <w:t>Benjamin Offices</w:t>
      </w:r>
      <w:r w:rsidRPr="00FC07B9">
        <w:br/>
        <w:t xml:space="preserve">Chan Street </w:t>
      </w:r>
      <w:r w:rsidRPr="00FC07B9">
        <w:br/>
        <w:t>Belconnen ACT</w:t>
      </w:r>
    </w:p>
    <w:p w14:paraId="2AD756F3" w14:textId="77777777" w:rsidR="0005011A" w:rsidRPr="00FC07B9" w:rsidRDefault="0005011A" w:rsidP="00FC07B9">
      <w:pPr>
        <w:pStyle w:val="ACMACorporateAddresses"/>
      </w:pPr>
      <w:r w:rsidRPr="00FC07B9">
        <w:t>PO Box 78</w:t>
      </w:r>
      <w:r w:rsidRPr="00FC07B9">
        <w:br/>
        <w:t>Belconnen ACT 2616</w:t>
      </w:r>
    </w:p>
    <w:p w14:paraId="222F748E" w14:textId="77777777" w:rsidR="00FE1823" w:rsidRPr="00FC07B9" w:rsidRDefault="0005011A" w:rsidP="00FC07B9">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14:paraId="119741FB" w14:textId="77777777" w:rsidR="0005011A" w:rsidRPr="00F44F3A" w:rsidRDefault="0005011A" w:rsidP="00FC07B9">
      <w:pPr>
        <w:pStyle w:val="ACMACorporateAddressHeader"/>
      </w:pPr>
      <w:r w:rsidRPr="00F44F3A">
        <w:t>Melbourne</w:t>
      </w:r>
    </w:p>
    <w:p w14:paraId="72CAFE37" w14:textId="77777777" w:rsidR="0005011A" w:rsidRPr="00F44F3A" w:rsidRDefault="0005011A" w:rsidP="00FC07B9">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14:paraId="7087817C" w14:textId="77777777" w:rsidR="0005011A" w:rsidRPr="00F44F3A" w:rsidRDefault="0005011A" w:rsidP="00FC07B9">
      <w:pPr>
        <w:pStyle w:val="ACMACorporateAddresses"/>
      </w:pPr>
      <w:r w:rsidRPr="00F44F3A">
        <w:t>PO Box 13112</w:t>
      </w:r>
      <w:r w:rsidRPr="00F44F3A">
        <w:br/>
        <w:t xml:space="preserve">Law Courts </w:t>
      </w:r>
      <w:r w:rsidRPr="00F44F3A">
        <w:br/>
        <w:t>Melbourne VIC 8010</w:t>
      </w:r>
    </w:p>
    <w:p w14:paraId="197F557B" w14:textId="77777777" w:rsidR="0005011A" w:rsidRPr="00F44F3A" w:rsidRDefault="0005011A" w:rsidP="00FC07B9">
      <w:pPr>
        <w:pStyle w:val="ACMACorporateAddresses"/>
      </w:pPr>
      <w:r w:rsidRPr="00F44F3A">
        <w:t>T</w:t>
      </w:r>
      <w:r w:rsidR="00140318" w:rsidRPr="00F44F3A">
        <w:tab/>
      </w:r>
      <w:r w:rsidRPr="00F44F3A">
        <w:t>+61 3 9963 6800</w:t>
      </w:r>
      <w:r w:rsidRPr="00F44F3A">
        <w:br/>
        <w:t>F</w:t>
      </w:r>
      <w:r w:rsidR="00140318" w:rsidRPr="00F44F3A">
        <w:tab/>
      </w:r>
      <w:r w:rsidRPr="00F44F3A">
        <w:t>+61 3 9963 6899</w:t>
      </w:r>
    </w:p>
    <w:p w14:paraId="44FF04A8" w14:textId="77777777" w:rsidR="0005011A" w:rsidRPr="00F44F3A" w:rsidRDefault="0005011A" w:rsidP="00FC07B9">
      <w:pPr>
        <w:pStyle w:val="ACMACorporateAddressHeader"/>
      </w:pPr>
      <w:r w:rsidRPr="00F44F3A">
        <w:t>Sydney</w:t>
      </w:r>
    </w:p>
    <w:p w14:paraId="06628AFC" w14:textId="77777777" w:rsidR="0005011A" w:rsidRPr="00F44F3A" w:rsidRDefault="0005011A" w:rsidP="00FC07B9">
      <w:pPr>
        <w:pStyle w:val="ACMACorporateAddresses"/>
      </w:pPr>
      <w:r w:rsidRPr="00F44F3A">
        <w:t xml:space="preserve">Level 5 </w:t>
      </w:r>
      <w:r w:rsidRPr="00F44F3A">
        <w:br/>
        <w:t>The Bay Centre</w:t>
      </w:r>
      <w:r w:rsidRPr="00F44F3A">
        <w:br/>
        <w:t xml:space="preserve">65 Pirrama Road </w:t>
      </w:r>
      <w:r w:rsidRPr="00F44F3A">
        <w:br/>
        <w:t>Pyrmont NSW</w:t>
      </w:r>
    </w:p>
    <w:p w14:paraId="0D7A92E2" w14:textId="77777777" w:rsidR="0005011A" w:rsidRPr="00F44F3A" w:rsidRDefault="0005011A" w:rsidP="00FC07B9">
      <w:pPr>
        <w:pStyle w:val="ACMACorporateAddresses"/>
      </w:pPr>
      <w:r w:rsidRPr="00F44F3A">
        <w:t>PO Box Q500</w:t>
      </w:r>
      <w:r w:rsidRPr="00F44F3A">
        <w:br/>
        <w:t xml:space="preserve">Queen Victoria Building </w:t>
      </w:r>
      <w:r w:rsidRPr="00F44F3A">
        <w:br/>
        <w:t>NSW 1230</w:t>
      </w:r>
    </w:p>
    <w:p w14:paraId="32619775" w14:textId="77777777" w:rsidR="0005011A" w:rsidRPr="00F44F3A" w:rsidRDefault="0005011A" w:rsidP="00FC07B9">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14:paraId="64FC358C" w14:textId="77777777" w:rsidR="00140318" w:rsidRPr="006D46E5" w:rsidRDefault="00140318" w:rsidP="00FC07B9">
      <w:pPr>
        <w:pStyle w:val="ACMACopyrightHeader"/>
      </w:pPr>
      <w:r w:rsidRPr="00140318">
        <w:t>Copyright notice</w:t>
      </w:r>
    </w:p>
    <w:p w14:paraId="3A9F3817" w14:textId="77777777" w:rsidR="00140318" w:rsidRPr="006D46E5" w:rsidRDefault="00623FF9" w:rsidP="00623FF9">
      <w:pPr>
        <w:pStyle w:val="ACMACClogo"/>
      </w:pPr>
      <w:r w:rsidRPr="00623FF9">
        <w:rPr>
          <w:noProof/>
        </w:rPr>
        <w:drawing>
          <wp:inline distT="0" distB="0" distL="0" distR="0" wp14:anchorId="0CB7512C" wp14:editId="6FB1ADE5">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0937AA58" w14:textId="77777777" w:rsidR="00AA2DE5" w:rsidRDefault="00DF2474" w:rsidP="00AA2DE5">
      <w:pPr>
        <w:pStyle w:val="ACMACorporateAddresses"/>
        <w:rPr>
          <w:rStyle w:val="Hyperlink"/>
        </w:rPr>
      </w:pPr>
      <w:hyperlink r:id="rId13" w:history="1">
        <w:r w:rsidR="00AA2DE5">
          <w:rPr>
            <w:rStyle w:val="Hyperlink"/>
          </w:rPr>
          <w:t>https://creativecommons.org/licenses/by/4.0/</w:t>
        </w:r>
      </w:hyperlink>
    </w:p>
    <w:p w14:paraId="378E993B" w14:textId="77777777" w:rsidR="00AA2DE5" w:rsidRDefault="00AA2DE5" w:rsidP="00AA2DE5">
      <w:pPr>
        <w:pStyle w:val="ACMACorporateAddresses"/>
      </w:pPr>
      <w:r>
        <w:t xml:space="preserve">With the exception of coats of arms, logos, emblems, images, other third-party material or devices protected by a trademark, this content is made available under the terms of the Creative Commons Attribution 4.0 International (CC BY 4.0) licence. </w:t>
      </w:r>
    </w:p>
    <w:p w14:paraId="74994D2A" w14:textId="675B698C" w:rsidR="00AA2DE5" w:rsidRDefault="00AA2DE5" w:rsidP="00AA2DE5">
      <w:pPr>
        <w:pStyle w:val="ACMACorporateAddresses"/>
      </w:pPr>
      <w:r>
        <w:t>We request attribution as © Commonwealth of Australia (Australian Communications and Media Authority) 20</w:t>
      </w:r>
      <w:r w:rsidR="00C41F21">
        <w:t>2</w:t>
      </w:r>
      <w:r w:rsidR="00C60F78">
        <w:t>1</w:t>
      </w:r>
      <w:r>
        <w:t>.</w:t>
      </w:r>
    </w:p>
    <w:p w14:paraId="38323134" w14:textId="77777777" w:rsidR="00AA2DE5" w:rsidRDefault="00AA2DE5" w:rsidP="00AA2DE5">
      <w:pPr>
        <w:pStyle w:val="ACMACorporateAddresses"/>
      </w:pPr>
      <w:r>
        <w:t>All other rights are reserved.</w:t>
      </w:r>
    </w:p>
    <w:p w14:paraId="789675EC" w14:textId="77777777" w:rsidR="00AA2DE5" w:rsidRDefault="00AA2DE5" w:rsidP="00AA2DE5">
      <w:pPr>
        <w:pStyle w:val="ACMACorporateAddresses"/>
      </w:pPr>
      <w:r>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3F36DD5D" w14:textId="77777777" w:rsidR="00AA2DE5" w:rsidRDefault="00AA2DE5" w:rsidP="00AA2DE5">
      <w:pPr>
        <w:pStyle w:val="ACMACorporateAddresses"/>
      </w:pPr>
      <w:r>
        <w:t>Written enquiries may be sent to:</w:t>
      </w:r>
    </w:p>
    <w:p w14:paraId="36D711BA" w14:textId="77777777" w:rsidR="00AA2DE5" w:rsidRDefault="00AA2DE5" w:rsidP="00AA2DE5">
      <w:pPr>
        <w:pStyle w:val="ACMACorporateAddresses"/>
        <w:rPr>
          <w:rStyle w:val="Hyperlink"/>
        </w:rPr>
      </w:pPr>
      <w:r>
        <w:t xml:space="preserve">Manager, Editorial </w:t>
      </w:r>
      <w:r w:rsidR="000245E5">
        <w:t>Services</w:t>
      </w:r>
      <w:r>
        <w:br/>
        <w:t>PO Box 13112</w:t>
      </w:r>
      <w:r>
        <w:br/>
        <w:t>Law Courts</w:t>
      </w:r>
      <w:r>
        <w:br/>
        <w:t>Melbourne VIC 8010</w:t>
      </w:r>
      <w:r>
        <w:br/>
        <w:t xml:space="preserve">Email: </w:t>
      </w:r>
      <w:hyperlink r:id="rId14" w:history="1">
        <w:r>
          <w:rPr>
            <w:rStyle w:val="Hyperlink"/>
          </w:rPr>
          <w:t>info@acma.gov.au</w:t>
        </w:r>
      </w:hyperlink>
    </w:p>
    <w:p w14:paraId="73CFD759" w14:textId="77777777" w:rsidR="00D16FE3" w:rsidRDefault="00D16FE3" w:rsidP="00D16FE3">
      <w:pPr>
        <w:pStyle w:val="ACMACorporateAddresses"/>
        <w:rPr>
          <w:rStyle w:val="Hyperlink"/>
        </w:rPr>
      </w:pPr>
    </w:p>
    <w:p w14:paraId="078555D1" w14:textId="77777777" w:rsidR="00D16FE3" w:rsidRPr="00D16FE3" w:rsidRDefault="00D16FE3" w:rsidP="00D16FE3">
      <w:pPr>
        <w:pStyle w:val="ACMACorporateAddresses"/>
        <w:sectPr w:rsidR="00D16FE3" w:rsidRPr="00D16FE3">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013DF5B0" w14:textId="577B3074" w:rsidR="002C4B9B" w:rsidRDefault="002C4B9B">
      <w:pPr>
        <w:pStyle w:val="TOC1"/>
        <w:rPr>
          <w:rFonts w:asciiTheme="minorHAnsi" w:eastAsiaTheme="minorEastAsia" w:hAnsiTheme="minorHAnsi" w:cstheme="minorBidi"/>
          <w:b w:val="0"/>
          <w:spacing w:val="0"/>
          <w:sz w:val="22"/>
          <w:szCs w:val="22"/>
        </w:rPr>
      </w:pPr>
      <w:r>
        <w:rPr>
          <w:rFonts w:cs="Arial"/>
        </w:rPr>
        <w:lastRenderedPageBreak/>
        <w:fldChar w:fldCharType="begin"/>
      </w:r>
      <w:r>
        <w:rPr>
          <w:rFonts w:cs="Arial"/>
        </w:rPr>
        <w:instrText xml:space="preserve"> TOC \o "1-2" \h \z \t "Exec summary heading,1" </w:instrText>
      </w:r>
      <w:r>
        <w:rPr>
          <w:rFonts w:cs="Arial"/>
        </w:rPr>
        <w:fldChar w:fldCharType="separate"/>
      </w:r>
      <w:hyperlink w:anchor="_Toc70945561" w:history="1">
        <w:r w:rsidRPr="007D72F1">
          <w:rPr>
            <w:rStyle w:val="Hyperlink"/>
          </w:rPr>
          <w:t>Executive summary</w:t>
        </w:r>
        <w:r>
          <w:rPr>
            <w:webHidden/>
          </w:rPr>
          <w:tab/>
        </w:r>
        <w:r>
          <w:rPr>
            <w:webHidden/>
          </w:rPr>
          <w:fldChar w:fldCharType="begin"/>
        </w:r>
        <w:r>
          <w:rPr>
            <w:webHidden/>
          </w:rPr>
          <w:instrText xml:space="preserve"> PAGEREF _Toc70945561 \h </w:instrText>
        </w:r>
        <w:r>
          <w:rPr>
            <w:webHidden/>
          </w:rPr>
        </w:r>
        <w:r>
          <w:rPr>
            <w:webHidden/>
          </w:rPr>
          <w:fldChar w:fldCharType="separate"/>
        </w:r>
        <w:r w:rsidR="00DF2474">
          <w:rPr>
            <w:webHidden/>
          </w:rPr>
          <w:t>1</w:t>
        </w:r>
        <w:r>
          <w:rPr>
            <w:webHidden/>
          </w:rPr>
          <w:fldChar w:fldCharType="end"/>
        </w:r>
      </w:hyperlink>
    </w:p>
    <w:p w14:paraId="41071384" w14:textId="675DAD31" w:rsidR="002C4B9B" w:rsidRDefault="00DF2474">
      <w:pPr>
        <w:pStyle w:val="TOC1"/>
        <w:rPr>
          <w:rFonts w:asciiTheme="minorHAnsi" w:eastAsiaTheme="minorEastAsia" w:hAnsiTheme="minorHAnsi" w:cstheme="minorBidi"/>
          <w:b w:val="0"/>
          <w:spacing w:val="0"/>
          <w:sz w:val="22"/>
          <w:szCs w:val="22"/>
        </w:rPr>
      </w:pPr>
      <w:hyperlink w:anchor="_Toc70945562" w:history="1">
        <w:r w:rsidR="002C4B9B" w:rsidRPr="007D72F1">
          <w:rPr>
            <w:rStyle w:val="Hyperlink"/>
          </w:rPr>
          <w:t>Background</w:t>
        </w:r>
        <w:r w:rsidR="002C4B9B">
          <w:rPr>
            <w:webHidden/>
          </w:rPr>
          <w:tab/>
        </w:r>
        <w:r w:rsidR="002C4B9B">
          <w:rPr>
            <w:webHidden/>
          </w:rPr>
          <w:fldChar w:fldCharType="begin"/>
        </w:r>
        <w:r w:rsidR="002C4B9B">
          <w:rPr>
            <w:webHidden/>
          </w:rPr>
          <w:instrText xml:space="preserve"> PAGEREF _Toc70945562 \h </w:instrText>
        </w:r>
        <w:r w:rsidR="002C4B9B">
          <w:rPr>
            <w:webHidden/>
          </w:rPr>
        </w:r>
        <w:r w:rsidR="002C4B9B">
          <w:rPr>
            <w:webHidden/>
          </w:rPr>
          <w:fldChar w:fldCharType="separate"/>
        </w:r>
        <w:r>
          <w:rPr>
            <w:webHidden/>
          </w:rPr>
          <w:t>2</w:t>
        </w:r>
        <w:r w:rsidR="002C4B9B">
          <w:rPr>
            <w:webHidden/>
          </w:rPr>
          <w:fldChar w:fldCharType="end"/>
        </w:r>
      </w:hyperlink>
    </w:p>
    <w:p w14:paraId="478479BC" w14:textId="1F163CC6" w:rsidR="002C4B9B" w:rsidRDefault="00DF2474">
      <w:pPr>
        <w:pStyle w:val="TOC1"/>
        <w:rPr>
          <w:rFonts w:asciiTheme="minorHAnsi" w:eastAsiaTheme="minorEastAsia" w:hAnsiTheme="minorHAnsi" w:cstheme="minorBidi"/>
          <w:b w:val="0"/>
          <w:spacing w:val="0"/>
          <w:sz w:val="22"/>
          <w:szCs w:val="22"/>
        </w:rPr>
      </w:pPr>
      <w:hyperlink w:anchor="_Toc70945563" w:history="1">
        <w:r w:rsidR="002C4B9B" w:rsidRPr="007D72F1">
          <w:rPr>
            <w:rStyle w:val="Hyperlink"/>
          </w:rPr>
          <w:t>Brief details of the enforcement guidelines</w:t>
        </w:r>
        <w:r w:rsidR="002C4B9B">
          <w:rPr>
            <w:webHidden/>
          </w:rPr>
          <w:tab/>
        </w:r>
        <w:r w:rsidR="002C4B9B">
          <w:rPr>
            <w:webHidden/>
          </w:rPr>
          <w:fldChar w:fldCharType="begin"/>
        </w:r>
        <w:r w:rsidR="002C4B9B">
          <w:rPr>
            <w:webHidden/>
          </w:rPr>
          <w:instrText xml:space="preserve"> PAGEREF _Toc70945563 \h </w:instrText>
        </w:r>
        <w:r w:rsidR="002C4B9B">
          <w:rPr>
            <w:webHidden/>
          </w:rPr>
        </w:r>
        <w:r w:rsidR="002C4B9B">
          <w:rPr>
            <w:webHidden/>
          </w:rPr>
          <w:fldChar w:fldCharType="separate"/>
        </w:r>
        <w:r>
          <w:rPr>
            <w:webHidden/>
          </w:rPr>
          <w:t>3</w:t>
        </w:r>
        <w:r w:rsidR="002C4B9B">
          <w:rPr>
            <w:webHidden/>
          </w:rPr>
          <w:fldChar w:fldCharType="end"/>
        </w:r>
      </w:hyperlink>
    </w:p>
    <w:p w14:paraId="403EEAE0" w14:textId="3103CA1C" w:rsidR="002C4B9B" w:rsidRDefault="00DF2474">
      <w:pPr>
        <w:pStyle w:val="TOC1"/>
        <w:rPr>
          <w:rFonts w:asciiTheme="minorHAnsi" w:eastAsiaTheme="minorEastAsia" w:hAnsiTheme="minorHAnsi" w:cstheme="minorBidi"/>
          <w:b w:val="0"/>
          <w:spacing w:val="0"/>
          <w:sz w:val="22"/>
          <w:szCs w:val="22"/>
        </w:rPr>
      </w:pPr>
      <w:hyperlink w:anchor="_Toc70945564" w:history="1">
        <w:r w:rsidR="002C4B9B" w:rsidRPr="007D72F1">
          <w:rPr>
            <w:rStyle w:val="Hyperlink"/>
          </w:rPr>
          <w:t>Proposed changes to the legislative instrument</w:t>
        </w:r>
        <w:r w:rsidR="002C4B9B">
          <w:rPr>
            <w:webHidden/>
          </w:rPr>
          <w:tab/>
        </w:r>
        <w:r w:rsidR="002C4B9B">
          <w:rPr>
            <w:webHidden/>
          </w:rPr>
          <w:fldChar w:fldCharType="begin"/>
        </w:r>
        <w:r w:rsidR="002C4B9B">
          <w:rPr>
            <w:webHidden/>
          </w:rPr>
          <w:instrText xml:space="preserve"> PAGEREF _Toc70945564 \h </w:instrText>
        </w:r>
        <w:r w:rsidR="002C4B9B">
          <w:rPr>
            <w:webHidden/>
          </w:rPr>
        </w:r>
        <w:r w:rsidR="002C4B9B">
          <w:rPr>
            <w:webHidden/>
          </w:rPr>
          <w:fldChar w:fldCharType="separate"/>
        </w:r>
        <w:r>
          <w:rPr>
            <w:webHidden/>
          </w:rPr>
          <w:t>4</w:t>
        </w:r>
        <w:r w:rsidR="002C4B9B">
          <w:rPr>
            <w:webHidden/>
          </w:rPr>
          <w:fldChar w:fldCharType="end"/>
        </w:r>
      </w:hyperlink>
    </w:p>
    <w:p w14:paraId="48C57B73" w14:textId="5573EA12" w:rsidR="002C4B9B" w:rsidRDefault="00DF2474">
      <w:pPr>
        <w:pStyle w:val="TOC1"/>
        <w:rPr>
          <w:rFonts w:asciiTheme="minorHAnsi" w:eastAsiaTheme="minorEastAsia" w:hAnsiTheme="minorHAnsi" w:cstheme="minorBidi"/>
          <w:b w:val="0"/>
          <w:spacing w:val="0"/>
          <w:sz w:val="22"/>
          <w:szCs w:val="22"/>
        </w:rPr>
      </w:pPr>
      <w:hyperlink w:anchor="_Toc70945565" w:history="1">
        <w:r w:rsidR="002C4B9B" w:rsidRPr="007D72F1">
          <w:rPr>
            <w:rStyle w:val="Hyperlink"/>
          </w:rPr>
          <w:t>Issues for comment</w:t>
        </w:r>
        <w:r w:rsidR="002C4B9B">
          <w:rPr>
            <w:webHidden/>
          </w:rPr>
          <w:tab/>
        </w:r>
        <w:r w:rsidR="002C4B9B">
          <w:rPr>
            <w:webHidden/>
          </w:rPr>
          <w:fldChar w:fldCharType="begin"/>
        </w:r>
        <w:r w:rsidR="002C4B9B">
          <w:rPr>
            <w:webHidden/>
          </w:rPr>
          <w:instrText xml:space="preserve"> PAGEREF _Toc70945565 \h </w:instrText>
        </w:r>
        <w:r w:rsidR="002C4B9B">
          <w:rPr>
            <w:webHidden/>
          </w:rPr>
        </w:r>
        <w:r w:rsidR="002C4B9B">
          <w:rPr>
            <w:webHidden/>
          </w:rPr>
          <w:fldChar w:fldCharType="separate"/>
        </w:r>
        <w:r>
          <w:rPr>
            <w:webHidden/>
          </w:rPr>
          <w:t>5</w:t>
        </w:r>
        <w:r w:rsidR="002C4B9B">
          <w:rPr>
            <w:webHidden/>
          </w:rPr>
          <w:fldChar w:fldCharType="end"/>
        </w:r>
      </w:hyperlink>
    </w:p>
    <w:p w14:paraId="5B1DD014" w14:textId="27D1E618" w:rsidR="002C4B9B" w:rsidRDefault="00DF2474">
      <w:pPr>
        <w:pStyle w:val="TOC1"/>
        <w:rPr>
          <w:rFonts w:asciiTheme="minorHAnsi" w:eastAsiaTheme="minorEastAsia" w:hAnsiTheme="minorHAnsi" w:cstheme="minorBidi"/>
          <w:b w:val="0"/>
          <w:spacing w:val="0"/>
          <w:sz w:val="22"/>
          <w:szCs w:val="22"/>
        </w:rPr>
      </w:pPr>
      <w:hyperlink w:anchor="_Toc70945566" w:history="1">
        <w:r w:rsidR="002C4B9B" w:rsidRPr="007D72F1">
          <w:rPr>
            <w:rStyle w:val="Hyperlink"/>
          </w:rPr>
          <w:t>Invitation to comment</w:t>
        </w:r>
        <w:r w:rsidR="002C4B9B">
          <w:rPr>
            <w:webHidden/>
          </w:rPr>
          <w:tab/>
        </w:r>
        <w:r w:rsidR="002C4B9B">
          <w:rPr>
            <w:webHidden/>
          </w:rPr>
          <w:fldChar w:fldCharType="begin"/>
        </w:r>
        <w:r w:rsidR="002C4B9B">
          <w:rPr>
            <w:webHidden/>
          </w:rPr>
          <w:instrText xml:space="preserve"> PAGEREF _Toc70945566 \h </w:instrText>
        </w:r>
        <w:r w:rsidR="002C4B9B">
          <w:rPr>
            <w:webHidden/>
          </w:rPr>
        </w:r>
        <w:r w:rsidR="002C4B9B">
          <w:rPr>
            <w:webHidden/>
          </w:rPr>
          <w:fldChar w:fldCharType="separate"/>
        </w:r>
        <w:r>
          <w:rPr>
            <w:webHidden/>
          </w:rPr>
          <w:t>6</w:t>
        </w:r>
        <w:r w:rsidR="002C4B9B">
          <w:rPr>
            <w:webHidden/>
          </w:rPr>
          <w:fldChar w:fldCharType="end"/>
        </w:r>
      </w:hyperlink>
    </w:p>
    <w:p w14:paraId="21C47F49" w14:textId="62BE5F4D" w:rsidR="002C4B9B" w:rsidRDefault="00DF2474">
      <w:pPr>
        <w:pStyle w:val="TOC2"/>
        <w:rPr>
          <w:rFonts w:asciiTheme="minorHAnsi" w:eastAsiaTheme="minorEastAsia" w:hAnsiTheme="minorHAnsi" w:cstheme="minorBidi"/>
          <w:spacing w:val="0"/>
          <w:sz w:val="22"/>
          <w:szCs w:val="22"/>
        </w:rPr>
      </w:pPr>
      <w:hyperlink w:anchor="_Toc70945567" w:history="1">
        <w:r w:rsidR="002C4B9B" w:rsidRPr="007D72F1">
          <w:rPr>
            <w:rStyle w:val="Hyperlink"/>
          </w:rPr>
          <w:t>Making a submission</w:t>
        </w:r>
        <w:r w:rsidR="002C4B9B">
          <w:rPr>
            <w:webHidden/>
          </w:rPr>
          <w:tab/>
        </w:r>
        <w:r w:rsidR="002C4B9B">
          <w:rPr>
            <w:webHidden/>
          </w:rPr>
          <w:fldChar w:fldCharType="begin"/>
        </w:r>
        <w:r w:rsidR="002C4B9B">
          <w:rPr>
            <w:webHidden/>
          </w:rPr>
          <w:instrText xml:space="preserve"> PAGEREF _Toc70945567 \h </w:instrText>
        </w:r>
        <w:r w:rsidR="002C4B9B">
          <w:rPr>
            <w:webHidden/>
          </w:rPr>
        </w:r>
        <w:r w:rsidR="002C4B9B">
          <w:rPr>
            <w:webHidden/>
          </w:rPr>
          <w:fldChar w:fldCharType="separate"/>
        </w:r>
        <w:r>
          <w:rPr>
            <w:webHidden/>
          </w:rPr>
          <w:t>6</w:t>
        </w:r>
        <w:r w:rsidR="002C4B9B">
          <w:rPr>
            <w:webHidden/>
          </w:rPr>
          <w:fldChar w:fldCharType="end"/>
        </w:r>
      </w:hyperlink>
    </w:p>
    <w:p w14:paraId="702D8773" w14:textId="5F1362E2" w:rsidR="004D56FF" w:rsidRPr="000D76E0" w:rsidRDefault="002C4B9B">
      <w:pPr>
        <w:rPr>
          <w:rFonts w:cs="Arial"/>
        </w:rPr>
        <w:sectPr w:rsidR="004D56FF" w:rsidRPr="000D76E0"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r>
        <w:rPr>
          <w:rFonts w:cs="Arial"/>
          <w:noProof/>
          <w:spacing w:val="-14"/>
          <w:sz w:val="28"/>
        </w:rPr>
        <w:fldChar w:fldCharType="end"/>
      </w:r>
    </w:p>
    <w:p w14:paraId="1DF8C07A" w14:textId="77777777" w:rsidR="000D5DB0" w:rsidRDefault="000D5DB0" w:rsidP="000D5DB0">
      <w:pPr>
        <w:pStyle w:val="Heading1"/>
      </w:pPr>
      <w:bookmarkStart w:id="3" w:name="_Toc70945561"/>
      <w:bookmarkStart w:id="4" w:name="_Hlk71281652"/>
      <w:r>
        <w:lastRenderedPageBreak/>
        <w:t>Executive summary</w:t>
      </w:r>
      <w:bookmarkEnd w:id="3"/>
      <w:r>
        <w:t xml:space="preserve"> </w:t>
      </w:r>
    </w:p>
    <w:p w14:paraId="4B9A5298" w14:textId="53B1B2C1" w:rsidR="00436B28" w:rsidRDefault="004A02C8" w:rsidP="004B5CCF">
      <w:pPr>
        <w:pStyle w:val="Paragraph"/>
        <w:rPr>
          <w:szCs w:val="20"/>
        </w:rPr>
      </w:pPr>
      <w:r w:rsidRPr="004A02C8">
        <w:rPr>
          <w:szCs w:val="20"/>
        </w:rPr>
        <w:t xml:space="preserve">Part 31B of the </w:t>
      </w:r>
      <w:r w:rsidRPr="00664214">
        <w:rPr>
          <w:i/>
          <w:iCs/>
          <w:szCs w:val="20"/>
        </w:rPr>
        <w:t>Telecommunications Act 1997</w:t>
      </w:r>
      <w:r w:rsidRPr="004A02C8">
        <w:rPr>
          <w:szCs w:val="20"/>
        </w:rPr>
        <w:t xml:space="preserve"> establishes a scheme under which authorised officers of the Australian Communications and Media Authority (ACMA) may issue infringement notices for contraventions of civil penalty provisions under the Telecommunications Act, </w:t>
      </w:r>
      <w:r w:rsidR="001E1D8E">
        <w:rPr>
          <w:szCs w:val="20"/>
        </w:rPr>
        <w:t xml:space="preserve">the </w:t>
      </w:r>
      <w:r w:rsidRPr="00664214">
        <w:rPr>
          <w:i/>
          <w:iCs/>
          <w:szCs w:val="20"/>
        </w:rPr>
        <w:t>Telecommunications (Consumer Protection and Service Standards) Act 1999</w:t>
      </w:r>
      <w:r w:rsidRPr="004A02C8">
        <w:rPr>
          <w:szCs w:val="20"/>
        </w:rPr>
        <w:t xml:space="preserve"> and the </w:t>
      </w:r>
      <w:r w:rsidRPr="00664214">
        <w:rPr>
          <w:i/>
          <w:iCs/>
          <w:szCs w:val="20"/>
        </w:rPr>
        <w:t>Telecommunications (Interception and Access) Act 197</w:t>
      </w:r>
      <w:r w:rsidR="00BA5409">
        <w:rPr>
          <w:i/>
          <w:iCs/>
          <w:szCs w:val="20"/>
        </w:rPr>
        <w:t>9</w:t>
      </w:r>
      <w:r w:rsidRPr="004A02C8">
        <w:rPr>
          <w:szCs w:val="20"/>
        </w:rPr>
        <w:t xml:space="preserve">. </w:t>
      </w:r>
    </w:p>
    <w:p w14:paraId="39645294" w14:textId="0F81E43D" w:rsidR="00436B28" w:rsidRDefault="004A02C8" w:rsidP="004B5CCF">
      <w:pPr>
        <w:pStyle w:val="Paragraph"/>
        <w:rPr>
          <w:szCs w:val="20"/>
        </w:rPr>
      </w:pPr>
      <w:r w:rsidRPr="004A02C8">
        <w:rPr>
          <w:szCs w:val="20"/>
        </w:rPr>
        <w:t xml:space="preserve">The infringement notice scheme is intended to provide a more efficient </w:t>
      </w:r>
      <w:r w:rsidR="001E1D8E">
        <w:rPr>
          <w:szCs w:val="20"/>
        </w:rPr>
        <w:t xml:space="preserve">way to </w:t>
      </w:r>
      <w:r w:rsidRPr="004A02C8">
        <w:rPr>
          <w:szCs w:val="20"/>
        </w:rPr>
        <w:t xml:space="preserve">deal with contraventions of certain civil penalty provisions </w:t>
      </w:r>
      <w:r w:rsidR="001E1D8E">
        <w:rPr>
          <w:szCs w:val="20"/>
        </w:rPr>
        <w:t xml:space="preserve">instead of </w:t>
      </w:r>
      <w:r w:rsidRPr="004A02C8">
        <w:rPr>
          <w:szCs w:val="20"/>
        </w:rPr>
        <w:t xml:space="preserve">civil penalty </w:t>
      </w:r>
      <w:r w:rsidR="004D5621">
        <w:rPr>
          <w:szCs w:val="20"/>
        </w:rPr>
        <w:t xml:space="preserve">court </w:t>
      </w:r>
      <w:r w:rsidRPr="004A02C8">
        <w:rPr>
          <w:szCs w:val="20"/>
        </w:rPr>
        <w:t xml:space="preserve">proceedings. </w:t>
      </w:r>
    </w:p>
    <w:p w14:paraId="568D4800" w14:textId="32574157" w:rsidR="004A02C8" w:rsidRDefault="004A02C8" w:rsidP="004B5CCF">
      <w:pPr>
        <w:pStyle w:val="Paragraph"/>
      </w:pPr>
      <w:bookmarkStart w:id="5" w:name="_Hlk88487031"/>
      <w:r w:rsidRPr="004A02C8">
        <w:rPr>
          <w:szCs w:val="20"/>
        </w:rPr>
        <w:t xml:space="preserve">Subsection 572M(3) of the Telecommunications Act provides that an authorised infringement notice officer must not issue an infringement notice unless guidelines are in force under subsection 572M(2). </w:t>
      </w:r>
    </w:p>
    <w:p w14:paraId="0841C3D0" w14:textId="619709B8" w:rsidR="000D5DB0" w:rsidRPr="00C96651" w:rsidRDefault="00E42AEB" w:rsidP="00124E5C">
      <w:pPr>
        <w:pStyle w:val="Paragraph"/>
      </w:pPr>
      <w:bookmarkStart w:id="6" w:name="_Hlk88486934"/>
      <w:bookmarkEnd w:id="5"/>
      <w:r>
        <w:t xml:space="preserve">We are </w:t>
      </w:r>
      <w:r w:rsidR="000D5DB0" w:rsidRPr="006D1027">
        <w:t>consulting on the proposed remaking of the</w:t>
      </w:r>
      <w:r w:rsidR="009C428A" w:rsidRPr="006D1027">
        <w:t xml:space="preserve"> </w:t>
      </w:r>
      <w:r w:rsidR="006D1F85" w:rsidRPr="00114E6F">
        <w:rPr>
          <w:iCs/>
          <w:color w:val="000000"/>
        </w:rPr>
        <w:t xml:space="preserve">Telecommunications </w:t>
      </w:r>
      <w:r w:rsidR="000D5DB0" w:rsidRPr="00114E6F">
        <w:rPr>
          <w:iCs/>
          <w:color w:val="000000"/>
        </w:rPr>
        <w:t>(</w:t>
      </w:r>
      <w:r w:rsidR="006D1F85" w:rsidRPr="00114E6F">
        <w:rPr>
          <w:iCs/>
          <w:color w:val="000000"/>
        </w:rPr>
        <w:t>Infringement Notice</w:t>
      </w:r>
      <w:r w:rsidR="008F3DDB" w:rsidRPr="00114E6F">
        <w:rPr>
          <w:iCs/>
          <w:color w:val="000000"/>
        </w:rPr>
        <w:t>s)</w:t>
      </w:r>
      <w:r w:rsidR="006D1F85" w:rsidRPr="00114E6F">
        <w:rPr>
          <w:iCs/>
          <w:color w:val="000000"/>
        </w:rPr>
        <w:t xml:space="preserve"> G</w:t>
      </w:r>
      <w:r w:rsidR="000D5DB0" w:rsidRPr="00114E6F">
        <w:rPr>
          <w:iCs/>
          <w:color w:val="000000"/>
        </w:rPr>
        <w:t>uidelines</w:t>
      </w:r>
      <w:r w:rsidR="003B3C54" w:rsidRPr="00114E6F">
        <w:rPr>
          <w:iCs/>
          <w:color w:val="000000"/>
        </w:rPr>
        <w:t xml:space="preserve"> 2011</w:t>
      </w:r>
      <w:r w:rsidR="001E1D8E" w:rsidRPr="00114E6F">
        <w:rPr>
          <w:iCs/>
          <w:color w:val="000000"/>
        </w:rPr>
        <w:t>,</w:t>
      </w:r>
      <w:r w:rsidR="00512BD4" w:rsidRPr="00114E6F">
        <w:rPr>
          <w:iCs/>
          <w:color w:val="000000"/>
        </w:rPr>
        <w:t xml:space="preserve"> </w:t>
      </w:r>
      <w:r w:rsidR="00512BD4">
        <w:rPr>
          <w:iCs/>
          <w:color w:val="000000"/>
        </w:rPr>
        <w:t>made under subsection 572M(2) of the Telecommunications Act</w:t>
      </w:r>
      <w:r w:rsidR="000D5DB0" w:rsidRPr="00C96651">
        <w:rPr>
          <w:iCs/>
          <w:color w:val="000000"/>
        </w:rPr>
        <w:t xml:space="preserve">. </w:t>
      </w:r>
    </w:p>
    <w:p w14:paraId="72E1B634" w14:textId="77777777" w:rsidR="000D5DB0" w:rsidRDefault="000D5DB0" w:rsidP="000D5DB0">
      <w:pPr>
        <w:pStyle w:val="Heading1"/>
      </w:pPr>
      <w:bookmarkStart w:id="7" w:name="_Toc70945562"/>
      <w:bookmarkStart w:id="8" w:name="_Toc298924672"/>
      <w:bookmarkStart w:id="9" w:name="_Toc300909555"/>
      <w:bookmarkStart w:id="10" w:name="_Toc348105636"/>
      <w:bookmarkEnd w:id="4"/>
      <w:bookmarkEnd w:id="6"/>
      <w:r w:rsidRPr="00D1534E">
        <w:lastRenderedPageBreak/>
        <w:t>Background</w:t>
      </w:r>
      <w:bookmarkEnd w:id="7"/>
      <w:r w:rsidRPr="009174F3">
        <w:t xml:space="preserve"> </w:t>
      </w:r>
    </w:p>
    <w:p w14:paraId="5817EF50" w14:textId="77777777" w:rsidR="000D5DB0" w:rsidRPr="00D1534E" w:rsidRDefault="000D5DB0" w:rsidP="00BA39E6">
      <w:pPr>
        <w:pStyle w:val="Paragraph"/>
      </w:pPr>
      <w:r w:rsidRPr="00D1534E">
        <w:t xml:space="preserve">Under Part 4 of Chapter 3 of the </w:t>
      </w:r>
      <w:r w:rsidRPr="00D1534E">
        <w:rPr>
          <w:i/>
        </w:rPr>
        <w:t>Legislation Act 2003</w:t>
      </w:r>
      <w:r w:rsidRPr="00D1534E">
        <w:t>, most legislative instruments ‘sunset’ (that is, they are automatically repealed) on 1 April or 1 October that first occurs 10 years after they are registered. This is an automatic process applying to most legislative instruments regardless of their particular content.</w:t>
      </w:r>
    </w:p>
    <w:p w14:paraId="2944A4CF" w14:textId="4D6E5CCF" w:rsidR="000D5DB0" w:rsidRDefault="000D5DB0" w:rsidP="000D5DB0">
      <w:pPr>
        <w:pStyle w:val="Paragraph"/>
      </w:pPr>
      <w:r w:rsidRPr="00D1534E">
        <w:t>Among the legislative instruments made by the ACMA, which are due to sunset in the near future</w:t>
      </w:r>
      <w:r w:rsidRPr="00322C1D">
        <w:t>, is the following instrument, due to sunset on the following date:</w:t>
      </w:r>
    </w:p>
    <w:tbl>
      <w:tblPr>
        <w:tblStyle w:val="ACMAtablestyle"/>
        <w:tblW w:w="0" w:type="auto"/>
        <w:tblCellMar>
          <w:top w:w="57" w:type="dxa"/>
          <w:left w:w="85" w:type="dxa"/>
          <w:bottom w:w="57" w:type="dxa"/>
          <w:right w:w="85" w:type="dxa"/>
        </w:tblCellMar>
        <w:tblLook w:val="04A0" w:firstRow="1" w:lastRow="0" w:firstColumn="1" w:lastColumn="0" w:noHBand="0" w:noVBand="1"/>
        <w:tblCaption w:val="Name of instrument/s and sunset date/s"/>
      </w:tblPr>
      <w:tblGrid>
        <w:gridCol w:w="5628"/>
        <w:gridCol w:w="2033"/>
      </w:tblGrid>
      <w:tr w:rsidR="00865474" w:rsidRPr="00996AA4" w14:paraId="7F9F96CF" w14:textId="77777777" w:rsidTr="00865474">
        <w:trPr>
          <w:cnfStyle w:val="100000000000" w:firstRow="1" w:lastRow="0" w:firstColumn="0" w:lastColumn="0" w:oddVBand="0" w:evenVBand="0" w:oddHBand="0" w:evenHBand="0" w:firstRowFirstColumn="0" w:firstRowLastColumn="0" w:lastRowFirstColumn="0" w:lastRowLastColumn="0"/>
        </w:trPr>
        <w:tc>
          <w:tcPr>
            <w:tcW w:w="5628" w:type="dxa"/>
          </w:tcPr>
          <w:p w14:paraId="68729A5F" w14:textId="30294651" w:rsidR="00865474" w:rsidRPr="00865474" w:rsidRDefault="00865474" w:rsidP="00865474">
            <w:pPr>
              <w:spacing w:after="0" w:line="260" w:lineRule="atLeast"/>
              <w:rPr>
                <w:b/>
                <w:bCs/>
                <w:szCs w:val="20"/>
              </w:rPr>
            </w:pPr>
            <w:r w:rsidRPr="00865474">
              <w:rPr>
                <w:b/>
                <w:bCs/>
              </w:rPr>
              <w:t>Name of instrument</w:t>
            </w:r>
          </w:p>
        </w:tc>
        <w:tc>
          <w:tcPr>
            <w:tcW w:w="2033" w:type="dxa"/>
          </w:tcPr>
          <w:p w14:paraId="0F991AA3" w14:textId="3A7B6F76" w:rsidR="00865474" w:rsidRPr="00865474" w:rsidRDefault="00865474" w:rsidP="00865474">
            <w:pPr>
              <w:spacing w:after="0" w:line="260" w:lineRule="atLeast"/>
              <w:rPr>
                <w:b/>
                <w:bCs/>
              </w:rPr>
            </w:pPr>
            <w:r w:rsidRPr="00865474">
              <w:rPr>
                <w:b/>
                <w:bCs/>
              </w:rPr>
              <w:t>Sunset date</w:t>
            </w:r>
          </w:p>
        </w:tc>
      </w:tr>
      <w:tr w:rsidR="000D5DB0" w:rsidRPr="00996AA4" w14:paraId="6F567795" w14:textId="77777777" w:rsidTr="00865474">
        <w:trPr>
          <w:cnfStyle w:val="000000100000" w:firstRow="0" w:lastRow="0" w:firstColumn="0" w:lastColumn="0" w:oddVBand="0" w:evenVBand="0" w:oddHBand="1" w:evenHBand="0" w:firstRowFirstColumn="0" w:firstRowLastColumn="0" w:lastRowFirstColumn="0" w:lastRowLastColumn="0"/>
        </w:trPr>
        <w:tc>
          <w:tcPr>
            <w:tcW w:w="5628" w:type="dxa"/>
          </w:tcPr>
          <w:p w14:paraId="658B1E38" w14:textId="68DB1715" w:rsidR="000D5DB0" w:rsidRPr="004C284A" w:rsidRDefault="00B4119D" w:rsidP="009109AA">
            <w:pPr>
              <w:spacing w:after="0" w:line="260" w:lineRule="atLeast"/>
            </w:pPr>
            <w:r w:rsidRPr="004C284A">
              <w:rPr>
                <w:color w:val="000000"/>
                <w:szCs w:val="20"/>
              </w:rPr>
              <w:t>Telecommunications (Infringement Notices) Guidelines 2011</w:t>
            </w:r>
            <w:r w:rsidR="000D5DB0" w:rsidRPr="004C284A">
              <w:rPr>
                <w:color w:val="000000"/>
                <w:szCs w:val="20"/>
              </w:rPr>
              <w:t xml:space="preserve"> </w:t>
            </w:r>
          </w:p>
        </w:tc>
        <w:tc>
          <w:tcPr>
            <w:tcW w:w="2033" w:type="dxa"/>
          </w:tcPr>
          <w:p w14:paraId="2513454E" w14:textId="38118268" w:rsidR="000D5DB0" w:rsidRPr="00996AA4" w:rsidRDefault="00A83FC2" w:rsidP="00A46E59">
            <w:pPr>
              <w:spacing w:after="0" w:line="260" w:lineRule="atLeast"/>
            </w:pPr>
            <w:r>
              <w:t>1 April 2022</w:t>
            </w:r>
          </w:p>
        </w:tc>
      </w:tr>
    </w:tbl>
    <w:p w14:paraId="63367C73" w14:textId="77777777" w:rsidR="000D5DB0" w:rsidRDefault="000D5DB0" w:rsidP="00124E5C">
      <w:pPr>
        <w:pStyle w:val="Paragraph"/>
        <w:spacing w:after="120"/>
      </w:pPr>
    </w:p>
    <w:p w14:paraId="3C512237" w14:textId="484856E7" w:rsidR="000D5DB0" w:rsidRPr="00996AA4" w:rsidRDefault="00BA39E6" w:rsidP="000D5DB0">
      <w:pPr>
        <w:pStyle w:val="Paragraph"/>
      </w:pPr>
      <w:r>
        <w:t>We have</w:t>
      </w:r>
      <w:r w:rsidR="000D5DB0" w:rsidRPr="00996AA4">
        <w:t xml:space="preserve"> formed the preliminary view that this instrument is operating effectively and efficiently and, as such, continues to form a necessary and useful part of the legislative framework. Accordingly, </w:t>
      </w:r>
      <w:r>
        <w:t>we</w:t>
      </w:r>
      <w:r w:rsidR="000D5DB0" w:rsidRPr="00996AA4">
        <w:t xml:space="preserve"> propose to remake it in a new instrument </w:t>
      </w:r>
      <w:r>
        <w:t>before</w:t>
      </w:r>
      <w:r w:rsidR="000D5DB0" w:rsidRPr="00996AA4">
        <w:t xml:space="preserve"> the sunset date referred to above, without any significant changes, so that its ongoing effect is preserved.</w:t>
      </w:r>
    </w:p>
    <w:p w14:paraId="346EE70E" w14:textId="5AFA7DF3" w:rsidR="000D5DB0" w:rsidRPr="00124E5C" w:rsidRDefault="00BA39E6" w:rsidP="00664214">
      <w:pPr>
        <w:pStyle w:val="Paragraph"/>
        <w:spacing w:after="80"/>
        <w:rPr>
          <w:bCs/>
        </w:rPr>
      </w:pPr>
      <w:r>
        <w:t xml:space="preserve">We </w:t>
      </w:r>
      <w:r w:rsidR="000D5DB0" w:rsidRPr="00996AA4">
        <w:t>propose to remake the instrument with only such minor and technical</w:t>
      </w:r>
      <w:r w:rsidR="000D5DB0">
        <w:t xml:space="preserve"> </w:t>
      </w:r>
      <w:r w:rsidR="000D5DB0" w:rsidRPr="00996AA4">
        <w:t>changes</w:t>
      </w:r>
      <w:r w:rsidR="000D5DB0">
        <w:t xml:space="preserve"> </w:t>
      </w:r>
      <w:r w:rsidR="000D5DB0" w:rsidRPr="00996AA4">
        <w:t xml:space="preserve">as </w:t>
      </w:r>
      <w:r w:rsidR="009E55B0">
        <w:t xml:space="preserve">are </w:t>
      </w:r>
      <w:r w:rsidR="000D5DB0" w:rsidRPr="00996AA4">
        <w:t xml:space="preserve">described </w:t>
      </w:r>
      <w:r>
        <w:t>in this paper</w:t>
      </w:r>
      <w:r w:rsidR="000D5DB0" w:rsidRPr="009109AA">
        <w:rPr>
          <w:bCs/>
        </w:rPr>
        <w:t>.</w:t>
      </w:r>
    </w:p>
    <w:p w14:paraId="7CC03589" w14:textId="7A1155EF" w:rsidR="000D5DB0" w:rsidRDefault="001E1D8E" w:rsidP="000D5DB0">
      <w:pPr>
        <w:pStyle w:val="Heading1"/>
      </w:pPr>
      <w:bookmarkStart w:id="11" w:name="_Toc70945563"/>
      <w:bookmarkEnd w:id="8"/>
      <w:bookmarkEnd w:id="9"/>
      <w:bookmarkEnd w:id="10"/>
      <w:r>
        <w:lastRenderedPageBreak/>
        <w:t xml:space="preserve">Overview </w:t>
      </w:r>
      <w:r w:rsidR="000D5DB0" w:rsidRPr="00D92030">
        <w:t xml:space="preserve">of </w:t>
      </w:r>
      <w:r w:rsidR="000D5DB0" w:rsidRPr="00996AA4">
        <w:t xml:space="preserve">the </w:t>
      </w:r>
      <w:r>
        <w:t>i</w:t>
      </w:r>
      <w:r w:rsidR="00A96137">
        <w:t xml:space="preserve">nfringement </w:t>
      </w:r>
      <w:r>
        <w:t>n</w:t>
      </w:r>
      <w:r w:rsidR="00A96137">
        <w:t xml:space="preserve">otice </w:t>
      </w:r>
      <w:r>
        <w:t>g</w:t>
      </w:r>
      <w:r w:rsidR="00A96137">
        <w:t>u</w:t>
      </w:r>
      <w:r w:rsidR="000D5DB0" w:rsidRPr="00914426">
        <w:t>idelines</w:t>
      </w:r>
      <w:bookmarkEnd w:id="11"/>
      <w:r w:rsidR="000D5DB0" w:rsidRPr="00914426">
        <w:t xml:space="preserve"> </w:t>
      </w:r>
    </w:p>
    <w:p w14:paraId="02F7DF43" w14:textId="6B3B28B3" w:rsidR="00574689" w:rsidRPr="00664214" w:rsidRDefault="0092266F" w:rsidP="00664214">
      <w:pPr>
        <w:pStyle w:val="Paragraph"/>
        <w:tabs>
          <w:tab w:val="right" w:pos="7671"/>
        </w:tabs>
      </w:pPr>
      <w:r>
        <w:t xml:space="preserve">The </w:t>
      </w:r>
      <w:r w:rsidRPr="00114E6F">
        <w:t>Telecommunications (Infringement Notices) Guidelines 2011</w:t>
      </w:r>
      <w:r>
        <w:t xml:space="preserve"> (the </w:t>
      </w:r>
      <w:r w:rsidR="00574EC9">
        <w:t>g</w:t>
      </w:r>
      <w:r>
        <w:t xml:space="preserve">uidelines) were </w:t>
      </w:r>
      <w:r w:rsidRPr="0092266F">
        <w:t xml:space="preserve">made by the ACMA under subsection </w:t>
      </w:r>
      <w:r>
        <w:t>572M</w:t>
      </w:r>
      <w:r w:rsidR="00412ED5">
        <w:t>(2)</w:t>
      </w:r>
      <w:r w:rsidRPr="0092266F">
        <w:t xml:space="preserve"> of the </w:t>
      </w:r>
      <w:r>
        <w:t>Telecommunications Act</w:t>
      </w:r>
      <w:r w:rsidRPr="0092266F">
        <w:t xml:space="preserve"> on </w:t>
      </w:r>
      <w:r w:rsidR="001E1D8E">
        <w:t>10 </w:t>
      </w:r>
      <w:r w:rsidR="00A84CBE">
        <w:t>November</w:t>
      </w:r>
      <w:r w:rsidRPr="0092266F">
        <w:t xml:space="preserve"> 2011</w:t>
      </w:r>
      <w:r w:rsidR="00597E98">
        <w:t>.</w:t>
      </w:r>
      <w:r>
        <w:tab/>
      </w:r>
    </w:p>
    <w:p w14:paraId="05BC5CC6" w14:textId="4EDD90F6" w:rsidR="00C34146" w:rsidRDefault="00C34146" w:rsidP="00E40DED">
      <w:pPr>
        <w:pStyle w:val="Paragraph"/>
      </w:pPr>
      <w:r w:rsidRPr="00540964">
        <w:t xml:space="preserve">Section 572M of the Act requires the ACMA to formulate guidelines </w:t>
      </w:r>
      <w:r w:rsidR="00014CB7">
        <w:t xml:space="preserve">that an authorised infringement notice officer must </w:t>
      </w:r>
      <w:r w:rsidR="004F18A5">
        <w:t>consider</w:t>
      </w:r>
      <w:r w:rsidR="00014CB7">
        <w:t xml:space="preserve"> in exercising </w:t>
      </w:r>
      <w:r w:rsidRPr="00540964">
        <w:t xml:space="preserve">infringement notices powers under Part 31B. </w:t>
      </w:r>
    </w:p>
    <w:p w14:paraId="06CD4381" w14:textId="77777777" w:rsidR="00D643F8" w:rsidRDefault="00C34146" w:rsidP="00664214">
      <w:pPr>
        <w:pStyle w:val="Paragraph"/>
      </w:pPr>
      <w:r w:rsidRPr="00540964">
        <w:t xml:space="preserve">The guidelines are formulated for the purpose </w:t>
      </w:r>
      <w:r w:rsidR="00812F3A">
        <w:t>of subsection</w:t>
      </w:r>
      <w:r w:rsidRPr="00540964">
        <w:t xml:space="preserve"> 572M(3) of the </w:t>
      </w:r>
      <w:r w:rsidR="00D84D46">
        <w:t xml:space="preserve">Telecommunications </w:t>
      </w:r>
      <w:r w:rsidRPr="00540964">
        <w:t>Act</w:t>
      </w:r>
      <w:r w:rsidR="004F18A5">
        <w:t>,</w:t>
      </w:r>
      <w:r w:rsidR="00014CB7">
        <w:t xml:space="preserve"> which provides that an authorised infringement notice officer must not give an infringement notice to a person unless guidelines are in force under subsection (2). </w:t>
      </w:r>
      <w:bookmarkStart w:id="12" w:name="_Hlk88487210"/>
    </w:p>
    <w:p w14:paraId="28B17513" w14:textId="0E5D200B" w:rsidR="00C34146" w:rsidRDefault="00014CB7" w:rsidP="00664214">
      <w:pPr>
        <w:pStyle w:val="Paragraph"/>
      </w:pPr>
      <w:r>
        <w:t xml:space="preserve">The guidelines </w:t>
      </w:r>
      <w:r w:rsidR="00C34146" w:rsidRPr="00540964">
        <w:t xml:space="preserve">are intended to assist both the telecommunications industry and the community to understand the ACMA’s approach to its infringement notice powers under the </w:t>
      </w:r>
      <w:r w:rsidR="00812F3A">
        <w:t>Telecommunications Act</w:t>
      </w:r>
      <w:r w:rsidR="00C34146" w:rsidRPr="00540964">
        <w:t xml:space="preserve">. </w:t>
      </w:r>
      <w:bookmarkEnd w:id="12"/>
      <w:r w:rsidR="004F18A5">
        <w:t>If</w:t>
      </w:r>
      <w:r w:rsidR="004F18A5" w:rsidRPr="00540964">
        <w:t xml:space="preserve"> </w:t>
      </w:r>
      <w:r w:rsidR="00C34146" w:rsidRPr="00540964">
        <w:t xml:space="preserve">it is necessary for the ACMA to use its enforcement powers, it will do so in a manner that </w:t>
      </w:r>
      <w:r w:rsidR="004F18A5">
        <w:t>considers</w:t>
      </w:r>
      <w:r w:rsidR="00C34146" w:rsidRPr="00540964">
        <w:t xml:space="preserve"> the administrative and financial burdens on the telecommunications industry and the effectiveness of the regulatory arrangements. </w:t>
      </w:r>
    </w:p>
    <w:p w14:paraId="5C8449C8" w14:textId="25A30730" w:rsidR="00C34146" w:rsidRPr="00540964" w:rsidRDefault="00C34146" w:rsidP="004C284A">
      <w:pPr>
        <w:pStyle w:val="Paragraphbeforelist"/>
      </w:pPr>
      <w:r w:rsidRPr="00540964">
        <w:t xml:space="preserve">The guidelines outline </w:t>
      </w:r>
      <w:r w:rsidR="009E55B0">
        <w:t>matters</w:t>
      </w:r>
      <w:r w:rsidRPr="00540964">
        <w:t xml:space="preserve"> the ACMA will take into consideration when </w:t>
      </w:r>
      <w:r w:rsidR="004F18A5" w:rsidRPr="00540964">
        <w:t>deciding</w:t>
      </w:r>
      <w:r w:rsidRPr="00540964">
        <w:t xml:space="preserve"> on an enforcement action under the general headings of:</w:t>
      </w:r>
    </w:p>
    <w:p w14:paraId="6F846E7C" w14:textId="77777777" w:rsidR="0082784C" w:rsidRDefault="00C34146" w:rsidP="004C284A">
      <w:pPr>
        <w:pStyle w:val="Bulletlevel1"/>
      </w:pPr>
      <w:r w:rsidRPr="00540964">
        <w:t xml:space="preserve">exercising enforcement powers </w:t>
      </w:r>
    </w:p>
    <w:p w14:paraId="73B45272" w14:textId="431A6A57" w:rsidR="0082784C" w:rsidRDefault="00C34146" w:rsidP="004C284A">
      <w:pPr>
        <w:pStyle w:val="Bulletlevel1"/>
      </w:pPr>
      <w:r w:rsidRPr="00540964">
        <w:t xml:space="preserve">infringement </w:t>
      </w:r>
      <w:r w:rsidR="00314A01">
        <w:t xml:space="preserve">notice </w:t>
      </w:r>
      <w:r w:rsidRPr="00540964">
        <w:t xml:space="preserve">powers under Part 31B of the </w:t>
      </w:r>
      <w:r w:rsidR="004F18A5">
        <w:t xml:space="preserve">Telecommunications </w:t>
      </w:r>
      <w:r w:rsidRPr="00540964">
        <w:t xml:space="preserve">Act </w:t>
      </w:r>
    </w:p>
    <w:p w14:paraId="2064EF04" w14:textId="77777777" w:rsidR="0082784C" w:rsidRDefault="00C80038" w:rsidP="004C284A">
      <w:pPr>
        <w:pStyle w:val="Bulletlevel1"/>
      </w:pPr>
      <w:r>
        <w:t>content of an</w:t>
      </w:r>
      <w:r w:rsidR="00C34146" w:rsidRPr="00540964">
        <w:t xml:space="preserve"> infringement notice</w:t>
      </w:r>
    </w:p>
    <w:p w14:paraId="0EC370E1" w14:textId="77777777" w:rsidR="0082784C" w:rsidRDefault="00C34146" w:rsidP="004C284A">
      <w:pPr>
        <w:pStyle w:val="Bulletlevel1"/>
      </w:pPr>
      <w:r w:rsidRPr="00540964">
        <w:t xml:space="preserve">request for an extension of time to pay the penalty </w:t>
      </w:r>
    </w:p>
    <w:p w14:paraId="175DD004" w14:textId="7ACE2F71" w:rsidR="00C34146" w:rsidRDefault="00C34146" w:rsidP="004C284A">
      <w:pPr>
        <w:pStyle w:val="Bulletlevel1"/>
      </w:pPr>
      <w:r w:rsidRPr="00540964">
        <w:t>withdrawal of an infringement notice</w:t>
      </w:r>
    </w:p>
    <w:p w14:paraId="52FEFBBC" w14:textId="7CFC511C" w:rsidR="0082784C" w:rsidRDefault="0082784C" w:rsidP="004C284A">
      <w:pPr>
        <w:pStyle w:val="Bulletlevel1"/>
      </w:pPr>
      <w:r>
        <w:t>effect of withdrawal of an infringement notice</w:t>
      </w:r>
    </w:p>
    <w:p w14:paraId="76C09F39" w14:textId="53A46108" w:rsidR="0082784C" w:rsidRDefault="0082784C" w:rsidP="004C284A">
      <w:pPr>
        <w:pStyle w:val="Bulletlevel1"/>
        <w:spacing w:after="240"/>
      </w:pPr>
      <w:r>
        <w:t>publication.</w:t>
      </w:r>
    </w:p>
    <w:p w14:paraId="32AD0727" w14:textId="02F69F65" w:rsidR="00D1534E" w:rsidRPr="00D1534E" w:rsidRDefault="000D5DB0" w:rsidP="00664214">
      <w:pPr>
        <w:pStyle w:val="Paragraph"/>
      </w:pPr>
      <w:r w:rsidRPr="004969D5">
        <w:rPr>
          <w:rStyle w:val="Emphasis"/>
          <w:i w:val="0"/>
          <w:iCs w:val="0"/>
          <w:szCs w:val="20"/>
        </w:rPr>
        <w:t xml:space="preserve">The </w:t>
      </w:r>
      <w:r w:rsidR="00574EC9" w:rsidRPr="004969D5">
        <w:rPr>
          <w:rStyle w:val="Emphasis"/>
          <w:i w:val="0"/>
          <w:iCs w:val="0"/>
          <w:szCs w:val="20"/>
        </w:rPr>
        <w:t>g</w:t>
      </w:r>
      <w:r w:rsidRPr="004969D5">
        <w:rPr>
          <w:rStyle w:val="Emphasis"/>
          <w:i w:val="0"/>
          <w:iCs w:val="0"/>
          <w:szCs w:val="20"/>
        </w:rPr>
        <w:t xml:space="preserve">uidelines necessarily deal with a variety of factual scenarios and so are framed to give broad guidance without unduly restricting the ACMA’s capacity to take </w:t>
      </w:r>
      <w:r w:rsidRPr="004969D5">
        <w:t>appropriate</w:t>
      </w:r>
      <w:r w:rsidRPr="004969D5">
        <w:rPr>
          <w:rStyle w:val="Emphasis"/>
          <w:i w:val="0"/>
          <w:iCs w:val="0"/>
          <w:szCs w:val="20"/>
        </w:rPr>
        <w:t xml:space="preserve"> action tailored to the facts and circumstances of each particular case.</w:t>
      </w:r>
      <w:r w:rsidR="009E55B0">
        <w:rPr>
          <w:rStyle w:val="Emphasis"/>
          <w:i w:val="0"/>
          <w:iCs w:val="0"/>
          <w:szCs w:val="20"/>
        </w:rPr>
        <w:t xml:space="preserve"> </w:t>
      </w:r>
    </w:p>
    <w:p w14:paraId="33F7F029" w14:textId="77777777" w:rsidR="000D5DB0" w:rsidRPr="008226EC" w:rsidRDefault="000D5DB0" w:rsidP="000D5DB0">
      <w:pPr>
        <w:pStyle w:val="Heading1"/>
      </w:pPr>
      <w:bookmarkStart w:id="13" w:name="_Toc70945564"/>
      <w:bookmarkStart w:id="14" w:name="_Toc381177300"/>
      <w:bookmarkStart w:id="15" w:name="_Toc26869190"/>
      <w:r w:rsidRPr="00383378">
        <w:lastRenderedPageBreak/>
        <w:t>Proposed changes to the legislative instrument</w:t>
      </w:r>
      <w:bookmarkEnd w:id="13"/>
    </w:p>
    <w:p w14:paraId="5AFD3C37" w14:textId="32C89BAB" w:rsidR="000D5DB0" w:rsidRPr="00362799" w:rsidRDefault="00BA39E6" w:rsidP="004C284A">
      <w:pPr>
        <w:pStyle w:val="Paragraph"/>
      </w:pPr>
      <w:r>
        <w:t xml:space="preserve">We </w:t>
      </w:r>
      <w:r w:rsidR="000D5DB0" w:rsidRPr="00362799">
        <w:t xml:space="preserve">consider that the </w:t>
      </w:r>
      <w:r w:rsidR="0065307A">
        <w:t>g</w:t>
      </w:r>
      <w:r w:rsidR="00F701F4">
        <w:t>uidelines</w:t>
      </w:r>
      <w:r w:rsidR="000D5DB0" w:rsidRPr="00362799">
        <w:t xml:space="preserve"> have served their purpose </w:t>
      </w:r>
      <w:r w:rsidR="000D5DB0">
        <w:t>satisfactorily</w:t>
      </w:r>
      <w:r w:rsidR="000D5DB0" w:rsidRPr="00362799">
        <w:t xml:space="preserve"> and should be remade</w:t>
      </w:r>
      <w:r w:rsidR="002918E3">
        <w:t xml:space="preserve"> </w:t>
      </w:r>
      <w:bookmarkStart w:id="16" w:name="_Hlk88487375"/>
      <w:r w:rsidR="008071F7" w:rsidRPr="00664214">
        <w:t>with</w:t>
      </w:r>
      <w:r w:rsidR="000D5DB0" w:rsidRPr="00664214">
        <w:t xml:space="preserve"> </w:t>
      </w:r>
      <w:r w:rsidR="002918E3">
        <w:t xml:space="preserve">only </w:t>
      </w:r>
      <w:r w:rsidR="000D5DB0" w:rsidRPr="00664214">
        <w:t>minor and technical amendment</w:t>
      </w:r>
      <w:r w:rsidR="00083CF5">
        <w:t>s.</w:t>
      </w:r>
      <w:r w:rsidR="000D5DB0" w:rsidRPr="00664214">
        <w:t xml:space="preserve"> </w:t>
      </w:r>
      <w:bookmarkEnd w:id="16"/>
    </w:p>
    <w:p w14:paraId="5E700C7D" w14:textId="1D386BA0" w:rsidR="000D5DB0" w:rsidRPr="00362799" w:rsidRDefault="000D5DB0" w:rsidP="004F18A5">
      <w:pPr>
        <w:pStyle w:val="Paragraphbeforelist"/>
      </w:pPr>
      <w:r w:rsidRPr="00362799">
        <w:t xml:space="preserve">Examples of minor and technical amendments </w:t>
      </w:r>
      <w:r>
        <w:t xml:space="preserve">proposed to be made to the </w:t>
      </w:r>
      <w:r w:rsidR="0065307A">
        <w:t>g</w:t>
      </w:r>
      <w:r w:rsidR="00C44126">
        <w:t>uidelines</w:t>
      </w:r>
      <w:r w:rsidR="004F18A5">
        <w:t>,</w:t>
      </w:r>
      <w:r>
        <w:t xml:space="preserve"> </w:t>
      </w:r>
      <w:r w:rsidRPr="00362799">
        <w:t>include:</w:t>
      </w:r>
    </w:p>
    <w:p w14:paraId="61857A89" w14:textId="77777777" w:rsidR="006C63F9" w:rsidRDefault="000D5DB0" w:rsidP="000D5DB0">
      <w:pPr>
        <w:pStyle w:val="Bulletlevel1"/>
      </w:pPr>
      <w:r w:rsidRPr="00362799">
        <w:t>insert</w:t>
      </w:r>
      <w:r w:rsidR="006C63F9">
        <w:t>ing</w:t>
      </w:r>
      <w:r w:rsidRPr="00362799">
        <w:t xml:space="preserve"> new standard clauses dealing with</w:t>
      </w:r>
      <w:r w:rsidR="006C63F9">
        <w:t>:</w:t>
      </w:r>
      <w:r w:rsidRPr="00362799">
        <w:t xml:space="preserve"> </w:t>
      </w:r>
    </w:p>
    <w:p w14:paraId="34A46074" w14:textId="5508D09A" w:rsidR="006C63F9" w:rsidRDefault="000D5DB0" w:rsidP="006C63F9">
      <w:pPr>
        <w:pStyle w:val="Bulletlevel2"/>
      </w:pPr>
      <w:r w:rsidRPr="00362799">
        <w:t xml:space="preserve">the </w:t>
      </w:r>
      <w:r w:rsidR="002918E3">
        <w:t>authority</w:t>
      </w:r>
      <w:r w:rsidR="002918E3" w:rsidRPr="00362799">
        <w:t xml:space="preserve"> </w:t>
      </w:r>
      <w:r w:rsidRPr="00362799">
        <w:t>to make the instrument (new clause 3</w:t>
      </w:r>
      <w:r w:rsidR="006C63F9" w:rsidRPr="00362799">
        <w:t>)</w:t>
      </w:r>
    </w:p>
    <w:p w14:paraId="218BC8E5" w14:textId="6585A4EB" w:rsidR="006C63F9" w:rsidRDefault="0001098F" w:rsidP="006C63F9">
      <w:pPr>
        <w:pStyle w:val="Bulletlevel2"/>
      </w:pPr>
      <w:r>
        <w:t>repeal</w:t>
      </w:r>
      <w:r w:rsidRPr="00362799">
        <w:t xml:space="preserve"> </w:t>
      </w:r>
      <w:r w:rsidR="000D5DB0" w:rsidRPr="00362799">
        <w:t xml:space="preserve">of the </w:t>
      </w:r>
      <w:r w:rsidR="000D5DB0">
        <w:t xml:space="preserve">existing </w:t>
      </w:r>
      <w:r w:rsidR="000D5DB0" w:rsidRPr="00362799">
        <w:t>instrument (new clause 4</w:t>
      </w:r>
      <w:r w:rsidR="006C63F9" w:rsidRPr="00362799">
        <w:t>)</w:t>
      </w:r>
    </w:p>
    <w:p w14:paraId="5472AA71" w14:textId="77777777" w:rsidR="006C63F9" w:rsidRDefault="000D5DB0" w:rsidP="006C63F9">
      <w:pPr>
        <w:pStyle w:val="Bulletlevel2"/>
      </w:pPr>
      <w:r w:rsidRPr="00362799">
        <w:t>the meaning of expressions used in the instrument (new subclause clause 5.2)</w:t>
      </w:r>
    </w:p>
    <w:p w14:paraId="5E75C130" w14:textId="16FBA8CA" w:rsidR="006C63F9" w:rsidRDefault="000D5DB0" w:rsidP="006C63F9">
      <w:pPr>
        <w:pStyle w:val="Bulletlevel2"/>
      </w:pPr>
      <w:r w:rsidRPr="00362799">
        <w:t>references to other</w:t>
      </w:r>
      <w:r>
        <w:t xml:space="preserve"> legislative</w:t>
      </w:r>
      <w:r w:rsidRPr="00362799">
        <w:t xml:space="preserve"> instruments (new </w:t>
      </w:r>
      <w:r w:rsidRPr="00B8190C">
        <w:t xml:space="preserve">clause </w:t>
      </w:r>
      <w:r w:rsidR="00B8190C">
        <w:t>6</w:t>
      </w:r>
      <w:r w:rsidRPr="00362799">
        <w:t xml:space="preserve">) </w:t>
      </w:r>
    </w:p>
    <w:p w14:paraId="7AC1DC0E" w14:textId="42593A48" w:rsidR="000D5DB0" w:rsidRDefault="006C63F9" w:rsidP="000D5DB0">
      <w:pPr>
        <w:pStyle w:val="Bulletlevel1"/>
      </w:pPr>
      <w:r w:rsidRPr="00362799">
        <w:t>mak</w:t>
      </w:r>
      <w:r>
        <w:t>ing</w:t>
      </w:r>
      <w:r w:rsidRPr="00362799">
        <w:t xml:space="preserve"> </w:t>
      </w:r>
      <w:r w:rsidR="000D5DB0" w:rsidRPr="00362799">
        <w:t>stylistic, typographical or grammatical amendments</w:t>
      </w:r>
      <w:r w:rsidR="000D5DB0">
        <w:t xml:space="preserve"> </w:t>
      </w:r>
    </w:p>
    <w:p w14:paraId="741DA19D" w14:textId="18002BB3" w:rsidR="009E55B0" w:rsidRPr="00362799" w:rsidRDefault="009E55B0" w:rsidP="000D5DB0">
      <w:pPr>
        <w:pStyle w:val="Bulletlevel1"/>
      </w:pPr>
      <w:r>
        <w:t>updating a reference to another legislative instrument</w:t>
      </w:r>
    </w:p>
    <w:p w14:paraId="50119A7A" w14:textId="55D385C9" w:rsidR="000D5DB0" w:rsidRPr="00B8190C" w:rsidRDefault="000D5DB0" w:rsidP="004C284A">
      <w:pPr>
        <w:pStyle w:val="Bulletlevel1"/>
        <w:spacing w:after="240"/>
      </w:pPr>
      <w:r w:rsidRPr="00B8190C">
        <w:t>omit</w:t>
      </w:r>
      <w:r w:rsidR="006C63F9" w:rsidRPr="00B8190C">
        <w:t>ting</w:t>
      </w:r>
      <w:r w:rsidRPr="00B8190C">
        <w:t xml:space="preserve"> redundant words and subheadings</w:t>
      </w:r>
      <w:r w:rsidR="00655DDA" w:rsidRPr="00B8190C">
        <w:t>.</w:t>
      </w:r>
      <w:r w:rsidRPr="00B8190C">
        <w:t xml:space="preserve"> </w:t>
      </w:r>
    </w:p>
    <w:p w14:paraId="721A707A" w14:textId="33D60B10" w:rsidR="000D5DB0" w:rsidRPr="00DF7AA1" w:rsidRDefault="000D5DB0" w:rsidP="000D5DB0">
      <w:pPr>
        <w:rPr>
          <w:bCs/>
        </w:rPr>
      </w:pPr>
      <w:bookmarkStart w:id="17" w:name="_Hlk88487335"/>
      <w:r w:rsidRPr="00DF7AA1">
        <w:rPr>
          <w:bCs/>
        </w:rPr>
        <w:t xml:space="preserve">The draft </w:t>
      </w:r>
      <w:r w:rsidR="00655DDA" w:rsidRPr="00114E6F">
        <w:rPr>
          <w:bCs/>
        </w:rPr>
        <w:t>Telecommunications (Infringement Notices) Guidelines 2022</w:t>
      </w:r>
      <w:r w:rsidR="006C63F9" w:rsidRPr="00E45CDE">
        <w:rPr>
          <w:bCs/>
        </w:rPr>
        <w:t>,</w:t>
      </w:r>
      <w:r w:rsidR="006C63F9">
        <w:rPr>
          <w:bCs/>
        </w:rPr>
        <w:t xml:space="preserve"> with proposed changes highlighted, </w:t>
      </w:r>
      <w:r w:rsidR="006C63F9" w:rsidRPr="00C96651">
        <w:rPr>
          <w:bCs/>
        </w:rPr>
        <w:t>is</w:t>
      </w:r>
      <w:r w:rsidRPr="006C63F9">
        <w:rPr>
          <w:bCs/>
        </w:rPr>
        <w:t xml:space="preserve"> </w:t>
      </w:r>
      <w:r w:rsidR="006C63F9">
        <w:rPr>
          <w:bCs/>
        </w:rPr>
        <w:t xml:space="preserve">available alongside this paper on the </w:t>
      </w:r>
      <w:hyperlink r:id="rId24" w:history="1">
        <w:r w:rsidR="006C63F9" w:rsidRPr="006C63F9">
          <w:rPr>
            <w:rStyle w:val="Hyperlink"/>
            <w:bCs/>
          </w:rPr>
          <w:t>ACMA website</w:t>
        </w:r>
      </w:hyperlink>
      <w:r w:rsidR="006C63F9">
        <w:rPr>
          <w:bCs/>
        </w:rPr>
        <w:t>.</w:t>
      </w:r>
      <w:bookmarkEnd w:id="17"/>
      <w:r w:rsidR="006C63F9">
        <w:rPr>
          <w:bCs/>
        </w:rPr>
        <w:t xml:space="preserve"> </w:t>
      </w:r>
    </w:p>
    <w:p w14:paraId="6256F06B" w14:textId="77777777" w:rsidR="000D5DB0" w:rsidRDefault="000D5DB0" w:rsidP="000D5DB0">
      <w:pPr>
        <w:pStyle w:val="Heading1"/>
      </w:pPr>
      <w:bookmarkStart w:id="18" w:name="_Toc70945565"/>
      <w:bookmarkEnd w:id="14"/>
      <w:bookmarkEnd w:id="15"/>
      <w:r>
        <w:lastRenderedPageBreak/>
        <w:t>Issues for comment</w:t>
      </w:r>
      <w:bookmarkEnd w:id="18"/>
    </w:p>
    <w:p w14:paraId="3C522DFC" w14:textId="77777777" w:rsidR="000D5DB0" w:rsidRDefault="000D5DB0" w:rsidP="00C96651">
      <w:pPr>
        <w:pStyle w:val="Heading3"/>
      </w:pPr>
      <w:r>
        <w:t>Question 1</w:t>
      </w:r>
    </w:p>
    <w:p w14:paraId="37BAF2B7" w14:textId="13FDF2B1" w:rsidR="000D5DB0" w:rsidRPr="00C02F26" w:rsidRDefault="000D5DB0" w:rsidP="00C96651">
      <w:pPr>
        <w:pStyle w:val="Paragraph"/>
      </w:pPr>
      <w:r>
        <w:t xml:space="preserve">Are the </w:t>
      </w:r>
      <w:r w:rsidR="002D7D93">
        <w:t>g</w:t>
      </w:r>
      <w:r w:rsidR="00655DDA">
        <w:t>uidelines</w:t>
      </w:r>
      <w:r>
        <w:t xml:space="preserve"> </w:t>
      </w:r>
      <w:r w:rsidRPr="00690DCD">
        <w:t>operating effectively and efficiently</w:t>
      </w:r>
      <w:r>
        <w:rPr>
          <w:bCs/>
        </w:rPr>
        <w:t>?</w:t>
      </w:r>
    </w:p>
    <w:p w14:paraId="19FE2BFA" w14:textId="77777777" w:rsidR="000D5DB0" w:rsidRDefault="000D5DB0" w:rsidP="00C96651">
      <w:pPr>
        <w:pStyle w:val="Heading3"/>
      </w:pPr>
      <w:r>
        <w:t>Question 2</w:t>
      </w:r>
    </w:p>
    <w:p w14:paraId="46E9D2F6" w14:textId="17091807" w:rsidR="000D5DB0" w:rsidRDefault="000D5DB0" w:rsidP="00C96651">
      <w:pPr>
        <w:pStyle w:val="Paragraph"/>
        <w:rPr>
          <w:bCs/>
        </w:rPr>
      </w:pPr>
      <w:r>
        <w:t xml:space="preserve">Should the </w:t>
      </w:r>
      <w:r w:rsidR="002D7D93">
        <w:t>g</w:t>
      </w:r>
      <w:r w:rsidR="008071F7">
        <w:t>uidelines</w:t>
      </w:r>
      <w:r>
        <w:t xml:space="preserve"> be amended as proposed</w:t>
      </w:r>
      <w:r>
        <w:rPr>
          <w:bCs/>
        </w:rPr>
        <w:t>?</w:t>
      </w:r>
    </w:p>
    <w:p w14:paraId="134F099A" w14:textId="77777777" w:rsidR="000D5DB0" w:rsidRPr="006B486D" w:rsidRDefault="000D5DB0" w:rsidP="00C96651">
      <w:pPr>
        <w:pStyle w:val="Heading3"/>
      </w:pPr>
      <w:r w:rsidRPr="006B486D">
        <w:t>Question 3</w:t>
      </w:r>
    </w:p>
    <w:p w14:paraId="7D1FECB7" w14:textId="16502418" w:rsidR="00D1534E" w:rsidRPr="00D1534E" w:rsidRDefault="000D5DB0" w:rsidP="00D1534E">
      <w:pPr>
        <w:pStyle w:val="Paragraph"/>
      </w:pPr>
      <w:r>
        <w:rPr>
          <w:bCs/>
        </w:rPr>
        <w:t xml:space="preserve">Are there any other changes that should be made to the </w:t>
      </w:r>
      <w:r w:rsidR="00E45CDE">
        <w:rPr>
          <w:bCs/>
        </w:rPr>
        <w:t>g</w:t>
      </w:r>
      <w:r>
        <w:rPr>
          <w:bCs/>
        </w:rPr>
        <w:t>uidelines?</w:t>
      </w:r>
    </w:p>
    <w:p w14:paraId="4EB4C370" w14:textId="77777777" w:rsidR="000D5DB0" w:rsidRDefault="000D5DB0" w:rsidP="000D5DB0">
      <w:pPr>
        <w:pStyle w:val="Heading1"/>
      </w:pPr>
      <w:bookmarkStart w:id="19" w:name="_Toc70945566"/>
      <w:r>
        <w:lastRenderedPageBreak/>
        <w:t>Invitation to comment</w:t>
      </w:r>
      <w:bookmarkEnd w:id="19"/>
    </w:p>
    <w:p w14:paraId="07BA8525" w14:textId="77777777" w:rsidR="000D5DB0" w:rsidRDefault="000D5DB0" w:rsidP="000D5DB0">
      <w:pPr>
        <w:pStyle w:val="Heading2"/>
      </w:pPr>
      <w:bookmarkStart w:id="20" w:name="_Toc433122131"/>
      <w:bookmarkStart w:id="21" w:name="_Toc348105637"/>
      <w:bookmarkStart w:id="22" w:name="_Toc300909556"/>
      <w:bookmarkStart w:id="23" w:name="_Toc298924673"/>
      <w:bookmarkStart w:id="24" w:name="_Toc70945567"/>
      <w:bookmarkStart w:id="25" w:name="_Toc348105638"/>
      <w:bookmarkStart w:id="26" w:name="_Toc300909557"/>
      <w:bookmarkStart w:id="27" w:name="_Toc298924674"/>
      <w:bookmarkStart w:id="28" w:name="_Toc274296357"/>
      <w:r>
        <w:t>Making a submission</w:t>
      </w:r>
      <w:bookmarkEnd w:id="20"/>
      <w:bookmarkEnd w:id="21"/>
      <w:bookmarkEnd w:id="22"/>
      <w:bookmarkEnd w:id="23"/>
      <w:bookmarkEnd w:id="24"/>
    </w:p>
    <w:p w14:paraId="19928DAC" w14:textId="63E63353" w:rsidR="000D5DB0" w:rsidRDefault="000D5DB0" w:rsidP="000D5DB0">
      <w:r w:rsidRPr="00690DCD">
        <w:t xml:space="preserve">Comments are sought </w:t>
      </w:r>
      <w:r w:rsidR="00682691">
        <w:t>on</w:t>
      </w:r>
      <w:r w:rsidRPr="00690DCD">
        <w:t xml:space="preserve"> the ACMA’s proposal to </w:t>
      </w:r>
      <w:r w:rsidRPr="00DF7AA1">
        <w:t>remake th</w:t>
      </w:r>
      <w:r w:rsidRPr="00383378">
        <w:t xml:space="preserve">e </w:t>
      </w:r>
      <w:r w:rsidR="001D3E4A" w:rsidRPr="00114E6F">
        <w:rPr>
          <w:color w:val="000000"/>
          <w:szCs w:val="20"/>
        </w:rPr>
        <w:t>Telecommunications (Infringement Notices) Guidelines 2011</w:t>
      </w:r>
      <w:r w:rsidRPr="00383378">
        <w:t>, without any s</w:t>
      </w:r>
      <w:r w:rsidRPr="00DF7AA1">
        <w:t xml:space="preserve">ignificant changes, on the basis that </w:t>
      </w:r>
      <w:r w:rsidR="009E55B0">
        <w:t xml:space="preserve">they are </w:t>
      </w:r>
      <w:r w:rsidRPr="00690DCD">
        <w:t>operating effectively and efficiently.</w:t>
      </w:r>
      <w:r>
        <w:t xml:space="preserve"> </w:t>
      </w:r>
    </w:p>
    <w:p w14:paraId="2651BFED" w14:textId="27B10E83" w:rsidR="000D5DB0" w:rsidRDefault="00DF2474" w:rsidP="000D5DB0">
      <w:pPr>
        <w:pStyle w:val="Bulletlevel1"/>
      </w:pPr>
      <w:hyperlink r:id="rId25" w:history="1">
        <w:r w:rsidR="000D5DB0">
          <w:rPr>
            <w:rStyle w:val="Hyperlink"/>
          </w:rPr>
          <w:t>Online submissions</w:t>
        </w:r>
      </w:hyperlink>
      <w:r w:rsidR="000D5DB0">
        <w:t xml:space="preserve"> can be made by </w:t>
      </w:r>
      <w:r w:rsidR="000D5DB0" w:rsidRPr="0070133D">
        <w:t>uploading</w:t>
      </w:r>
      <w:r w:rsidR="000D5DB0">
        <w:t xml:space="preserve"> a document. Submissions in PDF, Microsoft Word or Rich Text Format are preferred.</w:t>
      </w:r>
      <w:r w:rsidR="009E55B0">
        <w:t xml:space="preserve"> </w:t>
      </w:r>
    </w:p>
    <w:p w14:paraId="293CA2AB" w14:textId="77777777" w:rsidR="000D5DB0" w:rsidRPr="00A510D0" w:rsidRDefault="000D5DB0" w:rsidP="000D5DB0">
      <w:pPr>
        <w:pStyle w:val="Bulletlevel1"/>
      </w:pPr>
      <w:r w:rsidRPr="00A510D0">
        <w:t xml:space="preserve">Submissions by post can be sent to: </w:t>
      </w:r>
    </w:p>
    <w:p w14:paraId="2CEA1D7C" w14:textId="77777777" w:rsidR="000D5DB0" w:rsidRPr="00A510D0" w:rsidRDefault="000D5DB0" w:rsidP="000D5DB0">
      <w:pPr>
        <w:spacing w:after="0"/>
        <w:ind w:left="295"/>
        <w:rPr>
          <w:szCs w:val="20"/>
        </w:rPr>
      </w:pPr>
      <w:r w:rsidRPr="00A510D0">
        <w:rPr>
          <w:szCs w:val="20"/>
        </w:rPr>
        <w:t>Legal Services Division</w:t>
      </w:r>
    </w:p>
    <w:p w14:paraId="2C79EE5F" w14:textId="77777777" w:rsidR="000D5DB0" w:rsidRPr="00A510D0" w:rsidRDefault="000D5DB0" w:rsidP="000D5DB0">
      <w:pPr>
        <w:spacing w:after="0"/>
        <w:ind w:left="295"/>
        <w:rPr>
          <w:szCs w:val="20"/>
        </w:rPr>
      </w:pPr>
      <w:r w:rsidRPr="00A510D0">
        <w:rPr>
          <w:szCs w:val="20"/>
        </w:rPr>
        <w:t>Australian Communications and Media Authority</w:t>
      </w:r>
    </w:p>
    <w:p w14:paraId="5CBA818F" w14:textId="77777777" w:rsidR="000D5DB0" w:rsidRPr="00A510D0" w:rsidRDefault="000D5DB0" w:rsidP="000D5DB0">
      <w:pPr>
        <w:spacing w:after="0"/>
        <w:ind w:left="295"/>
        <w:rPr>
          <w:szCs w:val="20"/>
        </w:rPr>
      </w:pPr>
      <w:r w:rsidRPr="00A510D0">
        <w:rPr>
          <w:szCs w:val="20"/>
        </w:rPr>
        <w:t>PO Box 78</w:t>
      </w:r>
    </w:p>
    <w:p w14:paraId="7A093CFD" w14:textId="77777777" w:rsidR="000D5DB0" w:rsidRPr="00A510D0" w:rsidRDefault="000D5DB0" w:rsidP="000D5DB0">
      <w:pPr>
        <w:ind w:left="295"/>
        <w:rPr>
          <w:szCs w:val="20"/>
        </w:rPr>
      </w:pPr>
      <w:r w:rsidRPr="00A510D0">
        <w:rPr>
          <w:szCs w:val="20"/>
        </w:rPr>
        <w:t>Belconnen ACT 2616</w:t>
      </w:r>
    </w:p>
    <w:p w14:paraId="4F75A148" w14:textId="1B509CAE" w:rsidR="000D5DB0" w:rsidRPr="00A510D0" w:rsidRDefault="000D5DB0" w:rsidP="000D5DB0">
      <w:r w:rsidRPr="00A510D0">
        <w:t>The closing date for submissio</w:t>
      </w:r>
      <w:r w:rsidRPr="005C6221">
        <w:t xml:space="preserve">ns is COB, </w:t>
      </w:r>
      <w:r w:rsidR="009B0AB7" w:rsidRPr="00114E6F">
        <w:rPr>
          <w:b/>
          <w:bCs/>
        </w:rPr>
        <w:t>Friday</w:t>
      </w:r>
      <w:r w:rsidR="009B0AB7">
        <w:t xml:space="preserve"> </w:t>
      </w:r>
      <w:r w:rsidR="00033236">
        <w:rPr>
          <w:b/>
          <w:bCs/>
        </w:rPr>
        <w:t>24 December 2021</w:t>
      </w:r>
      <w:r w:rsidRPr="00A510D0">
        <w:t xml:space="preserve"> </w:t>
      </w:r>
    </w:p>
    <w:p w14:paraId="6EB92C3B" w14:textId="7202FF41" w:rsidR="000D5DB0" w:rsidRPr="005358CD" w:rsidRDefault="000D5DB0" w:rsidP="005358CD">
      <w:pPr>
        <w:autoSpaceDE w:val="0"/>
        <w:autoSpaceDN w:val="0"/>
        <w:spacing w:line="240" w:lineRule="auto"/>
        <w:rPr>
          <w:rFonts w:ascii="Calibri" w:hAnsi="Calibri"/>
        </w:rPr>
      </w:pPr>
      <w:r w:rsidRPr="00A510D0">
        <w:t xml:space="preserve">Consultation enquiries can be emailed </w:t>
      </w:r>
      <w:r w:rsidRPr="00A510D0">
        <w:rPr>
          <w:szCs w:val="20"/>
        </w:rPr>
        <w:t xml:space="preserve">to </w:t>
      </w:r>
      <w:hyperlink r:id="rId26" w:history="1">
        <w:r w:rsidR="005358CD" w:rsidRPr="005358CD">
          <w:rPr>
            <w:rStyle w:val="Hyperlink"/>
          </w:rPr>
          <w:t xml:space="preserve">haveyoursay@acma.gov.au </w:t>
        </w:r>
      </w:hyperlink>
    </w:p>
    <w:p w14:paraId="50E2D4E9" w14:textId="77777777" w:rsidR="000D5DB0" w:rsidRDefault="000D5DB0" w:rsidP="000D5DB0">
      <w:pPr>
        <w:pStyle w:val="Heading4"/>
      </w:pPr>
      <w:bookmarkStart w:id="29" w:name="_Toc348105639"/>
      <w:bookmarkStart w:id="30" w:name="_Toc300909558"/>
      <w:bookmarkEnd w:id="25"/>
      <w:bookmarkEnd w:id="26"/>
      <w:r>
        <w:t xml:space="preserve">Publication of </w:t>
      </w:r>
      <w:r w:rsidRPr="005B2F0D">
        <w:t>submissions</w:t>
      </w:r>
      <w:bookmarkEnd w:id="27"/>
      <w:bookmarkEnd w:id="28"/>
      <w:bookmarkEnd w:id="29"/>
      <w:bookmarkEnd w:id="30"/>
    </w:p>
    <w:p w14:paraId="290EC3B1" w14:textId="77777777" w:rsidR="000D5DB0" w:rsidRDefault="000D5DB0" w:rsidP="000D5DB0">
      <w:bookmarkStart w:id="31" w:name="_Toc348105640"/>
      <w:bookmarkStart w:id="32" w:name="_Toc300909559"/>
      <w:bookmarkStart w:id="33" w:name="_Toc265246234"/>
      <w:r>
        <w:t>The ACMA publishes submissions on our website</w:t>
      </w:r>
      <w:r>
        <w:rPr>
          <w:rFonts w:cs="Arial"/>
        </w:rPr>
        <w:t>, including personal information (such as names and contact details)</w:t>
      </w:r>
      <w:r>
        <w:t xml:space="preserve">, except for information that you have claimed (and we have accepted) is confidential. </w:t>
      </w:r>
    </w:p>
    <w:p w14:paraId="367616FF" w14:textId="77777777" w:rsidR="000D5DB0" w:rsidRDefault="000D5DB0" w:rsidP="000D5DB0">
      <w:r>
        <w:t>Confidential information will not be published or otherwise released unless required or authorised by law.</w:t>
      </w:r>
    </w:p>
    <w:p w14:paraId="6B5D093A" w14:textId="77777777" w:rsidR="000D5DB0" w:rsidRDefault="000D5DB0" w:rsidP="000D5DB0">
      <w:pPr>
        <w:pStyle w:val="Heading4"/>
      </w:pPr>
      <w:r>
        <w:t>Privacy</w:t>
      </w:r>
    </w:p>
    <w:p w14:paraId="6B37F90B" w14:textId="77777777" w:rsidR="000D5DB0" w:rsidRDefault="000D5DB0" w:rsidP="000D5DB0">
      <w:pPr>
        <w:pStyle w:val="Paragraph"/>
      </w:pPr>
      <w:r>
        <w:t xml:space="preserve">View information about our policy on the </w:t>
      </w:r>
      <w:hyperlink r:id="rId27" w:history="1">
        <w:r>
          <w:rPr>
            <w:rStyle w:val="Hyperlink"/>
          </w:rPr>
          <w:t>p</w:t>
        </w:r>
        <w:r w:rsidRPr="00E21056">
          <w:rPr>
            <w:rStyle w:val="Hyperlink"/>
          </w:rPr>
          <w:t>ublication of submissions</w:t>
        </w:r>
      </w:hyperlink>
      <w:r>
        <w:t>, including collection of personal information during consultation and how we handle that information.</w:t>
      </w:r>
    </w:p>
    <w:bookmarkEnd w:id="31"/>
    <w:bookmarkEnd w:id="32"/>
    <w:bookmarkEnd w:id="33"/>
    <w:p w14:paraId="28BD9985" w14:textId="197048C1" w:rsidR="00FF3C69" w:rsidRPr="00C96651" w:rsidRDefault="000D5DB0" w:rsidP="00C96651">
      <w:pPr>
        <w:pStyle w:val="Paragraph"/>
      </w:pPr>
      <w:r>
        <w:t xml:space="preserve">Information on the </w:t>
      </w:r>
      <w:r>
        <w:rPr>
          <w:i/>
        </w:rPr>
        <w:t xml:space="preserve">Privacy Act 1988, </w:t>
      </w:r>
      <w:r>
        <w:t xml:space="preserve">how to access or correct personal information, how to make a privacy complaint and how we will deal with the complaint, is available in our </w:t>
      </w:r>
      <w:hyperlink r:id="rId28" w:history="1">
        <w:r w:rsidRPr="00E21056">
          <w:rPr>
            <w:rStyle w:val="Hyperlink"/>
          </w:rPr>
          <w:t>privacy policy</w:t>
        </w:r>
      </w:hyperlink>
      <w:r>
        <w:t xml:space="preserve">. </w:t>
      </w:r>
    </w:p>
    <w:sectPr w:rsidR="00FF3C69" w:rsidRPr="00C96651" w:rsidSect="00C77380">
      <w:headerReference w:type="even" r:id="rId29"/>
      <w:headerReference w:type="default" r:id="rId30"/>
      <w:footerReference w:type="even" r:id="rId31"/>
      <w:footerReference w:type="default" r:id="rId32"/>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15839" w14:textId="77777777" w:rsidR="00CA1A1E" w:rsidRDefault="00CA1A1E">
      <w:r>
        <w:separator/>
      </w:r>
    </w:p>
  </w:endnote>
  <w:endnote w:type="continuationSeparator" w:id="0">
    <w:p w14:paraId="511E1275" w14:textId="77777777" w:rsidR="00CA1A1E" w:rsidRDefault="00CA1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1F87" w14:textId="77777777" w:rsidR="0096529A" w:rsidRDefault="0096529A" w:rsidP="005E250B">
    <w:pPr>
      <w:pStyle w:val="Footer"/>
      <w:jc w:val="right"/>
    </w:pPr>
    <w:r w:rsidRPr="005E250B">
      <w:rPr>
        <w:noProof/>
        <w:vertAlign w:val="subscript"/>
      </w:rPr>
      <w:drawing>
        <wp:inline distT="0" distB="0" distL="0" distR="0" wp14:anchorId="25FE02AC" wp14:editId="1CB9366F">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EF4B5" w14:textId="77777777" w:rsidR="0096529A" w:rsidRDefault="009652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C3C54" w14:textId="77777777" w:rsidR="0096529A" w:rsidRDefault="009652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56280" w14:textId="77777777" w:rsidR="0096529A" w:rsidRPr="00622A3B" w:rsidRDefault="0096529A"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iv</w:t>
    </w:r>
    <w:r w:rsidRPr="002E4DDC">
      <w:rPr>
        <w:color w:val="505050"/>
      </w:rPr>
      <w:fldChar w:fldCharType="end"/>
    </w:r>
  </w:p>
  <w:p w14:paraId="3D0084AB" w14:textId="77777777" w:rsidR="0096529A" w:rsidRPr="00A5474E" w:rsidRDefault="0096529A"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B717A" w14:textId="77777777" w:rsidR="0096529A" w:rsidRPr="00622A3B" w:rsidRDefault="0096529A"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v</w:t>
    </w:r>
    <w:r w:rsidRPr="002E4DDC">
      <w:rPr>
        <w:color w:val="505050"/>
      </w:rPr>
      <w:fldChar w:fldCharType="end"/>
    </w:r>
  </w:p>
  <w:p w14:paraId="4DAD4F01" w14:textId="77777777" w:rsidR="0096529A" w:rsidRPr="00A5474E" w:rsidRDefault="0096529A"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CA499" w14:textId="77777777" w:rsidR="0096529A" w:rsidRPr="00622A3B" w:rsidRDefault="0096529A"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iii</w:t>
    </w:r>
    <w:r w:rsidRPr="002E4DDC">
      <w:rPr>
        <w:color w:val="505050"/>
      </w:rPr>
      <w:fldChar w:fldCharType="end"/>
    </w:r>
  </w:p>
  <w:p w14:paraId="6BE35593" w14:textId="77777777" w:rsidR="0096529A" w:rsidRPr="00A5474E" w:rsidRDefault="0096529A"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B09B0" w14:textId="77777777" w:rsidR="0096529A" w:rsidRPr="00622A3B" w:rsidRDefault="0096529A"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6E4F9B06" w14:textId="77777777" w:rsidR="0096529A" w:rsidRPr="00A5474E" w:rsidRDefault="0096529A"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2F2FB" w14:textId="77777777" w:rsidR="0096529A" w:rsidRPr="00622A3B" w:rsidRDefault="0096529A"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noProof/>
        <w:color w:val="505050"/>
      </w:rPr>
      <w:t>1</w:t>
    </w:r>
    <w:r w:rsidRPr="00575AC5">
      <w:rPr>
        <w:color w:val="505050"/>
      </w:rPr>
      <w:fldChar w:fldCharType="end"/>
    </w:r>
  </w:p>
  <w:p w14:paraId="463029E0" w14:textId="77777777" w:rsidR="0096529A" w:rsidRPr="00A5474E" w:rsidRDefault="0096529A"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4F018" w14:textId="77777777" w:rsidR="00CA1A1E" w:rsidRDefault="00CA1A1E">
      <w:r>
        <w:separator/>
      </w:r>
    </w:p>
  </w:footnote>
  <w:footnote w:type="continuationSeparator" w:id="0">
    <w:p w14:paraId="515BDD72" w14:textId="77777777" w:rsidR="00CA1A1E" w:rsidRDefault="00CA1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870B8" w14:textId="77777777" w:rsidR="0096529A" w:rsidRPr="00A5474E" w:rsidRDefault="0096529A" w:rsidP="00A5474E">
    <w:pPr>
      <w:pStyle w:val="Header"/>
    </w:pPr>
    <w:r>
      <w:rPr>
        <w:noProof/>
      </w:rPr>
      <w:drawing>
        <wp:inline distT="0" distB="0" distL="0" distR="0" wp14:anchorId="48E9B3C7" wp14:editId="48A2BB73">
          <wp:extent cx="6210300" cy="571134"/>
          <wp:effectExtent l="0" t="0" r="0"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10300" cy="5711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0A939" w14:textId="77777777" w:rsidR="0096529A" w:rsidRPr="00A5474E" w:rsidRDefault="0096529A"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FF19A" w14:textId="77777777" w:rsidR="0096529A" w:rsidRDefault="009652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4D921" w14:textId="77777777" w:rsidR="0096529A" w:rsidRDefault="0096529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6529A" w14:paraId="778F4CA8" w14:textId="77777777" w:rsidTr="00845F8B">
      <w:trPr>
        <w:trHeight w:hRule="exact" w:val="988"/>
      </w:trPr>
      <w:tc>
        <w:tcPr>
          <w:tcW w:w="7678" w:type="dxa"/>
          <w:shd w:val="clear" w:color="auto" w:fill="auto"/>
        </w:tcPr>
        <w:p w14:paraId="7B0E8849" w14:textId="77777777" w:rsidR="0096529A" w:rsidRDefault="0096529A" w:rsidP="00971914">
          <w:pPr>
            <w:pStyle w:val="Header"/>
          </w:pPr>
        </w:p>
      </w:tc>
    </w:tr>
    <w:tr w:rsidR="0096529A" w14:paraId="7EA5F28B" w14:textId="77777777" w:rsidTr="00845F8B">
      <w:tc>
        <w:tcPr>
          <w:tcW w:w="7678" w:type="dxa"/>
          <w:shd w:val="clear" w:color="auto" w:fill="auto"/>
        </w:tcPr>
        <w:p w14:paraId="4F7CB7D9" w14:textId="77777777" w:rsidR="0096529A" w:rsidRDefault="0096529A" w:rsidP="00971914">
          <w:pPr>
            <w:pStyle w:val="GridTable31"/>
          </w:pPr>
          <w:r>
            <w:t xml:space="preserve">Contents </w:t>
          </w:r>
          <w:r w:rsidRPr="00915B1C">
            <w:rPr>
              <w:b w:val="0"/>
              <w:spacing w:val="0"/>
              <w:sz w:val="28"/>
              <w:szCs w:val="28"/>
            </w:rPr>
            <w:t>(Continued)</w:t>
          </w:r>
        </w:p>
      </w:tc>
    </w:tr>
    <w:tr w:rsidR="0096529A" w14:paraId="7E65C4C4" w14:textId="77777777" w:rsidTr="00845F8B">
      <w:trPr>
        <w:trHeight w:val="1220"/>
      </w:trPr>
      <w:tc>
        <w:tcPr>
          <w:tcW w:w="7678" w:type="dxa"/>
          <w:shd w:val="clear" w:color="auto" w:fill="auto"/>
        </w:tcPr>
        <w:p w14:paraId="3F56C238" w14:textId="77777777" w:rsidR="0096529A" w:rsidRDefault="0096529A" w:rsidP="00971914"/>
      </w:tc>
    </w:tr>
  </w:tbl>
  <w:p w14:paraId="213A9F06" w14:textId="77777777" w:rsidR="0096529A" w:rsidRDefault="0096529A"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6529A" w14:paraId="79F4BFD7" w14:textId="77777777" w:rsidTr="00845F8B">
      <w:trPr>
        <w:trHeight w:hRule="exact" w:val="988"/>
      </w:trPr>
      <w:tc>
        <w:tcPr>
          <w:tcW w:w="7678" w:type="dxa"/>
          <w:shd w:val="clear" w:color="auto" w:fill="auto"/>
        </w:tcPr>
        <w:p w14:paraId="72E5EE52" w14:textId="77777777" w:rsidR="0096529A" w:rsidRDefault="0096529A" w:rsidP="00971914">
          <w:pPr>
            <w:pStyle w:val="Header"/>
          </w:pPr>
        </w:p>
      </w:tc>
    </w:tr>
    <w:tr w:rsidR="0096529A" w14:paraId="20B5DD78" w14:textId="77777777" w:rsidTr="00845F8B">
      <w:tc>
        <w:tcPr>
          <w:tcW w:w="7678" w:type="dxa"/>
          <w:shd w:val="clear" w:color="auto" w:fill="auto"/>
        </w:tcPr>
        <w:p w14:paraId="3D708548" w14:textId="77777777" w:rsidR="0096529A" w:rsidRDefault="0096529A" w:rsidP="00971914">
          <w:pPr>
            <w:pStyle w:val="GridTable31"/>
          </w:pPr>
          <w:r>
            <w:t xml:space="preserve">Contents </w:t>
          </w:r>
          <w:r w:rsidRPr="00915B1C">
            <w:rPr>
              <w:b w:val="0"/>
              <w:spacing w:val="0"/>
              <w:sz w:val="28"/>
              <w:szCs w:val="28"/>
            </w:rPr>
            <w:t>(Continued)</w:t>
          </w:r>
        </w:p>
      </w:tc>
    </w:tr>
    <w:tr w:rsidR="0096529A" w14:paraId="5D754A6B" w14:textId="77777777" w:rsidTr="00845F8B">
      <w:trPr>
        <w:trHeight w:val="1220"/>
      </w:trPr>
      <w:tc>
        <w:tcPr>
          <w:tcW w:w="7678" w:type="dxa"/>
          <w:shd w:val="clear" w:color="auto" w:fill="auto"/>
        </w:tcPr>
        <w:p w14:paraId="7BFE14EA" w14:textId="77777777" w:rsidR="0096529A" w:rsidRDefault="0096529A" w:rsidP="00971914"/>
      </w:tc>
    </w:tr>
  </w:tbl>
  <w:p w14:paraId="77B4DCFC" w14:textId="77777777" w:rsidR="0096529A" w:rsidRPr="00A5474E" w:rsidRDefault="0096529A"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5CD34" w14:textId="77777777" w:rsidR="0096529A" w:rsidRDefault="0096529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8C716" w14:textId="77777777" w:rsidR="0096529A" w:rsidRDefault="009652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51B60EB2"/>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F02330"/>
    <w:multiLevelType w:val="hybridMultilevel"/>
    <w:tmpl w:val="2294CCB8"/>
    <w:lvl w:ilvl="0" w:tplc="604CD0C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15:restartNumberingAfterBreak="0">
    <w:nsid w:val="2F5A5080"/>
    <w:multiLevelType w:val="hybridMultilevel"/>
    <w:tmpl w:val="BE2AF6CE"/>
    <w:lvl w:ilvl="0" w:tplc="D05E2434">
      <w:start w:val="1"/>
      <w:numFmt w:val="bullet"/>
      <w:lvlText w:val="●"/>
      <w:lvlJc w:val="left"/>
      <w:pPr>
        <w:ind w:left="357" w:hanging="357"/>
      </w:pPr>
      <w:rPr>
        <w:rFonts w:ascii="Arial" w:hAnsi="Arial" w:cs="Arial" w:hint="default"/>
        <w:sz w:val="20"/>
        <w:szCs w:val="20"/>
      </w:rPr>
    </w:lvl>
    <w:lvl w:ilvl="1" w:tplc="04090003">
      <w:start w:val="1"/>
      <w:numFmt w:val="bullet"/>
      <w:lvlText w:val="o"/>
      <w:lvlJc w:val="left"/>
      <w:pPr>
        <w:tabs>
          <w:tab w:val="num" w:pos="1728"/>
        </w:tabs>
        <w:ind w:left="1728" w:hanging="360"/>
      </w:pPr>
      <w:rPr>
        <w:rFonts w:ascii="Courier New" w:hAnsi="Courier New" w:cs="Times New Roman"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cs="Times New Roman"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cs="Times New Roman"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9" w15:restartNumberingAfterBreak="0">
    <w:nsid w:val="3B0F0189"/>
    <w:multiLevelType w:val="hybridMultilevel"/>
    <w:tmpl w:val="335E19F0"/>
    <w:lvl w:ilvl="0" w:tplc="604CD0CE">
      <w:start w:val="1"/>
      <w:numFmt w:val="bullet"/>
      <w:lvlText w:val=""/>
      <w:lvlJc w:val="left"/>
      <w:pPr>
        <w:ind w:left="1015" w:hanging="360"/>
      </w:pPr>
      <w:rPr>
        <w:rFonts w:ascii="Symbol" w:hAnsi="Symbol" w:hint="default"/>
      </w:rPr>
    </w:lvl>
    <w:lvl w:ilvl="1" w:tplc="0C090003" w:tentative="1">
      <w:start w:val="1"/>
      <w:numFmt w:val="bullet"/>
      <w:lvlText w:val="o"/>
      <w:lvlJc w:val="left"/>
      <w:pPr>
        <w:ind w:left="1735" w:hanging="360"/>
      </w:pPr>
      <w:rPr>
        <w:rFonts w:ascii="Courier New" w:hAnsi="Courier New" w:cs="Courier New" w:hint="default"/>
      </w:rPr>
    </w:lvl>
    <w:lvl w:ilvl="2" w:tplc="0C090005" w:tentative="1">
      <w:start w:val="1"/>
      <w:numFmt w:val="bullet"/>
      <w:lvlText w:val=""/>
      <w:lvlJc w:val="left"/>
      <w:pPr>
        <w:ind w:left="2455" w:hanging="360"/>
      </w:pPr>
      <w:rPr>
        <w:rFonts w:ascii="Wingdings" w:hAnsi="Wingdings" w:hint="default"/>
      </w:rPr>
    </w:lvl>
    <w:lvl w:ilvl="3" w:tplc="0C090001" w:tentative="1">
      <w:start w:val="1"/>
      <w:numFmt w:val="bullet"/>
      <w:lvlText w:val=""/>
      <w:lvlJc w:val="left"/>
      <w:pPr>
        <w:ind w:left="3175" w:hanging="360"/>
      </w:pPr>
      <w:rPr>
        <w:rFonts w:ascii="Symbol" w:hAnsi="Symbol" w:hint="default"/>
      </w:rPr>
    </w:lvl>
    <w:lvl w:ilvl="4" w:tplc="0C090003" w:tentative="1">
      <w:start w:val="1"/>
      <w:numFmt w:val="bullet"/>
      <w:lvlText w:val="o"/>
      <w:lvlJc w:val="left"/>
      <w:pPr>
        <w:ind w:left="3895" w:hanging="360"/>
      </w:pPr>
      <w:rPr>
        <w:rFonts w:ascii="Courier New" w:hAnsi="Courier New" w:cs="Courier New" w:hint="default"/>
      </w:rPr>
    </w:lvl>
    <w:lvl w:ilvl="5" w:tplc="0C090005" w:tentative="1">
      <w:start w:val="1"/>
      <w:numFmt w:val="bullet"/>
      <w:lvlText w:val=""/>
      <w:lvlJc w:val="left"/>
      <w:pPr>
        <w:ind w:left="4615" w:hanging="360"/>
      </w:pPr>
      <w:rPr>
        <w:rFonts w:ascii="Wingdings" w:hAnsi="Wingdings" w:hint="default"/>
      </w:rPr>
    </w:lvl>
    <w:lvl w:ilvl="6" w:tplc="0C090001" w:tentative="1">
      <w:start w:val="1"/>
      <w:numFmt w:val="bullet"/>
      <w:lvlText w:val=""/>
      <w:lvlJc w:val="left"/>
      <w:pPr>
        <w:ind w:left="5335" w:hanging="360"/>
      </w:pPr>
      <w:rPr>
        <w:rFonts w:ascii="Symbol" w:hAnsi="Symbol" w:hint="default"/>
      </w:rPr>
    </w:lvl>
    <w:lvl w:ilvl="7" w:tplc="0C090003" w:tentative="1">
      <w:start w:val="1"/>
      <w:numFmt w:val="bullet"/>
      <w:lvlText w:val="o"/>
      <w:lvlJc w:val="left"/>
      <w:pPr>
        <w:ind w:left="6055" w:hanging="360"/>
      </w:pPr>
      <w:rPr>
        <w:rFonts w:ascii="Courier New" w:hAnsi="Courier New" w:cs="Courier New" w:hint="default"/>
      </w:rPr>
    </w:lvl>
    <w:lvl w:ilvl="8" w:tplc="0C090005" w:tentative="1">
      <w:start w:val="1"/>
      <w:numFmt w:val="bullet"/>
      <w:lvlText w:val=""/>
      <w:lvlJc w:val="left"/>
      <w:pPr>
        <w:ind w:left="6775" w:hanging="360"/>
      </w:pPr>
      <w:rPr>
        <w:rFonts w:ascii="Wingdings" w:hAnsi="Wingdings" w:hint="default"/>
      </w:rPr>
    </w:lvl>
  </w:abstractNum>
  <w:abstractNum w:abstractNumId="10" w15:restartNumberingAfterBreak="0">
    <w:nsid w:val="3C276058"/>
    <w:multiLevelType w:val="hybridMultilevel"/>
    <w:tmpl w:val="CF9621FC"/>
    <w:lvl w:ilvl="0" w:tplc="604CD0CE">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1" w15:restartNumberingAfterBreak="0">
    <w:nsid w:val="478D2A47"/>
    <w:multiLevelType w:val="hybridMultilevel"/>
    <w:tmpl w:val="D94265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055BE4"/>
    <w:multiLevelType w:val="hybridMultilevel"/>
    <w:tmpl w:val="0752102A"/>
    <w:lvl w:ilvl="0" w:tplc="604CD0CE">
      <w:start w:val="1"/>
      <w:numFmt w:val="bullet"/>
      <w:lvlText w:val=""/>
      <w:lvlJc w:val="left"/>
      <w:pPr>
        <w:ind w:left="1015" w:hanging="360"/>
      </w:pPr>
      <w:rPr>
        <w:rFonts w:ascii="Symbol" w:hAnsi="Symbol" w:hint="default"/>
      </w:rPr>
    </w:lvl>
    <w:lvl w:ilvl="1" w:tplc="0C090003" w:tentative="1">
      <w:start w:val="1"/>
      <w:numFmt w:val="bullet"/>
      <w:lvlText w:val="o"/>
      <w:lvlJc w:val="left"/>
      <w:pPr>
        <w:ind w:left="1735" w:hanging="360"/>
      </w:pPr>
      <w:rPr>
        <w:rFonts w:ascii="Courier New" w:hAnsi="Courier New" w:cs="Courier New" w:hint="default"/>
      </w:rPr>
    </w:lvl>
    <w:lvl w:ilvl="2" w:tplc="0C090005" w:tentative="1">
      <w:start w:val="1"/>
      <w:numFmt w:val="bullet"/>
      <w:lvlText w:val=""/>
      <w:lvlJc w:val="left"/>
      <w:pPr>
        <w:ind w:left="2455" w:hanging="360"/>
      </w:pPr>
      <w:rPr>
        <w:rFonts w:ascii="Wingdings" w:hAnsi="Wingdings" w:hint="default"/>
      </w:rPr>
    </w:lvl>
    <w:lvl w:ilvl="3" w:tplc="0C090001" w:tentative="1">
      <w:start w:val="1"/>
      <w:numFmt w:val="bullet"/>
      <w:lvlText w:val=""/>
      <w:lvlJc w:val="left"/>
      <w:pPr>
        <w:ind w:left="3175" w:hanging="360"/>
      </w:pPr>
      <w:rPr>
        <w:rFonts w:ascii="Symbol" w:hAnsi="Symbol" w:hint="default"/>
      </w:rPr>
    </w:lvl>
    <w:lvl w:ilvl="4" w:tplc="0C090003" w:tentative="1">
      <w:start w:val="1"/>
      <w:numFmt w:val="bullet"/>
      <w:lvlText w:val="o"/>
      <w:lvlJc w:val="left"/>
      <w:pPr>
        <w:ind w:left="3895" w:hanging="360"/>
      </w:pPr>
      <w:rPr>
        <w:rFonts w:ascii="Courier New" w:hAnsi="Courier New" w:cs="Courier New" w:hint="default"/>
      </w:rPr>
    </w:lvl>
    <w:lvl w:ilvl="5" w:tplc="0C090005" w:tentative="1">
      <w:start w:val="1"/>
      <w:numFmt w:val="bullet"/>
      <w:lvlText w:val=""/>
      <w:lvlJc w:val="left"/>
      <w:pPr>
        <w:ind w:left="4615" w:hanging="360"/>
      </w:pPr>
      <w:rPr>
        <w:rFonts w:ascii="Wingdings" w:hAnsi="Wingdings" w:hint="default"/>
      </w:rPr>
    </w:lvl>
    <w:lvl w:ilvl="6" w:tplc="0C090001" w:tentative="1">
      <w:start w:val="1"/>
      <w:numFmt w:val="bullet"/>
      <w:lvlText w:val=""/>
      <w:lvlJc w:val="left"/>
      <w:pPr>
        <w:ind w:left="5335" w:hanging="360"/>
      </w:pPr>
      <w:rPr>
        <w:rFonts w:ascii="Symbol" w:hAnsi="Symbol" w:hint="default"/>
      </w:rPr>
    </w:lvl>
    <w:lvl w:ilvl="7" w:tplc="0C090003" w:tentative="1">
      <w:start w:val="1"/>
      <w:numFmt w:val="bullet"/>
      <w:lvlText w:val="o"/>
      <w:lvlJc w:val="left"/>
      <w:pPr>
        <w:ind w:left="6055" w:hanging="360"/>
      </w:pPr>
      <w:rPr>
        <w:rFonts w:ascii="Courier New" w:hAnsi="Courier New" w:cs="Courier New" w:hint="default"/>
      </w:rPr>
    </w:lvl>
    <w:lvl w:ilvl="8" w:tplc="0C090005" w:tentative="1">
      <w:start w:val="1"/>
      <w:numFmt w:val="bullet"/>
      <w:lvlText w:val=""/>
      <w:lvlJc w:val="left"/>
      <w:pPr>
        <w:ind w:left="6775" w:hanging="360"/>
      </w:pPr>
      <w:rPr>
        <w:rFonts w:ascii="Wingdings" w:hAnsi="Wingdings" w:hint="default"/>
      </w:rPr>
    </w:lvl>
  </w:abstractNum>
  <w:abstractNum w:abstractNumId="14"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DC5750"/>
    <w:multiLevelType w:val="hybridMultilevel"/>
    <w:tmpl w:val="BCBAC9F2"/>
    <w:lvl w:ilvl="0" w:tplc="604CD0C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7"/>
  </w:num>
  <w:num w:numId="6">
    <w:abstractNumId w:val="15"/>
  </w:num>
  <w:num w:numId="7">
    <w:abstractNumId w:val="12"/>
  </w:num>
  <w:num w:numId="8">
    <w:abstractNumId w:val="14"/>
  </w:num>
  <w:num w:numId="9">
    <w:abstractNumId w:val="16"/>
  </w:num>
  <w:num w:numId="10">
    <w:abstractNumId w:val="5"/>
  </w:num>
  <w:num w:numId="11">
    <w:abstractNumId w:val="4"/>
  </w:num>
  <w:num w:numId="12">
    <w:abstractNumId w:val="3"/>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8"/>
  </w:num>
  <w:num w:numId="17">
    <w:abstractNumId w:val="17"/>
  </w:num>
  <w:num w:numId="18">
    <w:abstractNumId w:val="11"/>
  </w:num>
  <w:num w:numId="19">
    <w:abstractNumId w:val="10"/>
  </w:num>
  <w:num w:numId="20">
    <w:abstractNumId w:val="3"/>
  </w:num>
  <w:num w:numId="21">
    <w:abstractNumId w:val="3"/>
  </w:num>
  <w:num w:numId="22">
    <w:abstractNumId w:val="3"/>
  </w:num>
  <w:num w:numId="23">
    <w:abstractNumId w:val="1"/>
  </w:num>
  <w:num w:numId="24">
    <w:abstractNumId w:val="1"/>
  </w:num>
  <w:num w:numId="25">
    <w:abstractNumId w:val="3"/>
  </w:num>
  <w:num w:numId="26">
    <w:abstractNumId w:val="3"/>
  </w:num>
  <w:num w:numId="27">
    <w:abstractNumId w:val="1"/>
  </w:num>
  <w:num w:numId="28">
    <w:abstractNumId w:val="1"/>
  </w:num>
  <w:num w:numId="29">
    <w:abstractNumId w:val="3"/>
  </w:num>
  <w:num w:numId="30">
    <w:abstractNumId w:val="3"/>
  </w:num>
  <w:num w:numId="31">
    <w:abstractNumId w:val="1"/>
  </w:num>
  <w:num w:numId="32">
    <w:abstractNumId w:val="1"/>
  </w:num>
  <w:num w:numId="33">
    <w:abstractNumId w:val="3"/>
  </w:num>
  <w:num w:numId="34">
    <w:abstractNumId w:val="3"/>
  </w:num>
  <w:num w:numId="35">
    <w:abstractNumId w:val="3"/>
  </w:num>
  <w:num w:numId="36">
    <w:abstractNumId w:val="3"/>
  </w:num>
  <w:num w:numId="37">
    <w:abstractNumId w:val="13"/>
  </w:num>
  <w:num w:numId="38">
    <w:abstractNumId w:val="6"/>
  </w:num>
  <w:num w:numId="39">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DB0"/>
    <w:rsid w:val="00010667"/>
    <w:rsid w:val="0001098F"/>
    <w:rsid w:val="000129D5"/>
    <w:rsid w:val="00014CB7"/>
    <w:rsid w:val="00015AE7"/>
    <w:rsid w:val="00016E21"/>
    <w:rsid w:val="0001719C"/>
    <w:rsid w:val="0002224E"/>
    <w:rsid w:val="000245E5"/>
    <w:rsid w:val="0002684A"/>
    <w:rsid w:val="00026F91"/>
    <w:rsid w:val="00032621"/>
    <w:rsid w:val="00033236"/>
    <w:rsid w:val="0004764C"/>
    <w:rsid w:val="0005011A"/>
    <w:rsid w:val="0005045A"/>
    <w:rsid w:val="00051C1E"/>
    <w:rsid w:val="000539F9"/>
    <w:rsid w:val="00054C27"/>
    <w:rsid w:val="00055EC3"/>
    <w:rsid w:val="000563CE"/>
    <w:rsid w:val="000659B6"/>
    <w:rsid w:val="0006686F"/>
    <w:rsid w:val="0006722A"/>
    <w:rsid w:val="000732CF"/>
    <w:rsid w:val="00073D2E"/>
    <w:rsid w:val="00075B96"/>
    <w:rsid w:val="0008196A"/>
    <w:rsid w:val="00083CF5"/>
    <w:rsid w:val="000860A0"/>
    <w:rsid w:val="000915ED"/>
    <w:rsid w:val="0009209D"/>
    <w:rsid w:val="0009463C"/>
    <w:rsid w:val="000969BD"/>
    <w:rsid w:val="000969BF"/>
    <w:rsid w:val="000A0C22"/>
    <w:rsid w:val="000A1400"/>
    <w:rsid w:val="000A3C43"/>
    <w:rsid w:val="000A4A51"/>
    <w:rsid w:val="000A5D2B"/>
    <w:rsid w:val="000B4664"/>
    <w:rsid w:val="000B5DE3"/>
    <w:rsid w:val="000C0A57"/>
    <w:rsid w:val="000C230C"/>
    <w:rsid w:val="000C6AB4"/>
    <w:rsid w:val="000D5DB0"/>
    <w:rsid w:val="000D71D9"/>
    <w:rsid w:val="000D76E0"/>
    <w:rsid w:val="000D7E8B"/>
    <w:rsid w:val="000E4449"/>
    <w:rsid w:val="000E6097"/>
    <w:rsid w:val="00103829"/>
    <w:rsid w:val="001109A1"/>
    <w:rsid w:val="00111FCE"/>
    <w:rsid w:val="00114E6F"/>
    <w:rsid w:val="001229A5"/>
    <w:rsid w:val="0012489B"/>
    <w:rsid w:val="00124E5C"/>
    <w:rsid w:val="00130017"/>
    <w:rsid w:val="00130F91"/>
    <w:rsid w:val="001349ED"/>
    <w:rsid w:val="00137424"/>
    <w:rsid w:val="00140318"/>
    <w:rsid w:val="00141AD9"/>
    <w:rsid w:val="00146CE6"/>
    <w:rsid w:val="00152903"/>
    <w:rsid w:val="00153FD5"/>
    <w:rsid w:val="0015614F"/>
    <w:rsid w:val="001577C2"/>
    <w:rsid w:val="001633C4"/>
    <w:rsid w:val="001704D5"/>
    <w:rsid w:val="00171591"/>
    <w:rsid w:val="00173981"/>
    <w:rsid w:val="0017719D"/>
    <w:rsid w:val="00183FD7"/>
    <w:rsid w:val="00185CAB"/>
    <w:rsid w:val="001875B7"/>
    <w:rsid w:val="00187CB3"/>
    <w:rsid w:val="0019050A"/>
    <w:rsid w:val="001910D4"/>
    <w:rsid w:val="001916AD"/>
    <w:rsid w:val="00196CDD"/>
    <w:rsid w:val="001976E3"/>
    <w:rsid w:val="001A44EC"/>
    <w:rsid w:val="001A65B7"/>
    <w:rsid w:val="001B39C4"/>
    <w:rsid w:val="001B58AA"/>
    <w:rsid w:val="001B7E48"/>
    <w:rsid w:val="001C17CE"/>
    <w:rsid w:val="001C36CA"/>
    <w:rsid w:val="001C44D1"/>
    <w:rsid w:val="001C6AEE"/>
    <w:rsid w:val="001C7630"/>
    <w:rsid w:val="001D3E4A"/>
    <w:rsid w:val="001D6D15"/>
    <w:rsid w:val="001E1D8E"/>
    <w:rsid w:val="001E242E"/>
    <w:rsid w:val="001E7600"/>
    <w:rsid w:val="001F50F7"/>
    <w:rsid w:val="001F7558"/>
    <w:rsid w:val="00201D12"/>
    <w:rsid w:val="00201EE2"/>
    <w:rsid w:val="00204EC3"/>
    <w:rsid w:val="00205B57"/>
    <w:rsid w:val="00210504"/>
    <w:rsid w:val="0021426C"/>
    <w:rsid w:val="002157E0"/>
    <w:rsid w:val="00216A57"/>
    <w:rsid w:val="00217448"/>
    <w:rsid w:val="00222292"/>
    <w:rsid w:val="0022334F"/>
    <w:rsid w:val="00226819"/>
    <w:rsid w:val="00233101"/>
    <w:rsid w:val="00233817"/>
    <w:rsid w:val="002367FF"/>
    <w:rsid w:val="00240CE9"/>
    <w:rsid w:val="002434BA"/>
    <w:rsid w:val="00246089"/>
    <w:rsid w:val="00246093"/>
    <w:rsid w:val="00246702"/>
    <w:rsid w:val="00247C59"/>
    <w:rsid w:val="00247F2E"/>
    <w:rsid w:val="00250ADC"/>
    <w:rsid w:val="00250B07"/>
    <w:rsid w:val="00253831"/>
    <w:rsid w:val="00254570"/>
    <w:rsid w:val="00257553"/>
    <w:rsid w:val="00260FB2"/>
    <w:rsid w:val="00262128"/>
    <w:rsid w:val="00265D9D"/>
    <w:rsid w:val="0027165D"/>
    <w:rsid w:val="00273CEB"/>
    <w:rsid w:val="00281C89"/>
    <w:rsid w:val="0028282F"/>
    <w:rsid w:val="002918E3"/>
    <w:rsid w:val="0029593B"/>
    <w:rsid w:val="00297FC5"/>
    <w:rsid w:val="002A0417"/>
    <w:rsid w:val="002A16D8"/>
    <w:rsid w:val="002A1BC8"/>
    <w:rsid w:val="002A3EF2"/>
    <w:rsid w:val="002A5244"/>
    <w:rsid w:val="002B0DED"/>
    <w:rsid w:val="002B19A2"/>
    <w:rsid w:val="002B381A"/>
    <w:rsid w:val="002B4FCC"/>
    <w:rsid w:val="002B7408"/>
    <w:rsid w:val="002B7CFD"/>
    <w:rsid w:val="002C0530"/>
    <w:rsid w:val="002C210F"/>
    <w:rsid w:val="002C4B9B"/>
    <w:rsid w:val="002C5F46"/>
    <w:rsid w:val="002D3600"/>
    <w:rsid w:val="002D7D93"/>
    <w:rsid w:val="002E1D79"/>
    <w:rsid w:val="002E4DDC"/>
    <w:rsid w:val="002E579F"/>
    <w:rsid w:val="00302480"/>
    <w:rsid w:val="00302758"/>
    <w:rsid w:val="0030694C"/>
    <w:rsid w:val="003111DD"/>
    <w:rsid w:val="00314A01"/>
    <w:rsid w:val="003165E6"/>
    <w:rsid w:val="003215B5"/>
    <w:rsid w:val="003221CF"/>
    <w:rsid w:val="003227E0"/>
    <w:rsid w:val="003233ED"/>
    <w:rsid w:val="00324D9F"/>
    <w:rsid w:val="00327948"/>
    <w:rsid w:val="0033000F"/>
    <w:rsid w:val="00332011"/>
    <w:rsid w:val="00332518"/>
    <w:rsid w:val="00332925"/>
    <w:rsid w:val="00332E3F"/>
    <w:rsid w:val="003332ED"/>
    <w:rsid w:val="003368DC"/>
    <w:rsid w:val="00340DEA"/>
    <w:rsid w:val="00343D87"/>
    <w:rsid w:val="00345927"/>
    <w:rsid w:val="00350584"/>
    <w:rsid w:val="00351857"/>
    <w:rsid w:val="00352C33"/>
    <w:rsid w:val="003545E8"/>
    <w:rsid w:val="003610E1"/>
    <w:rsid w:val="00366442"/>
    <w:rsid w:val="003671BE"/>
    <w:rsid w:val="00372485"/>
    <w:rsid w:val="00373200"/>
    <w:rsid w:val="00375EF5"/>
    <w:rsid w:val="003767A5"/>
    <w:rsid w:val="00381D15"/>
    <w:rsid w:val="00383378"/>
    <w:rsid w:val="00385254"/>
    <w:rsid w:val="003853B4"/>
    <w:rsid w:val="003933E8"/>
    <w:rsid w:val="00394031"/>
    <w:rsid w:val="00396DC2"/>
    <w:rsid w:val="003A04DB"/>
    <w:rsid w:val="003A5F5B"/>
    <w:rsid w:val="003A789A"/>
    <w:rsid w:val="003B12EC"/>
    <w:rsid w:val="003B3C54"/>
    <w:rsid w:val="003B4DA9"/>
    <w:rsid w:val="003C03B8"/>
    <w:rsid w:val="003C77E0"/>
    <w:rsid w:val="003D17D7"/>
    <w:rsid w:val="003D2678"/>
    <w:rsid w:val="003D71A3"/>
    <w:rsid w:val="003E2B8A"/>
    <w:rsid w:val="003F10EE"/>
    <w:rsid w:val="003F16F6"/>
    <w:rsid w:val="003F4DC7"/>
    <w:rsid w:val="003F5235"/>
    <w:rsid w:val="003F6AB1"/>
    <w:rsid w:val="00400D67"/>
    <w:rsid w:val="004027E4"/>
    <w:rsid w:val="0041071D"/>
    <w:rsid w:val="00412ED5"/>
    <w:rsid w:val="00414AFC"/>
    <w:rsid w:val="004151A7"/>
    <w:rsid w:val="00415310"/>
    <w:rsid w:val="00417993"/>
    <w:rsid w:val="00421709"/>
    <w:rsid w:val="00423763"/>
    <w:rsid w:val="0042762F"/>
    <w:rsid w:val="00427DC7"/>
    <w:rsid w:val="00431613"/>
    <w:rsid w:val="00431792"/>
    <w:rsid w:val="0043297A"/>
    <w:rsid w:val="00432EB2"/>
    <w:rsid w:val="00436B28"/>
    <w:rsid w:val="0043714F"/>
    <w:rsid w:val="004438B5"/>
    <w:rsid w:val="00447037"/>
    <w:rsid w:val="0045124D"/>
    <w:rsid w:val="00454596"/>
    <w:rsid w:val="0045605D"/>
    <w:rsid w:val="0046135B"/>
    <w:rsid w:val="00461D47"/>
    <w:rsid w:val="004718CC"/>
    <w:rsid w:val="00481695"/>
    <w:rsid w:val="00493DF6"/>
    <w:rsid w:val="00495A96"/>
    <w:rsid w:val="00495BB3"/>
    <w:rsid w:val="00495E93"/>
    <w:rsid w:val="004969D5"/>
    <w:rsid w:val="004A02C8"/>
    <w:rsid w:val="004A56BB"/>
    <w:rsid w:val="004A70D6"/>
    <w:rsid w:val="004B1751"/>
    <w:rsid w:val="004B5CCF"/>
    <w:rsid w:val="004C0253"/>
    <w:rsid w:val="004C284A"/>
    <w:rsid w:val="004D5621"/>
    <w:rsid w:val="004D56FF"/>
    <w:rsid w:val="004E39D3"/>
    <w:rsid w:val="004E508A"/>
    <w:rsid w:val="004E616D"/>
    <w:rsid w:val="004F18A5"/>
    <w:rsid w:val="004F1BDE"/>
    <w:rsid w:val="004F2CEE"/>
    <w:rsid w:val="004F556E"/>
    <w:rsid w:val="004F591C"/>
    <w:rsid w:val="004F7F44"/>
    <w:rsid w:val="005037B4"/>
    <w:rsid w:val="005079BF"/>
    <w:rsid w:val="0051269A"/>
    <w:rsid w:val="00512BD4"/>
    <w:rsid w:val="005219E7"/>
    <w:rsid w:val="00531B9A"/>
    <w:rsid w:val="00531D15"/>
    <w:rsid w:val="005358CD"/>
    <w:rsid w:val="00537604"/>
    <w:rsid w:val="00542377"/>
    <w:rsid w:val="005476EB"/>
    <w:rsid w:val="00551782"/>
    <w:rsid w:val="00563EF1"/>
    <w:rsid w:val="00566AB4"/>
    <w:rsid w:val="0056735B"/>
    <w:rsid w:val="00573812"/>
    <w:rsid w:val="00574689"/>
    <w:rsid w:val="00574EC9"/>
    <w:rsid w:val="00575AC5"/>
    <w:rsid w:val="0057605D"/>
    <w:rsid w:val="00581347"/>
    <w:rsid w:val="005817E2"/>
    <w:rsid w:val="00581AC9"/>
    <w:rsid w:val="005849F8"/>
    <w:rsid w:val="005920A9"/>
    <w:rsid w:val="00592861"/>
    <w:rsid w:val="005938DF"/>
    <w:rsid w:val="00594E9C"/>
    <w:rsid w:val="00597E98"/>
    <w:rsid w:val="005A099B"/>
    <w:rsid w:val="005A2D9C"/>
    <w:rsid w:val="005A55FE"/>
    <w:rsid w:val="005A6A11"/>
    <w:rsid w:val="005A7368"/>
    <w:rsid w:val="005B2F0D"/>
    <w:rsid w:val="005B3772"/>
    <w:rsid w:val="005C34EF"/>
    <w:rsid w:val="005C6221"/>
    <w:rsid w:val="005D226B"/>
    <w:rsid w:val="005D2502"/>
    <w:rsid w:val="005D2C9E"/>
    <w:rsid w:val="005D40BB"/>
    <w:rsid w:val="005D47F3"/>
    <w:rsid w:val="005D49BF"/>
    <w:rsid w:val="005D4AA5"/>
    <w:rsid w:val="005D6F4E"/>
    <w:rsid w:val="005D7C73"/>
    <w:rsid w:val="005E0A65"/>
    <w:rsid w:val="005E250B"/>
    <w:rsid w:val="005E3ACD"/>
    <w:rsid w:val="005E7226"/>
    <w:rsid w:val="005E7A57"/>
    <w:rsid w:val="005F24B0"/>
    <w:rsid w:val="00604315"/>
    <w:rsid w:val="00604E26"/>
    <w:rsid w:val="0060523F"/>
    <w:rsid w:val="006052CF"/>
    <w:rsid w:val="00607B8D"/>
    <w:rsid w:val="00611F5C"/>
    <w:rsid w:val="00616E09"/>
    <w:rsid w:val="00622A3B"/>
    <w:rsid w:val="00622EEA"/>
    <w:rsid w:val="0062396C"/>
    <w:rsid w:val="00623FF9"/>
    <w:rsid w:val="00627D4E"/>
    <w:rsid w:val="00632B89"/>
    <w:rsid w:val="0063346D"/>
    <w:rsid w:val="00634478"/>
    <w:rsid w:val="00644373"/>
    <w:rsid w:val="00645915"/>
    <w:rsid w:val="00646CC4"/>
    <w:rsid w:val="006519C3"/>
    <w:rsid w:val="00652B30"/>
    <w:rsid w:val="0065307A"/>
    <w:rsid w:val="00655DDA"/>
    <w:rsid w:val="00656345"/>
    <w:rsid w:val="00656DC6"/>
    <w:rsid w:val="00660EC6"/>
    <w:rsid w:val="0066258C"/>
    <w:rsid w:val="00664110"/>
    <w:rsid w:val="00664214"/>
    <w:rsid w:val="00664D17"/>
    <w:rsid w:val="00666520"/>
    <w:rsid w:val="00667C5B"/>
    <w:rsid w:val="00682691"/>
    <w:rsid w:val="00690DCD"/>
    <w:rsid w:val="00691EB8"/>
    <w:rsid w:val="00692CDE"/>
    <w:rsid w:val="00693073"/>
    <w:rsid w:val="006977FF"/>
    <w:rsid w:val="006A01FA"/>
    <w:rsid w:val="006A0E9E"/>
    <w:rsid w:val="006A25C7"/>
    <w:rsid w:val="006A4AAD"/>
    <w:rsid w:val="006A4CCA"/>
    <w:rsid w:val="006A6DA2"/>
    <w:rsid w:val="006A7AB2"/>
    <w:rsid w:val="006B52DE"/>
    <w:rsid w:val="006B5717"/>
    <w:rsid w:val="006B582F"/>
    <w:rsid w:val="006B5EB2"/>
    <w:rsid w:val="006C0CEB"/>
    <w:rsid w:val="006C1631"/>
    <w:rsid w:val="006C3B1E"/>
    <w:rsid w:val="006C47FD"/>
    <w:rsid w:val="006C5C19"/>
    <w:rsid w:val="006C63F9"/>
    <w:rsid w:val="006C70A0"/>
    <w:rsid w:val="006D1027"/>
    <w:rsid w:val="006D1F85"/>
    <w:rsid w:val="006D27CB"/>
    <w:rsid w:val="006D2F08"/>
    <w:rsid w:val="006D576C"/>
    <w:rsid w:val="006D5865"/>
    <w:rsid w:val="006E4B1B"/>
    <w:rsid w:val="006E5445"/>
    <w:rsid w:val="006E7D93"/>
    <w:rsid w:val="006F1A1C"/>
    <w:rsid w:val="0070133D"/>
    <w:rsid w:val="007029A3"/>
    <w:rsid w:val="00706E4E"/>
    <w:rsid w:val="0070791C"/>
    <w:rsid w:val="0071383C"/>
    <w:rsid w:val="007141A7"/>
    <w:rsid w:val="00715722"/>
    <w:rsid w:val="00715BAF"/>
    <w:rsid w:val="00721032"/>
    <w:rsid w:val="00721B55"/>
    <w:rsid w:val="007253B5"/>
    <w:rsid w:val="00726CE4"/>
    <w:rsid w:val="00734143"/>
    <w:rsid w:val="0073547D"/>
    <w:rsid w:val="00737E47"/>
    <w:rsid w:val="00740EAC"/>
    <w:rsid w:val="00744956"/>
    <w:rsid w:val="00745A5C"/>
    <w:rsid w:val="0074605F"/>
    <w:rsid w:val="00747E94"/>
    <w:rsid w:val="00754C83"/>
    <w:rsid w:val="00761E5C"/>
    <w:rsid w:val="00765DF8"/>
    <w:rsid w:val="00766749"/>
    <w:rsid w:val="00767C1B"/>
    <w:rsid w:val="00770B3F"/>
    <w:rsid w:val="007714A9"/>
    <w:rsid w:val="00774F88"/>
    <w:rsid w:val="00774FDB"/>
    <w:rsid w:val="00777BA2"/>
    <w:rsid w:val="00781408"/>
    <w:rsid w:val="00784F7F"/>
    <w:rsid w:val="007878BD"/>
    <w:rsid w:val="00796F25"/>
    <w:rsid w:val="007A2E98"/>
    <w:rsid w:val="007A3BA3"/>
    <w:rsid w:val="007A6CC0"/>
    <w:rsid w:val="007A7FEC"/>
    <w:rsid w:val="007B1087"/>
    <w:rsid w:val="007B1499"/>
    <w:rsid w:val="007B1BBF"/>
    <w:rsid w:val="007B23C4"/>
    <w:rsid w:val="007B2960"/>
    <w:rsid w:val="007B355D"/>
    <w:rsid w:val="007B7980"/>
    <w:rsid w:val="007C0DEF"/>
    <w:rsid w:val="007C1D3E"/>
    <w:rsid w:val="007C5D5A"/>
    <w:rsid w:val="007C607F"/>
    <w:rsid w:val="007C79DD"/>
    <w:rsid w:val="007D1A97"/>
    <w:rsid w:val="007D2CD6"/>
    <w:rsid w:val="007D3063"/>
    <w:rsid w:val="007D3CEB"/>
    <w:rsid w:val="007E6A9A"/>
    <w:rsid w:val="007E7683"/>
    <w:rsid w:val="007F49FA"/>
    <w:rsid w:val="007F54C4"/>
    <w:rsid w:val="007F6E9A"/>
    <w:rsid w:val="00800CCD"/>
    <w:rsid w:val="008044D4"/>
    <w:rsid w:val="008071F7"/>
    <w:rsid w:val="00810AB4"/>
    <w:rsid w:val="00812F3A"/>
    <w:rsid w:val="00817B56"/>
    <w:rsid w:val="00821A88"/>
    <w:rsid w:val="00822AD3"/>
    <w:rsid w:val="0082322E"/>
    <w:rsid w:val="0082495D"/>
    <w:rsid w:val="00825158"/>
    <w:rsid w:val="0082784C"/>
    <w:rsid w:val="00831AC3"/>
    <w:rsid w:val="00836FCE"/>
    <w:rsid w:val="00837E37"/>
    <w:rsid w:val="008408FF"/>
    <w:rsid w:val="00845F8B"/>
    <w:rsid w:val="00850B68"/>
    <w:rsid w:val="00851F3F"/>
    <w:rsid w:val="00856EDC"/>
    <w:rsid w:val="008623B5"/>
    <w:rsid w:val="00865474"/>
    <w:rsid w:val="00870ABA"/>
    <w:rsid w:val="008710E1"/>
    <w:rsid w:val="008716E5"/>
    <w:rsid w:val="00881CA9"/>
    <w:rsid w:val="00883628"/>
    <w:rsid w:val="00885544"/>
    <w:rsid w:val="0088634E"/>
    <w:rsid w:val="00893AB8"/>
    <w:rsid w:val="00893E06"/>
    <w:rsid w:val="008A04C8"/>
    <w:rsid w:val="008A16AC"/>
    <w:rsid w:val="008A6913"/>
    <w:rsid w:val="008B2B36"/>
    <w:rsid w:val="008B70F3"/>
    <w:rsid w:val="008B71C4"/>
    <w:rsid w:val="008B76DF"/>
    <w:rsid w:val="008C10F4"/>
    <w:rsid w:val="008C65F7"/>
    <w:rsid w:val="008E4767"/>
    <w:rsid w:val="008E7A8C"/>
    <w:rsid w:val="008F3DDB"/>
    <w:rsid w:val="0090203B"/>
    <w:rsid w:val="009020CB"/>
    <w:rsid w:val="00903285"/>
    <w:rsid w:val="00906F40"/>
    <w:rsid w:val="0090731E"/>
    <w:rsid w:val="009109AA"/>
    <w:rsid w:val="00911729"/>
    <w:rsid w:val="00914426"/>
    <w:rsid w:val="00915B1C"/>
    <w:rsid w:val="00915ED1"/>
    <w:rsid w:val="009174F3"/>
    <w:rsid w:val="0091797D"/>
    <w:rsid w:val="0092266F"/>
    <w:rsid w:val="00923CBA"/>
    <w:rsid w:val="00926703"/>
    <w:rsid w:val="00927691"/>
    <w:rsid w:val="00927A5F"/>
    <w:rsid w:val="00930510"/>
    <w:rsid w:val="00935B63"/>
    <w:rsid w:val="00936E95"/>
    <w:rsid w:val="0094078F"/>
    <w:rsid w:val="00940FA3"/>
    <w:rsid w:val="00941FB0"/>
    <w:rsid w:val="009426D4"/>
    <w:rsid w:val="009448A0"/>
    <w:rsid w:val="00947F25"/>
    <w:rsid w:val="00950159"/>
    <w:rsid w:val="0095168E"/>
    <w:rsid w:val="0095490B"/>
    <w:rsid w:val="00960A33"/>
    <w:rsid w:val="0096529A"/>
    <w:rsid w:val="00965AEB"/>
    <w:rsid w:val="00971914"/>
    <w:rsid w:val="00974363"/>
    <w:rsid w:val="00981898"/>
    <w:rsid w:val="00987C05"/>
    <w:rsid w:val="0099577C"/>
    <w:rsid w:val="009A021C"/>
    <w:rsid w:val="009A25CC"/>
    <w:rsid w:val="009B0AB7"/>
    <w:rsid w:val="009B24A5"/>
    <w:rsid w:val="009B2601"/>
    <w:rsid w:val="009B4E9E"/>
    <w:rsid w:val="009C1690"/>
    <w:rsid w:val="009C428A"/>
    <w:rsid w:val="009C6881"/>
    <w:rsid w:val="009C7759"/>
    <w:rsid w:val="009D043D"/>
    <w:rsid w:val="009D07C8"/>
    <w:rsid w:val="009D4C85"/>
    <w:rsid w:val="009D6C71"/>
    <w:rsid w:val="009D7F7C"/>
    <w:rsid w:val="009E0631"/>
    <w:rsid w:val="009E16D0"/>
    <w:rsid w:val="009E2021"/>
    <w:rsid w:val="009E2051"/>
    <w:rsid w:val="009E38FD"/>
    <w:rsid w:val="009E55B0"/>
    <w:rsid w:val="009E7C16"/>
    <w:rsid w:val="009F13D6"/>
    <w:rsid w:val="009F4C6B"/>
    <w:rsid w:val="009F78A8"/>
    <w:rsid w:val="00A00D13"/>
    <w:rsid w:val="00A02AD6"/>
    <w:rsid w:val="00A07096"/>
    <w:rsid w:val="00A07318"/>
    <w:rsid w:val="00A11370"/>
    <w:rsid w:val="00A224CE"/>
    <w:rsid w:val="00A22522"/>
    <w:rsid w:val="00A24AFD"/>
    <w:rsid w:val="00A24F5C"/>
    <w:rsid w:val="00A32F96"/>
    <w:rsid w:val="00A341AE"/>
    <w:rsid w:val="00A40871"/>
    <w:rsid w:val="00A412AB"/>
    <w:rsid w:val="00A4193E"/>
    <w:rsid w:val="00A440E0"/>
    <w:rsid w:val="00A442EF"/>
    <w:rsid w:val="00A46E59"/>
    <w:rsid w:val="00A51D1A"/>
    <w:rsid w:val="00A5418D"/>
    <w:rsid w:val="00A5474E"/>
    <w:rsid w:val="00A64234"/>
    <w:rsid w:val="00A70ADF"/>
    <w:rsid w:val="00A71466"/>
    <w:rsid w:val="00A74B5E"/>
    <w:rsid w:val="00A81BED"/>
    <w:rsid w:val="00A81EC4"/>
    <w:rsid w:val="00A824E8"/>
    <w:rsid w:val="00A83FC2"/>
    <w:rsid w:val="00A84CBE"/>
    <w:rsid w:val="00A96137"/>
    <w:rsid w:val="00A967FD"/>
    <w:rsid w:val="00AA2DE5"/>
    <w:rsid w:val="00AB1267"/>
    <w:rsid w:val="00AB156C"/>
    <w:rsid w:val="00AB303E"/>
    <w:rsid w:val="00AB6814"/>
    <w:rsid w:val="00AC04BA"/>
    <w:rsid w:val="00AC0E39"/>
    <w:rsid w:val="00AD3082"/>
    <w:rsid w:val="00AD32B4"/>
    <w:rsid w:val="00AD4AD0"/>
    <w:rsid w:val="00AD5436"/>
    <w:rsid w:val="00AD60CD"/>
    <w:rsid w:val="00AD6C8C"/>
    <w:rsid w:val="00AE091D"/>
    <w:rsid w:val="00AE1222"/>
    <w:rsid w:val="00AE3B60"/>
    <w:rsid w:val="00AE53A1"/>
    <w:rsid w:val="00AF2484"/>
    <w:rsid w:val="00AF63E7"/>
    <w:rsid w:val="00AF6E17"/>
    <w:rsid w:val="00B0165D"/>
    <w:rsid w:val="00B01B60"/>
    <w:rsid w:val="00B031F3"/>
    <w:rsid w:val="00B052A4"/>
    <w:rsid w:val="00B125DE"/>
    <w:rsid w:val="00B13FDD"/>
    <w:rsid w:val="00B22EB2"/>
    <w:rsid w:val="00B27442"/>
    <w:rsid w:val="00B302F8"/>
    <w:rsid w:val="00B31167"/>
    <w:rsid w:val="00B329D8"/>
    <w:rsid w:val="00B32BB9"/>
    <w:rsid w:val="00B33AE1"/>
    <w:rsid w:val="00B37C38"/>
    <w:rsid w:val="00B4119D"/>
    <w:rsid w:val="00B4288C"/>
    <w:rsid w:val="00B43262"/>
    <w:rsid w:val="00B44100"/>
    <w:rsid w:val="00B46CBA"/>
    <w:rsid w:val="00B46F94"/>
    <w:rsid w:val="00B56FA7"/>
    <w:rsid w:val="00B6003C"/>
    <w:rsid w:val="00B61F03"/>
    <w:rsid w:val="00B626E4"/>
    <w:rsid w:val="00B66A92"/>
    <w:rsid w:val="00B70431"/>
    <w:rsid w:val="00B7197E"/>
    <w:rsid w:val="00B72F4A"/>
    <w:rsid w:val="00B8190C"/>
    <w:rsid w:val="00B83C27"/>
    <w:rsid w:val="00B84BC3"/>
    <w:rsid w:val="00B84BDD"/>
    <w:rsid w:val="00B92812"/>
    <w:rsid w:val="00BA1CEC"/>
    <w:rsid w:val="00BA39E6"/>
    <w:rsid w:val="00BA5409"/>
    <w:rsid w:val="00BB45A1"/>
    <w:rsid w:val="00BB6335"/>
    <w:rsid w:val="00BB7686"/>
    <w:rsid w:val="00BB7802"/>
    <w:rsid w:val="00BC23F9"/>
    <w:rsid w:val="00BC3421"/>
    <w:rsid w:val="00BC732C"/>
    <w:rsid w:val="00BD4421"/>
    <w:rsid w:val="00BE2580"/>
    <w:rsid w:val="00BE266D"/>
    <w:rsid w:val="00BE3178"/>
    <w:rsid w:val="00BE3938"/>
    <w:rsid w:val="00BE4C11"/>
    <w:rsid w:val="00BE71C0"/>
    <w:rsid w:val="00BF0A36"/>
    <w:rsid w:val="00BF4A3B"/>
    <w:rsid w:val="00BF610C"/>
    <w:rsid w:val="00C0060B"/>
    <w:rsid w:val="00C01A6C"/>
    <w:rsid w:val="00C0277D"/>
    <w:rsid w:val="00C02F26"/>
    <w:rsid w:val="00C03B4D"/>
    <w:rsid w:val="00C053A1"/>
    <w:rsid w:val="00C149A5"/>
    <w:rsid w:val="00C16198"/>
    <w:rsid w:val="00C2083D"/>
    <w:rsid w:val="00C24A53"/>
    <w:rsid w:val="00C32E3F"/>
    <w:rsid w:val="00C34146"/>
    <w:rsid w:val="00C34728"/>
    <w:rsid w:val="00C34A05"/>
    <w:rsid w:val="00C35CCE"/>
    <w:rsid w:val="00C4032F"/>
    <w:rsid w:val="00C41F21"/>
    <w:rsid w:val="00C44047"/>
    <w:rsid w:val="00C44126"/>
    <w:rsid w:val="00C45155"/>
    <w:rsid w:val="00C5498F"/>
    <w:rsid w:val="00C55235"/>
    <w:rsid w:val="00C60F78"/>
    <w:rsid w:val="00C61578"/>
    <w:rsid w:val="00C64CD0"/>
    <w:rsid w:val="00C65F61"/>
    <w:rsid w:val="00C6684F"/>
    <w:rsid w:val="00C70E70"/>
    <w:rsid w:val="00C74331"/>
    <w:rsid w:val="00C75F8D"/>
    <w:rsid w:val="00C77380"/>
    <w:rsid w:val="00C80038"/>
    <w:rsid w:val="00C87E8A"/>
    <w:rsid w:val="00C9126E"/>
    <w:rsid w:val="00C913D6"/>
    <w:rsid w:val="00C96651"/>
    <w:rsid w:val="00C97736"/>
    <w:rsid w:val="00CA1A1E"/>
    <w:rsid w:val="00CA345A"/>
    <w:rsid w:val="00CB18B9"/>
    <w:rsid w:val="00CB1E82"/>
    <w:rsid w:val="00CB2AF0"/>
    <w:rsid w:val="00CB4BA8"/>
    <w:rsid w:val="00CB52D7"/>
    <w:rsid w:val="00CC6732"/>
    <w:rsid w:val="00CD6ACF"/>
    <w:rsid w:val="00CE3C96"/>
    <w:rsid w:val="00CE51A8"/>
    <w:rsid w:val="00CF0BFE"/>
    <w:rsid w:val="00CF369B"/>
    <w:rsid w:val="00CF7281"/>
    <w:rsid w:val="00D00E28"/>
    <w:rsid w:val="00D0269E"/>
    <w:rsid w:val="00D05D6C"/>
    <w:rsid w:val="00D1534E"/>
    <w:rsid w:val="00D15810"/>
    <w:rsid w:val="00D16D4E"/>
    <w:rsid w:val="00D16FE3"/>
    <w:rsid w:val="00D26DB1"/>
    <w:rsid w:val="00D27F41"/>
    <w:rsid w:val="00D36441"/>
    <w:rsid w:val="00D37BC4"/>
    <w:rsid w:val="00D4064E"/>
    <w:rsid w:val="00D44E9B"/>
    <w:rsid w:val="00D47AEB"/>
    <w:rsid w:val="00D50DB9"/>
    <w:rsid w:val="00D51302"/>
    <w:rsid w:val="00D52C43"/>
    <w:rsid w:val="00D61243"/>
    <w:rsid w:val="00D6311A"/>
    <w:rsid w:val="00D643F8"/>
    <w:rsid w:val="00D6507F"/>
    <w:rsid w:val="00D730BC"/>
    <w:rsid w:val="00D73912"/>
    <w:rsid w:val="00D84D46"/>
    <w:rsid w:val="00D85226"/>
    <w:rsid w:val="00D87B94"/>
    <w:rsid w:val="00D90CDC"/>
    <w:rsid w:val="00D92D49"/>
    <w:rsid w:val="00D92EC1"/>
    <w:rsid w:val="00D96DEA"/>
    <w:rsid w:val="00DA4E41"/>
    <w:rsid w:val="00DB0E0F"/>
    <w:rsid w:val="00DB117A"/>
    <w:rsid w:val="00DB33DF"/>
    <w:rsid w:val="00DB5173"/>
    <w:rsid w:val="00DB7873"/>
    <w:rsid w:val="00DC187B"/>
    <w:rsid w:val="00DD1A43"/>
    <w:rsid w:val="00DD73C2"/>
    <w:rsid w:val="00DE319B"/>
    <w:rsid w:val="00DF2474"/>
    <w:rsid w:val="00DF34FE"/>
    <w:rsid w:val="00DF56AA"/>
    <w:rsid w:val="00DF56AF"/>
    <w:rsid w:val="00DF78E7"/>
    <w:rsid w:val="00E051F2"/>
    <w:rsid w:val="00E110E0"/>
    <w:rsid w:val="00E15371"/>
    <w:rsid w:val="00E21056"/>
    <w:rsid w:val="00E24104"/>
    <w:rsid w:val="00E302D0"/>
    <w:rsid w:val="00E31CD2"/>
    <w:rsid w:val="00E34031"/>
    <w:rsid w:val="00E35707"/>
    <w:rsid w:val="00E36AA1"/>
    <w:rsid w:val="00E40C84"/>
    <w:rsid w:val="00E40DED"/>
    <w:rsid w:val="00E41ECB"/>
    <w:rsid w:val="00E42676"/>
    <w:rsid w:val="00E42AEB"/>
    <w:rsid w:val="00E45CDE"/>
    <w:rsid w:val="00E53651"/>
    <w:rsid w:val="00E54FDB"/>
    <w:rsid w:val="00E5617D"/>
    <w:rsid w:val="00E563D7"/>
    <w:rsid w:val="00E6310F"/>
    <w:rsid w:val="00E663F4"/>
    <w:rsid w:val="00E666F2"/>
    <w:rsid w:val="00E66DD4"/>
    <w:rsid w:val="00E71872"/>
    <w:rsid w:val="00E748CC"/>
    <w:rsid w:val="00E75415"/>
    <w:rsid w:val="00E775B1"/>
    <w:rsid w:val="00E810A7"/>
    <w:rsid w:val="00E8152A"/>
    <w:rsid w:val="00E93629"/>
    <w:rsid w:val="00E93B5C"/>
    <w:rsid w:val="00E94CEC"/>
    <w:rsid w:val="00E94DAB"/>
    <w:rsid w:val="00E958F3"/>
    <w:rsid w:val="00EA04EF"/>
    <w:rsid w:val="00EA6C79"/>
    <w:rsid w:val="00EA6F19"/>
    <w:rsid w:val="00EB7090"/>
    <w:rsid w:val="00EC1BBE"/>
    <w:rsid w:val="00EC2B68"/>
    <w:rsid w:val="00EC3AEF"/>
    <w:rsid w:val="00EC5CD7"/>
    <w:rsid w:val="00EC64EB"/>
    <w:rsid w:val="00ED1C5A"/>
    <w:rsid w:val="00ED6215"/>
    <w:rsid w:val="00EE5FB3"/>
    <w:rsid w:val="00EE7F79"/>
    <w:rsid w:val="00EF715A"/>
    <w:rsid w:val="00F05E08"/>
    <w:rsid w:val="00F06E14"/>
    <w:rsid w:val="00F137E9"/>
    <w:rsid w:val="00F179D4"/>
    <w:rsid w:val="00F20527"/>
    <w:rsid w:val="00F22A23"/>
    <w:rsid w:val="00F31709"/>
    <w:rsid w:val="00F318EB"/>
    <w:rsid w:val="00F32ACB"/>
    <w:rsid w:val="00F33C56"/>
    <w:rsid w:val="00F347C7"/>
    <w:rsid w:val="00F34848"/>
    <w:rsid w:val="00F35E09"/>
    <w:rsid w:val="00F42D46"/>
    <w:rsid w:val="00F4496C"/>
    <w:rsid w:val="00F44F3A"/>
    <w:rsid w:val="00F51F10"/>
    <w:rsid w:val="00F529A5"/>
    <w:rsid w:val="00F5310D"/>
    <w:rsid w:val="00F60F00"/>
    <w:rsid w:val="00F614C0"/>
    <w:rsid w:val="00F67D96"/>
    <w:rsid w:val="00F701F4"/>
    <w:rsid w:val="00F80FAF"/>
    <w:rsid w:val="00F83848"/>
    <w:rsid w:val="00F975E9"/>
    <w:rsid w:val="00FA1B7D"/>
    <w:rsid w:val="00FC07B9"/>
    <w:rsid w:val="00FC4E21"/>
    <w:rsid w:val="00FC5F6D"/>
    <w:rsid w:val="00FD0107"/>
    <w:rsid w:val="00FD2C2F"/>
    <w:rsid w:val="00FD3B31"/>
    <w:rsid w:val="00FD5366"/>
    <w:rsid w:val="00FE1823"/>
    <w:rsid w:val="00FE487A"/>
    <w:rsid w:val="00FE739F"/>
    <w:rsid w:val="00FF0569"/>
    <w:rsid w:val="00FF206E"/>
    <w:rsid w:val="00FF3C69"/>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7BEB7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D1534E"/>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1"/>
    <w:qFormat/>
    <w:rsid w:val="00C55235"/>
    <w:pPr>
      <w:keepNext/>
      <w:spacing w:before="60" w:after="60"/>
      <w:outlineLvl w:val="2"/>
    </w:pPr>
    <w:rPr>
      <w:rFonts w:cs="Arial"/>
      <w:b/>
      <w:bCs/>
      <w:szCs w:val="26"/>
    </w:rPr>
  </w:style>
  <w:style w:type="paragraph" w:styleId="Heading4">
    <w:name w:val="heading 4"/>
    <w:basedOn w:val="BodySubHeader"/>
    <w:next w:val="Normal"/>
    <w:uiPriority w:val="2"/>
    <w:qFormat/>
    <w:rsid w:val="005B2F0D"/>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2">
    <w:name w:val="List Bullet 2"/>
    <w:basedOn w:val="Normal"/>
    <w:semiHidden/>
    <w:qFormat/>
    <w:rsid w:val="001C6AEE"/>
    <w:pPr>
      <w:numPr>
        <w:numId w:val="3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basedOn w:val="DefaultParagraphFont"/>
    <w:semiHidden/>
    <w:rsid w:val="00566AB4"/>
    <w:rPr>
      <w:rFonts w:ascii="Arial" w:hAnsi="Arial"/>
      <w:vertAlign w:val="superscript"/>
    </w:rPr>
  </w:style>
  <w:style w:type="paragraph" w:styleId="FootnoteText">
    <w:name w:val="footnote text"/>
    <w:aliases w:val="Footnote text,ACMA Footnote Text"/>
    <w:basedOn w:val="Normal"/>
    <w:rsid w:val="00D61243"/>
    <w:pPr>
      <w:spacing w:after="0"/>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semiHidden/>
    <w:rsid w:val="00EE7F79"/>
    <w:pPr>
      <w:spacing w:line="240" w:lineRule="auto"/>
    </w:pPr>
    <w:rPr>
      <w:szCs w:val="20"/>
    </w:rPr>
  </w:style>
  <w:style w:type="character" w:customStyle="1" w:styleId="CommentTextChar">
    <w:name w:val="Comment Text Char"/>
    <w:basedOn w:val="DefaultParagraphFont"/>
    <w:link w:val="CommentText"/>
    <w:uiPriority w:val="99"/>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F05E08"/>
    <w:pPr>
      <w:spacing w:after="80"/>
      <w:contextualSpacing w:val="0"/>
    </w:pPr>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uiPriority w:val="20"/>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F5310D"/>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1"/>
    <w:rsid w:val="00D1534E"/>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F05E08"/>
    <w:pPr>
      <w:ind w:left="590" w:hanging="295"/>
    </w:pPr>
    <w:rPr>
      <w:rFonts w:cs="Arial"/>
    </w:rPr>
  </w:style>
  <w:style w:type="paragraph" w:customStyle="1" w:styleId="Bulletlevel1last">
    <w:name w:val="Bullet level 1 last"/>
    <w:basedOn w:val="Normal"/>
    <w:uiPriority w:val="6"/>
    <w:qFormat/>
    <w:rsid w:val="00F05E08"/>
    <w:pPr>
      <w:tabs>
        <w:tab w:val="num" w:pos="295"/>
      </w:tabs>
      <w:ind w:left="295" w:hanging="295"/>
    </w:pPr>
    <w:rPr>
      <w:rFonts w:cs="Arial"/>
    </w:rPr>
  </w:style>
  <w:style w:type="paragraph" w:customStyle="1" w:styleId="Numberlistlevel2">
    <w:name w:val="Number list level 2"/>
    <w:basedOn w:val="ListNumber2"/>
    <w:uiPriority w:val="11"/>
    <w:qFormat/>
    <w:rsid w:val="004A70D6"/>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F05E08"/>
    <w:pPr>
      <w:spacing w:after="240"/>
    </w:pPr>
  </w:style>
  <w:style w:type="table" w:customStyle="1" w:styleId="ACMAtablestyle">
    <w:name w:val="ACMA table style"/>
    <w:basedOn w:val="TableNormal"/>
    <w:uiPriority w:val="99"/>
    <w:rsid w:val="0063346D"/>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paragraph" w:customStyle="1" w:styleId="Tableheading">
    <w:name w:val="Table heading"/>
    <w:basedOn w:val="ACMATableHeader"/>
    <w:next w:val="Paragraph"/>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next w:val="Paragraph"/>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styleId="BalloonText">
    <w:name w:val="Balloon Text"/>
    <w:basedOn w:val="Normal"/>
    <w:link w:val="BalloonTextChar"/>
    <w:semiHidden/>
    <w:unhideWhenUsed/>
    <w:rsid w:val="00393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933E8"/>
    <w:rPr>
      <w:rFonts w:ascii="Segoe UI" w:hAnsi="Segoe UI" w:cs="Segoe UI"/>
      <w:sz w:val="18"/>
      <w:szCs w:val="18"/>
    </w:rPr>
  </w:style>
  <w:style w:type="paragraph" w:customStyle="1" w:styleId="Note">
    <w:name w:val="Note"/>
    <w:basedOn w:val="ACMANotes"/>
    <w:uiPriority w:val="23"/>
    <w:semiHidden/>
    <w:qFormat/>
    <w:rsid w:val="00D61243"/>
  </w:style>
  <w:style w:type="paragraph" w:customStyle="1" w:styleId="Protectivemarking">
    <w:name w:val="Protective marking"/>
    <w:basedOn w:val="Normal"/>
    <w:uiPriority w:val="99"/>
    <w:qFormat/>
    <w:rsid w:val="00D1534E"/>
    <w:pPr>
      <w:tabs>
        <w:tab w:val="left" w:pos="720"/>
      </w:tabs>
      <w:spacing w:after="0" w:line="240" w:lineRule="auto"/>
      <w:jc w:val="center"/>
    </w:pPr>
    <w:rPr>
      <w:rFonts w:cs="Arial"/>
      <w:b/>
      <w:bCs/>
      <w:color w:val="FF0000"/>
      <w:sz w:val="32"/>
      <w:lang w:eastAsia="en-US"/>
    </w:rPr>
  </w:style>
  <w:style w:type="paragraph" w:customStyle="1" w:styleId="TableHeading0">
    <w:name w:val="Table Heading"/>
    <w:basedOn w:val="Normal"/>
    <w:semiHidden/>
    <w:qFormat/>
    <w:rsid w:val="00D1534E"/>
    <w:pPr>
      <w:spacing w:after="0"/>
    </w:pPr>
    <w:rPr>
      <w:b/>
    </w:rPr>
  </w:style>
  <w:style w:type="paragraph" w:styleId="ListParagraph">
    <w:name w:val="List Paragraph"/>
    <w:basedOn w:val="Normal"/>
    <w:uiPriority w:val="34"/>
    <w:qFormat/>
    <w:rsid w:val="000D5DB0"/>
    <w:pPr>
      <w:spacing w:before="80" w:after="120" w:line="280" w:lineRule="atLeast"/>
      <w:ind w:left="720"/>
      <w:contextualSpacing/>
    </w:pPr>
    <w:rPr>
      <w:rFonts w:ascii="Times New Roman" w:hAnsi="Times New Roman"/>
      <w:sz w:val="24"/>
      <w:lang w:eastAsia="en-US"/>
    </w:rPr>
  </w:style>
  <w:style w:type="paragraph" w:styleId="ListBullet">
    <w:name w:val="List Bullet"/>
    <w:basedOn w:val="Normal"/>
    <w:unhideWhenUsed/>
    <w:qFormat/>
    <w:rsid w:val="00C60F78"/>
    <w:pPr>
      <w:numPr>
        <w:numId w:val="30"/>
      </w:numPr>
      <w:contextualSpacing/>
    </w:pPr>
  </w:style>
  <w:style w:type="paragraph" w:styleId="Revision">
    <w:name w:val="Revision"/>
    <w:hidden/>
    <w:semiHidden/>
    <w:rsid w:val="0002684A"/>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13674">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1076439042">
      <w:bodyDiv w:val="1"/>
      <w:marLeft w:val="0"/>
      <w:marRight w:val="0"/>
      <w:marTop w:val="0"/>
      <w:marBottom w:val="0"/>
      <w:divBdr>
        <w:top w:val="none" w:sz="0" w:space="0" w:color="auto"/>
        <w:left w:val="none" w:sz="0" w:space="0" w:color="auto"/>
        <w:bottom w:val="none" w:sz="0" w:space="0" w:color="auto"/>
        <w:right w:val="none" w:sz="0" w:space="0" w:color="auto"/>
      </w:divBdr>
    </w:div>
    <w:div w:id="1102535378">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786733678">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hyperlink" Target="mailto:haveyoursay@acma.gov.au"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s://www.acma.gov.au/have-your-say"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s://www.acma.gov.au/have-your-say" TargetMode="Externa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s://www.acma.gov.au/privacy-policy" TargetMode="Externa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hyperlink" Target="https://www.acma.gov.au/publication-submissions" TargetMode="External"/><Relationship Id="rId30" Type="http://schemas.openxmlformats.org/officeDocument/2006/relationships/header" Target="header8.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5F365-6C44-4D17-98EC-A8F413561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1314</Words>
  <Characters>7495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2021-11-23T02:06:00Z</dcterms:created>
  <dcterms:modified xsi:type="dcterms:W3CDTF">2021-11-23T02:06:00Z</dcterms:modified>
  <cp:category/>
</cp:coreProperties>
</file>