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BB39C" w14:textId="6ABE7058" w:rsidR="00F06E14" w:rsidRPr="0038741C" w:rsidRDefault="00AA26EB" w:rsidP="00A51D1A">
      <w:pPr>
        <w:pStyle w:val="ACMAReportTitle"/>
      </w:pPr>
      <w:r w:rsidRPr="0038741C">
        <w:t xml:space="preserve">Review </w:t>
      </w:r>
      <w:r w:rsidR="00B459CC" w:rsidRPr="0038741C" w:rsidDel="00286119">
        <w:t xml:space="preserve">of the </w:t>
      </w:r>
      <w:r w:rsidR="00FF1978">
        <w:t>1800</w:t>
      </w:r>
      <w:r w:rsidR="00B459CC" w:rsidRPr="0038741C">
        <w:t xml:space="preserve"> </w:t>
      </w:r>
      <w:r w:rsidR="00FF1978">
        <w:t>M</w:t>
      </w:r>
      <w:r w:rsidR="00B459CC" w:rsidRPr="0038741C">
        <w:t xml:space="preserve">Hz </w:t>
      </w:r>
      <w:r w:rsidR="00CB1D0E" w:rsidRPr="0038741C">
        <w:t xml:space="preserve">band </w:t>
      </w:r>
      <w:r w:rsidR="00B459CC" w:rsidRPr="0038741C">
        <w:t>spectrum licence technical framework</w:t>
      </w:r>
    </w:p>
    <w:p w14:paraId="5A664242" w14:textId="4D129542" w:rsidR="00F06E14" w:rsidRPr="0038741C" w:rsidRDefault="00CB1D0E" w:rsidP="00F06E14">
      <w:pPr>
        <w:pStyle w:val="ACMAReportSubTitle"/>
      </w:pPr>
      <w:r w:rsidRPr="0038741C">
        <w:t>Consultation</w:t>
      </w:r>
      <w:r w:rsidR="00EA5644" w:rsidRPr="0038741C">
        <w:t xml:space="preserve"> </w:t>
      </w:r>
      <w:r w:rsidR="00816CEF">
        <w:t>p</w:t>
      </w:r>
      <w:r w:rsidR="00B459CC" w:rsidRPr="0038741C">
        <w:t>aper</w:t>
      </w:r>
    </w:p>
    <w:p w14:paraId="2008CEF8" w14:textId="2AB33601" w:rsidR="00F06E14" w:rsidRDefault="00FF1978" w:rsidP="00D47AEB">
      <w:pPr>
        <w:pStyle w:val="ACMAReportDate"/>
        <w:spacing w:after="720"/>
      </w:pPr>
      <w:r>
        <w:t>October</w:t>
      </w:r>
      <w:r w:rsidR="00AA26EB" w:rsidRPr="0038741C">
        <w:t xml:space="preserve"> </w:t>
      </w:r>
      <w:r w:rsidR="00B459CC" w:rsidRPr="0038741C">
        <w:t>20</w:t>
      </w:r>
      <w:r w:rsidR="00C35188" w:rsidRPr="0038741C">
        <w:t>2</w:t>
      </w:r>
      <w:r>
        <w:t>1</w:t>
      </w:r>
    </w:p>
    <w:p w14:paraId="6FB60BB4" w14:textId="77777777" w:rsidR="00C97736" w:rsidRPr="0038741C" w:rsidRDefault="00C97736" w:rsidP="0041071D">
      <w:pPr>
        <w:rPr>
          <w:rFonts w:cs="Arial"/>
        </w:rPr>
      </w:pPr>
    </w:p>
    <w:p w14:paraId="35EBF0A7" w14:textId="77777777" w:rsidR="00C97736" w:rsidRPr="0038741C" w:rsidRDefault="00C97736" w:rsidP="0041071D">
      <w:pPr>
        <w:rPr>
          <w:rFonts w:cs="Arial"/>
        </w:rPr>
        <w:sectPr w:rsidR="00C97736" w:rsidRPr="0038741C" w:rsidSect="004F556E">
          <w:headerReference w:type="default" r:id="rId8"/>
          <w:footerReference w:type="default" r:id="rId9"/>
          <w:headerReference w:type="first" r:id="rId10"/>
          <w:pgSz w:w="11906" w:h="16838" w:code="9"/>
          <w:pgMar w:top="3924" w:right="1797" w:bottom="1440" w:left="1134" w:header="709" w:footer="454" w:gutter="0"/>
          <w:cols w:space="708"/>
          <w:docGrid w:linePitch="360"/>
        </w:sectPr>
      </w:pPr>
    </w:p>
    <w:p w14:paraId="377BFEAD" w14:textId="77777777" w:rsidR="0005011A" w:rsidRPr="0038741C" w:rsidRDefault="0005011A" w:rsidP="00FC07B9">
      <w:pPr>
        <w:pStyle w:val="ACMACorporateAddressHeader"/>
      </w:pPr>
      <w:r w:rsidRPr="0038741C">
        <w:lastRenderedPageBreak/>
        <w:t>Canberra</w:t>
      </w:r>
    </w:p>
    <w:p w14:paraId="2AE5FBAE" w14:textId="77777777" w:rsidR="0005011A" w:rsidRPr="0038741C" w:rsidRDefault="0005011A" w:rsidP="00FC07B9">
      <w:pPr>
        <w:pStyle w:val="ACMACorporateAddresses"/>
      </w:pPr>
      <w:r w:rsidRPr="0038741C">
        <w:t xml:space="preserve">Red Building </w:t>
      </w:r>
      <w:r w:rsidRPr="0038741C">
        <w:br/>
        <w:t>Benjamin Offices</w:t>
      </w:r>
      <w:r w:rsidRPr="0038741C">
        <w:br/>
        <w:t xml:space="preserve">Chan Street </w:t>
      </w:r>
      <w:r w:rsidRPr="0038741C">
        <w:br/>
        <w:t>Belconnen ACT</w:t>
      </w:r>
    </w:p>
    <w:p w14:paraId="53F50AF7" w14:textId="77777777" w:rsidR="0005011A" w:rsidRPr="0038741C" w:rsidRDefault="0005011A" w:rsidP="00FC07B9">
      <w:pPr>
        <w:pStyle w:val="ACMACorporateAddresses"/>
      </w:pPr>
      <w:r w:rsidRPr="0038741C">
        <w:t>PO Box 78</w:t>
      </w:r>
      <w:r w:rsidRPr="0038741C">
        <w:br/>
        <w:t>Belconnen ACT 2616</w:t>
      </w:r>
    </w:p>
    <w:p w14:paraId="7AB28DE1" w14:textId="77777777" w:rsidR="00FE1823" w:rsidRPr="0038741C" w:rsidRDefault="0005011A" w:rsidP="00FC07B9">
      <w:pPr>
        <w:pStyle w:val="ACMACorporateAddresses"/>
      </w:pPr>
      <w:r w:rsidRPr="0038741C">
        <w:t>T</w:t>
      </w:r>
      <w:r w:rsidR="00537604" w:rsidRPr="0038741C">
        <w:tab/>
      </w:r>
      <w:r w:rsidRPr="0038741C">
        <w:t>+61 2 6219 5555</w:t>
      </w:r>
      <w:r w:rsidRPr="0038741C">
        <w:br/>
        <w:t>F</w:t>
      </w:r>
      <w:r w:rsidR="00537604" w:rsidRPr="0038741C">
        <w:tab/>
      </w:r>
      <w:r w:rsidRPr="0038741C">
        <w:t>+61 2 6219 5353</w:t>
      </w:r>
    </w:p>
    <w:p w14:paraId="2EF9DD03" w14:textId="77777777" w:rsidR="0005011A" w:rsidRPr="0038741C" w:rsidRDefault="0005011A" w:rsidP="00FC07B9">
      <w:pPr>
        <w:pStyle w:val="ACMACorporateAddressHeader"/>
      </w:pPr>
      <w:r w:rsidRPr="0038741C">
        <w:t>Melbourne</w:t>
      </w:r>
    </w:p>
    <w:p w14:paraId="42A081B3" w14:textId="77777777" w:rsidR="0005011A" w:rsidRPr="0038741C" w:rsidRDefault="0005011A" w:rsidP="00FC07B9">
      <w:pPr>
        <w:pStyle w:val="ACMACorporateAddresses"/>
      </w:pPr>
      <w:r w:rsidRPr="0038741C">
        <w:t xml:space="preserve">Level 32 </w:t>
      </w:r>
      <w:r w:rsidRPr="0038741C">
        <w:br/>
        <w:t>Melbourne Central Tower</w:t>
      </w:r>
      <w:r w:rsidRPr="0038741C">
        <w:br/>
        <w:t xml:space="preserve">360 Elizabeth Street </w:t>
      </w:r>
      <w:r w:rsidR="008C10F4" w:rsidRPr="0038741C">
        <w:br/>
      </w:r>
      <w:r w:rsidRPr="0038741C">
        <w:t>Melbourne VIC</w:t>
      </w:r>
    </w:p>
    <w:p w14:paraId="229C800E" w14:textId="77777777" w:rsidR="0005011A" w:rsidRPr="0038741C" w:rsidRDefault="0005011A" w:rsidP="00FC07B9">
      <w:pPr>
        <w:pStyle w:val="ACMACorporateAddresses"/>
      </w:pPr>
      <w:r w:rsidRPr="0038741C">
        <w:t>PO Box 13112</w:t>
      </w:r>
      <w:r w:rsidRPr="0038741C">
        <w:br/>
        <w:t xml:space="preserve">Law Courts </w:t>
      </w:r>
      <w:r w:rsidRPr="0038741C">
        <w:br/>
        <w:t>Melbourne VIC 8010</w:t>
      </w:r>
    </w:p>
    <w:p w14:paraId="68E94C43" w14:textId="77777777" w:rsidR="0005011A" w:rsidRPr="0038741C" w:rsidRDefault="0005011A" w:rsidP="00FC07B9">
      <w:pPr>
        <w:pStyle w:val="ACMACorporateAddresses"/>
      </w:pPr>
      <w:r w:rsidRPr="0038741C">
        <w:t>T</w:t>
      </w:r>
      <w:r w:rsidR="00140318" w:rsidRPr="0038741C">
        <w:tab/>
      </w:r>
      <w:r w:rsidRPr="0038741C">
        <w:t>+61 3 9963 6800</w:t>
      </w:r>
      <w:r w:rsidRPr="0038741C">
        <w:br/>
        <w:t>F</w:t>
      </w:r>
      <w:r w:rsidR="00140318" w:rsidRPr="0038741C">
        <w:tab/>
      </w:r>
      <w:r w:rsidRPr="0038741C">
        <w:t>+61 3 9963 6899</w:t>
      </w:r>
    </w:p>
    <w:p w14:paraId="591F8280" w14:textId="77777777" w:rsidR="0005011A" w:rsidRPr="0038741C" w:rsidRDefault="0005011A" w:rsidP="00FC07B9">
      <w:pPr>
        <w:pStyle w:val="ACMACorporateAddressHeader"/>
      </w:pPr>
      <w:r w:rsidRPr="0038741C">
        <w:t>Sydney</w:t>
      </w:r>
    </w:p>
    <w:p w14:paraId="28DE5260" w14:textId="77777777" w:rsidR="0005011A" w:rsidRPr="0038741C" w:rsidRDefault="0005011A" w:rsidP="00FC07B9">
      <w:pPr>
        <w:pStyle w:val="ACMACorporateAddresses"/>
      </w:pPr>
      <w:r w:rsidRPr="0038741C">
        <w:t xml:space="preserve">Level 5 </w:t>
      </w:r>
      <w:r w:rsidRPr="0038741C">
        <w:br/>
        <w:t>The Bay Centre</w:t>
      </w:r>
      <w:r w:rsidRPr="0038741C">
        <w:br/>
        <w:t xml:space="preserve">65 Pirrama Road </w:t>
      </w:r>
      <w:r w:rsidRPr="0038741C">
        <w:br/>
        <w:t>Pyrmont NSW</w:t>
      </w:r>
    </w:p>
    <w:p w14:paraId="740AF999" w14:textId="77777777" w:rsidR="0005011A" w:rsidRPr="0038741C" w:rsidRDefault="0005011A" w:rsidP="00FC07B9">
      <w:pPr>
        <w:pStyle w:val="ACMACorporateAddresses"/>
      </w:pPr>
      <w:r w:rsidRPr="0038741C">
        <w:t>PO Box Q500</w:t>
      </w:r>
      <w:r w:rsidRPr="0038741C">
        <w:br/>
        <w:t xml:space="preserve">Queen Victoria Building </w:t>
      </w:r>
      <w:r w:rsidRPr="0038741C">
        <w:br/>
        <w:t>NSW 1230</w:t>
      </w:r>
    </w:p>
    <w:p w14:paraId="641662C8" w14:textId="77777777" w:rsidR="0005011A" w:rsidRPr="0038741C" w:rsidRDefault="0005011A" w:rsidP="00FC07B9">
      <w:pPr>
        <w:pStyle w:val="ACMACorporateAddresses"/>
      </w:pPr>
      <w:r w:rsidRPr="0038741C">
        <w:t>T</w:t>
      </w:r>
      <w:r w:rsidR="00140318" w:rsidRPr="0038741C">
        <w:tab/>
      </w:r>
      <w:r w:rsidRPr="0038741C">
        <w:t>+61 2 9334 7700</w:t>
      </w:r>
      <w:r w:rsidR="00140318" w:rsidRPr="0038741C">
        <w:t xml:space="preserve"> or</w:t>
      </w:r>
      <w:r w:rsidRPr="0038741C">
        <w:t xml:space="preserve"> 1800 226 667</w:t>
      </w:r>
      <w:r w:rsidRPr="0038741C">
        <w:br/>
        <w:t>F</w:t>
      </w:r>
      <w:r w:rsidR="00140318" w:rsidRPr="0038741C">
        <w:tab/>
      </w:r>
      <w:r w:rsidRPr="0038741C">
        <w:t>+61 2 9334 7799</w:t>
      </w:r>
    </w:p>
    <w:p w14:paraId="49D88AC4" w14:textId="77777777" w:rsidR="00140318" w:rsidRPr="0038741C" w:rsidRDefault="00140318" w:rsidP="00FC07B9">
      <w:pPr>
        <w:pStyle w:val="ACMACopyrightHeader"/>
      </w:pPr>
      <w:r w:rsidRPr="0038741C">
        <w:t>Copyright notice</w:t>
      </w:r>
    </w:p>
    <w:p w14:paraId="3060A75F" w14:textId="77777777" w:rsidR="00C91433" w:rsidRPr="0038741C" w:rsidRDefault="00C91433" w:rsidP="00C91433">
      <w:pPr>
        <w:pStyle w:val="ACMACClogo"/>
      </w:pPr>
      <w:r w:rsidRPr="002246CF">
        <w:rPr>
          <w:noProof/>
        </w:rPr>
        <w:drawing>
          <wp:inline distT="0" distB="0" distL="0" distR="0" wp14:anchorId="6422DC17" wp14:editId="28625BDD">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0701B943" w14:textId="77777777" w:rsidR="00C91433" w:rsidRPr="0038741C" w:rsidRDefault="00402CBA" w:rsidP="00C91433">
      <w:pPr>
        <w:pStyle w:val="ACMACorporateAddresses"/>
        <w:rPr>
          <w:rStyle w:val="Hyperlink"/>
        </w:rPr>
      </w:pPr>
      <w:hyperlink r:id="rId13" w:history="1">
        <w:r w:rsidR="00C91433" w:rsidRPr="0038741C">
          <w:rPr>
            <w:rStyle w:val="Hyperlink"/>
          </w:rPr>
          <w:t>https://creativecommons.org/licenses/by/4.0/</w:t>
        </w:r>
      </w:hyperlink>
    </w:p>
    <w:p w14:paraId="682CF955" w14:textId="77777777" w:rsidR="00C91433" w:rsidRPr="006F7EDF" w:rsidRDefault="00C91433" w:rsidP="00C91433">
      <w:pPr>
        <w:pStyle w:val="ACMACorporateAddresses"/>
      </w:pPr>
      <w:r w:rsidRPr="00DB5756">
        <w:t xml:space="preserve">With the exception of coats of arms, logos, emblems, images, other third-party material or devices protected by a trademark, this content is made available under the terms of the Creative Commons Attribution 4.0 International (CC BY 4.0) licence. </w:t>
      </w:r>
    </w:p>
    <w:p w14:paraId="20662259" w14:textId="68097A8D" w:rsidR="00C91433" w:rsidRPr="00602151" w:rsidRDefault="00C91433" w:rsidP="00C91433">
      <w:pPr>
        <w:pStyle w:val="ACMACorporateAddresses"/>
      </w:pPr>
      <w:r w:rsidRPr="00602151">
        <w:t>We request attribution as © Commonwealth of Australia (Australian Communications and Media Authority) 202</w:t>
      </w:r>
      <w:r w:rsidR="00E932F5">
        <w:t>1</w:t>
      </w:r>
      <w:r w:rsidRPr="00602151">
        <w:t>.</w:t>
      </w:r>
    </w:p>
    <w:p w14:paraId="09407C76" w14:textId="77777777" w:rsidR="00C91433" w:rsidRPr="00602151" w:rsidRDefault="00C91433" w:rsidP="00C91433">
      <w:pPr>
        <w:pStyle w:val="ACMACorporateAddresses"/>
      </w:pPr>
      <w:r w:rsidRPr="00602151">
        <w:t>All other rights are reserved.</w:t>
      </w:r>
    </w:p>
    <w:p w14:paraId="09F38354" w14:textId="77777777" w:rsidR="00C91433" w:rsidRPr="00602151" w:rsidRDefault="00C91433" w:rsidP="00C91433">
      <w:pPr>
        <w:pStyle w:val="ACMACorporateAddresses"/>
      </w:pPr>
      <w:r w:rsidRPr="00602151">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5E01D36E" w14:textId="77777777" w:rsidR="00C91433" w:rsidRPr="00602151" w:rsidRDefault="00C91433" w:rsidP="00C91433">
      <w:pPr>
        <w:pStyle w:val="ACMACorporateAddresses"/>
      </w:pPr>
      <w:r w:rsidRPr="00602151">
        <w:t>Written enquiries may be sent to:</w:t>
      </w:r>
    </w:p>
    <w:p w14:paraId="0718F95B" w14:textId="77777777" w:rsidR="00C91433" w:rsidRPr="0038741C" w:rsidRDefault="00C91433" w:rsidP="00C91433">
      <w:pPr>
        <w:pStyle w:val="ACMACorporateAddresses"/>
        <w:rPr>
          <w:rStyle w:val="Hyperlink"/>
        </w:rPr>
      </w:pPr>
      <w:r w:rsidRPr="00602151">
        <w:t>Manager, Editorial Services</w:t>
      </w:r>
      <w:r w:rsidRPr="00602151">
        <w:br/>
        <w:t>PO Box 13112</w:t>
      </w:r>
      <w:r w:rsidRPr="00602151">
        <w:br/>
        <w:t>Law Courts</w:t>
      </w:r>
      <w:r w:rsidRPr="00602151">
        <w:br/>
        <w:t>Melbourne VIC 8010</w:t>
      </w:r>
      <w:r w:rsidRPr="00602151">
        <w:br/>
        <w:t xml:space="preserve">Email: </w:t>
      </w:r>
      <w:hyperlink r:id="rId14" w:history="1">
        <w:r w:rsidRPr="0038741C">
          <w:rPr>
            <w:rStyle w:val="Hyperlink"/>
          </w:rPr>
          <w:t>info@acma.gov.au</w:t>
        </w:r>
      </w:hyperlink>
    </w:p>
    <w:p w14:paraId="2A6B3E20" w14:textId="77777777" w:rsidR="00D16FE3" w:rsidRPr="00DB5756" w:rsidRDefault="00D16FE3" w:rsidP="00D16FE3">
      <w:pPr>
        <w:pStyle w:val="ACMACorporateAddresses"/>
        <w:rPr>
          <w:rStyle w:val="Hyperlink"/>
        </w:rPr>
      </w:pPr>
    </w:p>
    <w:p w14:paraId="6F3B1150" w14:textId="77777777" w:rsidR="00D16FE3" w:rsidRPr="00602151" w:rsidRDefault="00D16FE3" w:rsidP="00D16FE3">
      <w:pPr>
        <w:pStyle w:val="ACMACorporateAddresses"/>
        <w:sectPr w:rsidR="00D16FE3" w:rsidRPr="00602151">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7CB159D8" w14:textId="704DC479" w:rsidR="009F039B" w:rsidRPr="00DB5756" w:rsidRDefault="009F039B">
      <w:pPr>
        <w:pStyle w:val="TOC1"/>
        <w:rPr>
          <w:rFonts w:cs="Arial"/>
          <w:noProof w:val="0"/>
          <w:sz w:val="36"/>
          <w:szCs w:val="36"/>
        </w:rPr>
      </w:pPr>
      <w:r w:rsidRPr="0038741C">
        <w:rPr>
          <w:rFonts w:cs="Arial"/>
          <w:noProof w:val="0"/>
          <w:sz w:val="36"/>
          <w:szCs w:val="36"/>
        </w:rPr>
        <w:lastRenderedPageBreak/>
        <w:t>Contents</w:t>
      </w:r>
    </w:p>
    <w:p w14:paraId="623EC9AD" w14:textId="7271ECDC" w:rsidR="006C4004" w:rsidRDefault="00A9388C">
      <w:pPr>
        <w:pStyle w:val="TOC1"/>
        <w:rPr>
          <w:rFonts w:asciiTheme="minorHAnsi" w:eastAsiaTheme="minorEastAsia" w:hAnsiTheme="minorHAnsi" w:cstheme="minorBidi"/>
          <w:b w:val="0"/>
          <w:spacing w:val="0"/>
          <w:sz w:val="22"/>
          <w:szCs w:val="22"/>
        </w:rPr>
      </w:pPr>
      <w:r>
        <w:rPr>
          <w:rFonts w:cs="Arial"/>
          <w:noProof w:val="0"/>
        </w:rPr>
        <w:fldChar w:fldCharType="begin"/>
      </w:r>
      <w:r>
        <w:rPr>
          <w:rFonts w:cs="Arial"/>
          <w:noProof w:val="0"/>
        </w:rPr>
        <w:instrText xml:space="preserve"> TOC \o "1-3" \t "ACMA_ExecSummaryHeading,1"  \* MERGEFORMAT </w:instrText>
      </w:r>
      <w:r>
        <w:rPr>
          <w:rFonts w:cs="Arial"/>
          <w:noProof w:val="0"/>
        </w:rPr>
        <w:fldChar w:fldCharType="separate"/>
      </w:r>
      <w:r w:rsidR="006C4004">
        <w:t>Issues for comment</w:t>
      </w:r>
      <w:r w:rsidR="006C4004">
        <w:tab/>
      </w:r>
      <w:r w:rsidR="006C4004">
        <w:fldChar w:fldCharType="begin"/>
      </w:r>
      <w:r w:rsidR="006C4004">
        <w:instrText xml:space="preserve"> PAGEREF _Toc83989318 \h </w:instrText>
      </w:r>
      <w:r w:rsidR="006C4004">
        <w:fldChar w:fldCharType="separate"/>
      </w:r>
      <w:r w:rsidR="006C4004">
        <w:t>1</w:t>
      </w:r>
      <w:r w:rsidR="006C4004">
        <w:fldChar w:fldCharType="end"/>
      </w:r>
    </w:p>
    <w:p w14:paraId="1DCBD0F0" w14:textId="23C99A7E" w:rsidR="006C4004" w:rsidRDefault="006C4004">
      <w:pPr>
        <w:pStyle w:val="TOC1"/>
        <w:rPr>
          <w:rFonts w:asciiTheme="minorHAnsi" w:eastAsiaTheme="minorEastAsia" w:hAnsiTheme="minorHAnsi" w:cstheme="minorBidi"/>
          <w:b w:val="0"/>
          <w:spacing w:val="0"/>
          <w:sz w:val="22"/>
          <w:szCs w:val="22"/>
        </w:rPr>
      </w:pPr>
      <w:r>
        <w:t>Introduction</w:t>
      </w:r>
      <w:r>
        <w:tab/>
      </w:r>
      <w:r>
        <w:fldChar w:fldCharType="begin"/>
      </w:r>
      <w:r>
        <w:instrText xml:space="preserve"> PAGEREF _Toc83989319 \h </w:instrText>
      </w:r>
      <w:r>
        <w:fldChar w:fldCharType="separate"/>
      </w:r>
      <w:r>
        <w:t>2</w:t>
      </w:r>
      <w:r>
        <w:fldChar w:fldCharType="end"/>
      </w:r>
    </w:p>
    <w:p w14:paraId="2F1B3E90" w14:textId="71AB5438" w:rsidR="006C4004" w:rsidRDefault="006C4004">
      <w:pPr>
        <w:pStyle w:val="TOC1"/>
        <w:rPr>
          <w:rFonts w:asciiTheme="minorHAnsi" w:eastAsiaTheme="minorEastAsia" w:hAnsiTheme="minorHAnsi" w:cstheme="minorBidi"/>
          <w:b w:val="0"/>
          <w:spacing w:val="0"/>
          <w:sz w:val="22"/>
          <w:szCs w:val="22"/>
        </w:rPr>
      </w:pPr>
      <w:r>
        <w:t>Case for action</w:t>
      </w:r>
      <w:r>
        <w:tab/>
      </w:r>
      <w:r>
        <w:fldChar w:fldCharType="begin"/>
      </w:r>
      <w:r>
        <w:instrText xml:space="preserve"> PAGEREF _Toc83989320 \h </w:instrText>
      </w:r>
      <w:r>
        <w:fldChar w:fldCharType="separate"/>
      </w:r>
      <w:r>
        <w:t>3</w:t>
      </w:r>
      <w:r>
        <w:fldChar w:fldCharType="end"/>
      </w:r>
    </w:p>
    <w:p w14:paraId="433BD6B4" w14:textId="5E5F91F6" w:rsidR="006C4004" w:rsidRDefault="006C4004">
      <w:pPr>
        <w:pStyle w:val="TOC1"/>
        <w:rPr>
          <w:rFonts w:asciiTheme="minorHAnsi" w:eastAsiaTheme="minorEastAsia" w:hAnsiTheme="minorHAnsi" w:cstheme="minorBidi"/>
          <w:b w:val="0"/>
          <w:spacing w:val="0"/>
          <w:sz w:val="22"/>
          <w:szCs w:val="22"/>
        </w:rPr>
      </w:pPr>
      <w:r>
        <w:t>Background</w:t>
      </w:r>
      <w:r>
        <w:tab/>
      </w:r>
      <w:r>
        <w:fldChar w:fldCharType="begin"/>
      </w:r>
      <w:r>
        <w:instrText xml:space="preserve"> PAGEREF _Toc83989321 \h </w:instrText>
      </w:r>
      <w:r>
        <w:fldChar w:fldCharType="separate"/>
      </w:r>
      <w:r>
        <w:t>5</w:t>
      </w:r>
      <w:r>
        <w:fldChar w:fldCharType="end"/>
      </w:r>
    </w:p>
    <w:p w14:paraId="69A8A0AA" w14:textId="0707DF55" w:rsidR="006C4004" w:rsidRDefault="006C4004">
      <w:pPr>
        <w:pStyle w:val="TOC1"/>
        <w:rPr>
          <w:rFonts w:asciiTheme="minorHAnsi" w:eastAsiaTheme="minorEastAsia" w:hAnsiTheme="minorHAnsi" w:cstheme="minorBidi"/>
          <w:b w:val="0"/>
          <w:spacing w:val="0"/>
          <w:sz w:val="22"/>
          <w:szCs w:val="22"/>
        </w:rPr>
      </w:pPr>
      <w:r>
        <w:t>Proposed amendments to the technical framework</w:t>
      </w:r>
      <w:r>
        <w:tab/>
      </w:r>
      <w:r>
        <w:fldChar w:fldCharType="begin"/>
      </w:r>
      <w:r>
        <w:instrText xml:space="preserve"> PAGEREF _Toc83989322 \h </w:instrText>
      </w:r>
      <w:r>
        <w:fldChar w:fldCharType="separate"/>
      </w:r>
      <w:r>
        <w:t>6</w:t>
      </w:r>
      <w:r>
        <w:fldChar w:fldCharType="end"/>
      </w:r>
    </w:p>
    <w:p w14:paraId="05287B78" w14:textId="50C79FBC" w:rsidR="006C4004" w:rsidRDefault="006C4004">
      <w:pPr>
        <w:pStyle w:val="TOC2"/>
        <w:rPr>
          <w:rFonts w:asciiTheme="minorHAnsi" w:eastAsiaTheme="minorEastAsia" w:hAnsiTheme="minorHAnsi" w:cstheme="minorBidi"/>
          <w:spacing w:val="0"/>
          <w:sz w:val="22"/>
          <w:szCs w:val="22"/>
        </w:rPr>
      </w:pPr>
      <w:r>
        <w:t>1800 MHz TLG</w:t>
      </w:r>
      <w:r>
        <w:tab/>
      </w:r>
      <w:r>
        <w:fldChar w:fldCharType="begin"/>
      </w:r>
      <w:r>
        <w:instrText xml:space="preserve"> PAGEREF _Toc83989323 \h </w:instrText>
      </w:r>
      <w:r>
        <w:fldChar w:fldCharType="separate"/>
      </w:r>
      <w:r>
        <w:t>6</w:t>
      </w:r>
      <w:r>
        <w:fldChar w:fldCharType="end"/>
      </w:r>
    </w:p>
    <w:p w14:paraId="7D1558AC" w14:textId="0D696C3D" w:rsidR="006C4004" w:rsidRDefault="006C4004">
      <w:pPr>
        <w:pStyle w:val="TOC3"/>
        <w:rPr>
          <w:rFonts w:asciiTheme="minorHAnsi" w:eastAsiaTheme="minorEastAsia" w:hAnsiTheme="minorHAnsi" w:cstheme="minorBidi"/>
        </w:rPr>
      </w:pPr>
      <w:r>
        <w:t>Issues considered by the TLG</w:t>
      </w:r>
      <w:r>
        <w:tab/>
      </w:r>
      <w:r>
        <w:fldChar w:fldCharType="begin"/>
      </w:r>
      <w:r>
        <w:instrText xml:space="preserve"> PAGEREF _Toc83989324 \h </w:instrText>
      </w:r>
      <w:r>
        <w:fldChar w:fldCharType="separate"/>
      </w:r>
      <w:r>
        <w:t>6</w:t>
      </w:r>
      <w:r>
        <w:fldChar w:fldCharType="end"/>
      </w:r>
    </w:p>
    <w:p w14:paraId="36F7B386" w14:textId="6CDCD59A" w:rsidR="006C4004" w:rsidRDefault="006C4004">
      <w:pPr>
        <w:pStyle w:val="TOC2"/>
        <w:rPr>
          <w:rFonts w:asciiTheme="minorHAnsi" w:eastAsiaTheme="minorEastAsia" w:hAnsiTheme="minorHAnsi" w:cstheme="minorBidi"/>
          <w:spacing w:val="0"/>
          <w:sz w:val="22"/>
          <w:szCs w:val="22"/>
        </w:rPr>
      </w:pPr>
      <w:r>
        <w:t>Effect on incumbent services</w:t>
      </w:r>
      <w:r>
        <w:tab/>
      </w:r>
      <w:r>
        <w:fldChar w:fldCharType="begin"/>
      </w:r>
      <w:r>
        <w:instrText xml:space="preserve"> PAGEREF _Toc83989325 \h </w:instrText>
      </w:r>
      <w:r>
        <w:fldChar w:fldCharType="separate"/>
      </w:r>
      <w:r>
        <w:t>13</w:t>
      </w:r>
      <w:r>
        <w:fldChar w:fldCharType="end"/>
      </w:r>
    </w:p>
    <w:p w14:paraId="57AEEB07" w14:textId="6609F500" w:rsidR="006C4004" w:rsidRDefault="006C4004">
      <w:pPr>
        <w:pStyle w:val="TOC3"/>
        <w:rPr>
          <w:rFonts w:asciiTheme="minorHAnsi" w:eastAsiaTheme="minorEastAsia" w:hAnsiTheme="minorHAnsi" w:cstheme="minorBidi"/>
        </w:rPr>
      </w:pPr>
      <w:r>
        <w:t>1800 MHz spectrum licences</w:t>
      </w:r>
      <w:r>
        <w:tab/>
      </w:r>
      <w:r>
        <w:fldChar w:fldCharType="begin"/>
      </w:r>
      <w:r>
        <w:instrText xml:space="preserve"> PAGEREF _Toc83989326 \h </w:instrText>
      </w:r>
      <w:r>
        <w:fldChar w:fldCharType="separate"/>
      </w:r>
      <w:r>
        <w:t>14</w:t>
      </w:r>
      <w:r>
        <w:fldChar w:fldCharType="end"/>
      </w:r>
    </w:p>
    <w:p w14:paraId="6C7B5317" w14:textId="377E6AED" w:rsidR="006C4004" w:rsidRDefault="006C4004">
      <w:pPr>
        <w:pStyle w:val="TOC3"/>
        <w:rPr>
          <w:rFonts w:asciiTheme="minorHAnsi" w:eastAsiaTheme="minorEastAsia" w:hAnsiTheme="minorHAnsi" w:cstheme="minorBidi"/>
        </w:rPr>
      </w:pPr>
      <w:r>
        <w:t>Fixed (point-to-point) services</w:t>
      </w:r>
      <w:r>
        <w:tab/>
      </w:r>
      <w:r>
        <w:fldChar w:fldCharType="begin"/>
      </w:r>
      <w:r>
        <w:instrText xml:space="preserve"> PAGEREF _Toc83989327 \h </w:instrText>
      </w:r>
      <w:r>
        <w:fldChar w:fldCharType="separate"/>
      </w:r>
      <w:r>
        <w:t>15</w:t>
      </w:r>
      <w:r>
        <w:fldChar w:fldCharType="end"/>
      </w:r>
    </w:p>
    <w:p w14:paraId="522F9A9B" w14:textId="7D573F93" w:rsidR="006C4004" w:rsidRDefault="006C4004">
      <w:pPr>
        <w:pStyle w:val="TOC3"/>
        <w:rPr>
          <w:rFonts w:asciiTheme="minorHAnsi" w:eastAsiaTheme="minorEastAsia" w:hAnsiTheme="minorHAnsi" w:cstheme="minorBidi"/>
        </w:rPr>
      </w:pPr>
      <w:r>
        <w:t xml:space="preserve">Meteorological-satellite service (space-to-Earth) operating below </w:t>
      </w:r>
      <w:r w:rsidR="00EC401D">
        <w:br/>
      </w:r>
      <w:r>
        <w:t>1710 MHz and adjacent to the 1800 MHz band</w:t>
      </w:r>
      <w:r>
        <w:tab/>
      </w:r>
      <w:r>
        <w:fldChar w:fldCharType="begin"/>
      </w:r>
      <w:r>
        <w:instrText xml:space="preserve"> PAGEREF _Toc83989328 \h </w:instrText>
      </w:r>
      <w:r>
        <w:fldChar w:fldCharType="separate"/>
      </w:r>
      <w:r>
        <w:t>15</w:t>
      </w:r>
      <w:r>
        <w:fldChar w:fldCharType="end"/>
      </w:r>
    </w:p>
    <w:p w14:paraId="074B12E4" w14:textId="172EDA20" w:rsidR="006C4004" w:rsidRDefault="006C4004">
      <w:pPr>
        <w:pStyle w:val="TOC3"/>
        <w:rPr>
          <w:rFonts w:asciiTheme="minorHAnsi" w:eastAsiaTheme="minorEastAsia" w:hAnsiTheme="minorHAnsi" w:cstheme="minorBidi"/>
        </w:rPr>
      </w:pPr>
      <w:r>
        <w:t xml:space="preserve">Cordless communications devices (i.e., DECT), operating in the </w:t>
      </w:r>
      <w:r w:rsidR="00EC401D">
        <w:br/>
      </w:r>
      <w:r>
        <w:t>1880 MHz to 1900 MHz frequency range</w:t>
      </w:r>
      <w:r>
        <w:tab/>
      </w:r>
      <w:r>
        <w:fldChar w:fldCharType="begin"/>
      </w:r>
      <w:r>
        <w:instrText xml:space="preserve"> PAGEREF _Toc83989329 \h </w:instrText>
      </w:r>
      <w:r>
        <w:fldChar w:fldCharType="separate"/>
      </w:r>
      <w:r>
        <w:t>16</w:t>
      </w:r>
      <w:r>
        <w:fldChar w:fldCharType="end"/>
      </w:r>
    </w:p>
    <w:p w14:paraId="66205B7D" w14:textId="1E99CECF" w:rsidR="006C4004" w:rsidRDefault="006C4004">
      <w:pPr>
        <w:pStyle w:val="TOC3"/>
        <w:rPr>
          <w:rFonts w:asciiTheme="minorHAnsi" w:eastAsiaTheme="minorEastAsia" w:hAnsiTheme="minorHAnsi" w:cstheme="minorBidi"/>
        </w:rPr>
      </w:pPr>
      <w:r>
        <w:t>Radio Astronomy Service (RAS) receivers</w:t>
      </w:r>
      <w:r>
        <w:tab/>
      </w:r>
      <w:r>
        <w:fldChar w:fldCharType="begin"/>
      </w:r>
      <w:r>
        <w:instrText xml:space="preserve"> PAGEREF _Toc83989330 \h </w:instrText>
      </w:r>
      <w:r>
        <w:fldChar w:fldCharType="separate"/>
      </w:r>
      <w:r>
        <w:t>16</w:t>
      </w:r>
      <w:r>
        <w:fldChar w:fldCharType="end"/>
      </w:r>
    </w:p>
    <w:p w14:paraId="0262C020" w14:textId="4B7B037F" w:rsidR="006C4004" w:rsidRDefault="006C4004">
      <w:pPr>
        <w:pStyle w:val="TOC3"/>
        <w:rPr>
          <w:rFonts w:asciiTheme="minorHAnsi" w:eastAsiaTheme="minorEastAsia" w:hAnsiTheme="minorHAnsi" w:cstheme="minorBidi"/>
        </w:rPr>
      </w:pPr>
      <w:r>
        <w:t>Public Telecommunications Service</w:t>
      </w:r>
      <w:r>
        <w:tab/>
      </w:r>
      <w:r>
        <w:fldChar w:fldCharType="begin"/>
      </w:r>
      <w:r>
        <w:instrText xml:space="preserve"> PAGEREF _Toc83989331 \h </w:instrText>
      </w:r>
      <w:r>
        <w:fldChar w:fldCharType="separate"/>
      </w:r>
      <w:r>
        <w:t>17</w:t>
      </w:r>
      <w:r>
        <w:fldChar w:fldCharType="end"/>
      </w:r>
    </w:p>
    <w:p w14:paraId="21714CD1" w14:textId="047F8508" w:rsidR="006C4004" w:rsidRDefault="006C4004">
      <w:pPr>
        <w:pStyle w:val="TOC3"/>
        <w:rPr>
          <w:rFonts w:asciiTheme="minorHAnsi" w:eastAsiaTheme="minorEastAsia" w:hAnsiTheme="minorHAnsi" w:cstheme="minorBidi"/>
        </w:rPr>
      </w:pPr>
      <w:r>
        <w:t>Class licensed services</w:t>
      </w:r>
      <w:r>
        <w:tab/>
      </w:r>
      <w:r>
        <w:fldChar w:fldCharType="begin"/>
      </w:r>
      <w:r>
        <w:instrText xml:space="preserve"> PAGEREF _Toc83989332 \h </w:instrText>
      </w:r>
      <w:r>
        <w:fldChar w:fldCharType="separate"/>
      </w:r>
      <w:r>
        <w:t>17</w:t>
      </w:r>
      <w:r>
        <w:fldChar w:fldCharType="end"/>
      </w:r>
    </w:p>
    <w:p w14:paraId="129CA275" w14:textId="3A8A0F11" w:rsidR="006C4004" w:rsidRDefault="006C4004">
      <w:pPr>
        <w:pStyle w:val="TOC3"/>
        <w:rPr>
          <w:rFonts w:asciiTheme="minorHAnsi" w:eastAsiaTheme="minorEastAsia" w:hAnsiTheme="minorHAnsi" w:cstheme="minorBidi"/>
        </w:rPr>
      </w:pPr>
      <w:r>
        <w:t>Aeronautical mobile</w:t>
      </w:r>
      <w:r>
        <w:tab/>
      </w:r>
      <w:r>
        <w:fldChar w:fldCharType="begin"/>
      </w:r>
      <w:r>
        <w:instrText xml:space="preserve"> PAGEREF _Toc83989333 \h </w:instrText>
      </w:r>
      <w:r>
        <w:fldChar w:fldCharType="separate"/>
      </w:r>
      <w:r>
        <w:t>17</w:t>
      </w:r>
      <w:r>
        <w:fldChar w:fldCharType="end"/>
      </w:r>
    </w:p>
    <w:p w14:paraId="1E111349" w14:textId="0FCCED37" w:rsidR="006C4004" w:rsidRDefault="006C4004">
      <w:pPr>
        <w:pStyle w:val="TOC2"/>
        <w:rPr>
          <w:rFonts w:asciiTheme="minorHAnsi" w:eastAsiaTheme="minorEastAsia" w:hAnsiTheme="minorHAnsi" w:cstheme="minorBidi"/>
          <w:spacing w:val="0"/>
          <w:sz w:val="22"/>
          <w:szCs w:val="22"/>
        </w:rPr>
      </w:pPr>
      <w:r>
        <w:t>Proposed changes</w:t>
      </w:r>
      <w:r>
        <w:tab/>
      </w:r>
      <w:r>
        <w:fldChar w:fldCharType="begin"/>
      </w:r>
      <w:r>
        <w:instrText xml:space="preserve"> PAGEREF _Toc83989334 \h </w:instrText>
      </w:r>
      <w:r>
        <w:fldChar w:fldCharType="separate"/>
      </w:r>
      <w:r>
        <w:t>18</w:t>
      </w:r>
      <w:r>
        <w:fldChar w:fldCharType="end"/>
      </w:r>
    </w:p>
    <w:p w14:paraId="101D9484" w14:textId="59D4BFB3" w:rsidR="006C4004" w:rsidRDefault="006C4004">
      <w:pPr>
        <w:pStyle w:val="TOC3"/>
        <w:rPr>
          <w:rFonts w:asciiTheme="minorHAnsi" w:eastAsiaTheme="minorEastAsia" w:hAnsiTheme="minorHAnsi" w:cstheme="minorBidi"/>
        </w:rPr>
      </w:pPr>
      <w:r>
        <w:t>Proposed changes to the conditions on the spectrum licence</w:t>
      </w:r>
      <w:r>
        <w:tab/>
      </w:r>
      <w:r>
        <w:fldChar w:fldCharType="begin"/>
      </w:r>
      <w:r>
        <w:instrText xml:space="preserve"> PAGEREF _Toc83989335 \h </w:instrText>
      </w:r>
      <w:r>
        <w:fldChar w:fldCharType="separate"/>
      </w:r>
      <w:r>
        <w:t>18</w:t>
      </w:r>
      <w:r>
        <w:fldChar w:fldCharType="end"/>
      </w:r>
    </w:p>
    <w:p w14:paraId="59D739E2" w14:textId="05D866FC" w:rsidR="006C4004" w:rsidRDefault="006C4004">
      <w:pPr>
        <w:pStyle w:val="TOC3"/>
        <w:rPr>
          <w:rFonts w:asciiTheme="minorHAnsi" w:eastAsiaTheme="minorEastAsia" w:hAnsiTheme="minorHAnsi" w:cstheme="minorBidi"/>
        </w:rPr>
      </w:pPr>
      <w:r>
        <w:t>Proposed changes to the s.145(4) determination</w:t>
      </w:r>
      <w:r>
        <w:tab/>
      </w:r>
      <w:r>
        <w:fldChar w:fldCharType="begin"/>
      </w:r>
      <w:r>
        <w:instrText xml:space="preserve"> PAGEREF _Toc83989336 \h </w:instrText>
      </w:r>
      <w:r>
        <w:fldChar w:fldCharType="separate"/>
      </w:r>
      <w:r>
        <w:t>21</w:t>
      </w:r>
      <w:r>
        <w:fldChar w:fldCharType="end"/>
      </w:r>
    </w:p>
    <w:p w14:paraId="30D47A34" w14:textId="2C6B0186" w:rsidR="006C4004" w:rsidRDefault="006C4004">
      <w:pPr>
        <w:pStyle w:val="TOC1"/>
        <w:rPr>
          <w:rFonts w:asciiTheme="minorHAnsi" w:eastAsiaTheme="minorEastAsia" w:hAnsiTheme="minorHAnsi" w:cstheme="minorBidi"/>
          <w:b w:val="0"/>
          <w:spacing w:val="0"/>
          <w:sz w:val="22"/>
          <w:szCs w:val="22"/>
        </w:rPr>
      </w:pPr>
      <w:r>
        <w:t>Invitation to comment</w:t>
      </w:r>
      <w:r>
        <w:tab/>
      </w:r>
      <w:r>
        <w:fldChar w:fldCharType="begin"/>
      </w:r>
      <w:r>
        <w:instrText xml:space="preserve"> PAGEREF _Toc83989337 \h </w:instrText>
      </w:r>
      <w:r>
        <w:fldChar w:fldCharType="separate"/>
      </w:r>
      <w:r>
        <w:t>25</w:t>
      </w:r>
      <w:r>
        <w:fldChar w:fldCharType="end"/>
      </w:r>
    </w:p>
    <w:p w14:paraId="6260F455" w14:textId="43083ED5" w:rsidR="006C4004" w:rsidRDefault="006C4004">
      <w:pPr>
        <w:pStyle w:val="TOC2"/>
        <w:rPr>
          <w:rFonts w:asciiTheme="minorHAnsi" w:eastAsiaTheme="minorEastAsia" w:hAnsiTheme="minorHAnsi" w:cstheme="minorBidi"/>
          <w:spacing w:val="0"/>
          <w:sz w:val="22"/>
          <w:szCs w:val="22"/>
        </w:rPr>
      </w:pPr>
      <w:r>
        <w:t>Making a submission</w:t>
      </w:r>
      <w:r>
        <w:tab/>
      </w:r>
      <w:r>
        <w:fldChar w:fldCharType="begin"/>
      </w:r>
      <w:r>
        <w:instrText xml:space="preserve"> PAGEREF _Toc83989338 \h </w:instrText>
      </w:r>
      <w:r>
        <w:fldChar w:fldCharType="separate"/>
      </w:r>
      <w:r>
        <w:t>25</w:t>
      </w:r>
      <w:r>
        <w:fldChar w:fldCharType="end"/>
      </w:r>
    </w:p>
    <w:p w14:paraId="3C8A39BF" w14:textId="525A4C55" w:rsidR="006C4004" w:rsidRDefault="006C4004">
      <w:pPr>
        <w:pStyle w:val="TOC1"/>
        <w:rPr>
          <w:rFonts w:asciiTheme="minorHAnsi" w:eastAsiaTheme="minorEastAsia" w:hAnsiTheme="minorHAnsi" w:cstheme="minorBidi"/>
          <w:b w:val="0"/>
          <w:spacing w:val="0"/>
          <w:sz w:val="22"/>
          <w:szCs w:val="22"/>
        </w:rPr>
      </w:pPr>
      <w:r>
        <w:t>Appendix A – Relevant conditions of current 1800 MHz band spectrum licences</w:t>
      </w:r>
      <w:r>
        <w:tab/>
      </w:r>
      <w:r>
        <w:fldChar w:fldCharType="begin"/>
      </w:r>
      <w:r>
        <w:instrText xml:space="preserve"> PAGEREF _Toc83989339 \h </w:instrText>
      </w:r>
      <w:r>
        <w:fldChar w:fldCharType="separate"/>
      </w:r>
      <w:r>
        <w:t>26</w:t>
      </w:r>
      <w:r>
        <w:fldChar w:fldCharType="end"/>
      </w:r>
    </w:p>
    <w:p w14:paraId="1DD61833" w14:textId="45672CE1" w:rsidR="006C4004" w:rsidRDefault="006C4004">
      <w:pPr>
        <w:pStyle w:val="TOC2"/>
        <w:rPr>
          <w:rFonts w:asciiTheme="minorHAnsi" w:eastAsiaTheme="minorEastAsia" w:hAnsiTheme="minorHAnsi" w:cstheme="minorBidi"/>
          <w:spacing w:val="0"/>
          <w:sz w:val="22"/>
          <w:szCs w:val="22"/>
        </w:rPr>
      </w:pPr>
      <w:r>
        <w:t>Licence Schedule 2 – Core Conditions</w:t>
      </w:r>
      <w:r>
        <w:tab/>
      </w:r>
      <w:r>
        <w:fldChar w:fldCharType="begin"/>
      </w:r>
      <w:r>
        <w:instrText xml:space="preserve"> PAGEREF _Toc83989340 \h </w:instrText>
      </w:r>
      <w:r>
        <w:fldChar w:fldCharType="separate"/>
      </w:r>
      <w:r>
        <w:t>26</w:t>
      </w:r>
      <w:r>
        <w:fldChar w:fldCharType="end"/>
      </w:r>
    </w:p>
    <w:p w14:paraId="396B1EC4" w14:textId="1FEB9022" w:rsidR="006C4004" w:rsidRDefault="006C4004">
      <w:pPr>
        <w:pStyle w:val="TOC3"/>
        <w:rPr>
          <w:rFonts w:asciiTheme="minorHAnsi" w:eastAsiaTheme="minorEastAsia" w:hAnsiTheme="minorHAnsi" w:cstheme="minorBidi"/>
        </w:rPr>
      </w:pPr>
      <w:r>
        <w:t>Frequency band and geographic areas</w:t>
      </w:r>
      <w:r>
        <w:tab/>
      </w:r>
      <w:r>
        <w:fldChar w:fldCharType="begin"/>
      </w:r>
      <w:r>
        <w:instrText xml:space="preserve"> PAGEREF _Toc83989341 \h </w:instrText>
      </w:r>
      <w:r>
        <w:fldChar w:fldCharType="separate"/>
      </w:r>
      <w:r>
        <w:t>26</w:t>
      </w:r>
      <w:r>
        <w:fldChar w:fldCharType="end"/>
      </w:r>
    </w:p>
    <w:p w14:paraId="5D880E8E" w14:textId="2747F388" w:rsidR="006C4004" w:rsidRDefault="006C4004">
      <w:pPr>
        <w:pStyle w:val="TOC3"/>
        <w:rPr>
          <w:rFonts w:asciiTheme="minorHAnsi" w:eastAsiaTheme="minorEastAsia" w:hAnsiTheme="minorHAnsi" w:cstheme="minorBidi"/>
        </w:rPr>
      </w:pPr>
      <w:r>
        <w:t>Emission limits outside the frequency band</w:t>
      </w:r>
      <w:r>
        <w:tab/>
      </w:r>
      <w:r>
        <w:fldChar w:fldCharType="begin"/>
      </w:r>
      <w:r>
        <w:instrText xml:space="preserve"> PAGEREF _Toc83989342 \h </w:instrText>
      </w:r>
      <w:r>
        <w:fldChar w:fldCharType="separate"/>
      </w:r>
      <w:r>
        <w:t>26</w:t>
      </w:r>
      <w:r>
        <w:fldChar w:fldCharType="end"/>
      </w:r>
    </w:p>
    <w:p w14:paraId="47A3571F" w14:textId="3E08BC86" w:rsidR="006C4004" w:rsidRDefault="006C4004">
      <w:pPr>
        <w:pStyle w:val="TOC3"/>
        <w:rPr>
          <w:rFonts w:asciiTheme="minorHAnsi" w:eastAsiaTheme="minorEastAsia" w:hAnsiTheme="minorHAnsi" w:cstheme="minorBidi"/>
        </w:rPr>
      </w:pPr>
      <w:r>
        <w:lastRenderedPageBreak/>
        <w:t>Non spurious emission limits</w:t>
      </w:r>
      <w:r>
        <w:tab/>
      </w:r>
      <w:r>
        <w:fldChar w:fldCharType="begin"/>
      </w:r>
      <w:r>
        <w:instrText xml:space="preserve"> PAGEREF _Toc83989343 \h </w:instrText>
      </w:r>
      <w:r>
        <w:fldChar w:fldCharType="separate"/>
      </w:r>
      <w:r>
        <w:t>26</w:t>
      </w:r>
      <w:r>
        <w:fldChar w:fldCharType="end"/>
      </w:r>
    </w:p>
    <w:p w14:paraId="60520B90" w14:textId="52A29C94" w:rsidR="006C4004" w:rsidRDefault="006C4004">
      <w:pPr>
        <w:pStyle w:val="TOC3"/>
        <w:rPr>
          <w:rFonts w:asciiTheme="minorHAnsi" w:eastAsiaTheme="minorEastAsia" w:hAnsiTheme="minorHAnsi" w:cstheme="minorBidi"/>
        </w:rPr>
      </w:pPr>
      <w:r>
        <w:t>Spurious Emission Limits</w:t>
      </w:r>
      <w:r>
        <w:tab/>
      </w:r>
      <w:r>
        <w:fldChar w:fldCharType="begin"/>
      </w:r>
      <w:r>
        <w:instrText xml:space="preserve"> PAGEREF _Toc83989344 \h </w:instrText>
      </w:r>
      <w:r>
        <w:fldChar w:fldCharType="separate"/>
      </w:r>
      <w:r>
        <w:t>28</w:t>
      </w:r>
      <w:r>
        <w:fldChar w:fldCharType="end"/>
      </w:r>
    </w:p>
    <w:p w14:paraId="46928235" w14:textId="617AF860" w:rsidR="006C4004" w:rsidRDefault="006C4004">
      <w:pPr>
        <w:pStyle w:val="TOC3"/>
        <w:rPr>
          <w:rFonts w:asciiTheme="minorHAnsi" w:eastAsiaTheme="minorEastAsia" w:hAnsiTheme="minorHAnsi" w:cstheme="minorBidi"/>
        </w:rPr>
      </w:pPr>
      <w:r>
        <w:t>Emission limits outside the geographic areas</w:t>
      </w:r>
      <w:r>
        <w:tab/>
      </w:r>
      <w:r>
        <w:fldChar w:fldCharType="begin"/>
      </w:r>
      <w:r>
        <w:instrText xml:space="preserve"> PAGEREF _Toc83989345 \h </w:instrText>
      </w:r>
      <w:r>
        <w:fldChar w:fldCharType="separate"/>
      </w:r>
      <w:r>
        <w:t>29</w:t>
      </w:r>
      <w:r>
        <w:fldChar w:fldCharType="end"/>
      </w:r>
    </w:p>
    <w:p w14:paraId="7D99FE7F" w14:textId="62721D82" w:rsidR="006C4004" w:rsidRDefault="006C4004">
      <w:pPr>
        <w:pStyle w:val="TOC2"/>
        <w:rPr>
          <w:rFonts w:asciiTheme="minorHAnsi" w:eastAsiaTheme="minorEastAsia" w:hAnsiTheme="minorHAnsi" w:cstheme="minorBidi"/>
          <w:spacing w:val="0"/>
          <w:sz w:val="22"/>
          <w:szCs w:val="22"/>
        </w:rPr>
      </w:pPr>
      <w:r>
        <w:t>Licence Schedule 3 – Statutory Conditions</w:t>
      </w:r>
      <w:r>
        <w:tab/>
      </w:r>
      <w:r>
        <w:fldChar w:fldCharType="begin"/>
      </w:r>
      <w:r>
        <w:instrText xml:space="preserve"> PAGEREF _Toc83989346 \h </w:instrText>
      </w:r>
      <w:r>
        <w:fldChar w:fldCharType="separate"/>
      </w:r>
      <w:r>
        <w:t>29</w:t>
      </w:r>
      <w:r>
        <w:fldChar w:fldCharType="end"/>
      </w:r>
    </w:p>
    <w:p w14:paraId="17C546C6" w14:textId="6310B9DD" w:rsidR="006C4004" w:rsidRDefault="006C4004">
      <w:pPr>
        <w:pStyle w:val="TOC3"/>
        <w:rPr>
          <w:rFonts w:asciiTheme="minorHAnsi" w:eastAsiaTheme="minorEastAsia" w:hAnsiTheme="minorHAnsi" w:cstheme="minorBidi"/>
        </w:rPr>
      </w:pPr>
      <w:r>
        <w:t>Exemption from registration requirements</w:t>
      </w:r>
      <w:r>
        <w:tab/>
      </w:r>
      <w:r>
        <w:fldChar w:fldCharType="begin"/>
      </w:r>
      <w:r>
        <w:instrText xml:space="preserve"> PAGEREF _Toc83989347 \h </w:instrText>
      </w:r>
      <w:r>
        <w:fldChar w:fldCharType="separate"/>
      </w:r>
      <w:r>
        <w:t>29</w:t>
      </w:r>
      <w:r>
        <w:fldChar w:fldCharType="end"/>
      </w:r>
    </w:p>
    <w:p w14:paraId="4516AE15" w14:textId="0638DE7E" w:rsidR="00305794" w:rsidRPr="0038741C" w:rsidRDefault="00A9388C" w:rsidP="00C91433">
      <w:pPr>
        <w:pStyle w:val="TOC3"/>
        <w:rPr>
          <w:noProof w:val="0"/>
        </w:rPr>
      </w:pPr>
      <w:r>
        <w:rPr>
          <w:rFonts w:cs="Arial"/>
          <w:noProof w:val="0"/>
          <w:spacing w:val="-14"/>
          <w:sz w:val="28"/>
          <w:szCs w:val="24"/>
        </w:rPr>
        <w:fldChar w:fldCharType="end"/>
      </w:r>
    </w:p>
    <w:p w14:paraId="212DF893" w14:textId="77777777" w:rsidR="00E442ED" w:rsidRPr="00DB5756" w:rsidRDefault="00E442ED" w:rsidP="00E442ED">
      <w:pPr>
        <w:rPr>
          <w:rFonts w:cs="Arial"/>
        </w:rPr>
      </w:pPr>
    </w:p>
    <w:p w14:paraId="1181165A" w14:textId="14266CF0" w:rsidR="00E442ED" w:rsidRPr="00602151" w:rsidRDefault="00E442ED" w:rsidP="00E442ED">
      <w:pPr>
        <w:rPr>
          <w:rFonts w:cs="Arial"/>
        </w:rPr>
        <w:sectPr w:rsidR="00E442ED" w:rsidRPr="00602151" w:rsidSect="00E442ED">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p>
    <w:p w14:paraId="5FFC2805" w14:textId="120F4D81" w:rsidR="008063C3" w:rsidRPr="00DB5756" w:rsidRDefault="008063C3" w:rsidP="008063C3">
      <w:pPr>
        <w:pStyle w:val="Heading1"/>
      </w:pPr>
      <w:bookmarkStart w:id="0" w:name="_Toc15973790"/>
      <w:bookmarkStart w:id="1" w:name="_Toc58241127"/>
      <w:bookmarkStart w:id="2" w:name="_Toc83989318"/>
      <w:r w:rsidRPr="0038741C">
        <w:lastRenderedPageBreak/>
        <w:t>Issues for comment</w:t>
      </w:r>
      <w:bookmarkEnd w:id="0"/>
      <w:bookmarkEnd w:id="1"/>
      <w:bookmarkEnd w:id="2"/>
    </w:p>
    <w:p w14:paraId="48EC3171" w14:textId="74C37C7D" w:rsidR="008063C3" w:rsidRPr="00602151" w:rsidRDefault="008063C3" w:rsidP="00C725C6">
      <w:pPr>
        <w:pStyle w:val="Paragraph"/>
      </w:pPr>
      <w:r w:rsidRPr="006F7EDF">
        <w:t xml:space="preserve">The </w:t>
      </w:r>
      <w:r w:rsidR="005864F7">
        <w:t>Australian Communications and Media Authority (</w:t>
      </w:r>
      <w:r w:rsidRPr="006F7EDF">
        <w:t>ACMA</w:t>
      </w:r>
      <w:r w:rsidR="005864F7">
        <w:t>)</w:t>
      </w:r>
      <w:r w:rsidRPr="006F7EDF">
        <w:t xml:space="preserve"> invites comments on the issues set </w:t>
      </w:r>
      <w:r w:rsidRPr="00602151">
        <w:t xml:space="preserve">out in this </w:t>
      </w:r>
      <w:r w:rsidR="004E03F8">
        <w:t>consultation</w:t>
      </w:r>
      <w:r w:rsidR="004E03F8" w:rsidRPr="00602151">
        <w:t xml:space="preserve"> </w:t>
      </w:r>
      <w:r w:rsidRPr="00602151">
        <w:t>paper</w:t>
      </w:r>
      <w:r w:rsidR="00910A8B">
        <w:t xml:space="preserve"> and draft amendments to the s.145(4) </w:t>
      </w:r>
      <w:r w:rsidR="009E5937">
        <w:t>d</w:t>
      </w:r>
      <w:r w:rsidR="00910A8B">
        <w:t>etermination</w:t>
      </w:r>
      <w:r w:rsidR="009E5937">
        <w:t>.</w:t>
      </w:r>
    </w:p>
    <w:p w14:paraId="3C71D2E3" w14:textId="0A8BCDE9" w:rsidR="00BC14D3" w:rsidRDefault="00F87DD1" w:rsidP="00F87DD1">
      <w:pPr>
        <w:pStyle w:val="ListNumber"/>
      </w:pPr>
      <w:r w:rsidRPr="00F87DD1">
        <w:t xml:space="preserve">While all aspects of the proposed changes to conditions </w:t>
      </w:r>
      <w:r w:rsidR="00D33A4D">
        <w:t xml:space="preserve">of spectrum licences in the 1800 MHz band (1800 MHz spectrum licences) </w:t>
      </w:r>
      <w:r w:rsidRPr="00F87DD1">
        <w:t xml:space="preserve">are open for comment, the ACMA would like to draw attention to the proposed frequency range that out-of-band emission limits </w:t>
      </w:r>
      <w:r w:rsidR="00F75B13">
        <w:t xml:space="preserve">would </w:t>
      </w:r>
      <w:r w:rsidRPr="00F87DD1">
        <w:t>apply for transmitters operating in the lower 1800 MHz band</w:t>
      </w:r>
      <w:r w:rsidR="00BC14D3">
        <w:t xml:space="preserve"> (1710</w:t>
      </w:r>
      <w:r w:rsidR="009E5937">
        <w:t>–</w:t>
      </w:r>
      <w:r w:rsidR="00BC14D3">
        <w:t>1785 MHz)</w:t>
      </w:r>
      <w:r w:rsidRPr="00F87DD1">
        <w:t>. Comment is sought on whether the frequency range should be</w:t>
      </w:r>
      <w:r w:rsidR="009E5937">
        <w:t xml:space="preserve"> either</w:t>
      </w:r>
      <w:r w:rsidR="00BC14D3">
        <w:t>:</w:t>
      </w:r>
    </w:p>
    <w:p w14:paraId="5EA521DA" w14:textId="7E33CED4" w:rsidR="00BC14D3" w:rsidRDefault="00F87DD1" w:rsidP="00BC14D3">
      <w:pPr>
        <w:pStyle w:val="ListNumber"/>
        <w:numPr>
          <w:ilvl w:val="0"/>
          <w:numId w:val="0"/>
        </w:numPr>
        <w:ind w:left="644"/>
      </w:pPr>
      <w:r w:rsidRPr="00F87DD1">
        <w:t xml:space="preserve">(a)+/- 45 MHz either side of the lower 1800 MHz band </w:t>
      </w:r>
    </w:p>
    <w:p w14:paraId="16B229EA" w14:textId="24928497" w:rsidR="00BC14D3" w:rsidRDefault="00F87DD1" w:rsidP="00BC14D3">
      <w:pPr>
        <w:pStyle w:val="ListNumber"/>
        <w:numPr>
          <w:ilvl w:val="0"/>
          <w:numId w:val="0"/>
        </w:numPr>
        <w:ind w:left="644"/>
      </w:pPr>
      <w:r w:rsidRPr="00F87DD1">
        <w:t>(b) +/- (licensed bandwidth + 5 MHz) measured from the lower and upper frequency limits of the licence in a defined area</w:t>
      </w:r>
      <w:r w:rsidR="009E5937">
        <w:t>.</w:t>
      </w:r>
      <w:r w:rsidRPr="00F87DD1">
        <w:t xml:space="preserve"> </w:t>
      </w:r>
    </w:p>
    <w:p w14:paraId="3C8DCDD5" w14:textId="4047B175" w:rsidR="0080542B" w:rsidRPr="005B30E4" w:rsidRDefault="00F87DD1" w:rsidP="00E922E9">
      <w:pPr>
        <w:pStyle w:val="ListNumber"/>
        <w:numPr>
          <w:ilvl w:val="0"/>
          <w:numId w:val="0"/>
        </w:numPr>
        <w:ind w:left="360"/>
      </w:pPr>
      <w:r w:rsidRPr="00F87DD1">
        <w:t>Other proposals could also be considered</w:t>
      </w:r>
      <w:r w:rsidR="009E5937">
        <w:t>.</w:t>
      </w:r>
      <w:r w:rsidR="0079270C">
        <w:t xml:space="preserve"> </w:t>
      </w:r>
    </w:p>
    <w:p w14:paraId="6F56DB42" w14:textId="2E1048CF" w:rsidR="00E50124" w:rsidRPr="00602151" w:rsidRDefault="00474C2A" w:rsidP="00101A7B">
      <w:pPr>
        <w:pStyle w:val="ListNumber"/>
      </w:pPr>
      <w:r w:rsidRPr="00E32623">
        <w:t xml:space="preserve">Comment is sought on the effect the proposed changes to the </w:t>
      </w:r>
      <w:r>
        <w:t>1800 MHz</w:t>
      </w:r>
      <w:r w:rsidRPr="00E32623">
        <w:t xml:space="preserve"> technical framework may have on incumbent services</w:t>
      </w:r>
      <w:r>
        <w:t xml:space="preserve"> </w:t>
      </w:r>
      <w:r w:rsidRPr="006D4FB8">
        <w:t xml:space="preserve">in the </w:t>
      </w:r>
      <w:r>
        <w:t>1800 MHz</w:t>
      </w:r>
      <w:r w:rsidRPr="006D4FB8">
        <w:t xml:space="preserve"> </w:t>
      </w:r>
      <w:r>
        <w:t xml:space="preserve">(1710–1785 MHz and 1805–1880 MHz) </w:t>
      </w:r>
      <w:r w:rsidRPr="006D4FB8">
        <w:t>band and adjacent bands</w:t>
      </w:r>
      <w:r w:rsidRPr="00E32623">
        <w:t>.</w:t>
      </w:r>
    </w:p>
    <w:p w14:paraId="659A40A5" w14:textId="23F56C26" w:rsidR="00E50124" w:rsidRPr="00602151" w:rsidRDefault="00474C2A" w:rsidP="00C725C6">
      <w:pPr>
        <w:pStyle w:val="ListNumber"/>
        <w:spacing w:after="60"/>
        <w:ind w:left="357" w:hanging="357"/>
      </w:pPr>
      <w:r>
        <w:t xml:space="preserve">Comment is sought on </w:t>
      </w:r>
      <w:r w:rsidRPr="005B30E4">
        <w:t>the changes proposed</w:t>
      </w:r>
      <w:r>
        <w:t xml:space="preserve"> to the</w:t>
      </w:r>
      <w:r w:rsidR="00E50124" w:rsidRPr="00602151">
        <w:t>:</w:t>
      </w:r>
    </w:p>
    <w:p w14:paraId="69AEF5A5" w14:textId="3A599F83" w:rsidR="00E50124" w:rsidRPr="00602151" w:rsidRDefault="00835061" w:rsidP="00101A7B">
      <w:pPr>
        <w:pStyle w:val="ListBullet2"/>
        <w:ind w:hanging="419"/>
      </w:pPr>
      <w:r>
        <w:t>1800 M</w:t>
      </w:r>
      <w:r w:rsidR="00E50124" w:rsidRPr="00602151">
        <w:t xml:space="preserve">Hz </w:t>
      </w:r>
      <w:r w:rsidR="00794BC9">
        <w:t xml:space="preserve">band </w:t>
      </w:r>
      <w:r w:rsidR="00E50124" w:rsidRPr="00602151">
        <w:t>spectrum licences</w:t>
      </w:r>
      <w:r w:rsidR="00474C2A">
        <w:t xml:space="preserve"> conditions</w:t>
      </w:r>
      <w:r w:rsidR="002227C1">
        <w:t xml:space="preserve"> </w:t>
      </w:r>
    </w:p>
    <w:p w14:paraId="5C315DDE" w14:textId="69FCA703" w:rsidR="00794BC9" w:rsidRPr="00CB7345" w:rsidRDefault="00934921" w:rsidP="00101A7B">
      <w:pPr>
        <w:pStyle w:val="ListBullet2"/>
        <w:ind w:hanging="419"/>
      </w:pPr>
      <w:r>
        <w:t>t</w:t>
      </w:r>
      <w:r w:rsidR="00794BC9" w:rsidRPr="00CB7345">
        <w:t>he</w:t>
      </w:r>
      <w:r w:rsidR="00794BC9">
        <w:t xml:space="preserve"> </w:t>
      </w:r>
      <w:r w:rsidR="00794BC9" w:rsidRPr="00C725C6">
        <w:t xml:space="preserve">Radiocommunications (Unacceptable Levels of Interference – </w:t>
      </w:r>
      <w:r w:rsidR="00835061" w:rsidRPr="00C725C6">
        <w:t>1800 M</w:t>
      </w:r>
      <w:r w:rsidR="00794BC9" w:rsidRPr="00C725C6">
        <w:t>Hz Band) Determination 201</w:t>
      </w:r>
      <w:r w:rsidR="00835061" w:rsidRPr="00C725C6">
        <w:t>2</w:t>
      </w:r>
      <w:r w:rsidR="00D33A4D">
        <w:t xml:space="preserve"> (s.145(4) determination)</w:t>
      </w:r>
      <w:r w:rsidR="00474C2A">
        <w:t xml:space="preserve"> for the 1800 MHz band</w:t>
      </w:r>
      <w:r w:rsidR="009E5937">
        <w:t>.</w:t>
      </w:r>
    </w:p>
    <w:p w14:paraId="77686524" w14:textId="2C79D412" w:rsidR="003E3335" w:rsidRDefault="003E3335" w:rsidP="003E3335">
      <w:pPr>
        <w:pStyle w:val="ListNumber"/>
      </w:pPr>
      <w:r w:rsidRPr="003E3335">
        <w:t xml:space="preserve">In </w:t>
      </w:r>
      <w:r w:rsidR="00F75B13">
        <w:t xml:space="preserve">relation to </w:t>
      </w:r>
      <w:r w:rsidRPr="003E3335">
        <w:t xml:space="preserve">the draft amendments </w:t>
      </w:r>
      <w:r w:rsidR="00D33A4D">
        <w:t xml:space="preserve">proposed </w:t>
      </w:r>
      <w:r w:rsidRPr="003E3335">
        <w:t xml:space="preserve">to the s.145(4) </w:t>
      </w:r>
      <w:r w:rsidR="00D33A4D">
        <w:t>d</w:t>
      </w:r>
      <w:r w:rsidR="00D33A4D" w:rsidRPr="003E3335">
        <w:t xml:space="preserve">etermination </w:t>
      </w:r>
      <w:r w:rsidRPr="003E3335">
        <w:t xml:space="preserve">(separate attachment in key documents section of this consultation), should additional measures be included to also grandfather device registrations when minor modifications are made? If so, what minor modifications should be permitted? For example, </w:t>
      </w:r>
      <w:r w:rsidR="00F75B13">
        <w:t xml:space="preserve">what should happen to </w:t>
      </w:r>
      <w:r w:rsidRPr="003E3335">
        <w:t xml:space="preserve">changes that results in the same or lower horizontal radiated power for the purposes of device boundary calculations? Alternatively, </w:t>
      </w:r>
      <w:r w:rsidR="00F75B13">
        <w:t xml:space="preserve">what should happen to </w:t>
      </w:r>
      <w:r w:rsidRPr="003E3335">
        <w:t>changes that result in the same or smaller device boundary as originally calculated when registering a device?</w:t>
      </w:r>
    </w:p>
    <w:p w14:paraId="17E9E26D" w14:textId="1D940AB3" w:rsidR="003E3335" w:rsidRDefault="003E3335" w:rsidP="003E3335">
      <w:pPr>
        <w:pStyle w:val="ListNumber"/>
        <w:numPr>
          <w:ilvl w:val="0"/>
          <w:numId w:val="0"/>
        </w:numPr>
        <w:ind w:left="360" w:hanging="360"/>
      </w:pPr>
    </w:p>
    <w:p w14:paraId="3C59840A" w14:textId="31DD67B6" w:rsidR="008063C3" w:rsidRPr="00602151" w:rsidRDefault="008063C3" w:rsidP="008063C3">
      <w:pPr>
        <w:pStyle w:val="Heading1"/>
      </w:pPr>
      <w:bookmarkStart w:id="3" w:name="_Toc15973791"/>
      <w:bookmarkStart w:id="4" w:name="_Toc58241128"/>
      <w:bookmarkStart w:id="5" w:name="_Toc83989319"/>
      <w:r w:rsidRPr="00602151">
        <w:lastRenderedPageBreak/>
        <w:t>Introduction</w:t>
      </w:r>
      <w:bookmarkEnd w:id="3"/>
      <w:bookmarkEnd w:id="4"/>
      <w:bookmarkEnd w:id="5"/>
    </w:p>
    <w:p w14:paraId="4DF3CAAC" w14:textId="2FB5D05A" w:rsidR="00795417" w:rsidRDefault="00795417" w:rsidP="00795417">
      <w:pPr>
        <w:pStyle w:val="Bulletlevel1"/>
        <w:numPr>
          <w:ilvl w:val="0"/>
          <w:numId w:val="0"/>
        </w:numPr>
        <w:spacing w:after="240"/>
      </w:pPr>
      <w:r w:rsidRPr="00DB5756">
        <w:t xml:space="preserve">The review of the </w:t>
      </w:r>
      <w:r>
        <w:t>1800 MHz</w:t>
      </w:r>
      <w:r w:rsidRPr="00DB5756">
        <w:t xml:space="preserve"> spectrum licence technical framework is part of the AC</w:t>
      </w:r>
      <w:r>
        <w:t>M</w:t>
      </w:r>
      <w:r w:rsidRPr="00DB5756">
        <w:t>A’s broader work program ou</w:t>
      </w:r>
      <w:r>
        <w:t>t</w:t>
      </w:r>
      <w:r w:rsidRPr="00DB5756">
        <w:t>line</w:t>
      </w:r>
      <w:r w:rsidRPr="00D148F2">
        <w:t>d</w:t>
      </w:r>
      <w:r w:rsidRPr="00E32714">
        <w:t xml:space="preserve"> in the </w:t>
      </w:r>
      <w:hyperlink r:id="rId24" w:history="1">
        <w:r w:rsidRPr="00602151">
          <w:rPr>
            <w:rStyle w:val="Hyperlink"/>
            <w:i/>
            <w:iCs/>
          </w:rPr>
          <w:t>Five-year spectrum outlook 202</w:t>
        </w:r>
        <w:r w:rsidR="00F75B13">
          <w:rPr>
            <w:rStyle w:val="Hyperlink"/>
            <w:i/>
            <w:iCs/>
          </w:rPr>
          <w:t>1</w:t>
        </w:r>
        <w:r>
          <w:rPr>
            <w:rStyle w:val="Hyperlink"/>
            <w:i/>
            <w:iCs/>
          </w:rPr>
          <w:t>–</w:t>
        </w:r>
        <w:r w:rsidRPr="00602151">
          <w:rPr>
            <w:rStyle w:val="Hyperlink"/>
            <w:i/>
            <w:iCs/>
          </w:rPr>
          <w:t>2</w:t>
        </w:r>
        <w:r w:rsidR="00F75B13">
          <w:rPr>
            <w:rStyle w:val="Hyperlink"/>
            <w:i/>
            <w:iCs/>
          </w:rPr>
          <w:t>6</w:t>
        </w:r>
      </w:hyperlink>
      <w:r w:rsidRPr="00602151">
        <w:t xml:space="preserve"> </w:t>
      </w:r>
      <w:r>
        <w:t xml:space="preserve">(FYSO), </w:t>
      </w:r>
      <w:r w:rsidRPr="00602151">
        <w:t>to review existing spectrum licence technical frameworks to cater for new developments such as</w:t>
      </w:r>
      <w:r w:rsidRPr="00602151" w:rsidDel="003F58DE">
        <w:t xml:space="preserve"> </w:t>
      </w:r>
      <w:r w:rsidRPr="00602151">
        <w:t>5G and AAS.</w:t>
      </w:r>
      <w:r>
        <w:t xml:space="preserve"> To date, the </w:t>
      </w:r>
      <w:r w:rsidRPr="00264DB7">
        <w:t xml:space="preserve">ACMA has updated the technical frameworks in </w:t>
      </w:r>
      <w:r w:rsidR="00A0124A" w:rsidRPr="00264DB7">
        <w:t>the 850/900 MHz, 2.3 GHz</w:t>
      </w:r>
      <w:r w:rsidR="00A91918" w:rsidRPr="00264DB7">
        <w:t xml:space="preserve"> and</w:t>
      </w:r>
      <w:r w:rsidR="00A0124A" w:rsidRPr="00264DB7">
        <w:t xml:space="preserve"> 3.4 GHz </w:t>
      </w:r>
      <w:r w:rsidRPr="00264DB7">
        <w:t xml:space="preserve">bands </w:t>
      </w:r>
      <w:r w:rsidR="00A0124A" w:rsidRPr="00E922E9">
        <w:t xml:space="preserve">to support </w:t>
      </w:r>
      <w:r w:rsidRPr="00264DB7">
        <w:t xml:space="preserve">5G and AAS. Informed by feedback from </w:t>
      </w:r>
      <w:r w:rsidRPr="00E922E9">
        <w:t>spectrum licensees across multiple bands, the ACMA has</w:t>
      </w:r>
      <w:r w:rsidR="009E5937">
        <w:t> </w:t>
      </w:r>
      <w:r w:rsidRPr="00E922E9">
        <w:t>identified the priorities for these reviews, which are outlined in the FYSO.</w:t>
      </w:r>
      <w:r w:rsidRPr="00602151">
        <w:t xml:space="preserve"> </w:t>
      </w:r>
      <w:r>
        <w:t>The 1800 MHz band is the next band in focus for these technical framework reviews.</w:t>
      </w:r>
    </w:p>
    <w:p w14:paraId="142EEE0E" w14:textId="7F19F921" w:rsidR="00A86871" w:rsidRDefault="009E52C1" w:rsidP="00AF3F4C">
      <w:pPr>
        <w:spacing w:after="80"/>
      </w:pPr>
      <w:r w:rsidRPr="00602151">
        <w:rPr>
          <w:rFonts w:cs="Arial"/>
        </w:rPr>
        <w:t>T</w:t>
      </w:r>
      <w:r w:rsidR="00D4013D" w:rsidRPr="00602151">
        <w:rPr>
          <w:rFonts w:cs="Arial"/>
        </w:rPr>
        <w:t xml:space="preserve">he </w:t>
      </w:r>
      <w:r w:rsidR="009700B6">
        <w:rPr>
          <w:rFonts w:cs="Arial"/>
        </w:rPr>
        <w:t>1800 MHz</w:t>
      </w:r>
      <w:r w:rsidR="00D4013D" w:rsidRPr="00602151">
        <w:rPr>
          <w:rFonts w:cs="Arial"/>
        </w:rPr>
        <w:t xml:space="preserve"> band </w:t>
      </w:r>
      <w:r w:rsidR="00A86871">
        <w:rPr>
          <w:rFonts w:cs="Arial"/>
        </w:rPr>
        <w:t xml:space="preserve">is subject to spectrum licensing in metropolitan and regional areas of Australia. Licences were </w:t>
      </w:r>
      <w:r w:rsidR="00E932F5">
        <w:rPr>
          <w:rFonts w:cs="Arial"/>
        </w:rPr>
        <w:t>first allocated</w:t>
      </w:r>
      <w:r w:rsidRPr="00602151">
        <w:rPr>
          <w:rFonts w:cs="Arial"/>
        </w:rPr>
        <w:t xml:space="preserve"> </w:t>
      </w:r>
      <w:r w:rsidR="00A86871">
        <w:rPr>
          <w:rFonts w:cs="Arial"/>
        </w:rPr>
        <w:t xml:space="preserve">in </w:t>
      </w:r>
      <w:r w:rsidR="00946A3F">
        <w:rPr>
          <w:rFonts w:cs="Arial"/>
        </w:rPr>
        <w:t>1998</w:t>
      </w:r>
      <w:r w:rsidR="00A86871">
        <w:rPr>
          <w:rFonts w:cs="Arial"/>
        </w:rPr>
        <w:t xml:space="preserve"> and </w:t>
      </w:r>
      <w:r w:rsidR="00ED0D3E">
        <w:rPr>
          <w:rFonts w:cs="Arial"/>
        </w:rPr>
        <w:t xml:space="preserve">the </w:t>
      </w:r>
      <w:r w:rsidR="00A86871">
        <w:rPr>
          <w:rFonts w:cs="Arial"/>
        </w:rPr>
        <w:t xml:space="preserve">current </w:t>
      </w:r>
      <w:r w:rsidR="00A86871">
        <w:t>licensees are:</w:t>
      </w:r>
    </w:p>
    <w:p w14:paraId="676F5238" w14:textId="2C951FA9" w:rsidR="00A86871" w:rsidRDefault="00A86871" w:rsidP="00A86871">
      <w:pPr>
        <w:pStyle w:val="Paragraphbeforelist"/>
        <w:numPr>
          <w:ilvl w:val="0"/>
          <w:numId w:val="44"/>
        </w:numPr>
      </w:pPr>
      <w:r>
        <w:t>Mobile network operators (M</w:t>
      </w:r>
      <w:r w:rsidR="00520A56">
        <w:t>NO</w:t>
      </w:r>
      <w:r>
        <w:t>s): Optus, Telstra and TPG</w:t>
      </w:r>
      <w:r w:rsidR="009E5937">
        <w:t>.</w:t>
      </w:r>
      <w:r>
        <w:t xml:space="preserve"> </w:t>
      </w:r>
    </w:p>
    <w:p w14:paraId="34B224F5" w14:textId="77777777" w:rsidR="00A86871" w:rsidRDefault="00A86871" w:rsidP="00A86871">
      <w:pPr>
        <w:pStyle w:val="Paragraphbeforelist"/>
        <w:numPr>
          <w:ilvl w:val="0"/>
          <w:numId w:val="44"/>
        </w:numPr>
        <w:spacing w:after="240"/>
      </w:pPr>
      <w:r>
        <w:t>State rail operators: The Department of Planning Transport and Infrastructure (South Australia), Queensland Rail Limited, Public Transport Authority of Western Australia, Sydney Trains and Victorian Rail Track.</w:t>
      </w:r>
    </w:p>
    <w:p w14:paraId="6C597B6A" w14:textId="6BB8BC83" w:rsidR="00D95929" w:rsidRPr="00602151" w:rsidRDefault="00D4013D" w:rsidP="002A6070">
      <w:pPr>
        <w:rPr>
          <w:rFonts w:cs="Arial"/>
        </w:rPr>
      </w:pPr>
      <w:r w:rsidRPr="00602151">
        <w:rPr>
          <w:rFonts w:cs="Arial"/>
        </w:rPr>
        <w:t>In 201</w:t>
      </w:r>
      <w:r w:rsidR="00E932F5">
        <w:rPr>
          <w:rFonts w:cs="Arial"/>
        </w:rPr>
        <w:t>2</w:t>
      </w:r>
      <w:r w:rsidRPr="00602151">
        <w:rPr>
          <w:rFonts w:cs="Arial"/>
        </w:rPr>
        <w:t xml:space="preserve">, the </w:t>
      </w:r>
      <w:r w:rsidR="009700B6">
        <w:rPr>
          <w:rFonts w:cs="Arial"/>
        </w:rPr>
        <w:t>1800 MHz</w:t>
      </w:r>
      <w:r w:rsidRPr="00602151">
        <w:rPr>
          <w:rFonts w:cs="Arial"/>
        </w:rPr>
        <w:t xml:space="preserve"> spectrum licence technical framework (the </w:t>
      </w:r>
      <w:r w:rsidR="009700B6">
        <w:rPr>
          <w:rFonts w:cs="Arial"/>
        </w:rPr>
        <w:t>1800 MHz</w:t>
      </w:r>
      <w:r w:rsidRPr="00602151">
        <w:rPr>
          <w:rFonts w:cs="Arial"/>
        </w:rPr>
        <w:t xml:space="preserve"> technical framework) was updated as part of the</w:t>
      </w:r>
      <w:r w:rsidR="009E52C1" w:rsidRPr="00602151">
        <w:rPr>
          <w:rFonts w:cs="Arial"/>
        </w:rPr>
        <w:t xml:space="preserve"> ACMA’s</w:t>
      </w:r>
      <w:r w:rsidRPr="00602151">
        <w:rPr>
          <w:rFonts w:cs="Arial"/>
        </w:rPr>
        <w:t xml:space="preserve"> </w:t>
      </w:r>
      <w:r w:rsidR="001A3C49">
        <w:rPr>
          <w:rFonts w:cs="Arial"/>
        </w:rPr>
        <w:t xml:space="preserve">renewal of </w:t>
      </w:r>
      <w:r w:rsidRPr="00602151">
        <w:rPr>
          <w:rFonts w:cs="Arial"/>
        </w:rPr>
        <w:t>expiring spectrum licence</w:t>
      </w:r>
      <w:r w:rsidR="001A3C49">
        <w:rPr>
          <w:rFonts w:cs="Arial"/>
        </w:rPr>
        <w:t>s</w:t>
      </w:r>
      <w:r w:rsidRPr="00602151">
        <w:rPr>
          <w:rFonts w:cs="Arial"/>
        </w:rPr>
        <w:t xml:space="preserve">. </w:t>
      </w:r>
      <w:r w:rsidR="009E52C1" w:rsidRPr="00602151">
        <w:rPr>
          <w:rFonts w:cs="Arial"/>
        </w:rPr>
        <w:t>At that time, u</w:t>
      </w:r>
      <w:r w:rsidRPr="00602151">
        <w:rPr>
          <w:rFonts w:cs="Arial"/>
        </w:rPr>
        <w:t xml:space="preserve">se of the band was optimised for 4G technologies. </w:t>
      </w:r>
      <w:r w:rsidR="00F75B13">
        <w:rPr>
          <w:rFonts w:cs="Arial"/>
        </w:rPr>
        <w:t xml:space="preserve">Support was also provided  for </w:t>
      </w:r>
      <w:r w:rsidR="00992C37">
        <w:rPr>
          <w:rFonts w:cs="Arial"/>
        </w:rPr>
        <w:t>GSM-R</w:t>
      </w:r>
      <w:r w:rsidR="00992C37">
        <w:rPr>
          <w:rStyle w:val="FootnoteReference"/>
          <w:rFonts w:cs="Arial"/>
        </w:rPr>
        <w:footnoteReference w:id="2"/>
      </w:r>
      <w:r w:rsidR="00992C37">
        <w:rPr>
          <w:rFonts w:cs="Arial"/>
        </w:rPr>
        <w:t xml:space="preserve"> </w:t>
      </w:r>
      <w:r w:rsidR="00315F8F">
        <w:rPr>
          <w:rFonts w:cs="Arial"/>
        </w:rPr>
        <w:t>deployments</w:t>
      </w:r>
      <w:r w:rsidR="00992C37">
        <w:rPr>
          <w:rFonts w:cs="Arial"/>
        </w:rPr>
        <w:t xml:space="preserve"> by state rail operators. </w:t>
      </w:r>
      <w:r w:rsidR="00695535">
        <w:rPr>
          <w:rFonts w:cs="Arial"/>
        </w:rPr>
        <w:t xml:space="preserve">The 1800 MHz technical framework </w:t>
      </w:r>
      <w:r w:rsidR="00A86871">
        <w:rPr>
          <w:rFonts w:cs="Arial"/>
        </w:rPr>
        <w:t xml:space="preserve"> was modified again in 2015 to support the expansion of spectrum licensing arrangements in regional areas.</w:t>
      </w:r>
    </w:p>
    <w:p w14:paraId="705FFA67" w14:textId="41E3946C" w:rsidR="00D4013D" w:rsidRPr="00602151" w:rsidRDefault="00D4013D" w:rsidP="002A6070">
      <w:pPr>
        <w:rPr>
          <w:rFonts w:cs="Arial"/>
        </w:rPr>
      </w:pPr>
      <w:r w:rsidRPr="00602151">
        <w:rPr>
          <w:rFonts w:cs="Arial"/>
        </w:rPr>
        <w:t>Since th</w:t>
      </w:r>
      <w:r w:rsidR="00D95929" w:rsidRPr="00602151">
        <w:rPr>
          <w:rFonts w:cs="Arial"/>
        </w:rPr>
        <w:t xml:space="preserve">e </w:t>
      </w:r>
      <w:r w:rsidR="009700B6">
        <w:rPr>
          <w:rFonts w:cs="Arial"/>
        </w:rPr>
        <w:t>1800 MHz</w:t>
      </w:r>
      <w:r w:rsidR="00D95929" w:rsidRPr="00602151">
        <w:rPr>
          <w:rFonts w:cs="Arial"/>
        </w:rPr>
        <w:t xml:space="preserve"> technical framework was </w:t>
      </w:r>
      <w:r w:rsidR="00A86871">
        <w:rPr>
          <w:rFonts w:cs="Arial"/>
        </w:rPr>
        <w:t>last</w:t>
      </w:r>
      <w:r w:rsidR="00D95929" w:rsidRPr="00602151">
        <w:rPr>
          <w:rFonts w:cs="Arial"/>
        </w:rPr>
        <w:t xml:space="preserve"> </w:t>
      </w:r>
      <w:r w:rsidR="00F75B13">
        <w:rPr>
          <w:rFonts w:cs="Arial"/>
        </w:rPr>
        <w:t>modified</w:t>
      </w:r>
      <w:r w:rsidRPr="00602151">
        <w:rPr>
          <w:rFonts w:cs="Arial"/>
        </w:rPr>
        <w:t xml:space="preserve">, </w:t>
      </w:r>
      <w:r w:rsidR="00F73C6E" w:rsidRPr="00602151">
        <w:rPr>
          <w:rFonts w:cs="Arial"/>
        </w:rPr>
        <w:t>advanced antenna systems (</w:t>
      </w:r>
      <w:r w:rsidRPr="00602151">
        <w:rPr>
          <w:rFonts w:cs="Arial"/>
        </w:rPr>
        <w:t>AAS</w:t>
      </w:r>
      <w:r w:rsidR="00F73C6E" w:rsidRPr="00602151">
        <w:rPr>
          <w:rFonts w:cs="Arial"/>
        </w:rPr>
        <w:t>)</w:t>
      </w:r>
      <w:r w:rsidRPr="00602151">
        <w:rPr>
          <w:rFonts w:cs="Arial"/>
        </w:rPr>
        <w:t xml:space="preserve"> </w:t>
      </w:r>
      <w:r w:rsidR="005864F7" w:rsidRPr="0038741C">
        <w:rPr>
          <w:rFonts w:cs="Arial"/>
        </w:rPr>
        <w:t>ha</w:t>
      </w:r>
      <w:r w:rsidR="005864F7">
        <w:rPr>
          <w:rFonts w:cs="Arial"/>
        </w:rPr>
        <w:t xml:space="preserve">ve </w:t>
      </w:r>
      <w:r w:rsidRPr="0038741C">
        <w:rPr>
          <w:rFonts w:cs="Arial"/>
        </w:rPr>
        <w:t>matured to the point where</w:t>
      </w:r>
      <w:r w:rsidRPr="00DB5756">
        <w:rPr>
          <w:rFonts w:cs="Arial"/>
        </w:rPr>
        <w:t xml:space="preserve"> they are now commercially available </w:t>
      </w:r>
      <w:r w:rsidR="00F73C6E" w:rsidRPr="00DB5756">
        <w:rPr>
          <w:rFonts w:cs="Arial"/>
        </w:rPr>
        <w:t xml:space="preserve">in the </w:t>
      </w:r>
      <w:r w:rsidR="009700B6">
        <w:rPr>
          <w:rFonts w:cs="Arial"/>
        </w:rPr>
        <w:t>1800 MHz</w:t>
      </w:r>
      <w:r w:rsidR="00F73C6E" w:rsidRPr="00DB5756">
        <w:rPr>
          <w:rFonts w:cs="Arial"/>
        </w:rPr>
        <w:t xml:space="preserve"> band</w:t>
      </w:r>
      <w:r w:rsidRPr="00DB5756">
        <w:rPr>
          <w:rFonts w:cs="Arial"/>
        </w:rPr>
        <w:t>.</w:t>
      </w:r>
      <w:r w:rsidR="009E52C1" w:rsidRPr="00DB5756">
        <w:rPr>
          <w:rFonts w:cs="Arial"/>
        </w:rPr>
        <w:t xml:space="preserve"> </w:t>
      </w:r>
      <w:r w:rsidR="00AA7DE7" w:rsidRPr="00DB5756">
        <w:rPr>
          <w:rFonts w:cs="Arial"/>
        </w:rPr>
        <w:t>While largely associated with 5G</w:t>
      </w:r>
      <w:r w:rsidR="00695535">
        <w:rPr>
          <w:rFonts w:cs="Arial"/>
        </w:rPr>
        <w:t xml:space="preserve"> networks</w:t>
      </w:r>
      <w:r w:rsidR="00AA7DE7" w:rsidRPr="00DB5756">
        <w:rPr>
          <w:rFonts w:cs="Arial"/>
        </w:rPr>
        <w:t>, AAS can also be deployed in existing 4G networks</w:t>
      </w:r>
      <w:r w:rsidR="007464B7" w:rsidRPr="006F7EDF">
        <w:rPr>
          <w:rFonts w:cs="Arial"/>
        </w:rPr>
        <w:t xml:space="preserve">. </w:t>
      </w:r>
      <w:bookmarkStart w:id="6" w:name="_Hlk56414940"/>
      <w:r w:rsidR="007464B7" w:rsidRPr="006F7EDF">
        <w:rPr>
          <w:rFonts w:cs="Arial"/>
        </w:rPr>
        <w:t>Deploying AAS</w:t>
      </w:r>
      <w:r w:rsidR="007464B7" w:rsidRPr="00602151">
        <w:rPr>
          <w:rFonts w:cs="Arial"/>
        </w:rPr>
        <w:t xml:space="preserve"> can enhance network coverage and capacity. </w:t>
      </w:r>
      <w:bookmarkEnd w:id="6"/>
      <w:r w:rsidR="007464B7" w:rsidRPr="00602151">
        <w:rPr>
          <w:rFonts w:cs="Arial"/>
        </w:rPr>
        <w:t>However, t</w:t>
      </w:r>
      <w:r w:rsidR="009E52C1" w:rsidRPr="00602151">
        <w:rPr>
          <w:rFonts w:cs="Arial"/>
        </w:rPr>
        <w:t xml:space="preserve">he current </w:t>
      </w:r>
      <w:r w:rsidR="009700B6">
        <w:rPr>
          <w:rFonts w:cs="Arial"/>
        </w:rPr>
        <w:t>1800 MHz</w:t>
      </w:r>
      <w:r w:rsidR="00D95929" w:rsidRPr="00602151">
        <w:rPr>
          <w:rFonts w:cs="Arial"/>
        </w:rPr>
        <w:t xml:space="preserve"> technical framework </w:t>
      </w:r>
      <w:r w:rsidR="009E52C1" w:rsidRPr="00602151">
        <w:rPr>
          <w:rFonts w:cs="Arial"/>
        </w:rPr>
        <w:t xml:space="preserve">is not optimised for such use and spectrum licensees have indicated it will limit their ability </w:t>
      </w:r>
      <w:r w:rsidR="00F73C6E" w:rsidRPr="00602151">
        <w:rPr>
          <w:rFonts w:cs="Arial"/>
        </w:rPr>
        <w:t xml:space="preserve">to </w:t>
      </w:r>
      <w:r w:rsidR="00FE4E0C">
        <w:rPr>
          <w:rFonts w:cs="Arial"/>
        </w:rPr>
        <w:t>deploy</w:t>
      </w:r>
      <w:r w:rsidR="006B3484">
        <w:rPr>
          <w:rFonts w:cs="Arial"/>
        </w:rPr>
        <w:t>,</w:t>
      </w:r>
      <w:r w:rsidR="00F73C6E" w:rsidRPr="00602151">
        <w:rPr>
          <w:rFonts w:cs="Arial"/>
        </w:rPr>
        <w:t xml:space="preserve"> </w:t>
      </w:r>
      <w:r w:rsidR="009E52C1" w:rsidRPr="00602151">
        <w:rPr>
          <w:rFonts w:cs="Arial"/>
        </w:rPr>
        <w:t>or prevent them from deploying</w:t>
      </w:r>
      <w:r w:rsidR="006B3484">
        <w:rPr>
          <w:rFonts w:cs="Arial"/>
        </w:rPr>
        <w:t>,</w:t>
      </w:r>
      <w:r w:rsidR="009E52C1" w:rsidRPr="00602151">
        <w:rPr>
          <w:rFonts w:cs="Arial"/>
        </w:rPr>
        <w:t xml:space="preserve"> </w:t>
      </w:r>
      <w:r w:rsidR="00AA7DE7" w:rsidRPr="00602151">
        <w:rPr>
          <w:rFonts w:cs="Arial"/>
        </w:rPr>
        <w:t>AAS</w:t>
      </w:r>
      <w:r w:rsidR="009E52C1" w:rsidRPr="00602151">
        <w:rPr>
          <w:rFonts w:cs="Arial"/>
        </w:rPr>
        <w:t>.</w:t>
      </w:r>
    </w:p>
    <w:p w14:paraId="22D51F68" w14:textId="44A3C181" w:rsidR="009E52C1" w:rsidRPr="00DB5756" w:rsidRDefault="009E52C1" w:rsidP="002A6070">
      <w:pPr>
        <w:rPr>
          <w:rFonts w:cs="Arial"/>
        </w:rPr>
      </w:pPr>
      <w:r w:rsidRPr="00602151">
        <w:rPr>
          <w:rFonts w:cs="Arial"/>
        </w:rPr>
        <w:t xml:space="preserve">In </w:t>
      </w:r>
      <w:r w:rsidR="00695535">
        <w:rPr>
          <w:rFonts w:cs="Arial"/>
        </w:rPr>
        <w:t>July 2020</w:t>
      </w:r>
      <w:r w:rsidRPr="00602151">
        <w:rPr>
          <w:rFonts w:cs="Arial"/>
        </w:rPr>
        <w:t xml:space="preserve">, the ACMA convened a </w:t>
      </w:r>
      <w:hyperlink r:id="rId25" w:history="1">
        <w:r w:rsidR="00686A5B" w:rsidRPr="00686A5B">
          <w:rPr>
            <w:rStyle w:val="Hyperlink"/>
            <w:rFonts w:cs="Arial"/>
          </w:rPr>
          <w:t>t</w:t>
        </w:r>
        <w:r w:rsidRPr="00686A5B">
          <w:rPr>
            <w:rStyle w:val="Hyperlink"/>
            <w:rFonts w:cs="Arial"/>
          </w:rPr>
          <w:t xml:space="preserve">echnical </w:t>
        </w:r>
        <w:r w:rsidR="00686A5B" w:rsidRPr="00686A5B">
          <w:rPr>
            <w:rStyle w:val="Hyperlink"/>
            <w:rFonts w:cs="Arial"/>
          </w:rPr>
          <w:t>l</w:t>
        </w:r>
        <w:r w:rsidRPr="00686A5B">
          <w:rPr>
            <w:rStyle w:val="Hyperlink"/>
            <w:rFonts w:cs="Arial"/>
          </w:rPr>
          <w:t xml:space="preserve">iaison </w:t>
        </w:r>
        <w:r w:rsidR="00686A5B" w:rsidRPr="00686A5B">
          <w:rPr>
            <w:rStyle w:val="Hyperlink"/>
            <w:rFonts w:cs="Arial"/>
          </w:rPr>
          <w:t>g</w:t>
        </w:r>
        <w:r w:rsidRPr="00686A5B">
          <w:rPr>
            <w:rStyle w:val="Hyperlink"/>
            <w:rFonts w:cs="Arial"/>
          </w:rPr>
          <w:t>roup</w:t>
        </w:r>
      </w:hyperlink>
      <w:r w:rsidR="00AB2CB0" w:rsidRPr="00602151">
        <w:rPr>
          <w:rFonts w:cs="Arial"/>
        </w:rPr>
        <w:t xml:space="preserve"> (</w:t>
      </w:r>
      <w:r w:rsidR="00686A5B" w:rsidRPr="00C725C6">
        <w:t>TLG</w:t>
      </w:r>
      <w:r w:rsidR="00AB2CB0" w:rsidRPr="00602151">
        <w:rPr>
          <w:rFonts w:cs="Arial"/>
        </w:rPr>
        <w:t>)</w:t>
      </w:r>
      <w:r w:rsidRPr="00602151">
        <w:rPr>
          <w:rFonts w:cs="Arial"/>
        </w:rPr>
        <w:t xml:space="preserve"> to provide advice on changes to the </w:t>
      </w:r>
      <w:r w:rsidR="009700B6">
        <w:rPr>
          <w:rFonts w:cs="Arial"/>
        </w:rPr>
        <w:t>1800 MHz</w:t>
      </w:r>
      <w:r w:rsidRPr="00602151">
        <w:rPr>
          <w:rFonts w:cs="Arial"/>
        </w:rPr>
        <w:t xml:space="preserve"> technical framework</w:t>
      </w:r>
      <w:r w:rsidR="00795417">
        <w:rPr>
          <w:rFonts w:cs="Arial"/>
        </w:rPr>
        <w:t xml:space="preserve">, including </w:t>
      </w:r>
      <w:r w:rsidR="00AB2CB0" w:rsidRPr="00602151">
        <w:rPr>
          <w:rFonts w:cs="Arial"/>
        </w:rPr>
        <w:t xml:space="preserve">changes to </w:t>
      </w:r>
      <w:r w:rsidRPr="00602151">
        <w:rPr>
          <w:rFonts w:cs="Arial"/>
        </w:rPr>
        <w:t xml:space="preserve">accommodate AAS technologies while managing interference </w:t>
      </w:r>
      <w:r w:rsidR="00F73C6E" w:rsidRPr="00602151">
        <w:rPr>
          <w:rFonts w:cs="Arial"/>
        </w:rPr>
        <w:t>between</w:t>
      </w:r>
      <w:r w:rsidRPr="00602151">
        <w:rPr>
          <w:rFonts w:cs="Arial"/>
        </w:rPr>
        <w:t xml:space="preserve"> spectrum licences and adjacent band services.</w:t>
      </w:r>
      <w:r w:rsidR="00AB2CB0" w:rsidRPr="00602151">
        <w:rPr>
          <w:rFonts w:cs="Arial"/>
        </w:rPr>
        <w:t xml:space="preserve"> The TLG </w:t>
      </w:r>
      <w:r w:rsidR="001C253F">
        <w:rPr>
          <w:rFonts w:cs="Arial"/>
        </w:rPr>
        <w:t>concluded</w:t>
      </w:r>
      <w:r w:rsidR="001C253F" w:rsidRPr="00602151">
        <w:rPr>
          <w:rFonts w:cs="Arial"/>
        </w:rPr>
        <w:t xml:space="preserve"> </w:t>
      </w:r>
      <w:r w:rsidR="00AB2CB0" w:rsidRPr="00602151">
        <w:rPr>
          <w:rFonts w:cs="Arial"/>
        </w:rPr>
        <w:t xml:space="preserve">its work in </w:t>
      </w:r>
      <w:r w:rsidR="004450DE">
        <w:rPr>
          <w:rFonts w:cs="Arial"/>
        </w:rPr>
        <w:t xml:space="preserve">August </w:t>
      </w:r>
      <w:r w:rsidR="00AB2CB0" w:rsidRPr="00602151">
        <w:rPr>
          <w:rFonts w:cs="Arial"/>
        </w:rPr>
        <w:t>202</w:t>
      </w:r>
      <w:r w:rsidR="004450DE">
        <w:rPr>
          <w:rFonts w:cs="Arial"/>
        </w:rPr>
        <w:t>1</w:t>
      </w:r>
      <w:r w:rsidR="006B3484">
        <w:rPr>
          <w:rFonts w:cs="Arial"/>
        </w:rPr>
        <w:t xml:space="preserve"> –</w:t>
      </w:r>
      <w:r w:rsidR="006B3484" w:rsidRPr="00602151">
        <w:rPr>
          <w:rFonts w:cs="Arial"/>
        </w:rPr>
        <w:t xml:space="preserve"> </w:t>
      </w:r>
      <w:r w:rsidR="00AB2CB0" w:rsidRPr="00602151">
        <w:rPr>
          <w:rFonts w:cs="Arial"/>
        </w:rPr>
        <w:t xml:space="preserve">the outcomes are detailed in the </w:t>
      </w:r>
      <w:hyperlink r:id="rId26" w:history="1">
        <w:r w:rsidR="00853268" w:rsidRPr="00E932F5">
          <w:rPr>
            <w:rStyle w:val="Hyperlink"/>
            <w:rFonts w:cs="Arial"/>
            <w:i/>
            <w:iCs/>
          </w:rPr>
          <w:t xml:space="preserve">Review </w:t>
        </w:r>
        <w:r w:rsidR="004D114F" w:rsidRPr="00E932F5">
          <w:rPr>
            <w:rStyle w:val="Hyperlink"/>
            <w:rFonts w:cs="Arial"/>
            <w:i/>
            <w:iCs/>
          </w:rPr>
          <w:t xml:space="preserve">of the </w:t>
        </w:r>
        <w:r w:rsidR="009700B6" w:rsidRPr="00E932F5">
          <w:rPr>
            <w:rStyle w:val="Hyperlink"/>
            <w:rFonts w:cs="Arial"/>
            <w:i/>
            <w:iCs/>
          </w:rPr>
          <w:t>1800 MHz</w:t>
        </w:r>
        <w:r w:rsidR="004D114F" w:rsidRPr="00E932F5">
          <w:rPr>
            <w:rStyle w:val="Hyperlink"/>
            <w:rFonts w:cs="Arial"/>
            <w:i/>
            <w:iCs/>
          </w:rPr>
          <w:t xml:space="preserve"> spectrum licence technical framework</w:t>
        </w:r>
        <w:r w:rsidR="00184EBD" w:rsidRPr="00E932F5">
          <w:rPr>
            <w:rStyle w:val="Hyperlink"/>
            <w:rFonts w:cs="Arial"/>
            <w:i/>
            <w:iCs/>
          </w:rPr>
          <w:t xml:space="preserve"> Technical Liaison Group</w:t>
        </w:r>
        <w:r w:rsidR="00184EBD" w:rsidRPr="00E932F5">
          <w:rPr>
            <w:rStyle w:val="Hyperlink"/>
            <w:rFonts w:cs="Arial"/>
          </w:rPr>
          <w:t xml:space="preserve"> </w:t>
        </w:r>
        <w:r w:rsidR="006B3484" w:rsidRPr="00E932F5">
          <w:rPr>
            <w:rStyle w:val="Hyperlink"/>
            <w:rFonts w:cs="Arial"/>
          </w:rPr>
          <w:t>p</w:t>
        </w:r>
        <w:r w:rsidR="00AB2CB0" w:rsidRPr="00E932F5">
          <w:rPr>
            <w:rStyle w:val="Hyperlink"/>
            <w:rFonts w:cs="Arial"/>
          </w:rPr>
          <w:t>aper</w:t>
        </w:r>
      </w:hyperlink>
      <w:r w:rsidR="00AB2CB0" w:rsidRPr="0038741C">
        <w:rPr>
          <w:rFonts w:cs="Arial"/>
        </w:rPr>
        <w:t xml:space="preserve"> (</w:t>
      </w:r>
      <w:r w:rsidR="009700B6">
        <w:rPr>
          <w:rFonts w:cs="Arial"/>
        </w:rPr>
        <w:t>1800 MHz</w:t>
      </w:r>
      <w:r w:rsidR="00AB2CB0" w:rsidRPr="0038741C">
        <w:rPr>
          <w:rFonts w:cs="Arial"/>
        </w:rPr>
        <w:t xml:space="preserve"> TLG paper)</w:t>
      </w:r>
      <w:r w:rsidR="00AA77DF" w:rsidRPr="0038741C">
        <w:rPr>
          <w:rFonts w:cs="Arial"/>
        </w:rPr>
        <w:t>.</w:t>
      </w:r>
      <w:r w:rsidR="00AB2CB0" w:rsidRPr="00DB5756">
        <w:rPr>
          <w:rFonts w:cs="Arial"/>
        </w:rPr>
        <w:t xml:space="preserve"> </w:t>
      </w:r>
    </w:p>
    <w:p w14:paraId="5873B8D3" w14:textId="4E54A541" w:rsidR="00795417" w:rsidRDefault="00325FCA" w:rsidP="00795417">
      <w:pPr>
        <w:pStyle w:val="Bulletlevel1"/>
        <w:numPr>
          <w:ilvl w:val="0"/>
          <w:numId w:val="0"/>
        </w:numPr>
        <w:spacing w:after="240"/>
      </w:pPr>
      <w:r w:rsidRPr="00602151">
        <w:t>In addition to band</w:t>
      </w:r>
      <w:r w:rsidR="002E5CE3">
        <w:t>-</w:t>
      </w:r>
      <w:r w:rsidRPr="00602151">
        <w:t xml:space="preserve">specific considerations, this work will also consider aligning arrangements between different bands where it makes sense to do so. For example, it will include reviewing changes and lessons learned from the development and review of technical frameworks </w:t>
      </w:r>
      <w:r w:rsidR="00695535">
        <w:t>for</w:t>
      </w:r>
      <w:r w:rsidR="00695535" w:rsidRPr="00602151">
        <w:t xml:space="preserve"> </w:t>
      </w:r>
      <w:r w:rsidRPr="00602151">
        <w:t xml:space="preserve">the </w:t>
      </w:r>
      <w:r w:rsidR="00E932F5">
        <w:t xml:space="preserve">850/900 MHz, </w:t>
      </w:r>
      <w:r w:rsidR="004450DE">
        <w:t xml:space="preserve">2.3 GHz, </w:t>
      </w:r>
      <w:r w:rsidRPr="00602151">
        <w:t>3.4 GHz and 26 GHz bands.</w:t>
      </w:r>
      <w:r w:rsidR="00795417">
        <w:t xml:space="preserve"> </w:t>
      </w:r>
    </w:p>
    <w:p w14:paraId="2C7BD275" w14:textId="33A4098F" w:rsidR="00AA77DF" w:rsidRPr="00602151" w:rsidRDefault="00823BAA" w:rsidP="00795417">
      <w:pPr>
        <w:pStyle w:val="Bulletlevel1"/>
        <w:numPr>
          <w:ilvl w:val="0"/>
          <w:numId w:val="0"/>
        </w:numPr>
        <w:spacing w:after="240"/>
      </w:pPr>
      <w:r>
        <w:t>Subject to</w:t>
      </w:r>
      <w:r w:rsidRPr="00602151">
        <w:t xml:space="preserve"> </w:t>
      </w:r>
      <w:r w:rsidR="00F73C6E" w:rsidRPr="00602151">
        <w:t xml:space="preserve">consideration of </w:t>
      </w:r>
      <w:r w:rsidR="0041051B" w:rsidRPr="00602151">
        <w:t xml:space="preserve">feedback received to this paper, the ACMA would </w:t>
      </w:r>
      <w:r w:rsidR="00AE2BD8">
        <w:t>commence</w:t>
      </w:r>
      <w:r w:rsidR="0041051B" w:rsidRPr="00602151">
        <w:t xml:space="preserve"> implement</w:t>
      </w:r>
      <w:r w:rsidR="00AE2BD8">
        <w:t>ation of</w:t>
      </w:r>
      <w:r w:rsidR="0041051B" w:rsidRPr="00602151">
        <w:t xml:space="preserve"> the proposed changes in </w:t>
      </w:r>
      <w:r w:rsidR="002E5CE3">
        <w:t xml:space="preserve">the </w:t>
      </w:r>
      <w:r w:rsidR="004450DE">
        <w:t>fourth</w:t>
      </w:r>
      <w:r w:rsidR="002E5CE3">
        <w:t xml:space="preserve"> quarter of</w:t>
      </w:r>
      <w:r w:rsidR="002E5CE3" w:rsidRPr="00602151">
        <w:t xml:space="preserve"> 202</w:t>
      </w:r>
      <w:r w:rsidR="002E5CE3">
        <w:t>1</w:t>
      </w:r>
      <w:r w:rsidR="0041051B" w:rsidRPr="00602151">
        <w:t>.</w:t>
      </w:r>
      <w:bookmarkStart w:id="7" w:name="_Toc15973794"/>
    </w:p>
    <w:p w14:paraId="30AEFBB3" w14:textId="77777777" w:rsidR="000628D6" w:rsidRPr="00602151" w:rsidRDefault="000628D6" w:rsidP="000628D6">
      <w:pPr>
        <w:pStyle w:val="Heading1"/>
      </w:pPr>
      <w:bookmarkStart w:id="8" w:name="_Toc32229887"/>
      <w:bookmarkStart w:id="9" w:name="_Toc58241129"/>
      <w:bookmarkStart w:id="10" w:name="_Toc83989320"/>
      <w:bookmarkStart w:id="11" w:name="_Hlk14760745"/>
      <w:bookmarkEnd w:id="7"/>
      <w:r w:rsidRPr="00602151">
        <w:lastRenderedPageBreak/>
        <w:t>Case for action</w:t>
      </w:r>
      <w:bookmarkEnd w:id="8"/>
      <w:bookmarkEnd w:id="9"/>
      <w:bookmarkEnd w:id="10"/>
    </w:p>
    <w:p w14:paraId="06312F19" w14:textId="0454BA3B" w:rsidR="000628D6" w:rsidRPr="00602151" w:rsidRDefault="00795417" w:rsidP="000628D6">
      <w:pPr>
        <w:pStyle w:val="Paragraphbeforelist"/>
      </w:pPr>
      <w:r>
        <w:t>Developments s</w:t>
      </w:r>
      <w:r w:rsidR="000628D6" w:rsidRPr="00602151">
        <w:t xml:space="preserve">ince the </w:t>
      </w:r>
      <w:r w:rsidR="009700B6">
        <w:t>1800 MHz</w:t>
      </w:r>
      <w:r w:rsidR="000628D6" w:rsidRPr="00602151">
        <w:t xml:space="preserve"> technical framework was</w:t>
      </w:r>
      <w:r w:rsidR="00A2040E" w:rsidRPr="00602151">
        <w:t xml:space="preserve"> re</w:t>
      </w:r>
      <w:r w:rsidR="000628E0">
        <w:t>v</w:t>
      </w:r>
      <w:r w:rsidR="00A2040E" w:rsidRPr="00602151">
        <w:t>iewed in 201</w:t>
      </w:r>
      <w:r w:rsidR="00FE4E0C">
        <w:t>3</w:t>
      </w:r>
      <w:r w:rsidR="00A2040E" w:rsidRPr="00602151">
        <w:t xml:space="preserve"> </w:t>
      </w:r>
      <w:r>
        <w:t>include</w:t>
      </w:r>
      <w:r w:rsidR="000628D6" w:rsidRPr="00602151">
        <w:t xml:space="preserve">: </w:t>
      </w:r>
    </w:p>
    <w:p w14:paraId="5092BC01" w14:textId="41792CDF" w:rsidR="00AE2BD8" w:rsidRDefault="00795417" w:rsidP="00AE2BD8">
      <w:pPr>
        <w:pStyle w:val="Bulletlevel1"/>
      </w:pPr>
      <w:r>
        <w:t xml:space="preserve">Development of </w:t>
      </w:r>
      <w:r w:rsidR="000628D6" w:rsidRPr="00602151">
        <w:t>3GPP standards for 5G</w:t>
      </w:r>
      <w:r w:rsidR="00F73C6E" w:rsidRPr="00602151">
        <w:t>. B</w:t>
      </w:r>
      <w:r w:rsidR="000628D6" w:rsidRPr="00602151">
        <w:t xml:space="preserve">and </w:t>
      </w:r>
      <w:r w:rsidR="0057031E" w:rsidRPr="00602151">
        <w:t>n</w:t>
      </w:r>
      <w:r w:rsidR="0057031E">
        <w:t>3</w:t>
      </w:r>
      <w:r w:rsidR="0057031E" w:rsidRPr="00602151">
        <w:t xml:space="preserve"> </w:t>
      </w:r>
      <w:r w:rsidR="000628D6" w:rsidRPr="00602151">
        <w:t>(</w:t>
      </w:r>
      <w:r w:rsidR="0057031E">
        <w:t>1710</w:t>
      </w:r>
      <w:r w:rsidR="002E5CE3">
        <w:t>–</w:t>
      </w:r>
      <w:r w:rsidR="0057031E">
        <w:t>1785</w:t>
      </w:r>
      <w:r w:rsidR="0057031E" w:rsidRPr="00602151">
        <w:t xml:space="preserve"> </w:t>
      </w:r>
      <w:r w:rsidR="000628D6" w:rsidRPr="00602151">
        <w:t>MHz</w:t>
      </w:r>
      <w:r w:rsidR="0057031E">
        <w:t xml:space="preserve"> and </w:t>
      </w:r>
      <w:r w:rsidR="00D828C1">
        <w:br/>
      </w:r>
      <w:r w:rsidR="00D9029C">
        <w:t>1805</w:t>
      </w:r>
      <w:r w:rsidR="00D828C1">
        <w:t>–</w:t>
      </w:r>
      <w:r w:rsidR="00D9029C">
        <w:t>1880 MHz</w:t>
      </w:r>
      <w:r w:rsidR="000628D6" w:rsidRPr="00602151">
        <w:t xml:space="preserve">) </w:t>
      </w:r>
      <w:r w:rsidR="00FE4E0C">
        <w:t>has been</w:t>
      </w:r>
      <w:r w:rsidR="00F73C6E" w:rsidRPr="00602151">
        <w:t xml:space="preserve"> identified </w:t>
      </w:r>
      <w:r w:rsidR="000628D6" w:rsidRPr="00602151">
        <w:t xml:space="preserve">as a </w:t>
      </w:r>
      <w:r w:rsidR="00F73C6E" w:rsidRPr="00602151">
        <w:t xml:space="preserve">5G </w:t>
      </w:r>
      <w:r w:rsidR="000628D6" w:rsidRPr="00602151">
        <w:t>profile band</w:t>
      </w:r>
      <w:r w:rsidR="003B4C82" w:rsidRPr="00602151">
        <w:t xml:space="preserve"> and</w:t>
      </w:r>
      <w:r w:rsidR="008E2355" w:rsidRPr="00602151">
        <w:t xml:space="preserve"> </w:t>
      </w:r>
      <w:r w:rsidR="003B4C82" w:rsidRPr="00602151">
        <w:t>c</w:t>
      </w:r>
      <w:r w:rsidR="008E2355" w:rsidRPr="00602151">
        <w:t xml:space="preserve">ommercial </w:t>
      </w:r>
      <w:r w:rsidR="00FE4E0C">
        <w:t xml:space="preserve">5G </w:t>
      </w:r>
      <w:r w:rsidR="008E2355" w:rsidRPr="00602151">
        <w:t xml:space="preserve">equipment is </w:t>
      </w:r>
      <w:r w:rsidR="00F73C6E" w:rsidRPr="00602151">
        <w:t xml:space="preserve">now </w:t>
      </w:r>
      <w:r w:rsidR="008E2355" w:rsidRPr="00602151">
        <w:t>available</w:t>
      </w:r>
      <w:r w:rsidR="00322916" w:rsidRPr="00602151">
        <w:t xml:space="preserve">. </w:t>
      </w:r>
    </w:p>
    <w:p w14:paraId="3B365CE3" w14:textId="629056B4" w:rsidR="00AE2BD8" w:rsidRDefault="00795417" w:rsidP="00AE2BD8">
      <w:pPr>
        <w:pStyle w:val="Bulletlevel1"/>
      </w:pPr>
      <w:r>
        <w:t xml:space="preserve">Interest from </w:t>
      </w:r>
      <w:r w:rsidR="00523983">
        <w:t xml:space="preserve">MNOs in </w:t>
      </w:r>
      <w:r w:rsidR="00162E63">
        <w:t xml:space="preserve">deploying </w:t>
      </w:r>
      <w:r w:rsidR="00523983">
        <w:t xml:space="preserve">AAS and 5G services in the 1800 MHz band. </w:t>
      </w:r>
    </w:p>
    <w:p w14:paraId="28B0D4C5" w14:textId="60BB2CC5" w:rsidR="00523983" w:rsidRDefault="00795417" w:rsidP="00AE2BD8">
      <w:pPr>
        <w:pStyle w:val="Bulletlevel1"/>
      </w:pPr>
      <w:r>
        <w:t xml:space="preserve">Interest from </w:t>
      </w:r>
      <w:r w:rsidR="00523983">
        <w:t>State rail operators pla</w:t>
      </w:r>
      <w:r>
        <w:t>nning</w:t>
      </w:r>
      <w:r w:rsidR="00523983">
        <w:t xml:space="preserve"> for the long-term migration to </w:t>
      </w:r>
      <w:r w:rsidR="00523983">
        <w:rPr>
          <w:color w:val="1D1E20"/>
        </w:rPr>
        <w:t>Future Rail Mobile Communication Systems (FRMCS)</w:t>
      </w:r>
      <w:r w:rsidR="00D828C1">
        <w:rPr>
          <w:color w:val="1D1E20"/>
        </w:rPr>
        <w:t>.</w:t>
      </w:r>
      <w:r w:rsidR="006A6EEF">
        <w:rPr>
          <w:rStyle w:val="FootnoteReference"/>
          <w:color w:val="1D1E20"/>
        </w:rPr>
        <w:footnoteReference w:id="3"/>
      </w:r>
      <w:r w:rsidR="00523983">
        <w:rPr>
          <w:color w:val="1D1E20"/>
        </w:rPr>
        <w:t xml:space="preserve"> FRMCS is set to become the global standard for railway communications. FRMCS networks will utilise 5G technologies.</w:t>
      </w:r>
    </w:p>
    <w:p w14:paraId="4A1D2425" w14:textId="07B15F88" w:rsidR="00574E49" w:rsidRDefault="00322916" w:rsidP="006D4FB8">
      <w:pPr>
        <w:pStyle w:val="Bulletlevel1"/>
        <w:numPr>
          <w:ilvl w:val="0"/>
          <w:numId w:val="0"/>
        </w:numPr>
        <w:spacing w:before="240"/>
      </w:pPr>
      <w:r w:rsidRPr="00602151">
        <w:t>The ACMA has received</w:t>
      </w:r>
      <w:r w:rsidR="008E7348" w:rsidRPr="00602151" w:rsidDel="00A2040E">
        <w:t xml:space="preserve"> </w:t>
      </w:r>
      <w:r w:rsidR="00A2040E" w:rsidRPr="00602151">
        <w:t xml:space="preserve">representations </w:t>
      </w:r>
      <w:r w:rsidR="008E7348" w:rsidRPr="00602151">
        <w:t xml:space="preserve">from spectrum </w:t>
      </w:r>
      <w:r w:rsidRPr="00602151">
        <w:t>licensees</w:t>
      </w:r>
      <w:r w:rsidR="008E7348" w:rsidRPr="00602151">
        <w:t xml:space="preserve"> </w:t>
      </w:r>
      <w:bookmarkStart w:id="12" w:name="_Hlk55898006"/>
      <w:r w:rsidR="00252AD3">
        <w:t>that</w:t>
      </w:r>
      <w:r w:rsidR="00F23EB4" w:rsidRPr="00602151">
        <w:t xml:space="preserve"> </w:t>
      </w:r>
      <w:r w:rsidR="00252AD3" w:rsidRPr="00602151">
        <w:t xml:space="preserve">they would like to review </w:t>
      </w:r>
      <w:r w:rsidR="00F23EB4" w:rsidRPr="00602151">
        <w:t xml:space="preserve">several aspects of the </w:t>
      </w:r>
      <w:r w:rsidR="009700B6">
        <w:t>1800 MHz</w:t>
      </w:r>
      <w:r w:rsidR="00F23EB4" w:rsidRPr="00602151">
        <w:t xml:space="preserve"> technical framework to accommodate AAS</w:t>
      </w:r>
      <w:r w:rsidR="00FE4E0C">
        <w:t xml:space="preserve"> </w:t>
      </w:r>
      <w:r w:rsidR="00DD5620">
        <w:t xml:space="preserve">and FRMCS </w:t>
      </w:r>
      <w:r w:rsidR="00FE4E0C">
        <w:t>technologies</w:t>
      </w:r>
      <w:r w:rsidR="00F23EB4" w:rsidRPr="00602151">
        <w:t>. This include</w:t>
      </w:r>
      <w:r w:rsidR="00DD5620">
        <w:t>s</w:t>
      </w:r>
      <w:r w:rsidR="00F23EB4" w:rsidRPr="00602151">
        <w:t xml:space="preserve"> </w:t>
      </w:r>
      <w:r w:rsidR="00523983">
        <w:t>unwanted emission limits,</w:t>
      </w:r>
      <w:r w:rsidR="00F23EB4" w:rsidRPr="00602151">
        <w:t xml:space="preserve"> </w:t>
      </w:r>
      <w:r w:rsidR="00A86871">
        <w:t>in-band emission limits, the definition of devices exempt from registration</w:t>
      </w:r>
      <w:r w:rsidR="00F23EB4" w:rsidRPr="00602151">
        <w:t xml:space="preserve"> and aspects of the device boundary criteria (DBC) in the </w:t>
      </w:r>
      <w:bookmarkEnd w:id="12"/>
      <w:r w:rsidR="00F23EB4" w:rsidRPr="00101A7B">
        <w:fldChar w:fldCharType="begin"/>
      </w:r>
      <w:r w:rsidR="00D828C1">
        <w:instrText>HYPERLINK "https://www.legislation.gov.au/Details/F2021C00360"</w:instrText>
      </w:r>
      <w:r w:rsidR="00F23EB4" w:rsidRPr="00101A7B">
        <w:fldChar w:fldCharType="separate"/>
      </w:r>
      <w:r w:rsidR="00DF373D">
        <w:rPr>
          <w:rStyle w:val="Hyperlink"/>
        </w:rPr>
        <w:t>s.145(4) determination</w:t>
      </w:r>
      <w:r w:rsidR="00F23EB4" w:rsidRPr="00101A7B">
        <w:fldChar w:fldCharType="end"/>
      </w:r>
      <w:r w:rsidR="00DF373D">
        <w:t>.</w:t>
      </w:r>
    </w:p>
    <w:p w14:paraId="7F89A429" w14:textId="77777777" w:rsidR="00A0124A" w:rsidRDefault="00A0124A" w:rsidP="00A0124A">
      <w:pPr>
        <w:pStyle w:val="Bulletlevel1"/>
        <w:numPr>
          <w:ilvl w:val="0"/>
          <w:numId w:val="0"/>
        </w:numPr>
        <w:spacing w:before="240"/>
      </w:pPr>
      <w:r>
        <w:t>The benefits of the changes are as follows:</w:t>
      </w:r>
    </w:p>
    <w:p w14:paraId="2C040D0F" w14:textId="742B4BBB" w:rsidR="00A91918" w:rsidRDefault="002F2306" w:rsidP="00A0124A">
      <w:pPr>
        <w:pStyle w:val="Bulletlevel1"/>
        <w:numPr>
          <w:ilvl w:val="0"/>
          <w:numId w:val="50"/>
        </w:numPr>
        <w:spacing w:before="120"/>
      </w:pPr>
      <w:r>
        <w:t>A</w:t>
      </w:r>
      <w:r w:rsidR="00A0124A">
        <w:t>ligning technical criteria with international standards</w:t>
      </w:r>
      <w:r>
        <w:t>,</w:t>
      </w:r>
      <w:r w:rsidR="00A0124A">
        <w:t xml:space="preserve"> </w:t>
      </w:r>
      <w:r>
        <w:t>where possible,</w:t>
      </w:r>
      <w:r w:rsidR="00A0124A">
        <w:t xml:space="preserve"> helps to minimise costs </w:t>
      </w:r>
      <w:r w:rsidR="00A91918">
        <w:t xml:space="preserve">so that </w:t>
      </w:r>
      <w:r w:rsidR="00A0124A">
        <w:t xml:space="preserve">manufacturers </w:t>
      </w:r>
      <w:r w:rsidR="00A91918">
        <w:t>do not have</w:t>
      </w:r>
      <w:r w:rsidR="00A0124A">
        <w:t xml:space="preserve"> to develop equipment to meet bespoke Australian arrangements. </w:t>
      </w:r>
    </w:p>
    <w:p w14:paraId="5E6BA28B" w14:textId="17F49178" w:rsidR="00A0124A" w:rsidRDefault="00A0124A" w:rsidP="00A0124A">
      <w:pPr>
        <w:pStyle w:val="Bulletlevel1"/>
        <w:numPr>
          <w:ilvl w:val="0"/>
          <w:numId w:val="50"/>
        </w:numPr>
        <w:spacing w:before="120"/>
      </w:pPr>
      <w:r>
        <w:t xml:space="preserve">Enabling support for 5G and </w:t>
      </w:r>
      <w:r w:rsidRPr="006F7EDF">
        <w:t>AAS</w:t>
      </w:r>
      <w:r w:rsidRPr="00602151">
        <w:t xml:space="preserve"> </w:t>
      </w:r>
      <w:r>
        <w:t xml:space="preserve">will also </w:t>
      </w:r>
      <w:r w:rsidRPr="00602151">
        <w:t>enhance an operator</w:t>
      </w:r>
      <w:r>
        <w:t>’</w:t>
      </w:r>
      <w:r w:rsidRPr="00602151">
        <w:t>s network coverage and capacity.</w:t>
      </w:r>
      <w:r>
        <w:t xml:space="preserve"> This will help to reduce network cost</w:t>
      </w:r>
      <w:r w:rsidR="00F23F6D">
        <w:t>s</w:t>
      </w:r>
      <w:r>
        <w:t xml:space="preserve"> to meet the rising demand for additional capacity as well as improve the end user experience. 5G technologies will also enable licensees to support ultra-low latency applications (e.g. remote control of critical infrastructure, vehicular automation and remote medical procedures), and massive IoT</w:t>
      </w:r>
      <w:r>
        <w:rPr>
          <w:rStyle w:val="FootnoteReference"/>
        </w:rPr>
        <w:footnoteReference w:id="4"/>
      </w:r>
      <w:r>
        <w:t xml:space="preserve"> as well as improve reliability for mission critical communications.</w:t>
      </w:r>
      <w:r>
        <w:rPr>
          <w:rStyle w:val="FootnoteReference"/>
        </w:rPr>
        <w:footnoteReference w:id="5"/>
      </w:r>
      <w:r>
        <w:t xml:space="preserve"> </w:t>
      </w:r>
    </w:p>
    <w:p w14:paraId="62478CD4" w14:textId="559389F0" w:rsidR="00A0124A" w:rsidRDefault="00A0124A" w:rsidP="00A0124A">
      <w:pPr>
        <w:pStyle w:val="Bulletlevel1"/>
        <w:numPr>
          <w:ilvl w:val="0"/>
          <w:numId w:val="50"/>
        </w:numPr>
        <w:spacing w:before="120"/>
        <w:rPr>
          <w:color w:val="1D1E20"/>
        </w:rPr>
      </w:pPr>
      <w:r>
        <w:rPr>
          <w:color w:val="1D1E20"/>
        </w:rPr>
        <w:t xml:space="preserve">Providing support for FRMCS will allow state rail operators to plan for and migrate to the next generation of railway communications and tap into international economies of scale for equipment. This mobile broadband-ready technology </w:t>
      </w:r>
      <w:r w:rsidR="00A91918">
        <w:rPr>
          <w:color w:val="1D1E20"/>
        </w:rPr>
        <w:t>is intended to e</w:t>
      </w:r>
      <w:r>
        <w:rPr>
          <w:color w:val="1D1E20"/>
        </w:rPr>
        <w:t>nable rail operators to improve safety</w:t>
      </w:r>
      <w:r w:rsidR="00A91918">
        <w:rPr>
          <w:color w:val="1D1E20"/>
        </w:rPr>
        <w:t>,</w:t>
      </w:r>
      <w:r>
        <w:rPr>
          <w:color w:val="1D1E20"/>
        </w:rPr>
        <w:t xml:space="preserve"> operational efficiency</w:t>
      </w:r>
      <w:r w:rsidR="00A91918">
        <w:rPr>
          <w:color w:val="1D1E20"/>
        </w:rPr>
        <w:t xml:space="preserve"> and</w:t>
      </w:r>
      <w:r>
        <w:rPr>
          <w:color w:val="1D1E20"/>
        </w:rPr>
        <w:t xml:space="preserve"> support innovative passenger services</w:t>
      </w:r>
      <w:r w:rsidR="00A91918">
        <w:rPr>
          <w:color w:val="1D1E20"/>
        </w:rPr>
        <w:t>.</w:t>
      </w:r>
      <w:r>
        <w:rPr>
          <w:color w:val="1D1E20"/>
        </w:rPr>
        <w:t xml:space="preserve"> FRMCS is expected to also minimise network latency</w:t>
      </w:r>
      <w:r w:rsidR="00CA1703">
        <w:rPr>
          <w:color w:val="1D1E20"/>
        </w:rPr>
        <w:t>,</w:t>
      </w:r>
      <w:r>
        <w:rPr>
          <w:color w:val="1D1E20"/>
        </w:rPr>
        <w:t xml:space="preserve"> </w:t>
      </w:r>
      <w:r w:rsidR="00A91918">
        <w:rPr>
          <w:color w:val="1D1E20"/>
        </w:rPr>
        <w:t>by using</w:t>
      </w:r>
      <w:r>
        <w:rPr>
          <w:color w:val="1D1E20"/>
        </w:rPr>
        <w:t xml:space="preserve"> cloud technology</w:t>
      </w:r>
      <w:r w:rsidR="00A91918">
        <w:rPr>
          <w:color w:val="1D1E20"/>
        </w:rPr>
        <w:t xml:space="preserve"> to </w:t>
      </w:r>
      <w:r>
        <w:rPr>
          <w:color w:val="1D1E20"/>
        </w:rPr>
        <w:t>automate train operation</w:t>
      </w:r>
      <w:r w:rsidR="00A91918">
        <w:rPr>
          <w:color w:val="1D1E20"/>
        </w:rPr>
        <w:t>s</w:t>
      </w:r>
      <w:r>
        <w:rPr>
          <w:color w:val="1D1E20"/>
        </w:rPr>
        <w:t xml:space="preserve"> and support broadband machine-to-machine communication.</w:t>
      </w:r>
    </w:p>
    <w:p w14:paraId="6DF29527" w14:textId="21045A1F" w:rsidR="00A0124A" w:rsidRDefault="00A91918" w:rsidP="00C725C6">
      <w:pPr>
        <w:pStyle w:val="Bulletlevel1"/>
        <w:keepNext/>
        <w:keepLines/>
        <w:numPr>
          <w:ilvl w:val="0"/>
          <w:numId w:val="50"/>
        </w:numPr>
        <w:spacing w:before="120"/>
      </w:pPr>
      <w:r>
        <w:lastRenderedPageBreak/>
        <w:t xml:space="preserve">Broadening the scope of </w:t>
      </w:r>
      <w:r w:rsidR="00A0124A">
        <w:t xml:space="preserve">devices exempt from registration would provide greater flexibility for licensees to support </w:t>
      </w:r>
      <w:r w:rsidR="00910A8B">
        <w:t xml:space="preserve">a </w:t>
      </w:r>
      <w:r w:rsidR="00A0124A">
        <w:t xml:space="preserve">larger range of end user equipment in Australia. Due to the mobile, nomadic and ubiquitous nature of their deployment, it is not always practical to register the location of these devices on the </w:t>
      </w:r>
      <w:r w:rsidR="002E4681">
        <w:t>R</w:t>
      </w:r>
      <w:r w:rsidR="00A0124A">
        <w:t xml:space="preserve">egister of </w:t>
      </w:r>
      <w:r w:rsidR="002E4681">
        <w:t>R</w:t>
      </w:r>
      <w:r w:rsidR="00A0124A">
        <w:t xml:space="preserve">adiocommunications </w:t>
      </w:r>
      <w:r w:rsidR="002E4681">
        <w:t>L</w:t>
      </w:r>
      <w:r w:rsidR="00A0124A">
        <w:t xml:space="preserve">icences.  </w:t>
      </w:r>
    </w:p>
    <w:p w14:paraId="0E50E7D7" w14:textId="0ED6DBB3" w:rsidR="00A0124A" w:rsidRDefault="00A91918" w:rsidP="00C725C6">
      <w:pPr>
        <w:pStyle w:val="Bulletlevel1"/>
        <w:keepNext/>
        <w:keepLines/>
        <w:numPr>
          <w:ilvl w:val="0"/>
          <w:numId w:val="50"/>
        </w:numPr>
        <w:spacing w:before="120"/>
      </w:pPr>
      <w:r>
        <w:t xml:space="preserve">More accurate modelling of </w:t>
      </w:r>
      <w:r w:rsidR="00A0124A">
        <w:t xml:space="preserve">interference </w:t>
      </w:r>
      <w:r>
        <w:t xml:space="preserve">to </w:t>
      </w:r>
      <w:r w:rsidR="00A0124A">
        <w:t>allow licensees to deploy services closer to their licence boundaries. This will result in greater utility of existing spectrum licences.</w:t>
      </w:r>
    </w:p>
    <w:p w14:paraId="53F65EB0" w14:textId="3DD2ED2C" w:rsidR="000035DA" w:rsidRPr="00602151" w:rsidRDefault="000035DA" w:rsidP="00614241">
      <w:pPr>
        <w:pStyle w:val="Heading1"/>
      </w:pPr>
      <w:bookmarkStart w:id="13" w:name="_Toc58241130"/>
      <w:bookmarkStart w:id="14" w:name="_Toc83989321"/>
      <w:bookmarkEnd w:id="11"/>
      <w:r w:rsidRPr="00602151">
        <w:lastRenderedPageBreak/>
        <w:t>Background</w:t>
      </w:r>
      <w:bookmarkEnd w:id="13"/>
      <w:bookmarkEnd w:id="14"/>
    </w:p>
    <w:p w14:paraId="68390D9C" w14:textId="2A4D9DFE" w:rsidR="000035DA" w:rsidRPr="00602151" w:rsidRDefault="00CA1703" w:rsidP="00101A7B">
      <w:pPr>
        <w:pStyle w:val="Paragraphbeforelist"/>
      </w:pPr>
      <w:r>
        <w:t>A</w:t>
      </w:r>
      <w:r w:rsidR="000035DA" w:rsidRPr="00602151">
        <w:t xml:space="preserve"> technical framework </w:t>
      </w:r>
      <w:r>
        <w:t xml:space="preserve">for a spectrum licensed band </w:t>
      </w:r>
      <w:r w:rsidR="000035DA" w:rsidRPr="00602151">
        <w:t xml:space="preserve">consists of </w:t>
      </w:r>
      <w:r w:rsidR="00CD0756">
        <w:t>3</w:t>
      </w:r>
      <w:r w:rsidR="00CD0756" w:rsidRPr="00602151">
        <w:t xml:space="preserve"> </w:t>
      </w:r>
      <w:r w:rsidR="000035DA" w:rsidRPr="00602151">
        <w:t xml:space="preserve">interlocking regulatory elements provided for under the </w:t>
      </w:r>
      <w:r w:rsidR="000B2E24">
        <w:rPr>
          <w:i/>
          <w:iCs/>
        </w:rPr>
        <w:t>Radiocommunications</w:t>
      </w:r>
      <w:r w:rsidR="000B2E24">
        <w:rPr>
          <w:i/>
        </w:rPr>
        <w:t xml:space="preserve"> Act</w:t>
      </w:r>
      <w:r w:rsidR="000B2E24" w:rsidRPr="0017386E">
        <w:rPr>
          <w:i/>
          <w:iCs/>
        </w:rPr>
        <w:t xml:space="preserve"> </w:t>
      </w:r>
      <w:r w:rsidR="000B2E24" w:rsidRPr="00444889">
        <w:rPr>
          <w:i/>
          <w:iCs/>
        </w:rPr>
        <w:t>1992</w:t>
      </w:r>
      <w:r w:rsidR="000B2E24">
        <w:rPr>
          <w:i/>
          <w:iCs/>
        </w:rPr>
        <w:t xml:space="preserve"> </w:t>
      </w:r>
      <w:r w:rsidR="000B2E24" w:rsidRPr="00101A7B">
        <w:t>(</w:t>
      </w:r>
      <w:r w:rsidR="000B2E24">
        <w:t xml:space="preserve">the </w:t>
      </w:r>
      <w:r w:rsidR="000035DA" w:rsidRPr="00602151">
        <w:t>Act</w:t>
      </w:r>
      <w:r w:rsidR="000B2E24">
        <w:t>)</w:t>
      </w:r>
      <w:r w:rsidR="000035DA" w:rsidRPr="00602151">
        <w:t>:</w:t>
      </w:r>
    </w:p>
    <w:p w14:paraId="6FCC0C9C" w14:textId="64F5436A" w:rsidR="000035DA" w:rsidRPr="00602151" w:rsidRDefault="000035DA" w:rsidP="000035DA">
      <w:pPr>
        <w:pStyle w:val="ListBullet"/>
      </w:pPr>
      <w:r w:rsidRPr="00602151">
        <w:t xml:space="preserve">The conditions specified </w:t>
      </w:r>
      <w:r w:rsidR="00823BAA">
        <w:t>i</w:t>
      </w:r>
      <w:r w:rsidR="00823BAA" w:rsidRPr="00602151">
        <w:t xml:space="preserve">n </w:t>
      </w:r>
      <w:r w:rsidRPr="00602151">
        <w:t>the spectrum licence</w:t>
      </w:r>
      <w:r w:rsidR="00CD0756">
        <w:t xml:space="preserve"> – </w:t>
      </w:r>
      <w:r w:rsidRPr="00602151">
        <w:t xml:space="preserve">in particular, the core conditions that define the spectrum space (both frequency and geographical area) and the level of emissions permitted inside and across the frequency boundaries of the licence (section 66 of the Act). Section 71 also provides for the ACMA to include other conditions in a spectrum licence. </w:t>
      </w:r>
    </w:p>
    <w:p w14:paraId="020CAEF1" w14:textId="767C60A5" w:rsidR="000035DA" w:rsidRPr="00602151" w:rsidRDefault="000035DA" w:rsidP="000035DA">
      <w:pPr>
        <w:pStyle w:val="ListBullet"/>
      </w:pPr>
      <w:r w:rsidRPr="00602151">
        <w:t>A determination of unacceptable interference for the purpose of device registration</w:t>
      </w:r>
      <w:r w:rsidR="00E90571">
        <w:t> </w:t>
      </w:r>
      <w:r w:rsidRPr="00602151">
        <w:t xml:space="preserve">in each band (section 145 </w:t>
      </w:r>
      <w:r w:rsidR="00CD0756">
        <w:t xml:space="preserve">of </w:t>
      </w:r>
      <w:r w:rsidR="00E347D3" w:rsidRPr="00CB7345">
        <w:t xml:space="preserve">the </w:t>
      </w:r>
      <w:r w:rsidR="00E347D3" w:rsidRPr="0017386E">
        <w:t>Act</w:t>
      </w:r>
      <w:r w:rsidR="00E347D3">
        <w:t>)</w:t>
      </w:r>
      <w:r w:rsidR="00E347D3" w:rsidRPr="00CB7345">
        <w:t xml:space="preserve">. </w:t>
      </w:r>
      <w:r w:rsidR="00E347D3">
        <w:t>Under a spectrum licence, a radiocommunications device must not be used unless it is registered on the Register of Radiocommunications Licences or exempt from registration. The ACMA may refuse to register a device if it is satisfied it would cause an unacceptable level of interference. A determination under section 145</w:t>
      </w:r>
      <w:r w:rsidR="00E347D3" w:rsidRPr="00CB7345">
        <w:t xml:space="preserve"> defines </w:t>
      </w:r>
      <w:r w:rsidR="00E347D3">
        <w:t>what is an unacceptable level of interference</w:t>
      </w:r>
      <w:r w:rsidR="00CA1703">
        <w:t>, generally</w:t>
      </w:r>
      <w:r w:rsidR="00E347D3">
        <w:t xml:space="preserve"> by reference to </w:t>
      </w:r>
      <w:r w:rsidR="00E347D3" w:rsidRPr="00CB7345">
        <w:t>levels of emissions across geographical licence boundaries</w:t>
      </w:r>
      <w:r w:rsidR="00E347D3">
        <w:t>,</w:t>
      </w:r>
      <w:r w:rsidR="00E347D3" w:rsidRPr="00CB7345">
        <w:t xml:space="preserve"> and also </w:t>
      </w:r>
      <w:r w:rsidR="00E347D3">
        <w:t>by reference to</w:t>
      </w:r>
      <w:r w:rsidR="00E347D3" w:rsidRPr="00CB7345">
        <w:t xml:space="preserve"> various deployment</w:t>
      </w:r>
      <w:r w:rsidR="00E90571">
        <w:t> </w:t>
      </w:r>
      <w:r w:rsidR="00E347D3" w:rsidRPr="00CB7345">
        <w:t>constraints</w:t>
      </w:r>
      <w:r w:rsidRPr="00602151">
        <w:t>.</w:t>
      </w:r>
    </w:p>
    <w:p w14:paraId="3BA0072D" w14:textId="63BC8341" w:rsidR="000035DA" w:rsidRPr="00602151" w:rsidRDefault="000035DA" w:rsidP="000035DA">
      <w:pPr>
        <w:pStyle w:val="ListBullet"/>
        <w:spacing w:after="240"/>
      </w:pPr>
      <w:r w:rsidRPr="00602151">
        <w:t xml:space="preserve">Radiocommunications advisory guidelines (RAG) provide assistance and advice for coordination with stations </w:t>
      </w:r>
      <w:r w:rsidR="00E347D3">
        <w:t>providing</w:t>
      </w:r>
      <w:r w:rsidRPr="00602151">
        <w:t xml:space="preserve"> other services when and where required (section 262 of the Act). This includes detailing interference management </w:t>
      </w:r>
      <w:r w:rsidR="00CA1703">
        <w:t>guidelines in relation to</w:t>
      </w:r>
      <w:r w:rsidR="00103039">
        <w:t xml:space="preserve"> </w:t>
      </w:r>
      <w:r w:rsidRPr="00602151">
        <w:t xml:space="preserve">apparatus </w:t>
      </w:r>
      <w:r w:rsidR="00E347D3">
        <w:t xml:space="preserve">licences </w:t>
      </w:r>
      <w:r w:rsidRPr="00602151">
        <w:t xml:space="preserve">and other spectrum licences. </w:t>
      </w:r>
    </w:p>
    <w:p w14:paraId="054028F6" w14:textId="09BCA848" w:rsidR="000035DA" w:rsidRPr="0038741C" w:rsidRDefault="000035DA" w:rsidP="000035DA">
      <w:pPr>
        <w:rPr>
          <w:rFonts w:cs="Arial"/>
          <w:bCs/>
          <w:iCs/>
        </w:rPr>
      </w:pPr>
      <w:r w:rsidRPr="00602151">
        <w:rPr>
          <w:rFonts w:cs="Arial"/>
          <w:bCs/>
          <w:iCs/>
        </w:rPr>
        <w:t xml:space="preserve">A more comprehensive explanation of spectrum licence technical frameworks is provided in the document </w:t>
      </w:r>
      <w:hyperlink r:id="rId27" w:history="1">
        <w:r w:rsidRPr="0038741C">
          <w:rPr>
            <w:rStyle w:val="Hyperlink"/>
            <w:rFonts w:cs="Arial"/>
            <w:bCs/>
            <w:i/>
            <w:iCs/>
          </w:rPr>
          <w:t>Spectrum licensees</w:t>
        </w:r>
      </w:hyperlink>
      <w:r w:rsidR="00E90571">
        <w:rPr>
          <w:rStyle w:val="Hyperlink"/>
          <w:rFonts w:cs="Arial"/>
          <w:bCs/>
          <w:i/>
          <w:iCs/>
        </w:rPr>
        <w:t xml:space="preserve"> – know your obligations</w:t>
      </w:r>
      <w:r w:rsidRPr="0038741C">
        <w:rPr>
          <w:rFonts w:cs="Arial"/>
          <w:bCs/>
          <w:iCs/>
        </w:rPr>
        <w:t>.</w:t>
      </w:r>
    </w:p>
    <w:p w14:paraId="786D7DEE" w14:textId="25908602" w:rsidR="009E6674" w:rsidRPr="0038741C" w:rsidRDefault="009E6674" w:rsidP="000035DA">
      <w:pPr>
        <w:rPr>
          <w:rFonts w:cs="Arial"/>
          <w:bCs/>
          <w:iCs/>
        </w:rPr>
      </w:pPr>
      <w:r w:rsidRPr="00DB5756">
        <w:rPr>
          <w:rFonts w:cs="Arial"/>
          <w:bCs/>
          <w:iCs/>
        </w:rPr>
        <w:t xml:space="preserve">The elements that comprise the current </w:t>
      </w:r>
      <w:r w:rsidR="009700B6">
        <w:rPr>
          <w:rFonts w:cs="Arial"/>
          <w:bCs/>
          <w:iCs/>
        </w:rPr>
        <w:t>1800 MHz</w:t>
      </w:r>
      <w:r w:rsidRPr="00D148F2">
        <w:rPr>
          <w:rFonts w:cs="Arial"/>
          <w:bCs/>
          <w:iCs/>
        </w:rPr>
        <w:t xml:space="preserve"> technical framework are</w:t>
      </w:r>
      <w:r w:rsidRPr="00E32714">
        <w:rPr>
          <w:rFonts w:cs="Arial"/>
          <w:bCs/>
          <w:iCs/>
        </w:rPr>
        <w:t xml:space="preserve"> available </w:t>
      </w:r>
      <w:r w:rsidR="00E90571">
        <w:rPr>
          <w:rFonts w:cs="Arial"/>
          <w:bCs/>
          <w:iCs/>
        </w:rPr>
        <w:t>on</w:t>
      </w:r>
      <w:r w:rsidR="00E90571" w:rsidRPr="00E32714">
        <w:rPr>
          <w:rFonts w:cs="Arial"/>
          <w:bCs/>
          <w:iCs/>
        </w:rPr>
        <w:t xml:space="preserve"> </w:t>
      </w:r>
      <w:r w:rsidRPr="00E32714">
        <w:rPr>
          <w:rFonts w:cs="Arial"/>
          <w:bCs/>
          <w:iCs/>
        </w:rPr>
        <w:t xml:space="preserve">the </w:t>
      </w:r>
      <w:hyperlink r:id="rId28" w:history="1">
        <w:r w:rsidRPr="0038741C">
          <w:rPr>
            <w:rStyle w:val="Hyperlink"/>
            <w:rFonts w:cs="Arial"/>
            <w:bCs/>
            <w:iCs/>
          </w:rPr>
          <w:t>ACMA website</w:t>
        </w:r>
      </w:hyperlink>
      <w:r w:rsidRPr="0038741C">
        <w:rPr>
          <w:rFonts w:cs="Arial"/>
          <w:bCs/>
          <w:iCs/>
        </w:rPr>
        <w:t xml:space="preserve">. </w:t>
      </w:r>
    </w:p>
    <w:p w14:paraId="5FE17B03" w14:textId="77777777" w:rsidR="000035DA" w:rsidRPr="00DB5756" w:rsidRDefault="000035DA" w:rsidP="00C008DA"/>
    <w:p w14:paraId="3464A672" w14:textId="5990C0B0" w:rsidR="00614241" w:rsidRPr="00D148F2" w:rsidRDefault="00F6513C" w:rsidP="00614241">
      <w:pPr>
        <w:pStyle w:val="Heading1"/>
      </w:pPr>
      <w:bookmarkStart w:id="15" w:name="_Toc58241131"/>
      <w:bookmarkStart w:id="16" w:name="_Toc83989322"/>
      <w:r w:rsidRPr="00DB5756">
        <w:lastRenderedPageBreak/>
        <w:t>P</w:t>
      </w:r>
      <w:r w:rsidR="00614241" w:rsidRPr="00DB5756">
        <w:t xml:space="preserve">roposed </w:t>
      </w:r>
      <w:r w:rsidR="003B2415" w:rsidRPr="00DB5756">
        <w:t xml:space="preserve">amendments to </w:t>
      </w:r>
      <w:r w:rsidR="00C33B34">
        <w:t xml:space="preserve">the </w:t>
      </w:r>
      <w:r w:rsidR="00614241" w:rsidRPr="00DB5756">
        <w:t>technical framework</w:t>
      </w:r>
      <w:bookmarkEnd w:id="15"/>
      <w:bookmarkEnd w:id="16"/>
    </w:p>
    <w:p w14:paraId="407C04C6" w14:textId="4CB30A51" w:rsidR="00193E4A" w:rsidRPr="00602151" w:rsidRDefault="00895138" w:rsidP="0079554C">
      <w:pPr>
        <w:rPr>
          <w:rFonts w:cs="Arial"/>
        </w:rPr>
      </w:pPr>
      <w:r w:rsidRPr="00DB5756">
        <w:rPr>
          <w:rFonts w:cs="Arial"/>
        </w:rPr>
        <w:t xml:space="preserve">This section of the paper </w:t>
      </w:r>
      <w:r>
        <w:rPr>
          <w:rFonts w:cs="Arial"/>
        </w:rPr>
        <w:t xml:space="preserve">proposes changes to </w:t>
      </w:r>
      <w:r w:rsidDel="009610D0">
        <w:rPr>
          <w:rFonts w:cs="Arial"/>
        </w:rPr>
        <w:t xml:space="preserve">the </w:t>
      </w:r>
      <w:r w:rsidR="00506E4B">
        <w:rPr>
          <w:rFonts w:cs="Arial"/>
        </w:rPr>
        <w:t>1800 MHz</w:t>
      </w:r>
      <w:r>
        <w:rPr>
          <w:rFonts w:cs="Arial"/>
        </w:rPr>
        <w:t xml:space="preserve"> technical framework</w:t>
      </w:r>
      <w:r w:rsidRPr="00602151">
        <w:rPr>
          <w:rFonts w:cs="Arial"/>
        </w:rPr>
        <w:t xml:space="preserve">. </w:t>
      </w:r>
      <w:r w:rsidR="00625663" w:rsidRPr="00602151">
        <w:rPr>
          <w:rFonts w:cs="Arial"/>
        </w:rPr>
        <w:t xml:space="preserve">An assessment is also provided on the effect the proposed changes will have on </w:t>
      </w:r>
      <w:r w:rsidR="00405F40" w:rsidRPr="00602151">
        <w:rPr>
          <w:rFonts w:cs="Arial"/>
        </w:rPr>
        <w:t xml:space="preserve">services within and adjacent to the </w:t>
      </w:r>
      <w:r w:rsidR="009700B6">
        <w:rPr>
          <w:rFonts w:cs="Arial"/>
        </w:rPr>
        <w:t>1800 MHz</w:t>
      </w:r>
      <w:r w:rsidR="00405F40" w:rsidRPr="00602151">
        <w:rPr>
          <w:rFonts w:cs="Arial"/>
        </w:rPr>
        <w:t xml:space="preserve"> band. </w:t>
      </w:r>
    </w:p>
    <w:p w14:paraId="0311BB92" w14:textId="2CA39729" w:rsidR="009D3236" w:rsidRPr="00602151" w:rsidRDefault="009700B6" w:rsidP="009D3236">
      <w:pPr>
        <w:pStyle w:val="Heading2"/>
      </w:pPr>
      <w:bookmarkStart w:id="17" w:name="_Toc58241132"/>
      <w:bookmarkStart w:id="18" w:name="_Toc83989323"/>
      <w:r>
        <w:t>1800 MHz</w:t>
      </w:r>
      <w:r w:rsidR="009D3236" w:rsidRPr="00602151">
        <w:t xml:space="preserve"> TLG</w:t>
      </w:r>
      <w:bookmarkEnd w:id="17"/>
      <w:bookmarkEnd w:id="18"/>
      <w:r w:rsidR="009D3236" w:rsidRPr="00602151">
        <w:t xml:space="preserve"> </w:t>
      </w:r>
    </w:p>
    <w:p w14:paraId="5A55816A" w14:textId="4769F8C7" w:rsidR="009D3236" w:rsidRPr="00602151" w:rsidRDefault="009D3236" w:rsidP="009D3236">
      <w:r w:rsidRPr="00602151">
        <w:rPr>
          <w:rFonts w:cs="Arial"/>
        </w:rPr>
        <w:t xml:space="preserve">The ACMA generally reviews or develops a new technical framework </w:t>
      </w:r>
      <w:r w:rsidR="00F9699B">
        <w:rPr>
          <w:rFonts w:cs="Arial"/>
        </w:rPr>
        <w:t>with the</w:t>
      </w:r>
      <w:r w:rsidR="0000222C">
        <w:rPr>
          <w:rFonts w:cs="Arial"/>
        </w:rPr>
        <w:t xml:space="preserve"> </w:t>
      </w:r>
      <w:hyperlink r:id="rId29" w:history="1">
        <w:r w:rsidR="00E90571">
          <w:rPr>
            <w:rStyle w:val="Hyperlink"/>
            <w:rFonts w:cs="Arial"/>
          </w:rPr>
          <w:t>assistance of a T</w:t>
        </w:r>
        <w:r w:rsidR="0000222C" w:rsidRPr="00895138">
          <w:rPr>
            <w:rStyle w:val="Hyperlink"/>
            <w:rFonts w:cs="Arial"/>
          </w:rPr>
          <w:t>LG</w:t>
        </w:r>
      </w:hyperlink>
      <w:r w:rsidRPr="00602151">
        <w:rPr>
          <w:rFonts w:cs="Arial"/>
        </w:rPr>
        <w:t xml:space="preserve">. </w:t>
      </w:r>
      <w:r w:rsidRPr="00602151">
        <w:t xml:space="preserve">A TLG is a short-term advisory body convened by the ACMA to provide advice on specific technical issues. </w:t>
      </w:r>
      <w:r w:rsidR="00895138">
        <w:t>While not having any decision-making powers, it provides</w:t>
      </w:r>
      <w:r w:rsidR="00895138" w:rsidRPr="00736BE8">
        <w:t xml:space="preserve"> advice on the development of, or possible changes to, </w:t>
      </w:r>
      <w:r w:rsidR="00CA1703">
        <w:t>the technical framework that applies to  a particular frequency band</w:t>
      </w:r>
      <w:r w:rsidR="00895138" w:rsidRPr="00736BE8">
        <w:t xml:space="preserve">. </w:t>
      </w:r>
    </w:p>
    <w:p w14:paraId="1D52B440" w14:textId="4779CACD" w:rsidR="009D3236" w:rsidRDefault="009D3236" w:rsidP="00AF3F4C">
      <w:pPr>
        <w:spacing w:after="80"/>
      </w:pPr>
      <w:r w:rsidRPr="00602151">
        <w:t xml:space="preserve">The ACMA convened a TLG for the </w:t>
      </w:r>
      <w:r w:rsidR="009700B6">
        <w:t>1800 MHz</w:t>
      </w:r>
      <w:r w:rsidRPr="00602151">
        <w:t xml:space="preserve"> band to provide advice on changes to the </w:t>
      </w:r>
      <w:r w:rsidR="009700B6">
        <w:t>1800 MHz</w:t>
      </w:r>
      <w:r w:rsidRPr="00602151">
        <w:t xml:space="preserve"> technical framework to accommodate AAS technologies</w:t>
      </w:r>
      <w:r w:rsidR="00CA1703">
        <w:t>,</w:t>
      </w:r>
      <w:r w:rsidRPr="00602151">
        <w:t xml:space="preserve"> while managing interference to other licensed services. The TLG also took the opportunity to review, where appropriate, other aspects of the </w:t>
      </w:r>
      <w:r w:rsidR="009700B6">
        <w:t>1800 MHz</w:t>
      </w:r>
      <w:r w:rsidRPr="00602151">
        <w:t xml:space="preserve"> technical framework to align</w:t>
      </w:r>
      <w:r w:rsidR="00E90571">
        <w:t> </w:t>
      </w:r>
      <w:r w:rsidRPr="00602151">
        <w:t xml:space="preserve">with recent updates made and lessons learned in other bands including the </w:t>
      </w:r>
      <w:r w:rsidR="00895138">
        <w:t xml:space="preserve">850/900 MHz, </w:t>
      </w:r>
      <w:r w:rsidR="00F31E39">
        <w:t xml:space="preserve">2.3 GHz, </w:t>
      </w:r>
      <w:r w:rsidRPr="00602151">
        <w:t xml:space="preserve">3.4 GHz and 26 GHz bands. </w:t>
      </w:r>
      <w:r w:rsidR="00895138">
        <w:t>Membership of the TLG included</w:t>
      </w:r>
      <w:r w:rsidR="00DD5620">
        <w:t>:</w:t>
      </w:r>
      <w:r w:rsidR="00895138">
        <w:t xml:space="preserve"> </w:t>
      </w:r>
    </w:p>
    <w:p w14:paraId="469B0762" w14:textId="77777777" w:rsidR="006C3193" w:rsidRDefault="006C3193" w:rsidP="00AA165D">
      <w:pPr>
        <w:pStyle w:val="Bulletlevel1"/>
        <w:tabs>
          <w:tab w:val="clear" w:pos="295"/>
          <w:tab w:val="num" w:pos="579"/>
        </w:tabs>
        <w:ind w:left="579"/>
      </w:pPr>
      <w:r>
        <w:t>Australasian Railway Association</w:t>
      </w:r>
    </w:p>
    <w:p w14:paraId="7BDE8869" w14:textId="77777777" w:rsidR="006C3193" w:rsidRDefault="006C3193" w:rsidP="00AA165D">
      <w:pPr>
        <w:pStyle w:val="Bulletlevel1"/>
        <w:tabs>
          <w:tab w:val="clear" w:pos="295"/>
          <w:tab w:val="num" w:pos="579"/>
        </w:tabs>
        <w:ind w:left="579"/>
      </w:pPr>
      <w:r>
        <w:t>Department for Infrastructure and Transport - South Australia</w:t>
      </w:r>
    </w:p>
    <w:p w14:paraId="590A772F" w14:textId="77777777" w:rsidR="00DF373D" w:rsidRDefault="00DF373D" w:rsidP="00DF373D">
      <w:pPr>
        <w:pStyle w:val="Bulletlevel1"/>
        <w:tabs>
          <w:tab w:val="clear" w:pos="295"/>
          <w:tab w:val="num" w:pos="579"/>
        </w:tabs>
        <w:ind w:left="579"/>
      </w:pPr>
      <w:r>
        <w:t>Department of Transport</w:t>
      </w:r>
      <w:r w:rsidRPr="0091689F">
        <w:t xml:space="preserve"> </w:t>
      </w:r>
      <w:r>
        <w:t>for NSW</w:t>
      </w:r>
    </w:p>
    <w:p w14:paraId="018B2B4E" w14:textId="77777777" w:rsidR="00DF373D" w:rsidRDefault="00DF373D" w:rsidP="00DF373D">
      <w:pPr>
        <w:pStyle w:val="Bulletlevel1"/>
        <w:tabs>
          <w:tab w:val="clear" w:pos="295"/>
          <w:tab w:val="num" w:pos="579"/>
        </w:tabs>
        <w:ind w:left="579"/>
      </w:pPr>
      <w:r>
        <w:t>Department of Transport</w:t>
      </w:r>
      <w:r w:rsidRPr="0091689F">
        <w:t xml:space="preserve"> </w:t>
      </w:r>
      <w:r>
        <w:t>for Victoria</w:t>
      </w:r>
    </w:p>
    <w:p w14:paraId="3624445B" w14:textId="77777777" w:rsidR="006C3193" w:rsidRDefault="006C3193" w:rsidP="00AA165D">
      <w:pPr>
        <w:pStyle w:val="Bulletlevel1"/>
        <w:tabs>
          <w:tab w:val="clear" w:pos="295"/>
          <w:tab w:val="num" w:pos="579"/>
        </w:tabs>
        <w:ind w:left="579"/>
      </w:pPr>
      <w:r>
        <w:t>Ericsson</w:t>
      </w:r>
    </w:p>
    <w:p w14:paraId="4B884B67" w14:textId="61B2DAFF" w:rsidR="006C3193" w:rsidRDefault="006C3193" w:rsidP="00AA165D">
      <w:pPr>
        <w:pStyle w:val="Bulletlevel1"/>
        <w:tabs>
          <w:tab w:val="clear" w:pos="295"/>
          <w:tab w:val="num" w:pos="579"/>
        </w:tabs>
        <w:ind w:left="579"/>
      </w:pPr>
      <w:r>
        <w:t>Metro Trains</w:t>
      </w:r>
    </w:p>
    <w:p w14:paraId="6B7B1F09" w14:textId="6344A74E" w:rsidR="0091689F" w:rsidRDefault="0091689F" w:rsidP="00AA165D">
      <w:pPr>
        <w:pStyle w:val="Bulletlevel1"/>
        <w:tabs>
          <w:tab w:val="clear" w:pos="295"/>
          <w:tab w:val="num" w:pos="579"/>
        </w:tabs>
        <w:ind w:left="579"/>
      </w:pPr>
      <w:r>
        <w:t>Optus</w:t>
      </w:r>
    </w:p>
    <w:p w14:paraId="15E88AF7" w14:textId="77777777" w:rsidR="006C3193" w:rsidRDefault="006C3193" w:rsidP="00AA165D">
      <w:pPr>
        <w:pStyle w:val="Bulletlevel1"/>
        <w:tabs>
          <w:tab w:val="clear" w:pos="295"/>
          <w:tab w:val="num" w:pos="579"/>
        </w:tabs>
        <w:ind w:left="579"/>
      </w:pPr>
      <w:r>
        <w:t>Public Transport Authority of Western Australia</w:t>
      </w:r>
    </w:p>
    <w:p w14:paraId="7B1480ED" w14:textId="3CE91965" w:rsidR="006C3193" w:rsidRDefault="006C3193" w:rsidP="00AA165D">
      <w:pPr>
        <w:pStyle w:val="Bulletlevel1"/>
        <w:tabs>
          <w:tab w:val="clear" w:pos="295"/>
          <w:tab w:val="num" w:pos="579"/>
        </w:tabs>
        <w:ind w:left="579"/>
      </w:pPr>
      <w:r>
        <w:t>Queensland Rail</w:t>
      </w:r>
      <w:r w:rsidR="00B440AB">
        <w:t xml:space="preserve"> Limited</w:t>
      </w:r>
    </w:p>
    <w:p w14:paraId="50641DF6" w14:textId="7BCB0B28" w:rsidR="006C3193" w:rsidRDefault="006C3193" w:rsidP="00AA165D">
      <w:pPr>
        <w:pStyle w:val="Bulletlevel1"/>
        <w:tabs>
          <w:tab w:val="clear" w:pos="295"/>
          <w:tab w:val="num" w:pos="579"/>
        </w:tabs>
        <w:ind w:left="579"/>
      </w:pPr>
      <w:r>
        <w:t>Telstra</w:t>
      </w:r>
    </w:p>
    <w:p w14:paraId="3777E588" w14:textId="0DAD70BF" w:rsidR="00AC733D" w:rsidRDefault="00AC733D" w:rsidP="00AA165D">
      <w:pPr>
        <w:pStyle w:val="Bulletlevel1"/>
        <w:tabs>
          <w:tab w:val="clear" w:pos="295"/>
          <w:tab w:val="num" w:pos="579"/>
        </w:tabs>
        <w:ind w:left="579"/>
      </w:pPr>
      <w:r>
        <w:t>TPG</w:t>
      </w:r>
    </w:p>
    <w:p w14:paraId="42D10CB5" w14:textId="66C5A841" w:rsidR="0091689F" w:rsidRDefault="006C3193" w:rsidP="00AC733D">
      <w:pPr>
        <w:pStyle w:val="Bulletlevel1"/>
        <w:tabs>
          <w:tab w:val="clear" w:pos="295"/>
          <w:tab w:val="num" w:pos="579"/>
        </w:tabs>
        <w:spacing w:after="240"/>
        <w:ind w:left="579"/>
      </w:pPr>
      <w:r>
        <w:t>VicTrack</w:t>
      </w:r>
      <w:r w:rsidR="00103039">
        <w:t>.</w:t>
      </w:r>
    </w:p>
    <w:p w14:paraId="10D9DFD3" w14:textId="0561B0AA" w:rsidR="00912097" w:rsidRDefault="009D3236" w:rsidP="00912097">
      <w:pPr>
        <w:pStyle w:val="CommentText"/>
      </w:pPr>
      <w:r w:rsidRPr="00602151">
        <w:t xml:space="preserve">The TLG </w:t>
      </w:r>
      <w:r w:rsidR="00F21919">
        <w:t>concluded</w:t>
      </w:r>
      <w:r w:rsidR="00DD5620" w:rsidRPr="00602151">
        <w:t xml:space="preserve"> </w:t>
      </w:r>
      <w:r w:rsidRPr="00602151">
        <w:t xml:space="preserve">its work in </w:t>
      </w:r>
      <w:r w:rsidR="0040188E">
        <w:t>Augu</w:t>
      </w:r>
      <w:r w:rsidR="0040188E" w:rsidRPr="00564155">
        <w:t>st 2021</w:t>
      </w:r>
      <w:r w:rsidR="0000222C" w:rsidRPr="00564155">
        <w:t>.</w:t>
      </w:r>
      <w:r w:rsidRPr="00564155">
        <w:t xml:space="preserve"> </w:t>
      </w:r>
      <w:r w:rsidR="0000222C" w:rsidRPr="00564155">
        <w:t xml:space="preserve">The </w:t>
      </w:r>
      <w:r w:rsidRPr="00564155">
        <w:t xml:space="preserve">outcomes are detailed in the </w:t>
      </w:r>
      <w:r w:rsidR="00E90571">
        <w:br/>
      </w:r>
      <w:hyperlink r:id="rId30" w:history="1">
        <w:r w:rsidR="009700B6" w:rsidRPr="00564155">
          <w:rPr>
            <w:rStyle w:val="Hyperlink"/>
          </w:rPr>
          <w:t>1800 MHz</w:t>
        </w:r>
        <w:r w:rsidRPr="00564155">
          <w:rPr>
            <w:rStyle w:val="Hyperlink"/>
          </w:rPr>
          <w:t xml:space="preserve"> TLG paper</w:t>
        </w:r>
      </w:hyperlink>
      <w:r w:rsidRPr="00564155">
        <w:t xml:space="preserve">. </w:t>
      </w:r>
    </w:p>
    <w:p w14:paraId="49B4E5EA" w14:textId="77777777" w:rsidR="007F6393" w:rsidRDefault="00970750" w:rsidP="009D3236">
      <w:pPr>
        <w:pStyle w:val="Bulletlevel1"/>
        <w:numPr>
          <w:ilvl w:val="0"/>
          <w:numId w:val="0"/>
        </w:numPr>
        <w:spacing w:after="240"/>
      </w:pPr>
      <w:r w:rsidRPr="00602151">
        <w:t>The ACMA is proposing to adopt all the changes proposed by the TLG</w:t>
      </w:r>
      <w:r w:rsidR="0000222C">
        <w:t>,</w:t>
      </w:r>
      <w:r w:rsidR="009D5663" w:rsidRPr="00602151">
        <w:t xml:space="preserve"> as well as the additional changes identified regarding AAS receiver spurious emission limits</w:t>
      </w:r>
      <w:r w:rsidRPr="00602151">
        <w:t xml:space="preserve">. </w:t>
      </w:r>
      <w:r w:rsidR="009D5663" w:rsidRPr="00602151">
        <w:t xml:space="preserve">The detail of all changes proposed is provided </w:t>
      </w:r>
      <w:r w:rsidRPr="00602151">
        <w:t xml:space="preserve">in the </w:t>
      </w:r>
      <w:r w:rsidR="0000222C">
        <w:t>‘</w:t>
      </w:r>
      <w:r w:rsidRPr="00101A7B">
        <w:t xml:space="preserve">Proposed </w:t>
      </w:r>
      <w:r w:rsidR="0010535B" w:rsidRPr="00101A7B">
        <w:t>changes</w:t>
      </w:r>
      <w:r w:rsidR="0000222C">
        <w:t>’</w:t>
      </w:r>
      <w:r w:rsidRPr="00101A7B">
        <w:t xml:space="preserve"> </w:t>
      </w:r>
      <w:r w:rsidRPr="00602151">
        <w:t>section.</w:t>
      </w:r>
      <w:r w:rsidR="00220213">
        <w:t xml:space="preserve"> </w:t>
      </w:r>
    </w:p>
    <w:p w14:paraId="257D9FCD" w14:textId="2D214BDA" w:rsidR="009D3236" w:rsidRPr="00602151" w:rsidRDefault="009D3236" w:rsidP="009D3236">
      <w:pPr>
        <w:pStyle w:val="Heading3"/>
      </w:pPr>
      <w:bookmarkStart w:id="19" w:name="_Toc58241133"/>
      <w:bookmarkStart w:id="20" w:name="_Toc83989324"/>
      <w:r w:rsidRPr="00602151">
        <w:t xml:space="preserve">Issues </w:t>
      </w:r>
      <w:r w:rsidR="002B433E">
        <w:t>considered</w:t>
      </w:r>
      <w:r w:rsidR="002B433E" w:rsidRPr="00602151">
        <w:t xml:space="preserve"> </w:t>
      </w:r>
      <w:r w:rsidRPr="00602151">
        <w:t>by the TLG</w:t>
      </w:r>
      <w:bookmarkEnd w:id="19"/>
      <w:bookmarkEnd w:id="20"/>
      <w:r w:rsidRPr="00602151">
        <w:t xml:space="preserve"> </w:t>
      </w:r>
    </w:p>
    <w:p w14:paraId="5F683790" w14:textId="2665F284" w:rsidR="009D3236" w:rsidRPr="00602151" w:rsidRDefault="009D3236" w:rsidP="00DF5D6F">
      <w:pPr>
        <w:rPr>
          <w:rFonts w:cs="Arial"/>
        </w:rPr>
      </w:pPr>
      <w:r w:rsidRPr="00602151">
        <w:rPr>
          <w:rFonts w:cs="Arial"/>
        </w:rPr>
        <w:t xml:space="preserve">The TLG </w:t>
      </w:r>
      <w:r w:rsidR="009E3FA7">
        <w:rPr>
          <w:rFonts w:cs="Arial"/>
        </w:rPr>
        <w:t>considered</w:t>
      </w:r>
      <w:r w:rsidR="009E3FA7" w:rsidRPr="00602151">
        <w:rPr>
          <w:rFonts w:cs="Arial"/>
        </w:rPr>
        <w:t xml:space="preserve"> </w:t>
      </w:r>
      <w:r w:rsidRPr="00602151">
        <w:rPr>
          <w:rFonts w:cs="Arial"/>
        </w:rPr>
        <w:t xml:space="preserve">the following issues for review in the </w:t>
      </w:r>
      <w:r w:rsidR="009700B6">
        <w:rPr>
          <w:rFonts w:cs="Arial"/>
        </w:rPr>
        <w:t>1800 MHz</w:t>
      </w:r>
      <w:r w:rsidRPr="00602151">
        <w:rPr>
          <w:rFonts w:cs="Arial"/>
        </w:rPr>
        <w:t xml:space="preserve"> technical framework</w:t>
      </w:r>
      <w:r w:rsidR="00E90571">
        <w:rPr>
          <w:rFonts w:cs="Arial"/>
        </w:rPr>
        <w:t>.</w:t>
      </w:r>
    </w:p>
    <w:p w14:paraId="09672799" w14:textId="47D4A6F2" w:rsidR="009D3236" w:rsidRDefault="009D3236" w:rsidP="00101A7B">
      <w:pPr>
        <w:pStyle w:val="Heading4"/>
      </w:pPr>
      <w:r w:rsidRPr="00602151">
        <w:t xml:space="preserve">Conditions </w:t>
      </w:r>
      <w:r w:rsidR="000956DB">
        <w:t>i</w:t>
      </w:r>
      <w:r w:rsidRPr="00602151">
        <w:t>n the spectrum licence</w:t>
      </w:r>
    </w:p>
    <w:p w14:paraId="1CA38582" w14:textId="17682509" w:rsidR="00910A8B" w:rsidRPr="00910A8B" w:rsidRDefault="00910A8B" w:rsidP="00C725C6">
      <w:pPr>
        <w:pStyle w:val="Paragraphbeforelist"/>
      </w:pPr>
      <w:r>
        <w:t xml:space="preserve">The changes </w:t>
      </w:r>
      <w:r w:rsidRPr="00602151">
        <w:t>proposed to</w:t>
      </w:r>
      <w:r>
        <w:t xml:space="preserve"> conditions </w:t>
      </w:r>
      <w:r w:rsidR="000956DB">
        <w:t>i</w:t>
      </w:r>
      <w:r>
        <w:t xml:space="preserve">n the spectrum licence are intended to provide support for 5G and AAS, align technical conditions with 3GPP standards where coexistence with other licensed </w:t>
      </w:r>
      <w:r w:rsidR="00AC733D">
        <w:t xml:space="preserve">services </w:t>
      </w:r>
      <w:r>
        <w:t xml:space="preserve">is still achieved and provide greater flexibility </w:t>
      </w:r>
      <w:r>
        <w:lastRenderedPageBreak/>
        <w:t>for licensees to support a larger range of end user equipment. The proposed changes include:</w:t>
      </w:r>
    </w:p>
    <w:p w14:paraId="5566CE14" w14:textId="301575D7" w:rsidR="009D3236" w:rsidRPr="00602151" w:rsidRDefault="00786320" w:rsidP="00B5381C">
      <w:pPr>
        <w:pStyle w:val="ListBullet"/>
      </w:pPr>
      <w:r>
        <w:rPr>
          <w:b/>
          <w:bCs/>
        </w:rPr>
        <w:t>M</w:t>
      </w:r>
      <w:r w:rsidR="009D3236" w:rsidRPr="00101A7B">
        <w:rPr>
          <w:b/>
          <w:bCs/>
        </w:rPr>
        <w:t>etric used for defining in-band an</w:t>
      </w:r>
      <w:r w:rsidR="009852F0" w:rsidRPr="00101A7B">
        <w:rPr>
          <w:b/>
          <w:bCs/>
        </w:rPr>
        <w:t>d</w:t>
      </w:r>
      <w:r w:rsidR="009D3236" w:rsidRPr="00101A7B">
        <w:rPr>
          <w:b/>
          <w:bCs/>
        </w:rPr>
        <w:t xml:space="preserve"> unwanted emission limit</w:t>
      </w:r>
      <w:r w:rsidR="006047AD" w:rsidRPr="00101A7B">
        <w:rPr>
          <w:b/>
          <w:bCs/>
        </w:rPr>
        <w:t>s</w:t>
      </w:r>
      <w:r w:rsidR="00E90571">
        <w:t>.</w:t>
      </w:r>
      <w:r w:rsidR="009D3236" w:rsidRPr="00602151">
        <w:t xml:space="preserve"> Currently</w:t>
      </w:r>
      <w:r w:rsidR="00E90571">
        <w:t>,</w:t>
      </w:r>
      <w:r w:rsidR="009D3236" w:rsidRPr="00602151">
        <w:t xml:space="preserve"> </w:t>
      </w:r>
      <w:r w:rsidR="00AB2B3F" w:rsidRPr="00602151">
        <w:t>emission limits</w:t>
      </w:r>
      <w:r w:rsidR="009D3236" w:rsidRPr="00602151">
        <w:t xml:space="preserve"> </w:t>
      </w:r>
      <w:r w:rsidR="00CA1703">
        <w:t>on spectrum licences in the 1800 MHz band</w:t>
      </w:r>
      <w:r w:rsidR="00CA1703" w:rsidRPr="00602151">
        <w:t xml:space="preserve"> </w:t>
      </w:r>
      <w:r w:rsidR="009D3236" w:rsidRPr="00602151">
        <w:t>are defined in</w:t>
      </w:r>
      <w:r w:rsidR="00C75C4B">
        <w:t xml:space="preserve"> </w:t>
      </w:r>
      <w:r w:rsidR="009D3236" w:rsidRPr="00602151">
        <w:t xml:space="preserve">terms of either </w:t>
      </w:r>
      <w:r w:rsidR="00AB2B3F" w:rsidRPr="00602151">
        <w:t xml:space="preserve">an </w:t>
      </w:r>
      <w:r w:rsidR="009D3236" w:rsidRPr="00602151">
        <w:t>equivalent isotropic radiated power (EIRP) or mean power</w:t>
      </w:r>
      <w:r w:rsidR="000D519A" w:rsidRPr="00602151">
        <w:t xml:space="preserve"> (</w:t>
      </w:r>
      <w:r w:rsidR="00C75C4B">
        <w:t>that is,</w:t>
      </w:r>
      <w:r w:rsidR="000D519A" w:rsidRPr="00602151">
        <w:t xml:space="preserve"> the power measured at the antenna</w:t>
      </w:r>
      <w:r w:rsidR="001E254F" w:rsidRPr="00602151">
        <w:t xml:space="preserve"> connector</w:t>
      </w:r>
      <w:r w:rsidR="002F2086" w:rsidRPr="00602151">
        <w:t>, often referred to as ‘conducted power’</w:t>
      </w:r>
      <w:r w:rsidR="000D519A" w:rsidRPr="00602151">
        <w:t>)</w:t>
      </w:r>
      <w:r w:rsidR="009D3236" w:rsidRPr="00602151">
        <w:t>.</w:t>
      </w:r>
      <w:r w:rsidR="000D519A" w:rsidRPr="00602151">
        <w:t xml:space="preserve"> However, th</w:t>
      </w:r>
      <w:r w:rsidR="005A3D17" w:rsidRPr="00602151">
        <w:t>ese</w:t>
      </w:r>
      <w:r w:rsidR="000D519A" w:rsidRPr="00602151">
        <w:t xml:space="preserve"> </w:t>
      </w:r>
      <w:r w:rsidR="005A3D17" w:rsidRPr="00602151">
        <w:t>are</w:t>
      </w:r>
      <w:r w:rsidR="000D519A" w:rsidRPr="00602151">
        <w:t xml:space="preserve"> not considered appropriate for AAS for the following reasons:</w:t>
      </w:r>
    </w:p>
    <w:p w14:paraId="5D74A54C" w14:textId="7EC7EF1F" w:rsidR="000D519A" w:rsidRPr="00602151" w:rsidRDefault="000D519A" w:rsidP="000D519A">
      <w:pPr>
        <w:pStyle w:val="ListBullet"/>
        <w:tabs>
          <w:tab w:val="clear" w:pos="295"/>
          <w:tab w:val="num" w:pos="579"/>
        </w:tabs>
        <w:ind w:left="579"/>
      </w:pPr>
      <w:r w:rsidRPr="00602151">
        <w:t>Due to the</w:t>
      </w:r>
      <w:r w:rsidR="00AB2B3F" w:rsidRPr="00602151">
        <w:t xml:space="preserve"> integrated</w:t>
      </w:r>
      <w:r w:rsidRPr="00602151">
        <w:t xml:space="preserve"> nature of radio units and antenna elements in AAS, it is not possible to measure </w:t>
      </w:r>
      <w:r w:rsidR="005A3D17" w:rsidRPr="00602151">
        <w:t>conducted power</w:t>
      </w:r>
      <w:r w:rsidRPr="00602151">
        <w:t xml:space="preserve">. For this reason, 3GPP standards define unwanted emission limits for AAS in terms of total radiated power (TRP). TRP is equivalent to the </w:t>
      </w:r>
      <w:r w:rsidR="005A3D17" w:rsidRPr="00602151">
        <w:t>conducted</w:t>
      </w:r>
      <w:r w:rsidRPr="00602151">
        <w:t xml:space="preserve"> power minus the </w:t>
      </w:r>
      <w:r w:rsidR="00AB2B3F" w:rsidRPr="00602151">
        <w:t xml:space="preserve">antenna </w:t>
      </w:r>
      <w:r w:rsidRPr="00602151">
        <w:t xml:space="preserve">efficiency (typically </w:t>
      </w:r>
      <w:r w:rsidR="0027571C" w:rsidRPr="00602151">
        <w:rPr>
          <w:rFonts w:cs="Arial"/>
        </w:rPr>
        <w:t>≤</w:t>
      </w:r>
      <w:r w:rsidRPr="00602151">
        <w:t xml:space="preserve"> 3 dB</w:t>
      </w:r>
      <w:r w:rsidR="00AB2B3F" w:rsidRPr="00602151">
        <w:t xml:space="preserve"> for AAS</w:t>
      </w:r>
      <w:r w:rsidRPr="00602151">
        <w:t>). Consequently, in practice</w:t>
      </w:r>
      <w:r w:rsidR="00FE58DF" w:rsidRPr="00602151">
        <w:t>,</w:t>
      </w:r>
      <w:r w:rsidRPr="00602151">
        <w:t xml:space="preserve"> there is little difference between the use of TRP or mean power</w:t>
      </w:r>
      <w:r w:rsidR="00C75C4B">
        <w:t>.</w:t>
      </w:r>
    </w:p>
    <w:p w14:paraId="67961CA9" w14:textId="3860E879" w:rsidR="000D519A" w:rsidRDefault="00E75E56" w:rsidP="006D4FB8">
      <w:pPr>
        <w:pStyle w:val="ListBullet"/>
        <w:tabs>
          <w:tab w:val="clear" w:pos="295"/>
          <w:tab w:val="num" w:pos="579"/>
        </w:tabs>
        <w:spacing w:after="120"/>
        <w:ind w:left="579"/>
      </w:pPr>
      <w:r>
        <w:t>In some cases, u</w:t>
      </w:r>
      <w:r w:rsidR="000D519A" w:rsidRPr="00602151">
        <w:t xml:space="preserve">se of TRP </w:t>
      </w:r>
      <w:r w:rsidR="00DE6039" w:rsidRPr="00602151">
        <w:t xml:space="preserve">is considered to </w:t>
      </w:r>
      <w:r w:rsidR="000D519A" w:rsidRPr="00602151">
        <w:t>more accurately reflect and limit the risk of interference presented by AAS</w:t>
      </w:r>
      <w:r w:rsidR="00071801" w:rsidRPr="00602151">
        <w:t>.</w:t>
      </w:r>
      <w:r w:rsidR="000D519A" w:rsidRPr="00602151">
        <w:t xml:space="preserve"> </w:t>
      </w:r>
      <w:r w:rsidR="00071801" w:rsidRPr="00602151">
        <w:t>Section</w:t>
      </w:r>
      <w:r w:rsidR="000D519A" w:rsidRPr="00602151">
        <w:t xml:space="preserve"> 6.3.2.1 of </w:t>
      </w:r>
      <w:hyperlink r:id="rId31" w:history="1">
        <w:r w:rsidR="000D519A" w:rsidRPr="0038741C">
          <w:rPr>
            <w:rStyle w:val="Hyperlink"/>
            <w:rFonts w:cs="Arial"/>
          </w:rPr>
          <w:t>ECC Report 281</w:t>
        </w:r>
      </w:hyperlink>
      <w:r w:rsidR="00071801" w:rsidRPr="00602151">
        <w:t xml:space="preserve"> provides a comparison </w:t>
      </w:r>
      <w:r w:rsidR="006322BC" w:rsidRPr="00602151">
        <w:t>on</w:t>
      </w:r>
      <w:r w:rsidR="00071801" w:rsidRPr="00602151">
        <w:t xml:space="preserve"> the use of TRP vs EIRP metrics to </w:t>
      </w:r>
      <w:r w:rsidR="00DB5756" w:rsidRPr="00602151">
        <w:t>specify</w:t>
      </w:r>
      <w:r w:rsidR="00071801" w:rsidRPr="00602151">
        <w:t xml:space="preserve"> AAS emission</w:t>
      </w:r>
      <w:r w:rsidR="006322BC" w:rsidRPr="00602151">
        <w:t>s</w:t>
      </w:r>
      <w:r w:rsidR="00071801" w:rsidRPr="00602151">
        <w:t xml:space="preserve">. </w:t>
      </w:r>
      <w:r w:rsidR="006322BC" w:rsidRPr="00602151">
        <w:t xml:space="preserve">Based on </w:t>
      </w:r>
      <w:r w:rsidR="00071801" w:rsidRPr="00602151">
        <w:t>3GPP studie</w:t>
      </w:r>
      <w:r w:rsidR="006322BC" w:rsidRPr="00602151">
        <w:t>s</w:t>
      </w:r>
      <w:r w:rsidR="006322BC" w:rsidRPr="0038741C">
        <w:rPr>
          <w:rStyle w:val="FootnoteReference"/>
        </w:rPr>
        <w:footnoteReference w:id="6"/>
      </w:r>
      <w:r w:rsidR="006322BC" w:rsidRPr="0038741C">
        <w:t xml:space="preserve">, it states </w:t>
      </w:r>
      <w:r w:rsidR="00071801" w:rsidRPr="0038741C">
        <w:t xml:space="preserve">that the impact </w:t>
      </w:r>
      <w:r w:rsidR="00071801" w:rsidRPr="00DB5756">
        <w:t>of unwanted emissions on the adjacent mobile systems</w:t>
      </w:r>
      <w:r w:rsidR="006322BC" w:rsidRPr="00DB5756">
        <w:t xml:space="preserve"> </w:t>
      </w:r>
      <w:r w:rsidR="00071801" w:rsidRPr="0038741C">
        <w:t>is best represented</w:t>
      </w:r>
      <w:r w:rsidR="0038741C" w:rsidRPr="0038741C">
        <w:t xml:space="preserve"> and lim</w:t>
      </w:r>
      <w:r w:rsidR="0038741C" w:rsidRPr="00DB5756">
        <w:t>ited</w:t>
      </w:r>
      <w:r w:rsidR="00071801" w:rsidRPr="00DB5756">
        <w:t xml:space="preserve"> by use of TRP.</w:t>
      </w:r>
      <w:r w:rsidR="006322BC" w:rsidRPr="00D644ED">
        <w:t xml:space="preserve"> </w:t>
      </w:r>
    </w:p>
    <w:p w14:paraId="4C6B4A5C" w14:textId="3B77ABA7" w:rsidR="008C3E91" w:rsidRPr="008C3E91" w:rsidRDefault="008C3E91" w:rsidP="00E922E9">
      <w:pPr>
        <w:pStyle w:val="ListBullet"/>
        <w:numPr>
          <w:ilvl w:val="0"/>
          <w:numId w:val="0"/>
        </w:numPr>
        <w:spacing w:after="120"/>
        <w:ind w:left="284"/>
      </w:pPr>
      <w:r w:rsidRPr="00602151">
        <w:t>Importantly, it is not intended that use of TRP replace the need for spectrum licensees to</w:t>
      </w:r>
      <w:r w:rsidR="00C75C4B">
        <w:t xml:space="preserve"> </w:t>
      </w:r>
      <w:r w:rsidRPr="00602151">
        <w:t xml:space="preserve">coordinate with other </w:t>
      </w:r>
      <w:r w:rsidRPr="0038741C">
        <w:t>services using actual EIRP values. This requirement, along with the defined protection criteria</w:t>
      </w:r>
      <w:r w:rsidRPr="00DB5756">
        <w:t xml:space="preserve"> for other services</w:t>
      </w:r>
      <w:r w:rsidR="00CA1703">
        <w:t xml:space="preserve"> detailed in the technical framework</w:t>
      </w:r>
      <w:r w:rsidR="00C75C4B">
        <w:t>,</w:t>
      </w:r>
      <w:r w:rsidRPr="00D644ED">
        <w:t xml:space="preserve"> will not change.</w:t>
      </w:r>
      <w:r>
        <w:t xml:space="preserve"> Refer to the </w:t>
      </w:r>
      <w:r w:rsidR="00C75C4B">
        <w:t>‘</w:t>
      </w:r>
      <w:r w:rsidRPr="00101A7B">
        <w:t>Effect on incumbent services</w:t>
      </w:r>
      <w:r w:rsidR="00C75C4B">
        <w:t>’</w:t>
      </w:r>
      <w:r>
        <w:t xml:space="preserve"> section for further discussion.</w:t>
      </w:r>
    </w:p>
    <w:p w14:paraId="16D3A4A3" w14:textId="0970E5CF" w:rsidR="006047AD" w:rsidRPr="00602151" w:rsidRDefault="00310340" w:rsidP="006D4FB8">
      <w:pPr>
        <w:pStyle w:val="ListBullet"/>
        <w:numPr>
          <w:ilvl w:val="0"/>
          <w:numId w:val="0"/>
        </w:numPr>
        <w:spacing w:before="120"/>
        <w:ind w:left="284"/>
      </w:pPr>
      <w:r>
        <w:t>Europe and bodies such as</w:t>
      </w:r>
      <w:r w:rsidRPr="00DB5756">
        <w:t xml:space="preserve"> the</w:t>
      </w:r>
      <w:r w:rsidRPr="00D644ED">
        <w:t xml:space="preserve"> International </w:t>
      </w:r>
      <w:r w:rsidRPr="00602151">
        <w:t>Telecommunication Union (ITU)</w:t>
      </w:r>
      <w:r w:rsidR="00900DC9">
        <w:t xml:space="preserve"> </w:t>
      </w:r>
      <w:r>
        <w:t>are moving to set</w:t>
      </w:r>
      <w:r w:rsidR="00493DF4" w:rsidRPr="00DB5756">
        <w:t xml:space="preserve"> </w:t>
      </w:r>
      <w:r w:rsidR="006047AD" w:rsidRPr="00DB5756">
        <w:t>unwanted emission limits</w:t>
      </w:r>
      <w:r w:rsidR="00CE1BCC">
        <w:t xml:space="preserve"> in terms of TRP to support AAS</w:t>
      </w:r>
      <w:r>
        <w:t>.</w:t>
      </w:r>
      <w:r w:rsidR="006047AD" w:rsidRPr="00DB5756">
        <w:t xml:space="preserve"> </w:t>
      </w:r>
      <w:r w:rsidR="00AB2B3F" w:rsidRPr="00602151">
        <w:t xml:space="preserve">Use of TRP </w:t>
      </w:r>
      <w:r w:rsidR="00E84A89">
        <w:t xml:space="preserve">for AAS </w:t>
      </w:r>
      <w:r w:rsidR="00AB2B3F" w:rsidRPr="00602151">
        <w:t xml:space="preserve">was also proposed by the TLG. </w:t>
      </w:r>
    </w:p>
    <w:p w14:paraId="5E2C6A58" w14:textId="42568250" w:rsidR="00E75E56" w:rsidRPr="00F21919" w:rsidRDefault="00786320" w:rsidP="005D2B16">
      <w:pPr>
        <w:pStyle w:val="ListBullet"/>
      </w:pPr>
      <w:r>
        <w:rPr>
          <w:b/>
          <w:bCs/>
        </w:rPr>
        <w:t>L</w:t>
      </w:r>
      <w:r w:rsidR="00602151" w:rsidRPr="00101A7B">
        <w:rPr>
          <w:b/>
          <w:bCs/>
        </w:rPr>
        <w:t>evel of in-band emission limits</w:t>
      </w:r>
      <w:r w:rsidR="00E90571">
        <w:t>.</w:t>
      </w:r>
      <w:r w:rsidR="00602151" w:rsidRPr="00602151">
        <w:t xml:space="preserve"> </w:t>
      </w:r>
      <w:r w:rsidR="00196B8D">
        <w:t xml:space="preserve">The current in-band emission limit </w:t>
      </w:r>
      <w:r w:rsidR="005D2B16">
        <w:t xml:space="preserve">for all services </w:t>
      </w:r>
      <w:r w:rsidR="00196B8D">
        <w:t xml:space="preserve">is </w:t>
      </w:r>
      <w:r w:rsidR="00AF2AB6">
        <w:t>54.5</w:t>
      </w:r>
      <w:r w:rsidR="00C75C4B">
        <w:t> </w:t>
      </w:r>
      <w:r w:rsidR="00196B8D">
        <w:t>dBm/</w:t>
      </w:r>
      <w:r w:rsidR="00AF2AB6">
        <w:t>30 k</w:t>
      </w:r>
      <w:r w:rsidR="00196B8D">
        <w:t xml:space="preserve">Hz measured as an EIRP. The TLG proposed </w:t>
      </w:r>
      <w:r w:rsidR="005D2B16">
        <w:t>to maintain the existing EIRP limit of 54.5 dBm/30 kHz for GSM-R services</w:t>
      </w:r>
      <w:r w:rsidR="00900DC9">
        <w:t>,</w:t>
      </w:r>
      <w:r w:rsidR="005D2B16">
        <w:t xml:space="preserve"> </w:t>
      </w:r>
      <w:r w:rsidR="00391F41">
        <w:t xml:space="preserve">as </w:t>
      </w:r>
      <w:r w:rsidR="00310D88">
        <w:t>they operate</w:t>
      </w:r>
      <w:r w:rsidR="00391F41">
        <w:t xml:space="preserve"> over narrow</w:t>
      </w:r>
      <w:r w:rsidR="00310D88">
        <w:t>er</w:t>
      </w:r>
      <w:r w:rsidR="00391F41">
        <w:t xml:space="preserve"> bandwidths than later generation technologies.  The TLG also proposed to </w:t>
      </w:r>
      <w:r w:rsidR="005D2B16">
        <w:t xml:space="preserve">adopt </w:t>
      </w:r>
      <w:r w:rsidR="001B0ABE" w:rsidRPr="005D2B16">
        <w:rPr>
          <w:rFonts w:cs="Arial"/>
        </w:rPr>
        <w:t xml:space="preserve">a TRP </w:t>
      </w:r>
      <w:r w:rsidR="00196B8D" w:rsidRPr="005D2B16">
        <w:rPr>
          <w:rFonts w:cs="Arial"/>
        </w:rPr>
        <w:t xml:space="preserve">of </w:t>
      </w:r>
      <w:r w:rsidR="00AF2AB6" w:rsidRPr="005D2B16">
        <w:rPr>
          <w:rFonts w:cs="Arial"/>
        </w:rPr>
        <w:t>50</w:t>
      </w:r>
      <w:r w:rsidR="00C75C4B" w:rsidRPr="005D2B16">
        <w:rPr>
          <w:rFonts w:cs="Arial"/>
        </w:rPr>
        <w:t> </w:t>
      </w:r>
      <w:r w:rsidR="00196B8D" w:rsidRPr="005D2B16">
        <w:rPr>
          <w:rFonts w:cs="Arial"/>
        </w:rPr>
        <w:t>dBm/5</w:t>
      </w:r>
      <w:r w:rsidR="00F50659">
        <w:rPr>
          <w:rFonts w:cs="Arial"/>
        </w:rPr>
        <w:t xml:space="preserve"> </w:t>
      </w:r>
      <w:r w:rsidR="00196B8D" w:rsidRPr="005D2B16">
        <w:rPr>
          <w:rFonts w:cs="Arial"/>
        </w:rPr>
        <w:t>MHz</w:t>
      </w:r>
      <w:r w:rsidR="00CD2012" w:rsidRPr="005D2B16">
        <w:rPr>
          <w:rFonts w:cs="Arial"/>
        </w:rPr>
        <w:t xml:space="preserve"> in metropolitan areas and 53</w:t>
      </w:r>
      <w:r w:rsidR="00900DC9">
        <w:rPr>
          <w:rFonts w:cs="Arial"/>
        </w:rPr>
        <w:t> </w:t>
      </w:r>
      <w:r w:rsidR="00CD2012" w:rsidRPr="005D2B16">
        <w:rPr>
          <w:rFonts w:cs="Arial"/>
        </w:rPr>
        <w:t>dBm/5</w:t>
      </w:r>
      <w:r w:rsidR="00F50659">
        <w:rPr>
          <w:rFonts w:cs="Arial"/>
        </w:rPr>
        <w:t xml:space="preserve"> </w:t>
      </w:r>
      <w:r w:rsidR="00CD2012" w:rsidRPr="005D2B16">
        <w:rPr>
          <w:rFonts w:cs="Arial"/>
        </w:rPr>
        <w:t>MHz in regional areas</w:t>
      </w:r>
      <w:r w:rsidR="005D2B16">
        <w:rPr>
          <w:rFonts w:cs="Arial"/>
        </w:rPr>
        <w:t xml:space="preserve"> for all other services</w:t>
      </w:r>
      <w:r w:rsidR="00196B8D" w:rsidRPr="005D2B16">
        <w:rPr>
          <w:rFonts w:cs="Arial"/>
        </w:rPr>
        <w:t xml:space="preserve">. </w:t>
      </w:r>
    </w:p>
    <w:p w14:paraId="415DC036" w14:textId="78A3ECC2" w:rsidR="00602151" w:rsidRPr="001B0ABE" w:rsidRDefault="001B0ABE" w:rsidP="00AA165D">
      <w:pPr>
        <w:pStyle w:val="ListBullet"/>
        <w:numPr>
          <w:ilvl w:val="0"/>
          <w:numId w:val="0"/>
        </w:numPr>
        <w:ind w:left="295"/>
      </w:pPr>
      <w:r w:rsidRPr="005D2B16">
        <w:rPr>
          <w:rFonts w:cs="Arial"/>
        </w:rPr>
        <w:t>Th</w:t>
      </w:r>
      <w:r w:rsidR="009C687C" w:rsidRPr="005D2B16">
        <w:rPr>
          <w:rFonts w:cs="Arial"/>
        </w:rPr>
        <w:t>e 53 dBm/5</w:t>
      </w:r>
      <w:r w:rsidR="00F50659">
        <w:rPr>
          <w:rFonts w:cs="Arial"/>
        </w:rPr>
        <w:t xml:space="preserve"> </w:t>
      </w:r>
      <w:r w:rsidR="009C687C" w:rsidRPr="005D2B16">
        <w:rPr>
          <w:rFonts w:cs="Arial"/>
        </w:rPr>
        <w:t xml:space="preserve">MHz limit for </w:t>
      </w:r>
      <w:r w:rsidRPr="005D2B16">
        <w:rPr>
          <w:rFonts w:cs="Arial"/>
        </w:rPr>
        <w:t xml:space="preserve">TRP </w:t>
      </w:r>
      <w:r w:rsidR="004F112E" w:rsidRPr="005D2B16">
        <w:rPr>
          <w:rFonts w:cs="Arial"/>
        </w:rPr>
        <w:t xml:space="preserve">is equivalent to </w:t>
      </w:r>
      <w:r w:rsidRPr="005D2B16">
        <w:rPr>
          <w:rFonts w:cs="Arial"/>
        </w:rPr>
        <w:t>the existing EIRP limit and an AAS with an 8x8 array (antenna gain of approximately 23</w:t>
      </w:r>
      <w:r w:rsidR="004F112E" w:rsidRPr="005D2B16">
        <w:rPr>
          <w:rFonts w:cs="Arial"/>
        </w:rPr>
        <w:t>.7</w:t>
      </w:r>
      <w:r w:rsidRPr="005D2B16">
        <w:rPr>
          <w:rFonts w:cs="Arial"/>
        </w:rPr>
        <w:t xml:space="preserve"> dBi) </w:t>
      </w:r>
      <w:r w:rsidR="006E1F3E" w:rsidRPr="005D2B16">
        <w:rPr>
          <w:rFonts w:cs="Arial"/>
        </w:rPr>
        <w:t>that is,</w:t>
      </w:r>
      <w:r w:rsidRPr="005D2B16">
        <w:rPr>
          <w:rFonts w:cs="Arial"/>
        </w:rPr>
        <w:t xml:space="preserve"> </w:t>
      </w:r>
      <w:r w:rsidR="00BE23D2" w:rsidRPr="005D2B16">
        <w:rPr>
          <w:rFonts w:cs="Arial"/>
        </w:rPr>
        <w:t>54.5 +</w:t>
      </w:r>
      <w:r w:rsidR="0063417B" w:rsidRPr="005D2B16">
        <w:rPr>
          <w:rFonts w:cs="Arial"/>
        </w:rPr>
        <w:t xml:space="preserve"> 22.2</w:t>
      </w:r>
      <w:r w:rsidR="00A931B8" w:rsidRPr="005D2B16">
        <w:rPr>
          <w:rFonts w:cs="Arial"/>
        </w:rPr>
        <w:t xml:space="preserve"> (conversion factor from 30 kHz to 5 MHz) </w:t>
      </w:r>
      <w:r w:rsidRPr="005D2B16">
        <w:rPr>
          <w:rFonts w:cs="Arial"/>
        </w:rPr>
        <w:t>-23</w:t>
      </w:r>
      <w:r w:rsidR="00A931B8" w:rsidRPr="005D2B16">
        <w:rPr>
          <w:rFonts w:cs="Arial"/>
        </w:rPr>
        <w:t>.7</w:t>
      </w:r>
      <w:r w:rsidRPr="005D2B16">
        <w:rPr>
          <w:rFonts w:cs="Arial"/>
        </w:rPr>
        <w:t xml:space="preserve"> = </w:t>
      </w:r>
      <w:r w:rsidR="00BE23D2" w:rsidRPr="005D2B16">
        <w:rPr>
          <w:rFonts w:cs="Arial"/>
        </w:rPr>
        <w:t>53</w:t>
      </w:r>
      <w:r w:rsidRPr="005D2B16">
        <w:rPr>
          <w:rFonts w:cs="Arial"/>
        </w:rPr>
        <w:t xml:space="preserve"> dBm/5 MHz. </w:t>
      </w:r>
      <w:r w:rsidR="00391F41">
        <w:rPr>
          <w:rFonts w:cs="Arial"/>
        </w:rPr>
        <w:t xml:space="preserve">A lower limit of </w:t>
      </w:r>
      <w:r w:rsidR="00391F41" w:rsidRPr="005D2B16">
        <w:rPr>
          <w:rFonts w:cs="Arial"/>
        </w:rPr>
        <w:t xml:space="preserve">50 dBm/5 MHz </w:t>
      </w:r>
      <w:r w:rsidR="00391F41">
        <w:rPr>
          <w:rFonts w:cs="Arial"/>
        </w:rPr>
        <w:t>was proposed for metropolitan areas to reduce the potential for</w:t>
      </w:r>
      <w:r w:rsidR="004A2EFD">
        <w:rPr>
          <w:rFonts w:cs="Arial"/>
        </w:rPr>
        <w:t xml:space="preserve"> blocking to GSM-R receivers. It is noted </w:t>
      </w:r>
      <w:r w:rsidR="001C530B">
        <w:rPr>
          <w:rFonts w:cs="Arial"/>
        </w:rPr>
        <w:t>that</w:t>
      </w:r>
      <w:r w:rsidR="001C530B" w:rsidRPr="005D2B16" w:rsidDel="004A2EFD">
        <w:rPr>
          <w:rFonts w:cs="Arial"/>
        </w:rPr>
        <w:t xml:space="preserve"> </w:t>
      </w:r>
      <w:r w:rsidR="001C530B">
        <w:rPr>
          <w:rFonts w:cs="Arial"/>
        </w:rPr>
        <w:t>the</w:t>
      </w:r>
      <w:r w:rsidRPr="005D2B16">
        <w:rPr>
          <w:rFonts w:cs="Arial"/>
        </w:rPr>
        <w:t xml:space="preserve"> TRP of all existing </w:t>
      </w:r>
      <w:r w:rsidR="004A2EFD">
        <w:rPr>
          <w:rFonts w:cs="Arial"/>
        </w:rPr>
        <w:t xml:space="preserve">non-GSM-R </w:t>
      </w:r>
      <w:r w:rsidRPr="005D2B16">
        <w:rPr>
          <w:rFonts w:cs="Arial"/>
        </w:rPr>
        <w:t xml:space="preserve">device registrations in the </w:t>
      </w:r>
      <w:r w:rsidR="009700B6" w:rsidRPr="005D2B16">
        <w:rPr>
          <w:rFonts w:cs="Arial"/>
        </w:rPr>
        <w:t>1800 MHz</w:t>
      </w:r>
      <w:r w:rsidRPr="005D2B16">
        <w:rPr>
          <w:rFonts w:cs="Arial"/>
        </w:rPr>
        <w:t xml:space="preserve"> band </w:t>
      </w:r>
      <w:r w:rsidR="004A2EFD">
        <w:rPr>
          <w:rFonts w:cs="Arial"/>
        </w:rPr>
        <w:t xml:space="preserve">is below this </w:t>
      </w:r>
      <w:r w:rsidRPr="005D2B16">
        <w:rPr>
          <w:rFonts w:cs="Arial"/>
        </w:rPr>
        <w:t>new limit.</w:t>
      </w:r>
    </w:p>
    <w:p w14:paraId="64FFBC37" w14:textId="736A1B6C" w:rsidR="006358D3" w:rsidRPr="006358D3" w:rsidRDefault="006358D3" w:rsidP="00AF3F4C">
      <w:pPr>
        <w:pStyle w:val="ListBullet"/>
        <w:numPr>
          <w:ilvl w:val="0"/>
          <w:numId w:val="0"/>
        </w:numPr>
        <w:ind w:left="295"/>
      </w:pPr>
      <w:r w:rsidRPr="00AF3F4C">
        <w:t xml:space="preserve">For the purposes of in-band emission limits, </w:t>
      </w:r>
      <w:r w:rsidR="002C4BA0" w:rsidRPr="00DC4B80">
        <w:t>metropolitan a</w:t>
      </w:r>
      <w:r w:rsidR="002C4BA0">
        <w:t>reas are the areas of high mobile use defined in Schedule 4 of the s.145</w:t>
      </w:r>
      <w:r w:rsidR="00310D88">
        <w:t>(4)</w:t>
      </w:r>
      <w:r w:rsidR="002C4BA0">
        <w:t xml:space="preserve"> determination: Adelaide, Brisbane, Melbourne, Perth and Sydney</w:t>
      </w:r>
      <w:r>
        <w:t>.</w:t>
      </w:r>
    </w:p>
    <w:p w14:paraId="7F184D78" w14:textId="0BD1FC4D" w:rsidR="00310340" w:rsidRDefault="00786320" w:rsidP="00C61A3F">
      <w:pPr>
        <w:pStyle w:val="ListBullet"/>
      </w:pPr>
      <w:r>
        <w:rPr>
          <w:b/>
          <w:bCs/>
        </w:rPr>
        <w:t>L</w:t>
      </w:r>
      <w:r w:rsidR="009D3236" w:rsidRPr="00101A7B">
        <w:rPr>
          <w:b/>
          <w:bCs/>
        </w:rPr>
        <w:t>evel of unwanted emission limits</w:t>
      </w:r>
      <w:r w:rsidR="00E90571">
        <w:t>.</w:t>
      </w:r>
      <w:r w:rsidR="00B00978" w:rsidRPr="00602151">
        <w:t xml:space="preserve"> </w:t>
      </w:r>
      <w:r w:rsidR="00900DC9">
        <w:t>Issues with</w:t>
      </w:r>
      <w:r w:rsidR="00B00978" w:rsidRPr="00602151">
        <w:t xml:space="preserve"> </w:t>
      </w:r>
      <w:r w:rsidR="002854C8" w:rsidRPr="00602151">
        <w:t>the existing unwanted emission limits</w:t>
      </w:r>
      <w:r w:rsidR="001751AB">
        <w:t xml:space="preserve"> in the 1800 MHz technical framework</w:t>
      </w:r>
      <w:r w:rsidR="002854C8">
        <w:t xml:space="preserve"> w</w:t>
      </w:r>
      <w:r w:rsidR="00320689">
        <w:t>ere</w:t>
      </w:r>
      <w:r w:rsidR="002854C8">
        <w:t xml:space="preserve"> </w:t>
      </w:r>
      <w:r w:rsidR="00B00978" w:rsidRPr="00602151">
        <w:t xml:space="preserve">raised by spectrum licensees and </w:t>
      </w:r>
      <w:r w:rsidR="001751AB">
        <w:t xml:space="preserve">equipment </w:t>
      </w:r>
      <w:r w:rsidR="00B00978" w:rsidRPr="00602151">
        <w:t>manufacturers</w:t>
      </w:r>
      <w:r w:rsidR="003C50F7">
        <w:t xml:space="preserve">. </w:t>
      </w:r>
      <w:r w:rsidR="00B00978" w:rsidRPr="00602151">
        <w:t>The</w:t>
      </w:r>
      <w:r w:rsidR="003C50F7">
        <w:t xml:space="preserve"> current </w:t>
      </w:r>
      <w:r w:rsidR="00267EF3">
        <w:t>limits</w:t>
      </w:r>
      <w:r w:rsidR="00B00978" w:rsidRPr="00602151">
        <w:t xml:space="preserve"> present a challenge for the manufacture of cost effective and compliant AAS equipment. </w:t>
      </w:r>
      <w:r w:rsidR="004A4AE2">
        <w:t xml:space="preserve"> </w:t>
      </w:r>
    </w:p>
    <w:p w14:paraId="3629FCE3" w14:textId="7755B1BF" w:rsidR="00C61A3F" w:rsidRDefault="000745BE" w:rsidP="00C61A3F">
      <w:pPr>
        <w:pStyle w:val="ListBullet"/>
      </w:pPr>
      <w:r w:rsidRPr="00602151">
        <w:t xml:space="preserve">When reviewing the unwanted emission limits, the TLG </w:t>
      </w:r>
      <w:r w:rsidR="004A2EFD">
        <w:t xml:space="preserve">also </w:t>
      </w:r>
      <w:r w:rsidRPr="00602151">
        <w:t xml:space="preserve">considered the impact any </w:t>
      </w:r>
      <w:r w:rsidR="009B2066" w:rsidRPr="00602151">
        <w:t xml:space="preserve">potential </w:t>
      </w:r>
      <w:r w:rsidRPr="00602151">
        <w:t>change would have on</w:t>
      </w:r>
      <w:r w:rsidR="002229FF">
        <w:t xml:space="preserve"> spectrum licensees operating different systems (i</w:t>
      </w:r>
      <w:r w:rsidR="00E75E56">
        <w:t>.</w:t>
      </w:r>
      <w:r w:rsidR="002229FF">
        <w:t>e</w:t>
      </w:r>
      <w:r w:rsidR="00E75E56">
        <w:t>.</w:t>
      </w:r>
      <w:r w:rsidR="002229FF">
        <w:t xml:space="preserve"> 4G/5G and GSM-R) and</w:t>
      </w:r>
      <w:r w:rsidRPr="00602151">
        <w:t xml:space="preserve"> </w:t>
      </w:r>
      <w:r w:rsidR="004A2EFD">
        <w:t xml:space="preserve">other </w:t>
      </w:r>
      <w:r w:rsidRPr="00602151">
        <w:t>adjacent band services.</w:t>
      </w:r>
      <w:r w:rsidR="00C61A3F" w:rsidRPr="00C61A3F">
        <w:t xml:space="preserve"> </w:t>
      </w:r>
    </w:p>
    <w:p w14:paraId="308A4994" w14:textId="531F5E82" w:rsidR="004A2EFD" w:rsidRDefault="004A2EFD" w:rsidP="00AF3F4C">
      <w:pPr>
        <w:pStyle w:val="ListBullet"/>
        <w:numPr>
          <w:ilvl w:val="0"/>
          <w:numId w:val="0"/>
        </w:numPr>
        <w:ind w:left="295"/>
      </w:pPr>
      <w:r>
        <w:lastRenderedPageBreak/>
        <w:t>Unwanted emissions encompass both out-of-band and spurious emissions. 3GPP standards defined different limits for both cases.</w:t>
      </w:r>
    </w:p>
    <w:p w14:paraId="6BA05756" w14:textId="5DF39D50" w:rsidR="00BA301C" w:rsidRDefault="004A2EFD" w:rsidP="00C61A3F">
      <w:pPr>
        <w:pStyle w:val="ListBullet"/>
        <w:tabs>
          <w:tab w:val="clear" w:pos="295"/>
          <w:tab w:val="num" w:pos="579"/>
        </w:tabs>
        <w:ind w:left="579"/>
      </w:pPr>
      <w:r w:rsidRPr="00AF3F4C">
        <w:rPr>
          <w:u w:val="single"/>
        </w:rPr>
        <w:t>U</w:t>
      </w:r>
      <w:r w:rsidR="00C61A3F" w:rsidRPr="00AF3F4C">
        <w:rPr>
          <w:u w:val="single"/>
        </w:rPr>
        <w:t>nwanted emission limits for transmitters operating in the 1805</w:t>
      </w:r>
      <w:r w:rsidR="00E90571">
        <w:rPr>
          <w:u w:val="single"/>
        </w:rPr>
        <w:t>–</w:t>
      </w:r>
      <w:r w:rsidR="00C61A3F" w:rsidRPr="00AF3F4C">
        <w:rPr>
          <w:u w:val="single"/>
        </w:rPr>
        <w:t>1880 MHz band (the upper 1800 MHz band)</w:t>
      </w:r>
      <w:r w:rsidR="007C3376">
        <w:rPr>
          <w:u w:val="single"/>
        </w:rPr>
        <w:t xml:space="preserve"> and receivers operating in the </w:t>
      </w:r>
      <w:r w:rsidR="00E90571">
        <w:rPr>
          <w:u w:val="single"/>
        </w:rPr>
        <w:br/>
      </w:r>
      <w:r w:rsidR="007C3376">
        <w:rPr>
          <w:u w:val="single"/>
        </w:rPr>
        <w:t>1710</w:t>
      </w:r>
      <w:r w:rsidR="00E90571">
        <w:rPr>
          <w:u w:val="single"/>
        </w:rPr>
        <w:t>–</w:t>
      </w:r>
      <w:r w:rsidR="007C3376">
        <w:rPr>
          <w:u w:val="single"/>
        </w:rPr>
        <w:t>1785 MHz band (the lower 1800 MHz band)</w:t>
      </w:r>
    </w:p>
    <w:p w14:paraId="66D1678A" w14:textId="6539B1D0" w:rsidR="00C61A3F" w:rsidRDefault="00C61A3F" w:rsidP="00AA165D">
      <w:pPr>
        <w:pStyle w:val="ListBullet"/>
        <w:numPr>
          <w:ilvl w:val="0"/>
          <w:numId w:val="0"/>
        </w:numPr>
        <w:ind w:left="579"/>
      </w:pPr>
      <w:r>
        <w:t xml:space="preserve">For the upper 1800 MHz band, </w:t>
      </w:r>
      <w:r w:rsidR="004A2EFD" w:rsidRPr="0038765E">
        <w:t xml:space="preserve">3GPP </w:t>
      </w:r>
      <w:r w:rsidR="004A2EFD">
        <w:t>TS 38.104</w:t>
      </w:r>
      <w:r w:rsidR="004A2EFD" w:rsidRPr="0038765E">
        <w:rPr>
          <w:rStyle w:val="FootnoteReference"/>
        </w:rPr>
        <w:footnoteReference w:id="7"/>
      </w:r>
      <w:r w:rsidR="004A2EFD">
        <w:t xml:space="preserve"> defines </w:t>
      </w:r>
      <w:r>
        <w:t>out-of-band</w:t>
      </w:r>
      <w:r w:rsidR="00A80D61">
        <w:t xml:space="preserve"> </w:t>
      </w:r>
      <w:r w:rsidR="004A2EFD">
        <w:t xml:space="preserve">limits </w:t>
      </w:r>
      <w:r w:rsidR="007C3376">
        <w:t xml:space="preserve">as applying to </w:t>
      </w:r>
      <w:r>
        <w:t xml:space="preserve">those </w:t>
      </w:r>
      <w:r w:rsidR="007C3376">
        <w:t xml:space="preserve">emissions </w:t>
      </w:r>
      <w:r>
        <w:t xml:space="preserve">that fall </w:t>
      </w:r>
      <w:r w:rsidR="007C3376">
        <w:t>outside</w:t>
      </w:r>
      <w:r>
        <w:t xml:space="preserve"> the lower and upper frequency limits of the licence and within the 1795</w:t>
      </w:r>
      <w:r w:rsidR="00E90571">
        <w:t>–</w:t>
      </w:r>
      <w:r>
        <w:t>1890 MHz frequency range (i.e.</w:t>
      </w:r>
      <w:r w:rsidR="00E90571">
        <w:t>,</w:t>
      </w:r>
      <w:r>
        <w:t xml:space="preserve"> the </w:t>
      </w:r>
      <w:r w:rsidR="00F21919">
        <w:t xml:space="preserve">licensed </w:t>
      </w:r>
      <w:r>
        <w:t xml:space="preserve">operating band +/- 10 MHz either side). </w:t>
      </w:r>
      <w:r w:rsidR="004A2EFD">
        <w:t xml:space="preserve">Spurious </w:t>
      </w:r>
      <w:r w:rsidR="00A80D61">
        <w:t xml:space="preserve">emissions are those emissions that fall </w:t>
      </w:r>
      <w:r w:rsidR="004A2EFD">
        <w:t xml:space="preserve">outside the </w:t>
      </w:r>
      <w:r w:rsidR="00A80D61">
        <w:t>1795</w:t>
      </w:r>
      <w:r w:rsidR="00E90571">
        <w:t>–</w:t>
      </w:r>
      <w:r w:rsidR="00A80D61">
        <w:t>1890 MHz frequency range.</w:t>
      </w:r>
    </w:p>
    <w:p w14:paraId="2F4BC516" w14:textId="461138EB" w:rsidR="00C61A3F" w:rsidRDefault="004A2EFD" w:rsidP="00CA106D">
      <w:pPr>
        <w:pStyle w:val="ListBullet"/>
        <w:numPr>
          <w:ilvl w:val="0"/>
          <w:numId w:val="0"/>
        </w:numPr>
        <w:ind w:left="579"/>
      </w:pPr>
      <w:r>
        <w:t>Sta</w:t>
      </w:r>
      <w:r w:rsidR="0097693A">
        <w:t>t</w:t>
      </w:r>
      <w:r>
        <w:t xml:space="preserve">e rail operators expressed concern that relaxing the existing </w:t>
      </w:r>
      <w:r w:rsidR="0097693A">
        <w:t xml:space="preserve">out-of-band limits could increase the risk of interference to existing GSM-R terminals. </w:t>
      </w:r>
      <w:r w:rsidR="00C61A3F">
        <w:t xml:space="preserve">While several options were considered, the TLG proposed keeping the existing EIRP limits for non-AAS devices and proposed adopting </w:t>
      </w:r>
      <w:r w:rsidR="0097693A">
        <w:t xml:space="preserve">new </w:t>
      </w:r>
      <w:r w:rsidR="00C61A3F">
        <w:t>TRP limits for AAS devices.</w:t>
      </w:r>
      <w:r w:rsidR="0097693A">
        <w:t xml:space="preserve"> </w:t>
      </w:r>
      <w:r w:rsidR="00C61A3F">
        <w:t>The AAS limits were developed by converting the existing EIRP limits to TRP (by subtracting an assumed antenna gain) and then adding a 9 dB margin.</w:t>
      </w:r>
      <w:r w:rsidR="0097693A">
        <w:t xml:space="preserve"> The resulting out-of-band limits for non-AAS and AAS encompass Category B (option 2) non-AAS limits defined in </w:t>
      </w:r>
      <w:r w:rsidR="0097693A" w:rsidRPr="0038765E">
        <w:t xml:space="preserve">3GPP </w:t>
      </w:r>
      <w:r w:rsidR="0097693A">
        <w:t xml:space="preserve">TS 38.104. </w:t>
      </w:r>
    </w:p>
    <w:p w14:paraId="2F266403" w14:textId="2A4A4031" w:rsidR="00A80D61" w:rsidRDefault="00A80D61" w:rsidP="00AF3F4C">
      <w:pPr>
        <w:spacing w:after="120"/>
        <w:ind w:left="568"/>
      </w:pPr>
      <w:r>
        <w:t xml:space="preserve">The TLG proposed adopting </w:t>
      </w:r>
      <w:r w:rsidR="007C3376">
        <w:t xml:space="preserve">spurious emissions limits specified in </w:t>
      </w:r>
      <w:r w:rsidR="007C3376" w:rsidRPr="0038765E">
        <w:t xml:space="preserve">the 3GPP </w:t>
      </w:r>
      <w:r w:rsidR="007C3376">
        <w:t>TS 38.104 for</w:t>
      </w:r>
      <w:r>
        <w:t xml:space="preserve"> transmitter</w:t>
      </w:r>
      <w:r w:rsidR="00733CCB">
        <w:t>s</w:t>
      </w:r>
      <w:r>
        <w:t xml:space="preserve"> </w:t>
      </w:r>
      <w:r w:rsidR="007C3376">
        <w:t>operating in the upper 1800 MHz</w:t>
      </w:r>
      <w:r w:rsidR="001751AB">
        <w:t xml:space="preserve"> band</w:t>
      </w:r>
      <w:r w:rsidR="007C3376">
        <w:t xml:space="preserve"> </w:t>
      </w:r>
      <w:r>
        <w:t>and receiver</w:t>
      </w:r>
      <w:r w:rsidR="00733CCB">
        <w:t>s</w:t>
      </w:r>
      <w:r>
        <w:t xml:space="preserve"> </w:t>
      </w:r>
      <w:r w:rsidR="007C3376">
        <w:t>operating in the lower 1800 MHz band</w:t>
      </w:r>
      <w:r>
        <w:t xml:space="preserve">. </w:t>
      </w:r>
      <w:r w:rsidRPr="0038765E">
        <w:t xml:space="preserve">3GPP </w:t>
      </w:r>
      <w:r>
        <w:t>TS 38.104 defines separate limits for non-AAS and AAS devices. Non-AAS limits are defined as conducted powers (i.e. mean power) per antenna port. AAS limits are defined in terms of TRP which means they apply to the aggregate emissions from all transmitters</w:t>
      </w:r>
      <w:r w:rsidR="001751AB">
        <w:t xml:space="preserve"> and </w:t>
      </w:r>
      <w:r>
        <w:t xml:space="preserve">receivers that form a </w:t>
      </w:r>
      <w:r w:rsidR="00900DC9">
        <w:t>piece of equipment</w:t>
      </w:r>
      <w:r>
        <w:t xml:space="preserve">.  </w:t>
      </w:r>
    </w:p>
    <w:p w14:paraId="5FE83C0C" w14:textId="10C4F90D" w:rsidR="00BA301C" w:rsidRDefault="007C3376">
      <w:pPr>
        <w:pStyle w:val="ListBullet"/>
        <w:tabs>
          <w:tab w:val="clear" w:pos="295"/>
          <w:tab w:val="num" w:pos="579"/>
        </w:tabs>
        <w:ind w:left="579"/>
      </w:pPr>
      <w:r w:rsidRPr="00DC4B80">
        <w:rPr>
          <w:u w:val="single"/>
        </w:rPr>
        <w:t xml:space="preserve">Unwanted emission limits for transmitters operating in the </w:t>
      </w:r>
      <w:r>
        <w:rPr>
          <w:u w:val="single"/>
        </w:rPr>
        <w:t>lower</w:t>
      </w:r>
      <w:r w:rsidRPr="00DC4B80">
        <w:rPr>
          <w:u w:val="single"/>
        </w:rPr>
        <w:t xml:space="preserve"> 1800 MHz band</w:t>
      </w:r>
      <w:r>
        <w:rPr>
          <w:u w:val="single"/>
        </w:rPr>
        <w:t xml:space="preserve"> and receivers operating in </w:t>
      </w:r>
      <w:r w:rsidR="001751AB">
        <w:rPr>
          <w:u w:val="single"/>
        </w:rPr>
        <w:t xml:space="preserve">the </w:t>
      </w:r>
      <w:r>
        <w:rPr>
          <w:u w:val="single"/>
        </w:rPr>
        <w:t>upper 1800 MHz band</w:t>
      </w:r>
      <w:r w:rsidR="002A567C">
        <w:t xml:space="preserve"> </w:t>
      </w:r>
    </w:p>
    <w:p w14:paraId="05F8BA6B" w14:textId="25CAF455" w:rsidR="002A567C" w:rsidRDefault="007C3376" w:rsidP="00AA165D">
      <w:pPr>
        <w:pStyle w:val="ListBullet"/>
        <w:numPr>
          <w:ilvl w:val="0"/>
          <w:numId w:val="0"/>
        </w:numPr>
        <w:ind w:left="579"/>
      </w:pPr>
      <w:r>
        <w:t xml:space="preserve">For the lower 1800 MHz band, </w:t>
      </w:r>
      <w:r w:rsidR="002A567C">
        <w:t>3GPP TS 38.101-1</w:t>
      </w:r>
      <w:r w:rsidR="000626E2">
        <w:rPr>
          <w:rStyle w:val="FootnoteReference"/>
        </w:rPr>
        <w:footnoteReference w:id="8"/>
      </w:r>
      <w:r w:rsidR="002A567C">
        <w:t xml:space="preserve"> defines </w:t>
      </w:r>
      <w:r>
        <w:t xml:space="preserve">spurious emission limits as applying </w:t>
      </w:r>
      <w:r w:rsidR="002A567C">
        <w:t xml:space="preserve">+/- (channel bandwidth + 5 MHz) </w:t>
      </w:r>
      <w:r>
        <w:t xml:space="preserve">outside </w:t>
      </w:r>
      <w:r w:rsidR="002A567C">
        <w:t>a device’s assigned channel. The largest contiguous bandwidth held in the 1800 MHz band is 40</w:t>
      </w:r>
      <w:r w:rsidR="00900DC9">
        <w:t> </w:t>
      </w:r>
      <w:r w:rsidR="002A567C">
        <w:t xml:space="preserve">MHz. Consequently, it is proposed that for devices operating in the lower 1800 MHz band, the spurious emission limits apply +/- 45 MHz either side of the </w:t>
      </w:r>
      <w:r w:rsidR="00900DC9">
        <w:t>lower 1800 MHz</w:t>
      </w:r>
      <w:r w:rsidR="002A567C">
        <w:t xml:space="preserve"> band</w:t>
      </w:r>
      <w:r>
        <w:t>, i.e.</w:t>
      </w:r>
      <w:r w:rsidR="00E90571">
        <w:t>,</w:t>
      </w:r>
      <w:r>
        <w:t xml:space="preserve"> 1665</w:t>
      </w:r>
      <w:r w:rsidR="00E90571">
        <w:t>–</w:t>
      </w:r>
      <w:r>
        <w:t xml:space="preserve">1830 </w:t>
      </w:r>
      <w:proofErr w:type="spellStart"/>
      <w:r>
        <w:t>MHz</w:t>
      </w:r>
      <w:r w:rsidR="002A567C">
        <w:t>.</w:t>
      </w:r>
      <w:proofErr w:type="spellEnd"/>
      <w:r>
        <w:t xml:space="preserve"> Out-of-band emission limits would </w:t>
      </w:r>
      <w:r w:rsidR="00220213">
        <w:t xml:space="preserve">then </w:t>
      </w:r>
      <w:r>
        <w:t>apply within the 1665</w:t>
      </w:r>
      <w:r w:rsidR="00E90571">
        <w:t>–</w:t>
      </w:r>
      <w:r>
        <w:t>1830 MHz band and outside the lower and upper frequency limits of the licence.</w:t>
      </w:r>
    </w:p>
    <w:p w14:paraId="2A1E2AAE" w14:textId="27101D12" w:rsidR="002A567C" w:rsidRDefault="002A567C" w:rsidP="002A567C">
      <w:pPr>
        <w:pStyle w:val="ListBullet"/>
        <w:numPr>
          <w:ilvl w:val="0"/>
          <w:numId w:val="0"/>
        </w:numPr>
        <w:ind w:left="579"/>
      </w:pPr>
      <w:r>
        <w:t>It is considered unlikely that transmitters with AAS will be deployed in the 1800</w:t>
      </w:r>
      <w:r w:rsidR="001751AB">
        <w:t> </w:t>
      </w:r>
      <w:r>
        <w:t xml:space="preserve">MHz lower band. This means the same </w:t>
      </w:r>
      <w:r w:rsidR="00220213">
        <w:t xml:space="preserve">out-of-band and </w:t>
      </w:r>
      <w:r>
        <w:t xml:space="preserve">spurious emission limits can be applied for all transmitters. In the event AAS are deployed, it is proposed to define the limits in terms of TRP. </w:t>
      </w:r>
    </w:p>
    <w:p w14:paraId="199A6962" w14:textId="30380CC3" w:rsidR="002A567C" w:rsidRDefault="002A567C" w:rsidP="002A567C">
      <w:pPr>
        <w:pStyle w:val="ListBullet"/>
        <w:numPr>
          <w:ilvl w:val="0"/>
          <w:numId w:val="0"/>
        </w:numPr>
        <w:ind w:left="579"/>
      </w:pPr>
      <w:r>
        <w:t>The TLG did not consider any amendments to the i</w:t>
      </w:r>
      <w:r w:rsidRPr="0006683D">
        <w:t>n-band</w:t>
      </w:r>
      <w:r>
        <w:t xml:space="preserve"> unwanted emission limits in the lower 1800 MHz band, as licensees considered </w:t>
      </w:r>
      <w:r w:rsidR="00E37FB9">
        <w:t>the existing requirements meet the needs of the band.</w:t>
      </w:r>
      <w:r w:rsidR="00220213">
        <w:t xml:space="preserve"> However, clarification is provided to the frequency range these and </w:t>
      </w:r>
      <w:r w:rsidR="00900DC9">
        <w:t xml:space="preserve">the </w:t>
      </w:r>
      <w:r w:rsidR="00220213">
        <w:t xml:space="preserve">spurious emissions limits apply </w:t>
      </w:r>
      <w:r w:rsidR="001751AB">
        <w:t>to</w:t>
      </w:r>
      <w:r w:rsidR="00220213">
        <w:t>.</w:t>
      </w:r>
    </w:p>
    <w:p w14:paraId="05C5BDA9" w14:textId="714E6AC8" w:rsidR="003002F2" w:rsidRDefault="00900DC9" w:rsidP="00AF3F4C">
      <w:pPr>
        <w:pStyle w:val="ListBullet"/>
        <w:numPr>
          <w:ilvl w:val="0"/>
          <w:numId w:val="0"/>
        </w:numPr>
        <w:spacing w:after="120"/>
        <w:ind w:left="579"/>
      </w:pPr>
      <w:r>
        <w:lastRenderedPageBreak/>
        <w:t>Similar to</w:t>
      </w:r>
      <w:r w:rsidR="00E37FB9">
        <w:t xml:space="preserve"> the upper 1800 MHz band, the TLG proposed adopting the transmitter and receiver spurious emissions limits specified in </w:t>
      </w:r>
      <w:r w:rsidR="00E37FB9" w:rsidRPr="0038765E">
        <w:t xml:space="preserve">the 3GPP </w:t>
      </w:r>
      <w:r w:rsidR="00E37FB9">
        <w:t>TS 38.101</w:t>
      </w:r>
      <w:r w:rsidR="00220213">
        <w:t>-1 but specifying them in terms of TRP rather than conducted power</w:t>
      </w:r>
      <w:r w:rsidR="00E37FB9">
        <w:t>.</w:t>
      </w:r>
    </w:p>
    <w:p w14:paraId="2A9DBAD4" w14:textId="48F4330A" w:rsidR="002A567C" w:rsidRDefault="00DE0A95" w:rsidP="00AA165D">
      <w:pPr>
        <w:pStyle w:val="ListBullet"/>
        <w:numPr>
          <w:ilvl w:val="0"/>
          <w:numId w:val="0"/>
        </w:numPr>
        <w:spacing w:after="120"/>
        <w:ind w:left="295" w:hanging="295"/>
      </w:pPr>
      <w:r>
        <w:t>Figure</w:t>
      </w:r>
      <w:r w:rsidR="00F23F6D">
        <w:t>s</w:t>
      </w:r>
      <w:r>
        <w:t xml:space="preserve"> 1–</w:t>
      </w:r>
      <w:r w:rsidR="00211AE0">
        <w:t>4</w:t>
      </w:r>
      <w:r w:rsidR="00320689">
        <w:t xml:space="preserve"> </w:t>
      </w:r>
      <w:r w:rsidR="00310340">
        <w:t xml:space="preserve">illustrate the proposed </w:t>
      </w:r>
      <w:r w:rsidR="00CE1BCC">
        <w:t xml:space="preserve">transmitter </w:t>
      </w:r>
      <w:r w:rsidR="00310340">
        <w:t>unwanted emission limits</w:t>
      </w:r>
      <w:r>
        <w:t>.</w:t>
      </w:r>
    </w:p>
    <w:p w14:paraId="7117FAC4" w14:textId="5B56EAA9" w:rsidR="003002F2" w:rsidRDefault="00873A1C" w:rsidP="00C725C6">
      <w:pPr>
        <w:pStyle w:val="ACMAFigureHeader"/>
        <w:numPr>
          <w:ilvl w:val="0"/>
          <w:numId w:val="18"/>
        </w:numPr>
        <w:spacing w:before="360" w:after="60"/>
      </w:pPr>
      <w:r>
        <w:t xml:space="preserve">Transmitters operating in the upper 1800 MHz band: </w:t>
      </w:r>
      <w:r w:rsidR="003002F2">
        <w:t>Proposed unwanted emission limits</w:t>
      </w:r>
      <w:r>
        <w:t xml:space="preserve"> in the 1795</w:t>
      </w:r>
      <w:r w:rsidR="00322DE0">
        <w:t>–</w:t>
      </w:r>
      <w:r>
        <w:t>1890 MHz band</w:t>
      </w:r>
    </w:p>
    <w:p w14:paraId="1A3609C9" w14:textId="4A5C06C3" w:rsidR="003002F2" w:rsidRDefault="00211AE0" w:rsidP="003002F2">
      <w:pPr>
        <w:pStyle w:val="ListBullet"/>
        <w:numPr>
          <w:ilvl w:val="0"/>
          <w:numId w:val="0"/>
        </w:numPr>
        <w:spacing w:after="120"/>
        <w:ind w:left="295" w:hanging="295"/>
      </w:pPr>
      <w:r>
        <w:rPr>
          <w:noProof/>
        </w:rPr>
        <w:drawing>
          <wp:inline distT="0" distB="0" distL="0" distR="0" wp14:anchorId="67A2C726" wp14:editId="35FDCB47">
            <wp:extent cx="4860000" cy="3179554"/>
            <wp:effectExtent l="0" t="0" r="0" b="1905"/>
            <wp:docPr id="3" name="Picture 3" descr="Figure 1: Transmitters operating in the upper 1800 MHz band: Proposed unwanted emission limits in the 1795–1890 MHz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1: Transmitters operating in the upper 1800 MHz band: Proposed unwanted emission limits in the 1795–1890 MHz ban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60000" cy="3179554"/>
                    </a:xfrm>
                    <a:prstGeom prst="rect">
                      <a:avLst/>
                    </a:prstGeom>
                    <a:noFill/>
                  </pic:spPr>
                </pic:pic>
              </a:graphicData>
            </a:graphic>
          </wp:inline>
        </w:drawing>
      </w:r>
    </w:p>
    <w:p w14:paraId="5E3BB177" w14:textId="3075420B" w:rsidR="00211AE0" w:rsidRDefault="00211AE0" w:rsidP="00C725C6">
      <w:pPr>
        <w:pStyle w:val="ACMAFigureHeader"/>
        <w:numPr>
          <w:ilvl w:val="0"/>
          <w:numId w:val="18"/>
        </w:numPr>
        <w:spacing w:before="360" w:after="60"/>
      </w:pPr>
      <w:r>
        <w:t>Transmitters operating in the lower 1800 MHz band: Proposed unwanted emission limits in the 1665</w:t>
      </w:r>
      <w:r w:rsidR="00322DE0">
        <w:t>–</w:t>
      </w:r>
      <w:r>
        <w:t>1830 MHz band</w:t>
      </w:r>
    </w:p>
    <w:p w14:paraId="325F4878" w14:textId="6CBB521A" w:rsidR="00211AE0" w:rsidRDefault="00211AE0" w:rsidP="003002F2">
      <w:pPr>
        <w:pStyle w:val="ListBullet"/>
        <w:numPr>
          <w:ilvl w:val="0"/>
          <w:numId w:val="0"/>
        </w:numPr>
        <w:spacing w:after="120"/>
        <w:ind w:left="295" w:hanging="295"/>
      </w:pPr>
      <w:r>
        <w:rPr>
          <w:noProof/>
        </w:rPr>
        <w:drawing>
          <wp:inline distT="0" distB="0" distL="0" distR="0" wp14:anchorId="58C2406C" wp14:editId="349E9F7A">
            <wp:extent cx="4860000" cy="3179554"/>
            <wp:effectExtent l="0" t="0" r="0" b="1905"/>
            <wp:docPr id="4" name="Picture 4" descr="Figure 2: Transmitters operating in the lower 1800 MHz band: Proposed unwanted emission limits in the 1665-1830 MHz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2: Transmitters operating in the lower 1800 MHz band: Proposed unwanted emission limits in the 1665-1830 MHz ban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60000" cy="3179554"/>
                    </a:xfrm>
                    <a:prstGeom prst="rect">
                      <a:avLst/>
                    </a:prstGeom>
                    <a:noFill/>
                  </pic:spPr>
                </pic:pic>
              </a:graphicData>
            </a:graphic>
          </wp:inline>
        </w:drawing>
      </w:r>
    </w:p>
    <w:p w14:paraId="11141DCE" w14:textId="1D736203" w:rsidR="003002F2" w:rsidRDefault="00873A1C" w:rsidP="00C725C6">
      <w:pPr>
        <w:pStyle w:val="ACMAFigureHeader"/>
        <w:numPr>
          <w:ilvl w:val="0"/>
          <w:numId w:val="18"/>
        </w:numPr>
        <w:spacing w:before="360" w:after="60"/>
      </w:pPr>
      <w:r>
        <w:lastRenderedPageBreak/>
        <w:t xml:space="preserve">Transmitters operating in the upper 1800 MHz band: </w:t>
      </w:r>
      <w:r w:rsidR="003002F2">
        <w:t>Proposed transmitter unwanted emission limits</w:t>
      </w:r>
      <w:r>
        <w:t xml:space="preserve"> outside the 179</w:t>
      </w:r>
      <w:r w:rsidR="0021498B">
        <w:t>5</w:t>
      </w:r>
      <w:r w:rsidR="00322DE0">
        <w:t>–</w:t>
      </w:r>
      <w:r>
        <w:t>1890 MHz band</w:t>
      </w:r>
    </w:p>
    <w:p w14:paraId="124A914E" w14:textId="477C53EF" w:rsidR="003002F2" w:rsidRDefault="00211AE0" w:rsidP="003002F2">
      <w:pPr>
        <w:pStyle w:val="ListBullet"/>
        <w:numPr>
          <w:ilvl w:val="0"/>
          <w:numId w:val="0"/>
        </w:numPr>
        <w:spacing w:after="120"/>
        <w:ind w:left="295" w:hanging="295"/>
      </w:pPr>
      <w:r>
        <w:rPr>
          <w:noProof/>
        </w:rPr>
        <w:drawing>
          <wp:inline distT="0" distB="0" distL="0" distR="0" wp14:anchorId="78C4F704" wp14:editId="5339B0F4">
            <wp:extent cx="4860000" cy="3179554"/>
            <wp:effectExtent l="0" t="0" r="0" b="1905"/>
            <wp:docPr id="5" name="Picture 5" descr="Figure 3: Transmitters operating in the upper 1800 MHz band: Proposed transmitter unwanted emission limits outside the 1795–1890 MHz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3: Transmitters operating in the upper 1800 MHz band: Proposed transmitter unwanted emission limits outside the 1795–1890 MHz ban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60000" cy="3179554"/>
                    </a:xfrm>
                    <a:prstGeom prst="rect">
                      <a:avLst/>
                    </a:prstGeom>
                    <a:noFill/>
                  </pic:spPr>
                </pic:pic>
              </a:graphicData>
            </a:graphic>
          </wp:inline>
        </w:drawing>
      </w:r>
    </w:p>
    <w:p w14:paraId="20E1E43A" w14:textId="6E83C18A" w:rsidR="00211AE0" w:rsidRDefault="00211AE0" w:rsidP="00C725C6">
      <w:pPr>
        <w:pStyle w:val="ACMAFigureHeader"/>
        <w:numPr>
          <w:ilvl w:val="0"/>
          <w:numId w:val="18"/>
        </w:numPr>
        <w:spacing w:before="360" w:after="60"/>
      </w:pPr>
      <w:r>
        <w:t>Transmitters operating in the lower 1800 MHz band: Proposed transmitter unwanted emission limits outside the 1665</w:t>
      </w:r>
      <w:r w:rsidR="00322DE0">
        <w:t>–</w:t>
      </w:r>
      <w:r>
        <w:t>1830 MHz band</w:t>
      </w:r>
    </w:p>
    <w:p w14:paraId="498D1778" w14:textId="73FDDA63" w:rsidR="003002F2" w:rsidRDefault="00211AE0">
      <w:pPr>
        <w:spacing w:after="0" w:line="240" w:lineRule="auto"/>
        <w:rPr>
          <w:b/>
          <w:bCs/>
          <w:color w:val="323232"/>
          <w:szCs w:val="20"/>
        </w:rPr>
      </w:pPr>
      <w:r>
        <w:rPr>
          <w:noProof/>
        </w:rPr>
        <w:drawing>
          <wp:inline distT="0" distB="0" distL="0" distR="0" wp14:anchorId="40D35EE6" wp14:editId="42CFB26B">
            <wp:extent cx="4860000" cy="3179554"/>
            <wp:effectExtent l="0" t="0" r="0" b="1905"/>
            <wp:docPr id="7" name="Picture 7" descr="Figure 4: Transmitters operating in the lower 1800 MHz band: Proposed transmitter unwanted emission limits outside the 1665–1830 MHz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gure 4: Transmitters operating in the lower 1800 MHz band: Proposed transmitter unwanted emission limits outside the 1665–1830 MHz ban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860000" cy="3179554"/>
                    </a:xfrm>
                    <a:prstGeom prst="rect">
                      <a:avLst/>
                    </a:prstGeom>
                    <a:noFill/>
                  </pic:spPr>
                </pic:pic>
              </a:graphicData>
            </a:graphic>
          </wp:inline>
        </w:drawing>
      </w:r>
    </w:p>
    <w:p w14:paraId="0CDC2E4E" w14:textId="76659148" w:rsidR="00332835" w:rsidRDefault="00332835">
      <w:pPr>
        <w:spacing w:after="0" w:line="240" w:lineRule="auto"/>
        <w:rPr>
          <w:rFonts w:cs="Arial"/>
        </w:rPr>
      </w:pPr>
    </w:p>
    <w:p w14:paraId="75B16A2A" w14:textId="24CE21A8" w:rsidR="004926FB" w:rsidRDefault="0079270C" w:rsidP="00212DCF">
      <w:pPr>
        <w:pStyle w:val="ListBullet"/>
        <w:numPr>
          <w:ilvl w:val="0"/>
          <w:numId w:val="0"/>
        </w:numPr>
        <w:spacing w:after="240"/>
      </w:pPr>
      <w:r>
        <w:t xml:space="preserve">While all aspects of the proposed changes to conditions </w:t>
      </w:r>
      <w:r w:rsidR="00966B22">
        <w:t xml:space="preserve">of </w:t>
      </w:r>
      <w:r>
        <w:t>1800 MHz spectrum licence</w:t>
      </w:r>
      <w:r w:rsidR="00966B22">
        <w:t>s</w:t>
      </w:r>
      <w:r>
        <w:t xml:space="preserve"> are open for comment, the ACMA would like to draw attention to the proposed frequency range </w:t>
      </w:r>
      <w:r w:rsidR="00DF58C2">
        <w:t>in</w:t>
      </w:r>
      <w:r w:rsidR="008316EE">
        <w:t xml:space="preserve"> </w:t>
      </w:r>
      <w:r w:rsidR="00DF58C2">
        <w:t>which the</w:t>
      </w:r>
      <w:r>
        <w:t xml:space="preserve"> out-of-band emission limits </w:t>
      </w:r>
      <w:r w:rsidR="00DF58C2">
        <w:t xml:space="preserve">would </w:t>
      </w:r>
      <w:r>
        <w:t xml:space="preserve">apply for transmitters operating in the </w:t>
      </w:r>
      <w:r w:rsidR="00DF58C2">
        <w:t xml:space="preserve">lower </w:t>
      </w:r>
      <w:r>
        <w:t xml:space="preserve">1800 MHz band. </w:t>
      </w:r>
    </w:p>
    <w:p w14:paraId="2544F122" w14:textId="2BD9DDF2" w:rsidR="00212DCF" w:rsidRDefault="0079270C" w:rsidP="00212DCF">
      <w:pPr>
        <w:pStyle w:val="ListBullet"/>
        <w:numPr>
          <w:ilvl w:val="0"/>
          <w:numId w:val="0"/>
        </w:numPr>
        <w:spacing w:after="240"/>
        <w:rPr>
          <w:rFonts w:cs="Arial"/>
        </w:rPr>
      </w:pPr>
      <w:r>
        <w:lastRenderedPageBreak/>
        <w:t>The frequency range identified in the TLG is based on the maximum contiguous bandwidth currently held by a licensee in the 1800 MHz band. However, it may be possible for larger bandwidths to be obtained via trading. In this case, the proposed changes to the frequency range</w:t>
      </w:r>
      <w:r w:rsidR="00966B22">
        <w:t xml:space="preserve"> to which</w:t>
      </w:r>
      <w:r w:rsidR="004926FB">
        <w:t xml:space="preserve"> </w:t>
      </w:r>
      <w:r>
        <w:t xml:space="preserve">the </w:t>
      </w:r>
      <w:r w:rsidR="00DF58C2">
        <w:t xml:space="preserve">out-of-band </w:t>
      </w:r>
      <w:r>
        <w:t xml:space="preserve">emission </w:t>
      </w:r>
      <w:r w:rsidR="00966B22">
        <w:t xml:space="preserve">limits </w:t>
      </w:r>
      <w:r w:rsidR="00DF58C2">
        <w:t xml:space="preserve">would </w:t>
      </w:r>
      <w:r w:rsidR="00900DC9">
        <w:t xml:space="preserve">apply </w:t>
      </w:r>
      <w:r w:rsidR="00966B22">
        <w:t>may</w:t>
      </w:r>
      <w:r>
        <w:t xml:space="preserve"> not enable devices to fully utilise this bandwidth. The ACMA is interested in feedback on whether a larger frequency range</w:t>
      </w:r>
      <w:r w:rsidR="00DF58C2">
        <w:t>,</w:t>
      </w:r>
      <w:r>
        <w:t xml:space="preserve"> or alternate means to define the frequency range</w:t>
      </w:r>
      <w:r w:rsidR="00DF58C2">
        <w:t>,</w:t>
      </w:r>
      <w:r>
        <w:t xml:space="preserve"> should be considered. For example, the out-of-band emissions could apply +/- (licensed bandwidth in an area + 5 MHz) either side of the lower and upper frequency limits of the licence. Spurious emission limits would then apply outside this frequency range</w:t>
      </w:r>
      <w:r w:rsidR="00B50434">
        <w:t>.</w:t>
      </w:r>
    </w:p>
    <w:tbl>
      <w:tblPr>
        <w:tblW w:w="7902"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2"/>
      </w:tblGrid>
      <w:tr w:rsidR="006F0D3A" w14:paraId="367455B7" w14:textId="77777777" w:rsidTr="00C725C6">
        <w:trPr>
          <w:trHeight w:val="2211"/>
        </w:trPr>
        <w:tc>
          <w:tcPr>
            <w:tcW w:w="7902" w:type="dxa"/>
            <w:shd w:val="clear" w:color="auto" w:fill="D9D9D9" w:themeFill="background1" w:themeFillShade="D9"/>
          </w:tcPr>
          <w:p w14:paraId="32D52835" w14:textId="4FA4AAAA" w:rsidR="006F0D3A" w:rsidRDefault="006F0D3A" w:rsidP="00C725C6">
            <w:pPr>
              <w:pStyle w:val="Paragraph"/>
              <w:numPr>
                <w:ilvl w:val="0"/>
                <w:numId w:val="53"/>
              </w:numPr>
              <w:spacing w:before="100"/>
              <w:ind w:left="286" w:hanging="286"/>
            </w:pPr>
            <w:r w:rsidRPr="00F87DD1">
              <w:t xml:space="preserve">While all aspects of the proposed changes to conditions </w:t>
            </w:r>
            <w:r>
              <w:t xml:space="preserve">of spectrum licences in the 1800 MHz band (1800 MHz spectrum licences) </w:t>
            </w:r>
            <w:r w:rsidRPr="00F87DD1">
              <w:t xml:space="preserve">are open for comment, the ACMA would like to draw attention to the proposed frequency range that out-of-band emission limits </w:t>
            </w:r>
            <w:r>
              <w:t xml:space="preserve">would </w:t>
            </w:r>
            <w:r w:rsidRPr="00F87DD1">
              <w:t>apply for transmitters operating in the lower 1800 MHz band</w:t>
            </w:r>
            <w:r>
              <w:t xml:space="preserve"> (1710-1785 MHz)</w:t>
            </w:r>
            <w:r w:rsidRPr="00F87DD1">
              <w:t>. Comment is sought on whether the frequency range should be</w:t>
            </w:r>
            <w:r>
              <w:t>: (a)+/- 45 MHz either side of the lower 1800 MHz band or (b) +/- (licensed bandwidth + 5 MHz) measured from the lower and upper frequency limits of the licence in a defined area? Other proposals could also be considered.</w:t>
            </w:r>
          </w:p>
        </w:tc>
      </w:tr>
    </w:tbl>
    <w:p w14:paraId="7D902B88" w14:textId="1B9738F1" w:rsidR="00212DCF" w:rsidRPr="005B30E4" w:rsidRDefault="00212DCF" w:rsidP="00C725C6">
      <w:pPr>
        <w:pStyle w:val="Paragraph"/>
      </w:pPr>
    </w:p>
    <w:p w14:paraId="0F358770" w14:textId="3DB71390" w:rsidR="00DF420B" w:rsidRDefault="00786320" w:rsidP="00DF420B">
      <w:pPr>
        <w:pStyle w:val="ListBullet"/>
      </w:pPr>
      <w:r>
        <w:rPr>
          <w:b/>
          <w:bCs/>
        </w:rPr>
        <w:t>D</w:t>
      </w:r>
      <w:r w:rsidR="006047AD" w:rsidRPr="00F1089B">
        <w:rPr>
          <w:b/>
          <w:bCs/>
        </w:rPr>
        <w:t>efinition of devices exempt</w:t>
      </w:r>
      <w:r w:rsidR="00AB2B3F" w:rsidRPr="00F1089B">
        <w:rPr>
          <w:b/>
          <w:bCs/>
        </w:rPr>
        <w:t xml:space="preserve"> </w:t>
      </w:r>
      <w:r w:rsidR="009D3236" w:rsidRPr="00F1089B">
        <w:rPr>
          <w:b/>
          <w:bCs/>
        </w:rPr>
        <w:t>from registration</w:t>
      </w:r>
      <w:r w:rsidR="00C44BAD">
        <w:t>.</w:t>
      </w:r>
      <w:r w:rsidR="009D3236" w:rsidRPr="00602151">
        <w:t xml:space="preserve"> </w:t>
      </w:r>
      <w:r w:rsidR="00B231EE">
        <w:t>For</w:t>
      </w:r>
      <w:r w:rsidR="00493DF4">
        <w:t xml:space="preserve"> </w:t>
      </w:r>
      <w:r w:rsidR="009700B6">
        <w:t>1800 MHz</w:t>
      </w:r>
      <w:r w:rsidR="00493DF4">
        <w:t xml:space="preserve"> spectrum licences, those devices that are exempt from registration </w:t>
      </w:r>
      <w:r w:rsidR="00220213">
        <w:t>o</w:t>
      </w:r>
      <w:r w:rsidR="00F03381">
        <w:t xml:space="preserve">n </w:t>
      </w:r>
      <w:r w:rsidR="00493DF4">
        <w:t xml:space="preserve">the Register </w:t>
      </w:r>
      <w:r w:rsidR="00220213">
        <w:t xml:space="preserve">of Radiocommunications Licences </w:t>
      </w:r>
      <w:r w:rsidR="00493DF4">
        <w:t>are identified by reference to their</w:t>
      </w:r>
      <w:r w:rsidR="00493DF4" w:rsidRPr="00CB7345">
        <w:t xml:space="preserve"> </w:t>
      </w:r>
      <w:r w:rsidR="006047AD" w:rsidRPr="00602151">
        <w:t>maximum EIRP. To align with a change in metric from EIRP to TRP</w:t>
      </w:r>
      <w:r w:rsidR="00FE58DF" w:rsidRPr="00602151">
        <w:t xml:space="preserve"> </w:t>
      </w:r>
      <w:r w:rsidR="00E2349B">
        <w:t xml:space="preserve">for AAS </w:t>
      </w:r>
      <w:r w:rsidR="00FE58DF" w:rsidRPr="00602151">
        <w:t xml:space="preserve">and </w:t>
      </w:r>
      <w:r w:rsidR="00493DF4">
        <w:t xml:space="preserve">to </w:t>
      </w:r>
      <w:r w:rsidR="00FE58DF" w:rsidRPr="00602151">
        <w:t xml:space="preserve">simplify the </w:t>
      </w:r>
      <w:r w:rsidR="00493DF4">
        <w:t>licence condition</w:t>
      </w:r>
      <w:r w:rsidR="00FE58DF" w:rsidRPr="00602151">
        <w:t>,</w:t>
      </w:r>
      <w:r w:rsidR="006047AD" w:rsidRPr="00602151">
        <w:t xml:space="preserve"> </w:t>
      </w:r>
      <w:r w:rsidR="00FE58DF" w:rsidRPr="00602151">
        <w:t>the TLG</w:t>
      </w:r>
      <w:r w:rsidR="006047AD" w:rsidRPr="00602151">
        <w:t xml:space="preserve"> proposed to amend this definition</w:t>
      </w:r>
      <w:r w:rsidR="00AB2B3F" w:rsidRPr="00602151">
        <w:t xml:space="preserve"> to </w:t>
      </w:r>
      <w:r w:rsidR="00B50434">
        <w:t xml:space="preserve">adopt similar arrangements applied in other </w:t>
      </w:r>
      <w:r w:rsidR="00AB2B3F" w:rsidRPr="00602151">
        <w:t>technical framework</w:t>
      </w:r>
      <w:r w:rsidR="00B50434">
        <w:t xml:space="preserve"> update</w:t>
      </w:r>
      <w:r w:rsidR="00E2349B">
        <w:t>s</w:t>
      </w:r>
      <w:r w:rsidR="00DF420B">
        <w:t xml:space="preserve">. </w:t>
      </w:r>
    </w:p>
    <w:p w14:paraId="65A24D13" w14:textId="3376639D" w:rsidR="00784D04" w:rsidRDefault="00DF420B" w:rsidP="00AF3F4C">
      <w:pPr>
        <w:pStyle w:val="ListBullet"/>
        <w:numPr>
          <w:ilvl w:val="0"/>
          <w:numId w:val="0"/>
        </w:numPr>
        <w:ind w:left="295"/>
      </w:pPr>
      <w:r>
        <w:t>The TLG proposed to maintain the existing EIRP limit of 39 dBm/30 kHz for GSM-R transmitters.</w:t>
      </w:r>
      <w:r w:rsidR="00B231EE">
        <w:t xml:space="preserve"> </w:t>
      </w:r>
      <w:r w:rsidR="00594875">
        <w:t xml:space="preserve">This aligns with limits defined for rail cab radios in </w:t>
      </w:r>
      <w:r w:rsidR="00594875">
        <w:rPr>
          <w:szCs w:val="20"/>
        </w:rPr>
        <w:t>EIRENE</w:t>
      </w:r>
      <w:r w:rsidR="00DF62EC">
        <w:rPr>
          <w:rStyle w:val="FootnoteReference"/>
          <w:szCs w:val="20"/>
        </w:rPr>
        <w:footnoteReference w:id="9"/>
      </w:r>
      <w:r w:rsidR="00594875">
        <w:rPr>
          <w:szCs w:val="20"/>
        </w:rPr>
        <w:t xml:space="preserve"> System Requirements Specification Version 15.1</w:t>
      </w:r>
      <w:r w:rsidR="00C44BAD">
        <w:rPr>
          <w:szCs w:val="20"/>
        </w:rPr>
        <w:t>.</w:t>
      </w:r>
      <w:r w:rsidR="00DF62EC">
        <w:rPr>
          <w:rStyle w:val="FootnoteReference"/>
          <w:szCs w:val="20"/>
        </w:rPr>
        <w:footnoteReference w:id="10"/>
      </w:r>
      <w:r>
        <w:t xml:space="preserve"> For other mobile transmitters, an in-band TRP limit for unregistered devices of 28 dBm per occupied bandwidth was proposed. </w:t>
      </w:r>
      <w:r w:rsidRPr="00F33A30">
        <w:t>This</w:t>
      </w:r>
      <w:r w:rsidR="00B231EE">
        <w:t xml:space="preserve"> aligns with the registration exemption requirements in place for the</w:t>
      </w:r>
      <w:r w:rsidR="00E806B5">
        <w:t xml:space="preserve"> 2.3 GHz and 3.4 G</w:t>
      </w:r>
      <w:r w:rsidR="00564155">
        <w:t>H</w:t>
      </w:r>
      <w:r w:rsidR="00E806B5">
        <w:t xml:space="preserve">z </w:t>
      </w:r>
      <w:r w:rsidR="00966B22">
        <w:t xml:space="preserve">bands </w:t>
      </w:r>
      <w:r w:rsidR="00E806B5">
        <w:t>and would</w:t>
      </w:r>
      <w:r w:rsidRPr="00F33A30">
        <w:t xml:space="preserve"> cover existing and future </w:t>
      </w:r>
      <w:r w:rsidR="00B231EE">
        <w:t>user terminals</w:t>
      </w:r>
      <w:r w:rsidRPr="00F33A30">
        <w:t xml:space="preserve"> a</w:t>
      </w:r>
      <w:r w:rsidR="00594875">
        <w:t>s well as</w:t>
      </w:r>
      <w:r w:rsidRPr="00F33A30">
        <w:t xml:space="preserve"> other devices such as repeaters and </w:t>
      </w:r>
      <w:r>
        <w:t>small cells</w:t>
      </w:r>
      <w:r w:rsidRPr="00F33A30">
        <w:t xml:space="preserve"> with higher gain</w:t>
      </w:r>
      <w:r w:rsidR="00B231EE">
        <w:t xml:space="preserve"> antennas</w:t>
      </w:r>
      <w:r>
        <w:t>.</w:t>
      </w:r>
      <w:r w:rsidR="00E806B5">
        <w:t xml:space="preserve"> </w:t>
      </w:r>
    </w:p>
    <w:p w14:paraId="767DFFE4" w14:textId="7ECEF0F3" w:rsidR="00DF420B" w:rsidRPr="00602151" w:rsidRDefault="00E806B5" w:rsidP="00AF3F4C">
      <w:pPr>
        <w:pStyle w:val="ListBullet"/>
        <w:numPr>
          <w:ilvl w:val="0"/>
          <w:numId w:val="0"/>
        </w:numPr>
        <w:ind w:left="295"/>
      </w:pPr>
      <w:r>
        <w:t xml:space="preserve">The TLG </w:t>
      </w:r>
      <w:r w:rsidR="00B231EE">
        <w:t xml:space="preserve">also proposed to include </w:t>
      </w:r>
      <w:r>
        <w:t xml:space="preserve">an additional </w:t>
      </w:r>
      <w:r w:rsidR="00B231EE">
        <w:t xml:space="preserve">definition </w:t>
      </w:r>
      <w:r w:rsidR="00594875">
        <w:t xml:space="preserve">to </w:t>
      </w:r>
      <w:r w:rsidR="00B231EE">
        <w:t xml:space="preserve">exempt </w:t>
      </w:r>
      <w:r w:rsidR="00594875">
        <w:t xml:space="preserve">future </w:t>
      </w:r>
      <w:r w:rsidR="00B231EE">
        <w:t xml:space="preserve">high powered FRMCS cab radios from having to be registered. In this case, the </w:t>
      </w:r>
      <w:r w:rsidR="00B231EE" w:rsidRPr="00431641">
        <w:t xml:space="preserve">European Union report </w:t>
      </w:r>
      <w:hyperlink r:id="rId36" w:history="1">
        <w:r w:rsidR="00B231EE" w:rsidRPr="00431641">
          <w:rPr>
            <w:rStyle w:val="Hyperlink"/>
          </w:rPr>
          <w:t>Study On The Architecture Of On-Board Radio Communication Equipment</w:t>
        </w:r>
      </w:hyperlink>
      <w:r w:rsidR="00B231EE" w:rsidRPr="00431641">
        <w:t xml:space="preserve"> </w:t>
      </w:r>
      <w:r w:rsidR="00B231EE">
        <w:t xml:space="preserve">specifies </w:t>
      </w:r>
      <w:r w:rsidR="00733CCB">
        <w:t xml:space="preserve">a </w:t>
      </w:r>
      <w:r w:rsidR="00B231EE">
        <w:t xml:space="preserve">maximum TRP of </w:t>
      </w:r>
      <w:r w:rsidRPr="00431641">
        <w:t>31 dBm per occupied bandwidth</w:t>
      </w:r>
      <w:r w:rsidR="00B231EE">
        <w:t xml:space="preserve"> should be supported</w:t>
      </w:r>
      <w:r w:rsidR="006047AD" w:rsidRPr="00602151">
        <w:t xml:space="preserve">. </w:t>
      </w:r>
    </w:p>
    <w:p w14:paraId="356F7B53" w14:textId="5577F0D5" w:rsidR="000745BE" w:rsidRPr="00602151" w:rsidRDefault="00493DF4" w:rsidP="00F1089B">
      <w:pPr>
        <w:pStyle w:val="Heading4"/>
      </w:pPr>
      <w:r>
        <w:t>U</w:t>
      </w:r>
      <w:r w:rsidR="000745BE" w:rsidRPr="00602151">
        <w:t>nacceptable levels of interference</w:t>
      </w:r>
      <w:r>
        <w:t xml:space="preserve"> </w:t>
      </w:r>
      <w:r w:rsidR="00C75C4B">
        <w:t xml:space="preserve">– </w:t>
      </w:r>
      <w:r>
        <w:t>s.145(4) determination</w:t>
      </w:r>
    </w:p>
    <w:p w14:paraId="55BECE78" w14:textId="5FD851E1" w:rsidR="002F78B6" w:rsidRPr="00602151" w:rsidRDefault="00FD1F57" w:rsidP="002A61F9">
      <w:pPr>
        <w:pStyle w:val="ListBullet"/>
        <w:numPr>
          <w:ilvl w:val="0"/>
          <w:numId w:val="0"/>
        </w:numPr>
        <w:spacing w:after="240"/>
        <w:rPr>
          <w:rFonts w:cs="Arial"/>
        </w:rPr>
      </w:pPr>
      <w:r>
        <w:t>Most</w:t>
      </w:r>
      <w:r w:rsidR="002F78B6" w:rsidRPr="00602151">
        <w:t xml:space="preserve"> of the changes proposed by </w:t>
      </w:r>
      <w:r w:rsidR="009700B6">
        <w:t>1800 MHz</w:t>
      </w:r>
      <w:r w:rsidR="009C3741">
        <w:t xml:space="preserve"> band </w:t>
      </w:r>
      <w:r w:rsidR="002F78B6" w:rsidRPr="00602151">
        <w:t>spectrum licensees</w:t>
      </w:r>
      <w:r w:rsidR="005C051D" w:rsidRPr="00602151">
        <w:t xml:space="preserve"> (and the TLG)</w:t>
      </w:r>
      <w:r w:rsidR="002F78B6" w:rsidRPr="00602151">
        <w:t xml:space="preserve"> include innovations adopted in s.145(4) determinations that were implemented in the </w:t>
      </w:r>
      <w:r w:rsidR="00DC2129">
        <w:t>previous</w:t>
      </w:r>
      <w:r w:rsidR="00DC2129" w:rsidRPr="00602151">
        <w:t xml:space="preserve"> </w:t>
      </w:r>
      <w:r w:rsidR="002F78B6" w:rsidRPr="00602151">
        <w:t>review of the determination</w:t>
      </w:r>
      <w:r w:rsidR="00966B22">
        <w:t>s</w:t>
      </w:r>
      <w:r w:rsidR="002F78B6" w:rsidRPr="00602151">
        <w:t xml:space="preserve"> </w:t>
      </w:r>
      <w:r w:rsidR="009C3741">
        <w:t xml:space="preserve">of unacceptable levels of interference for the </w:t>
      </w:r>
      <w:r w:rsidR="0066779D">
        <w:t xml:space="preserve">850/900 MHz, </w:t>
      </w:r>
      <w:r w:rsidR="00F0525A">
        <w:t xml:space="preserve">2.3 GHz, </w:t>
      </w:r>
      <w:r w:rsidR="009C3741">
        <w:t>3.</w:t>
      </w:r>
      <w:r w:rsidR="00C75C4B">
        <w:t>4 </w:t>
      </w:r>
      <w:r w:rsidR="009C3741">
        <w:t>GHz and 26 GHz bands</w:t>
      </w:r>
      <w:r w:rsidR="002F78B6" w:rsidRPr="00602151">
        <w:t xml:space="preserve">. </w:t>
      </w:r>
      <w:r>
        <w:t>In addition to these, consideration was also given to the current EIRP restriction in the 1877.5</w:t>
      </w:r>
      <w:r w:rsidR="00C44BAD">
        <w:t>–</w:t>
      </w:r>
      <w:r>
        <w:t>1880 MHz frequency range.</w:t>
      </w:r>
      <w:r w:rsidR="002F78B6" w:rsidRPr="00602151">
        <w:rPr>
          <w:u w:val="single"/>
        </w:rPr>
        <w:t xml:space="preserve"> </w:t>
      </w:r>
    </w:p>
    <w:p w14:paraId="0FF031A0" w14:textId="27B5DDAE" w:rsidR="00B37547" w:rsidRPr="00602151" w:rsidRDefault="003301DF" w:rsidP="00F279CE">
      <w:pPr>
        <w:pStyle w:val="ListBullet"/>
        <w:numPr>
          <w:ilvl w:val="0"/>
          <w:numId w:val="0"/>
        </w:numPr>
        <w:spacing w:after="240"/>
      </w:pPr>
      <w:r w:rsidRPr="00602151">
        <w:t xml:space="preserve">The </w:t>
      </w:r>
      <w:r w:rsidR="00B37547" w:rsidRPr="00602151">
        <w:t xml:space="preserve">changes </w:t>
      </w:r>
      <w:r w:rsidR="00970750" w:rsidRPr="00602151">
        <w:t>proposed to the</w:t>
      </w:r>
      <w:r w:rsidR="00B37547" w:rsidRPr="00602151">
        <w:t xml:space="preserve"> </w:t>
      </w:r>
      <w:r w:rsidR="00E32623" w:rsidRPr="00602151">
        <w:t>s.145(4) determination</w:t>
      </w:r>
      <w:r w:rsidR="00CE1BCC">
        <w:t xml:space="preserve"> are intended to more accurately model interference and allow licensees to deploy services closer to their licence </w:t>
      </w:r>
      <w:r w:rsidR="00CE1BCC">
        <w:lastRenderedPageBreak/>
        <w:t>boundaries. This will result in greater utility of existing spectrum licences. The proposed changes include</w:t>
      </w:r>
      <w:r w:rsidR="00B37547" w:rsidRPr="00602151">
        <w:t>:</w:t>
      </w:r>
    </w:p>
    <w:p w14:paraId="0E6C2B35" w14:textId="08CA0866" w:rsidR="003301DF" w:rsidRDefault="00B37547" w:rsidP="002A61F9">
      <w:pPr>
        <w:pStyle w:val="ListBullet"/>
      </w:pPr>
      <w:bookmarkStart w:id="21" w:name="_Hlk55982552"/>
      <w:r w:rsidRPr="00F1089B">
        <w:rPr>
          <w:b/>
          <w:bCs/>
        </w:rPr>
        <w:t>The Level of Protection (LOP)</w:t>
      </w:r>
      <w:r w:rsidR="00C44BAD">
        <w:t>.</w:t>
      </w:r>
      <w:r w:rsidRPr="00602151">
        <w:t xml:space="preserve"> The </w:t>
      </w:r>
      <w:r w:rsidR="003301DF" w:rsidRPr="00602151">
        <w:t xml:space="preserve">current </w:t>
      </w:r>
      <w:r w:rsidRPr="00602151">
        <w:t>LOP</w:t>
      </w:r>
      <w:r w:rsidR="003301DF" w:rsidRPr="00602151">
        <w:t xml:space="preserve"> used in the DBC d</w:t>
      </w:r>
      <w:r w:rsidRPr="00602151">
        <w:t>oes</w:t>
      </w:r>
      <w:r w:rsidR="003301DF" w:rsidRPr="00602151">
        <w:t xml:space="preserve"> not differentiate between the interference potential of non-AA</w:t>
      </w:r>
      <w:r w:rsidR="0004290A" w:rsidRPr="00602151">
        <w:t>S</w:t>
      </w:r>
      <w:r w:rsidR="003301DF" w:rsidRPr="00602151">
        <w:t xml:space="preserve"> and AAS.</w:t>
      </w:r>
      <w:r w:rsidRPr="00602151">
        <w:t xml:space="preserve"> Specifically</w:t>
      </w:r>
      <w:r w:rsidR="005C2802" w:rsidRPr="00602151">
        <w:t>,</w:t>
      </w:r>
      <w:r w:rsidRPr="00602151">
        <w:t xml:space="preserve"> </w:t>
      </w:r>
      <w:r w:rsidR="0004290A" w:rsidRPr="00602151">
        <w:t>for non-AAS</w:t>
      </w:r>
      <w:r w:rsidR="00DC2129">
        <w:t>,</w:t>
      </w:r>
      <w:r w:rsidR="0004290A" w:rsidRPr="00602151">
        <w:t xml:space="preserve"> the interference environment is largely static (though there may be fluctuations due to factors like base station loading</w:t>
      </w:r>
      <w:r w:rsidR="00DC2129">
        <w:t>,</w:t>
      </w:r>
      <w:r w:rsidR="0004290A" w:rsidRPr="00602151">
        <w:t xml:space="preserve"> for example), while for</w:t>
      </w:r>
      <w:r w:rsidRPr="00602151">
        <w:t xml:space="preserve"> AAS, the use of beamforming </w:t>
      </w:r>
      <w:r w:rsidR="0004290A" w:rsidRPr="00602151">
        <w:t>results in</w:t>
      </w:r>
      <w:r w:rsidRPr="00602151">
        <w:t xml:space="preserve"> </w:t>
      </w:r>
      <w:r w:rsidR="0004290A" w:rsidRPr="00602151">
        <w:t xml:space="preserve">a more dynamic </w:t>
      </w:r>
      <w:r w:rsidRPr="00602151">
        <w:t xml:space="preserve">interference </w:t>
      </w:r>
      <w:r w:rsidR="0004290A" w:rsidRPr="00602151">
        <w:t>environment</w:t>
      </w:r>
      <w:r w:rsidRPr="00602151">
        <w:t xml:space="preserve">. </w:t>
      </w:r>
      <w:r w:rsidR="0004290A" w:rsidRPr="00602151">
        <w:t>T</w:t>
      </w:r>
      <w:r w:rsidR="003301DF" w:rsidRPr="00602151">
        <w:t xml:space="preserve">o </w:t>
      </w:r>
      <w:r w:rsidR="0004290A" w:rsidRPr="00602151">
        <w:t>account for this,</w:t>
      </w:r>
      <w:r w:rsidRPr="00602151">
        <w:t xml:space="preserve"> spectrum </w:t>
      </w:r>
      <w:r w:rsidR="005C2802" w:rsidRPr="00602151">
        <w:t>licens</w:t>
      </w:r>
      <w:r w:rsidR="002E0A1C" w:rsidRPr="00602151">
        <w:t>e</w:t>
      </w:r>
      <w:r w:rsidR="005C2802" w:rsidRPr="00602151">
        <w:t>es</w:t>
      </w:r>
      <w:r w:rsidRPr="00602151">
        <w:t xml:space="preserve"> proposed defining different LOPs for non-AAS and AAS devices</w:t>
      </w:r>
      <w:r w:rsidR="00BD278F" w:rsidRPr="00602151">
        <w:t>.</w:t>
      </w:r>
    </w:p>
    <w:p w14:paraId="185955EA" w14:textId="70E9E0EE" w:rsidR="00602151" w:rsidRPr="00602151" w:rsidRDefault="00602151" w:rsidP="00C008DA">
      <w:pPr>
        <w:pStyle w:val="ListBullet"/>
        <w:numPr>
          <w:ilvl w:val="0"/>
          <w:numId w:val="0"/>
        </w:numPr>
        <w:ind w:left="295"/>
      </w:pPr>
      <w:r>
        <w:t>The TLG propose</w:t>
      </w:r>
      <w:r w:rsidR="00594875">
        <w:t xml:space="preserve">d maintaining </w:t>
      </w:r>
      <w:r>
        <w:t>the existing LOP of</w:t>
      </w:r>
      <w:r w:rsidR="007707B6">
        <w:t xml:space="preserve"> -1</w:t>
      </w:r>
      <w:r w:rsidR="00793CE1">
        <w:t>1</w:t>
      </w:r>
      <w:r w:rsidR="007707B6">
        <w:t>5 dBm/</w:t>
      </w:r>
      <w:r w:rsidR="00594875">
        <w:t>30 kHz</w:t>
      </w:r>
      <w:r w:rsidR="007707B6">
        <w:t xml:space="preserve"> MHz </w:t>
      </w:r>
      <w:r>
        <w:t xml:space="preserve">for non-AAS. </w:t>
      </w:r>
      <w:r w:rsidR="00912097">
        <w:t xml:space="preserve">Based on work conducted in the development of the 26 GHz technical framework, wireless broadband operators proposed </w:t>
      </w:r>
      <w:r w:rsidR="00F03381">
        <w:t xml:space="preserve">that </w:t>
      </w:r>
      <w:r w:rsidR="00912097">
        <w:t xml:space="preserve">an 8 dB margin be used to </w:t>
      </w:r>
      <w:r>
        <w:t>account for the dynamic interference environment</w:t>
      </w:r>
      <w:r w:rsidR="00912097">
        <w:t xml:space="preserve"> associated with AAS. The resulting</w:t>
      </w:r>
      <w:r>
        <w:t xml:space="preserve"> LOP proposed for AAS was </w:t>
      </w:r>
      <w:r w:rsidR="00912097">
        <w:t xml:space="preserve">then </w:t>
      </w:r>
      <w:r>
        <w:t>-</w:t>
      </w:r>
      <w:r w:rsidR="00793CE1">
        <w:t>107</w:t>
      </w:r>
      <w:r>
        <w:t xml:space="preserve"> dBm/</w:t>
      </w:r>
      <w:r w:rsidR="00594875">
        <w:t>30 k</w:t>
      </w:r>
      <w:r>
        <w:t xml:space="preserve">Hz. </w:t>
      </w:r>
    </w:p>
    <w:p w14:paraId="7C3ADBEC" w14:textId="7378E6DD" w:rsidR="002F78B6" w:rsidRPr="00E32714" w:rsidRDefault="005C2802" w:rsidP="002A61F9">
      <w:pPr>
        <w:pStyle w:val="ListBullet"/>
      </w:pPr>
      <w:r w:rsidRPr="00F1089B">
        <w:rPr>
          <w:b/>
          <w:bCs/>
        </w:rPr>
        <w:t>Adopt a higher resolution Digital Elevation Model (DEM)</w:t>
      </w:r>
      <w:r w:rsidR="00C44BAD">
        <w:t>.</w:t>
      </w:r>
      <w:r w:rsidRPr="00602151">
        <w:t xml:space="preserve"> A DEM defines </w:t>
      </w:r>
      <w:r w:rsidR="00067633" w:rsidRPr="00602151">
        <w:t xml:space="preserve">the height of terrain </w:t>
      </w:r>
      <w:r w:rsidR="00E32623" w:rsidRPr="00602151">
        <w:t xml:space="preserve">above sea level </w:t>
      </w:r>
      <w:r w:rsidR="00067633" w:rsidRPr="00602151">
        <w:t>at specific intervals</w:t>
      </w:r>
      <w:r w:rsidR="00E32623" w:rsidRPr="00602151">
        <w:t>. It</w:t>
      </w:r>
      <w:r w:rsidR="00067633" w:rsidRPr="00602151">
        <w:t xml:space="preserve"> is used in predicting propagation losses between </w:t>
      </w:r>
      <w:r w:rsidR="00CD0756">
        <w:t>2</w:t>
      </w:r>
      <w:r w:rsidR="00067633" w:rsidRPr="00602151">
        <w:t xml:space="preserve"> points. Currently the DBC makes use of a 9</w:t>
      </w:r>
      <w:r w:rsidR="00C44BAD">
        <w:t xml:space="preserve"> </w:t>
      </w:r>
      <w:r w:rsidR="00067633" w:rsidRPr="00602151">
        <w:t>second DEM. This provides the height of terrain at approximately 250</w:t>
      </w:r>
      <w:r w:rsidR="00C44BAD">
        <w:t xml:space="preserve"> </w:t>
      </w:r>
      <w:r w:rsidR="00067633" w:rsidRPr="00602151">
        <w:t>m interval</w:t>
      </w:r>
      <w:r w:rsidR="00666D2F" w:rsidRPr="00602151">
        <w:t>s</w:t>
      </w:r>
      <w:r w:rsidR="00067633" w:rsidRPr="00602151">
        <w:t xml:space="preserve">. Higher resolution DEMs are now available and are progressively being implemented in new and revised spectrum licence technical frameworks. Geoscience Australia </w:t>
      </w:r>
      <w:r w:rsidR="00966B22" w:rsidRPr="00602151">
        <w:t>ha</w:t>
      </w:r>
      <w:r w:rsidR="00966B22">
        <w:t>s</w:t>
      </w:r>
      <w:r w:rsidR="00966B22" w:rsidRPr="00602151">
        <w:t xml:space="preserve"> </w:t>
      </w:r>
      <w:r w:rsidR="00067633" w:rsidRPr="00602151">
        <w:t>published a 3 second DEM</w:t>
      </w:r>
      <w:r w:rsidR="0004290A" w:rsidRPr="0038741C">
        <w:rPr>
          <w:rStyle w:val="FootnoteReference"/>
        </w:rPr>
        <w:footnoteReference w:id="11"/>
      </w:r>
      <w:r w:rsidR="009B2066" w:rsidRPr="0038741C">
        <w:t xml:space="preserve"> (equivalent to </w:t>
      </w:r>
      <w:r w:rsidR="00DB5756" w:rsidRPr="0038741C">
        <w:t>approximately</w:t>
      </w:r>
      <w:r w:rsidR="009B2066" w:rsidRPr="0038741C">
        <w:t xml:space="preserve"> 90</w:t>
      </w:r>
      <w:r w:rsidR="005E7BCE">
        <w:t xml:space="preserve"> </w:t>
      </w:r>
      <w:r w:rsidR="009B2066" w:rsidRPr="0038741C">
        <w:t>m resolution)</w:t>
      </w:r>
      <w:r w:rsidR="00067633" w:rsidRPr="0038741C">
        <w:t xml:space="preserve"> that provides much higher terrain resolution.</w:t>
      </w:r>
      <w:r w:rsidR="00E32623" w:rsidRPr="00DB5756">
        <w:t xml:space="preserve"> The TLG identified a preference </w:t>
      </w:r>
      <w:r w:rsidR="00F03381">
        <w:t xml:space="preserve">for </w:t>
      </w:r>
      <w:r w:rsidR="00E32623" w:rsidRPr="00DB5756">
        <w:t>adopting this DEM.</w:t>
      </w:r>
      <w:r w:rsidR="00067633" w:rsidRPr="00DB5756">
        <w:t xml:space="preserve"> </w:t>
      </w:r>
    </w:p>
    <w:p w14:paraId="53F90A8A" w14:textId="54E77902" w:rsidR="005C2802" w:rsidRPr="00602151" w:rsidRDefault="00067633" w:rsidP="002A61F9">
      <w:pPr>
        <w:pStyle w:val="ListBullet"/>
        <w:numPr>
          <w:ilvl w:val="0"/>
          <w:numId w:val="0"/>
        </w:numPr>
        <w:ind w:left="295"/>
      </w:pPr>
      <w:r w:rsidRPr="00D644ED">
        <w:t>To</w:t>
      </w:r>
      <w:r w:rsidRPr="00602151">
        <w:t xml:space="preserve"> take full advantage of </w:t>
      </w:r>
      <w:r w:rsidR="002F78B6" w:rsidRPr="00602151">
        <w:t xml:space="preserve">a 3 second </w:t>
      </w:r>
      <w:r w:rsidRPr="00602151">
        <w:t>DEM</w:t>
      </w:r>
      <w:r w:rsidR="0004290A" w:rsidRPr="00602151">
        <w:t>, it was further proposed that</w:t>
      </w:r>
      <w:r w:rsidRPr="00602151">
        <w:t xml:space="preserve"> </w:t>
      </w:r>
      <w:r w:rsidR="002F78B6" w:rsidRPr="00602151">
        <w:t xml:space="preserve">the resolution of path loss calculations be increased. Currently the DBC is calculated at 500 m intervals along </w:t>
      </w:r>
      <w:r w:rsidR="009C3741">
        <w:t xml:space="preserve">the </w:t>
      </w:r>
      <w:r w:rsidR="002F78B6" w:rsidRPr="00602151">
        <w:t>360 radials</w:t>
      </w:r>
      <w:r w:rsidR="009C3741">
        <w:t xml:space="preserve"> centred on the relevant radiocommunications device</w:t>
      </w:r>
      <w:r w:rsidR="002F78B6" w:rsidRPr="00602151">
        <w:t xml:space="preserve">. Changing this to a resolution of 100 m, which more closely matches the resolution of a 3 second DEM, would result in a more accurate </w:t>
      </w:r>
      <w:r w:rsidR="0004290A" w:rsidRPr="00602151">
        <w:t>prediction</w:t>
      </w:r>
      <w:r w:rsidR="002F78B6" w:rsidRPr="00602151">
        <w:t xml:space="preserve"> of propagation losses. </w:t>
      </w:r>
    </w:p>
    <w:p w14:paraId="48C93BD7" w14:textId="4F1A1858" w:rsidR="00B50434" w:rsidRDefault="005C051D" w:rsidP="002F2086">
      <w:pPr>
        <w:pStyle w:val="ListBullet"/>
      </w:pPr>
      <w:r w:rsidRPr="00F1089B">
        <w:rPr>
          <w:b/>
          <w:bCs/>
        </w:rPr>
        <w:t>DBC failures over ocean paths</w:t>
      </w:r>
      <w:r w:rsidR="00C44BAD">
        <w:t>.</w:t>
      </w:r>
      <w:r w:rsidRPr="00602151">
        <w:t xml:space="preserve"> Currently</w:t>
      </w:r>
      <w:r w:rsidR="00B6302B">
        <w:t>,</w:t>
      </w:r>
      <w:r w:rsidRPr="00602151">
        <w:t xml:space="preserve"> DBC failures </w:t>
      </w:r>
      <w:r w:rsidR="009C3741">
        <w:t>(</w:t>
      </w:r>
      <w:r w:rsidR="00CB13DE">
        <w:t>that is</w:t>
      </w:r>
      <w:r w:rsidR="009C3741">
        <w:t>, the points at which the DBC results in the device boundary being outside the geographic area of the licence)</w:t>
      </w:r>
      <w:r w:rsidR="009C3741" w:rsidRPr="00CB7345">
        <w:t xml:space="preserve"> that are only over ocean paths </w:t>
      </w:r>
      <w:r w:rsidR="009C3741">
        <w:t xml:space="preserve">result in the relevant device being taken to cause an unacceptable level of interference </w:t>
      </w:r>
      <w:r w:rsidRPr="00602151">
        <w:t xml:space="preserve">by the s.145(4) determination. </w:t>
      </w:r>
    </w:p>
    <w:p w14:paraId="6673B7C8" w14:textId="63E5DE01" w:rsidR="00B50434" w:rsidRDefault="00C77BC3" w:rsidP="002F2086">
      <w:pPr>
        <w:pStyle w:val="ListBullet"/>
      </w:pPr>
      <w:r w:rsidRPr="00602151">
        <w:t>Through experience</w:t>
      </w:r>
      <w:r w:rsidR="00966B22">
        <w:t xml:space="preserve">, </w:t>
      </w:r>
      <w:r w:rsidR="009700B6">
        <w:t>1800 MHz</w:t>
      </w:r>
      <w:r w:rsidR="009C3741">
        <w:t xml:space="preserve"> band </w:t>
      </w:r>
      <w:r w:rsidR="005C051D" w:rsidRPr="00602151">
        <w:t xml:space="preserve">spectrum licensees have identified </w:t>
      </w:r>
      <w:r w:rsidR="006C7ADA">
        <w:t xml:space="preserve">that </w:t>
      </w:r>
      <w:r w:rsidR="005C051D" w:rsidRPr="00602151">
        <w:t xml:space="preserve">this unnecessarily restricts the deployment of some devices that pose no real interference risk. </w:t>
      </w:r>
      <w:r w:rsidR="009C3741">
        <w:t>An equivalent</w:t>
      </w:r>
      <w:r w:rsidR="005C051D" w:rsidRPr="00602151">
        <w:t xml:space="preserve"> issue has been addressed in the recent review of the </w:t>
      </w:r>
      <w:r w:rsidR="000B3C55">
        <w:t>2.3 GH</w:t>
      </w:r>
      <w:r w:rsidR="00A668DA">
        <w:t>z</w:t>
      </w:r>
      <w:r w:rsidR="000B3C55">
        <w:t xml:space="preserve"> and </w:t>
      </w:r>
      <w:r w:rsidR="005C051D" w:rsidRPr="00602151">
        <w:t>3.4 GHz technical framework</w:t>
      </w:r>
      <w:r w:rsidR="00966B22">
        <w:t>s</w:t>
      </w:r>
      <w:r w:rsidR="005C051D" w:rsidRPr="00602151">
        <w:t xml:space="preserve"> and the new </w:t>
      </w:r>
      <w:r w:rsidR="0066779D">
        <w:t xml:space="preserve">850/900 MHz and </w:t>
      </w:r>
      <w:r w:rsidR="005C051D" w:rsidRPr="00602151">
        <w:t>26</w:t>
      </w:r>
      <w:r w:rsidR="00966B22">
        <w:t> </w:t>
      </w:r>
      <w:r w:rsidR="005C051D" w:rsidRPr="00602151">
        <w:t>GHz technical framework</w:t>
      </w:r>
      <w:r w:rsidR="0066779D">
        <w:t>s</w:t>
      </w:r>
      <w:r w:rsidR="005C051D" w:rsidRPr="00602151">
        <w:t xml:space="preserve">. </w:t>
      </w:r>
    </w:p>
    <w:p w14:paraId="66C23604" w14:textId="6B097FAB" w:rsidR="003301DF" w:rsidRDefault="00C77BC3" w:rsidP="002F2086">
      <w:pPr>
        <w:pStyle w:val="ListBullet"/>
      </w:pPr>
      <w:r w:rsidRPr="00602151">
        <w:t xml:space="preserve">The TLG </w:t>
      </w:r>
      <w:r w:rsidR="005C051D" w:rsidRPr="00602151">
        <w:t xml:space="preserve">proposed that the same measures be adopted for the </w:t>
      </w:r>
      <w:r w:rsidR="009700B6">
        <w:t>1800 MHz</w:t>
      </w:r>
      <w:r w:rsidR="005C051D" w:rsidRPr="00602151">
        <w:t xml:space="preserve"> band. </w:t>
      </w:r>
      <w:r w:rsidR="009C3741" w:rsidRPr="00CB7345">
        <w:t xml:space="preserve">Specifically, </w:t>
      </w:r>
      <w:r w:rsidR="009C3741">
        <w:t xml:space="preserve">this would involve </w:t>
      </w:r>
      <w:r w:rsidR="009C3741" w:rsidRPr="00CB7345">
        <w:t xml:space="preserve">inclusion of a </w:t>
      </w:r>
      <w:r w:rsidR="009C3741">
        <w:t>provision</w:t>
      </w:r>
      <w:r w:rsidR="009C3741" w:rsidRPr="00CB7345">
        <w:t xml:space="preserve"> that states </w:t>
      </w:r>
      <w:r w:rsidR="009C3741">
        <w:t xml:space="preserve">that </w:t>
      </w:r>
      <w:r w:rsidR="009C3741" w:rsidRPr="00CB7345">
        <w:t>DBC failures that occur over ocean paths</w:t>
      </w:r>
      <w:r w:rsidR="009C3741">
        <w:t>, where the relevant radial does not cross any land outside the geographic area of the licence, would not result in a device being taken to cause an unacceptable level of interference</w:t>
      </w:r>
      <w:r w:rsidR="005C051D" w:rsidRPr="00602151">
        <w:t xml:space="preserve">.  </w:t>
      </w:r>
    </w:p>
    <w:p w14:paraId="43D389A8" w14:textId="3724CF4C" w:rsidR="00246888" w:rsidRPr="00FB3BB4" w:rsidRDefault="0066779D" w:rsidP="00246888">
      <w:pPr>
        <w:pStyle w:val="ListBullet"/>
      </w:pPr>
      <w:r>
        <w:rPr>
          <w:b/>
          <w:bCs/>
        </w:rPr>
        <w:t>In-band EIRP l</w:t>
      </w:r>
      <w:r w:rsidR="008E2C0F">
        <w:rPr>
          <w:b/>
          <w:bCs/>
        </w:rPr>
        <w:t xml:space="preserve">imit of 50 dBm/30 kHz in 1877.5-1880 </w:t>
      </w:r>
      <w:proofErr w:type="spellStart"/>
      <w:r w:rsidR="008E2C0F">
        <w:rPr>
          <w:b/>
          <w:bCs/>
        </w:rPr>
        <w:t>MHz</w:t>
      </w:r>
      <w:r w:rsidR="00C44BAD">
        <w:t>.</w:t>
      </w:r>
      <w:proofErr w:type="spellEnd"/>
      <w:r w:rsidR="00D25B89" w:rsidRPr="00602151">
        <w:t xml:space="preserve"> </w:t>
      </w:r>
      <w:r w:rsidR="00246888" w:rsidRPr="00246888">
        <w:rPr>
          <w:shd w:val="clear" w:color="auto" w:fill="FFFFFF"/>
        </w:rPr>
        <w:t>This requirement was originally adopted to mitigate potential interference concerns and ensure coexistence between DECT</w:t>
      </w:r>
      <w:r w:rsidR="003C778E">
        <w:rPr>
          <w:rStyle w:val="FootnoteReference"/>
          <w:shd w:val="clear" w:color="auto" w:fill="FFFFFF"/>
        </w:rPr>
        <w:footnoteReference w:id="12"/>
      </w:r>
      <w:r w:rsidR="00246888" w:rsidRPr="00246888">
        <w:rPr>
          <w:shd w:val="clear" w:color="auto" w:fill="FFFFFF"/>
        </w:rPr>
        <w:t xml:space="preserve"> and spectrum licensed services. However, studies in the </w:t>
      </w:r>
      <w:hyperlink r:id="rId37" w:history="1">
        <w:r w:rsidR="00246888" w:rsidRPr="00246888">
          <w:rPr>
            <w:rStyle w:val="Hyperlink"/>
            <w:shd w:val="clear" w:color="auto" w:fill="FFFFFF"/>
          </w:rPr>
          <w:t>Electronic Communications Committee (ECC) Report 96</w:t>
        </w:r>
      </w:hyperlink>
      <w:r w:rsidR="00FD1F57" w:rsidRPr="00C725C6">
        <w:rPr>
          <w:rStyle w:val="Hyperlink"/>
          <w:color w:val="auto"/>
          <w:u w:val="none"/>
          <w:shd w:val="clear" w:color="auto" w:fill="FFFFFF"/>
        </w:rPr>
        <w:t>,</w:t>
      </w:r>
      <w:r w:rsidR="00246888" w:rsidRPr="00246888">
        <w:rPr>
          <w:shd w:val="clear" w:color="auto" w:fill="FFFFFF"/>
        </w:rPr>
        <w:t xml:space="preserve"> </w:t>
      </w:r>
      <w:hyperlink r:id="rId38" w:history="1">
        <w:r w:rsidR="00FD1F57">
          <w:rPr>
            <w:rStyle w:val="Hyperlink"/>
            <w:shd w:val="clear" w:color="auto" w:fill="FFFFFF"/>
          </w:rPr>
          <w:t>ECC Report 14</w:t>
        </w:r>
        <w:r w:rsidR="00246888" w:rsidRPr="004329C0">
          <w:rPr>
            <w:rStyle w:val="Hyperlink"/>
            <w:shd w:val="clear" w:color="auto" w:fill="FFFFFF"/>
          </w:rPr>
          <w:t>6</w:t>
        </w:r>
      </w:hyperlink>
      <w:r w:rsidR="00246888" w:rsidRPr="00246888">
        <w:rPr>
          <w:shd w:val="clear" w:color="auto" w:fill="FFFFFF"/>
        </w:rPr>
        <w:t xml:space="preserve">, the </w:t>
      </w:r>
      <w:hyperlink r:id="rId39" w:history="1">
        <w:r w:rsidR="00246888" w:rsidRPr="00246888">
          <w:rPr>
            <w:rStyle w:val="Hyperlink"/>
            <w:shd w:val="clear" w:color="auto" w:fill="FFFFFF"/>
          </w:rPr>
          <w:t>European Conference of Postal and Telecommunications Administrations (CEPT) Report 41</w:t>
        </w:r>
      </w:hyperlink>
      <w:r w:rsidR="00FD1F57">
        <w:rPr>
          <w:shd w:val="clear" w:color="auto" w:fill="FFFFFF"/>
        </w:rPr>
        <w:t xml:space="preserve"> and</w:t>
      </w:r>
      <w:r w:rsidR="00246888" w:rsidRPr="00246888">
        <w:rPr>
          <w:shd w:val="clear" w:color="auto" w:fill="FFFFFF"/>
        </w:rPr>
        <w:t xml:space="preserve"> </w:t>
      </w:r>
      <w:hyperlink r:id="rId40" w:history="1">
        <w:r w:rsidR="00246888" w:rsidRPr="00246888">
          <w:rPr>
            <w:rStyle w:val="Hyperlink"/>
            <w:shd w:val="clear" w:color="auto" w:fill="FFFFFF"/>
          </w:rPr>
          <w:t>ECC Report 297</w:t>
        </w:r>
      </w:hyperlink>
      <w:r w:rsidR="00246888" w:rsidRPr="00246888">
        <w:rPr>
          <w:shd w:val="clear" w:color="auto" w:fill="FFFFFF"/>
        </w:rPr>
        <w:t xml:space="preserve"> show that this restriction is not required.</w:t>
      </w:r>
      <w:r w:rsidR="00246888">
        <w:rPr>
          <w:shd w:val="clear" w:color="auto" w:fill="FFFFFF"/>
        </w:rPr>
        <w:t xml:space="preserve"> </w:t>
      </w:r>
      <w:r w:rsidR="00FD1F57">
        <w:rPr>
          <w:shd w:val="clear" w:color="auto" w:fill="FFFFFF"/>
        </w:rPr>
        <w:t>Based on this, t</w:t>
      </w:r>
      <w:r w:rsidR="00246888">
        <w:rPr>
          <w:shd w:val="clear" w:color="auto" w:fill="FFFFFF"/>
        </w:rPr>
        <w:t>he TLG proposed to remove this requirement</w:t>
      </w:r>
      <w:r>
        <w:rPr>
          <w:shd w:val="clear" w:color="auto" w:fill="FFFFFF"/>
        </w:rPr>
        <w:t>.</w:t>
      </w:r>
    </w:p>
    <w:bookmarkEnd w:id="21"/>
    <w:p w14:paraId="00155355" w14:textId="74EF6BBE" w:rsidR="000745BE" w:rsidRPr="00602151" w:rsidRDefault="000745BE" w:rsidP="00F1089B">
      <w:pPr>
        <w:pStyle w:val="Heading4"/>
      </w:pPr>
      <w:r w:rsidRPr="00602151">
        <w:t>Radio</w:t>
      </w:r>
      <w:r w:rsidR="00966B22">
        <w:t>communications</w:t>
      </w:r>
      <w:r w:rsidRPr="00602151">
        <w:t xml:space="preserve"> advisory guidelines (RAGs)</w:t>
      </w:r>
    </w:p>
    <w:p w14:paraId="3C5B1D4F" w14:textId="17CD6083" w:rsidR="003301DF" w:rsidRPr="00602151" w:rsidRDefault="000745BE" w:rsidP="00C725C6">
      <w:pPr>
        <w:pStyle w:val="Paragraphbeforelist"/>
      </w:pPr>
      <w:r w:rsidRPr="00602151">
        <w:t xml:space="preserve">The following RAGs </w:t>
      </w:r>
      <w:r w:rsidR="009C3741">
        <w:t>are part of</w:t>
      </w:r>
      <w:r w:rsidRPr="00602151">
        <w:t xml:space="preserve"> the </w:t>
      </w:r>
      <w:r w:rsidR="009700B6">
        <w:t>1800 MHz</w:t>
      </w:r>
      <w:r w:rsidRPr="00602151">
        <w:t xml:space="preserve"> </w:t>
      </w:r>
      <w:r w:rsidR="003301DF" w:rsidRPr="00602151">
        <w:t>technical framework:</w:t>
      </w:r>
    </w:p>
    <w:bookmarkStart w:id="23" w:name="_Toc328403749"/>
    <w:bookmarkEnd w:id="23"/>
    <w:p w14:paraId="2F99B490" w14:textId="06A25C59" w:rsidR="003F4BBD" w:rsidRPr="000F25DF" w:rsidRDefault="003F4BBD" w:rsidP="003F4BBD">
      <w:pPr>
        <w:pStyle w:val="ListBullet"/>
        <w:rPr>
          <w:rStyle w:val="Hyperlink"/>
          <w:bCs/>
        </w:rPr>
      </w:pPr>
      <w:r w:rsidRPr="00C125EF">
        <w:rPr>
          <w:bCs/>
        </w:rPr>
        <w:fldChar w:fldCharType="begin"/>
      </w:r>
      <w:r w:rsidRPr="000F25DF">
        <w:rPr>
          <w:bCs/>
        </w:rPr>
        <w:instrText>HYPERLINK "https://www.legislation.gov.au/Details/F2017C01051" \t "_self"</w:instrText>
      </w:r>
      <w:r w:rsidRPr="00C125EF">
        <w:rPr>
          <w:bCs/>
        </w:rPr>
        <w:fldChar w:fldCharType="separate"/>
      </w:r>
      <w:r w:rsidRPr="00C725C6">
        <w:rPr>
          <w:rStyle w:val="Hyperlink"/>
          <w:bCs/>
        </w:rPr>
        <w:t xml:space="preserve">Radiocommunications Advisory Guidelines (Managing Interference from Spectrum Licensed Transmitters </w:t>
      </w:r>
      <w:r w:rsidR="000F25DF" w:rsidRPr="00C725C6">
        <w:rPr>
          <w:rStyle w:val="Hyperlink"/>
          <w:bCs/>
        </w:rPr>
        <w:t>–</w:t>
      </w:r>
      <w:r w:rsidRPr="00C725C6">
        <w:rPr>
          <w:rStyle w:val="Hyperlink"/>
          <w:bCs/>
        </w:rPr>
        <w:t xml:space="preserve"> 1800 MHz Band) 201</w:t>
      </w:r>
      <w:r w:rsidRPr="00AE59F5">
        <w:rPr>
          <w:rStyle w:val="Hyperlink"/>
          <w:bCs/>
        </w:rPr>
        <w:t>2</w:t>
      </w:r>
      <w:r w:rsidR="00966B22" w:rsidRPr="000F25DF">
        <w:rPr>
          <w:rStyle w:val="Hyperlink"/>
          <w:bCs/>
        </w:rPr>
        <w:t xml:space="preserve"> (RAG Tx)</w:t>
      </w:r>
    </w:p>
    <w:p w14:paraId="36B0C471" w14:textId="71070622" w:rsidR="003F4BBD" w:rsidRPr="00AE59F5" w:rsidRDefault="003F4BBD" w:rsidP="003F4BBD">
      <w:pPr>
        <w:pStyle w:val="ListBullet"/>
        <w:rPr>
          <w:bCs/>
        </w:rPr>
      </w:pPr>
      <w:r w:rsidRPr="00C125EF">
        <w:rPr>
          <w:bCs/>
        </w:rPr>
        <w:fldChar w:fldCharType="end"/>
      </w:r>
      <w:hyperlink r:id="rId41" w:history="1">
        <w:r w:rsidRPr="00C725C6">
          <w:rPr>
            <w:rStyle w:val="Hyperlink"/>
            <w:bCs/>
          </w:rPr>
          <w:t>Radiocommunications Advisory Guidelines (Managing Interference to Spectrum Licensed Receivers – 1800 MHz Band) 2012</w:t>
        </w:r>
      </w:hyperlink>
      <w:r w:rsidR="00966B22" w:rsidRPr="00AE59F5">
        <w:rPr>
          <w:rStyle w:val="Hyperlink"/>
          <w:bCs/>
        </w:rPr>
        <w:t xml:space="preserve"> (RAG Rx)</w:t>
      </w:r>
    </w:p>
    <w:p w14:paraId="366CEB82" w14:textId="33985CDC" w:rsidR="003F4BBD" w:rsidRPr="007D04B2" w:rsidRDefault="00402CBA" w:rsidP="003F4BBD">
      <w:pPr>
        <w:pStyle w:val="ListBullet"/>
        <w:rPr>
          <w:rFonts w:cs="Arial"/>
        </w:rPr>
      </w:pPr>
      <w:hyperlink r:id="rId42" w:history="1">
        <w:r w:rsidR="003F4BBD" w:rsidRPr="00C725C6">
          <w:rPr>
            <w:rStyle w:val="Hyperlink"/>
            <w:bCs/>
          </w:rPr>
          <w:t>Radiocommunications Advisory Guidelines (</w:t>
        </w:r>
        <w:r w:rsidR="005D51CC" w:rsidRPr="00C725C6">
          <w:rPr>
            <w:rStyle w:val="Hyperlink"/>
            <w:bCs/>
          </w:rPr>
          <w:t>Additional Device Boundary Criteria – 1800 MHz Lower Band) 2012</w:t>
        </w:r>
      </w:hyperlink>
      <w:r w:rsidR="00966B22" w:rsidRPr="00AE59F5">
        <w:rPr>
          <w:rStyle w:val="Hyperlink"/>
          <w:bCs/>
        </w:rPr>
        <w:t xml:space="preserve"> (RAG DBC)</w:t>
      </w:r>
      <w:r w:rsidR="000F25DF" w:rsidRPr="00C725C6">
        <w:rPr>
          <w:rStyle w:val="Hyperlink"/>
          <w:bCs/>
          <w:color w:val="auto"/>
          <w:u w:val="none"/>
        </w:rPr>
        <w:t>.</w:t>
      </w:r>
    </w:p>
    <w:p w14:paraId="08459603" w14:textId="25BA3724" w:rsidR="000745BE" w:rsidRPr="00E32714" w:rsidRDefault="000745BE" w:rsidP="00AF3F4C">
      <w:pPr>
        <w:pStyle w:val="ListBullet"/>
        <w:numPr>
          <w:ilvl w:val="0"/>
          <w:numId w:val="0"/>
        </w:numPr>
        <w:spacing w:before="240" w:after="240"/>
        <w:ind w:left="295" w:hanging="295"/>
      </w:pPr>
      <w:r w:rsidRPr="00DB5756">
        <w:t xml:space="preserve">The TLG did not propose changes to </w:t>
      </w:r>
      <w:r w:rsidR="00432A66">
        <w:t>a</w:t>
      </w:r>
      <w:r w:rsidR="005D51CC">
        <w:t>ny</w:t>
      </w:r>
      <w:r w:rsidR="00432A66" w:rsidRPr="00DB5756">
        <w:t xml:space="preserve"> </w:t>
      </w:r>
      <w:r w:rsidRPr="00DB5756">
        <w:t>of these RAGs</w:t>
      </w:r>
      <w:r w:rsidR="00D70C9E" w:rsidRPr="00DB5756">
        <w:t>.</w:t>
      </w:r>
      <w:r w:rsidR="001E5176" w:rsidRPr="00DB5756">
        <w:t xml:space="preserve"> </w:t>
      </w:r>
    </w:p>
    <w:p w14:paraId="7B304DAE" w14:textId="680D77BA" w:rsidR="00DD4442" w:rsidRPr="00602151" w:rsidRDefault="00DD4442" w:rsidP="00DD4442">
      <w:pPr>
        <w:pStyle w:val="Heading2"/>
      </w:pPr>
      <w:bookmarkStart w:id="24" w:name="_Toc58241135"/>
      <w:bookmarkStart w:id="25" w:name="_Toc83989325"/>
      <w:r w:rsidRPr="00602151">
        <w:t>Effect on incumbent services</w:t>
      </w:r>
      <w:bookmarkEnd w:id="24"/>
      <w:bookmarkEnd w:id="25"/>
    </w:p>
    <w:p w14:paraId="5A63BDFF" w14:textId="3579D2E7" w:rsidR="001E5176" w:rsidRPr="0038741C" w:rsidRDefault="001E5176" w:rsidP="00070D5E">
      <w:r w:rsidRPr="00602151">
        <w:t xml:space="preserve">When reviewing a </w:t>
      </w:r>
      <w:r w:rsidR="000D0894" w:rsidRPr="00602151">
        <w:t xml:space="preserve">spectrum licence </w:t>
      </w:r>
      <w:r w:rsidRPr="00602151">
        <w:t xml:space="preserve">technical framework, the effect any changes </w:t>
      </w:r>
      <w:r w:rsidR="000D0894" w:rsidRPr="00602151">
        <w:t xml:space="preserve">may have </w:t>
      </w:r>
      <w:r w:rsidRPr="00602151">
        <w:t xml:space="preserve">on other services </w:t>
      </w:r>
      <w:r w:rsidR="0049034A" w:rsidRPr="00602151">
        <w:t>n</w:t>
      </w:r>
      <w:r w:rsidRPr="00602151">
        <w:t>eeds to be considered. This is to ensure there are adequate measures in place to</w:t>
      </w:r>
      <w:r w:rsidR="0049034A" w:rsidRPr="00602151">
        <w:t xml:space="preserve"> </w:t>
      </w:r>
      <w:r w:rsidRPr="00602151">
        <w:t xml:space="preserve">manage interference and facilitate coexistence with other services. </w:t>
      </w:r>
      <w:r w:rsidR="00B50434">
        <w:t>W</w:t>
      </w:r>
      <w:r w:rsidR="009B2066" w:rsidRPr="00602151">
        <w:t>hile industry standards developed by 3GPP are established from the perspective of wir</w:t>
      </w:r>
      <w:r w:rsidR="0038741C">
        <w:t>e</w:t>
      </w:r>
      <w:r w:rsidR="009B2066" w:rsidRPr="0038741C">
        <w:t>less broadband</w:t>
      </w:r>
      <w:r w:rsidR="0038741C">
        <w:t xml:space="preserve"> services</w:t>
      </w:r>
      <w:r w:rsidR="009B2066" w:rsidRPr="0038741C">
        <w:t xml:space="preserve">, as the </w:t>
      </w:r>
      <w:r w:rsidR="009B2066">
        <w:t>nation</w:t>
      </w:r>
      <w:r w:rsidR="00586C41">
        <w:t>al</w:t>
      </w:r>
      <w:r w:rsidR="009B2066" w:rsidRPr="0038741C">
        <w:t xml:space="preserve"> spectrum manager the ACMA must also consider the broader implications of possibly adopting these standards without any changes.  </w:t>
      </w:r>
    </w:p>
    <w:p w14:paraId="421D7127" w14:textId="22052597" w:rsidR="00070D5E" w:rsidRDefault="001E5176" w:rsidP="000D0894">
      <w:pPr>
        <w:spacing w:after="360"/>
      </w:pPr>
      <w:r w:rsidRPr="004869C9">
        <w:t xml:space="preserve">Figure </w:t>
      </w:r>
      <w:r w:rsidR="00211AE0">
        <w:t>5</w:t>
      </w:r>
      <w:r w:rsidRPr="004869C9">
        <w:t xml:space="preserve"> details the current arrangements in place for the </w:t>
      </w:r>
      <w:r w:rsidR="009700B6">
        <w:t>1800 MHz</w:t>
      </w:r>
      <w:r w:rsidRPr="004869C9">
        <w:t xml:space="preserve"> </w:t>
      </w:r>
      <w:r w:rsidR="006C7ADA">
        <w:t xml:space="preserve">band </w:t>
      </w:r>
      <w:r w:rsidRPr="004869C9">
        <w:t>and adjacent</w:t>
      </w:r>
      <w:r w:rsidR="0049034A" w:rsidRPr="00DB5756">
        <w:t xml:space="preserve"> </w:t>
      </w:r>
      <w:r w:rsidRPr="00DB5756">
        <w:t xml:space="preserve">bands. The effect on each of the services identified in Figure </w:t>
      </w:r>
      <w:r w:rsidR="00211AE0">
        <w:t>5</w:t>
      </w:r>
      <w:r w:rsidRPr="00DB5756">
        <w:t xml:space="preserve"> </w:t>
      </w:r>
      <w:r w:rsidR="000D0894" w:rsidRPr="00DB5756">
        <w:t>ha</w:t>
      </w:r>
      <w:r w:rsidR="00AC3FD7">
        <w:t>s</w:t>
      </w:r>
      <w:r w:rsidR="000D0894" w:rsidRPr="00DB5756">
        <w:t xml:space="preserve"> been</w:t>
      </w:r>
      <w:r w:rsidRPr="00DB5756">
        <w:t xml:space="preserve"> considered</w:t>
      </w:r>
      <w:r w:rsidR="0049034A" w:rsidRPr="00DB5756">
        <w:t xml:space="preserve"> </w:t>
      </w:r>
      <w:r w:rsidRPr="00E32714">
        <w:t xml:space="preserve">when reviewing the </w:t>
      </w:r>
      <w:r w:rsidR="009700B6">
        <w:t>1800 MHz</w:t>
      </w:r>
      <w:r w:rsidRPr="00E32714">
        <w:t xml:space="preserve"> technical framework.</w:t>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0"/>
      </w:tblGrid>
      <w:tr w:rsidR="00C736BD" w14:paraId="5F73A490" w14:textId="77777777" w:rsidTr="00C736BD">
        <w:trPr>
          <w:trHeight w:val="858"/>
        </w:trPr>
        <w:tc>
          <w:tcPr>
            <w:tcW w:w="76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21101B" w14:textId="5926CB59" w:rsidR="00C736BD" w:rsidRPr="00C736BD" w:rsidRDefault="00C736BD" w:rsidP="006E01F9">
            <w:pPr>
              <w:pStyle w:val="Paragraph"/>
              <w:numPr>
                <w:ilvl w:val="0"/>
                <w:numId w:val="53"/>
              </w:numPr>
              <w:spacing w:before="100"/>
              <w:ind w:left="286" w:hanging="286"/>
              <w:rPr>
                <w:rFonts w:cs="Times New Roman"/>
              </w:rPr>
            </w:pPr>
            <w:bookmarkStart w:id="26" w:name="_Hlk83974101"/>
            <w:r w:rsidRPr="006F0D3A">
              <w:t>Comment is sought on the effect the proposed changes to the 1800 MHz technical framework may have on incumbent services in the 1800 MHz band and adjacent bands.</w:t>
            </w:r>
            <w:r>
              <w:br w:type="page"/>
            </w:r>
          </w:p>
        </w:tc>
      </w:tr>
    </w:tbl>
    <w:p w14:paraId="608C6D1F" w14:textId="5714E1F8" w:rsidR="00C736BD" w:rsidRDefault="00C736BD" w:rsidP="00C736BD">
      <w:pPr>
        <w:pStyle w:val="ACMAFigureHeader"/>
        <w:numPr>
          <w:ilvl w:val="0"/>
          <w:numId w:val="0"/>
        </w:numPr>
        <w:spacing w:before="360" w:after="0"/>
        <w:ind w:left="1021" w:hanging="1021"/>
      </w:pPr>
      <w:bookmarkStart w:id="27" w:name="_Ref479582565"/>
      <w:bookmarkEnd w:id="26"/>
    </w:p>
    <w:p w14:paraId="572DD84F" w14:textId="1FB5FAEF" w:rsidR="00C736BD" w:rsidRDefault="00C736BD">
      <w:pPr>
        <w:spacing w:after="0" w:line="240" w:lineRule="auto"/>
        <w:rPr>
          <w:b/>
          <w:bCs/>
          <w:color w:val="323232"/>
          <w:szCs w:val="20"/>
        </w:rPr>
      </w:pPr>
      <w:r>
        <w:br w:type="page"/>
      </w:r>
    </w:p>
    <w:p w14:paraId="35CE019E" w14:textId="5F83DB99" w:rsidR="001E5176" w:rsidRPr="0038741C" w:rsidRDefault="001E5176" w:rsidP="001E5176">
      <w:pPr>
        <w:pStyle w:val="ACMAFigureHeader"/>
        <w:numPr>
          <w:ilvl w:val="0"/>
          <w:numId w:val="18"/>
        </w:numPr>
        <w:spacing w:before="360" w:after="0"/>
      </w:pPr>
      <w:r w:rsidRPr="00602151">
        <w:lastRenderedPageBreak/>
        <w:t xml:space="preserve">Current arrangements in the </w:t>
      </w:r>
      <w:r w:rsidR="009700B6">
        <w:t>1800 MHz</w:t>
      </w:r>
      <w:r w:rsidRPr="00602151">
        <w:t xml:space="preserve"> and adjacent band arrangements</w:t>
      </w:r>
      <w:bookmarkEnd w:id="27"/>
    </w:p>
    <w:p w14:paraId="78DDBE73" w14:textId="66A8D8AE" w:rsidR="001E5176" w:rsidRPr="0038741C" w:rsidRDefault="00211AE0" w:rsidP="001E5176">
      <w:pPr>
        <w:spacing w:after="360"/>
        <w:rPr>
          <w:rFonts w:cs="Arial"/>
        </w:rPr>
      </w:pPr>
      <w:r>
        <w:rPr>
          <w:rFonts w:cs="Arial"/>
          <w:noProof/>
        </w:rPr>
        <w:drawing>
          <wp:inline distT="0" distB="0" distL="0" distR="0" wp14:anchorId="2AACD72E" wp14:editId="7C883823">
            <wp:extent cx="5296535" cy="6973570"/>
            <wp:effectExtent l="0" t="0" r="0" b="0"/>
            <wp:docPr id="8" name="Picture 8" descr="Figure 5: Current arrangements in the 1800 MHz and adjacent band arrang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5: Current arrangements in the 1800 MHz and adjacent band arrangements"/>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96535" cy="6973570"/>
                    </a:xfrm>
                    <a:prstGeom prst="rect">
                      <a:avLst/>
                    </a:prstGeom>
                    <a:noFill/>
                  </pic:spPr>
                </pic:pic>
              </a:graphicData>
            </a:graphic>
          </wp:inline>
        </w:drawing>
      </w:r>
    </w:p>
    <w:p w14:paraId="0D9B0E2A" w14:textId="6DC1420B" w:rsidR="001244AE" w:rsidRPr="0038741C" w:rsidRDefault="009700B6" w:rsidP="00C008DA">
      <w:pPr>
        <w:pStyle w:val="Heading3"/>
        <w:spacing w:before="240"/>
      </w:pPr>
      <w:bookmarkStart w:id="28" w:name="_Toc58241136"/>
      <w:bookmarkStart w:id="29" w:name="_Toc83989326"/>
      <w:r>
        <w:t>1800 MHz</w:t>
      </w:r>
      <w:r w:rsidR="0041710B" w:rsidRPr="0038741C">
        <w:t xml:space="preserve"> spectrum licences</w:t>
      </w:r>
      <w:bookmarkEnd w:id="28"/>
      <w:bookmarkEnd w:id="29"/>
      <w:r w:rsidR="001244AE" w:rsidRPr="0038741C">
        <w:t xml:space="preserve"> </w:t>
      </w:r>
    </w:p>
    <w:p w14:paraId="5F4595F8" w14:textId="20ED5481" w:rsidR="001244AE" w:rsidRPr="00602151" w:rsidRDefault="0041710B" w:rsidP="00AF3F4C">
      <w:r w:rsidRPr="00DB5756">
        <w:rPr>
          <w:rFonts w:cs="Arial"/>
        </w:rPr>
        <w:t>The changes proposed to the s.145(4) determination</w:t>
      </w:r>
      <w:r w:rsidR="00966B22">
        <w:rPr>
          <w:rFonts w:cs="Arial"/>
        </w:rPr>
        <w:t>,</w:t>
      </w:r>
      <w:r w:rsidRPr="00DB5756">
        <w:rPr>
          <w:rFonts w:cs="Arial"/>
        </w:rPr>
        <w:t xml:space="preserve"> as well as </w:t>
      </w:r>
      <w:r w:rsidR="00FE4DB7">
        <w:rPr>
          <w:rFonts w:cs="Arial"/>
        </w:rPr>
        <w:t xml:space="preserve">the </w:t>
      </w:r>
      <w:r w:rsidRPr="00DB5756">
        <w:rPr>
          <w:rFonts w:cs="Arial"/>
        </w:rPr>
        <w:t>in-band and unwanted emission limits</w:t>
      </w:r>
      <w:r w:rsidR="00966B22">
        <w:rPr>
          <w:rFonts w:cs="Arial"/>
        </w:rPr>
        <w:t xml:space="preserve">, </w:t>
      </w:r>
      <w:r w:rsidRPr="00DB5756">
        <w:rPr>
          <w:rFonts w:cs="Arial"/>
        </w:rPr>
        <w:t xml:space="preserve">have the potential to </w:t>
      </w:r>
      <w:r w:rsidR="00FE4DB7">
        <w:rPr>
          <w:rFonts w:cs="Arial"/>
        </w:rPr>
        <w:t>a</w:t>
      </w:r>
      <w:r w:rsidR="00FE4DB7" w:rsidRPr="00DB5756">
        <w:rPr>
          <w:rFonts w:cs="Arial"/>
        </w:rPr>
        <w:t xml:space="preserve">ffect </w:t>
      </w:r>
      <w:r w:rsidR="003E3742">
        <w:rPr>
          <w:rFonts w:cs="Arial"/>
        </w:rPr>
        <w:t xml:space="preserve">compatibility between </w:t>
      </w:r>
      <w:r w:rsidRPr="00DB5756">
        <w:rPr>
          <w:rFonts w:cs="Arial"/>
        </w:rPr>
        <w:t>current a</w:t>
      </w:r>
      <w:r w:rsidRPr="00D644ED">
        <w:rPr>
          <w:rFonts w:cs="Arial"/>
        </w:rPr>
        <w:t>nd future services deployed by spectrum licensees.</w:t>
      </w:r>
      <w:r w:rsidR="008A70C8">
        <w:rPr>
          <w:rFonts w:cs="Arial"/>
        </w:rPr>
        <w:t xml:space="preserve"> A</w:t>
      </w:r>
      <w:r w:rsidRPr="00D644ED">
        <w:rPr>
          <w:rFonts w:cs="Arial"/>
        </w:rPr>
        <w:t>dvice from the TLG</w:t>
      </w:r>
      <w:r w:rsidR="00AC3FD7">
        <w:rPr>
          <w:rFonts w:cs="Arial"/>
        </w:rPr>
        <w:t>,</w:t>
      </w:r>
      <w:r w:rsidRPr="00D644ED">
        <w:rPr>
          <w:rFonts w:cs="Arial"/>
        </w:rPr>
        <w:t xml:space="preserve"> </w:t>
      </w:r>
      <w:r w:rsidR="008A70C8">
        <w:rPr>
          <w:rFonts w:cs="Arial"/>
        </w:rPr>
        <w:t>h</w:t>
      </w:r>
      <w:r w:rsidR="008A70C8" w:rsidRPr="00D644ED">
        <w:rPr>
          <w:rFonts w:cs="Arial"/>
        </w:rPr>
        <w:t>owever</w:t>
      </w:r>
      <w:r w:rsidR="008A70C8">
        <w:rPr>
          <w:rFonts w:cs="Arial"/>
        </w:rPr>
        <w:t>,</w:t>
      </w:r>
      <w:r w:rsidR="008A70C8" w:rsidRPr="00D644ED">
        <w:rPr>
          <w:rFonts w:cs="Arial"/>
        </w:rPr>
        <w:t xml:space="preserve"> </w:t>
      </w:r>
      <w:r w:rsidR="008A70C8">
        <w:rPr>
          <w:rFonts w:cs="Arial"/>
        </w:rPr>
        <w:t>is</w:t>
      </w:r>
      <w:r w:rsidRPr="00602151">
        <w:rPr>
          <w:rFonts w:cs="Arial"/>
        </w:rPr>
        <w:t xml:space="preserve"> that </w:t>
      </w:r>
      <w:r w:rsidR="008A70C8" w:rsidRPr="00602151">
        <w:rPr>
          <w:rFonts w:cs="Arial"/>
        </w:rPr>
        <w:t>the proposed changes</w:t>
      </w:r>
      <w:r w:rsidR="008A70C8">
        <w:rPr>
          <w:rFonts w:cs="Arial"/>
        </w:rPr>
        <w:t xml:space="preserve"> are acceptable to and supported by</w:t>
      </w:r>
      <w:r w:rsidR="008A70C8" w:rsidRPr="00602151">
        <w:rPr>
          <w:rFonts w:cs="Arial"/>
        </w:rPr>
        <w:t xml:space="preserve"> </w:t>
      </w:r>
      <w:r w:rsidRPr="00602151">
        <w:rPr>
          <w:rFonts w:cs="Arial"/>
        </w:rPr>
        <w:t xml:space="preserve">existing spectrum licensees. </w:t>
      </w:r>
      <w:r w:rsidR="00C270FE">
        <w:rPr>
          <w:rFonts w:cs="Arial"/>
        </w:rPr>
        <w:t>In addition</w:t>
      </w:r>
      <w:r w:rsidR="00F22370">
        <w:rPr>
          <w:rFonts w:cs="Arial"/>
        </w:rPr>
        <w:t>,</w:t>
      </w:r>
      <w:r w:rsidR="00C270FE">
        <w:rPr>
          <w:rFonts w:cs="Arial"/>
        </w:rPr>
        <w:t xml:space="preserve"> the technical parameters of existing devices</w:t>
      </w:r>
      <w:r w:rsidR="00CF66B9">
        <w:rPr>
          <w:rFonts w:cs="Arial"/>
        </w:rPr>
        <w:t xml:space="preserve"> do not exceed any </w:t>
      </w:r>
      <w:r w:rsidR="00CF66B9">
        <w:rPr>
          <w:rFonts w:cs="Arial"/>
        </w:rPr>
        <w:lastRenderedPageBreak/>
        <w:t>of the proposed new limits. This means no modifications need to be made to any existing devices operating under an 1800 MHz spectrum licence.</w:t>
      </w:r>
    </w:p>
    <w:p w14:paraId="75CFB64B" w14:textId="28897D5D" w:rsidR="001E5176" w:rsidRPr="00602151" w:rsidRDefault="001E5176" w:rsidP="001E5176">
      <w:pPr>
        <w:pStyle w:val="Heading3"/>
      </w:pPr>
      <w:bookmarkStart w:id="30" w:name="_Toc58241138"/>
      <w:bookmarkStart w:id="31" w:name="_Toc83989327"/>
      <w:r w:rsidRPr="00602151">
        <w:t>Fixed (point-to-point) services</w:t>
      </w:r>
      <w:bookmarkEnd w:id="30"/>
      <w:bookmarkEnd w:id="31"/>
    </w:p>
    <w:p w14:paraId="40233DAF" w14:textId="15FF454E" w:rsidR="00E62306" w:rsidRPr="00602151" w:rsidRDefault="00E62306" w:rsidP="00E62306">
      <w:pPr>
        <w:autoSpaceDE w:val="0"/>
        <w:autoSpaceDN w:val="0"/>
        <w:adjustRightInd w:val="0"/>
        <w:spacing w:line="240" w:lineRule="auto"/>
      </w:pPr>
      <w:bookmarkStart w:id="32" w:name="_Toc58241139"/>
      <w:r w:rsidRPr="00602151">
        <w:t>There are arrangements for point-to-point services to operate in the 17</w:t>
      </w:r>
      <w:r>
        <w:t>0</w:t>
      </w:r>
      <w:r w:rsidRPr="00602151">
        <w:t>0</w:t>
      </w:r>
      <w:r>
        <w:t>–19</w:t>
      </w:r>
      <w:r w:rsidRPr="00602151">
        <w:t xml:space="preserve">00 MHz band. </w:t>
      </w:r>
      <w:r w:rsidR="00D93D2B" w:rsidRPr="00D93D2B">
        <w:t xml:space="preserve">Radiocommunications assignment and licensing instruction </w:t>
      </w:r>
      <w:r w:rsidR="00D93D2B">
        <w:t>(</w:t>
      </w:r>
      <w:r w:rsidRPr="00602151">
        <w:t>RALI</w:t>
      </w:r>
      <w:r w:rsidR="00D93D2B">
        <w:t>)</w:t>
      </w:r>
      <w:r w:rsidRPr="00602151">
        <w:t xml:space="preserve"> FX 3 details the relevant protection criteria that appl</w:t>
      </w:r>
      <w:r w:rsidR="00574FBA">
        <w:t>y</w:t>
      </w:r>
      <w:r w:rsidRPr="00602151">
        <w:t xml:space="preserve">. </w:t>
      </w:r>
    </w:p>
    <w:p w14:paraId="230236A6" w14:textId="210E8BCD" w:rsidR="00E62306" w:rsidRDefault="00E62306" w:rsidP="00E62306">
      <w:pPr>
        <w:autoSpaceDE w:val="0"/>
        <w:autoSpaceDN w:val="0"/>
        <w:adjustRightInd w:val="0"/>
        <w:spacing w:line="240" w:lineRule="auto"/>
        <w:rPr>
          <w:rFonts w:cs="Arial"/>
        </w:rPr>
      </w:pPr>
      <w:r>
        <w:t>Existing adjacent channel p</w:t>
      </w:r>
      <w:r w:rsidRPr="00602151">
        <w:t xml:space="preserve">oint-to-point </w:t>
      </w:r>
      <w:r>
        <w:t>licences will not be affected by the proposed changes. This is because</w:t>
      </w:r>
      <w:r w:rsidRPr="00602151">
        <w:t xml:space="preserve"> </w:t>
      </w:r>
      <w:r w:rsidRPr="00602151">
        <w:rPr>
          <w:rFonts w:cs="Arial"/>
        </w:rPr>
        <w:t xml:space="preserve">newly registered spectrum-licensed devices are </w:t>
      </w:r>
      <w:r w:rsidR="00B92DE4">
        <w:rPr>
          <w:rFonts w:cs="Arial"/>
        </w:rPr>
        <w:t>expected</w:t>
      </w:r>
      <w:r w:rsidR="00B92DE4" w:rsidRPr="00602151">
        <w:rPr>
          <w:rFonts w:cs="Arial"/>
        </w:rPr>
        <w:t xml:space="preserve"> </w:t>
      </w:r>
      <w:r w:rsidRPr="00602151">
        <w:rPr>
          <w:rFonts w:cs="Arial"/>
        </w:rPr>
        <w:t xml:space="preserve">to protect existing apparatus-licensed point-to-point services to the </w:t>
      </w:r>
      <w:r w:rsidR="00CF66B9">
        <w:rPr>
          <w:rFonts w:cs="Arial"/>
        </w:rPr>
        <w:t xml:space="preserve">levels </w:t>
      </w:r>
      <w:r w:rsidRPr="00602151">
        <w:rPr>
          <w:rFonts w:cs="Arial"/>
        </w:rPr>
        <w:t>stated</w:t>
      </w:r>
      <w:r w:rsidR="00CF66B9">
        <w:rPr>
          <w:rFonts w:cs="Arial"/>
        </w:rPr>
        <w:t xml:space="preserve"> in RALI FX3</w:t>
      </w:r>
      <w:r w:rsidRPr="00602151">
        <w:rPr>
          <w:rFonts w:cs="Arial"/>
        </w:rPr>
        <w:t xml:space="preserve">—irrespective of the in-band or unwanted emission limits defined. </w:t>
      </w:r>
    </w:p>
    <w:p w14:paraId="26F7359B" w14:textId="45ECDED8" w:rsidR="00E62306" w:rsidRDefault="00E62306" w:rsidP="00E62306">
      <w:pPr>
        <w:autoSpaceDE w:val="0"/>
        <w:autoSpaceDN w:val="0"/>
        <w:adjustRightInd w:val="0"/>
        <w:spacing w:line="240" w:lineRule="auto"/>
        <w:rPr>
          <w:rFonts w:cs="Arial"/>
        </w:rPr>
      </w:pPr>
      <w:r>
        <w:rPr>
          <w:rFonts w:cs="Arial"/>
        </w:rPr>
        <w:t>All existing point-to-point licence</w:t>
      </w:r>
      <w:r w:rsidR="009F54B1">
        <w:rPr>
          <w:rFonts w:cs="Arial"/>
        </w:rPr>
        <w:t>s</w:t>
      </w:r>
      <w:r>
        <w:rPr>
          <w:rFonts w:cs="Arial"/>
        </w:rPr>
        <w:t xml:space="preserve"> in the 1710</w:t>
      </w:r>
      <w:r w:rsidR="000F25DF">
        <w:rPr>
          <w:rFonts w:cs="Arial"/>
        </w:rPr>
        <w:t>–</w:t>
      </w:r>
      <w:r>
        <w:rPr>
          <w:rFonts w:cs="Arial"/>
        </w:rPr>
        <w:t>1785 MHz or 1805</w:t>
      </w:r>
      <w:r w:rsidR="000F25DF">
        <w:rPr>
          <w:rFonts w:cs="Arial"/>
        </w:rPr>
        <w:t>–</w:t>
      </w:r>
      <w:r>
        <w:rPr>
          <w:rFonts w:cs="Arial"/>
        </w:rPr>
        <w:t xml:space="preserve">1880 MHz frequency ranges (existing co-channel licences) were issued before 13 June 2013. As stated in the RAG Tx, point-to-point licences issued before 13 June 2013 are protected </w:t>
      </w:r>
      <w:r w:rsidR="003C4FD3">
        <w:rPr>
          <w:rFonts w:cs="Arial"/>
        </w:rPr>
        <w:t xml:space="preserve">by </w:t>
      </w:r>
      <w:r>
        <w:rPr>
          <w:rFonts w:cs="Arial"/>
        </w:rPr>
        <w:t>a first-in-time coordinat</w:t>
      </w:r>
      <w:r w:rsidR="003C4FD3">
        <w:rPr>
          <w:rFonts w:cs="Arial"/>
        </w:rPr>
        <w:t>ion process</w:t>
      </w:r>
      <w:r>
        <w:rPr>
          <w:rFonts w:cs="Arial"/>
        </w:rPr>
        <w:t xml:space="preserve">. This means new devices operated under a spectrum licence </w:t>
      </w:r>
      <w:r w:rsidR="00B92DE4">
        <w:rPr>
          <w:rFonts w:cs="Arial"/>
        </w:rPr>
        <w:t xml:space="preserve">should </w:t>
      </w:r>
      <w:r>
        <w:rPr>
          <w:rFonts w:cs="Arial"/>
        </w:rPr>
        <w:t xml:space="preserve">protect them to the levels defined in RALI FX3. Therefore, the proposed changes to the DBC will have no impact on existing co-channel licences. </w:t>
      </w:r>
    </w:p>
    <w:p w14:paraId="74D030BB" w14:textId="6ED688FB" w:rsidR="00E62306" w:rsidRDefault="00E62306" w:rsidP="00C725C6">
      <w:pPr>
        <w:pStyle w:val="Paragraphbeforelist"/>
      </w:pPr>
      <w:r>
        <w:t xml:space="preserve">The proposed changes to the unwanted emission limits will have no impact on the licensing of </w:t>
      </w:r>
      <w:r w:rsidRPr="003C584C">
        <w:t>new point-to-point link</w:t>
      </w:r>
      <w:r>
        <w:t>s</w:t>
      </w:r>
      <w:r w:rsidRPr="003C584C">
        <w:t xml:space="preserve"> in adjacent bands</w:t>
      </w:r>
      <w:r>
        <w:t xml:space="preserve"> for the following reasons:</w:t>
      </w:r>
    </w:p>
    <w:p w14:paraId="71EA6354" w14:textId="1B2EDD6F" w:rsidR="00E62306" w:rsidRDefault="000F25DF" w:rsidP="00C725C6">
      <w:pPr>
        <w:pStyle w:val="Bulletlevel1"/>
      </w:pPr>
      <w:r>
        <w:t>T</w:t>
      </w:r>
      <w:r w:rsidR="00E62306">
        <w:t>he</w:t>
      </w:r>
      <w:r w:rsidR="00E62306" w:rsidRPr="0062295F">
        <w:t xml:space="preserve"> </w:t>
      </w:r>
      <w:r w:rsidR="00BE6A65">
        <w:t>1800</w:t>
      </w:r>
      <w:r w:rsidR="00E62306" w:rsidRPr="0062295F">
        <w:t xml:space="preserve"> MHz band is subject to spectrum licensing</w:t>
      </w:r>
      <w:r w:rsidR="00E62306">
        <w:t xml:space="preserve"> in metropolitan and regional areas (refer to RALI SM26)</w:t>
      </w:r>
      <w:r>
        <w:t>.</w:t>
      </w:r>
      <w:r w:rsidR="00E62306">
        <w:t xml:space="preserve"> RALI FX3 restricts new assignments in those frequencies and areas subject to spectrum licensing</w:t>
      </w:r>
      <w:r w:rsidR="00E62306" w:rsidRPr="0062295F">
        <w:t xml:space="preserve">. </w:t>
      </w:r>
    </w:p>
    <w:p w14:paraId="47F16ED9" w14:textId="22EA55B5" w:rsidR="00E62306" w:rsidRPr="00602151" w:rsidRDefault="00E62306" w:rsidP="00C725C6">
      <w:pPr>
        <w:pStyle w:val="Bulletlevel1last"/>
      </w:pPr>
      <w:r>
        <w:t>RALI FX3 restricts new assignments in the 1785</w:t>
      </w:r>
      <w:r w:rsidR="000F25DF">
        <w:t>–</w:t>
      </w:r>
      <w:r>
        <w:t xml:space="preserve">1805 MHz and </w:t>
      </w:r>
      <w:r w:rsidR="000F25DF">
        <w:br/>
      </w:r>
      <w:r>
        <w:t>1880</w:t>
      </w:r>
      <w:r w:rsidR="000F25DF">
        <w:t>–</w:t>
      </w:r>
      <w:r>
        <w:t xml:space="preserve">1900 MHz bands. </w:t>
      </w:r>
    </w:p>
    <w:p w14:paraId="143652E0" w14:textId="7CC0B413" w:rsidR="00E62306" w:rsidRDefault="00E62306" w:rsidP="00E62306">
      <w:pPr>
        <w:pStyle w:val="ListBullet"/>
        <w:numPr>
          <w:ilvl w:val="0"/>
          <w:numId w:val="0"/>
        </w:numPr>
        <w:spacing w:before="240" w:after="120"/>
      </w:pPr>
      <w:r>
        <w:t>The proposed changes to the s.145</w:t>
      </w:r>
      <w:r w:rsidR="00264DB7">
        <w:t xml:space="preserve">(4) </w:t>
      </w:r>
      <w:r>
        <w:t xml:space="preserve">determination are expected to have a negligible impact on the </w:t>
      </w:r>
      <w:r>
        <w:rPr>
          <w:rFonts w:cs="Arial"/>
        </w:rPr>
        <w:t xml:space="preserve">licensing of </w:t>
      </w:r>
      <w:r w:rsidRPr="003C584C">
        <w:rPr>
          <w:rFonts w:cs="Arial"/>
        </w:rPr>
        <w:t>new</w:t>
      </w:r>
      <w:r>
        <w:rPr>
          <w:rFonts w:cs="Arial"/>
        </w:rPr>
        <w:t xml:space="preserve"> co-channel</w:t>
      </w:r>
      <w:r w:rsidRPr="003C584C">
        <w:rPr>
          <w:rFonts w:cs="Arial"/>
        </w:rPr>
        <w:t xml:space="preserve"> point-to-point link</w:t>
      </w:r>
      <w:r>
        <w:rPr>
          <w:rFonts w:cs="Arial"/>
        </w:rPr>
        <w:t>s</w:t>
      </w:r>
      <w:r w:rsidRPr="003C584C">
        <w:rPr>
          <w:rFonts w:cs="Arial"/>
        </w:rPr>
        <w:t xml:space="preserve"> in</w:t>
      </w:r>
      <w:r>
        <w:rPr>
          <w:rFonts w:cs="Arial"/>
        </w:rPr>
        <w:t xml:space="preserve"> remote areas. This is due to t</w:t>
      </w:r>
      <w:r>
        <w:t xml:space="preserve">he low density of point-to-point and spectrum licence service deployments near the boundary </w:t>
      </w:r>
      <w:r w:rsidDel="00F521F2">
        <w:t>between regional spectrum licences and remote areas.</w:t>
      </w:r>
      <w:r w:rsidR="00CF66B9">
        <w:t xml:space="preserve"> Additionally, demand for new point-to-point licences in the 1800 MHz band has declined over time. </w:t>
      </w:r>
    </w:p>
    <w:p w14:paraId="13DF9DB3" w14:textId="07C945CD" w:rsidR="00BA3741" w:rsidRDefault="00BA3741" w:rsidP="00C725C6">
      <w:pPr>
        <w:pStyle w:val="Paragraphbeforelist"/>
      </w:pPr>
      <w:r>
        <w:t xml:space="preserve">While the changes to the registration exemption limits could support devices with higher gain antenna (and therefore higher EIRPs), the effect </w:t>
      </w:r>
      <w:r w:rsidR="00E83C76">
        <w:t>on</w:t>
      </w:r>
      <w:r>
        <w:t xml:space="preserve"> </w:t>
      </w:r>
      <w:r w:rsidR="00B92DE4">
        <w:t xml:space="preserve">point-to-point </w:t>
      </w:r>
      <w:r>
        <w:t>services is likely to be low for the following reasons:</w:t>
      </w:r>
    </w:p>
    <w:p w14:paraId="7F6C8FE7" w14:textId="3B1DE4C2" w:rsidR="00BA3741" w:rsidRDefault="000F25DF" w:rsidP="00C725C6">
      <w:pPr>
        <w:pStyle w:val="Bulletlevel1"/>
      </w:pPr>
      <w:r>
        <w:t>T</w:t>
      </w:r>
      <w:r w:rsidR="00BA3741">
        <w:t xml:space="preserve">he low density of point-to-point and spectrum licence service deployments near the boundary </w:t>
      </w:r>
      <w:r w:rsidR="00BA3741" w:rsidDel="00F521F2">
        <w:t>between regional spectrum licences and remote areas</w:t>
      </w:r>
      <w:r>
        <w:t>.</w:t>
      </w:r>
    </w:p>
    <w:p w14:paraId="7E30FC1C" w14:textId="04DDAC17" w:rsidR="00BA3741" w:rsidRDefault="000F25DF" w:rsidP="00C725C6">
      <w:pPr>
        <w:pStyle w:val="Bulletlevel1"/>
      </w:pPr>
      <w:r>
        <w:t>N</w:t>
      </w:r>
      <w:r w:rsidR="00BA3741">
        <w:t xml:space="preserve">ew </w:t>
      </w:r>
      <w:r w:rsidR="00BE6A65">
        <w:t>point-to-point</w:t>
      </w:r>
      <w:r w:rsidR="00BA3741">
        <w:t xml:space="preserve"> </w:t>
      </w:r>
      <w:r w:rsidR="00A469C6">
        <w:t xml:space="preserve">services are </w:t>
      </w:r>
      <w:r w:rsidR="00B92DE4">
        <w:t xml:space="preserve">expected </w:t>
      </w:r>
      <w:r w:rsidR="00BA3741">
        <w:t xml:space="preserve">to meet the DBC in the upper 1800 MHz band or </w:t>
      </w:r>
      <w:r w:rsidR="00B92DE4">
        <w:t>the</w:t>
      </w:r>
      <w:r w:rsidR="00264DB7">
        <w:t xml:space="preserve"> </w:t>
      </w:r>
      <w:r w:rsidR="00BA3741">
        <w:t>RAG DBC in the lower 1800 MHz band</w:t>
      </w:r>
      <w:r w:rsidR="00A469C6">
        <w:t>. This limits how close they can deploy to a spectrum</w:t>
      </w:r>
      <w:r w:rsidR="00BA3741">
        <w:t xml:space="preserve"> </w:t>
      </w:r>
      <w:r w:rsidR="00A469C6">
        <w:t xml:space="preserve">licence area boundary. The geographical separation will help to reduce potential interference from devices that are exempt from registration. </w:t>
      </w:r>
    </w:p>
    <w:p w14:paraId="05A3EA39" w14:textId="471F9804" w:rsidR="00315F8F" w:rsidRDefault="000F25DF" w:rsidP="00C725C6">
      <w:pPr>
        <w:pStyle w:val="Bulletlevel1last"/>
      </w:pPr>
      <w:r>
        <w:t>D</w:t>
      </w:r>
      <w:r w:rsidR="00315F8F">
        <w:t xml:space="preserve">evices </w:t>
      </w:r>
      <w:r w:rsidR="00BE6A65">
        <w:t xml:space="preserve">operated under a spectrum licence that are </w:t>
      </w:r>
      <w:r w:rsidR="00315F8F">
        <w:t>exempt from registration will operate on a no interference basis.</w:t>
      </w:r>
      <w:r w:rsidR="00A469C6">
        <w:t xml:space="preserve"> In the event there is interference it will be the responsibility of the spectrum licensee to resolve the issue. </w:t>
      </w:r>
    </w:p>
    <w:p w14:paraId="03161F44" w14:textId="120F06E6" w:rsidR="00E62306" w:rsidRPr="00602151" w:rsidRDefault="00E62306" w:rsidP="00E62306">
      <w:pPr>
        <w:pStyle w:val="ListBullet"/>
        <w:numPr>
          <w:ilvl w:val="0"/>
          <w:numId w:val="0"/>
        </w:numPr>
        <w:spacing w:before="240" w:after="240"/>
      </w:pPr>
      <w:r w:rsidRPr="00602151">
        <w:t xml:space="preserve">Consequently, it is considered that the existing arrangements in place to manage interference with point-to-point services are suitable and do not need to be modified to account </w:t>
      </w:r>
      <w:r>
        <w:t xml:space="preserve">for </w:t>
      </w:r>
      <w:r w:rsidRPr="00602151">
        <w:t xml:space="preserve">proposed changes to the </w:t>
      </w:r>
      <w:r>
        <w:t>1800</w:t>
      </w:r>
      <w:r w:rsidRPr="00602151">
        <w:t xml:space="preserve"> </w:t>
      </w:r>
      <w:r>
        <w:t>M</w:t>
      </w:r>
      <w:r w:rsidRPr="00602151">
        <w:t xml:space="preserve">Hz technical framework. </w:t>
      </w:r>
    </w:p>
    <w:p w14:paraId="0A65F674" w14:textId="13DA8385" w:rsidR="00F90556" w:rsidRPr="005438AE" w:rsidRDefault="00F90556" w:rsidP="00C725C6">
      <w:pPr>
        <w:pStyle w:val="Heading3"/>
      </w:pPr>
      <w:bookmarkStart w:id="33" w:name="_Toc83989328"/>
      <w:r w:rsidRPr="000F03CC">
        <w:t>Meteorological-satellite service (space-to-Earth) operating below 1710 MHz and adjacent to the 1800 MHz band</w:t>
      </w:r>
      <w:bookmarkEnd w:id="33"/>
    </w:p>
    <w:p w14:paraId="04AC7DD0" w14:textId="40F444B5" w:rsidR="00F90556" w:rsidRDefault="00F90556" w:rsidP="00F90556">
      <w:pPr>
        <w:autoSpaceDE w:val="0"/>
        <w:autoSpaceDN w:val="0"/>
        <w:adjustRightInd w:val="0"/>
        <w:spacing w:after="0" w:line="240" w:lineRule="auto"/>
        <w:rPr>
          <w:b/>
          <w:iCs/>
        </w:rPr>
      </w:pPr>
      <w:r>
        <w:t>The m</w:t>
      </w:r>
      <w:r>
        <w:rPr>
          <w:color w:val="000000"/>
          <w:shd w:val="clear" w:color="auto" w:fill="FFFFFF"/>
        </w:rPr>
        <w:t>eteorological-satellite (Met-Sat) service operates in the band below 1710 MHz and adjacent to the 1800 MHz band</w:t>
      </w:r>
      <w:r>
        <w:t>.</w:t>
      </w:r>
    </w:p>
    <w:p w14:paraId="55985578" w14:textId="2217AAFF" w:rsidR="00BA0A56" w:rsidRDefault="00F90556" w:rsidP="00F90556">
      <w:pPr>
        <w:pStyle w:val="ListBullet2"/>
        <w:numPr>
          <w:ilvl w:val="0"/>
          <w:numId w:val="0"/>
        </w:numPr>
        <w:spacing w:before="240" w:after="240"/>
      </w:pPr>
      <w:r>
        <w:lastRenderedPageBreak/>
        <w:t>No changes are proposed to the unwanted emissions in the 1665</w:t>
      </w:r>
      <w:r w:rsidR="000F25DF">
        <w:t>–</w:t>
      </w:r>
      <w:r>
        <w:t xml:space="preserve">1710 MHz frequency range for transmitters operating in the lower 1800 MHz band. This means there will be no change to the interference environment for meteorological services in that frequency range.  </w:t>
      </w:r>
    </w:p>
    <w:p w14:paraId="6CBB3728" w14:textId="1C2ECDD3" w:rsidR="00117567" w:rsidRDefault="00117567" w:rsidP="00F90556">
      <w:pPr>
        <w:pStyle w:val="ListBullet2"/>
        <w:numPr>
          <w:ilvl w:val="0"/>
          <w:numId w:val="0"/>
        </w:numPr>
        <w:spacing w:after="240"/>
      </w:pPr>
      <w:r>
        <w:t>While the changes to the registration exemption limits could support devices with higher gain antenna</w:t>
      </w:r>
      <w:r w:rsidR="00E11671">
        <w:t>s</w:t>
      </w:r>
      <w:r>
        <w:t xml:space="preserve"> (and therefore higher EIRPs), the effect </w:t>
      </w:r>
      <w:r w:rsidR="00574FBA">
        <w:t>on</w:t>
      </w:r>
      <w:r>
        <w:t xml:space="preserve"> the existing </w:t>
      </w:r>
      <w:r w:rsidR="00BA3741">
        <w:t xml:space="preserve">Met-Sat </w:t>
      </w:r>
      <w:r>
        <w:t xml:space="preserve">interference environment is likely to be low. </w:t>
      </w:r>
      <w:r w:rsidR="00B67FCE">
        <w:t>It is expected that a majority of devices will operate at much lower EIRPs. Also, the directional nature of devices operating with higher gain antennas means they are unlikely to be pointing directly at a Met-Sat receiver. This means that the</w:t>
      </w:r>
      <w:r>
        <w:t xml:space="preserve"> unwanted emissions </w:t>
      </w:r>
      <w:r w:rsidR="00B67FCE">
        <w:t>fr</w:t>
      </w:r>
      <w:r w:rsidR="00D56914">
        <w:t>o</w:t>
      </w:r>
      <w:r w:rsidR="00B67FCE">
        <w:t xml:space="preserve">m these devices </w:t>
      </w:r>
      <w:r>
        <w:t>are expected to be the domina</w:t>
      </w:r>
      <w:r w:rsidR="00D56914">
        <w:t>n</w:t>
      </w:r>
      <w:r>
        <w:t xml:space="preserve">t source of interference. </w:t>
      </w:r>
      <w:r w:rsidR="00A469C6">
        <w:t>Devices</w:t>
      </w:r>
      <w:r>
        <w:t xml:space="preserve"> </w:t>
      </w:r>
      <w:r w:rsidR="00BE6A65">
        <w:t xml:space="preserve">operated under a spectrum licence that are </w:t>
      </w:r>
      <w:r>
        <w:t xml:space="preserve">exempt from registration </w:t>
      </w:r>
      <w:r w:rsidR="00B67FCE">
        <w:t xml:space="preserve">will </w:t>
      </w:r>
      <w:r w:rsidR="00A469C6">
        <w:t xml:space="preserve">also </w:t>
      </w:r>
      <w:r w:rsidR="00B67FCE">
        <w:t>operate on a no interference basis.</w:t>
      </w:r>
      <w:r w:rsidR="00A469C6">
        <w:t xml:space="preserve"> In the event there is interference</w:t>
      </w:r>
      <w:r w:rsidR="00996624">
        <w:t>,</w:t>
      </w:r>
      <w:r w:rsidR="00A469C6">
        <w:t xml:space="preserve"> it will be the responsibility of the spectrum licensee to resolve the issue.</w:t>
      </w:r>
    </w:p>
    <w:p w14:paraId="40E13B0F" w14:textId="77777777" w:rsidR="00F90556" w:rsidRDefault="00F90556" w:rsidP="00F90556">
      <w:pPr>
        <w:pStyle w:val="ListBullet2"/>
        <w:numPr>
          <w:ilvl w:val="0"/>
          <w:numId w:val="0"/>
        </w:numPr>
        <w:spacing w:after="240"/>
      </w:pPr>
      <w:r>
        <w:t>I</w:t>
      </w:r>
      <w:r w:rsidRPr="00602151">
        <w:t xml:space="preserve">t is considered that the existing arrangements in place to manage interference with </w:t>
      </w:r>
      <w:r>
        <w:rPr>
          <w:color w:val="000000"/>
          <w:shd w:val="clear" w:color="auto" w:fill="FFFFFF"/>
        </w:rPr>
        <w:t>Met-Sat radiocommunications receivers</w:t>
      </w:r>
      <w:r w:rsidRPr="00602151" w:rsidDel="005C27A7">
        <w:t xml:space="preserve"> </w:t>
      </w:r>
      <w:r w:rsidRPr="00602151">
        <w:t xml:space="preserve">are suitable and do not need to be modified to account </w:t>
      </w:r>
      <w:r>
        <w:t xml:space="preserve">for </w:t>
      </w:r>
      <w:r w:rsidRPr="00602151">
        <w:t xml:space="preserve">proposed changes to the </w:t>
      </w:r>
      <w:r>
        <w:t>1800</w:t>
      </w:r>
      <w:r w:rsidRPr="00602151">
        <w:t xml:space="preserve"> </w:t>
      </w:r>
      <w:r>
        <w:t>M</w:t>
      </w:r>
      <w:r w:rsidRPr="00602151">
        <w:t>Hz technical framework.</w:t>
      </w:r>
    </w:p>
    <w:p w14:paraId="1BA38944" w14:textId="2E8BD870" w:rsidR="00F90556" w:rsidRPr="005438AE" w:rsidRDefault="00F90556" w:rsidP="00C725C6">
      <w:pPr>
        <w:pStyle w:val="Heading3"/>
      </w:pPr>
      <w:bookmarkStart w:id="34" w:name="_Toc83989329"/>
      <w:r w:rsidRPr="002B2CD5">
        <w:t>Cordless communications devices (i.e.</w:t>
      </w:r>
      <w:r w:rsidR="000F25DF">
        <w:t>,</w:t>
      </w:r>
      <w:r w:rsidRPr="002B2CD5">
        <w:t xml:space="preserve"> DECT), operating in the 1880 MHz to 1900 MHz frequency range</w:t>
      </w:r>
      <w:bookmarkEnd w:id="34"/>
    </w:p>
    <w:p w14:paraId="7FA2918D" w14:textId="45FB1AC0" w:rsidR="00F90556" w:rsidRDefault="00F90556" w:rsidP="00F279CE">
      <w:pPr>
        <w:pStyle w:val="Paragraph"/>
      </w:pPr>
      <w:r>
        <w:t>C</w:t>
      </w:r>
      <w:r w:rsidRPr="00553E86">
        <w:t xml:space="preserve">ordless communications devices </w:t>
      </w:r>
      <w:r>
        <w:t>are authorised to operate in the 1880</w:t>
      </w:r>
      <w:r w:rsidRPr="00553E86">
        <w:t>–</w:t>
      </w:r>
      <w:r>
        <w:t>1900 MHz band</w:t>
      </w:r>
      <w:r w:rsidRPr="00553E86">
        <w:t xml:space="preserve"> by the </w:t>
      </w:r>
      <w:hyperlink r:id="rId44" w:history="1">
        <w:r w:rsidRPr="00BE6A65">
          <w:rPr>
            <w:rStyle w:val="Hyperlink"/>
            <w:i/>
          </w:rPr>
          <w:t xml:space="preserve">Radiocommunications (Cordless Communications Devices) Class </w:t>
        </w:r>
        <w:r w:rsidR="000F25DF">
          <w:rPr>
            <w:rStyle w:val="Hyperlink"/>
            <w:i/>
          </w:rPr>
          <w:br/>
        </w:r>
        <w:r w:rsidRPr="00BE6A65">
          <w:rPr>
            <w:rStyle w:val="Hyperlink"/>
            <w:i/>
          </w:rPr>
          <w:t xml:space="preserve">Licence </w:t>
        </w:r>
        <w:r w:rsidR="00BE6A65" w:rsidRPr="00BE6A65">
          <w:rPr>
            <w:rStyle w:val="Hyperlink"/>
            <w:i/>
          </w:rPr>
          <w:t>2014</w:t>
        </w:r>
      </w:hyperlink>
      <w:r w:rsidRPr="00553E86">
        <w:t xml:space="preserve">. This band is adjacent to the 1800 MHz spectrum licensed band. </w:t>
      </w:r>
      <w:r>
        <w:rPr>
          <w:color w:val="000000"/>
          <w:shd w:val="clear" w:color="auto" w:fill="FFFFFF"/>
        </w:rPr>
        <w:t xml:space="preserve">European studies in the </w:t>
      </w:r>
      <w:hyperlink r:id="rId45" w:history="1">
        <w:r w:rsidRPr="00EA3921">
          <w:rPr>
            <w:rStyle w:val="Hyperlink"/>
            <w:shd w:val="clear" w:color="auto" w:fill="FFFFFF"/>
          </w:rPr>
          <w:t>ECC Reports 96</w:t>
        </w:r>
      </w:hyperlink>
      <w:r>
        <w:rPr>
          <w:color w:val="000000"/>
          <w:shd w:val="clear" w:color="auto" w:fill="FFFFFF"/>
        </w:rPr>
        <w:t xml:space="preserve"> and 146, and the </w:t>
      </w:r>
      <w:hyperlink r:id="rId46" w:history="1">
        <w:r w:rsidRPr="00EA3921">
          <w:rPr>
            <w:rStyle w:val="Hyperlink"/>
            <w:shd w:val="clear" w:color="auto" w:fill="FFFFFF"/>
          </w:rPr>
          <w:t>CEPT Report 41</w:t>
        </w:r>
      </w:hyperlink>
      <w:r>
        <w:rPr>
          <w:color w:val="000000"/>
          <w:shd w:val="clear" w:color="auto" w:fill="FFFFFF"/>
        </w:rPr>
        <w:t xml:space="preserve"> have been used to inform the protection requirement for DECT services from non-AAS transmitters. </w:t>
      </w:r>
      <w:hyperlink r:id="rId47" w:history="1">
        <w:r w:rsidRPr="00EA3921">
          <w:rPr>
            <w:rStyle w:val="Hyperlink"/>
            <w:shd w:val="clear" w:color="auto" w:fill="FFFFFF"/>
          </w:rPr>
          <w:t>ECC Report 297</w:t>
        </w:r>
      </w:hyperlink>
      <w:r>
        <w:rPr>
          <w:color w:val="000000"/>
          <w:shd w:val="clear" w:color="auto" w:fill="FFFFFF"/>
        </w:rPr>
        <w:t xml:space="preserve"> considers the potential interference from the introduction of an AAS service into adjacent bands.</w:t>
      </w:r>
      <w:r>
        <w:t xml:space="preserve"> </w:t>
      </w:r>
    </w:p>
    <w:p w14:paraId="1AB6C7D5" w14:textId="77777777" w:rsidR="00F90556" w:rsidRDefault="00F90556" w:rsidP="00F279CE">
      <w:pPr>
        <w:pStyle w:val="Paragraph"/>
      </w:pPr>
      <w:r>
        <w:t>Based on results of studies provided in these reports, i</w:t>
      </w:r>
      <w:r w:rsidRPr="00602151">
        <w:t xml:space="preserve">t is considered that the </w:t>
      </w:r>
      <w:r>
        <w:t>proposed</w:t>
      </w:r>
      <w:r w:rsidRPr="00602151">
        <w:t xml:space="preserve"> </w:t>
      </w:r>
      <w:r>
        <w:t xml:space="preserve">amendments to the 1800 MHz </w:t>
      </w:r>
      <w:r w:rsidRPr="00602151">
        <w:t>technical framework</w:t>
      </w:r>
      <w:r>
        <w:t xml:space="preserve"> will result in a minor change to the existing interference environment experienced by DECT services. Consequently, it is considered that</w:t>
      </w:r>
      <w:r w:rsidRPr="00602151">
        <w:t xml:space="preserve"> </w:t>
      </w:r>
      <w:r>
        <w:t xml:space="preserve">the RAG Tx </w:t>
      </w:r>
      <w:r w:rsidRPr="00602151">
        <w:t>do</w:t>
      </w:r>
      <w:r>
        <w:t>es</w:t>
      </w:r>
      <w:r w:rsidRPr="00602151">
        <w:t xml:space="preserve"> not need to be modified to take into account proposed changes to the </w:t>
      </w:r>
      <w:r>
        <w:t>1800</w:t>
      </w:r>
      <w:r w:rsidRPr="00602151">
        <w:t xml:space="preserve"> </w:t>
      </w:r>
      <w:r>
        <w:t>M</w:t>
      </w:r>
      <w:r w:rsidRPr="00602151">
        <w:t>Hz technical framework</w:t>
      </w:r>
      <w:r>
        <w:t xml:space="preserve">. </w:t>
      </w:r>
    </w:p>
    <w:p w14:paraId="711D08B9" w14:textId="4BA486DB" w:rsidR="00F90556" w:rsidRPr="005438AE" w:rsidRDefault="00F90556" w:rsidP="00C725C6">
      <w:pPr>
        <w:pStyle w:val="Heading3"/>
      </w:pPr>
      <w:bookmarkStart w:id="35" w:name="_Toc83989330"/>
      <w:r w:rsidRPr="005438AE">
        <w:t xml:space="preserve">Radio Astronomy Service </w:t>
      </w:r>
      <w:r w:rsidR="00BE6A65">
        <w:t xml:space="preserve">(RAS) </w:t>
      </w:r>
      <w:r w:rsidRPr="005438AE">
        <w:t>receivers</w:t>
      </w:r>
      <w:bookmarkEnd w:id="35"/>
    </w:p>
    <w:p w14:paraId="01E492F4" w14:textId="0F561D2D" w:rsidR="00F90556" w:rsidRPr="00D644ED" w:rsidRDefault="00F90556" w:rsidP="00F90556">
      <w:pPr>
        <w:autoSpaceDE w:val="0"/>
        <w:autoSpaceDN w:val="0"/>
        <w:adjustRightInd w:val="0"/>
        <w:spacing w:line="240" w:lineRule="auto"/>
      </w:pPr>
      <w:r w:rsidRPr="00602151">
        <w:t xml:space="preserve">RAS </w:t>
      </w:r>
      <w:r w:rsidR="00BE6A65">
        <w:t xml:space="preserve">receivers </w:t>
      </w:r>
      <w:r w:rsidRPr="00602151">
        <w:t xml:space="preserve">conduct passive observations in the frequency bands specified in footnote AUS87 of the </w:t>
      </w:r>
      <w:hyperlink r:id="rId48" w:history="1">
        <w:r w:rsidRPr="0038741C">
          <w:rPr>
            <w:rStyle w:val="Hyperlink"/>
            <w:i/>
            <w:iCs/>
          </w:rPr>
          <w:t>Australian Radiofrequency Spectrum Plan 20</w:t>
        </w:r>
      </w:hyperlink>
      <w:r w:rsidR="00BE6A65">
        <w:rPr>
          <w:rStyle w:val="Hyperlink"/>
          <w:i/>
          <w:iCs/>
        </w:rPr>
        <w:t>21</w:t>
      </w:r>
      <w:r w:rsidRPr="0038741C">
        <w:t xml:space="preserve">. This includes the </w:t>
      </w:r>
      <w:r>
        <w:t>1710–1780</w:t>
      </w:r>
      <w:r w:rsidRPr="00DB5756">
        <w:t xml:space="preserve"> MHz b</w:t>
      </w:r>
      <w:r w:rsidRPr="006E076A">
        <w:t>and. Operation of RAS</w:t>
      </w:r>
      <w:r w:rsidR="00BE6A65">
        <w:t xml:space="preserve"> receivers</w:t>
      </w:r>
      <w:r w:rsidRPr="006E076A">
        <w:t xml:space="preserve"> under footnote AUS87 is done on a</w:t>
      </w:r>
      <w:r w:rsidR="008A337D">
        <w:t>n</w:t>
      </w:r>
      <w:r w:rsidRPr="006E076A">
        <w:t xml:space="preserve"> </w:t>
      </w:r>
      <w:r>
        <w:t>opportunistic</w:t>
      </w:r>
      <w:r w:rsidRPr="006E076A">
        <w:t xml:space="preserve"> basis. </w:t>
      </w:r>
    </w:p>
    <w:p w14:paraId="38E643ED" w14:textId="0107AE70" w:rsidR="00F90556" w:rsidRPr="0038741C" w:rsidRDefault="00F90556" w:rsidP="00F90556">
      <w:pPr>
        <w:autoSpaceDE w:val="0"/>
        <w:autoSpaceDN w:val="0"/>
        <w:adjustRightInd w:val="0"/>
        <w:spacing w:line="240" w:lineRule="auto"/>
      </w:pPr>
      <w:r w:rsidRPr="00602151">
        <w:t xml:space="preserve">The RAG Tx requests that </w:t>
      </w:r>
      <w:r>
        <w:t>1800 MHz</w:t>
      </w:r>
      <w:r w:rsidRPr="00602151">
        <w:t xml:space="preserve"> spectrum licensees have regard to RAS </w:t>
      </w:r>
      <w:r w:rsidR="00BE6A65">
        <w:t xml:space="preserve">receivers </w:t>
      </w:r>
      <w:r w:rsidRPr="00602151">
        <w:t xml:space="preserve">operating in bands covered by footnote AUS87. In planning for the operation of fixed transmitters under a spectrum licence in the </w:t>
      </w:r>
      <w:r>
        <w:t>1800 MHz</w:t>
      </w:r>
      <w:r w:rsidRPr="00602151">
        <w:t xml:space="preserve"> band, spectrum licensees are encouraged to follow the notification arrangements specified in </w:t>
      </w:r>
      <w:r w:rsidR="005F5F92">
        <w:br/>
      </w:r>
      <w:hyperlink r:id="rId49" w:history="1">
        <w:r w:rsidRPr="0038741C">
          <w:rPr>
            <w:rStyle w:val="Hyperlink"/>
          </w:rPr>
          <w:t>RALI MS31</w:t>
        </w:r>
      </w:hyperlink>
      <w:r w:rsidRPr="0038741C">
        <w:t xml:space="preserve"> before operating transmitters. </w:t>
      </w:r>
    </w:p>
    <w:p w14:paraId="74C8B828" w14:textId="419BF229" w:rsidR="00F90556" w:rsidRDefault="00F90556" w:rsidP="00F90556">
      <w:pPr>
        <w:autoSpaceDE w:val="0"/>
        <w:autoSpaceDN w:val="0"/>
        <w:adjustRightInd w:val="0"/>
        <w:spacing w:line="240" w:lineRule="auto"/>
      </w:pPr>
      <w:r w:rsidRPr="00DB5756">
        <w:t xml:space="preserve">Since RAS </w:t>
      </w:r>
      <w:r w:rsidR="00BE6A65">
        <w:t xml:space="preserve">receiver </w:t>
      </w:r>
      <w:r w:rsidRPr="00DB5756">
        <w:t>operation is limited to a small number of sites, typically located outside of major population centres, no changes are proposed to the existing i</w:t>
      </w:r>
      <w:r w:rsidRPr="006E076A">
        <w:t>nterference managem</w:t>
      </w:r>
      <w:r w:rsidRPr="00E32714">
        <w:t>ent criteria.</w:t>
      </w:r>
    </w:p>
    <w:p w14:paraId="72DEC87F" w14:textId="77777777" w:rsidR="00BE6A65" w:rsidRDefault="00BE6A65">
      <w:pPr>
        <w:spacing w:after="0" w:line="240" w:lineRule="auto"/>
        <w:rPr>
          <w:b/>
          <w:iCs/>
        </w:rPr>
      </w:pPr>
      <w:r>
        <w:rPr>
          <w:b/>
          <w:iCs/>
        </w:rPr>
        <w:br w:type="page"/>
      </w:r>
    </w:p>
    <w:p w14:paraId="534DDE4D" w14:textId="16A5D4BB" w:rsidR="00F90556" w:rsidRDefault="00F90556" w:rsidP="00C725C6">
      <w:pPr>
        <w:pStyle w:val="Heading3"/>
      </w:pPr>
      <w:bookmarkStart w:id="36" w:name="_Toc83989331"/>
      <w:r w:rsidRPr="00FA38F8">
        <w:lastRenderedPageBreak/>
        <w:t>Public Telecommunications Service</w:t>
      </w:r>
      <w:bookmarkEnd w:id="36"/>
    </w:p>
    <w:p w14:paraId="6D560EE8" w14:textId="5954B580" w:rsidR="00F90556" w:rsidRPr="0004078F" w:rsidRDefault="00F90556" w:rsidP="00F90556">
      <w:pPr>
        <w:pStyle w:val="Paragraph"/>
        <w:rPr>
          <w:shd w:val="clear" w:color="auto" w:fill="FFFFFF"/>
        </w:rPr>
      </w:pPr>
      <w:r w:rsidRPr="0004078F">
        <w:rPr>
          <w:shd w:val="clear" w:color="auto" w:fill="FFFFFF"/>
        </w:rPr>
        <w:t xml:space="preserve">Public Telecommunications Services (PTS) operate in </w:t>
      </w:r>
      <w:r>
        <w:rPr>
          <w:shd w:val="clear" w:color="auto" w:fill="FFFFFF"/>
        </w:rPr>
        <w:t xml:space="preserve">areas that are </w:t>
      </w:r>
      <w:r w:rsidRPr="0004078F">
        <w:rPr>
          <w:shd w:val="clear" w:color="auto" w:fill="FFFFFF"/>
        </w:rPr>
        <w:t>adjacent to areas subject to spectrum licensing in the 1800 MHz band. PTS is a service that consists of one or more base stations</w:t>
      </w:r>
      <w:r w:rsidR="00BE6A65">
        <w:rPr>
          <w:shd w:val="clear" w:color="auto" w:fill="FFFFFF"/>
        </w:rPr>
        <w:t>, operated under apparatus licences,</w:t>
      </w:r>
      <w:r w:rsidRPr="0004078F">
        <w:rPr>
          <w:shd w:val="clear" w:color="auto" w:fill="FFFFFF"/>
        </w:rPr>
        <w:t xml:space="preserve"> that are operated for the purposes of supplying a public mobile telecommunications service (PMTS). Mobile stations that communicate with PTS land stations are authorised by the </w:t>
      </w:r>
      <w:hyperlink r:id="rId50" w:history="1">
        <w:r w:rsidRPr="00770D64">
          <w:rPr>
            <w:rStyle w:val="Hyperlink"/>
            <w:i/>
            <w:shd w:val="clear" w:color="auto" w:fill="FFFFFF"/>
          </w:rPr>
          <w:t xml:space="preserve">Radiocommunications (Cellular Mobile Telecommunications Devices) Class </w:t>
        </w:r>
        <w:r w:rsidR="005F5F92">
          <w:rPr>
            <w:rStyle w:val="Hyperlink"/>
            <w:i/>
            <w:shd w:val="clear" w:color="auto" w:fill="FFFFFF"/>
          </w:rPr>
          <w:br/>
        </w:r>
        <w:r w:rsidRPr="00770D64">
          <w:rPr>
            <w:rStyle w:val="Hyperlink"/>
            <w:i/>
            <w:shd w:val="clear" w:color="auto" w:fill="FFFFFF"/>
          </w:rPr>
          <w:t>Licence 20</w:t>
        </w:r>
        <w:r w:rsidR="00770D64" w:rsidRPr="00770D64">
          <w:rPr>
            <w:rStyle w:val="Hyperlink"/>
            <w:i/>
            <w:shd w:val="clear" w:color="auto" w:fill="FFFFFF"/>
          </w:rPr>
          <w:t>14</w:t>
        </w:r>
      </w:hyperlink>
      <w:r w:rsidRPr="0004078F">
        <w:rPr>
          <w:shd w:val="clear" w:color="auto" w:fill="FFFFFF"/>
        </w:rPr>
        <w:t>.</w:t>
      </w:r>
    </w:p>
    <w:p w14:paraId="1986B971" w14:textId="12EDEB26" w:rsidR="00F90556" w:rsidRPr="0004078F" w:rsidRDefault="00F90556" w:rsidP="00C725C6">
      <w:pPr>
        <w:pStyle w:val="Paragraphbeforelist"/>
        <w:rPr>
          <w:shd w:val="clear" w:color="auto" w:fill="FFFFFF"/>
        </w:rPr>
      </w:pPr>
      <w:r>
        <w:rPr>
          <w:shd w:val="clear" w:color="auto" w:fill="FFFFFF"/>
        </w:rPr>
        <w:t xml:space="preserve">There are two </w:t>
      </w:r>
      <w:r w:rsidR="00B92DE4">
        <w:rPr>
          <w:shd w:val="clear" w:color="auto" w:fill="FFFFFF"/>
        </w:rPr>
        <w:t xml:space="preserve">kinds </w:t>
      </w:r>
      <w:r>
        <w:rPr>
          <w:shd w:val="clear" w:color="auto" w:fill="FFFFFF"/>
        </w:rPr>
        <w:t xml:space="preserve">of </w:t>
      </w:r>
      <w:r w:rsidRPr="0004078F">
        <w:rPr>
          <w:shd w:val="clear" w:color="auto" w:fill="FFFFFF"/>
        </w:rPr>
        <w:t>PTS licences available in the 1800 MHz band:</w:t>
      </w:r>
    </w:p>
    <w:p w14:paraId="6084F1E6" w14:textId="1EBBC233" w:rsidR="00F90556" w:rsidRPr="0004078F" w:rsidRDefault="00F90556" w:rsidP="00C725C6">
      <w:pPr>
        <w:pStyle w:val="Bulletlevel1"/>
        <w:rPr>
          <w:shd w:val="clear" w:color="auto" w:fill="FFFFFF"/>
        </w:rPr>
      </w:pPr>
      <w:r w:rsidRPr="0004078F">
        <w:rPr>
          <w:shd w:val="clear" w:color="auto" w:fill="FFFFFF"/>
        </w:rPr>
        <w:t>PMTS Class B – which authorises the use of terrestrial systems</w:t>
      </w:r>
      <w:r w:rsidR="005F5F92">
        <w:rPr>
          <w:shd w:val="clear" w:color="auto" w:fill="FFFFFF"/>
        </w:rPr>
        <w:t>.</w:t>
      </w:r>
    </w:p>
    <w:p w14:paraId="6740FA31" w14:textId="77777777" w:rsidR="00F90556" w:rsidRPr="00D644ED" w:rsidRDefault="00F90556" w:rsidP="00C725C6">
      <w:pPr>
        <w:pStyle w:val="Bulletlevel1last"/>
      </w:pPr>
      <w:r w:rsidRPr="0004078F">
        <w:rPr>
          <w:shd w:val="clear" w:color="auto" w:fill="FFFFFF"/>
        </w:rPr>
        <w:t>PMTS Class C – which authorises the use of systems onboard aircraft.</w:t>
      </w:r>
    </w:p>
    <w:p w14:paraId="42CB0A62" w14:textId="2415EB42" w:rsidR="00F90556" w:rsidRDefault="00F90556" w:rsidP="00F90556">
      <w:pPr>
        <w:pStyle w:val="ListBullet2"/>
        <w:numPr>
          <w:ilvl w:val="0"/>
          <w:numId w:val="0"/>
        </w:numPr>
        <w:spacing w:before="240" w:after="240"/>
      </w:pPr>
      <w:r>
        <w:t>PTS employ the same or similar technology used by 1800 MHz spectrum licensees. Co-channel interference between PTS licences and services deployed under 1800</w:t>
      </w:r>
      <w:r w:rsidR="005F5F92">
        <w:t> </w:t>
      </w:r>
      <w:r>
        <w:t>MHz spectrum licences is managed via the DBC in the s.145</w:t>
      </w:r>
      <w:r w:rsidR="00B92DE4">
        <w:t>(4)</w:t>
      </w:r>
      <w:r>
        <w:t xml:space="preserve"> determination</w:t>
      </w:r>
      <w:r w:rsidR="00936554">
        <w:t xml:space="preserve"> for the upper 1800 MHz band and the RAG DBC in the lower 1800 MHz band</w:t>
      </w:r>
      <w:r>
        <w:t xml:space="preserve">.  </w:t>
      </w:r>
    </w:p>
    <w:p w14:paraId="56140453" w14:textId="53773530" w:rsidR="00E83C25" w:rsidRDefault="00F90556" w:rsidP="00F90556">
      <w:pPr>
        <w:pStyle w:val="ListBullet2"/>
        <w:numPr>
          <w:ilvl w:val="0"/>
          <w:numId w:val="0"/>
        </w:numPr>
        <w:spacing w:after="240"/>
        <w:rPr>
          <w:rFonts w:cs="Arial"/>
        </w:rPr>
      </w:pPr>
      <w:r>
        <w:t>Existing services operating under PTS licences in remote areas will not be impacted by the proposed changes to the s.145</w:t>
      </w:r>
      <w:r w:rsidR="00BE6A65">
        <w:t>(4)</w:t>
      </w:r>
      <w:r>
        <w:t xml:space="preserve"> determination. </w:t>
      </w:r>
      <w:r w:rsidR="00BD0EB9">
        <w:t xml:space="preserve">While the </w:t>
      </w:r>
      <w:r w:rsidR="00F109A2">
        <w:t xml:space="preserve">proposed </w:t>
      </w:r>
      <w:r w:rsidR="00BD0EB9">
        <w:t xml:space="preserve">changes are aimed at </w:t>
      </w:r>
      <w:r w:rsidR="00BD0EB9">
        <w:rPr>
          <w:rFonts w:cs="Arial"/>
        </w:rPr>
        <w:t xml:space="preserve">enabling services to deploy closer to spectrum licence boundaries in the upper 1800 MHz band, </w:t>
      </w:r>
      <w:r w:rsidR="00F109A2">
        <w:t>they</w:t>
      </w:r>
      <w:r w:rsidR="00BD0EB9">
        <w:t xml:space="preserve"> are </w:t>
      </w:r>
      <w:r>
        <w:t xml:space="preserve">expected to have a negligible impact on the </w:t>
      </w:r>
      <w:r>
        <w:rPr>
          <w:rFonts w:cs="Arial"/>
        </w:rPr>
        <w:t xml:space="preserve">licensing of </w:t>
      </w:r>
      <w:r w:rsidRPr="003C584C">
        <w:rPr>
          <w:rFonts w:cs="Arial"/>
        </w:rPr>
        <w:t>new</w:t>
      </w:r>
      <w:r>
        <w:rPr>
          <w:rFonts w:cs="Arial"/>
        </w:rPr>
        <w:t xml:space="preserve"> co-channel</w:t>
      </w:r>
      <w:r w:rsidRPr="003C584C">
        <w:rPr>
          <w:rFonts w:cs="Arial"/>
        </w:rPr>
        <w:t xml:space="preserve"> </w:t>
      </w:r>
      <w:r>
        <w:rPr>
          <w:rFonts w:cs="Arial"/>
        </w:rPr>
        <w:t xml:space="preserve">PTS. </w:t>
      </w:r>
      <w:r w:rsidR="00A14199">
        <w:rPr>
          <w:rFonts w:cs="Arial"/>
        </w:rPr>
        <w:t>This is due to t</w:t>
      </w:r>
      <w:r w:rsidR="00A14199">
        <w:t xml:space="preserve">he low density of </w:t>
      </w:r>
      <w:r w:rsidR="00B92DE4">
        <w:t xml:space="preserve">PTS </w:t>
      </w:r>
      <w:r w:rsidR="00A14199">
        <w:t xml:space="preserve">and spectrum licence service deployments near the boundary </w:t>
      </w:r>
      <w:r w:rsidR="00A14199" w:rsidDel="00F521F2">
        <w:t>between regional spectrum licences and remote areas.</w:t>
      </w:r>
      <w:r>
        <w:rPr>
          <w:rFonts w:cs="Arial"/>
        </w:rPr>
        <w:t xml:space="preserve"> </w:t>
      </w:r>
    </w:p>
    <w:p w14:paraId="5907B6CC" w14:textId="50A42E33" w:rsidR="00F90556" w:rsidRDefault="00A87217" w:rsidP="00AF3F4C">
      <w:pPr>
        <w:pStyle w:val="ListBullet2"/>
        <w:numPr>
          <w:ilvl w:val="0"/>
          <w:numId w:val="0"/>
        </w:numPr>
        <w:spacing w:after="240"/>
      </w:pPr>
      <w:r>
        <w:rPr>
          <w:rFonts w:cs="Arial"/>
        </w:rPr>
        <w:t>N</w:t>
      </w:r>
      <w:r w:rsidR="00F90556">
        <w:rPr>
          <w:rFonts w:cs="Arial"/>
        </w:rPr>
        <w:t xml:space="preserve">o changes are being proposed to the RAG DBC </w:t>
      </w:r>
      <w:r w:rsidR="00E83C25">
        <w:rPr>
          <w:rFonts w:cs="Arial"/>
        </w:rPr>
        <w:t xml:space="preserve">or </w:t>
      </w:r>
      <w:r w:rsidR="00F90556">
        <w:t xml:space="preserve">RAG Tx. </w:t>
      </w:r>
    </w:p>
    <w:p w14:paraId="519511CD" w14:textId="77777777" w:rsidR="00F90556" w:rsidRPr="005438AE" w:rsidRDefault="00F90556" w:rsidP="00C725C6">
      <w:pPr>
        <w:pStyle w:val="Heading3"/>
      </w:pPr>
      <w:bookmarkStart w:id="37" w:name="_Toc83989332"/>
      <w:r w:rsidRPr="005438AE">
        <w:t>Class licensed services</w:t>
      </w:r>
      <w:bookmarkEnd w:id="37"/>
    </w:p>
    <w:p w14:paraId="5ED8C1B5" w14:textId="302C3035" w:rsidR="00F90556" w:rsidRDefault="00F90556" w:rsidP="00F90556">
      <w:pPr>
        <w:autoSpaceDE w:val="0"/>
        <w:autoSpaceDN w:val="0"/>
        <w:adjustRightInd w:val="0"/>
        <w:spacing w:line="240" w:lineRule="auto"/>
      </w:pPr>
      <w:r w:rsidRPr="00602151">
        <w:t xml:space="preserve">The </w:t>
      </w:r>
      <w:hyperlink r:id="rId51" w:history="1">
        <w:r w:rsidRPr="0062295F">
          <w:rPr>
            <w:rStyle w:val="Hyperlink"/>
            <w:i/>
          </w:rPr>
          <w:t>Radiocommunications (Low Interference Potential Devices) Class Licence 2015</w:t>
        </w:r>
      </w:hyperlink>
      <w:r w:rsidRPr="0038741C">
        <w:rPr>
          <w:i/>
          <w:iCs/>
        </w:rPr>
        <w:t xml:space="preserve"> </w:t>
      </w:r>
      <w:r w:rsidRPr="0038741C">
        <w:t>(the LIPD</w:t>
      </w:r>
      <w:r w:rsidR="00B92DE4">
        <w:t xml:space="preserve"> Class Licence</w:t>
      </w:r>
      <w:r w:rsidRPr="0038741C">
        <w:t xml:space="preserve">) defines arrangements for a range of different </w:t>
      </w:r>
      <w:r w:rsidRPr="00DB5756">
        <w:t xml:space="preserve">types of transmitters in the </w:t>
      </w:r>
      <w:r>
        <w:t>1710</w:t>
      </w:r>
      <w:r w:rsidRPr="00DB5756">
        <w:t>–</w:t>
      </w:r>
      <w:r>
        <w:t>1880</w:t>
      </w:r>
      <w:r w:rsidRPr="00DB5756">
        <w:t xml:space="preserve"> MHz band</w:t>
      </w:r>
      <w:r w:rsidRPr="006E076A">
        <w:t xml:space="preserve">. </w:t>
      </w:r>
      <w:r>
        <w:t>This includes wireless microphones in the</w:t>
      </w:r>
      <w:r w:rsidR="005F5F92">
        <w:t> </w:t>
      </w:r>
      <w:r>
        <w:t>1785</w:t>
      </w:r>
      <w:r w:rsidR="005F5F92">
        <w:t>–</w:t>
      </w:r>
      <w:r>
        <w:t xml:space="preserve">1800 MHz frequency range and ground penetrating radars in the </w:t>
      </w:r>
      <w:r w:rsidR="005F5F92">
        <w:br/>
      </w:r>
      <w:r>
        <w:t>30</w:t>
      </w:r>
      <w:r w:rsidR="005F5F92">
        <w:t>–</w:t>
      </w:r>
      <w:r>
        <w:t>12</w:t>
      </w:r>
      <w:r w:rsidR="00A14199">
        <w:t>,</w:t>
      </w:r>
      <w:r>
        <w:t>400 MHz frequency range.</w:t>
      </w:r>
    </w:p>
    <w:p w14:paraId="3C8C2D99" w14:textId="4A9ADBFD" w:rsidR="00F90556" w:rsidRDefault="00F90556" w:rsidP="00F90556">
      <w:pPr>
        <w:autoSpaceDE w:val="0"/>
        <w:autoSpaceDN w:val="0"/>
        <w:adjustRightInd w:val="0"/>
        <w:spacing w:line="240" w:lineRule="auto"/>
      </w:pPr>
      <w:r w:rsidRPr="006E076A">
        <w:t>T</w:t>
      </w:r>
      <w:r w:rsidRPr="00E32714">
        <w:t>ransmitters operated under a</w:t>
      </w:r>
      <w:r>
        <w:t>n</w:t>
      </w:r>
      <w:r w:rsidRPr="00E32714">
        <w:t xml:space="preserve"> </w:t>
      </w:r>
      <w:r>
        <w:t>1800 MHz</w:t>
      </w:r>
      <w:r w:rsidRPr="00E32714">
        <w:t xml:space="preserve"> spectrum licence</w:t>
      </w:r>
      <w:r w:rsidR="00B92DE4">
        <w:t>,</w:t>
      </w:r>
      <w:r w:rsidRPr="00E32714">
        <w:t xml:space="preserve"> in accordance with the conditions of the licence, are not </w:t>
      </w:r>
      <w:r w:rsidR="00D62AAF">
        <w:t xml:space="preserve">deemed </w:t>
      </w:r>
      <w:r w:rsidRPr="00E32714">
        <w:t>to cause unacceptable interfe</w:t>
      </w:r>
      <w:r w:rsidRPr="00D644ED">
        <w:t xml:space="preserve">rence </w:t>
      </w:r>
      <w:r>
        <w:t xml:space="preserve">to </w:t>
      </w:r>
      <w:r w:rsidRPr="00602151">
        <w:t>devices operating in accordance with the LIPD</w:t>
      </w:r>
      <w:r w:rsidR="00B92DE4">
        <w:t xml:space="preserve"> Class Licence</w:t>
      </w:r>
      <w:r w:rsidRPr="00602151">
        <w:t xml:space="preserve">. </w:t>
      </w:r>
      <w:r>
        <w:t xml:space="preserve">In addition, devices operated under the LIPD </w:t>
      </w:r>
      <w:r w:rsidR="00B92DE4">
        <w:t xml:space="preserve">Class Licence </w:t>
      </w:r>
      <w:r>
        <w:t xml:space="preserve">operate on a ‘no interference and no protection’ basis. </w:t>
      </w:r>
      <w:r w:rsidR="00C3219D">
        <w:t xml:space="preserve">The changes proposed </w:t>
      </w:r>
      <w:r w:rsidR="00FB50E8">
        <w:t xml:space="preserve">will have a </w:t>
      </w:r>
      <w:r w:rsidR="00C3219D">
        <w:t xml:space="preserve">negligible </w:t>
      </w:r>
      <w:r w:rsidR="00FB50E8">
        <w:t xml:space="preserve">impact </w:t>
      </w:r>
      <w:r w:rsidR="00996624">
        <w:t>on</w:t>
      </w:r>
      <w:r w:rsidR="00FB50E8">
        <w:t xml:space="preserve"> the existing interference environment. No changes </w:t>
      </w:r>
      <w:r w:rsidR="00BA0A56">
        <w:t xml:space="preserve">are </w:t>
      </w:r>
      <w:r w:rsidR="00FB50E8">
        <w:t xml:space="preserve">proposed to the </w:t>
      </w:r>
      <w:r>
        <w:t>RAG Tx.</w:t>
      </w:r>
    </w:p>
    <w:p w14:paraId="098DE570" w14:textId="2A4232ED" w:rsidR="00BA0A56" w:rsidRPr="005438AE" w:rsidRDefault="00211AE0" w:rsidP="00C725C6">
      <w:pPr>
        <w:pStyle w:val="Heading3"/>
      </w:pPr>
      <w:bookmarkStart w:id="38" w:name="_Toc83989333"/>
      <w:r>
        <w:t xml:space="preserve">Aeronautical </w:t>
      </w:r>
      <w:r w:rsidR="005F5F92">
        <w:t>m</w:t>
      </w:r>
      <w:r>
        <w:t>obile</w:t>
      </w:r>
      <w:bookmarkEnd w:id="38"/>
    </w:p>
    <w:p w14:paraId="111A2AD4" w14:textId="4C62BE5C" w:rsidR="00936554" w:rsidRDefault="00936554" w:rsidP="00F90556">
      <w:pPr>
        <w:autoSpaceDE w:val="0"/>
        <w:autoSpaceDN w:val="0"/>
        <w:adjustRightInd w:val="0"/>
        <w:spacing w:line="240" w:lineRule="auto"/>
      </w:pPr>
      <w:r>
        <w:t>A</w:t>
      </w:r>
      <w:r w:rsidRPr="00936554">
        <w:t xml:space="preserve">eronautical systems </w:t>
      </w:r>
      <w:r>
        <w:t xml:space="preserve">are </w:t>
      </w:r>
      <w:r w:rsidRPr="00936554">
        <w:t xml:space="preserve">operated by the Department of Defence in the 1800 MHz mid-band gap. These services are authorised to operate Australia-wide on a no-interference and no protection basis. </w:t>
      </w:r>
    </w:p>
    <w:p w14:paraId="317BE7E4" w14:textId="48A8877D" w:rsidR="002461EB" w:rsidRDefault="00FB0CD8" w:rsidP="002461EB">
      <w:pPr>
        <w:autoSpaceDE w:val="0"/>
        <w:autoSpaceDN w:val="0"/>
        <w:adjustRightInd w:val="0"/>
        <w:rPr>
          <w:rFonts w:ascii="Calibri" w:hAnsi="Calibri"/>
        </w:rPr>
      </w:pPr>
      <w:r>
        <w:t xml:space="preserve">The ACMA </w:t>
      </w:r>
      <w:r w:rsidR="00CC4086">
        <w:t xml:space="preserve">has considered the effect the proposed changes may have on </w:t>
      </w:r>
      <w:r w:rsidR="00BE6A65">
        <w:t>aeronautical</w:t>
      </w:r>
      <w:r w:rsidR="005F5F92">
        <w:t> </w:t>
      </w:r>
      <w:r w:rsidR="00CC4086">
        <w:t>systems</w:t>
      </w:r>
      <w:r w:rsidR="002461EB">
        <w:t xml:space="preserve">. </w:t>
      </w:r>
    </w:p>
    <w:p w14:paraId="231C367F" w14:textId="306BB5AA" w:rsidR="00A469C6" w:rsidRDefault="002461EB" w:rsidP="002461EB">
      <w:pPr>
        <w:autoSpaceDE w:val="0"/>
        <w:autoSpaceDN w:val="0"/>
        <w:adjustRightInd w:val="0"/>
      </w:pPr>
      <w:r>
        <w:t>For non-AAS device we believe</w:t>
      </w:r>
      <w:r w:rsidR="00CC4086">
        <w:t xml:space="preserve"> </w:t>
      </w:r>
      <w:r w:rsidR="00FB0CD8">
        <w:t xml:space="preserve">there will be no </w:t>
      </w:r>
      <w:r w:rsidR="00CC4086">
        <w:t xml:space="preserve">appreciable </w:t>
      </w:r>
      <w:r w:rsidR="00FB0CD8">
        <w:t>change to the existing interference environment</w:t>
      </w:r>
      <w:r>
        <w:t>.</w:t>
      </w:r>
      <w:r w:rsidR="00FB0CD8">
        <w:t xml:space="preserve"> This is because </w:t>
      </w:r>
      <w:r w:rsidR="00CC4086">
        <w:t xml:space="preserve">the changes will not result in higher levels of </w:t>
      </w:r>
      <w:r w:rsidR="00A469C6">
        <w:t xml:space="preserve">unwanted emissions </w:t>
      </w:r>
      <w:r w:rsidR="00CC4086">
        <w:t>in the 1800 MHz mid-band gap</w:t>
      </w:r>
      <w:r w:rsidR="00A469C6">
        <w:t xml:space="preserve">. </w:t>
      </w:r>
      <w:r w:rsidR="00FB0CD8">
        <w:t>Also, whil</w:t>
      </w:r>
      <w:r w:rsidR="006D33B2">
        <w:t xml:space="preserve">e a </w:t>
      </w:r>
      <w:r w:rsidR="00A469C6">
        <w:t xml:space="preserve">move to TRP for in-band emissions is </w:t>
      </w:r>
      <w:r w:rsidR="006D33B2">
        <w:t xml:space="preserve">proposed for non-GSM-R devices, the value proposed was derived from </w:t>
      </w:r>
      <w:r w:rsidR="00A469C6">
        <w:t>the existing EIRP limits</w:t>
      </w:r>
      <w:r w:rsidR="006D33B2">
        <w:t xml:space="preserve"> assuming a maximum gain of 23.7 dBi</w:t>
      </w:r>
      <w:r w:rsidR="009C020F">
        <w:t xml:space="preserve"> (based on </w:t>
      </w:r>
      <w:r w:rsidR="009C020F">
        <w:lastRenderedPageBreak/>
        <w:t>an 8x8 array for an AAS)</w:t>
      </w:r>
      <w:r w:rsidR="006D33B2">
        <w:t xml:space="preserve">. This is a much higher gain than would </w:t>
      </w:r>
      <w:r>
        <w:t>normally</w:t>
      </w:r>
      <w:r w:rsidR="006D33B2">
        <w:t xml:space="preserve"> </w:t>
      </w:r>
      <w:r w:rsidR="00E11671">
        <w:t xml:space="preserve">be </w:t>
      </w:r>
      <w:r w:rsidR="006D33B2">
        <w:t xml:space="preserve">used </w:t>
      </w:r>
      <w:r>
        <w:t>by non-AAS WBB devices.</w:t>
      </w:r>
      <w:r w:rsidR="00A469C6">
        <w:t xml:space="preserve"> </w:t>
      </w:r>
    </w:p>
    <w:p w14:paraId="4254A1B8" w14:textId="43753827" w:rsidR="00BA0A56" w:rsidRPr="00602151" w:rsidRDefault="00CC4086" w:rsidP="00F90556">
      <w:pPr>
        <w:autoSpaceDE w:val="0"/>
        <w:autoSpaceDN w:val="0"/>
        <w:adjustRightInd w:val="0"/>
        <w:spacing w:line="240" w:lineRule="auto"/>
      </w:pPr>
      <w:r>
        <w:t>Higher levels of</w:t>
      </w:r>
      <w:r w:rsidR="00A469C6">
        <w:t xml:space="preserve"> unwanted emission limits are proposed for AAS devices</w:t>
      </w:r>
      <w:r>
        <w:t xml:space="preserve"> in the 1800</w:t>
      </w:r>
      <w:r w:rsidR="00BE6A65">
        <w:t> </w:t>
      </w:r>
      <w:r>
        <w:t>MHz mid-band gap</w:t>
      </w:r>
      <w:r w:rsidR="00A469C6">
        <w:t xml:space="preserve">. </w:t>
      </w:r>
      <w:r w:rsidR="009C020F">
        <w:t>Also, the adoption of a TRP metric for in-band emission limits could technically enable higher radiated powers for AAS devices than the existing limit does.</w:t>
      </w:r>
      <w:r>
        <w:t xml:space="preserve"> </w:t>
      </w:r>
      <w:r w:rsidR="009C020F">
        <w:t xml:space="preserve">However, </w:t>
      </w:r>
      <w:r w:rsidR="00474C2A">
        <w:t>due to the dynamic pointing of beams from AAS (which results in a lower probability of interference)</w:t>
      </w:r>
      <w:r w:rsidR="00936554" w:rsidRPr="00936554">
        <w:t xml:space="preserve">, coupled with the limited operation time and mobility of aeronautical services, the probability of an appreciable change in </w:t>
      </w:r>
      <w:r w:rsidR="005711CE">
        <w:t xml:space="preserve">the existing </w:t>
      </w:r>
      <w:r w:rsidR="00936554" w:rsidRPr="00936554">
        <w:t xml:space="preserve">interference </w:t>
      </w:r>
      <w:r w:rsidR="005711CE">
        <w:t xml:space="preserve">environment </w:t>
      </w:r>
      <w:r w:rsidR="00936554" w:rsidRPr="00936554">
        <w:t xml:space="preserve">occurring is considered low. </w:t>
      </w:r>
      <w:r w:rsidR="009C020F">
        <w:t>In addition, advice from industry is that practical AAS devices are unlikely to deploy systems with arrays greater than 8x8 in size due to the size of the antenna required</w:t>
      </w:r>
      <w:r w:rsidR="002461EB">
        <w:t xml:space="preserve"> in the 1800 MHz band</w:t>
      </w:r>
      <w:r w:rsidR="009C020F">
        <w:t>.</w:t>
      </w:r>
    </w:p>
    <w:p w14:paraId="0AB58E55" w14:textId="4106F7A3" w:rsidR="00C36A89" w:rsidRPr="00602151" w:rsidRDefault="0010535B" w:rsidP="00C36A89">
      <w:pPr>
        <w:pStyle w:val="Heading2"/>
      </w:pPr>
      <w:bookmarkStart w:id="39" w:name="_Toc58241144"/>
      <w:bookmarkStart w:id="40" w:name="_Toc83989334"/>
      <w:bookmarkEnd w:id="32"/>
      <w:r w:rsidRPr="00602151">
        <w:t>Proposed changes</w:t>
      </w:r>
      <w:bookmarkEnd w:id="39"/>
      <w:bookmarkEnd w:id="40"/>
    </w:p>
    <w:p w14:paraId="3D2BA2FA" w14:textId="2DA21DD8" w:rsidR="0010535B" w:rsidRPr="00602151" w:rsidRDefault="0010535B" w:rsidP="00FE3D80">
      <w:pPr>
        <w:pStyle w:val="ListBullet"/>
        <w:numPr>
          <w:ilvl w:val="0"/>
          <w:numId w:val="0"/>
        </w:numPr>
        <w:spacing w:after="240"/>
        <w:rPr>
          <w:rFonts w:cs="Arial"/>
        </w:rPr>
      </w:pPr>
      <w:r w:rsidRPr="00602151">
        <w:rPr>
          <w:rFonts w:cs="Arial"/>
        </w:rPr>
        <w:t xml:space="preserve">This section details the proposed changes to the conditions </w:t>
      </w:r>
      <w:r w:rsidR="00BE6A65" w:rsidRPr="00602151">
        <w:rPr>
          <w:rFonts w:cs="Arial"/>
        </w:rPr>
        <w:t>o</w:t>
      </w:r>
      <w:r w:rsidR="00BE6A65">
        <w:rPr>
          <w:rFonts w:cs="Arial"/>
        </w:rPr>
        <w:t>f</w:t>
      </w:r>
      <w:r w:rsidR="00BE6A65" w:rsidRPr="00602151">
        <w:rPr>
          <w:rFonts w:cs="Arial"/>
        </w:rPr>
        <w:t xml:space="preserve"> </w:t>
      </w:r>
      <w:r w:rsidR="002D50BE">
        <w:rPr>
          <w:rFonts w:cs="Arial"/>
        </w:rPr>
        <w:t>1800 MHz band</w:t>
      </w:r>
      <w:r w:rsidRPr="00602151">
        <w:rPr>
          <w:rFonts w:cs="Arial"/>
        </w:rPr>
        <w:t xml:space="preserve"> spectrum</w:t>
      </w:r>
      <w:r w:rsidR="00D62AAF">
        <w:rPr>
          <w:rFonts w:cs="Arial"/>
        </w:rPr>
        <w:t xml:space="preserve"> licence</w:t>
      </w:r>
      <w:r w:rsidR="00474C2A">
        <w:rPr>
          <w:rFonts w:cs="Arial"/>
        </w:rPr>
        <w:t>s</w:t>
      </w:r>
      <w:r w:rsidR="00D62AAF">
        <w:rPr>
          <w:rFonts w:cs="Arial"/>
        </w:rPr>
        <w:t xml:space="preserve"> and</w:t>
      </w:r>
      <w:r w:rsidR="00FE3D80" w:rsidRPr="00602151">
        <w:rPr>
          <w:rFonts w:cs="Arial"/>
        </w:rPr>
        <w:t xml:space="preserve"> </w:t>
      </w:r>
      <w:r w:rsidR="002D50BE">
        <w:rPr>
          <w:rFonts w:cs="Arial"/>
        </w:rPr>
        <w:t>the</w:t>
      </w:r>
      <w:r w:rsidR="00FE3D80" w:rsidRPr="00602151">
        <w:rPr>
          <w:rFonts w:cs="Arial"/>
        </w:rPr>
        <w:t xml:space="preserve"> </w:t>
      </w:r>
      <w:r w:rsidRPr="00602151">
        <w:rPr>
          <w:rFonts w:cs="Arial"/>
        </w:rPr>
        <w:t xml:space="preserve">s.145(4) determination. </w:t>
      </w:r>
    </w:p>
    <w:p w14:paraId="6499AE58" w14:textId="3EC57ABE" w:rsidR="00FE3D80" w:rsidRDefault="00FE3D80" w:rsidP="005B30E4">
      <w:pPr>
        <w:pStyle w:val="ListBullet"/>
        <w:numPr>
          <w:ilvl w:val="0"/>
          <w:numId w:val="0"/>
        </w:numPr>
        <w:spacing w:after="240"/>
        <w:rPr>
          <w:rFonts w:cs="Arial"/>
        </w:rPr>
      </w:pPr>
      <w:r w:rsidRPr="00602151">
        <w:rPr>
          <w:rFonts w:cs="Arial"/>
        </w:rPr>
        <w:t>For comparison purposes</w:t>
      </w:r>
      <w:r w:rsidR="006475EB">
        <w:rPr>
          <w:rFonts w:cs="Arial"/>
        </w:rPr>
        <w:t>,</w:t>
      </w:r>
      <w:r w:rsidRPr="00602151">
        <w:rPr>
          <w:rFonts w:cs="Arial"/>
        </w:rPr>
        <w:t xml:space="preserve"> </w:t>
      </w:r>
      <w:r w:rsidR="00B11475">
        <w:rPr>
          <w:rFonts w:cs="Arial"/>
        </w:rPr>
        <w:t xml:space="preserve">here is the </w:t>
      </w:r>
      <w:r w:rsidRPr="00602151">
        <w:rPr>
          <w:rFonts w:cs="Arial"/>
        </w:rPr>
        <w:t xml:space="preserve">link to the existing </w:t>
      </w:r>
      <w:hyperlink r:id="rId52" w:history="1">
        <w:r w:rsidRPr="0038741C">
          <w:rPr>
            <w:rStyle w:val="Hyperlink"/>
            <w:rFonts w:cs="Arial"/>
          </w:rPr>
          <w:t>s.145(4) determination</w:t>
        </w:r>
      </w:hyperlink>
      <w:r w:rsidRPr="0038741C">
        <w:rPr>
          <w:rFonts w:cs="Arial"/>
        </w:rPr>
        <w:t xml:space="preserve">. In addition, the relevant </w:t>
      </w:r>
      <w:r w:rsidR="006358D3">
        <w:rPr>
          <w:rFonts w:cs="Arial"/>
        </w:rPr>
        <w:t xml:space="preserve">sections </w:t>
      </w:r>
      <w:r w:rsidRPr="0038741C">
        <w:rPr>
          <w:rFonts w:cs="Arial"/>
        </w:rPr>
        <w:t xml:space="preserve">of existing spectrum licences </w:t>
      </w:r>
      <w:r w:rsidR="006358D3">
        <w:rPr>
          <w:rFonts w:cs="Arial"/>
        </w:rPr>
        <w:t xml:space="preserve">where changes </w:t>
      </w:r>
      <w:r w:rsidRPr="0038741C">
        <w:rPr>
          <w:rFonts w:cs="Arial"/>
        </w:rPr>
        <w:t xml:space="preserve">are proposed </w:t>
      </w:r>
      <w:r w:rsidR="006358D3">
        <w:rPr>
          <w:rFonts w:cs="Arial"/>
        </w:rPr>
        <w:t xml:space="preserve">have been </w:t>
      </w:r>
      <w:r w:rsidRPr="0038741C">
        <w:rPr>
          <w:rFonts w:cs="Arial"/>
        </w:rPr>
        <w:t xml:space="preserve">reproduced at Appendix A.  </w:t>
      </w:r>
    </w:p>
    <w:p w14:paraId="5C8D38C8" w14:textId="5F365F13" w:rsidR="00912097" w:rsidRDefault="00912097" w:rsidP="005B30E4">
      <w:pPr>
        <w:pStyle w:val="ListBullet"/>
        <w:numPr>
          <w:ilvl w:val="0"/>
          <w:numId w:val="0"/>
        </w:numPr>
        <w:spacing w:after="240"/>
        <w:rPr>
          <w:rFonts w:cs="Arial"/>
        </w:rPr>
      </w:pPr>
      <w:r>
        <w:rPr>
          <w:rFonts w:cs="Arial"/>
        </w:rPr>
        <w:t xml:space="preserve">For </w:t>
      </w:r>
      <w:r w:rsidR="006C7ADA">
        <w:rPr>
          <w:rFonts w:cs="Arial"/>
        </w:rPr>
        <w:t xml:space="preserve">more information on </w:t>
      </w:r>
      <w:r>
        <w:rPr>
          <w:rFonts w:cs="Arial"/>
        </w:rPr>
        <w:t>the proposed changes</w:t>
      </w:r>
      <w:r w:rsidR="006475EB">
        <w:rPr>
          <w:rFonts w:cs="Arial"/>
        </w:rPr>
        <w:t>,</w:t>
      </w:r>
      <w:r>
        <w:rPr>
          <w:rFonts w:cs="Arial"/>
        </w:rPr>
        <w:t xml:space="preserve"> please refer to the </w:t>
      </w:r>
      <w:r w:rsidR="006475EB">
        <w:rPr>
          <w:rFonts w:cs="Arial"/>
        </w:rPr>
        <w:t>‘</w:t>
      </w:r>
      <w:r w:rsidR="009700B6">
        <w:rPr>
          <w:rFonts w:cs="Arial"/>
        </w:rPr>
        <w:t>1800 MHz</w:t>
      </w:r>
      <w:r w:rsidRPr="00DC152A">
        <w:rPr>
          <w:rFonts w:cs="Arial"/>
        </w:rPr>
        <w:t xml:space="preserve"> TLG</w:t>
      </w:r>
      <w:r w:rsidR="006475EB">
        <w:rPr>
          <w:rFonts w:cs="Arial"/>
        </w:rPr>
        <w:t>’</w:t>
      </w:r>
      <w:r>
        <w:rPr>
          <w:rFonts w:cs="Arial"/>
          <w:i/>
          <w:iCs/>
        </w:rPr>
        <w:t xml:space="preserve"> </w:t>
      </w:r>
      <w:r>
        <w:rPr>
          <w:rFonts w:cs="Arial"/>
        </w:rPr>
        <w:t xml:space="preserve">section and the </w:t>
      </w:r>
      <w:hyperlink r:id="rId53" w:history="1">
        <w:r w:rsidR="009700B6">
          <w:rPr>
            <w:rStyle w:val="Hyperlink"/>
            <w:rFonts w:cs="Arial"/>
          </w:rPr>
          <w:t>1800 MHz</w:t>
        </w:r>
        <w:r w:rsidRPr="00912097">
          <w:rPr>
            <w:rStyle w:val="Hyperlink"/>
            <w:rFonts w:cs="Arial"/>
          </w:rPr>
          <w:t xml:space="preserve"> TLG paper</w:t>
        </w:r>
      </w:hyperlink>
      <w:r>
        <w:rPr>
          <w:rFonts w:cs="Arial"/>
        </w:rPr>
        <w:t xml:space="preserve">. </w:t>
      </w:r>
    </w:p>
    <w:p w14:paraId="2ED914E7" w14:textId="158C7304" w:rsidR="0053409F" w:rsidRDefault="00332835" w:rsidP="00C725C6">
      <w:pPr>
        <w:pStyle w:val="ListNumber"/>
        <w:numPr>
          <w:ilvl w:val="0"/>
          <w:numId w:val="0"/>
        </w:numPr>
        <w:pBdr>
          <w:top w:val="single" w:sz="4" w:space="8" w:color="auto"/>
          <w:left w:val="single" w:sz="4" w:space="4" w:color="auto"/>
          <w:bottom w:val="single" w:sz="4" w:space="1" w:color="auto"/>
          <w:right w:val="single" w:sz="4" w:space="4" w:color="auto"/>
        </w:pBdr>
        <w:shd w:val="clear" w:color="auto" w:fill="D9D9D9" w:themeFill="background1" w:themeFillShade="D9"/>
        <w:spacing w:before="100"/>
      </w:pPr>
      <w:r>
        <w:t>3</w:t>
      </w:r>
      <w:r w:rsidR="0053409F">
        <w:t xml:space="preserve">. </w:t>
      </w:r>
      <w:r w:rsidR="006475EB">
        <w:t xml:space="preserve">Comment is sought on </w:t>
      </w:r>
      <w:r w:rsidR="006475EB" w:rsidRPr="005B30E4">
        <w:t>the changes proposed</w:t>
      </w:r>
      <w:r w:rsidR="006475EB">
        <w:t xml:space="preserve"> to</w:t>
      </w:r>
      <w:r w:rsidR="00B13DD4">
        <w:t xml:space="preserve"> the</w:t>
      </w:r>
      <w:r w:rsidR="006475EB">
        <w:t>:</w:t>
      </w:r>
    </w:p>
    <w:p w14:paraId="3491DBCE" w14:textId="6F8F95DF" w:rsidR="0053409F" w:rsidRDefault="005F5F92" w:rsidP="00C725C6">
      <w:pPr>
        <w:pStyle w:val="ListNumber"/>
        <w:numPr>
          <w:ilvl w:val="0"/>
          <w:numId w:val="0"/>
        </w:numPr>
        <w:pBdr>
          <w:top w:val="single" w:sz="4" w:space="8" w:color="auto"/>
          <w:left w:val="single" w:sz="4" w:space="4" w:color="auto"/>
          <w:bottom w:val="single" w:sz="4" w:space="1" w:color="auto"/>
          <w:right w:val="single" w:sz="4" w:space="4" w:color="auto"/>
        </w:pBdr>
        <w:shd w:val="clear" w:color="auto" w:fill="D9D9D9" w:themeFill="background1" w:themeFillShade="D9"/>
      </w:pPr>
      <w:r>
        <w:t xml:space="preserve">    </w:t>
      </w:r>
      <w:r w:rsidR="0053409F">
        <w:t xml:space="preserve">&gt; </w:t>
      </w:r>
      <w:r w:rsidR="009700B6">
        <w:t>1800 MHz</w:t>
      </w:r>
      <w:r w:rsidR="006475EB">
        <w:t xml:space="preserve"> band spectrum licence</w:t>
      </w:r>
      <w:r w:rsidR="009B105A">
        <w:t xml:space="preserve"> condition</w:t>
      </w:r>
      <w:r w:rsidR="0053409F">
        <w:t>s</w:t>
      </w:r>
    </w:p>
    <w:p w14:paraId="245BF04C" w14:textId="4832BCC7" w:rsidR="006475EB" w:rsidRPr="005B30E4" w:rsidRDefault="005F5F92" w:rsidP="00C725C6">
      <w:pPr>
        <w:pStyle w:val="ListNumber"/>
        <w:numPr>
          <w:ilvl w:val="0"/>
          <w:numId w:val="0"/>
        </w:numPr>
        <w:pBdr>
          <w:top w:val="single" w:sz="4" w:space="8" w:color="auto"/>
          <w:left w:val="single" w:sz="4" w:space="4" w:color="auto"/>
          <w:bottom w:val="single" w:sz="4" w:space="1" w:color="auto"/>
          <w:right w:val="single" w:sz="4" w:space="4" w:color="auto"/>
        </w:pBdr>
        <w:shd w:val="clear" w:color="auto" w:fill="D9D9D9" w:themeFill="background1" w:themeFillShade="D9"/>
        <w:spacing w:after="0"/>
      </w:pPr>
      <w:r>
        <w:t xml:space="preserve">    </w:t>
      </w:r>
      <w:r w:rsidR="0053409F">
        <w:t xml:space="preserve">&gt; </w:t>
      </w:r>
      <w:r w:rsidR="006475EB">
        <w:t xml:space="preserve">s.145(4) determination for the </w:t>
      </w:r>
      <w:r w:rsidR="009700B6">
        <w:t>1800 MHz</w:t>
      </w:r>
      <w:r w:rsidR="006475EB">
        <w:t xml:space="preserve"> band</w:t>
      </w:r>
      <w:r>
        <w:t>.</w:t>
      </w:r>
      <w:r>
        <w:br/>
      </w:r>
    </w:p>
    <w:p w14:paraId="729F27D2" w14:textId="77777777" w:rsidR="006475EB" w:rsidRPr="00912097" w:rsidRDefault="006475EB" w:rsidP="00DC152A">
      <w:pPr>
        <w:pStyle w:val="ListNumber"/>
        <w:numPr>
          <w:ilvl w:val="0"/>
          <w:numId w:val="0"/>
        </w:numPr>
        <w:ind w:left="360"/>
      </w:pPr>
    </w:p>
    <w:p w14:paraId="1FC70A2B" w14:textId="79F85F2F" w:rsidR="0010535B" w:rsidRPr="00DB5756" w:rsidRDefault="0010535B" w:rsidP="005B30E4">
      <w:pPr>
        <w:pStyle w:val="Heading3"/>
        <w:spacing w:before="240"/>
      </w:pPr>
      <w:bookmarkStart w:id="41" w:name="_Toc58241145"/>
      <w:bookmarkStart w:id="42" w:name="_Toc83989335"/>
      <w:r w:rsidRPr="0038741C">
        <w:t>Proposed changes to the conditions on the spectrum licence</w:t>
      </w:r>
      <w:bookmarkEnd w:id="41"/>
      <w:bookmarkEnd w:id="42"/>
    </w:p>
    <w:p w14:paraId="1B1E1D02" w14:textId="51C5B229" w:rsidR="00860DB8" w:rsidRPr="00602151" w:rsidRDefault="00860DB8" w:rsidP="00860DB8">
      <w:pPr>
        <w:spacing w:after="60"/>
        <w:rPr>
          <w:rFonts w:cs="Arial"/>
        </w:rPr>
      </w:pPr>
      <w:r w:rsidRPr="00DB5756">
        <w:rPr>
          <w:rFonts w:cs="Arial"/>
        </w:rPr>
        <w:t xml:space="preserve">The ACMA is proposing to </w:t>
      </w:r>
      <w:bookmarkStart w:id="43" w:name="_Hlk56168446"/>
      <w:r w:rsidRPr="00DB5756">
        <w:rPr>
          <w:rFonts w:cs="Arial"/>
        </w:rPr>
        <w:t xml:space="preserve">seek agreement from </w:t>
      </w:r>
      <w:r w:rsidR="009700B6">
        <w:rPr>
          <w:rFonts w:cs="Arial"/>
        </w:rPr>
        <w:t>1800 MHz</w:t>
      </w:r>
      <w:r w:rsidRPr="00DB5756">
        <w:rPr>
          <w:rFonts w:cs="Arial"/>
        </w:rPr>
        <w:t xml:space="preserve"> </w:t>
      </w:r>
      <w:r w:rsidR="00EE0E86">
        <w:rPr>
          <w:rFonts w:cs="Arial"/>
        </w:rPr>
        <w:t xml:space="preserve">band </w:t>
      </w:r>
      <w:r w:rsidRPr="00DB5756">
        <w:rPr>
          <w:rFonts w:cs="Arial"/>
        </w:rPr>
        <w:t>spectrum licensees</w:t>
      </w:r>
      <w:r w:rsidR="00627288" w:rsidRPr="00DB5756">
        <w:rPr>
          <w:rFonts w:cs="Arial"/>
        </w:rPr>
        <w:t xml:space="preserve"> </w:t>
      </w:r>
      <w:r w:rsidRPr="006E076A">
        <w:rPr>
          <w:rFonts w:cs="Arial"/>
        </w:rPr>
        <w:t xml:space="preserve">to </w:t>
      </w:r>
      <w:r w:rsidR="00B86013" w:rsidRPr="006E076A">
        <w:rPr>
          <w:rFonts w:cs="Arial"/>
        </w:rPr>
        <w:t xml:space="preserve">vary </w:t>
      </w:r>
      <w:r w:rsidRPr="00D644ED">
        <w:rPr>
          <w:rFonts w:cs="Arial"/>
        </w:rPr>
        <w:t>their licences</w:t>
      </w:r>
      <w:r w:rsidR="00627288" w:rsidRPr="00602151">
        <w:rPr>
          <w:rFonts w:cs="Arial"/>
        </w:rPr>
        <w:t>,</w:t>
      </w:r>
      <w:r w:rsidRPr="00602151">
        <w:rPr>
          <w:rFonts w:cs="Arial"/>
        </w:rPr>
        <w:t xml:space="preserve"> </w:t>
      </w:r>
      <w:r w:rsidR="00627288" w:rsidRPr="00602151">
        <w:rPr>
          <w:rFonts w:cs="Arial"/>
        </w:rPr>
        <w:t xml:space="preserve">under section 72 of </w:t>
      </w:r>
      <w:bookmarkEnd w:id="43"/>
      <w:r w:rsidR="00627288" w:rsidRPr="00602151">
        <w:rPr>
          <w:rFonts w:cs="Arial"/>
        </w:rPr>
        <w:t xml:space="preserve">the Act, </w:t>
      </w:r>
      <w:r w:rsidRPr="00602151">
        <w:rPr>
          <w:rFonts w:cs="Arial"/>
        </w:rPr>
        <w:t xml:space="preserve">as detailed </w:t>
      </w:r>
      <w:r w:rsidR="00165C50">
        <w:rPr>
          <w:rFonts w:cs="Arial"/>
        </w:rPr>
        <w:t>below</w:t>
      </w:r>
      <w:r w:rsidRPr="00602151">
        <w:rPr>
          <w:rFonts w:cs="Arial"/>
        </w:rPr>
        <w:t xml:space="preserve">. </w:t>
      </w:r>
    </w:p>
    <w:p w14:paraId="31D6FBEE" w14:textId="6EDC7915" w:rsidR="00D33DCC" w:rsidRPr="00602151" w:rsidRDefault="00D33DCC" w:rsidP="00DC152A">
      <w:pPr>
        <w:pStyle w:val="Heading4"/>
      </w:pPr>
      <w:r w:rsidRPr="00602151">
        <w:t>Unwanted emission limits</w:t>
      </w:r>
    </w:p>
    <w:p w14:paraId="087331C6" w14:textId="02BA2031" w:rsidR="00CB7345" w:rsidRPr="00602151" w:rsidRDefault="00D33DCC" w:rsidP="00500DC2">
      <w:pPr>
        <w:rPr>
          <w:rFonts w:cs="Arial"/>
        </w:rPr>
      </w:pPr>
      <w:r w:rsidRPr="00602151">
        <w:rPr>
          <w:rFonts w:cs="Arial"/>
        </w:rPr>
        <w:t>It is proposed to replace the unwanted emission limits (both spurious and no</w:t>
      </w:r>
      <w:r w:rsidR="00666D2F" w:rsidRPr="00602151">
        <w:rPr>
          <w:rFonts w:cs="Arial"/>
        </w:rPr>
        <w:t>n</w:t>
      </w:r>
      <w:r w:rsidRPr="00602151">
        <w:rPr>
          <w:rFonts w:cs="Arial"/>
        </w:rPr>
        <w:t xml:space="preserve">-spurious) defined in </w:t>
      </w:r>
      <w:r w:rsidR="00B17C7A">
        <w:rPr>
          <w:rFonts w:cs="Arial"/>
        </w:rPr>
        <w:t>Core Condition</w:t>
      </w:r>
      <w:r w:rsidRPr="00602151">
        <w:rPr>
          <w:rFonts w:cs="Arial"/>
        </w:rPr>
        <w:t xml:space="preserve">s </w:t>
      </w:r>
      <w:r w:rsidR="00F72BBA">
        <w:rPr>
          <w:rFonts w:cs="Arial"/>
        </w:rPr>
        <w:t>6</w:t>
      </w:r>
      <w:r w:rsidRPr="00602151">
        <w:rPr>
          <w:rFonts w:cs="Arial"/>
        </w:rPr>
        <w:t xml:space="preserve"> to 1</w:t>
      </w:r>
      <w:r w:rsidR="00F72BBA">
        <w:rPr>
          <w:rFonts w:cs="Arial"/>
        </w:rPr>
        <w:t>1</w:t>
      </w:r>
      <w:r w:rsidRPr="00602151">
        <w:rPr>
          <w:rFonts w:cs="Arial"/>
        </w:rPr>
        <w:t xml:space="preserve"> of Licence Schedule 2 of existing spectrum licences with the unwanted emission limits detailed </w:t>
      </w:r>
      <w:r w:rsidR="00661EBC">
        <w:rPr>
          <w:rFonts w:cs="Arial"/>
        </w:rPr>
        <w:t>below</w:t>
      </w:r>
      <w:r w:rsidRPr="00602151">
        <w:rPr>
          <w:rFonts w:cs="Arial"/>
        </w:rPr>
        <w:t xml:space="preserve">. </w:t>
      </w:r>
    </w:p>
    <w:p w14:paraId="2E840F2A" w14:textId="77777777" w:rsidR="00CB7345" w:rsidRPr="00602151" w:rsidRDefault="00500DC2" w:rsidP="00C725C6">
      <w:pPr>
        <w:pStyle w:val="Paragraphbeforelist"/>
      </w:pPr>
      <w:r w:rsidRPr="00602151">
        <w:t>It is noted that</w:t>
      </w:r>
      <w:r w:rsidR="00CB7345" w:rsidRPr="00602151">
        <w:t>:</w:t>
      </w:r>
      <w:r w:rsidRPr="00602151">
        <w:t xml:space="preserve"> </w:t>
      </w:r>
    </w:p>
    <w:p w14:paraId="64ADFA28" w14:textId="1F389091" w:rsidR="00CB7345" w:rsidRPr="00602151" w:rsidRDefault="005F5F92" w:rsidP="00C725C6">
      <w:pPr>
        <w:pStyle w:val="Bulletlevel1"/>
      </w:pPr>
      <w:r>
        <w:t>N</w:t>
      </w:r>
      <w:r w:rsidR="00CB7345" w:rsidRPr="00602151">
        <w:t xml:space="preserve">o changes are proposed to the </w:t>
      </w:r>
      <w:r w:rsidR="00AC05A2">
        <w:t>out-of-band</w:t>
      </w:r>
      <w:r w:rsidR="00661EBC">
        <w:t xml:space="preserve"> emission limits for </w:t>
      </w:r>
      <w:r w:rsidR="00F72BBA">
        <w:t>transmitter</w:t>
      </w:r>
      <w:r w:rsidR="00217250">
        <w:t>s</w:t>
      </w:r>
      <w:r w:rsidR="00F72BBA">
        <w:t xml:space="preserve"> </w:t>
      </w:r>
      <w:r w:rsidR="00661EBC">
        <w:t xml:space="preserve">operating in the </w:t>
      </w:r>
      <w:r w:rsidR="002D50BE">
        <w:t>lower 1800</w:t>
      </w:r>
      <w:r w:rsidR="00661EBC">
        <w:t xml:space="preserve"> MHz band. However, it is proposed to clarify the frequency range these limits and the associate spurious emission limits apply</w:t>
      </w:r>
      <w:r w:rsidR="00AC05A2">
        <w:t xml:space="preserve"> </w:t>
      </w:r>
      <w:r>
        <w:br/>
      </w:r>
      <w:r w:rsidR="00AC05A2">
        <w:t>(refer to tables 5 and 6)</w:t>
      </w:r>
      <w:r w:rsidR="00661EBC">
        <w:t>.</w:t>
      </w:r>
      <w:r w:rsidR="00F72BBA">
        <w:t xml:space="preserve"> </w:t>
      </w:r>
    </w:p>
    <w:p w14:paraId="7674BEA3" w14:textId="3F5FB565" w:rsidR="002D5592" w:rsidRPr="00602151" w:rsidRDefault="002D5592" w:rsidP="00C725C6">
      <w:pPr>
        <w:pStyle w:val="Bulletlevel1"/>
      </w:pPr>
      <w:r>
        <w:t>For tables 1, 2</w:t>
      </w:r>
      <w:r w:rsidR="00AD5D42">
        <w:t xml:space="preserve"> and 5</w:t>
      </w:r>
      <w:r>
        <w:t xml:space="preserve">, the term </w:t>
      </w:r>
      <w:r w:rsidRPr="002D5592">
        <w:t>f</w:t>
      </w:r>
      <w:r w:rsidRPr="00AF3F4C">
        <w:rPr>
          <w:vertAlign w:val="subscript"/>
        </w:rPr>
        <w:t xml:space="preserve">offset </w:t>
      </w:r>
      <w:r w:rsidR="00A92377">
        <w:t>refers to</w:t>
      </w:r>
      <w:r w:rsidRPr="002D5592">
        <w:t xml:space="preserve"> the frequency offset from the upper or lower frequency limits </w:t>
      </w:r>
      <w:r>
        <w:t xml:space="preserve">for each </w:t>
      </w:r>
      <w:r w:rsidR="009B105A">
        <w:t xml:space="preserve">geographic </w:t>
      </w:r>
      <w:r>
        <w:t xml:space="preserve">area </w:t>
      </w:r>
      <w:r w:rsidR="009B105A">
        <w:t xml:space="preserve">specified </w:t>
      </w:r>
      <w:r w:rsidR="009F4D52">
        <w:t xml:space="preserve">in </w:t>
      </w:r>
      <w:r w:rsidR="009B105A">
        <w:t xml:space="preserve">Licence </w:t>
      </w:r>
      <w:r w:rsidR="009F4D52">
        <w:t>Schedule 1 of</w:t>
      </w:r>
      <w:r>
        <w:t xml:space="preserve"> an 1800 MHz spectrum licence</w:t>
      </w:r>
      <w:r w:rsidRPr="002D5592">
        <w:t>. The closest -3dB point of the measurement bandwidth to the upper or lower frequency limits is placed at f</w:t>
      </w:r>
      <w:r w:rsidRPr="00AF3F4C">
        <w:rPr>
          <w:vertAlign w:val="subscript"/>
        </w:rPr>
        <w:t>offset</w:t>
      </w:r>
      <w:r w:rsidRPr="002D5592">
        <w:t>.</w:t>
      </w:r>
      <w:r w:rsidR="00AD5D42">
        <w:t xml:space="preserve"> For table 6, the term </w:t>
      </w:r>
      <w:r w:rsidR="00AD5D42" w:rsidRPr="002D5592">
        <w:t>f</w:t>
      </w:r>
      <w:r w:rsidR="00AD5D42" w:rsidRPr="00DC4B80">
        <w:rPr>
          <w:vertAlign w:val="subscript"/>
        </w:rPr>
        <w:t xml:space="preserve">offset </w:t>
      </w:r>
      <w:r w:rsidR="00A92377">
        <w:t>refers to</w:t>
      </w:r>
      <w:r w:rsidR="00AD5D42" w:rsidRPr="002D5592">
        <w:t xml:space="preserve"> the frequency offset</w:t>
      </w:r>
      <w:r w:rsidR="00AD5D42">
        <w:t xml:space="preserve"> </w:t>
      </w:r>
      <w:r w:rsidR="009F4D52">
        <w:t>below</w:t>
      </w:r>
      <w:r w:rsidR="00AD5D42">
        <w:t xml:space="preserve"> </w:t>
      </w:r>
      <w:r w:rsidR="009F4D52">
        <w:t xml:space="preserve">the frequency </w:t>
      </w:r>
      <w:r w:rsidR="00AD5D42">
        <w:t xml:space="preserve">1710 MHz. </w:t>
      </w:r>
      <w:r w:rsidR="00AD5D42" w:rsidRPr="002D5592">
        <w:t xml:space="preserve">The closest -3dB point of the measurement bandwidth </w:t>
      </w:r>
      <w:r w:rsidR="00AD5D42">
        <w:t>1710 MHz</w:t>
      </w:r>
      <w:r w:rsidR="00AD5D42" w:rsidRPr="002D5592">
        <w:t xml:space="preserve"> is placed at f</w:t>
      </w:r>
      <w:r w:rsidR="00AD5D42" w:rsidRPr="00AF3F4C">
        <w:rPr>
          <w:vertAlign w:val="subscript"/>
        </w:rPr>
        <w:t>offset</w:t>
      </w:r>
      <w:r w:rsidR="00AD5D42" w:rsidRPr="002D5592">
        <w:t>.</w:t>
      </w:r>
    </w:p>
    <w:p w14:paraId="1D90A0FE" w14:textId="7522CC64" w:rsidR="00C6270D" w:rsidRDefault="00C6270D" w:rsidP="00C725C6">
      <w:pPr>
        <w:pStyle w:val="Bulletlevel1"/>
      </w:pPr>
      <w:r>
        <w:t xml:space="preserve">The term </w:t>
      </w:r>
      <w:r w:rsidR="00474C2A">
        <w:t>‘</w:t>
      </w:r>
      <w:r>
        <w:t>radiated maximum true mean power</w:t>
      </w:r>
      <w:r w:rsidR="00474C2A">
        <w:t>’</w:t>
      </w:r>
      <w:r>
        <w:t xml:space="preserve"> is taken to mean the EIRP of a device in a particular azimuth and elevation. It is measured considering the combination of all radiating elements on an antenna panel or individual device.</w:t>
      </w:r>
    </w:p>
    <w:p w14:paraId="529F4BF4" w14:textId="6EE61BE7" w:rsidR="00C6270D" w:rsidRDefault="00C6270D" w:rsidP="00C725C6">
      <w:pPr>
        <w:pStyle w:val="Bulletlevel1"/>
      </w:pPr>
      <w:r>
        <w:lastRenderedPageBreak/>
        <w:t xml:space="preserve">The term </w:t>
      </w:r>
      <w:r w:rsidR="00474C2A">
        <w:t>‘</w:t>
      </w:r>
      <w:r>
        <w:t>total radiated power</w:t>
      </w:r>
      <w:r w:rsidR="00474C2A">
        <w:t>’</w:t>
      </w:r>
      <w:r>
        <w:t xml:space="preserve"> is defined as the integral of the power transmitted in different directions over the entire radiation sphere of a </w:t>
      </w:r>
      <w:r w:rsidR="005A3B49">
        <w:t>device</w:t>
      </w:r>
      <w:r>
        <w:t>. It is measured considering the combination of all radiating elements on an antenna panel or individual device.</w:t>
      </w:r>
    </w:p>
    <w:p w14:paraId="5061B0FC" w14:textId="1895612F" w:rsidR="00A446A8" w:rsidRPr="00602151" w:rsidRDefault="00A446A8" w:rsidP="00C725C6">
      <w:pPr>
        <w:pStyle w:val="Bulletlevel1last"/>
      </w:pPr>
      <w:r>
        <w:t xml:space="preserve">The term </w:t>
      </w:r>
      <w:r w:rsidR="00474C2A">
        <w:t>‘</w:t>
      </w:r>
      <w:r>
        <w:t>mean power</w:t>
      </w:r>
      <w:r w:rsidR="00474C2A">
        <w:t>’</w:t>
      </w:r>
      <w:r>
        <w:t xml:space="preserve"> </w:t>
      </w:r>
      <w:r w:rsidR="005A3B49">
        <w:t>refers to the power delivered to an antenna port</w:t>
      </w:r>
      <w:r w:rsidR="005A3B49">
        <w:rPr>
          <w:color w:val="000000"/>
          <w:shd w:val="clear" w:color="auto" w:fill="FFFFFF"/>
        </w:rPr>
        <w:t xml:space="preserve">. It </w:t>
      </w:r>
      <w:r>
        <w:t xml:space="preserve">can be considered equivalent to the term </w:t>
      </w:r>
      <w:r w:rsidR="00474C2A">
        <w:t>‘</w:t>
      </w:r>
      <w:r>
        <w:t>conducted power</w:t>
      </w:r>
      <w:r w:rsidR="00474C2A">
        <w:t>’</w:t>
      </w:r>
      <w:r>
        <w:t xml:space="preserve"> commonly used in radiocommunications. </w:t>
      </w:r>
    </w:p>
    <w:p w14:paraId="253DF207" w14:textId="580ED947" w:rsidR="00F72BBA" w:rsidRPr="007D04B2" w:rsidRDefault="00F01CCB" w:rsidP="00F72BBA">
      <w:pPr>
        <w:pStyle w:val="ACMATableHeader"/>
        <w:keepNext/>
        <w:keepLines/>
        <w:spacing w:after="120" w:line="240" w:lineRule="atLeast"/>
      </w:pPr>
      <w:r>
        <w:rPr>
          <w:rFonts w:cs="Arial"/>
        </w:rPr>
        <w:t>U</w:t>
      </w:r>
      <w:r w:rsidRPr="007D04B2">
        <w:rPr>
          <w:rFonts w:cs="Arial"/>
        </w:rPr>
        <w:t>nwanted emission limits</w:t>
      </w:r>
      <w:r>
        <w:rPr>
          <w:rFonts w:cs="Arial"/>
        </w:rPr>
        <w:t xml:space="preserve"> for transmitters operating in the upper 1800</w:t>
      </w:r>
      <w:r w:rsidR="00474C2A">
        <w:rPr>
          <w:rFonts w:cs="Arial"/>
        </w:rPr>
        <w:t> </w:t>
      </w:r>
      <w:r>
        <w:rPr>
          <w:rFonts w:cs="Arial"/>
        </w:rPr>
        <w:t xml:space="preserve">MHz band </w:t>
      </w:r>
      <w:r w:rsidR="00AC05A2">
        <w:rPr>
          <w:rFonts w:cs="Arial"/>
        </w:rPr>
        <w:t xml:space="preserve">at </w:t>
      </w:r>
      <w:r w:rsidR="009B105A">
        <w:rPr>
          <w:rFonts w:cs="Arial"/>
        </w:rPr>
        <w:t xml:space="preserve">frequencies </w:t>
      </w:r>
      <w:r w:rsidR="00AC05A2">
        <w:rPr>
          <w:rFonts w:cs="Arial"/>
        </w:rPr>
        <w:t>inside</w:t>
      </w:r>
      <w:r w:rsidR="00AC05A2" w:rsidRPr="007D04B2">
        <w:rPr>
          <w:rFonts w:cs="Arial"/>
        </w:rPr>
        <w:t xml:space="preserve"> the </w:t>
      </w:r>
      <w:r w:rsidR="00AC05A2">
        <w:t xml:space="preserve">1795–1890 </w:t>
      </w:r>
      <w:r w:rsidR="00AC05A2" w:rsidRPr="007D04B2">
        <w:rPr>
          <w:rFonts w:cs="Arial"/>
        </w:rPr>
        <w:t>MHz ban</w:t>
      </w:r>
      <w:r w:rsidR="00AC05A2">
        <w:rPr>
          <w:rFonts w:cs="Arial"/>
        </w:rPr>
        <w:t>d</w:t>
      </w:r>
      <w:r w:rsidR="00AC05A2" w:rsidRPr="007D04B2">
        <w:rPr>
          <w:rFonts w:cs="Arial"/>
        </w:rPr>
        <w:t xml:space="preserve"> </w:t>
      </w:r>
      <w:r w:rsidR="00004A73">
        <w:rPr>
          <w:rFonts w:cs="Arial"/>
        </w:rPr>
        <w:br/>
      </w:r>
      <w:r w:rsidRPr="007D04B2">
        <w:rPr>
          <w:rFonts w:cs="Arial"/>
        </w:rPr>
        <w:t>–</w:t>
      </w:r>
      <w:r>
        <w:rPr>
          <w:rFonts w:cs="Arial"/>
        </w:rPr>
        <w:t xml:space="preserve"> non-AAS </w:t>
      </w:r>
      <w:r w:rsidRPr="007D04B2">
        <w:rPr>
          <w:rFonts w:cs="Arial"/>
        </w:rPr>
        <w:t>devices</w:t>
      </w:r>
      <w:r>
        <w:rPr>
          <w:rFonts w:cs="Arial"/>
        </w:rPr>
        <w:t xml:space="preserve"> </w:t>
      </w:r>
      <w:r w:rsidR="00F72BBA">
        <w:t xml:space="preserve"> </w:t>
      </w:r>
    </w:p>
    <w:tbl>
      <w:tblPr>
        <w:tblStyle w:val="TableGrid"/>
        <w:tblW w:w="7083" w:type="dxa"/>
        <w:jc w:val="center"/>
        <w:tblLook w:val="04A0" w:firstRow="1" w:lastRow="0" w:firstColumn="1" w:lastColumn="0" w:noHBand="0" w:noVBand="1"/>
      </w:tblPr>
      <w:tblGrid>
        <w:gridCol w:w="2972"/>
        <w:gridCol w:w="2552"/>
        <w:gridCol w:w="1559"/>
      </w:tblGrid>
      <w:tr w:rsidR="00E767BA" w:rsidRPr="00E767BA" w14:paraId="563702DC" w14:textId="04FC79E4" w:rsidTr="00E767BA">
        <w:trPr>
          <w:jc w:val="center"/>
        </w:trPr>
        <w:tc>
          <w:tcPr>
            <w:tcW w:w="2972" w:type="dxa"/>
            <w:shd w:val="clear" w:color="auto" w:fill="404040" w:themeFill="text1" w:themeFillTint="BF"/>
          </w:tcPr>
          <w:p w14:paraId="547AAED0" w14:textId="64D616BC" w:rsidR="00F72BBA" w:rsidRPr="00C725C6" w:rsidRDefault="00F72BBA" w:rsidP="000543CA">
            <w:pPr>
              <w:pStyle w:val="ListParagraph"/>
              <w:keepNext/>
              <w:keepLines/>
              <w:ind w:left="0"/>
              <w:jc w:val="center"/>
              <w:rPr>
                <w:rFonts w:ascii="Arial" w:hAnsi="Arial" w:cs="Arial"/>
                <w:b/>
                <w:color w:val="FFFFFF" w:themeColor="background1"/>
              </w:rPr>
            </w:pPr>
            <w:r w:rsidRPr="00C725C6">
              <w:rPr>
                <w:rFonts w:ascii="Arial" w:hAnsi="Arial" w:cs="Arial"/>
                <w:b/>
                <w:color w:val="FFFFFF" w:themeColor="background1"/>
              </w:rPr>
              <w:t>Frequency offset</w:t>
            </w:r>
          </w:p>
          <w:p w14:paraId="01914B37" w14:textId="3A5AD8AE" w:rsidR="00F72BBA" w:rsidRPr="00C725C6" w:rsidRDefault="00F72BBA" w:rsidP="000543CA">
            <w:pPr>
              <w:pStyle w:val="ListParagraph"/>
              <w:keepNext/>
              <w:keepLines/>
              <w:ind w:left="0"/>
              <w:jc w:val="center"/>
              <w:rPr>
                <w:rFonts w:ascii="Arial" w:hAnsi="Arial" w:cs="Arial"/>
                <w:b/>
                <w:color w:val="FFFFFF" w:themeColor="background1"/>
                <w:vertAlign w:val="superscript"/>
              </w:rPr>
            </w:pPr>
            <w:r w:rsidRPr="00C725C6">
              <w:rPr>
                <w:rFonts w:ascii="Arial" w:hAnsi="Arial" w:cs="Arial"/>
                <w:b/>
                <w:color w:val="FFFFFF" w:themeColor="background1"/>
              </w:rPr>
              <w:t>(f</w:t>
            </w:r>
            <w:r w:rsidRPr="00C725C6">
              <w:rPr>
                <w:rFonts w:ascii="Arial" w:hAnsi="Arial" w:cs="Arial"/>
                <w:b/>
                <w:color w:val="FFFFFF" w:themeColor="background1"/>
                <w:vertAlign w:val="subscript"/>
              </w:rPr>
              <w:t>offset</w:t>
            </w:r>
            <w:r w:rsidRPr="00C725C6">
              <w:rPr>
                <w:rFonts w:ascii="Arial" w:hAnsi="Arial" w:cs="Arial"/>
                <w:b/>
                <w:color w:val="FFFFFF" w:themeColor="background1"/>
              </w:rPr>
              <w:t xml:space="preserve">) </w:t>
            </w:r>
          </w:p>
        </w:tc>
        <w:tc>
          <w:tcPr>
            <w:tcW w:w="2552" w:type="dxa"/>
            <w:shd w:val="clear" w:color="auto" w:fill="404040" w:themeFill="text1" w:themeFillTint="BF"/>
          </w:tcPr>
          <w:p w14:paraId="3DFF34CD" w14:textId="4BEBF032" w:rsidR="00F72BBA" w:rsidRPr="00C725C6" w:rsidRDefault="00F72BBA" w:rsidP="000543CA">
            <w:pPr>
              <w:pStyle w:val="ListParagraph"/>
              <w:keepNext/>
              <w:keepLines/>
              <w:ind w:left="0"/>
              <w:jc w:val="center"/>
              <w:rPr>
                <w:rFonts w:ascii="Arial" w:hAnsi="Arial" w:cs="Arial"/>
                <w:b/>
                <w:color w:val="FFFFFF" w:themeColor="background1"/>
              </w:rPr>
            </w:pPr>
            <w:r w:rsidRPr="00C725C6">
              <w:rPr>
                <w:rFonts w:ascii="Arial" w:hAnsi="Arial" w:cs="Arial"/>
                <w:b/>
                <w:color w:val="FFFFFF" w:themeColor="background1"/>
              </w:rPr>
              <w:t xml:space="preserve">Radiated </w:t>
            </w:r>
            <w:r w:rsidR="005F5F92" w:rsidRPr="00E767BA">
              <w:rPr>
                <w:rFonts w:ascii="Arial" w:hAnsi="Arial" w:cs="Arial"/>
                <w:b/>
                <w:color w:val="FFFFFF" w:themeColor="background1"/>
              </w:rPr>
              <w:t>m</w:t>
            </w:r>
            <w:r w:rsidRPr="00C725C6">
              <w:rPr>
                <w:rFonts w:ascii="Arial" w:hAnsi="Arial" w:cs="Arial"/>
                <w:b/>
                <w:color w:val="FFFFFF" w:themeColor="background1"/>
              </w:rPr>
              <w:t xml:space="preserve">aximum </w:t>
            </w:r>
            <w:r w:rsidR="005F5F92" w:rsidRPr="00E767BA">
              <w:rPr>
                <w:rFonts w:ascii="Arial" w:hAnsi="Arial" w:cs="Arial"/>
                <w:b/>
                <w:color w:val="FFFFFF" w:themeColor="background1"/>
              </w:rPr>
              <w:t>t</w:t>
            </w:r>
            <w:r w:rsidRPr="00C725C6">
              <w:rPr>
                <w:rFonts w:ascii="Arial" w:hAnsi="Arial" w:cs="Arial"/>
                <w:b/>
                <w:color w:val="FFFFFF" w:themeColor="background1"/>
              </w:rPr>
              <w:t xml:space="preserve">rue </w:t>
            </w:r>
            <w:r w:rsidR="005F5F92" w:rsidRPr="00E767BA">
              <w:rPr>
                <w:rFonts w:ascii="Arial" w:hAnsi="Arial" w:cs="Arial"/>
                <w:b/>
                <w:color w:val="FFFFFF" w:themeColor="background1"/>
              </w:rPr>
              <w:t>m</w:t>
            </w:r>
            <w:r w:rsidRPr="00C725C6">
              <w:rPr>
                <w:rFonts w:ascii="Arial" w:hAnsi="Arial" w:cs="Arial"/>
                <w:b/>
                <w:color w:val="FFFFFF" w:themeColor="background1"/>
              </w:rPr>
              <w:t xml:space="preserve">ean </w:t>
            </w:r>
            <w:r w:rsidR="005F5F92" w:rsidRPr="00E767BA">
              <w:rPr>
                <w:rFonts w:ascii="Arial" w:hAnsi="Arial" w:cs="Arial"/>
                <w:b/>
                <w:color w:val="FFFFFF" w:themeColor="background1"/>
              </w:rPr>
              <w:t>p</w:t>
            </w:r>
            <w:r w:rsidRPr="00C725C6">
              <w:rPr>
                <w:rFonts w:ascii="Arial" w:hAnsi="Arial" w:cs="Arial"/>
                <w:b/>
                <w:color w:val="FFFFFF" w:themeColor="background1"/>
              </w:rPr>
              <w:t xml:space="preserve">ower (dBm EIRP) </w:t>
            </w:r>
            <w:r w:rsidR="00D8673C" w:rsidRPr="00C725C6">
              <w:rPr>
                <w:rFonts w:ascii="Arial" w:hAnsi="Arial" w:cs="Arial"/>
                <w:b/>
                <w:color w:val="FFFFFF" w:themeColor="background1"/>
              </w:rPr>
              <w:t xml:space="preserve"> </w:t>
            </w:r>
          </w:p>
        </w:tc>
        <w:tc>
          <w:tcPr>
            <w:tcW w:w="1559" w:type="dxa"/>
            <w:shd w:val="clear" w:color="auto" w:fill="404040" w:themeFill="text1" w:themeFillTint="BF"/>
          </w:tcPr>
          <w:p w14:paraId="029982AE" w14:textId="356A85E8" w:rsidR="00F72BBA" w:rsidRPr="00C725C6" w:rsidRDefault="00F72BBA" w:rsidP="000543CA">
            <w:pPr>
              <w:pStyle w:val="ListParagraph"/>
              <w:keepNext/>
              <w:keepLines/>
              <w:ind w:left="0"/>
              <w:jc w:val="center"/>
              <w:rPr>
                <w:rFonts w:ascii="Arial" w:hAnsi="Arial" w:cs="Arial"/>
                <w:b/>
                <w:color w:val="FFFFFF" w:themeColor="background1"/>
              </w:rPr>
            </w:pPr>
            <w:r w:rsidRPr="00C725C6">
              <w:rPr>
                <w:rFonts w:ascii="Arial" w:hAnsi="Arial" w:cs="Arial"/>
                <w:b/>
                <w:color w:val="FFFFFF" w:themeColor="background1"/>
              </w:rPr>
              <w:t xml:space="preserve">Measurement </w:t>
            </w:r>
            <w:r w:rsidR="005F5F92" w:rsidRPr="00E767BA">
              <w:rPr>
                <w:rFonts w:ascii="Arial" w:hAnsi="Arial" w:cs="Arial"/>
                <w:b/>
                <w:color w:val="FFFFFF" w:themeColor="background1"/>
              </w:rPr>
              <w:t>b</w:t>
            </w:r>
            <w:r w:rsidRPr="00C725C6">
              <w:rPr>
                <w:rFonts w:ascii="Arial" w:hAnsi="Arial" w:cs="Arial"/>
                <w:b/>
                <w:color w:val="FFFFFF" w:themeColor="background1"/>
              </w:rPr>
              <w:t>andwidth</w:t>
            </w:r>
          </w:p>
        </w:tc>
      </w:tr>
      <w:tr w:rsidR="00F72BBA" w:rsidRPr="0038765E" w14:paraId="112C1086" w14:textId="2FEAEFD8" w:rsidTr="000543CA">
        <w:trPr>
          <w:jc w:val="center"/>
        </w:trPr>
        <w:tc>
          <w:tcPr>
            <w:tcW w:w="2972" w:type="dxa"/>
          </w:tcPr>
          <w:p w14:paraId="17758DDD" w14:textId="73B3ADBD" w:rsidR="00F72BBA" w:rsidRPr="00C725C6" w:rsidRDefault="00F72BBA" w:rsidP="000543CA">
            <w:pPr>
              <w:pStyle w:val="ListParagraph"/>
              <w:keepNext/>
              <w:keepLines/>
              <w:ind w:left="0"/>
              <w:jc w:val="center"/>
              <w:rPr>
                <w:rFonts w:ascii="Arial" w:hAnsi="Arial" w:cs="Arial"/>
                <w:sz w:val="16"/>
                <w:szCs w:val="16"/>
                <w:u w:val="single"/>
              </w:rPr>
            </w:pPr>
            <w:r w:rsidRPr="00C725C6">
              <w:rPr>
                <w:rFonts w:ascii="Arial" w:hAnsi="Arial" w:cs="Arial"/>
                <w:sz w:val="18"/>
                <w:szCs w:val="18"/>
              </w:rPr>
              <w:t>0 MHz</w:t>
            </w:r>
            <w:r w:rsidRPr="00C725C6">
              <w:rPr>
                <w:rFonts w:ascii="Arial" w:hAnsi="Arial" w:cs="Arial"/>
                <w:spacing w:val="13"/>
                <w:sz w:val="18"/>
                <w:szCs w:val="18"/>
              </w:rPr>
              <w:t xml:space="preserve"> </w:t>
            </w:r>
            <w:r w:rsidRPr="00AE59F5">
              <w:rPr>
                <w:rFonts w:ascii="Arial" w:hAnsi="Arial" w:cs="Arial"/>
              </w:rPr>
              <w:t xml:space="preserve">≤ </w:t>
            </w:r>
            <w:r w:rsidRPr="00C725C6">
              <w:rPr>
                <w:rFonts w:ascii="Arial" w:hAnsi="Arial" w:cs="Arial"/>
                <w:sz w:val="18"/>
                <w:szCs w:val="18"/>
              </w:rPr>
              <w:t>f</w:t>
            </w:r>
            <w:r w:rsidRPr="00C725C6">
              <w:rPr>
                <w:rFonts w:ascii="Arial" w:hAnsi="Arial" w:cs="Arial"/>
                <w:sz w:val="18"/>
                <w:szCs w:val="18"/>
                <w:vertAlign w:val="subscript"/>
              </w:rPr>
              <w:t>offset</w:t>
            </w:r>
            <w:r w:rsidRPr="00C725C6">
              <w:rPr>
                <w:rFonts w:ascii="Arial" w:hAnsi="Arial" w:cs="Arial"/>
                <w:spacing w:val="27"/>
                <w:position w:val="-1"/>
                <w:sz w:val="18"/>
                <w:szCs w:val="18"/>
              </w:rPr>
              <w:t xml:space="preserve"> </w:t>
            </w:r>
            <w:r w:rsidRPr="00AE59F5">
              <w:rPr>
                <w:rFonts w:ascii="Arial" w:hAnsi="Arial" w:cs="Arial"/>
              </w:rPr>
              <w:t>&lt;</w:t>
            </w:r>
            <w:r w:rsidRPr="00C725C6">
              <w:rPr>
                <w:rFonts w:ascii="Arial" w:hAnsi="Arial" w:cs="Arial"/>
                <w:spacing w:val="1"/>
                <w:sz w:val="18"/>
                <w:szCs w:val="18"/>
              </w:rPr>
              <w:t xml:space="preserve"> </w:t>
            </w:r>
            <w:r w:rsidRPr="00C725C6">
              <w:rPr>
                <w:rFonts w:ascii="Arial" w:hAnsi="Arial" w:cs="Arial"/>
                <w:sz w:val="18"/>
                <w:szCs w:val="18"/>
              </w:rPr>
              <w:t>200 kHz</w:t>
            </w:r>
          </w:p>
        </w:tc>
        <w:tc>
          <w:tcPr>
            <w:tcW w:w="2552" w:type="dxa"/>
          </w:tcPr>
          <w:p w14:paraId="13D01CE6" w14:textId="2D6D8BEE" w:rsidR="00F72BBA" w:rsidRPr="00C725C6" w:rsidRDefault="00F72BBA" w:rsidP="000543CA">
            <w:pPr>
              <w:pStyle w:val="ListParagraph"/>
              <w:keepNext/>
              <w:keepLines/>
              <w:ind w:left="0"/>
              <w:jc w:val="center"/>
              <w:rPr>
                <w:rFonts w:ascii="Arial" w:hAnsi="Arial" w:cs="Arial"/>
                <w:sz w:val="18"/>
                <w:szCs w:val="18"/>
              </w:rPr>
            </w:pPr>
            <w:r w:rsidRPr="00C725C6">
              <w:rPr>
                <w:rFonts w:ascii="Arial" w:hAnsi="Arial" w:cs="Arial"/>
                <w:sz w:val="18"/>
                <w:szCs w:val="18"/>
              </w:rPr>
              <w:t>21.5</w:t>
            </w:r>
          </w:p>
        </w:tc>
        <w:tc>
          <w:tcPr>
            <w:tcW w:w="1559" w:type="dxa"/>
          </w:tcPr>
          <w:p w14:paraId="31F14D37" w14:textId="51792771" w:rsidR="00F72BBA" w:rsidRPr="00C725C6" w:rsidRDefault="00F72BBA" w:rsidP="000543CA">
            <w:pPr>
              <w:pStyle w:val="ListParagraph"/>
              <w:keepNext/>
              <w:keepLines/>
              <w:ind w:left="0"/>
              <w:jc w:val="center"/>
              <w:rPr>
                <w:rFonts w:ascii="Arial" w:hAnsi="Arial" w:cs="Arial"/>
                <w:sz w:val="18"/>
                <w:szCs w:val="18"/>
              </w:rPr>
            </w:pPr>
            <w:r w:rsidRPr="00C725C6">
              <w:rPr>
                <w:rFonts w:ascii="Arial" w:hAnsi="Arial" w:cs="Arial"/>
                <w:sz w:val="18"/>
                <w:szCs w:val="18"/>
              </w:rPr>
              <w:t>30 kHz</w:t>
            </w:r>
          </w:p>
        </w:tc>
      </w:tr>
      <w:tr w:rsidR="00F72BBA" w:rsidRPr="0038765E" w14:paraId="78CF2AAA" w14:textId="788E4759" w:rsidTr="00C725C6">
        <w:trPr>
          <w:jc w:val="center"/>
        </w:trPr>
        <w:tc>
          <w:tcPr>
            <w:tcW w:w="2972" w:type="dxa"/>
            <w:shd w:val="clear" w:color="auto" w:fill="F2F2F2" w:themeFill="background1" w:themeFillShade="F2"/>
          </w:tcPr>
          <w:p w14:paraId="62829A7A" w14:textId="35079EE6" w:rsidR="00F72BBA" w:rsidRPr="00C725C6" w:rsidRDefault="00F72BBA" w:rsidP="000543CA">
            <w:pPr>
              <w:pStyle w:val="ListParagraph"/>
              <w:keepNext/>
              <w:keepLines/>
              <w:ind w:left="0"/>
              <w:jc w:val="center"/>
              <w:rPr>
                <w:rFonts w:ascii="Arial" w:hAnsi="Arial" w:cs="Arial"/>
                <w:sz w:val="18"/>
                <w:szCs w:val="18"/>
              </w:rPr>
            </w:pPr>
            <w:r w:rsidRPr="00C725C6">
              <w:rPr>
                <w:rFonts w:ascii="Arial" w:hAnsi="Arial" w:cs="Arial"/>
                <w:sz w:val="18"/>
                <w:szCs w:val="18"/>
              </w:rPr>
              <w:t>200 kHz</w:t>
            </w:r>
            <w:r w:rsidRPr="00C725C6">
              <w:rPr>
                <w:rFonts w:ascii="Arial" w:hAnsi="Arial" w:cs="Arial"/>
                <w:spacing w:val="13"/>
                <w:sz w:val="18"/>
                <w:szCs w:val="18"/>
              </w:rPr>
              <w:t xml:space="preserve"> </w:t>
            </w:r>
            <w:r w:rsidRPr="00AE59F5">
              <w:rPr>
                <w:rFonts w:ascii="Arial" w:hAnsi="Arial" w:cs="Arial"/>
              </w:rPr>
              <w:t xml:space="preserve">≤ </w:t>
            </w:r>
            <w:r w:rsidRPr="00C725C6">
              <w:rPr>
                <w:rFonts w:ascii="Arial" w:hAnsi="Arial" w:cs="Arial"/>
                <w:sz w:val="18"/>
                <w:szCs w:val="18"/>
              </w:rPr>
              <w:t>f</w:t>
            </w:r>
            <w:r w:rsidRPr="00C725C6">
              <w:rPr>
                <w:rFonts w:ascii="Arial" w:hAnsi="Arial" w:cs="Arial"/>
                <w:sz w:val="18"/>
                <w:szCs w:val="18"/>
                <w:vertAlign w:val="subscript"/>
              </w:rPr>
              <w:t>offset</w:t>
            </w:r>
            <w:r w:rsidRPr="00C725C6">
              <w:rPr>
                <w:rFonts w:ascii="Arial" w:hAnsi="Arial" w:cs="Arial"/>
                <w:spacing w:val="27"/>
                <w:position w:val="-1"/>
                <w:sz w:val="18"/>
                <w:szCs w:val="18"/>
              </w:rPr>
              <w:t xml:space="preserve"> </w:t>
            </w:r>
            <w:r w:rsidRPr="00AE59F5">
              <w:rPr>
                <w:rFonts w:ascii="Arial" w:hAnsi="Arial" w:cs="Arial"/>
              </w:rPr>
              <w:t>&lt;</w:t>
            </w:r>
            <w:r w:rsidRPr="00C725C6">
              <w:rPr>
                <w:rFonts w:ascii="Arial" w:hAnsi="Arial" w:cs="Arial"/>
                <w:spacing w:val="1"/>
                <w:sz w:val="18"/>
                <w:szCs w:val="18"/>
              </w:rPr>
              <w:t xml:space="preserve"> 1 MHz</w:t>
            </w:r>
          </w:p>
        </w:tc>
        <w:tc>
          <w:tcPr>
            <w:tcW w:w="2552" w:type="dxa"/>
            <w:shd w:val="clear" w:color="auto" w:fill="F2F2F2" w:themeFill="background1" w:themeFillShade="F2"/>
          </w:tcPr>
          <w:p w14:paraId="476D2432" w14:textId="4537ECE2" w:rsidR="00F72BBA" w:rsidRPr="00C725C6" w:rsidRDefault="00F72BBA" w:rsidP="000543CA">
            <w:pPr>
              <w:pStyle w:val="ListParagraph"/>
              <w:keepNext/>
              <w:keepLines/>
              <w:ind w:left="0"/>
              <w:jc w:val="center"/>
              <w:rPr>
                <w:rFonts w:ascii="Arial" w:hAnsi="Arial" w:cs="Arial"/>
                <w:sz w:val="18"/>
                <w:szCs w:val="18"/>
              </w:rPr>
            </w:pPr>
            <w:r w:rsidRPr="00C725C6">
              <w:rPr>
                <w:rFonts w:ascii="Arial" w:hAnsi="Arial" w:cs="Arial"/>
                <w:sz w:val="18"/>
                <w:szCs w:val="18"/>
              </w:rPr>
              <w:t>2 – 13.125 x (f</w:t>
            </w:r>
            <w:r w:rsidRPr="00C725C6">
              <w:rPr>
                <w:rFonts w:ascii="Arial" w:hAnsi="Arial" w:cs="Arial"/>
                <w:sz w:val="18"/>
                <w:szCs w:val="18"/>
                <w:vertAlign w:val="subscript"/>
              </w:rPr>
              <w:t>offset</w:t>
            </w:r>
            <w:r w:rsidRPr="00C725C6">
              <w:rPr>
                <w:rFonts w:ascii="Arial" w:hAnsi="Arial" w:cs="Arial"/>
                <w:sz w:val="18"/>
                <w:szCs w:val="18"/>
              </w:rPr>
              <w:t xml:space="preserve"> – 0.2)</w:t>
            </w:r>
          </w:p>
        </w:tc>
        <w:tc>
          <w:tcPr>
            <w:tcW w:w="1559" w:type="dxa"/>
            <w:shd w:val="clear" w:color="auto" w:fill="F2F2F2" w:themeFill="background1" w:themeFillShade="F2"/>
          </w:tcPr>
          <w:p w14:paraId="41125EE4" w14:textId="72E5E4FA" w:rsidR="00F72BBA" w:rsidRPr="00C725C6" w:rsidRDefault="00F72BBA" w:rsidP="000543CA">
            <w:pPr>
              <w:pStyle w:val="ListParagraph"/>
              <w:keepNext/>
              <w:keepLines/>
              <w:ind w:left="0"/>
              <w:jc w:val="center"/>
              <w:rPr>
                <w:rFonts w:ascii="Arial" w:hAnsi="Arial" w:cs="Arial"/>
                <w:sz w:val="18"/>
                <w:szCs w:val="18"/>
              </w:rPr>
            </w:pPr>
            <w:r w:rsidRPr="00C725C6">
              <w:rPr>
                <w:rFonts w:ascii="Arial" w:hAnsi="Arial" w:cs="Arial"/>
                <w:sz w:val="18"/>
                <w:szCs w:val="18"/>
              </w:rPr>
              <w:t>30 kHz</w:t>
            </w:r>
          </w:p>
        </w:tc>
      </w:tr>
      <w:tr w:rsidR="00F72BBA" w:rsidRPr="0038765E" w14:paraId="2B0DC516" w14:textId="5177296B" w:rsidTr="000543CA">
        <w:trPr>
          <w:jc w:val="center"/>
        </w:trPr>
        <w:tc>
          <w:tcPr>
            <w:tcW w:w="2972" w:type="dxa"/>
          </w:tcPr>
          <w:p w14:paraId="3EA4B3CB" w14:textId="5319C863" w:rsidR="00F72BBA" w:rsidRPr="00C725C6" w:rsidRDefault="00F72BBA" w:rsidP="000543CA">
            <w:pPr>
              <w:pStyle w:val="ListParagraph"/>
              <w:keepNext/>
              <w:keepLines/>
              <w:ind w:left="0"/>
              <w:jc w:val="center"/>
              <w:rPr>
                <w:rFonts w:ascii="Arial" w:hAnsi="Arial" w:cs="Arial"/>
                <w:sz w:val="18"/>
                <w:szCs w:val="18"/>
              </w:rPr>
            </w:pPr>
            <w:r w:rsidRPr="00C725C6">
              <w:rPr>
                <w:rFonts w:ascii="Arial" w:hAnsi="Arial" w:cs="Arial"/>
                <w:sz w:val="18"/>
                <w:szCs w:val="18"/>
              </w:rPr>
              <w:t>1 MHz</w:t>
            </w:r>
            <w:r w:rsidRPr="00C725C6">
              <w:rPr>
                <w:rFonts w:ascii="Arial" w:hAnsi="Arial" w:cs="Arial"/>
                <w:spacing w:val="13"/>
                <w:sz w:val="18"/>
                <w:szCs w:val="18"/>
              </w:rPr>
              <w:t xml:space="preserve"> </w:t>
            </w:r>
            <w:r w:rsidRPr="00AE59F5">
              <w:rPr>
                <w:rFonts w:ascii="Arial" w:hAnsi="Arial" w:cs="Arial"/>
              </w:rPr>
              <w:t xml:space="preserve">≤ </w:t>
            </w:r>
            <w:r w:rsidRPr="00C725C6">
              <w:rPr>
                <w:rFonts w:ascii="Arial" w:hAnsi="Arial" w:cs="Arial"/>
                <w:sz w:val="18"/>
                <w:szCs w:val="18"/>
              </w:rPr>
              <w:t>f</w:t>
            </w:r>
            <w:r w:rsidRPr="00C725C6">
              <w:rPr>
                <w:rFonts w:ascii="Arial" w:hAnsi="Arial" w:cs="Arial"/>
                <w:sz w:val="18"/>
                <w:szCs w:val="18"/>
                <w:vertAlign w:val="subscript"/>
              </w:rPr>
              <w:t>offset</w:t>
            </w:r>
            <w:r w:rsidRPr="00C725C6">
              <w:rPr>
                <w:rFonts w:ascii="Arial" w:hAnsi="Arial" w:cs="Arial"/>
                <w:spacing w:val="27"/>
                <w:position w:val="-1"/>
                <w:sz w:val="18"/>
                <w:szCs w:val="18"/>
              </w:rPr>
              <w:t xml:space="preserve"> </w:t>
            </w:r>
            <w:r w:rsidRPr="00AE59F5">
              <w:rPr>
                <w:rFonts w:ascii="Arial" w:hAnsi="Arial" w:cs="Arial"/>
              </w:rPr>
              <w:t>&lt;</w:t>
            </w:r>
            <w:r w:rsidRPr="00C725C6">
              <w:rPr>
                <w:rFonts w:ascii="Arial" w:hAnsi="Arial" w:cs="Arial"/>
                <w:spacing w:val="1"/>
                <w:sz w:val="18"/>
                <w:szCs w:val="18"/>
              </w:rPr>
              <w:t xml:space="preserve"> 5.8 MHz</w:t>
            </w:r>
          </w:p>
        </w:tc>
        <w:tc>
          <w:tcPr>
            <w:tcW w:w="2552" w:type="dxa"/>
          </w:tcPr>
          <w:p w14:paraId="4F924C49" w14:textId="0B47A9C2" w:rsidR="00F72BBA" w:rsidRPr="00C725C6" w:rsidRDefault="00F72BBA" w:rsidP="000543CA">
            <w:pPr>
              <w:pStyle w:val="ListParagraph"/>
              <w:keepNext/>
              <w:keepLines/>
              <w:ind w:left="0"/>
              <w:jc w:val="center"/>
              <w:rPr>
                <w:rFonts w:ascii="Arial" w:hAnsi="Arial" w:cs="Arial"/>
                <w:sz w:val="18"/>
                <w:szCs w:val="18"/>
              </w:rPr>
            </w:pPr>
            <w:r w:rsidRPr="00C725C6">
              <w:rPr>
                <w:rFonts w:ascii="Arial" w:hAnsi="Arial" w:cs="Arial"/>
                <w:sz w:val="18"/>
                <w:szCs w:val="18"/>
              </w:rPr>
              <w:t>-8.5</w:t>
            </w:r>
          </w:p>
        </w:tc>
        <w:tc>
          <w:tcPr>
            <w:tcW w:w="1559" w:type="dxa"/>
          </w:tcPr>
          <w:p w14:paraId="3A8568AF" w14:textId="03A0F8D8" w:rsidR="00F72BBA" w:rsidRPr="00C725C6" w:rsidRDefault="00F72BBA" w:rsidP="000543CA">
            <w:pPr>
              <w:pStyle w:val="ListParagraph"/>
              <w:keepNext/>
              <w:keepLines/>
              <w:ind w:left="0"/>
              <w:jc w:val="center"/>
              <w:rPr>
                <w:rFonts w:ascii="Arial" w:hAnsi="Arial" w:cs="Arial"/>
                <w:sz w:val="18"/>
                <w:szCs w:val="18"/>
              </w:rPr>
            </w:pPr>
            <w:r w:rsidRPr="00C725C6">
              <w:rPr>
                <w:rFonts w:ascii="Arial" w:hAnsi="Arial" w:cs="Arial"/>
                <w:sz w:val="18"/>
                <w:szCs w:val="18"/>
              </w:rPr>
              <w:t>30 kHz</w:t>
            </w:r>
          </w:p>
        </w:tc>
      </w:tr>
      <w:tr w:rsidR="00F72BBA" w:rsidRPr="0038765E" w14:paraId="34F16247" w14:textId="3BD7AD32" w:rsidTr="00C725C6">
        <w:trPr>
          <w:jc w:val="center"/>
        </w:trPr>
        <w:tc>
          <w:tcPr>
            <w:tcW w:w="2972" w:type="dxa"/>
            <w:shd w:val="clear" w:color="auto" w:fill="F2F2F2" w:themeFill="background1" w:themeFillShade="F2"/>
          </w:tcPr>
          <w:p w14:paraId="4A4EA9B8" w14:textId="6018E883" w:rsidR="00F72BBA" w:rsidRPr="00C725C6" w:rsidRDefault="00F72BBA" w:rsidP="000543CA">
            <w:pPr>
              <w:pStyle w:val="ListParagraph"/>
              <w:keepNext/>
              <w:keepLines/>
              <w:ind w:left="0"/>
              <w:jc w:val="center"/>
              <w:rPr>
                <w:rFonts w:ascii="Arial" w:hAnsi="Arial" w:cs="Arial"/>
                <w:sz w:val="18"/>
                <w:szCs w:val="18"/>
              </w:rPr>
            </w:pPr>
            <w:r w:rsidRPr="00C725C6">
              <w:rPr>
                <w:rFonts w:ascii="Arial" w:hAnsi="Arial" w:cs="Arial"/>
                <w:sz w:val="18"/>
                <w:szCs w:val="18"/>
              </w:rPr>
              <w:t>5.8 MHz</w:t>
            </w:r>
            <w:r w:rsidRPr="00C725C6">
              <w:rPr>
                <w:rFonts w:ascii="Arial" w:hAnsi="Arial" w:cs="Arial"/>
                <w:spacing w:val="13"/>
                <w:sz w:val="18"/>
                <w:szCs w:val="18"/>
              </w:rPr>
              <w:t xml:space="preserve"> </w:t>
            </w:r>
            <w:r w:rsidRPr="00AE59F5">
              <w:rPr>
                <w:rFonts w:ascii="Arial" w:hAnsi="Arial" w:cs="Arial"/>
              </w:rPr>
              <w:t>≤</w:t>
            </w:r>
            <w:r w:rsidRPr="00C725C6">
              <w:rPr>
                <w:rFonts w:ascii="Arial" w:hAnsi="Arial" w:cs="Arial"/>
                <w:spacing w:val="11"/>
                <w:sz w:val="18"/>
                <w:szCs w:val="18"/>
                <w:u w:val="single" w:color="000000"/>
              </w:rPr>
              <w:t xml:space="preserve"> </w:t>
            </w:r>
            <w:r w:rsidRPr="00C725C6">
              <w:rPr>
                <w:rFonts w:ascii="Arial" w:hAnsi="Arial" w:cs="Arial"/>
                <w:sz w:val="18"/>
                <w:szCs w:val="18"/>
              </w:rPr>
              <w:t>f</w:t>
            </w:r>
            <w:r w:rsidRPr="00C725C6">
              <w:rPr>
                <w:rFonts w:ascii="Arial" w:hAnsi="Arial" w:cs="Arial"/>
                <w:sz w:val="18"/>
                <w:szCs w:val="18"/>
                <w:vertAlign w:val="subscript"/>
              </w:rPr>
              <w:t>offset</w:t>
            </w:r>
            <w:r w:rsidRPr="00C725C6">
              <w:rPr>
                <w:rFonts w:ascii="Arial" w:hAnsi="Arial" w:cs="Arial"/>
                <w:spacing w:val="27"/>
                <w:position w:val="-1"/>
                <w:sz w:val="18"/>
                <w:szCs w:val="18"/>
              </w:rPr>
              <w:t xml:space="preserve"> </w:t>
            </w:r>
          </w:p>
        </w:tc>
        <w:tc>
          <w:tcPr>
            <w:tcW w:w="2552" w:type="dxa"/>
            <w:shd w:val="clear" w:color="auto" w:fill="F2F2F2" w:themeFill="background1" w:themeFillShade="F2"/>
          </w:tcPr>
          <w:p w14:paraId="46D1D1AF" w14:textId="6A2B184D" w:rsidR="00F72BBA" w:rsidRPr="00C725C6" w:rsidRDefault="00F72BBA" w:rsidP="000543CA">
            <w:pPr>
              <w:pStyle w:val="ListParagraph"/>
              <w:keepNext/>
              <w:keepLines/>
              <w:ind w:left="0"/>
              <w:jc w:val="center"/>
              <w:rPr>
                <w:rFonts w:ascii="Arial" w:hAnsi="Arial" w:cs="Arial"/>
                <w:sz w:val="18"/>
                <w:szCs w:val="18"/>
              </w:rPr>
            </w:pPr>
            <w:r w:rsidRPr="00C725C6">
              <w:rPr>
                <w:rFonts w:ascii="Arial" w:hAnsi="Arial" w:cs="Arial"/>
                <w:sz w:val="18"/>
                <w:szCs w:val="18"/>
              </w:rPr>
              <w:t>-13</w:t>
            </w:r>
          </w:p>
        </w:tc>
        <w:tc>
          <w:tcPr>
            <w:tcW w:w="1559" w:type="dxa"/>
            <w:shd w:val="clear" w:color="auto" w:fill="F2F2F2" w:themeFill="background1" w:themeFillShade="F2"/>
          </w:tcPr>
          <w:p w14:paraId="7A65F83E" w14:textId="184F78BD" w:rsidR="00F72BBA" w:rsidRPr="00C725C6" w:rsidRDefault="00F72BBA" w:rsidP="000543CA">
            <w:pPr>
              <w:pStyle w:val="ListParagraph"/>
              <w:keepNext/>
              <w:keepLines/>
              <w:ind w:left="0"/>
              <w:jc w:val="center"/>
              <w:rPr>
                <w:rFonts w:ascii="Arial" w:hAnsi="Arial" w:cs="Arial"/>
                <w:sz w:val="18"/>
                <w:szCs w:val="18"/>
              </w:rPr>
            </w:pPr>
            <w:r w:rsidRPr="00C725C6">
              <w:rPr>
                <w:rFonts w:ascii="Arial" w:hAnsi="Arial" w:cs="Arial"/>
                <w:sz w:val="18"/>
                <w:szCs w:val="18"/>
              </w:rPr>
              <w:t>30 kHz</w:t>
            </w:r>
          </w:p>
        </w:tc>
      </w:tr>
    </w:tbl>
    <w:p w14:paraId="5A716265" w14:textId="77777777" w:rsidR="00F72BBA" w:rsidRDefault="00F72BBA" w:rsidP="00F72BBA">
      <w:pPr>
        <w:keepNext/>
        <w:keepLines/>
        <w:spacing w:after="0"/>
        <w:ind w:left="852"/>
        <w:rPr>
          <w:rFonts w:cs="Arial"/>
          <w:bCs/>
          <w:sz w:val="16"/>
          <w:szCs w:val="16"/>
        </w:rPr>
      </w:pPr>
    </w:p>
    <w:p w14:paraId="5260C770" w14:textId="529FE3A8" w:rsidR="00F72BBA" w:rsidRPr="007D04B2" w:rsidRDefault="00AC05A2" w:rsidP="00F72BBA">
      <w:pPr>
        <w:pStyle w:val="ACMATableHeader"/>
        <w:keepNext/>
        <w:keepLines/>
        <w:spacing w:line="240" w:lineRule="atLeast"/>
      </w:pPr>
      <w:r>
        <w:rPr>
          <w:rFonts w:cs="Arial"/>
        </w:rPr>
        <w:t>U</w:t>
      </w:r>
      <w:r w:rsidRPr="007D04B2">
        <w:rPr>
          <w:rFonts w:cs="Arial"/>
        </w:rPr>
        <w:t>nwanted emission limits</w:t>
      </w:r>
      <w:r>
        <w:rPr>
          <w:rFonts w:cs="Arial"/>
        </w:rPr>
        <w:t xml:space="preserve"> for transmitters operating in the upper 1800</w:t>
      </w:r>
      <w:r w:rsidR="00474C2A">
        <w:rPr>
          <w:rFonts w:cs="Arial"/>
        </w:rPr>
        <w:t> </w:t>
      </w:r>
      <w:r>
        <w:rPr>
          <w:rFonts w:cs="Arial"/>
        </w:rPr>
        <w:t xml:space="preserve">MHz band at </w:t>
      </w:r>
      <w:r w:rsidR="009B105A">
        <w:rPr>
          <w:rFonts w:cs="Arial"/>
        </w:rPr>
        <w:t xml:space="preserve">frequencies </w:t>
      </w:r>
      <w:r>
        <w:rPr>
          <w:rFonts w:cs="Arial"/>
        </w:rPr>
        <w:t>inside</w:t>
      </w:r>
      <w:r w:rsidRPr="007D04B2">
        <w:rPr>
          <w:rFonts w:cs="Arial"/>
        </w:rPr>
        <w:t xml:space="preserve"> the </w:t>
      </w:r>
      <w:r>
        <w:t xml:space="preserve">1795–1890 </w:t>
      </w:r>
      <w:r w:rsidRPr="007D04B2">
        <w:rPr>
          <w:rFonts w:cs="Arial"/>
        </w:rPr>
        <w:t>MHz ban</w:t>
      </w:r>
      <w:r>
        <w:rPr>
          <w:rFonts w:cs="Arial"/>
        </w:rPr>
        <w:t>d</w:t>
      </w:r>
      <w:r w:rsidRPr="007D04B2">
        <w:rPr>
          <w:rFonts w:cs="Arial"/>
        </w:rPr>
        <w:t xml:space="preserve"> </w:t>
      </w:r>
      <w:r w:rsidR="00004A73">
        <w:rPr>
          <w:rFonts w:cs="Arial"/>
        </w:rPr>
        <w:br/>
      </w:r>
      <w:r w:rsidRPr="007D04B2">
        <w:rPr>
          <w:rFonts w:cs="Arial"/>
        </w:rPr>
        <w:t>–</w:t>
      </w:r>
      <w:r>
        <w:rPr>
          <w:rFonts w:cs="Arial"/>
        </w:rPr>
        <w:t xml:space="preserve"> AAS </w:t>
      </w:r>
      <w:r w:rsidRPr="007D04B2">
        <w:rPr>
          <w:rFonts w:cs="Arial"/>
        </w:rPr>
        <w:t>devices</w:t>
      </w:r>
      <w:r>
        <w:rPr>
          <w:rFonts w:cs="Arial"/>
        </w:rPr>
        <w:t xml:space="preserve"> </w:t>
      </w:r>
      <w:r w:rsidR="00F72BBA">
        <w:t xml:space="preserve"> </w:t>
      </w:r>
    </w:p>
    <w:tbl>
      <w:tblPr>
        <w:tblStyle w:val="TableGrid"/>
        <w:tblW w:w="7230" w:type="dxa"/>
        <w:jc w:val="center"/>
        <w:tblLook w:val="04A0" w:firstRow="1" w:lastRow="0" w:firstColumn="1" w:lastColumn="0" w:noHBand="0" w:noVBand="1"/>
      </w:tblPr>
      <w:tblGrid>
        <w:gridCol w:w="3119"/>
        <w:gridCol w:w="2552"/>
        <w:gridCol w:w="1559"/>
      </w:tblGrid>
      <w:tr w:rsidR="00E767BA" w:rsidRPr="00E767BA" w14:paraId="0EEE3F27" w14:textId="77777777" w:rsidTr="00C725C6">
        <w:trPr>
          <w:jc w:val="center"/>
        </w:trPr>
        <w:tc>
          <w:tcPr>
            <w:tcW w:w="3119" w:type="dxa"/>
            <w:shd w:val="clear" w:color="auto" w:fill="404040" w:themeFill="text1" w:themeFillTint="BF"/>
          </w:tcPr>
          <w:p w14:paraId="65D001E8" w14:textId="77777777" w:rsidR="00F72BBA" w:rsidRPr="00C725C6" w:rsidRDefault="00F72BBA" w:rsidP="000543CA">
            <w:pPr>
              <w:pStyle w:val="ListParagraph"/>
              <w:keepNext/>
              <w:keepLines/>
              <w:ind w:left="0"/>
              <w:jc w:val="center"/>
              <w:rPr>
                <w:rFonts w:ascii="Arial" w:hAnsi="Arial" w:cs="Arial"/>
                <w:b/>
                <w:color w:val="FFFFFF" w:themeColor="background1"/>
              </w:rPr>
            </w:pPr>
            <w:r w:rsidRPr="00C725C6">
              <w:rPr>
                <w:rFonts w:ascii="Arial" w:hAnsi="Arial" w:cs="Arial"/>
                <w:b/>
                <w:color w:val="FFFFFF" w:themeColor="background1"/>
              </w:rPr>
              <w:t>Frequency offset</w:t>
            </w:r>
          </w:p>
          <w:p w14:paraId="77E60289" w14:textId="56C60DE4" w:rsidR="00F72BBA" w:rsidRPr="00C725C6" w:rsidRDefault="00F72BBA" w:rsidP="000543CA">
            <w:pPr>
              <w:pStyle w:val="ListParagraph"/>
              <w:keepNext/>
              <w:keepLines/>
              <w:ind w:left="0"/>
              <w:jc w:val="center"/>
              <w:rPr>
                <w:rFonts w:ascii="Arial" w:hAnsi="Arial" w:cs="Arial"/>
                <w:b/>
                <w:color w:val="FFFFFF" w:themeColor="background1"/>
                <w:vertAlign w:val="superscript"/>
              </w:rPr>
            </w:pPr>
            <w:r w:rsidRPr="00C725C6">
              <w:rPr>
                <w:rFonts w:ascii="Arial" w:hAnsi="Arial" w:cs="Arial"/>
                <w:b/>
                <w:color w:val="FFFFFF" w:themeColor="background1"/>
              </w:rPr>
              <w:t>(f</w:t>
            </w:r>
            <w:r w:rsidRPr="00C725C6">
              <w:rPr>
                <w:rFonts w:ascii="Arial" w:hAnsi="Arial" w:cs="Arial"/>
                <w:b/>
                <w:color w:val="FFFFFF" w:themeColor="background1"/>
                <w:vertAlign w:val="subscript"/>
              </w:rPr>
              <w:t>offset</w:t>
            </w:r>
            <w:r w:rsidRPr="00C725C6">
              <w:rPr>
                <w:rFonts w:ascii="Arial" w:hAnsi="Arial" w:cs="Arial"/>
                <w:b/>
                <w:color w:val="FFFFFF" w:themeColor="background1"/>
              </w:rPr>
              <w:t xml:space="preserve">) </w:t>
            </w:r>
          </w:p>
        </w:tc>
        <w:tc>
          <w:tcPr>
            <w:tcW w:w="2552" w:type="dxa"/>
            <w:shd w:val="clear" w:color="auto" w:fill="404040" w:themeFill="text1" w:themeFillTint="BF"/>
          </w:tcPr>
          <w:p w14:paraId="4DFC3921" w14:textId="63FCE5F1" w:rsidR="00F72BBA" w:rsidRPr="00C725C6" w:rsidRDefault="00F72BBA" w:rsidP="000543CA">
            <w:pPr>
              <w:pStyle w:val="ListParagraph"/>
              <w:keepNext/>
              <w:keepLines/>
              <w:ind w:left="0"/>
              <w:jc w:val="center"/>
              <w:rPr>
                <w:rFonts w:ascii="Arial" w:hAnsi="Arial" w:cs="Arial"/>
                <w:b/>
                <w:color w:val="FFFFFF" w:themeColor="background1"/>
              </w:rPr>
            </w:pPr>
            <w:r w:rsidRPr="00C725C6">
              <w:rPr>
                <w:rFonts w:ascii="Arial" w:hAnsi="Arial" w:cs="Arial"/>
                <w:b/>
                <w:color w:val="FFFFFF" w:themeColor="background1"/>
              </w:rPr>
              <w:t xml:space="preserve">Total </w:t>
            </w:r>
            <w:r w:rsidR="00004A73" w:rsidRPr="00C725C6">
              <w:rPr>
                <w:rFonts w:ascii="Arial" w:hAnsi="Arial" w:cs="Arial"/>
                <w:b/>
                <w:color w:val="FFFFFF" w:themeColor="background1"/>
              </w:rPr>
              <w:t>r</w:t>
            </w:r>
            <w:r w:rsidRPr="00C725C6">
              <w:rPr>
                <w:rFonts w:ascii="Arial" w:hAnsi="Arial" w:cs="Arial"/>
                <w:b/>
                <w:color w:val="FFFFFF" w:themeColor="background1"/>
              </w:rPr>
              <w:t xml:space="preserve">adiated </w:t>
            </w:r>
            <w:r w:rsidR="00004A73" w:rsidRPr="00C725C6">
              <w:rPr>
                <w:rFonts w:ascii="Arial" w:hAnsi="Arial" w:cs="Arial"/>
                <w:b/>
                <w:color w:val="FFFFFF" w:themeColor="background1"/>
              </w:rPr>
              <w:t>p</w:t>
            </w:r>
            <w:r w:rsidRPr="00C725C6">
              <w:rPr>
                <w:rFonts w:ascii="Arial" w:hAnsi="Arial" w:cs="Arial"/>
                <w:b/>
                <w:color w:val="FFFFFF" w:themeColor="background1"/>
              </w:rPr>
              <w:t>ower (dBm)</w:t>
            </w:r>
          </w:p>
        </w:tc>
        <w:tc>
          <w:tcPr>
            <w:tcW w:w="1559" w:type="dxa"/>
            <w:shd w:val="clear" w:color="auto" w:fill="404040" w:themeFill="text1" w:themeFillTint="BF"/>
          </w:tcPr>
          <w:p w14:paraId="60288E76" w14:textId="780E302E" w:rsidR="00F72BBA" w:rsidRPr="00C725C6" w:rsidRDefault="00F72BBA" w:rsidP="000543CA">
            <w:pPr>
              <w:pStyle w:val="ListParagraph"/>
              <w:keepNext/>
              <w:keepLines/>
              <w:ind w:left="0"/>
              <w:jc w:val="center"/>
              <w:rPr>
                <w:rFonts w:ascii="Arial" w:hAnsi="Arial" w:cs="Arial"/>
                <w:b/>
                <w:color w:val="FFFFFF" w:themeColor="background1"/>
              </w:rPr>
            </w:pPr>
            <w:r w:rsidRPr="00C725C6">
              <w:rPr>
                <w:rFonts w:ascii="Arial" w:hAnsi="Arial" w:cs="Arial"/>
                <w:b/>
                <w:color w:val="FFFFFF" w:themeColor="background1"/>
              </w:rPr>
              <w:t xml:space="preserve">Measurement </w:t>
            </w:r>
            <w:r w:rsidR="00004A73" w:rsidRPr="00C725C6">
              <w:rPr>
                <w:rFonts w:ascii="Arial" w:hAnsi="Arial" w:cs="Arial"/>
                <w:b/>
                <w:color w:val="FFFFFF" w:themeColor="background1"/>
              </w:rPr>
              <w:t>b</w:t>
            </w:r>
            <w:r w:rsidRPr="00C725C6">
              <w:rPr>
                <w:rFonts w:ascii="Arial" w:hAnsi="Arial" w:cs="Arial"/>
                <w:b/>
                <w:color w:val="FFFFFF" w:themeColor="background1"/>
              </w:rPr>
              <w:t>andwidth</w:t>
            </w:r>
          </w:p>
        </w:tc>
      </w:tr>
      <w:tr w:rsidR="00F72BBA" w:rsidRPr="0038765E" w14:paraId="7E427A3D" w14:textId="77777777" w:rsidTr="00C725C6">
        <w:trPr>
          <w:jc w:val="center"/>
        </w:trPr>
        <w:tc>
          <w:tcPr>
            <w:tcW w:w="3119" w:type="dxa"/>
          </w:tcPr>
          <w:p w14:paraId="64F97F6D" w14:textId="77777777" w:rsidR="00F72BBA" w:rsidRPr="00C725C6" w:rsidRDefault="00F72BBA" w:rsidP="000543CA">
            <w:pPr>
              <w:pStyle w:val="ListParagraph"/>
              <w:keepNext/>
              <w:keepLines/>
              <w:ind w:left="0"/>
              <w:jc w:val="center"/>
              <w:rPr>
                <w:rFonts w:ascii="Arial" w:hAnsi="Arial" w:cs="Arial"/>
                <w:sz w:val="16"/>
                <w:szCs w:val="16"/>
                <w:u w:val="single"/>
              </w:rPr>
            </w:pPr>
            <w:r w:rsidRPr="00C725C6">
              <w:rPr>
                <w:rFonts w:ascii="Arial" w:hAnsi="Arial" w:cs="Arial"/>
                <w:sz w:val="18"/>
                <w:szCs w:val="18"/>
              </w:rPr>
              <w:t>0 MHz</w:t>
            </w:r>
            <w:r w:rsidRPr="00C725C6">
              <w:rPr>
                <w:rFonts w:ascii="Arial" w:hAnsi="Arial" w:cs="Arial"/>
                <w:spacing w:val="13"/>
                <w:sz w:val="18"/>
                <w:szCs w:val="18"/>
              </w:rPr>
              <w:t xml:space="preserve"> </w:t>
            </w:r>
            <w:r w:rsidRPr="00AE59F5">
              <w:rPr>
                <w:rFonts w:ascii="Arial" w:hAnsi="Arial" w:cs="Arial"/>
              </w:rPr>
              <w:t xml:space="preserve">≤ </w:t>
            </w:r>
            <w:r w:rsidRPr="00C725C6">
              <w:rPr>
                <w:rFonts w:ascii="Arial" w:hAnsi="Arial" w:cs="Arial"/>
                <w:sz w:val="18"/>
                <w:szCs w:val="18"/>
              </w:rPr>
              <w:t>f</w:t>
            </w:r>
            <w:r w:rsidRPr="00C725C6">
              <w:rPr>
                <w:rFonts w:ascii="Arial" w:hAnsi="Arial" w:cs="Arial"/>
                <w:sz w:val="18"/>
                <w:szCs w:val="18"/>
                <w:vertAlign w:val="subscript"/>
              </w:rPr>
              <w:t>offset</w:t>
            </w:r>
            <w:r w:rsidRPr="00C725C6">
              <w:rPr>
                <w:rFonts w:ascii="Arial" w:hAnsi="Arial" w:cs="Arial"/>
                <w:spacing w:val="27"/>
                <w:position w:val="-1"/>
                <w:sz w:val="18"/>
                <w:szCs w:val="18"/>
              </w:rPr>
              <w:t xml:space="preserve"> </w:t>
            </w:r>
            <w:r w:rsidRPr="00AE59F5">
              <w:rPr>
                <w:rFonts w:ascii="Arial" w:hAnsi="Arial" w:cs="Arial"/>
              </w:rPr>
              <w:t>&lt;</w:t>
            </w:r>
            <w:r w:rsidRPr="00C725C6">
              <w:rPr>
                <w:rFonts w:ascii="Arial" w:hAnsi="Arial" w:cs="Arial"/>
                <w:spacing w:val="1"/>
                <w:sz w:val="18"/>
                <w:szCs w:val="18"/>
              </w:rPr>
              <w:t xml:space="preserve"> </w:t>
            </w:r>
            <w:r w:rsidRPr="00C725C6">
              <w:rPr>
                <w:rFonts w:ascii="Arial" w:hAnsi="Arial" w:cs="Arial"/>
                <w:sz w:val="18"/>
                <w:szCs w:val="18"/>
              </w:rPr>
              <w:t>200 kHz</w:t>
            </w:r>
          </w:p>
        </w:tc>
        <w:tc>
          <w:tcPr>
            <w:tcW w:w="2552" w:type="dxa"/>
          </w:tcPr>
          <w:p w14:paraId="529A64A5" w14:textId="77777777" w:rsidR="00F72BBA" w:rsidRPr="00C725C6" w:rsidRDefault="00F72BBA" w:rsidP="000543CA">
            <w:pPr>
              <w:pStyle w:val="ListParagraph"/>
              <w:keepNext/>
              <w:keepLines/>
              <w:ind w:left="0"/>
              <w:jc w:val="center"/>
              <w:rPr>
                <w:rFonts w:ascii="Arial" w:hAnsi="Arial" w:cs="Arial"/>
                <w:sz w:val="18"/>
                <w:szCs w:val="18"/>
              </w:rPr>
            </w:pPr>
            <w:r w:rsidRPr="00C725C6">
              <w:rPr>
                <w:rFonts w:ascii="Arial" w:hAnsi="Arial" w:cs="Arial"/>
                <w:sz w:val="18"/>
                <w:szCs w:val="18"/>
              </w:rPr>
              <w:t>-4</w:t>
            </w:r>
          </w:p>
        </w:tc>
        <w:tc>
          <w:tcPr>
            <w:tcW w:w="1559" w:type="dxa"/>
          </w:tcPr>
          <w:p w14:paraId="0813E4F0" w14:textId="77777777" w:rsidR="00F72BBA" w:rsidRPr="00C725C6" w:rsidRDefault="00F72BBA" w:rsidP="000543CA">
            <w:pPr>
              <w:pStyle w:val="ListParagraph"/>
              <w:keepNext/>
              <w:keepLines/>
              <w:ind w:left="0"/>
              <w:jc w:val="center"/>
              <w:rPr>
                <w:rFonts w:ascii="Arial" w:hAnsi="Arial" w:cs="Arial"/>
                <w:sz w:val="18"/>
                <w:szCs w:val="18"/>
              </w:rPr>
            </w:pPr>
            <w:r w:rsidRPr="00C725C6">
              <w:rPr>
                <w:rFonts w:ascii="Arial" w:hAnsi="Arial" w:cs="Arial"/>
                <w:sz w:val="18"/>
                <w:szCs w:val="18"/>
              </w:rPr>
              <w:t>30 kHz</w:t>
            </w:r>
          </w:p>
        </w:tc>
      </w:tr>
      <w:tr w:rsidR="00F72BBA" w:rsidRPr="0038765E" w14:paraId="7708E4C1" w14:textId="77777777" w:rsidTr="00C725C6">
        <w:trPr>
          <w:jc w:val="center"/>
        </w:trPr>
        <w:tc>
          <w:tcPr>
            <w:tcW w:w="3119" w:type="dxa"/>
            <w:shd w:val="clear" w:color="auto" w:fill="F2F2F2" w:themeFill="background1" w:themeFillShade="F2"/>
          </w:tcPr>
          <w:p w14:paraId="5758790F" w14:textId="77777777" w:rsidR="00F72BBA" w:rsidRPr="00C725C6" w:rsidRDefault="00F72BBA" w:rsidP="000543CA">
            <w:pPr>
              <w:pStyle w:val="ListParagraph"/>
              <w:keepNext/>
              <w:keepLines/>
              <w:ind w:left="0"/>
              <w:jc w:val="center"/>
              <w:rPr>
                <w:rFonts w:ascii="Arial" w:hAnsi="Arial" w:cs="Arial"/>
                <w:sz w:val="18"/>
                <w:szCs w:val="18"/>
              </w:rPr>
            </w:pPr>
            <w:r w:rsidRPr="00C725C6">
              <w:rPr>
                <w:rFonts w:ascii="Arial" w:hAnsi="Arial" w:cs="Arial"/>
                <w:sz w:val="18"/>
                <w:szCs w:val="18"/>
              </w:rPr>
              <w:t>200 kHz</w:t>
            </w:r>
            <w:r w:rsidRPr="00C725C6">
              <w:rPr>
                <w:rFonts w:ascii="Arial" w:hAnsi="Arial" w:cs="Arial"/>
                <w:spacing w:val="13"/>
                <w:sz w:val="18"/>
                <w:szCs w:val="18"/>
              </w:rPr>
              <w:t xml:space="preserve"> </w:t>
            </w:r>
            <w:r w:rsidRPr="00AE59F5">
              <w:rPr>
                <w:rFonts w:ascii="Arial" w:hAnsi="Arial" w:cs="Arial"/>
              </w:rPr>
              <w:t xml:space="preserve">≤ </w:t>
            </w:r>
            <w:r w:rsidRPr="00C725C6">
              <w:rPr>
                <w:rFonts w:ascii="Arial" w:hAnsi="Arial" w:cs="Arial"/>
                <w:sz w:val="18"/>
                <w:szCs w:val="18"/>
              </w:rPr>
              <w:t>f</w:t>
            </w:r>
            <w:r w:rsidRPr="00C725C6">
              <w:rPr>
                <w:rFonts w:ascii="Arial" w:hAnsi="Arial" w:cs="Arial"/>
                <w:sz w:val="18"/>
                <w:szCs w:val="18"/>
                <w:vertAlign w:val="subscript"/>
              </w:rPr>
              <w:t>offset</w:t>
            </w:r>
            <w:r w:rsidRPr="00C725C6">
              <w:rPr>
                <w:rFonts w:ascii="Arial" w:hAnsi="Arial" w:cs="Arial"/>
                <w:spacing w:val="27"/>
                <w:position w:val="-1"/>
                <w:sz w:val="18"/>
                <w:szCs w:val="18"/>
              </w:rPr>
              <w:t xml:space="preserve"> </w:t>
            </w:r>
            <w:r w:rsidRPr="00AE59F5">
              <w:rPr>
                <w:rFonts w:ascii="Arial" w:hAnsi="Arial" w:cs="Arial"/>
              </w:rPr>
              <w:t>&lt;</w:t>
            </w:r>
            <w:r w:rsidRPr="00C725C6">
              <w:rPr>
                <w:rFonts w:ascii="Arial" w:hAnsi="Arial" w:cs="Arial"/>
                <w:spacing w:val="1"/>
                <w:sz w:val="18"/>
                <w:szCs w:val="18"/>
              </w:rPr>
              <w:t xml:space="preserve"> 1 MHz</w:t>
            </w:r>
          </w:p>
        </w:tc>
        <w:tc>
          <w:tcPr>
            <w:tcW w:w="2552" w:type="dxa"/>
            <w:shd w:val="clear" w:color="auto" w:fill="F2F2F2" w:themeFill="background1" w:themeFillShade="F2"/>
          </w:tcPr>
          <w:p w14:paraId="78291AE0" w14:textId="77777777" w:rsidR="00F72BBA" w:rsidRPr="00C725C6" w:rsidRDefault="00F72BBA" w:rsidP="000543CA">
            <w:pPr>
              <w:pStyle w:val="ListParagraph"/>
              <w:keepNext/>
              <w:keepLines/>
              <w:ind w:left="0"/>
              <w:jc w:val="center"/>
              <w:rPr>
                <w:rFonts w:ascii="Arial" w:hAnsi="Arial" w:cs="Arial"/>
                <w:sz w:val="18"/>
                <w:szCs w:val="18"/>
              </w:rPr>
            </w:pPr>
            <w:r w:rsidRPr="00C725C6">
              <w:rPr>
                <w:rFonts w:ascii="Arial" w:hAnsi="Arial" w:cs="Arial"/>
                <w:sz w:val="18"/>
                <w:szCs w:val="18"/>
              </w:rPr>
              <w:t>-4 – 13.125 x (f</w:t>
            </w:r>
            <w:r w:rsidRPr="00C725C6">
              <w:rPr>
                <w:rFonts w:ascii="Arial" w:hAnsi="Arial" w:cs="Arial"/>
                <w:sz w:val="18"/>
                <w:szCs w:val="18"/>
                <w:vertAlign w:val="subscript"/>
              </w:rPr>
              <w:t>offset</w:t>
            </w:r>
            <w:r w:rsidRPr="00C725C6">
              <w:rPr>
                <w:rFonts w:ascii="Arial" w:hAnsi="Arial" w:cs="Arial"/>
                <w:sz w:val="18"/>
                <w:szCs w:val="18"/>
              </w:rPr>
              <w:t xml:space="preserve"> – 0.2)</w:t>
            </w:r>
          </w:p>
        </w:tc>
        <w:tc>
          <w:tcPr>
            <w:tcW w:w="1559" w:type="dxa"/>
            <w:shd w:val="clear" w:color="auto" w:fill="F2F2F2" w:themeFill="background1" w:themeFillShade="F2"/>
          </w:tcPr>
          <w:p w14:paraId="5BF8E8D4" w14:textId="77777777" w:rsidR="00F72BBA" w:rsidRPr="00C725C6" w:rsidRDefault="00F72BBA" w:rsidP="000543CA">
            <w:pPr>
              <w:pStyle w:val="ListParagraph"/>
              <w:keepNext/>
              <w:keepLines/>
              <w:ind w:left="0"/>
              <w:jc w:val="center"/>
              <w:rPr>
                <w:rFonts w:ascii="Arial" w:hAnsi="Arial" w:cs="Arial"/>
                <w:sz w:val="18"/>
                <w:szCs w:val="18"/>
              </w:rPr>
            </w:pPr>
            <w:r w:rsidRPr="00C725C6">
              <w:rPr>
                <w:rFonts w:ascii="Arial" w:hAnsi="Arial" w:cs="Arial"/>
                <w:sz w:val="18"/>
                <w:szCs w:val="18"/>
              </w:rPr>
              <w:t>30 kHz</w:t>
            </w:r>
          </w:p>
        </w:tc>
      </w:tr>
      <w:tr w:rsidR="00F72BBA" w:rsidRPr="0038765E" w14:paraId="575029F0" w14:textId="77777777" w:rsidTr="00C725C6">
        <w:trPr>
          <w:jc w:val="center"/>
        </w:trPr>
        <w:tc>
          <w:tcPr>
            <w:tcW w:w="3119" w:type="dxa"/>
          </w:tcPr>
          <w:p w14:paraId="2B3CB4DA" w14:textId="77777777" w:rsidR="00F72BBA" w:rsidRPr="00C725C6" w:rsidRDefault="00F72BBA" w:rsidP="000543CA">
            <w:pPr>
              <w:pStyle w:val="ListParagraph"/>
              <w:keepNext/>
              <w:keepLines/>
              <w:ind w:left="0"/>
              <w:jc w:val="center"/>
              <w:rPr>
                <w:rFonts w:ascii="Arial" w:hAnsi="Arial" w:cs="Arial"/>
                <w:sz w:val="18"/>
                <w:szCs w:val="18"/>
              </w:rPr>
            </w:pPr>
            <w:r w:rsidRPr="00C725C6">
              <w:rPr>
                <w:rFonts w:ascii="Arial" w:hAnsi="Arial" w:cs="Arial"/>
                <w:sz w:val="18"/>
                <w:szCs w:val="18"/>
              </w:rPr>
              <w:t>1 MHz</w:t>
            </w:r>
            <w:r w:rsidRPr="00C725C6">
              <w:rPr>
                <w:rFonts w:ascii="Arial" w:hAnsi="Arial" w:cs="Arial"/>
                <w:spacing w:val="13"/>
                <w:sz w:val="18"/>
                <w:szCs w:val="18"/>
              </w:rPr>
              <w:t xml:space="preserve"> </w:t>
            </w:r>
            <w:r w:rsidRPr="00AE59F5">
              <w:rPr>
                <w:rFonts w:ascii="Arial" w:hAnsi="Arial" w:cs="Arial"/>
              </w:rPr>
              <w:t xml:space="preserve">≤ </w:t>
            </w:r>
            <w:r w:rsidRPr="00C725C6">
              <w:rPr>
                <w:rFonts w:ascii="Arial" w:hAnsi="Arial" w:cs="Arial"/>
                <w:sz w:val="18"/>
                <w:szCs w:val="18"/>
              </w:rPr>
              <w:t>f</w:t>
            </w:r>
            <w:r w:rsidRPr="00C725C6">
              <w:rPr>
                <w:rFonts w:ascii="Arial" w:hAnsi="Arial" w:cs="Arial"/>
                <w:sz w:val="18"/>
                <w:szCs w:val="18"/>
                <w:vertAlign w:val="subscript"/>
              </w:rPr>
              <w:t>offset</w:t>
            </w:r>
            <w:r w:rsidRPr="00C725C6">
              <w:rPr>
                <w:rFonts w:ascii="Arial" w:hAnsi="Arial" w:cs="Arial"/>
                <w:spacing w:val="27"/>
                <w:position w:val="-1"/>
                <w:sz w:val="18"/>
                <w:szCs w:val="18"/>
              </w:rPr>
              <w:t xml:space="preserve"> </w:t>
            </w:r>
            <w:r w:rsidRPr="00AE59F5">
              <w:rPr>
                <w:rFonts w:ascii="Arial" w:hAnsi="Arial" w:cs="Arial"/>
              </w:rPr>
              <w:t>&lt;</w:t>
            </w:r>
            <w:r w:rsidRPr="00C725C6">
              <w:rPr>
                <w:rFonts w:ascii="Arial" w:hAnsi="Arial" w:cs="Arial"/>
                <w:spacing w:val="1"/>
                <w:sz w:val="18"/>
                <w:szCs w:val="18"/>
              </w:rPr>
              <w:t xml:space="preserve"> 5.8 MHz</w:t>
            </w:r>
          </w:p>
        </w:tc>
        <w:tc>
          <w:tcPr>
            <w:tcW w:w="2552" w:type="dxa"/>
          </w:tcPr>
          <w:p w14:paraId="52F2E909" w14:textId="77777777" w:rsidR="00F72BBA" w:rsidRPr="00C725C6" w:rsidDel="00CF0645" w:rsidRDefault="00F72BBA" w:rsidP="000543CA">
            <w:pPr>
              <w:pStyle w:val="ListParagraph"/>
              <w:keepNext/>
              <w:keepLines/>
              <w:ind w:left="0"/>
              <w:jc w:val="center"/>
              <w:rPr>
                <w:rFonts w:ascii="Arial" w:hAnsi="Arial" w:cs="Arial"/>
                <w:sz w:val="18"/>
                <w:szCs w:val="18"/>
              </w:rPr>
            </w:pPr>
            <w:r w:rsidRPr="00C725C6">
              <w:rPr>
                <w:rFonts w:ascii="Arial" w:hAnsi="Arial" w:cs="Arial"/>
                <w:sz w:val="18"/>
                <w:szCs w:val="18"/>
              </w:rPr>
              <w:t>0.7</w:t>
            </w:r>
          </w:p>
        </w:tc>
        <w:tc>
          <w:tcPr>
            <w:tcW w:w="1559" w:type="dxa"/>
          </w:tcPr>
          <w:p w14:paraId="4BE2CFF1" w14:textId="77777777" w:rsidR="00F72BBA" w:rsidRPr="00C725C6" w:rsidRDefault="00F72BBA" w:rsidP="000543CA">
            <w:pPr>
              <w:pStyle w:val="ListParagraph"/>
              <w:keepNext/>
              <w:keepLines/>
              <w:ind w:left="0"/>
              <w:jc w:val="center"/>
              <w:rPr>
                <w:rFonts w:ascii="Arial" w:hAnsi="Arial" w:cs="Arial"/>
                <w:sz w:val="18"/>
                <w:szCs w:val="18"/>
              </w:rPr>
            </w:pPr>
            <w:r w:rsidRPr="00C725C6">
              <w:rPr>
                <w:rFonts w:ascii="Arial" w:hAnsi="Arial" w:cs="Arial"/>
                <w:sz w:val="18"/>
                <w:szCs w:val="18"/>
              </w:rPr>
              <w:t>1 MHz</w:t>
            </w:r>
          </w:p>
        </w:tc>
      </w:tr>
      <w:tr w:rsidR="00F72BBA" w:rsidRPr="0038765E" w14:paraId="60901A1F" w14:textId="77777777" w:rsidTr="00C725C6">
        <w:trPr>
          <w:jc w:val="center"/>
        </w:trPr>
        <w:tc>
          <w:tcPr>
            <w:tcW w:w="3119" w:type="dxa"/>
            <w:shd w:val="clear" w:color="auto" w:fill="F2F2F2" w:themeFill="background1" w:themeFillShade="F2"/>
          </w:tcPr>
          <w:p w14:paraId="3965D0C7" w14:textId="77777777" w:rsidR="00F72BBA" w:rsidRPr="00C725C6" w:rsidRDefault="00F72BBA" w:rsidP="000543CA">
            <w:pPr>
              <w:pStyle w:val="ListParagraph"/>
              <w:keepNext/>
              <w:keepLines/>
              <w:ind w:left="0"/>
              <w:jc w:val="center"/>
              <w:rPr>
                <w:rFonts w:ascii="Arial" w:hAnsi="Arial" w:cs="Arial"/>
                <w:sz w:val="18"/>
                <w:szCs w:val="18"/>
              </w:rPr>
            </w:pPr>
            <w:r w:rsidRPr="00C725C6">
              <w:rPr>
                <w:rFonts w:ascii="Arial" w:hAnsi="Arial" w:cs="Arial"/>
                <w:sz w:val="18"/>
                <w:szCs w:val="18"/>
              </w:rPr>
              <w:t>5.8 MHz</w:t>
            </w:r>
            <w:r w:rsidRPr="00C725C6">
              <w:rPr>
                <w:rFonts w:ascii="Arial" w:hAnsi="Arial" w:cs="Arial"/>
                <w:spacing w:val="13"/>
                <w:sz w:val="18"/>
                <w:szCs w:val="18"/>
              </w:rPr>
              <w:t xml:space="preserve"> </w:t>
            </w:r>
            <w:r w:rsidRPr="00AE59F5">
              <w:rPr>
                <w:rFonts w:ascii="Arial" w:hAnsi="Arial" w:cs="Arial"/>
              </w:rPr>
              <w:t>≤</w:t>
            </w:r>
            <w:r w:rsidRPr="00C725C6">
              <w:rPr>
                <w:rFonts w:ascii="Arial" w:hAnsi="Arial" w:cs="Arial"/>
                <w:spacing w:val="11"/>
                <w:sz w:val="18"/>
                <w:szCs w:val="18"/>
                <w:u w:val="single" w:color="000000"/>
              </w:rPr>
              <w:t xml:space="preserve"> </w:t>
            </w:r>
            <w:r w:rsidRPr="00C725C6">
              <w:rPr>
                <w:rFonts w:ascii="Arial" w:hAnsi="Arial" w:cs="Arial"/>
                <w:sz w:val="18"/>
                <w:szCs w:val="18"/>
              </w:rPr>
              <w:t>f</w:t>
            </w:r>
            <w:r w:rsidRPr="00C725C6">
              <w:rPr>
                <w:rFonts w:ascii="Arial" w:hAnsi="Arial" w:cs="Arial"/>
                <w:sz w:val="18"/>
                <w:szCs w:val="18"/>
                <w:vertAlign w:val="subscript"/>
              </w:rPr>
              <w:t>offset</w:t>
            </w:r>
            <w:r w:rsidRPr="00C725C6">
              <w:rPr>
                <w:rFonts w:ascii="Arial" w:hAnsi="Arial" w:cs="Arial"/>
                <w:spacing w:val="27"/>
                <w:position w:val="-1"/>
                <w:sz w:val="18"/>
                <w:szCs w:val="18"/>
              </w:rPr>
              <w:t xml:space="preserve"> </w:t>
            </w:r>
          </w:p>
        </w:tc>
        <w:tc>
          <w:tcPr>
            <w:tcW w:w="2552" w:type="dxa"/>
            <w:shd w:val="clear" w:color="auto" w:fill="F2F2F2" w:themeFill="background1" w:themeFillShade="F2"/>
          </w:tcPr>
          <w:p w14:paraId="12072E0C" w14:textId="77777777" w:rsidR="00F72BBA" w:rsidRPr="00C725C6" w:rsidRDefault="00F72BBA" w:rsidP="000543CA">
            <w:pPr>
              <w:pStyle w:val="ListParagraph"/>
              <w:keepNext/>
              <w:keepLines/>
              <w:ind w:left="0"/>
              <w:jc w:val="center"/>
              <w:rPr>
                <w:rFonts w:ascii="Arial" w:hAnsi="Arial" w:cs="Arial"/>
                <w:sz w:val="18"/>
                <w:szCs w:val="18"/>
              </w:rPr>
            </w:pPr>
            <w:r w:rsidRPr="00C725C6">
              <w:rPr>
                <w:rFonts w:ascii="Arial" w:hAnsi="Arial" w:cs="Arial"/>
                <w:sz w:val="18"/>
                <w:szCs w:val="18"/>
              </w:rPr>
              <w:t>-3.7</w:t>
            </w:r>
          </w:p>
        </w:tc>
        <w:tc>
          <w:tcPr>
            <w:tcW w:w="1559" w:type="dxa"/>
            <w:shd w:val="clear" w:color="auto" w:fill="F2F2F2" w:themeFill="background1" w:themeFillShade="F2"/>
          </w:tcPr>
          <w:p w14:paraId="387E4E56" w14:textId="77777777" w:rsidR="00F72BBA" w:rsidRPr="00C725C6" w:rsidRDefault="00F72BBA" w:rsidP="000543CA">
            <w:pPr>
              <w:pStyle w:val="ListParagraph"/>
              <w:keepNext/>
              <w:keepLines/>
              <w:ind w:left="0"/>
              <w:jc w:val="center"/>
              <w:rPr>
                <w:rFonts w:ascii="Arial" w:hAnsi="Arial" w:cs="Arial"/>
                <w:sz w:val="18"/>
                <w:szCs w:val="18"/>
              </w:rPr>
            </w:pPr>
            <w:r w:rsidRPr="00C725C6">
              <w:rPr>
                <w:rFonts w:ascii="Arial" w:hAnsi="Arial" w:cs="Arial"/>
                <w:sz w:val="18"/>
                <w:szCs w:val="18"/>
              </w:rPr>
              <w:t>1 MHz</w:t>
            </w:r>
          </w:p>
        </w:tc>
      </w:tr>
    </w:tbl>
    <w:p w14:paraId="1EB90E99" w14:textId="24F53F65" w:rsidR="00F72BBA" w:rsidRPr="007D04B2" w:rsidRDefault="00F72BBA" w:rsidP="00AF3F4C">
      <w:pPr>
        <w:pStyle w:val="ACMATableHeader"/>
        <w:spacing w:before="240" w:line="240" w:lineRule="atLeast"/>
      </w:pPr>
      <w:r>
        <w:rPr>
          <w:rFonts w:cs="Arial"/>
        </w:rPr>
        <w:t>U</w:t>
      </w:r>
      <w:r w:rsidRPr="007D04B2">
        <w:rPr>
          <w:rFonts w:cs="Arial"/>
        </w:rPr>
        <w:t xml:space="preserve">nwanted emission limits </w:t>
      </w:r>
      <w:r>
        <w:rPr>
          <w:rFonts w:cs="Arial"/>
        </w:rPr>
        <w:t>for transmitters operating in the upper 1800</w:t>
      </w:r>
      <w:r w:rsidR="00474C2A">
        <w:rPr>
          <w:rFonts w:cs="Arial"/>
        </w:rPr>
        <w:t> </w:t>
      </w:r>
      <w:r>
        <w:rPr>
          <w:rFonts w:cs="Arial"/>
        </w:rPr>
        <w:t xml:space="preserve">MHz band at </w:t>
      </w:r>
      <w:r w:rsidR="009B105A">
        <w:rPr>
          <w:rFonts w:cs="Arial"/>
        </w:rPr>
        <w:t xml:space="preserve">frequencies </w:t>
      </w:r>
      <w:r w:rsidRPr="007D04B2">
        <w:rPr>
          <w:rFonts w:cs="Arial"/>
        </w:rPr>
        <w:t xml:space="preserve">outside the </w:t>
      </w:r>
      <w:r>
        <w:t xml:space="preserve">1795–1890 </w:t>
      </w:r>
      <w:r w:rsidRPr="007D04B2">
        <w:rPr>
          <w:rFonts w:cs="Arial"/>
        </w:rPr>
        <w:t xml:space="preserve">MHz band </w:t>
      </w:r>
      <w:r w:rsidR="00004A73">
        <w:rPr>
          <w:rFonts w:cs="Arial"/>
        </w:rPr>
        <w:br/>
      </w:r>
      <w:r w:rsidRPr="007D04B2">
        <w:rPr>
          <w:rFonts w:cs="Arial"/>
        </w:rPr>
        <w:t>–</w:t>
      </w:r>
      <w:r>
        <w:rPr>
          <w:rFonts w:cs="Arial"/>
        </w:rPr>
        <w:t xml:space="preserve"> non-AAS </w:t>
      </w:r>
      <w:r w:rsidRPr="007D04B2">
        <w:rPr>
          <w:rFonts w:cs="Arial"/>
        </w:rPr>
        <w:t>devices.</w:t>
      </w:r>
      <w:r>
        <w:rPr>
          <w:rFonts w:cs="Arial"/>
        </w:rPr>
        <w:t xml:space="preserve"> </w:t>
      </w:r>
    </w:p>
    <w:tbl>
      <w:tblPr>
        <w:tblStyle w:val="TableGrid"/>
        <w:tblW w:w="7241" w:type="dxa"/>
        <w:jc w:val="center"/>
        <w:tblLook w:val="04A0" w:firstRow="1" w:lastRow="0" w:firstColumn="1" w:lastColumn="0" w:noHBand="0" w:noVBand="1"/>
      </w:tblPr>
      <w:tblGrid>
        <w:gridCol w:w="3125"/>
        <w:gridCol w:w="2610"/>
        <w:gridCol w:w="1506"/>
      </w:tblGrid>
      <w:tr w:rsidR="00E767BA" w:rsidRPr="00E767BA" w14:paraId="32F9B708" w14:textId="77777777" w:rsidTr="00E767BA">
        <w:trPr>
          <w:jc w:val="center"/>
        </w:trPr>
        <w:tc>
          <w:tcPr>
            <w:tcW w:w="3125" w:type="dxa"/>
            <w:shd w:val="clear" w:color="auto" w:fill="404040" w:themeFill="text1" w:themeFillTint="BF"/>
          </w:tcPr>
          <w:p w14:paraId="3C71B782" w14:textId="535B488D" w:rsidR="00F72BBA" w:rsidRPr="00C725C6" w:rsidRDefault="00F72BBA" w:rsidP="00C725C6">
            <w:pPr>
              <w:pStyle w:val="ListParagraph"/>
              <w:ind w:left="-394"/>
              <w:jc w:val="center"/>
              <w:rPr>
                <w:rFonts w:ascii="Arial" w:hAnsi="Arial" w:cs="Arial"/>
                <w:b/>
                <w:color w:val="FFFFFF" w:themeColor="background1"/>
              </w:rPr>
            </w:pPr>
            <w:r w:rsidRPr="00C725C6">
              <w:rPr>
                <w:rFonts w:ascii="Arial" w:hAnsi="Arial" w:cs="Arial"/>
                <w:b/>
                <w:color w:val="FFFFFF" w:themeColor="background1"/>
              </w:rPr>
              <w:t xml:space="preserve">Frequency </w:t>
            </w:r>
            <w:r w:rsidR="00004A73" w:rsidRPr="00C725C6">
              <w:rPr>
                <w:rFonts w:ascii="Arial" w:hAnsi="Arial" w:cs="Arial"/>
                <w:b/>
                <w:color w:val="FFFFFF" w:themeColor="background1"/>
              </w:rPr>
              <w:t>r</w:t>
            </w:r>
            <w:r w:rsidRPr="00C725C6">
              <w:rPr>
                <w:rFonts w:ascii="Arial" w:hAnsi="Arial" w:cs="Arial"/>
                <w:b/>
                <w:color w:val="FFFFFF" w:themeColor="background1"/>
              </w:rPr>
              <w:t xml:space="preserve">ange </w:t>
            </w:r>
          </w:p>
          <w:p w14:paraId="7199CB58" w14:textId="77777777" w:rsidR="00F72BBA" w:rsidRPr="00C725C6" w:rsidRDefault="00F72BBA" w:rsidP="000543CA">
            <w:pPr>
              <w:pStyle w:val="ListParagraph"/>
              <w:ind w:left="0"/>
              <w:jc w:val="center"/>
              <w:rPr>
                <w:rFonts w:ascii="Arial" w:hAnsi="Arial" w:cs="Arial"/>
                <w:b/>
                <w:color w:val="FFFFFF" w:themeColor="background1"/>
              </w:rPr>
            </w:pPr>
            <w:r w:rsidRPr="00C725C6">
              <w:rPr>
                <w:rFonts w:ascii="Arial" w:hAnsi="Arial" w:cs="Arial"/>
                <w:b/>
                <w:color w:val="FFFFFF" w:themeColor="background1"/>
              </w:rPr>
              <w:t>(f)</w:t>
            </w:r>
          </w:p>
        </w:tc>
        <w:tc>
          <w:tcPr>
            <w:tcW w:w="2610" w:type="dxa"/>
            <w:shd w:val="clear" w:color="auto" w:fill="404040" w:themeFill="text1" w:themeFillTint="BF"/>
          </w:tcPr>
          <w:p w14:paraId="341AD5FF" w14:textId="48251607" w:rsidR="00F72BBA" w:rsidRPr="00C725C6" w:rsidRDefault="00233962" w:rsidP="000543CA">
            <w:pPr>
              <w:pStyle w:val="ListParagraph"/>
              <w:ind w:left="0"/>
              <w:jc w:val="center"/>
              <w:rPr>
                <w:rFonts w:ascii="Arial" w:hAnsi="Arial" w:cs="Arial"/>
                <w:b/>
                <w:color w:val="FFFFFF" w:themeColor="background1"/>
              </w:rPr>
            </w:pPr>
            <w:r w:rsidRPr="00C725C6">
              <w:rPr>
                <w:rFonts w:ascii="Arial" w:hAnsi="Arial" w:cs="Arial"/>
                <w:b/>
                <w:color w:val="FFFFFF" w:themeColor="background1"/>
              </w:rPr>
              <w:t>M</w:t>
            </w:r>
            <w:r w:rsidR="00F72BBA" w:rsidRPr="00C725C6">
              <w:rPr>
                <w:rFonts w:ascii="Arial" w:hAnsi="Arial" w:cs="Arial"/>
                <w:b/>
                <w:color w:val="FFFFFF" w:themeColor="background1"/>
              </w:rPr>
              <w:t>ean power (dBm) per transmitter port</w:t>
            </w:r>
          </w:p>
        </w:tc>
        <w:tc>
          <w:tcPr>
            <w:tcW w:w="1506" w:type="dxa"/>
            <w:shd w:val="clear" w:color="auto" w:fill="404040" w:themeFill="text1" w:themeFillTint="BF"/>
          </w:tcPr>
          <w:p w14:paraId="04906830" w14:textId="6FFB1C2A" w:rsidR="00F72BBA" w:rsidRPr="00C725C6" w:rsidRDefault="00F72BBA" w:rsidP="000543CA">
            <w:pPr>
              <w:pStyle w:val="ListParagraph"/>
              <w:ind w:left="0"/>
              <w:jc w:val="center"/>
              <w:rPr>
                <w:rFonts w:ascii="Arial" w:hAnsi="Arial" w:cs="Arial"/>
                <w:b/>
                <w:color w:val="FFFFFF" w:themeColor="background1"/>
              </w:rPr>
            </w:pPr>
            <w:r w:rsidRPr="00C725C6">
              <w:rPr>
                <w:rFonts w:ascii="Arial" w:hAnsi="Arial" w:cs="Arial"/>
                <w:b/>
                <w:color w:val="FFFFFF" w:themeColor="background1"/>
              </w:rPr>
              <w:t xml:space="preserve">Measurement </w:t>
            </w:r>
            <w:r w:rsidR="00004A73" w:rsidRPr="00C725C6">
              <w:rPr>
                <w:rFonts w:ascii="Arial" w:hAnsi="Arial" w:cs="Arial"/>
                <w:b/>
                <w:color w:val="FFFFFF" w:themeColor="background1"/>
              </w:rPr>
              <w:t>b</w:t>
            </w:r>
            <w:r w:rsidRPr="00C725C6">
              <w:rPr>
                <w:rFonts w:ascii="Arial" w:hAnsi="Arial" w:cs="Arial"/>
                <w:b/>
                <w:color w:val="FFFFFF" w:themeColor="background1"/>
              </w:rPr>
              <w:t>andwidth</w:t>
            </w:r>
          </w:p>
        </w:tc>
      </w:tr>
      <w:tr w:rsidR="00F72BBA" w:rsidRPr="007D04B2" w14:paraId="33CE32A1" w14:textId="77777777" w:rsidTr="00C725C6">
        <w:trPr>
          <w:jc w:val="center"/>
        </w:trPr>
        <w:tc>
          <w:tcPr>
            <w:tcW w:w="3125" w:type="dxa"/>
          </w:tcPr>
          <w:p w14:paraId="30EF6D39" w14:textId="77777777" w:rsidR="00F72BBA" w:rsidRPr="00C725C6" w:rsidRDefault="00F72BBA" w:rsidP="000543CA">
            <w:pPr>
              <w:pStyle w:val="ListParagraph"/>
              <w:ind w:left="0"/>
              <w:jc w:val="center"/>
              <w:rPr>
                <w:rFonts w:ascii="Arial" w:hAnsi="Arial" w:cs="Arial"/>
                <w:sz w:val="18"/>
                <w:szCs w:val="18"/>
              </w:rPr>
            </w:pPr>
            <w:r w:rsidRPr="00C725C6">
              <w:rPr>
                <w:rFonts w:ascii="Arial" w:hAnsi="Arial" w:cs="Arial"/>
                <w:sz w:val="18"/>
                <w:szCs w:val="18"/>
              </w:rPr>
              <w:t>9 kHz ≤ f &lt; 150 kHz</w:t>
            </w:r>
          </w:p>
        </w:tc>
        <w:tc>
          <w:tcPr>
            <w:tcW w:w="2610" w:type="dxa"/>
          </w:tcPr>
          <w:p w14:paraId="6C3DE9D6" w14:textId="77777777" w:rsidR="00F72BBA" w:rsidRPr="00C725C6" w:rsidRDefault="00F72BBA" w:rsidP="000543CA">
            <w:pPr>
              <w:pStyle w:val="ListParagraph"/>
              <w:ind w:left="0"/>
              <w:jc w:val="center"/>
              <w:rPr>
                <w:rFonts w:ascii="Arial" w:hAnsi="Arial" w:cs="Arial"/>
                <w:sz w:val="18"/>
                <w:szCs w:val="18"/>
              </w:rPr>
            </w:pPr>
            <w:r w:rsidRPr="00C725C6">
              <w:rPr>
                <w:rFonts w:ascii="Arial" w:hAnsi="Arial" w:cs="Arial"/>
                <w:sz w:val="18"/>
                <w:szCs w:val="18"/>
              </w:rPr>
              <w:t>-36</w:t>
            </w:r>
          </w:p>
        </w:tc>
        <w:tc>
          <w:tcPr>
            <w:tcW w:w="1506" w:type="dxa"/>
          </w:tcPr>
          <w:p w14:paraId="1E40B78C" w14:textId="77777777" w:rsidR="00F72BBA" w:rsidRPr="00C725C6" w:rsidRDefault="00F72BBA" w:rsidP="000543CA">
            <w:pPr>
              <w:pStyle w:val="ListParagraph"/>
              <w:ind w:left="0"/>
              <w:jc w:val="center"/>
              <w:rPr>
                <w:rFonts w:ascii="Arial" w:hAnsi="Arial" w:cs="Arial"/>
                <w:sz w:val="18"/>
                <w:szCs w:val="18"/>
              </w:rPr>
            </w:pPr>
            <w:r w:rsidRPr="00C725C6">
              <w:rPr>
                <w:rFonts w:ascii="Arial" w:hAnsi="Arial" w:cs="Arial"/>
                <w:sz w:val="18"/>
                <w:szCs w:val="18"/>
              </w:rPr>
              <w:t>1 kHz</w:t>
            </w:r>
          </w:p>
        </w:tc>
      </w:tr>
      <w:tr w:rsidR="00F72BBA" w:rsidRPr="007D04B2" w14:paraId="79EDF9A9" w14:textId="77777777" w:rsidTr="00C725C6">
        <w:trPr>
          <w:jc w:val="center"/>
        </w:trPr>
        <w:tc>
          <w:tcPr>
            <w:tcW w:w="3125" w:type="dxa"/>
            <w:shd w:val="clear" w:color="auto" w:fill="F2F2F2" w:themeFill="background1" w:themeFillShade="F2"/>
          </w:tcPr>
          <w:p w14:paraId="087909E2" w14:textId="77777777" w:rsidR="00F72BBA" w:rsidRPr="00C725C6" w:rsidRDefault="00F72BBA" w:rsidP="000543CA">
            <w:pPr>
              <w:pStyle w:val="ListParagraph"/>
              <w:ind w:left="0"/>
              <w:jc w:val="center"/>
              <w:rPr>
                <w:rFonts w:ascii="Arial" w:hAnsi="Arial" w:cs="Arial"/>
                <w:sz w:val="18"/>
                <w:szCs w:val="18"/>
              </w:rPr>
            </w:pPr>
            <w:r w:rsidRPr="00C725C6">
              <w:rPr>
                <w:rFonts w:ascii="Arial" w:hAnsi="Arial" w:cs="Arial"/>
                <w:sz w:val="18"/>
                <w:szCs w:val="18"/>
              </w:rPr>
              <w:t>150 kHz ≤ f &lt; 30 MHz</w:t>
            </w:r>
          </w:p>
        </w:tc>
        <w:tc>
          <w:tcPr>
            <w:tcW w:w="2610" w:type="dxa"/>
            <w:shd w:val="clear" w:color="auto" w:fill="F2F2F2" w:themeFill="background1" w:themeFillShade="F2"/>
          </w:tcPr>
          <w:p w14:paraId="267CC9D7" w14:textId="77777777" w:rsidR="00F72BBA" w:rsidRPr="00C725C6" w:rsidRDefault="00F72BBA" w:rsidP="000543CA">
            <w:pPr>
              <w:pStyle w:val="ListParagraph"/>
              <w:ind w:left="0"/>
              <w:jc w:val="center"/>
              <w:rPr>
                <w:rFonts w:ascii="Arial" w:hAnsi="Arial" w:cs="Arial"/>
                <w:sz w:val="18"/>
                <w:szCs w:val="18"/>
              </w:rPr>
            </w:pPr>
            <w:r w:rsidRPr="00C725C6">
              <w:rPr>
                <w:rFonts w:ascii="Arial" w:hAnsi="Arial" w:cs="Arial"/>
                <w:sz w:val="18"/>
                <w:szCs w:val="18"/>
              </w:rPr>
              <w:t>-36</w:t>
            </w:r>
          </w:p>
        </w:tc>
        <w:tc>
          <w:tcPr>
            <w:tcW w:w="1506" w:type="dxa"/>
            <w:shd w:val="clear" w:color="auto" w:fill="F2F2F2" w:themeFill="background1" w:themeFillShade="F2"/>
          </w:tcPr>
          <w:p w14:paraId="1C58136D" w14:textId="77777777" w:rsidR="00F72BBA" w:rsidRPr="00C725C6" w:rsidRDefault="00F72BBA" w:rsidP="000543CA">
            <w:pPr>
              <w:pStyle w:val="ListParagraph"/>
              <w:ind w:left="0"/>
              <w:jc w:val="center"/>
              <w:rPr>
                <w:rFonts w:ascii="Arial" w:hAnsi="Arial" w:cs="Arial"/>
                <w:sz w:val="18"/>
                <w:szCs w:val="18"/>
              </w:rPr>
            </w:pPr>
            <w:r w:rsidRPr="00C725C6">
              <w:rPr>
                <w:rFonts w:ascii="Arial" w:hAnsi="Arial" w:cs="Arial"/>
                <w:sz w:val="18"/>
                <w:szCs w:val="18"/>
              </w:rPr>
              <w:t>10 kHz</w:t>
            </w:r>
          </w:p>
        </w:tc>
      </w:tr>
      <w:tr w:rsidR="00F72BBA" w:rsidRPr="007D04B2" w14:paraId="68057638" w14:textId="77777777" w:rsidTr="00C725C6">
        <w:trPr>
          <w:jc w:val="center"/>
        </w:trPr>
        <w:tc>
          <w:tcPr>
            <w:tcW w:w="3125" w:type="dxa"/>
          </w:tcPr>
          <w:p w14:paraId="398FCA05" w14:textId="77777777" w:rsidR="00F72BBA" w:rsidRPr="00C725C6" w:rsidRDefault="00F72BBA" w:rsidP="000543CA">
            <w:pPr>
              <w:pStyle w:val="ListParagraph"/>
              <w:ind w:left="0"/>
              <w:jc w:val="center"/>
              <w:rPr>
                <w:rFonts w:ascii="Arial" w:hAnsi="Arial" w:cs="Arial"/>
                <w:sz w:val="18"/>
                <w:szCs w:val="18"/>
              </w:rPr>
            </w:pPr>
            <w:r w:rsidRPr="00C725C6">
              <w:rPr>
                <w:rFonts w:ascii="Arial" w:hAnsi="Arial" w:cs="Arial"/>
                <w:sz w:val="18"/>
                <w:szCs w:val="18"/>
              </w:rPr>
              <w:t>30 MHz ≤ f &lt; 1 GHz</w:t>
            </w:r>
          </w:p>
        </w:tc>
        <w:tc>
          <w:tcPr>
            <w:tcW w:w="2610" w:type="dxa"/>
          </w:tcPr>
          <w:p w14:paraId="5C4604F2" w14:textId="77777777" w:rsidR="00F72BBA" w:rsidRPr="00C725C6" w:rsidRDefault="00F72BBA" w:rsidP="000543CA">
            <w:pPr>
              <w:pStyle w:val="ListParagraph"/>
              <w:ind w:left="0"/>
              <w:jc w:val="center"/>
              <w:rPr>
                <w:rFonts w:ascii="Arial" w:hAnsi="Arial" w:cs="Arial"/>
                <w:sz w:val="18"/>
                <w:szCs w:val="18"/>
              </w:rPr>
            </w:pPr>
            <w:r w:rsidRPr="00C725C6">
              <w:rPr>
                <w:rFonts w:ascii="Arial" w:hAnsi="Arial" w:cs="Arial"/>
                <w:sz w:val="18"/>
                <w:szCs w:val="18"/>
              </w:rPr>
              <w:t>-36</w:t>
            </w:r>
          </w:p>
        </w:tc>
        <w:tc>
          <w:tcPr>
            <w:tcW w:w="1506" w:type="dxa"/>
          </w:tcPr>
          <w:p w14:paraId="05389DAC" w14:textId="77777777" w:rsidR="00F72BBA" w:rsidRPr="00C725C6" w:rsidRDefault="00F72BBA" w:rsidP="000543CA">
            <w:pPr>
              <w:pStyle w:val="ListParagraph"/>
              <w:ind w:left="0"/>
              <w:jc w:val="center"/>
              <w:rPr>
                <w:rFonts w:ascii="Arial" w:hAnsi="Arial" w:cs="Arial"/>
                <w:sz w:val="18"/>
                <w:szCs w:val="18"/>
              </w:rPr>
            </w:pPr>
            <w:r w:rsidRPr="00C725C6">
              <w:rPr>
                <w:rFonts w:ascii="Arial" w:hAnsi="Arial" w:cs="Arial"/>
                <w:sz w:val="18"/>
                <w:szCs w:val="18"/>
              </w:rPr>
              <w:t>100 kHz</w:t>
            </w:r>
          </w:p>
        </w:tc>
      </w:tr>
      <w:tr w:rsidR="00F72BBA" w:rsidRPr="007D04B2" w14:paraId="47762ECE" w14:textId="77777777" w:rsidTr="00C725C6">
        <w:trPr>
          <w:jc w:val="center"/>
        </w:trPr>
        <w:tc>
          <w:tcPr>
            <w:tcW w:w="3125" w:type="dxa"/>
            <w:shd w:val="clear" w:color="auto" w:fill="F2F2F2" w:themeFill="background1" w:themeFillShade="F2"/>
          </w:tcPr>
          <w:p w14:paraId="34953F07" w14:textId="77777777" w:rsidR="00F72BBA" w:rsidRPr="00C725C6" w:rsidRDefault="00F72BBA" w:rsidP="000543CA">
            <w:pPr>
              <w:pStyle w:val="ListParagraph"/>
              <w:ind w:left="0"/>
              <w:jc w:val="center"/>
              <w:rPr>
                <w:rFonts w:ascii="Arial" w:hAnsi="Arial" w:cs="Arial"/>
                <w:sz w:val="18"/>
                <w:szCs w:val="18"/>
              </w:rPr>
            </w:pPr>
            <w:r w:rsidRPr="00C725C6">
              <w:rPr>
                <w:rFonts w:ascii="Arial" w:hAnsi="Arial" w:cs="Arial"/>
                <w:sz w:val="18"/>
                <w:szCs w:val="18"/>
              </w:rPr>
              <w:t>1 GHz ≤ f &lt; 12.75 GHz</w:t>
            </w:r>
          </w:p>
        </w:tc>
        <w:tc>
          <w:tcPr>
            <w:tcW w:w="2610" w:type="dxa"/>
            <w:shd w:val="clear" w:color="auto" w:fill="F2F2F2" w:themeFill="background1" w:themeFillShade="F2"/>
          </w:tcPr>
          <w:p w14:paraId="5C9FAC9C" w14:textId="77777777" w:rsidR="00F72BBA" w:rsidRPr="00C725C6" w:rsidRDefault="00F72BBA" w:rsidP="000543CA">
            <w:pPr>
              <w:pStyle w:val="ListParagraph"/>
              <w:ind w:left="0"/>
              <w:jc w:val="center"/>
              <w:rPr>
                <w:rFonts w:ascii="Arial" w:hAnsi="Arial" w:cs="Arial"/>
                <w:sz w:val="18"/>
                <w:szCs w:val="18"/>
              </w:rPr>
            </w:pPr>
            <w:r w:rsidRPr="00C725C6">
              <w:rPr>
                <w:rFonts w:ascii="Arial" w:hAnsi="Arial" w:cs="Arial"/>
                <w:sz w:val="18"/>
                <w:szCs w:val="18"/>
              </w:rPr>
              <w:t>-30</w:t>
            </w:r>
          </w:p>
        </w:tc>
        <w:tc>
          <w:tcPr>
            <w:tcW w:w="1506" w:type="dxa"/>
            <w:shd w:val="clear" w:color="auto" w:fill="F2F2F2" w:themeFill="background1" w:themeFillShade="F2"/>
          </w:tcPr>
          <w:p w14:paraId="74ADB7EF" w14:textId="77777777" w:rsidR="00F72BBA" w:rsidRPr="00C725C6" w:rsidRDefault="00F72BBA" w:rsidP="000543CA">
            <w:pPr>
              <w:pStyle w:val="ListParagraph"/>
              <w:ind w:left="0"/>
              <w:jc w:val="center"/>
              <w:rPr>
                <w:rFonts w:ascii="Arial" w:hAnsi="Arial" w:cs="Arial"/>
                <w:sz w:val="18"/>
                <w:szCs w:val="18"/>
              </w:rPr>
            </w:pPr>
            <w:r w:rsidRPr="00C725C6">
              <w:rPr>
                <w:rFonts w:ascii="Arial" w:hAnsi="Arial" w:cs="Arial"/>
                <w:sz w:val="18"/>
                <w:szCs w:val="18"/>
              </w:rPr>
              <w:t>1 MHz</w:t>
            </w:r>
          </w:p>
        </w:tc>
      </w:tr>
    </w:tbl>
    <w:p w14:paraId="1BEE6CBB" w14:textId="77777777" w:rsidR="00F72BBA" w:rsidRDefault="00F72BBA">
      <w:pPr>
        <w:pStyle w:val="ListParagraph"/>
        <w:spacing w:before="120"/>
        <w:ind w:left="852"/>
        <w:rPr>
          <w:rFonts w:ascii="Arial" w:hAnsi="Arial" w:cs="Arial"/>
        </w:rPr>
      </w:pPr>
    </w:p>
    <w:p w14:paraId="24CDF7E2" w14:textId="7E8B8391" w:rsidR="00F72BBA" w:rsidRPr="007D04B2" w:rsidRDefault="00F72BBA" w:rsidP="00F72BBA">
      <w:pPr>
        <w:pStyle w:val="ACMATableHeader"/>
        <w:spacing w:line="240" w:lineRule="atLeast"/>
      </w:pPr>
      <w:r>
        <w:rPr>
          <w:rFonts w:cs="Arial"/>
        </w:rPr>
        <w:t>U</w:t>
      </w:r>
      <w:r w:rsidRPr="007D04B2">
        <w:rPr>
          <w:rFonts w:cs="Arial"/>
        </w:rPr>
        <w:t xml:space="preserve">nwanted emission limits </w:t>
      </w:r>
      <w:r>
        <w:rPr>
          <w:rFonts w:cs="Arial"/>
        </w:rPr>
        <w:t>for transmitters operating in the upper 1800</w:t>
      </w:r>
      <w:r w:rsidR="00474C2A">
        <w:rPr>
          <w:rFonts w:cs="Arial"/>
        </w:rPr>
        <w:t> </w:t>
      </w:r>
      <w:r>
        <w:rPr>
          <w:rFonts w:cs="Arial"/>
        </w:rPr>
        <w:t xml:space="preserve">MHz band at </w:t>
      </w:r>
      <w:r w:rsidR="009B105A">
        <w:rPr>
          <w:rFonts w:cs="Arial"/>
        </w:rPr>
        <w:t xml:space="preserve">frequencies </w:t>
      </w:r>
      <w:r w:rsidRPr="007D04B2">
        <w:rPr>
          <w:rFonts w:cs="Arial"/>
        </w:rPr>
        <w:t xml:space="preserve">outside the </w:t>
      </w:r>
      <w:r>
        <w:t xml:space="preserve">1795–1890 </w:t>
      </w:r>
      <w:r w:rsidRPr="007D04B2">
        <w:rPr>
          <w:rFonts w:cs="Arial"/>
        </w:rPr>
        <w:t xml:space="preserve">MHz band </w:t>
      </w:r>
      <w:r w:rsidR="00004A73">
        <w:rPr>
          <w:rFonts w:cs="Arial"/>
        </w:rPr>
        <w:br/>
      </w:r>
      <w:r w:rsidRPr="007D04B2">
        <w:rPr>
          <w:rFonts w:cs="Arial"/>
        </w:rPr>
        <w:t>–</w:t>
      </w:r>
      <w:r>
        <w:rPr>
          <w:rFonts w:cs="Arial"/>
        </w:rPr>
        <w:t xml:space="preserve"> AAS </w:t>
      </w:r>
      <w:r w:rsidRPr="007D04B2">
        <w:rPr>
          <w:rFonts w:cs="Arial"/>
        </w:rPr>
        <w:t>devices.</w:t>
      </w:r>
      <w:r>
        <w:rPr>
          <w:rFonts w:cs="Arial"/>
        </w:rPr>
        <w:t xml:space="preserve"> </w:t>
      </w:r>
    </w:p>
    <w:tbl>
      <w:tblPr>
        <w:tblStyle w:val="TableGrid"/>
        <w:tblW w:w="7288" w:type="dxa"/>
        <w:jc w:val="center"/>
        <w:tblLook w:val="04A0" w:firstRow="1" w:lastRow="0" w:firstColumn="1" w:lastColumn="0" w:noHBand="0" w:noVBand="1"/>
      </w:tblPr>
      <w:tblGrid>
        <w:gridCol w:w="3418"/>
        <w:gridCol w:w="2270"/>
        <w:gridCol w:w="1600"/>
      </w:tblGrid>
      <w:tr w:rsidR="00E767BA" w:rsidRPr="00E767BA" w14:paraId="7BCDE31F" w14:textId="77777777" w:rsidTr="00C725C6">
        <w:trPr>
          <w:jc w:val="center"/>
        </w:trPr>
        <w:tc>
          <w:tcPr>
            <w:tcW w:w="3418" w:type="dxa"/>
            <w:shd w:val="clear" w:color="auto" w:fill="404040" w:themeFill="text1" w:themeFillTint="BF"/>
          </w:tcPr>
          <w:p w14:paraId="0CAB6A8D" w14:textId="0F747A63" w:rsidR="00F72BBA" w:rsidRPr="00C725C6" w:rsidRDefault="00F72BBA" w:rsidP="000543CA">
            <w:pPr>
              <w:pStyle w:val="ListParagraph"/>
              <w:ind w:left="0"/>
              <w:jc w:val="center"/>
              <w:rPr>
                <w:rFonts w:ascii="Arial" w:hAnsi="Arial" w:cs="Arial"/>
                <w:b/>
                <w:color w:val="FFFFFF" w:themeColor="background1"/>
              </w:rPr>
            </w:pPr>
            <w:r w:rsidRPr="00C725C6">
              <w:rPr>
                <w:rFonts w:ascii="Arial" w:hAnsi="Arial" w:cs="Arial"/>
                <w:b/>
                <w:color w:val="FFFFFF" w:themeColor="background1"/>
              </w:rPr>
              <w:t xml:space="preserve">Frequency </w:t>
            </w:r>
            <w:r w:rsidR="00004A73" w:rsidRPr="00C725C6">
              <w:rPr>
                <w:rFonts w:ascii="Arial" w:hAnsi="Arial" w:cs="Arial"/>
                <w:b/>
                <w:color w:val="FFFFFF" w:themeColor="background1"/>
              </w:rPr>
              <w:t>r</w:t>
            </w:r>
            <w:r w:rsidRPr="00C725C6">
              <w:rPr>
                <w:rFonts w:ascii="Arial" w:hAnsi="Arial" w:cs="Arial"/>
                <w:b/>
                <w:color w:val="FFFFFF" w:themeColor="background1"/>
              </w:rPr>
              <w:t xml:space="preserve">ange </w:t>
            </w:r>
          </w:p>
          <w:p w14:paraId="272367B5" w14:textId="77777777" w:rsidR="00F72BBA" w:rsidRPr="00C725C6" w:rsidRDefault="00F72BBA" w:rsidP="000543CA">
            <w:pPr>
              <w:pStyle w:val="ListParagraph"/>
              <w:ind w:left="0"/>
              <w:jc w:val="center"/>
              <w:rPr>
                <w:rFonts w:ascii="Arial" w:hAnsi="Arial" w:cs="Arial"/>
                <w:b/>
                <w:color w:val="FFFFFF" w:themeColor="background1"/>
              </w:rPr>
            </w:pPr>
            <w:r w:rsidRPr="00C725C6">
              <w:rPr>
                <w:rFonts w:ascii="Arial" w:hAnsi="Arial" w:cs="Arial"/>
                <w:b/>
                <w:color w:val="FFFFFF" w:themeColor="background1"/>
              </w:rPr>
              <w:t>(f)</w:t>
            </w:r>
          </w:p>
        </w:tc>
        <w:tc>
          <w:tcPr>
            <w:tcW w:w="2270" w:type="dxa"/>
            <w:shd w:val="clear" w:color="auto" w:fill="404040" w:themeFill="text1" w:themeFillTint="BF"/>
          </w:tcPr>
          <w:p w14:paraId="144E6558" w14:textId="30425800" w:rsidR="00F72BBA" w:rsidRPr="00C725C6" w:rsidRDefault="00F72BBA" w:rsidP="000543CA">
            <w:pPr>
              <w:pStyle w:val="ListParagraph"/>
              <w:ind w:left="0"/>
              <w:jc w:val="center"/>
              <w:rPr>
                <w:rFonts w:ascii="Arial" w:hAnsi="Arial" w:cs="Arial"/>
                <w:b/>
                <w:color w:val="FFFFFF" w:themeColor="background1"/>
              </w:rPr>
            </w:pPr>
            <w:r w:rsidRPr="00C725C6">
              <w:rPr>
                <w:rFonts w:ascii="Arial" w:hAnsi="Arial" w:cs="Arial"/>
                <w:b/>
                <w:color w:val="FFFFFF" w:themeColor="background1"/>
              </w:rPr>
              <w:t xml:space="preserve">Total </w:t>
            </w:r>
            <w:r w:rsidR="00004A73" w:rsidRPr="00C725C6">
              <w:rPr>
                <w:rFonts w:ascii="Arial" w:hAnsi="Arial" w:cs="Arial"/>
                <w:b/>
                <w:color w:val="FFFFFF" w:themeColor="background1"/>
              </w:rPr>
              <w:t>r</w:t>
            </w:r>
            <w:r w:rsidRPr="00C725C6">
              <w:rPr>
                <w:rFonts w:ascii="Arial" w:hAnsi="Arial" w:cs="Arial"/>
                <w:b/>
                <w:color w:val="FFFFFF" w:themeColor="background1"/>
              </w:rPr>
              <w:t xml:space="preserve">adiated </w:t>
            </w:r>
            <w:r w:rsidR="00004A73" w:rsidRPr="00C725C6">
              <w:rPr>
                <w:rFonts w:ascii="Arial" w:hAnsi="Arial" w:cs="Arial"/>
                <w:b/>
                <w:color w:val="FFFFFF" w:themeColor="background1"/>
              </w:rPr>
              <w:t>p</w:t>
            </w:r>
            <w:r w:rsidRPr="00C725C6">
              <w:rPr>
                <w:rFonts w:ascii="Arial" w:hAnsi="Arial" w:cs="Arial"/>
                <w:b/>
                <w:color w:val="FFFFFF" w:themeColor="background1"/>
              </w:rPr>
              <w:t xml:space="preserve">ower (dBm) </w:t>
            </w:r>
          </w:p>
        </w:tc>
        <w:tc>
          <w:tcPr>
            <w:tcW w:w="1600" w:type="dxa"/>
            <w:shd w:val="clear" w:color="auto" w:fill="404040" w:themeFill="text1" w:themeFillTint="BF"/>
          </w:tcPr>
          <w:p w14:paraId="1E92AB9A" w14:textId="7C36CC98" w:rsidR="00F72BBA" w:rsidRPr="00C725C6" w:rsidRDefault="00F72BBA" w:rsidP="000543CA">
            <w:pPr>
              <w:pStyle w:val="ListParagraph"/>
              <w:ind w:left="0"/>
              <w:jc w:val="center"/>
              <w:rPr>
                <w:rFonts w:ascii="Arial" w:hAnsi="Arial" w:cs="Arial"/>
                <w:b/>
                <w:color w:val="FFFFFF" w:themeColor="background1"/>
              </w:rPr>
            </w:pPr>
            <w:r w:rsidRPr="00C725C6">
              <w:rPr>
                <w:rFonts w:ascii="Arial" w:hAnsi="Arial" w:cs="Arial"/>
                <w:b/>
                <w:color w:val="FFFFFF" w:themeColor="background1"/>
              </w:rPr>
              <w:t xml:space="preserve">Measurement </w:t>
            </w:r>
            <w:r w:rsidR="00004A73" w:rsidRPr="00C725C6">
              <w:rPr>
                <w:rFonts w:ascii="Arial" w:hAnsi="Arial" w:cs="Arial"/>
                <w:b/>
                <w:color w:val="FFFFFF" w:themeColor="background1"/>
              </w:rPr>
              <w:t>b</w:t>
            </w:r>
            <w:r w:rsidRPr="00C725C6">
              <w:rPr>
                <w:rFonts w:ascii="Arial" w:hAnsi="Arial" w:cs="Arial"/>
                <w:b/>
                <w:color w:val="FFFFFF" w:themeColor="background1"/>
              </w:rPr>
              <w:t>andwidth</w:t>
            </w:r>
          </w:p>
        </w:tc>
      </w:tr>
      <w:tr w:rsidR="00F72BBA" w:rsidRPr="0000334E" w14:paraId="678AB06A" w14:textId="77777777" w:rsidTr="00C725C6">
        <w:trPr>
          <w:jc w:val="center"/>
        </w:trPr>
        <w:tc>
          <w:tcPr>
            <w:tcW w:w="3418" w:type="dxa"/>
          </w:tcPr>
          <w:p w14:paraId="248F1499" w14:textId="77777777" w:rsidR="00F72BBA" w:rsidRPr="00C725C6" w:rsidRDefault="00F72BBA" w:rsidP="000543CA">
            <w:pPr>
              <w:pStyle w:val="ListParagraph"/>
              <w:ind w:left="0"/>
              <w:jc w:val="center"/>
              <w:rPr>
                <w:rFonts w:ascii="Arial" w:hAnsi="Arial" w:cs="Arial"/>
                <w:sz w:val="18"/>
                <w:szCs w:val="18"/>
              </w:rPr>
            </w:pPr>
            <w:r w:rsidRPr="00C725C6">
              <w:rPr>
                <w:rFonts w:ascii="Arial" w:hAnsi="Arial" w:cs="Arial"/>
                <w:sz w:val="18"/>
                <w:szCs w:val="18"/>
              </w:rPr>
              <w:t>9 kHz ≤ f &lt; 150 kHz</w:t>
            </w:r>
          </w:p>
        </w:tc>
        <w:tc>
          <w:tcPr>
            <w:tcW w:w="2270" w:type="dxa"/>
          </w:tcPr>
          <w:p w14:paraId="201600A2" w14:textId="77777777" w:rsidR="00F72BBA" w:rsidRPr="00C725C6" w:rsidRDefault="00F72BBA" w:rsidP="000543CA">
            <w:pPr>
              <w:pStyle w:val="ListParagraph"/>
              <w:ind w:left="0"/>
              <w:jc w:val="center"/>
              <w:rPr>
                <w:rFonts w:ascii="Arial" w:hAnsi="Arial" w:cs="Arial"/>
                <w:sz w:val="18"/>
                <w:szCs w:val="18"/>
              </w:rPr>
            </w:pPr>
            <w:r w:rsidRPr="00C725C6">
              <w:rPr>
                <w:rFonts w:ascii="Arial" w:hAnsi="Arial" w:cs="Arial"/>
                <w:sz w:val="18"/>
                <w:szCs w:val="18"/>
              </w:rPr>
              <w:t>-27</w:t>
            </w:r>
          </w:p>
        </w:tc>
        <w:tc>
          <w:tcPr>
            <w:tcW w:w="1600" w:type="dxa"/>
          </w:tcPr>
          <w:p w14:paraId="07231288" w14:textId="77777777" w:rsidR="00F72BBA" w:rsidRPr="00C725C6" w:rsidRDefault="00F72BBA" w:rsidP="000543CA">
            <w:pPr>
              <w:pStyle w:val="ListParagraph"/>
              <w:ind w:left="0"/>
              <w:jc w:val="center"/>
              <w:rPr>
                <w:rFonts w:ascii="Arial" w:hAnsi="Arial" w:cs="Arial"/>
                <w:sz w:val="18"/>
                <w:szCs w:val="18"/>
              </w:rPr>
            </w:pPr>
            <w:r w:rsidRPr="00C725C6">
              <w:rPr>
                <w:rFonts w:ascii="Arial" w:hAnsi="Arial" w:cs="Arial"/>
                <w:sz w:val="18"/>
                <w:szCs w:val="18"/>
              </w:rPr>
              <w:t>1 kHz</w:t>
            </w:r>
          </w:p>
        </w:tc>
      </w:tr>
      <w:tr w:rsidR="00F72BBA" w:rsidRPr="0000334E" w14:paraId="7AB1CF8C" w14:textId="77777777" w:rsidTr="00C725C6">
        <w:trPr>
          <w:jc w:val="center"/>
        </w:trPr>
        <w:tc>
          <w:tcPr>
            <w:tcW w:w="3418" w:type="dxa"/>
            <w:shd w:val="clear" w:color="auto" w:fill="F2F2F2" w:themeFill="background1" w:themeFillShade="F2"/>
          </w:tcPr>
          <w:p w14:paraId="4E9EB783" w14:textId="77777777" w:rsidR="00F72BBA" w:rsidRPr="00C725C6" w:rsidRDefault="00F72BBA" w:rsidP="000543CA">
            <w:pPr>
              <w:pStyle w:val="ListParagraph"/>
              <w:ind w:left="0"/>
              <w:jc w:val="center"/>
              <w:rPr>
                <w:rFonts w:ascii="Arial" w:hAnsi="Arial" w:cs="Arial"/>
                <w:sz w:val="18"/>
                <w:szCs w:val="18"/>
              </w:rPr>
            </w:pPr>
            <w:r w:rsidRPr="00C725C6">
              <w:rPr>
                <w:rFonts w:ascii="Arial" w:hAnsi="Arial" w:cs="Arial"/>
                <w:sz w:val="18"/>
                <w:szCs w:val="18"/>
              </w:rPr>
              <w:t>150 kHz ≤ f &lt; 30 MHz</w:t>
            </w:r>
          </w:p>
        </w:tc>
        <w:tc>
          <w:tcPr>
            <w:tcW w:w="2270" w:type="dxa"/>
            <w:shd w:val="clear" w:color="auto" w:fill="F2F2F2" w:themeFill="background1" w:themeFillShade="F2"/>
          </w:tcPr>
          <w:p w14:paraId="39F2F0BC" w14:textId="77777777" w:rsidR="00F72BBA" w:rsidRPr="00C725C6" w:rsidRDefault="00F72BBA" w:rsidP="000543CA">
            <w:pPr>
              <w:pStyle w:val="ListParagraph"/>
              <w:ind w:left="0"/>
              <w:jc w:val="center"/>
              <w:rPr>
                <w:rFonts w:ascii="Arial" w:hAnsi="Arial" w:cs="Arial"/>
                <w:sz w:val="18"/>
                <w:szCs w:val="18"/>
              </w:rPr>
            </w:pPr>
            <w:r w:rsidRPr="00C725C6">
              <w:rPr>
                <w:rFonts w:ascii="Arial" w:hAnsi="Arial" w:cs="Arial"/>
                <w:sz w:val="18"/>
                <w:szCs w:val="18"/>
              </w:rPr>
              <w:t>-27</w:t>
            </w:r>
          </w:p>
        </w:tc>
        <w:tc>
          <w:tcPr>
            <w:tcW w:w="1600" w:type="dxa"/>
            <w:shd w:val="clear" w:color="auto" w:fill="F2F2F2" w:themeFill="background1" w:themeFillShade="F2"/>
          </w:tcPr>
          <w:p w14:paraId="380A3576" w14:textId="77777777" w:rsidR="00F72BBA" w:rsidRPr="00C725C6" w:rsidRDefault="00F72BBA" w:rsidP="000543CA">
            <w:pPr>
              <w:pStyle w:val="ListParagraph"/>
              <w:ind w:left="0"/>
              <w:jc w:val="center"/>
              <w:rPr>
                <w:rFonts w:ascii="Arial" w:hAnsi="Arial" w:cs="Arial"/>
                <w:sz w:val="18"/>
                <w:szCs w:val="18"/>
              </w:rPr>
            </w:pPr>
            <w:r w:rsidRPr="00C725C6">
              <w:rPr>
                <w:rFonts w:ascii="Arial" w:hAnsi="Arial" w:cs="Arial"/>
                <w:sz w:val="18"/>
                <w:szCs w:val="18"/>
              </w:rPr>
              <w:t>10 kHz</w:t>
            </w:r>
          </w:p>
        </w:tc>
      </w:tr>
      <w:tr w:rsidR="00F72BBA" w:rsidRPr="0000334E" w14:paraId="61C36D3F" w14:textId="77777777" w:rsidTr="00C725C6">
        <w:trPr>
          <w:jc w:val="center"/>
        </w:trPr>
        <w:tc>
          <w:tcPr>
            <w:tcW w:w="3418" w:type="dxa"/>
          </w:tcPr>
          <w:p w14:paraId="12742C57" w14:textId="77777777" w:rsidR="00F72BBA" w:rsidRPr="00C725C6" w:rsidRDefault="00F72BBA" w:rsidP="000543CA">
            <w:pPr>
              <w:pStyle w:val="ListParagraph"/>
              <w:ind w:left="0"/>
              <w:jc w:val="center"/>
              <w:rPr>
                <w:rFonts w:ascii="Arial" w:hAnsi="Arial" w:cs="Arial"/>
                <w:sz w:val="18"/>
                <w:szCs w:val="18"/>
              </w:rPr>
            </w:pPr>
            <w:r w:rsidRPr="00C725C6">
              <w:rPr>
                <w:rFonts w:ascii="Arial" w:hAnsi="Arial" w:cs="Arial"/>
                <w:sz w:val="18"/>
                <w:szCs w:val="18"/>
              </w:rPr>
              <w:t>30 MHz ≤ f &lt; 1 GHz</w:t>
            </w:r>
          </w:p>
        </w:tc>
        <w:tc>
          <w:tcPr>
            <w:tcW w:w="2270" w:type="dxa"/>
          </w:tcPr>
          <w:p w14:paraId="0DD5D076" w14:textId="77777777" w:rsidR="00F72BBA" w:rsidRPr="00C725C6" w:rsidRDefault="00F72BBA" w:rsidP="000543CA">
            <w:pPr>
              <w:pStyle w:val="ListParagraph"/>
              <w:ind w:left="0"/>
              <w:jc w:val="center"/>
              <w:rPr>
                <w:rFonts w:ascii="Arial" w:hAnsi="Arial" w:cs="Arial"/>
                <w:sz w:val="18"/>
                <w:szCs w:val="18"/>
              </w:rPr>
            </w:pPr>
            <w:r w:rsidRPr="00C725C6">
              <w:rPr>
                <w:rFonts w:ascii="Arial" w:hAnsi="Arial" w:cs="Arial"/>
                <w:sz w:val="18"/>
                <w:szCs w:val="18"/>
              </w:rPr>
              <w:t>-27</w:t>
            </w:r>
          </w:p>
        </w:tc>
        <w:tc>
          <w:tcPr>
            <w:tcW w:w="1600" w:type="dxa"/>
          </w:tcPr>
          <w:p w14:paraId="5EAB03F3" w14:textId="77777777" w:rsidR="00F72BBA" w:rsidRPr="00C725C6" w:rsidRDefault="00F72BBA" w:rsidP="000543CA">
            <w:pPr>
              <w:pStyle w:val="ListParagraph"/>
              <w:ind w:left="0"/>
              <w:jc w:val="center"/>
              <w:rPr>
                <w:rFonts w:ascii="Arial" w:hAnsi="Arial" w:cs="Arial"/>
                <w:sz w:val="18"/>
                <w:szCs w:val="18"/>
              </w:rPr>
            </w:pPr>
            <w:r w:rsidRPr="00C725C6">
              <w:rPr>
                <w:rFonts w:ascii="Arial" w:hAnsi="Arial" w:cs="Arial"/>
                <w:sz w:val="18"/>
                <w:szCs w:val="18"/>
              </w:rPr>
              <w:t>100 kHz</w:t>
            </w:r>
          </w:p>
        </w:tc>
      </w:tr>
      <w:tr w:rsidR="00F72BBA" w:rsidRPr="0000334E" w14:paraId="11465B7D" w14:textId="77777777" w:rsidTr="00C725C6">
        <w:trPr>
          <w:jc w:val="center"/>
        </w:trPr>
        <w:tc>
          <w:tcPr>
            <w:tcW w:w="3418" w:type="dxa"/>
            <w:shd w:val="clear" w:color="auto" w:fill="F2F2F2" w:themeFill="background1" w:themeFillShade="F2"/>
          </w:tcPr>
          <w:p w14:paraId="21430047" w14:textId="77777777" w:rsidR="00F72BBA" w:rsidRPr="00C725C6" w:rsidRDefault="00F72BBA" w:rsidP="000543CA">
            <w:pPr>
              <w:pStyle w:val="ListParagraph"/>
              <w:ind w:left="0"/>
              <w:jc w:val="center"/>
              <w:rPr>
                <w:rFonts w:ascii="Arial" w:hAnsi="Arial" w:cs="Arial"/>
                <w:sz w:val="18"/>
                <w:szCs w:val="18"/>
              </w:rPr>
            </w:pPr>
            <w:r w:rsidRPr="00C725C6">
              <w:rPr>
                <w:rFonts w:ascii="Arial" w:hAnsi="Arial" w:cs="Arial"/>
                <w:sz w:val="18"/>
                <w:szCs w:val="18"/>
              </w:rPr>
              <w:t>1 GHz ≤ f &lt; 12.75 GHz</w:t>
            </w:r>
          </w:p>
        </w:tc>
        <w:tc>
          <w:tcPr>
            <w:tcW w:w="2270" w:type="dxa"/>
            <w:shd w:val="clear" w:color="auto" w:fill="F2F2F2" w:themeFill="background1" w:themeFillShade="F2"/>
          </w:tcPr>
          <w:p w14:paraId="226E56F9" w14:textId="77777777" w:rsidR="00F72BBA" w:rsidRPr="00C725C6" w:rsidRDefault="00F72BBA" w:rsidP="000543CA">
            <w:pPr>
              <w:pStyle w:val="ListParagraph"/>
              <w:ind w:left="0"/>
              <w:jc w:val="center"/>
              <w:rPr>
                <w:rFonts w:ascii="Arial" w:hAnsi="Arial" w:cs="Arial"/>
                <w:sz w:val="18"/>
                <w:szCs w:val="18"/>
              </w:rPr>
            </w:pPr>
            <w:r w:rsidRPr="00C725C6">
              <w:rPr>
                <w:rFonts w:ascii="Arial" w:hAnsi="Arial" w:cs="Arial"/>
                <w:sz w:val="18"/>
                <w:szCs w:val="18"/>
              </w:rPr>
              <w:t>-21</w:t>
            </w:r>
          </w:p>
        </w:tc>
        <w:tc>
          <w:tcPr>
            <w:tcW w:w="1600" w:type="dxa"/>
            <w:shd w:val="clear" w:color="auto" w:fill="F2F2F2" w:themeFill="background1" w:themeFillShade="F2"/>
          </w:tcPr>
          <w:p w14:paraId="7E0B4441" w14:textId="77777777" w:rsidR="00F72BBA" w:rsidRPr="00C725C6" w:rsidRDefault="00F72BBA" w:rsidP="000543CA">
            <w:pPr>
              <w:pStyle w:val="ListParagraph"/>
              <w:ind w:left="0"/>
              <w:jc w:val="center"/>
              <w:rPr>
                <w:rFonts w:ascii="Arial" w:hAnsi="Arial" w:cs="Arial"/>
                <w:sz w:val="18"/>
                <w:szCs w:val="18"/>
              </w:rPr>
            </w:pPr>
            <w:r w:rsidRPr="00C725C6">
              <w:rPr>
                <w:rFonts w:ascii="Arial" w:hAnsi="Arial" w:cs="Arial"/>
                <w:sz w:val="18"/>
                <w:szCs w:val="18"/>
              </w:rPr>
              <w:t>1 MHz</w:t>
            </w:r>
          </w:p>
        </w:tc>
      </w:tr>
    </w:tbl>
    <w:p w14:paraId="4BB3312C" w14:textId="27FB54EE" w:rsidR="00F72BBA" w:rsidRPr="00C725C6" w:rsidRDefault="00F72BBA">
      <w:pPr>
        <w:spacing w:after="0" w:line="240" w:lineRule="auto"/>
        <w:rPr>
          <w:rFonts w:cs="Arial"/>
          <w:b/>
          <w:bCs/>
          <w:color w:val="323232"/>
          <w:sz w:val="18"/>
          <w:szCs w:val="18"/>
        </w:rPr>
      </w:pPr>
    </w:p>
    <w:p w14:paraId="062AD04D" w14:textId="5D53D6D5" w:rsidR="00F01CCB" w:rsidRPr="007D04B2" w:rsidRDefault="00F01CCB" w:rsidP="00F01CCB">
      <w:pPr>
        <w:pStyle w:val="ACMATableHeader"/>
        <w:keepNext/>
        <w:keepLines/>
        <w:spacing w:line="240" w:lineRule="atLeast"/>
      </w:pPr>
      <w:r>
        <w:rPr>
          <w:rFonts w:cs="Arial"/>
        </w:rPr>
        <w:lastRenderedPageBreak/>
        <w:t>U</w:t>
      </w:r>
      <w:r w:rsidRPr="007D04B2">
        <w:rPr>
          <w:rFonts w:cs="Arial"/>
        </w:rPr>
        <w:t>nwanted emission limits</w:t>
      </w:r>
      <w:r>
        <w:rPr>
          <w:rFonts w:cs="Arial"/>
        </w:rPr>
        <w:t xml:space="preserve"> inside</w:t>
      </w:r>
      <w:r w:rsidRPr="007D04B2">
        <w:rPr>
          <w:rFonts w:cs="Arial"/>
        </w:rPr>
        <w:t xml:space="preserve"> the </w:t>
      </w:r>
      <w:r w:rsidR="00AC05A2">
        <w:t>1710</w:t>
      </w:r>
      <w:r w:rsidR="00004A73">
        <w:t>–</w:t>
      </w:r>
      <w:r>
        <w:t xml:space="preserve">1830 </w:t>
      </w:r>
      <w:r w:rsidRPr="007D04B2">
        <w:rPr>
          <w:rFonts w:cs="Arial"/>
        </w:rPr>
        <w:t>MHz ban</w:t>
      </w:r>
      <w:r>
        <w:rPr>
          <w:rFonts w:cs="Arial"/>
        </w:rPr>
        <w:t>d</w:t>
      </w:r>
      <w:r w:rsidRPr="007D04B2">
        <w:rPr>
          <w:rFonts w:cs="Arial"/>
        </w:rPr>
        <w:t xml:space="preserve"> </w:t>
      </w:r>
      <w:r>
        <w:rPr>
          <w:rFonts w:cs="Arial"/>
        </w:rPr>
        <w:t xml:space="preserve">for transmitters operating in the lower 1800 MHz band </w:t>
      </w:r>
      <w:r w:rsidRPr="007D04B2">
        <w:rPr>
          <w:rFonts w:cs="Arial"/>
        </w:rPr>
        <w:t>–</w:t>
      </w:r>
      <w:r>
        <w:rPr>
          <w:rFonts w:cs="Arial"/>
        </w:rPr>
        <w:t xml:space="preserve"> all transmitters</w:t>
      </w:r>
      <w:r w:rsidRPr="007D04B2">
        <w:rPr>
          <w:rFonts w:cs="Arial"/>
        </w:rPr>
        <w:t>.</w:t>
      </w:r>
      <w:r>
        <w:t xml:space="preserve"> </w:t>
      </w:r>
    </w:p>
    <w:tbl>
      <w:tblPr>
        <w:tblStyle w:val="TableGrid"/>
        <w:tblW w:w="7083" w:type="dxa"/>
        <w:jc w:val="center"/>
        <w:tblLook w:val="04A0" w:firstRow="1" w:lastRow="0" w:firstColumn="1" w:lastColumn="0" w:noHBand="0" w:noVBand="1"/>
      </w:tblPr>
      <w:tblGrid>
        <w:gridCol w:w="2972"/>
        <w:gridCol w:w="2552"/>
        <w:gridCol w:w="1559"/>
      </w:tblGrid>
      <w:tr w:rsidR="00C61D5A" w:rsidRPr="00C61D5A" w14:paraId="299641A2" w14:textId="77777777" w:rsidTr="00C61D5A">
        <w:trPr>
          <w:jc w:val="center"/>
        </w:trPr>
        <w:tc>
          <w:tcPr>
            <w:tcW w:w="2972" w:type="dxa"/>
            <w:shd w:val="clear" w:color="auto" w:fill="404040" w:themeFill="text1" w:themeFillTint="BF"/>
          </w:tcPr>
          <w:p w14:paraId="3385BED7" w14:textId="77777777" w:rsidR="00F01CCB" w:rsidRPr="00C725C6" w:rsidRDefault="00F01CCB" w:rsidP="00DC4B80">
            <w:pPr>
              <w:pStyle w:val="ListParagraph"/>
              <w:keepNext/>
              <w:keepLines/>
              <w:ind w:left="0"/>
              <w:jc w:val="center"/>
              <w:rPr>
                <w:rFonts w:ascii="Arial" w:hAnsi="Arial" w:cs="Arial"/>
                <w:b/>
                <w:color w:val="FFFFFF" w:themeColor="background1"/>
              </w:rPr>
            </w:pPr>
            <w:r w:rsidRPr="00C725C6">
              <w:rPr>
                <w:rFonts w:ascii="Arial" w:hAnsi="Arial" w:cs="Arial"/>
                <w:b/>
                <w:color w:val="FFFFFF" w:themeColor="background1"/>
              </w:rPr>
              <w:t>Frequency offset</w:t>
            </w:r>
          </w:p>
          <w:p w14:paraId="2CF6FFAB" w14:textId="5FD7423A" w:rsidR="00F01CCB" w:rsidRPr="00C725C6" w:rsidRDefault="00F01CCB" w:rsidP="00DC4B80">
            <w:pPr>
              <w:pStyle w:val="ListParagraph"/>
              <w:keepNext/>
              <w:keepLines/>
              <w:ind w:left="0"/>
              <w:jc w:val="center"/>
              <w:rPr>
                <w:rFonts w:ascii="Arial" w:hAnsi="Arial" w:cs="Arial"/>
                <w:b/>
                <w:color w:val="FFFFFF" w:themeColor="background1"/>
                <w:vertAlign w:val="superscript"/>
              </w:rPr>
            </w:pPr>
            <w:r w:rsidRPr="00C725C6">
              <w:rPr>
                <w:rFonts w:ascii="Arial" w:hAnsi="Arial" w:cs="Arial"/>
                <w:b/>
                <w:color w:val="FFFFFF" w:themeColor="background1"/>
              </w:rPr>
              <w:t>(f</w:t>
            </w:r>
            <w:r w:rsidRPr="00C725C6">
              <w:rPr>
                <w:rFonts w:ascii="Arial" w:hAnsi="Arial" w:cs="Arial"/>
                <w:b/>
                <w:color w:val="FFFFFF" w:themeColor="background1"/>
                <w:vertAlign w:val="subscript"/>
              </w:rPr>
              <w:t>offset</w:t>
            </w:r>
            <w:r w:rsidRPr="00C725C6">
              <w:rPr>
                <w:rFonts w:ascii="Arial" w:hAnsi="Arial" w:cs="Arial"/>
                <w:b/>
                <w:color w:val="FFFFFF" w:themeColor="background1"/>
              </w:rPr>
              <w:t xml:space="preserve">) </w:t>
            </w:r>
          </w:p>
        </w:tc>
        <w:tc>
          <w:tcPr>
            <w:tcW w:w="2552" w:type="dxa"/>
            <w:shd w:val="clear" w:color="auto" w:fill="404040" w:themeFill="text1" w:themeFillTint="BF"/>
          </w:tcPr>
          <w:p w14:paraId="1ABB1A7D" w14:textId="077B35C2" w:rsidR="00F01CCB" w:rsidRPr="00C725C6" w:rsidRDefault="00AC05A2" w:rsidP="00AC05A2">
            <w:pPr>
              <w:pStyle w:val="ListParagraph"/>
              <w:keepNext/>
              <w:keepLines/>
              <w:ind w:left="0"/>
              <w:jc w:val="center"/>
              <w:rPr>
                <w:rFonts w:ascii="Arial" w:hAnsi="Arial" w:cs="Arial"/>
                <w:b/>
                <w:color w:val="FFFFFF" w:themeColor="background1"/>
              </w:rPr>
            </w:pPr>
            <w:r w:rsidRPr="00C725C6">
              <w:rPr>
                <w:rFonts w:ascii="Arial" w:hAnsi="Arial" w:cs="Arial"/>
                <w:b/>
                <w:color w:val="FFFFFF" w:themeColor="background1"/>
              </w:rPr>
              <w:t>Radiated maximum true mean power (dBm EIRP)</w:t>
            </w:r>
          </w:p>
        </w:tc>
        <w:tc>
          <w:tcPr>
            <w:tcW w:w="1559" w:type="dxa"/>
            <w:shd w:val="clear" w:color="auto" w:fill="404040" w:themeFill="text1" w:themeFillTint="BF"/>
          </w:tcPr>
          <w:p w14:paraId="16F3FF4F" w14:textId="74658DB4" w:rsidR="00F01CCB" w:rsidRPr="00C725C6" w:rsidRDefault="00F01CCB" w:rsidP="00DC4B80">
            <w:pPr>
              <w:pStyle w:val="ListParagraph"/>
              <w:keepNext/>
              <w:keepLines/>
              <w:ind w:left="0"/>
              <w:jc w:val="center"/>
              <w:rPr>
                <w:rFonts w:ascii="Arial" w:hAnsi="Arial" w:cs="Arial"/>
                <w:b/>
                <w:color w:val="FFFFFF" w:themeColor="background1"/>
              </w:rPr>
            </w:pPr>
            <w:r w:rsidRPr="00C725C6">
              <w:rPr>
                <w:rFonts w:ascii="Arial" w:hAnsi="Arial" w:cs="Arial"/>
                <w:b/>
                <w:color w:val="FFFFFF" w:themeColor="background1"/>
              </w:rPr>
              <w:t xml:space="preserve">Measurement </w:t>
            </w:r>
            <w:r w:rsidR="00004A73" w:rsidRPr="00C725C6">
              <w:rPr>
                <w:rFonts w:ascii="Arial" w:hAnsi="Arial" w:cs="Arial"/>
                <w:b/>
                <w:color w:val="FFFFFF" w:themeColor="background1"/>
              </w:rPr>
              <w:t>b</w:t>
            </w:r>
            <w:r w:rsidRPr="00C725C6">
              <w:rPr>
                <w:rFonts w:ascii="Arial" w:hAnsi="Arial" w:cs="Arial"/>
                <w:b/>
                <w:color w:val="FFFFFF" w:themeColor="background1"/>
              </w:rPr>
              <w:t>andwidth</w:t>
            </w:r>
          </w:p>
        </w:tc>
      </w:tr>
      <w:tr w:rsidR="00AC05A2" w:rsidRPr="0038765E" w14:paraId="05C1F72D" w14:textId="77777777" w:rsidTr="00DC4B80">
        <w:trPr>
          <w:jc w:val="center"/>
        </w:trPr>
        <w:tc>
          <w:tcPr>
            <w:tcW w:w="2972" w:type="dxa"/>
          </w:tcPr>
          <w:p w14:paraId="0460A5B8" w14:textId="608C345C" w:rsidR="00AC05A2" w:rsidRPr="00C725C6" w:rsidRDefault="00AC05A2" w:rsidP="00AC05A2">
            <w:pPr>
              <w:pStyle w:val="ListParagraph"/>
              <w:keepNext/>
              <w:keepLines/>
              <w:ind w:left="0"/>
              <w:jc w:val="center"/>
              <w:rPr>
                <w:rFonts w:ascii="Arial" w:hAnsi="Arial" w:cs="Arial"/>
                <w:sz w:val="16"/>
                <w:szCs w:val="16"/>
                <w:u w:val="single"/>
              </w:rPr>
            </w:pPr>
            <w:r w:rsidRPr="00C725C6">
              <w:rPr>
                <w:rFonts w:ascii="Arial" w:hAnsi="Arial" w:cs="Arial"/>
                <w:sz w:val="18"/>
                <w:szCs w:val="18"/>
              </w:rPr>
              <w:t>0 MHz</w:t>
            </w:r>
            <w:r w:rsidRPr="00C725C6">
              <w:rPr>
                <w:rFonts w:ascii="Arial" w:hAnsi="Arial" w:cs="Arial"/>
                <w:spacing w:val="13"/>
                <w:sz w:val="18"/>
                <w:szCs w:val="18"/>
              </w:rPr>
              <w:t xml:space="preserve"> </w:t>
            </w:r>
            <w:r w:rsidRPr="00AE59F5">
              <w:rPr>
                <w:rFonts w:ascii="Arial" w:hAnsi="Arial" w:cs="Arial"/>
              </w:rPr>
              <w:t xml:space="preserve">≤ </w:t>
            </w:r>
            <w:r w:rsidRPr="00C725C6">
              <w:rPr>
                <w:rFonts w:ascii="Arial" w:hAnsi="Arial" w:cs="Arial"/>
                <w:sz w:val="18"/>
                <w:szCs w:val="18"/>
              </w:rPr>
              <w:t>f</w:t>
            </w:r>
            <w:r w:rsidRPr="00C725C6">
              <w:rPr>
                <w:rFonts w:ascii="Arial" w:hAnsi="Arial" w:cs="Arial"/>
                <w:sz w:val="18"/>
                <w:szCs w:val="18"/>
                <w:vertAlign w:val="subscript"/>
              </w:rPr>
              <w:t>offset</w:t>
            </w:r>
            <w:r w:rsidRPr="00C725C6">
              <w:rPr>
                <w:rFonts w:ascii="Arial" w:hAnsi="Arial" w:cs="Arial"/>
                <w:spacing w:val="27"/>
                <w:position w:val="-1"/>
                <w:sz w:val="18"/>
                <w:szCs w:val="18"/>
              </w:rPr>
              <w:t xml:space="preserve"> </w:t>
            </w:r>
            <w:r w:rsidRPr="00AE59F5">
              <w:rPr>
                <w:rFonts w:ascii="Arial" w:hAnsi="Arial" w:cs="Arial"/>
              </w:rPr>
              <w:t>&lt;</w:t>
            </w:r>
            <w:r w:rsidRPr="00C725C6">
              <w:rPr>
                <w:rFonts w:ascii="Arial" w:hAnsi="Arial" w:cs="Arial"/>
                <w:spacing w:val="1"/>
                <w:sz w:val="18"/>
                <w:szCs w:val="18"/>
              </w:rPr>
              <w:t xml:space="preserve"> </w:t>
            </w:r>
            <w:r w:rsidRPr="00C725C6">
              <w:rPr>
                <w:rFonts w:ascii="Arial" w:hAnsi="Arial" w:cs="Arial"/>
                <w:sz w:val="18"/>
                <w:szCs w:val="18"/>
              </w:rPr>
              <w:t>200 kHz</w:t>
            </w:r>
          </w:p>
        </w:tc>
        <w:tc>
          <w:tcPr>
            <w:tcW w:w="2552" w:type="dxa"/>
          </w:tcPr>
          <w:p w14:paraId="0AC22A5C" w14:textId="08573A03" w:rsidR="00AC05A2" w:rsidRPr="00C725C6" w:rsidRDefault="00AC05A2" w:rsidP="00AC05A2">
            <w:pPr>
              <w:pStyle w:val="ListParagraph"/>
              <w:keepNext/>
              <w:keepLines/>
              <w:ind w:left="0"/>
              <w:jc w:val="center"/>
              <w:rPr>
                <w:rFonts w:ascii="Arial" w:hAnsi="Arial" w:cs="Arial"/>
                <w:sz w:val="18"/>
                <w:szCs w:val="18"/>
              </w:rPr>
            </w:pPr>
            <w:r w:rsidRPr="00C725C6">
              <w:rPr>
                <w:rFonts w:ascii="Arial" w:hAnsi="Arial" w:cs="Arial"/>
                <w:sz w:val="18"/>
                <w:szCs w:val="18"/>
              </w:rPr>
              <w:t>21.5</w:t>
            </w:r>
          </w:p>
        </w:tc>
        <w:tc>
          <w:tcPr>
            <w:tcW w:w="1559" w:type="dxa"/>
          </w:tcPr>
          <w:p w14:paraId="55DFCCD5" w14:textId="38E59247" w:rsidR="00AC05A2" w:rsidRPr="00C725C6" w:rsidRDefault="00AC05A2" w:rsidP="00AC05A2">
            <w:pPr>
              <w:pStyle w:val="ListParagraph"/>
              <w:keepNext/>
              <w:keepLines/>
              <w:ind w:left="0"/>
              <w:jc w:val="center"/>
              <w:rPr>
                <w:rFonts w:ascii="Arial" w:hAnsi="Arial" w:cs="Arial"/>
                <w:sz w:val="18"/>
                <w:szCs w:val="18"/>
              </w:rPr>
            </w:pPr>
            <w:r w:rsidRPr="00C725C6">
              <w:rPr>
                <w:rFonts w:ascii="Arial" w:hAnsi="Arial" w:cs="Arial"/>
                <w:sz w:val="18"/>
                <w:szCs w:val="18"/>
              </w:rPr>
              <w:t>30 kHz</w:t>
            </w:r>
          </w:p>
        </w:tc>
      </w:tr>
      <w:tr w:rsidR="00AC05A2" w:rsidRPr="0038765E" w14:paraId="6E56F445" w14:textId="77777777" w:rsidTr="00C725C6">
        <w:trPr>
          <w:jc w:val="center"/>
        </w:trPr>
        <w:tc>
          <w:tcPr>
            <w:tcW w:w="2972" w:type="dxa"/>
            <w:shd w:val="clear" w:color="auto" w:fill="F2F2F2" w:themeFill="background1" w:themeFillShade="F2"/>
          </w:tcPr>
          <w:p w14:paraId="7D342D1F" w14:textId="44AD2D9E" w:rsidR="00AC05A2" w:rsidRPr="00C725C6" w:rsidRDefault="00AC05A2" w:rsidP="00AC05A2">
            <w:pPr>
              <w:pStyle w:val="ListParagraph"/>
              <w:keepNext/>
              <w:keepLines/>
              <w:ind w:left="0"/>
              <w:jc w:val="center"/>
              <w:rPr>
                <w:rFonts w:ascii="Arial" w:hAnsi="Arial" w:cs="Arial"/>
                <w:sz w:val="18"/>
                <w:szCs w:val="18"/>
              </w:rPr>
            </w:pPr>
            <w:r w:rsidRPr="00C725C6">
              <w:rPr>
                <w:rFonts w:ascii="Arial" w:hAnsi="Arial" w:cs="Arial"/>
                <w:sz w:val="18"/>
                <w:szCs w:val="18"/>
              </w:rPr>
              <w:t>200 kHz</w:t>
            </w:r>
            <w:r w:rsidRPr="00C725C6">
              <w:rPr>
                <w:rFonts w:ascii="Arial" w:hAnsi="Arial" w:cs="Arial"/>
                <w:spacing w:val="13"/>
                <w:sz w:val="18"/>
                <w:szCs w:val="18"/>
              </w:rPr>
              <w:t xml:space="preserve"> </w:t>
            </w:r>
            <w:r w:rsidRPr="00AE59F5">
              <w:rPr>
                <w:rFonts w:ascii="Arial" w:hAnsi="Arial" w:cs="Arial"/>
              </w:rPr>
              <w:t xml:space="preserve">≤ </w:t>
            </w:r>
            <w:r w:rsidRPr="00C725C6">
              <w:rPr>
                <w:rFonts w:ascii="Arial" w:hAnsi="Arial" w:cs="Arial"/>
                <w:sz w:val="18"/>
                <w:szCs w:val="18"/>
              </w:rPr>
              <w:t>f</w:t>
            </w:r>
            <w:r w:rsidRPr="00C725C6">
              <w:rPr>
                <w:rFonts w:ascii="Arial" w:hAnsi="Arial" w:cs="Arial"/>
                <w:sz w:val="18"/>
                <w:szCs w:val="18"/>
                <w:vertAlign w:val="subscript"/>
              </w:rPr>
              <w:t>offset</w:t>
            </w:r>
            <w:r w:rsidRPr="00C725C6">
              <w:rPr>
                <w:rFonts w:ascii="Arial" w:hAnsi="Arial" w:cs="Arial"/>
                <w:spacing w:val="27"/>
                <w:position w:val="-1"/>
                <w:sz w:val="18"/>
                <w:szCs w:val="18"/>
              </w:rPr>
              <w:t xml:space="preserve"> </w:t>
            </w:r>
            <w:r w:rsidRPr="00AE59F5">
              <w:rPr>
                <w:rFonts w:ascii="Arial" w:hAnsi="Arial" w:cs="Arial"/>
              </w:rPr>
              <w:t>&lt;</w:t>
            </w:r>
            <w:r w:rsidRPr="00C725C6">
              <w:rPr>
                <w:rFonts w:ascii="Arial" w:hAnsi="Arial" w:cs="Arial"/>
                <w:spacing w:val="1"/>
                <w:sz w:val="18"/>
                <w:szCs w:val="18"/>
              </w:rPr>
              <w:t xml:space="preserve"> 1 MHz</w:t>
            </w:r>
          </w:p>
        </w:tc>
        <w:tc>
          <w:tcPr>
            <w:tcW w:w="2552" w:type="dxa"/>
            <w:shd w:val="clear" w:color="auto" w:fill="F2F2F2" w:themeFill="background1" w:themeFillShade="F2"/>
          </w:tcPr>
          <w:p w14:paraId="55B3EBCE" w14:textId="68D2C363" w:rsidR="00AC05A2" w:rsidRPr="00C725C6" w:rsidRDefault="00AC05A2" w:rsidP="00AC05A2">
            <w:pPr>
              <w:pStyle w:val="ListParagraph"/>
              <w:keepNext/>
              <w:keepLines/>
              <w:ind w:left="0"/>
              <w:jc w:val="center"/>
              <w:rPr>
                <w:rFonts w:ascii="Arial" w:hAnsi="Arial" w:cs="Arial"/>
                <w:sz w:val="18"/>
                <w:szCs w:val="18"/>
              </w:rPr>
            </w:pPr>
            <w:r w:rsidRPr="00C725C6">
              <w:rPr>
                <w:rFonts w:ascii="Arial" w:hAnsi="Arial" w:cs="Arial"/>
                <w:sz w:val="18"/>
                <w:szCs w:val="18"/>
              </w:rPr>
              <w:t>2 – 13.125 x (f</w:t>
            </w:r>
            <w:r w:rsidRPr="00C725C6">
              <w:rPr>
                <w:rFonts w:ascii="Arial" w:hAnsi="Arial" w:cs="Arial"/>
                <w:sz w:val="18"/>
                <w:szCs w:val="18"/>
                <w:vertAlign w:val="subscript"/>
              </w:rPr>
              <w:t>offset</w:t>
            </w:r>
            <w:r w:rsidRPr="00C725C6">
              <w:rPr>
                <w:rFonts w:ascii="Arial" w:hAnsi="Arial" w:cs="Arial"/>
                <w:sz w:val="18"/>
                <w:szCs w:val="18"/>
              </w:rPr>
              <w:t xml:space="preserve"> – 0.2)</w:t>
            </w:r>
          </w:p>
        </w:tc>
        <w:tc>
          <w:tcPr>
            <w:tcW w:w="1559" w:type="dxa"/>
            <w:shd w:val="clear" w:color="auto" w:fill="F2F2F2" w:themeFill="background1" w:themeFillShade="F2"/>
          </w:tcPr>
          <w:p w14:paraId="726A2D40" w14:textId="20D92BF4" w:rsidR="00AC05A2" w:rsidRPr="00C725C6" w:rsidRDefault="00AC05A2" w:rsidP="00AC05A2">
            <w:pPr>
              <w:pStyle w:val="ListParagraph"/>
              <w:keepNext/>
              <w:keepLines/>
              <w:ind w:left="0"/>
              <w:jc w:val="center"/>
              <w:rPr>
                <w:rFonts w:ascii="Arial" w:hAnsi="Arial" w:cs="Arial"/>
                <w:sz w:val="18"/>
                <w:szCs w:val="18"/>
              </w:rPr>
            </w:pPr>
            <w:r w:rsidRPr="00C725C6">
              <w:rPr>
                <w:rFonts w:ascii="Arial" w:hAnsi="Arial" w:cs="Arial"/>
                <w:sz w:val="18"/>
                <w:szCs w:val="18"/>
              </w:rPr>
              <w:t>30 kHz</w:t>
            </w:r>
          </w:p>
        </w:tc>
      </w:tr>
      <w:tr w:rsidR="00AC05A2" w:rsidRPr="0038765E" w14:paraId="1F773B85" w14:textId="77777777" w:rsidTr="00DC4B80">
        <w:trPr>
          <w:jc w:val="center"/>
        </w:trPr>
        <w:tc>
          <w:tcPr>
            <w:tcW w:w="2972" w:type="dxa"/>
          </w:tcPr>
          <w:p w14:paraId="18E5FD5F" w14:textId="01D83253" w:rsidR="00AC05A2" w:rsidRPr="00C725C6" w:rsidRDefault="00AC05A2" w:rsidP="00AC05A2">
            <w:pPr>
              <w:pStyle w:val="ListParagraph"/>
              <w:keepNext/>
              <w:keepLines/>
              <w:ind w:left="0"/>
              <w:jc w:val="center"/>
              <w:rPr>
                <w:rFonts w:ascii="Arial" w:hAnsi="Arial" w:cs="Arial"/>
                <w:sz w:val="18"/>
                <w:szCs w:val="18"/>
              </w:rPr>
            </w:pPr>
            <w:r w:rsidRPr="00C725C6">
              <w:rPr>
                <w:rFonts w:ascii="Arial" w:hAnsi="Arial" w:cs="Arial"/>
                <w:sz w:val="18"/>
                <w:szCs w:val="18"/>
              </w:rPr>
              <w:t>1 MHz</w:t>
            </w:r>
            <w:r w:rsidRPr="00C725C6">
              <w:rPr>
                <w:rFonts w:ascii="Arial" w:hAnsi="Arial" w:cs="Arial"/>
                <w:spacing w:val="13"/>
                <w:sz w:val="18"/>
                <w:szCs w:val="18"/>
              </w:rPr>
              <w:t xml:space="preserve"> </w:t>
            </w:r>
            <w:r w:rsidRPr="00AE59F5">
              <w:rPr>
                <w:rFonts w:ascii="Arial" w:hAnsi="Arial" w:cs="Arial"/>
              </w:rPr>
              <w:t xml:space="preserve">≤ </w:t>
            </w:r>
            <w:r w:rsidRPr="00C725C6">
              <w:rPr>
                <w:rFonts w:ascii="Arial" w:hAnsi="Arial" w:cs="Arial"/>
                <w:sz w:val="18"/>
                <w:szCs w:val="18"/>
              </w:rPr>
              <w:t>f</w:t>
            </w:r>
            <w:r w:rsidRPr="00C725C6">
              <w:rPr>
                <w:rFonts w:ascii="Arial" w:hAnsi="Arial" w:cs="Arial"/>
                <w:sz w:val="18"/>
                <w:szCs w:val="18"/>
                <w:vertAlign w:val="subscript"/>
              </w:rPr>
              <w:t>offset</w:t>
            </w:r>
            <w:r w:rsidRPr="00C725C6">
              <w:rPr>
                <w:rFonts w:ascii="Arial" w:hAnsi="Arial" w:cs="Arial"/>
                <w:spacing w:val="27"/>
                <w:position w:val="-1"/>
                <w:sz w:val="18"/>
                <w:szCs w:val="18"/>
              </w:rPr>
              <w:t xml:space="preserve"> </w:t>
            </w:r>
            <w:r w:rsidRPr="00AE59F5">
              <w:rPr>
                <w:rFonts w:ascii="Arial" w:hAnsi="Arial" w:cs="Arial"/>
              </w:rPr>
              <w:t>&lt;</w:t>
            </w:r>
            <w:r w:rsidRPr="00C725C6">
              <w:rPr>
                <w:rFonts w:ascii="Arial" w:hAnsi="Arial" w:cs="Arial"/>
                <w:spacing w:val="1"/>
                <w:sz w:val="18"/>
                <w:szCs w:val="18"/>
              </w:rPr>
              <w:t xml:space="preserve"> 5.8 MHz</w:t>
            </w:r>
          </w:p>
        </w:tc>
        <w:tc>
          <w:tcPr>
            <w:tcW w:w="2552" w:type="dxa"/>
          </w:tcPr>
          <w:p w14:paraId="4A35D431" w14:textId="0BC02F90" w:rsidR="00AC05A2" w:rsidRPr="00C725C6" w:rsidDel="00CF0645" w:rsidRDefault="00AC05A2" w:rsidP="00AC05A2">
            <w:pPr>
              <w:pStyle w:val="ListParagraph"/>
              <w:keepNext/>
              <w:keepLines/>
              <w:ind w:left="0"/>
              <w:jc w:val="center"/>
              <w:rPr>
                <w:rFonts w:ascii="Arial" w:hAnsi="Arial" w:cs="Arial"/>
                <w:sz w:val="18"/>
                <w:szCs w:val="18"/>
              </w:rPr>
            </w:pPr>
            <w:r w:rsidRPr="00C725C6">
              <w:rPr>
                <w:rFonts w:ascii="Arial" w:hAnsi="Arial" w:cs="Arial"/>
                <w:sz w:val="18"/>
                <w:szCs w:val="18"/>
              </w:rPr>
              <w:t>-8.5</w:t>
            </w:r>
          </w:p>
        </w:tc>
        <w:tc>
          <w:tcPr>
            <w:tcW w:w="1559" w:type="dxa"/>
          </w:tcPr>
          <w:p w14:paraId="0E1A3BDD" w14:textId="3C225926" w:rsidR="00AC05A2" w:rsidRPr="00C725C6" w:rsidRDefault="00AC05A2" w:rsidP="00AC05A2">
            <w:pPr>
              <w:pStyle w:val="ListParagraph"/>
              <w:keepNext/>
              <w:keepLines/>
              <w:ind w:left="0"/>
              <w:jc w:val="center"/>
              <w:rPr>
                <w:rFonts w:ascii="Arial" w:hAnsi="Arial" w:cs="Arial"/>
                <w:sz w:val="18"/>
                <w:szCs w:val="18"/>
              </w:rPr>
            </w:pPr>
            <w:r w:rsidRPr="00C725C6">
              <w:rPr>
                <w:rFonts w:ascii="Arial" w:hAnsi="Arial" w:cs="Arial"/>
                <w:sz w:val="18"/>
                <w:szCs w:val="18"/>
              </w:rPr>
              <w:t>30 kHz</w:t>
            </w:r>
          </w:p>
        </w:tc>
      </w:tr>
      <w:tr w:rsidR="00AC05A2" w:rsidRPr="0038765E" w14:paraId="3DA3BF11" w14:textId="77777777" w:rsidTr="00C725C6">
        <w:trPr>
          <w:jc w:val="center"/>
        </w:trPr>
        <w:tc>
          <w:tcPr>
            <w:tcW w:w="2972" w:type="dxa"/>
            <w:shd w:val="clear" w:color="auto" w:fill="F2F2F2" w:themeFill="background1" w:themeFillShade="F2"/>
          </w:tcPr>
          <w:p w14:paraId="3C331391" w14:textId="04C70973" w:rsidR="00AC05A2" w:rsidRPr="00C725C6" w:rsidRDefault="00AC05A2" w:rsidP="00AC05A2">
            <w:pPr>
              <w:pStyle w:val="ListParagraph"/>
              <w:keepNext/>
              <w:keepLines/>
              <w:ind w:left="0"/>
              <w:jc w:val="center"/>
              <w:rPr>
                <w:rFonts w:ascii="Arial" w:hAnsi="Arial" w:cs="Arial"/>
                <w:sz w:val="18"/>
                <w:szCs w:val="18"/>
              </w:rPr>
            </w:pPr>
            <w:r w:rsidRPr="00C725C6">
              <w:rPr>
                <w:rFonts w:ascii="Arial" w:hAnsi="Arial" w:cs="Arial"/>
                <w:sz w:val="18"/>
                <w:szCs w:val="18"/>
              </w:rPr>
              <w:t>5.8 MHz</w:t>
            </w:r>
            <w:r w:rsidRPr="00C725C6">
              <w:rPr>
                <w:rFonts w:ascii="Arial" w:hAnsi="Arial" w:cs="Arial"/>
                <w:spacing w:val="13"/>
                <w:sz w:val="18"/>
                <w:szCs w:val="18"/>
              </w:rPr>
              <w:t xml:space="preserve"> </w:t>
            </w:r>
            <w:r w:rsidRPr="00AE59F5">
              <w:rPr>
                <w:rFonts w:ascii="Arial" w:hAnsi="Arial" w:cs="Arial"/>
              </w:rPr>
              <w:t>≤</w:t>
            </w:r>
            <w:r w:rsidRPr="00C725C6">
              <w:rPr>
                <w:rFonts w:ascii="Arial" w:hAnsi="Arial" w:cs="Arial"/>
                <w:spacing w:val="11"/>
                <w:sz w:val="18"/>
                <w:szCs w:val="18"/>
                <w:u w:val="single" w:color="000000"/>
              </w:rPr>
              <w:t xml:space="preserve"> </w:t>
            </w:r>
            <w:r w:rsidRPr="00C725C6">
              <w:rPr>
                <w:rFonts w:ascii="Arial" w:hAnsi="Arial" w:cs="Arial"/>
                <w:sz w:val="18"/>
                <w:szCs w:val="18"/>
              </w:rPr>
              <w:t>f</w:t>
            </w:r>
            <w:r w:rsidRPr="00C725C6">
              <w:rPr>
                <w:rFonts w:ascii="Arial" w:hAnsi="Arial" w:cs="Arial"/>
                <w:sz w:val="18"/>
                <w:szCs w:val="18"/>
                <w:vertAlign w:val="subscript"/>
              </w:rPr>
              <w:t>offset</w:t>
            </w:r>
            <w:r w:rsidRPr="00C725C6">
              <w:rPr>
                <w:rFonts w:ascii="Arial" w:hAnsi="Arial" w:cs="Arial"/>
                <w:spacing w:val="27"/>
                <w:position w:val="-1"/>
                <w:sz w:val="18"/>
                <w:szCs w:val="18"/>
              </w:rPr>
              <w:t xml:space="preserve"> </w:t>
            </w:r>
          </w:p>
        </w:tc>
        <w:tc>
          <w:tcPr>
            <w:tcW w:w="2552" w:type="dxa"/>
            <w:shd w:val="clear" w:color="auto" w:fill="F2F2F2" w:themeFill="background1" w:themeFillShade="F2"/>
          </w:tcPr>
          <w:p w14:paraId="0E8268A3" w14:textId="4CB511CE" w:rsidR="00AC05A2" w:rsidRPr="00C725C6" w:rsidRDefault="00AC05A2" w:rsidP="00AC05A2">
            <w:pPr>
              <w:pStyle w:val="ListParagraph"/>
              <w:keepNext/>
              <w:keepLines/>
              <w:ind w:left="0"/>
              <w:jc w:val="center"/>
              <w:rPr>
                <w:rFonts w:ascii="Arial" w:hAnsi="Arial" w:cs="Arial"/>
                <w:sz w:val="18"/>
                <w:szCs w:val="18"/>
              </w:rPr>
            </w:pPr>
            <w:r w:rsidRPr="00C725C6">
              <w:rPr>
                <w:rFonts w:ascii="Arial" w:hAnsi="Arial" w:cs="Arial"/>
                <w:sz w:val="18"/>
                <w:szCs w:val="18"/>
              </w:rPr>
              <w:t>-13</w:t>
            </w:r>
          </w:p>
        </w:tc>
        <w:tc>
          <w:tcPr>
            <w:tcW w:w="1559" w:type="dxa"/>
            <w:shd w:val="clear" w:color="auto" w:fill="F2F2F2" w:themeFill="background1" w:themeFillShade="F2"/>
          </w:tcPr>
          <w:p w14:paraId="3BF4E937" w14:textId="10041905" w:rsidR="00AC05A2" w:rsidRPr="00C725C6" w:rsidRDefault="00AC05A2" w:rsidP="00AC05A2">
            <w:pPr>
              <w:pStyle w:val="ListParagraph"/>
              <w:keepNext/>
              <w:keepLines/>
              <w:ind w:left="0"/>
              <w:jc w:val="center"/>
              <w:rPr>
                <w:rFonts w:ascii="Arial" w:hAnsi="Arial" w:cs="Arial"/>
                <w:sz w:val="18"/>
                <w:szCs w:val="18"/>
              </w:rPr>
            </w:pPr>
            <w:r w:rsidRPr="00C725C6">
              <w:rPr>
                <w:rFonts w:ascii="Arial" w:hAnsi="Arial" w:cs="Arial"/>
                <w:sz w:val="18"/>
                <w:szCs w:val="18"/>
              </w:rPr>
              <w:t>30 kHz</w:t>
            </w:r>
          </w:p>
        </w:tc>
      </w:tr>
    </w:tbl>
    <w:p w14:paraId="18B36622" w14:textId="78B2D4AF" w:rsidR="00AC05A2" w:rsidRPr="007D04B2" w:rsidRDefault="00AC05A2" w:rsidP="00AF3F4C">
      <w:pPr>
        <w:pStyle w:val="ACMATableHeader"/>
        <w:keepNext/>
        <w:keepLines/>
        <w:spacing w:before="240" w:line="240" w:lineRule="atLeast"/>
      </w:pPr>
      <w:r>
        <w:rPr>
          <w:rFonts w:cs="Arial"/>
        </w:rPr>
        <w:t>U</w:t>
      </w:r>
      <w:r w:rsidRPr="007D04B2">
        <w:rPr>
          <w:rFonts w:cs="Arial"/>
        </w:rPr>
        <w:t>nwanted emission limits</w:t>
      </w:r>
      <w:r>
        <w:rPr>
          <w:rFonts w:cs="Arial"/>
        </w:rPr>
        <w:t xml:space="preserve"> for transmitters operating in the lower 1800</w:t>
      </w:r>
      <w:r w:rsidR="00004A73">
        <w:rPr>
          <w:rFonts w:cs="Arial"/>
        </w:rPr>
        <w:t> </w:t>
      </w:r>
      <w:r>
        <w:rPr>
          <w:rFonts w:cs="Arial"/>
        </w:rPr>
        <w:t>MHz band at frequency inside</w:t>
      </w:r>
      <w:r w:rsidRPr="007D04B2">
        <w:rPr>
          <w:rFonts w:cs="Arial"/>
        </w:rPr>
        <w:t xml:space="preserve"> the </w:t>
      </w:r>
      <w:r>
        <w:rPr>
          <w:rFonts w:cs="Arial"/>
        </w:rPr>
        <w:t>1665</w:t>
      </w:r>
      <w:r w:rsidR="00004A73">
        <w:rPr>
          <w:rFonts w:cs="Arial"/>
        </w:rPr>
        <w:t>–</w:t>
      </w:r>
      <w:r>
        <w:t xml:space="preserve">1710 </w:t>
      </w:r>
      <w:r w:rsidRPr="007D04B2">
        <w:rPr>
          <w:rFonts w:cs="Arial"/>
        </w:rPr>
        <w:t>MHz ban</w:t>
      </w:r>
      <w:r>
        <w:rPr>
          <w:rFonts w:cs="Arial"/>
        </w:rPr>
        <w:t xml:space="preserve">d </w:t>
      </w:r>
      <w:r w:rsidR="00004A73">
        <w:rPr>
          <w:rFonts w:cs="Arial"/>
        </w:rPr>
        <w:br/>
      </w:r>
      <w:r w:rsidRPr="007D04B2">
        <w:rPr>
          <w:rFonts w:cs="Arial"/>
        </w:rPr>
        <w:t>–</w:t>
      </w:r>
      <w:r>
        <w:rPr>
          <w:rFonts w:cs="Arial"/>
        </w:rPr>
        <w:t xml:space="preserve"> all transmitters</w:t>
      </w:r>
      <w:r w:rsidRPr="007D04B2">
        <w:rPr>
          <w:rFonts w:cs="Arial"/>
        </w:rPr>
        <w:t>.</w:t>
      </w:r>
      <w:r>
        <w:t xml:space="preserve"> </w:t>
      </w:r>
    </w:p>
    <w:tbl>
      <w:tblPr>
        <w:tblStyle w:val="TableGrid"/>
        <w:tblW w:w="7083" w:type="dxa"/>
        <w:jc w:val="center"/>
        <w:tblLook w:val="04A0" w:firstRow="1" w:lastRow="0" w:firstColumn="1" w:lastColumn="0" w:noHBand="0" w:noVBand="1"/>
      </w:tblPr>
      <w:tblGrid>
        <w:gridCol w:w="2972"/>
        <w:gridCol w:w="2552"/>
        <w:gridCol w:w="1559"/>
      </w:tblGrid>
      <w:tr w:rsidR="00C61D5A" w:rsidRPr="00C61D5A" w14:paraId="0F39CA05" w14:textId="77777777" w:rsidTr="00C61D5A">
        <w:trPr>
          <w:jc w:val="center"/>
        </w:trPr>
        <w:tc>
          <w:tcPr>
            <w:tcW w:w="2972" w:type="dxa"/>
            <w:shd w:val="clear" w:color="auto" w:fill="404040" w:themeFill="text1" w:themeFillTint="BF"/>
          </w:tcPr>
          <w:p w14:paraId="3561D6D5" w14:textId="77777777" w:rsidR="00AC05A2" w:rsidRPr="00C725C6" w:rsidRDefault="00AC05A2" w:rsidP="00DC4B80">
            <w:pPr>
              <w:pStyle w:val="ListParagraph"/>
              <w:keepNext/>
              <w:keepLines/>
              <w:ind w:left="0"/>
              <w:jc w:val="center"/>
              <w:rPr>
                <w:rFonts w:ascii="Arial" w:hAnsi="Arial" w:cs="Arial"/>
                <w:b/>
                <w:color w:val="FFFFFF" w:themeColor="background1"/>
              </w:rPr>
            </w:pPr>
            <w:r w:rsidRPr="00C725C6">
              <w:rPr>
                <w:rFonts w:ascii="Arial" w:hAnsi="Arial" w:cs="Arial"/>
                <w:b/>
                <w:color w:val="FFFFFF" w:themeColor="background1"/>
              </w:rPr>
              <w:t>Frequency offset</w:t>
            </w:r>
          </w:p>
          <w:p w14:paraId="057B70DD" w14:textId="37C41CB3" w:rsidR="00AC05A2" w:rsidRPr="00C725C6" w:rsidRDefault="00AC05A2" w:rsidP="00C172BE">
            <w:pPr>
              <w:pStyle w:val="ListParagraph"/>
              <w:keepNext/>
              <w:keepLines/>
              <w:ind w:left="0"/>
              <w:jc w:val="center"/>
              <w:rPr>
                <w:rFonts w:ascii="Arial" w:hAnsi="Arial" w:cs="Arial"/>
                <w:b/>
                <w:color w:val="FFFFFF" w:themeColor="background1"/>
                <w:vertAlign w:val="superscript"/>
              </w:rPr>
            </w:pPr>
            <w:r w:rsidRPr="00C725C6">
              <w:rPr>
                <w:rFonts w:ascii="Arial" w:hAnsi="Arial" w:cs="Arial"/>
                <w:b/>
                <w:color w:val="FFFFFF" w:themeColor="background1"/>
              </w:rPr>
              <w:t>(f</w:t>
            </w:r>
            <w:r w:rsidRPr="00C725C6">
              <w:rPr>
                <w:rFonts w:ascii="Arial" w:hAnsi="Arial" w:cs="Arial"/>
                <w:b/>
                <w:color w:val="FFFFFF" w:themeColor="background1"/>
                <w:vertAlign w:val="subscript"/>
              </w:rPr>
              <w:t>offset</w:t>
            </w:r>
            <w:r w:rsidRPr="00C725C6">
              <w:rPr>
                <w:rFonts w:ascii="Arial" w:hAnsi="Arial" w:cs="Arial"/>
                <w:b/>
                <w:color w:val="FFFFFF" w:themeColor="background1"/>
              </w:rPr>
              <w:t>)</w:t>
            </w:r>
            <w:r w:rsidR="00AD5D42" w:rsidRPr="00C725C6">
              <w:rPr>
                <w:rFonts w:ascii="Arial" w:hAnsi="Arial" w:cs="Arial"/>
                <w:b/>
                <w:color w:val="FFFFFF" w:themeColor="background1"/>
              </w:rPr>
              <w:t xml:space="preserve"> </w:t>
            </w:r>
            <w:r w:rsidRPr="00C725C6">
              <w:rPr>
                <w:rFonts w:ascii="Arial" w:hAnsi="Arial" w:cs="Arial"/>
                <w:b/>
                <w:color w:val="FFFFFF" w:themeColor="background1"/>
              </w:rPr>
              <w:t xml:space="preserve"> </w:t>
            </w:r>
            <w:r w:rsidRPr="00C725C6">
              <w:rPr>
                <w:rFonts w:ascii="Arial" w:hAnsi="Arial" w:cs="Arial"/>
                <w:b/>
                <w:color w:val="FFFFFF" w:themeColor="background1"/>
                <w:sz w:val="18"/>
                <w:szCs w:val="18"/>
              </w:rPr>
              <w:t>[Note 1]</w:t>
            </w:r>
          </w:p>
        </w:tc>
        <w:tc>
          <w:tcPr>
            <w:tcW w:w="2552" w:type="dxa"/>
            <w:shd w:val="clear" w:color="auto" w:fill="404040" w:themeFill="text1" w:themeFillTint="BF"/>
          </w:tcPr>
          <w:p w14:paraId="6BA58CB3" w14:textId="7D1FF7E0" w:rsidR="00AC05A2" w:rsidRPr="00C725C6" w:rsidRDefault="00AC05A2" w:rsidP="00DC4B80">
            <w:pPr>
              <w:pStyle w:val="ListParagraph"/>
              <w:keepNext/>
              <w:keepLines/>
              <w:ind w:left="0"/>
              <w:jc w:val="center"/>
              <w:rPr>
                <w:rFonts w:ascii="Arial" w:hAnsi="Arial" w:cs="Arial"/>
                <w:b/>
                <w:color w:val="FFFFFF" w:themeColor="background1"/>
              </w:rPr>
            </w:pPr>
            <w:r w:rsidRPr="00C725C6">
              <w:rPr>
                <w:rFonts w:ascii="Arial" w:hAnsi="Arial" w:cs="Arial"/>
                <w:b/>
                <w:color w:val="FFFFFF" w:themeColor="background1"/>
              </w:rPr>
              <w:t>Radiated maximum true mean power (dBm EIRP)</w:t>
            </w:r>
          </w:p>
        </w:tc>
        <w:tc>
          <w:tcPr>
            <w:tcW w:w="1559" w:type="dxa"/>
            <w:shd w:val="clear" w:color="auto" w:fill="404040" w:themeFill="text1" w:themeFillTint="BF"/>
          </w:tcPr>
          <w:p w14:paraId="491394A1" w14:textId="7F9627E5" w:rsidR="00AC05A2" w:rsidRPr="00C725C6" w:rsidRDefault="00AC05A2" w:rsidP="00DC4B80">
            <w:pPr>
              <w:pStyle w:val="ListParagraph"/>
              <w:keepNext/>
              <w:keepLines/>
              <w:ind w:left="0"/>
              <w:jc w:val="center"/>
              <w:rPr>
                <w:rFonts w:ascii="Arial" w:hAnsi="Arial" w:cs="Arial"/>
                <w:b/>
                <w:color w:val="FFFFFF" w:themeColor="background1"/>
              </w:rPr>
            </w:pPr>
            <w:r w:rsidRPr="00C725C6">
              <w:rPr>
                <w:rFonts w:ascii="Arial" w:hAnsi="Arial" w:cs="Arial"/>
                <w:b/>
                <w:color w:val="FFFFFF" w:themeColor="background1"/>
              </w:rPr>
              <w:t xml:space="preserve">Measurement </w:t>
            </w:r>
            <w:r w:rsidR="00004A73" w:rsidRPr="00C725C6">
              <w:rPr>
                <w:rFonts w:ascii="Arial" w:hAnsi="Arial" w:cs="Arial"/>
                <w:b/>
                <w:color w:val="FFFFFF" w:themeColor="background1"/>
              </w:rPr>
              <w:t>b</w:t>
            </w:r>
            <w:r w:rsidRPr="00C725C6">
              <w:rPr>
                <w:rFonts w:ascii="Arial" w:hAnsi="Arial" w:cs="Arial"/>
                <w:b/>
                <w:color w:val="FFFFFF" w:themeColor="background1"/>
              </w:rPr>
              <w:t>andwidth</w:t>
            </w:r>
          </w:p>
        </w:tc>
      </w:tr>
      <w:tr w:rsidR="00AC05A2" w:rsidRPr="0038765E" w14:paraId="288FBAD7" w14:textId="77777777" w:rsidTr="00DC4B80">
        <w:trPr>
          <w:jc w:val="center"/>
        </w:trPr>
        <w:tc>
          <w:tcPr>
            <w:tcW w:w="2972" w:type="dxa"/>
          </w:tcPr>
          <w:p w14:paraId="3707DA03" w14:textId="2E872AE2" w:rsidR="00AC05A2" w:rsidRPr="00C725C6" w:rsidRDefault="00AC05A2" w:rsidP="00AC05A2">
            <w:pPr>
              <w:pStyle w:val="ListParagraph"/>
              <w:keepNext/>
              <w:keepLines/>
              <w:ind w:left="0"/>
              <w:jc w:val="center"/>
              <w:rPr>
                <w:rFonts w:ascii="Arial" w:hAnsi="Arial" w:cs="Arial"/>
                <w:sz w:val="18"/>
                <w:szCs w:val="18"/>
                <w:u w:val="single"/>
              </w:rPr>
            </w:pPr>
            <w:r w:rsidRPr="00C725C6">
              <w:rPr>
                <w:rFonts w:ascii="Arial" w:hAnsi="Arial" w:cs="Arial"/>
                <w:sz w:val="18"/>
                <w:szCs w:val="18"/>
              </w:rPr>
              <w:t xml:space="preserve">0 Hz </w:t>
            </w:r>
            <w:r w:rsidRPr="00C725C6">
              <w:rPr>
                <w:rFonts w:ascii="Arial" w:hAnsi="Arial" w:cs="Arial"/>
                <w:sz w:val="18"/>
                <w:szCs w:val="18"/>
                <w:u w:val="single" w:color="000000"/>
              </w:rPr>
              <w:t>&lt;</w:t>
            </w:r>
            <w:r w:rsidRPr="00C725C6">
              <w:rPr>
                <w:rFonts w:ascii="Arial" w:hAnsi="Arial" w:cs="Arial"/>
                <w:sz w:val="18"/>
                <w:szCs w:val="18"/>
              </w:rPr>
              <w:t xml:space="preserve"> f</w:t>
            </w:r>
            <w:r w:rsidRPr="00C725C6">
              <w:rPr>
                <w:rFonts w:ascii="Arial" w:hAnsi="Arial" w:cs="Arial"/>
                <w:sz w:val="18"/>
                <w:szCs w:val="18"/>
                <w:vertAlign w:val="subscript"/>
              </w:rPr>
              <w:t>offset</w:t>
            </w:r>
            <w:r w:rsidRPr="00C725C6">
              <w:rPr>
                <w:rFonts w:ascii="Arial" w:hAnsi="Arial" w:cs="Arial"/>
                <w:sz w:val="18"/>
                <w:szCs w:val="18"/>
              </w:rPr>
              <w:t xml:space="preserve"> &lt; 500 kHz</w:t>
            </w:r>
          </w:p>
        </w:tc>
        <w:tc>
          <w:tcPr>
            <w:tcW w:w="2552" w:type="dxa"/>
          </w:tcPr>
          <w:p w14:paraId="434387C5" w14:textId="10FFB50A" w:rsidR="00AC05A2" w:rsidRPr="00C725C6" w:rsidRDefault="00AC05A2" w:rsidP="00AC05A2">
            <w:pPr>
              <w:pStyle w:val="ListParagraph"/>
              <w:keepNext/>
              <w:keepLines/>
              <w:ind w:left="0"/>
              <w:jc w:val="center"/>
              <w:rPr>
                <w:rFonts w:ascii="Arial" w:hAnsi="Arial" w:cs="Arial"/>
                <w:sz w:val="18"/>
                <w:szCs w:val="18"/>
              </w:rPr>
            </w:pPr>
            <w:r w:rsidRPr="00C725C6">
              <w:rPr>
                <w:rFonts w:ascii="Arial" w:hAnsi="Arial" w:cs="Arial"/>
                <w:sz w:val="18"/>
                <w:szCs w:val="18"/>
              </w:rPr>
              <w:t>-8.5</w:t>
            </w:r>
          </w:p>
        </w:tc>
        <w:tc>
          <w:tcPr>
            <w:tcW w:w="1559" w:type="dxa"/>
          </w:tcPr>
          <w:p w14:paraId="10BC72E0" w14:textId="6B8EACB3" w:rsidR="00AC05A2" w:rsidRPr="00C725C6" w:rsidRDefault="00AC05A2" w:rsidP="00AC05A2">
            <w:pPr>
              <w:pStyle w:val="ListParagraph"/>
              <w:keepNext/>
              <w:keepLines/>
              <w:ind w:left="0"/>
              <w:jc w:val="center"/>
              <w:rPr>
                <w:rFonts w:ascii="Arial" w:hAnsi="Arial" w:cs="Arial"/>
                <w:sz w:val="18"/>
                <w:szCs w:val="18"/>
              </w:rPr>
            </w:pPr>
            <w:r w:rsidRPr="00C725C6">
              <w:rPr>
                <w:rFonts w:ascii="Arial" w:hAnsi="Arial" w:cs="Arial"/>
                <w:sz w:val="18"/>
                <w:szCs w:val="18"/>
              </w:rPr>
              <w:t>30 kHz</w:t>
            </w:r>
          </w:p>
        </w:tc>
      </w:tr>
      <w:tr w:rsidR="00AC05A2" w:rsidRPr="0038765E" w14:paraId="69C25FB6" w14:textId="77777777" w:rsidTr="00C725C6">
        <w:trPr>
          <w:jc w:val="center"/>
        </w:trPr>
        <w:tc>
          <w:tcPr>
            <w:tcW w:w="2972" w:type="dxa"/>
            <w:shd w:val="clear" w:color="auto" w:fill="F2F2F2" w:themeFill="background1" w:themeFillShade="F2"/>
          </w:tcPr>
          <w:p w14:paraId="2CFF9E2D" w14:textId="7539D810" w:rsidR="00AC05A2" w:rsidRPr="00C725C6" w:rsidRDefault="00AC05A2" w:rsidP="00AC05A2">
            <w:pPr>
              <w:pStyle w:val="ListParagraph"/>
              <w:keepNext/>
              <w:keepLines/>
              <w:ind w:left="0"/>
              <w:jc w:val="center"/>
              <w:rPr>
                <w:rFonts w:ascii="Arial" w:hAnsi="Arial" w:cs="Arial"/>
                <w:sz w:val="18"/>
                <w:szCs w:val="18"/>
              </w:rPr>
            </w:pPr>
            <w:r w:rsidRPr="00C725C6">
              <w:rPr>
                <w:rFonts w:ascii="Arial" w:hAnsi="Arial" w:cs="Arial"/>
                <w:sz w:val="18"/>
                <w:szCs w:val="18"/>
              </w:rPr>
              <w:t>f</w:t>
            </w:r>
            <w:r w:rsidRPr="00C725C6">
              <w:rPr>
                <w:rFonts w:ascii="Arial" w:hAnsi="Arial" w:cs="Arial"/>
                <w:sz w:val="18"/>
                <w:szCs w:val="18"/>
                <w:vertAlign w:val="subscript"/>
              </w:rPr>
              <w:t>offset</w:t>
            </w:r>
            <w:r w:rsidRPr="00C725C6">
              <w:rPr>
                <w:rFonts w:ascii="Arial" w:hAnsi="Arial" w:cs="Arial"/>
                <w:sz w:val="18"/>
                <w:szCs w:val="18"/>
              </w:rPr>
              <w:t xml:space="preserve"> </w:t>
            </w:r>
            <w:r w:rsidRPr="00C725C6">
              <w:rPr>
                <w:rFonts w:ascii="Arial" w:hAnsi="Arial" w:cs="Arial"/>
                <w:sz w:val="18"/>
                <w:szCs w:val="18"/>
                <w:u w:val="single" w:color="000000"/>
              </w:rPr>
              <w:t>&gt;</w:t>
            </w:r>
            <w:r w:rsidRPr="00C725C6">
              <w:rPr>
                <w:rFonts w:ascii="Arial" w:hAnsi="Arial" w:cs="Arial"/>
                <w:sz w:val="18"/>
                <w:szCs w:val="18"/>
              </w:rPr>
              <w:t xml:space="preserve"> 500 kHz</w:t>
            </w:r>
          </w:p>
        </w:tc>
        <w:tc>
          <w:tcPr>
            <w:tcW w:w="2552" w:type="dxa"/>
            <w:shd w:val="clear" w:color="auto" w:fill="F2F2F2" w:themeFill="background1" w:themeFillShade="F2"/>
          </w:tcPr>
          <w:p w14:paraId="6563F68B" w14:textId="1634F0FD" w:rsidR="00AC05A2" w:rsidRPr="00C725C6" w:rsidRDefault="00AC05A2" w:rsidP="00AC05A2">
            <w:pPr>
              <w:pStyle w:val="ListParagraph"/>
              <w:keepNext/>
              <w:keepLines/>
              <w:ind w:left="0"/>
              <w:jc w:val="center"/>
              <w:rPr>
                <w:rFonts w:ascii="Arial" w:hAnsi="Arial" w:cs="Arial"/>
                <w:sz w:val="18"/>
                <w:szCs w:val="18"/>
              </w:rPr>
            </w:pPr>
            <w:r w:rsidRPr="00C725C6">
              <w:rPr>
                <w:rFonts w:ascii="Arial" w:hAnsi="Arial" w:cs="Arial"/>
                <w:sz w:val="18"/>
                <w:szCs w:val="18"/>
              </w:rPr>
              <w:t>-33.5</w:t>
            </w:r>
          </w:p>
        </w:tc>
        <w:tc>
          <w:tcPr>
            <w:tcW w:w="1559" w:type="dxa"/>
            <w:shd w:val="clear" w:color="auto" w:fill="F2F2F2" w:themeFill="background1" w:themeFillShade="F2"/>
          </w:tcPr>
          <w:p w14:paraId="46F6164D" w14:textId="57595364" w:rsidR="00AC05A2" w:rsidRPr="00C725C6" w:rsidRDefault="00AC05A2" w:rsidP="00AC05A2">
            <w:pPr>
              <w:pStyle w:val="ListParagraph"/>
              <w:keepNext/>
              <w:keepLines/>
              <w:ind w:left="0"/>
              <w:jc w:val="center"/>
              <w:rPr>
                <w:rFonts w:ascii="Arial" w:hAnsi="Arial" w:cs="Arial"/>
                <w:sz w:val="18"/>
                <w:szCs w:val="18"/>
              </w:rPr>
            </w:pPr>
            <w:r w:rsidRPr="00C725C6">
              <w:rPr>
                <w:rFonts w:ascii="Arial" w:hAnsi="Arial" w:cs="Arial"/>
                <w:sz w:val="18"/>
                <w:szCs w:val="18"/>
              </w:rPr>
              <w:t>30 kHz</w:t>
            </w:r>
          </w:p>
        </w:tc>
      </w:tr>
    </w:tbl>
    <w:p w14:paraId="4CD8153B" w14:textId="3E8572CE" w:rsidR="00AC05A2" w:rsidRPr="00C725C6" w:rsidRDefault="00AC05A2" w:rsidP="00C725C6">
      <w:pPr>
        <w:pStyle w:val="ACMATableHeader"/>
        <w:numPr>
          <w:ilvl w:val="0"/>
          <w:numId w:val="0"/>
        </w:numPr>
        <w:spacing w:after="240" w:line="240" w:lineRule="atLeast"/>
        <w:ind w:left="284"/>
        <w:rPr>
          <w:rFonts w:cs="Arial"/>
          <w:b w:val="0"/>
          <w:bCs w:val="0"/>
          <w:i/>
          <w:iCs/>
          <w:sz w:val="16"/>
          <w:szCs w:val="16"/>
        </w:rPr>
      </w:pPr>
      <w:r w:rsidRPr="00C725C6">
        <w:rPr>
          <w:rFonts w:cs="Arial"/>
          <w:b w:val="0"/>
          <w:bCs w:val="0"/>
          <w:i/>
          <w:iCs/>
          <w:sz w:val="16"/>
          <w:szCs w:val="16"/>
        </w:rPr>
        <w:t xml:space="preserve">Note 1: </w:t>
      </w:r>
      <w:r w:rsidR="002D5592" w:rsidRPr="00C725C6">
        <w:rPr>
          <w:rFonts w:cs="Arial"/>
          <w:b w:val="0"/>
          <w:bCs w:val="0"/>
          <w:i/>
          <w:iCs/>
          <w:sz w:val="16"/>
          <w:szCs w:val="16"/>
        </w:rPr>
        <w:t xml:space="preserve">In addition to the limits in Table 6, transmitters in the lower 1800 MHz band are also limited to a </w:t>
      </w:r>
      <w:r w:rsidR="009B105A" w:rsidRPr="00C725C6">
        <w:rPr>
          <w:rFonts w:cs="Arial"/>
          <w:b w:val="0"/>
          <w:bCs w:val="0"/>
          <w:i/>
          <w:iCs/>
          <w:sz w:val="16"/>
          <w:szCs w:val="16"/>
        </w:rPr>
        <w:t xml:space="preserve">radiated </w:t>
      </w:r>
      <w:r w:rsidR="002D5592" w:rsidRPr="00C725C6">
        <w:rPr>
          <w:rFonts w:cs="Arial"/>
          <w:b w:val="0"/>
          <w:bCs w:val="0"/>
          <w:i/>
          <w:iCs/>
          <w:sz w:val="16"/>
          <w:szCs w:val="16"/>
        </w:rPr>
        <w:t>peak power of 10 dBm EIRP per 30 kHz within the 1709.7</w:t>
      </w:r>
      <w:r w:rsidR="00AE59F5">
        <w:rPr>
          <w:rFonts w:cs="Arial"/>
          <w:b w:val="0"/>
          <w:bCs w:val="0"/>
          <w:i/>
          <w:iCs/>
          <w:sz w:val="16"/>
          <w:szCs w:val="16"/>
        </w:rPr>
        <w:t>–</w:t>
      </w:r>
      <w:r w:rsidR="002D5592" w:rsidRPr="00C725C6">
        <w:rPr>
          <w:rFonts w:cs="Arial"/>
          <w:b w:val="0"/>
          <w:bCs w:val="0"/>
          <w:i/>
          <w:iCs/>
          <w:sz w:val="16"/>
          <w:szCs w:val="16"/>
        </w:rPr>
        <w:t xml:space="preserve">1710 MHz frequency range. </w:t>
      </w:r>
    </w:p>
    <w:p w14:paraId="0A25D36E" w14:textId="209210FE" w:rsidR="00F72BBA" w:rsidRPr="007D04B2" w:rsidRDefault="00F72BBA" w:rsidP="00F72BBA">
      <w:pPr>
        <w:pStyle w:val="ACMATableHeader"/>
        <w:spacing w:line="240" w:lineRule="atLeast"/>
      </w:pPr>
      <w:r>
        <w:rPr>
          <w:rFonts w:cs="Arial"/>
        </w:rPr>
        <w:t>U</w:t>
      </w:r>
      <w:r w:rsidRPr="007D04B2">
        <w:rPr>
          <w:rFonts w:cs="Arial"/>
        </w:rPr>
        <w:t xml:space="preserve">nwanted emission limits </w:t>
      </w:r>
      <w:r>
        <w:rPr>
          <w:rFonts w:cs="Arial"/>
        </w:rPr>
        <w:t>for transmitters operating in the lower 1800</w:t>
      </w:r>
      <w:r w:rsidR="00474C2A">
        <w:rPr>
          <w:rFonts w:cs="Arial"/>
        </w:rPr>
        <w:t> </w:t>
      </w:r>
      <w:r>
        <w:rPr>
          <w:rFonts w:cs="Arial"/>
        </w:rPr>
        <w:t xml:space="preserve">MHz band at </w:t>
      </w:r>
      <w:r w:rsidR="009B105A">
        <w:rPr>
          <w:rFonts w:cs="Arial"/>
        </w:rPr>
        <w:t xml:space="preserve">frequencies </w:t>
      </w:r>
      <w:r w:rsidRPr="007D04B2">
        <w:rPr>
          <w:rFonts w:cs="Arial"/>
        </w:rPr>
        <w:t xml:space="preserve">outside the </w:t>
      </w:r>
      <w:r>
        <w:t>1665</w:t>
      </w:r>
      <w:r w:rsidR="00AE59F5">
        <w:t>–</w:t>
      </w:r>
      <w:r>
        <w:t>18</w:t>
      </w:r>
      <w:r w:rsidR="00087BFB">
        <w:t>3</w:t>
      </w:r>
      <w:r>
        <w:t xml:space="preserve">0 </w:t>
      </w:r>
      <w:r w:rsidRPr="007D04B2">
        <w:rPr>
          <w:rFonts w:cs="Arial"/>
        </w:rPr>
        <w:t xml:space="preserve">MHz band </w:t>
      </w:r>
      <w:r w:rsidR="00AE59F5">
        <w:rPr>
          <w:rFonts w:cs="Arial"/>
        </w:rPr>
        <w:br/>
      </w:r>
      <w:r w:rsidRPr="007D04B2">
        <w:rPr>
          <w:rFonts w:cs="Arial"/>
        </w:rPr>
        <w:t>–</w:t>
      </w:r>
      <w:r>
        <w:rPr>
          <w:rFonts w:cs="Arial"/>
        </w:rPr>
        <w:t xml:space="preserve"> all </w:t>
      </w:r>
      <w:r w:rsidR="00F01CCB">
        <w:rPr>
          <w:rFonts w:cs="Arial"/>
        </w:rPr>
        <w:t>transmitters</w:t>
      </w:r>
      <w:r w:rsidRPr="007D04B2">
        <w:rPr>
          <w:rFonts w:cs="Arial"/>
        </w:rPr>
        <w:t>.</w:t>
      </w:r>
      <w:r>
        <w:rPr>
          <w:rFonts w:cs="Arial"/>
        </w:rPr>
        <w:t xml:space="preserve"> </w:t>
      </w:r>
    </w:p>
    <w:tbl>
      <w:tblPr>
        <w:tblStyle w:val="TableGrid"/>
        <w:tblW w:w="7135" w:type="dxa"/>
        <w:jc w:val="center"/>
        <w:tblLook w:val="04A0" w:firstRow="1" w:lastRow="0" w:firstColumn="1" w:lastColumn="0" w:noHBand="0" w:noVBand="1"/>
      </w:tblPr>
      <w:tblGrid>
        <w:gridCol w:w="3265"/>
        <w:gridCol w:w="2270"/>
        <w:gridCol w:w="1600"/>
      </w:tblGrid>
      <w:tr w:rsidR="00C61D5A" w:rsidRPr="00C61D5A" w14:paraId="7E2C779E" w14:textId="77777777" w:rsidTr="00C725C6">
        <w:trPr>
          <w:jc w:val="center"/>
        </w:trPr>
        <w:tc>
          <w:tcPr>
            <w:tcW w:w="3265" w:type="dxa"/>
            <w:shd w:val="clear" w:color="auto" w:fill="404040" w:themeFill="text1" w:themeFillTint="BF"/>
          </w:tcPr>
          <w:p w14:paraId="682CCA25" w14:textId="1EA2B70B" w:rsidR="00F72BBA" w:rsidRPr="00C725C6" w:rsidRDefault="00F72BBA" w:rsidP="000543CA">
            <w:pPr>
              <w:pStyle w:val="ListParagraph"/>
              <w:ind w:left="0"/>
              <w:jc w:val="center"/>
              <w:rPr>
                <w:rFonts w:ascii="Arial" w:hAnsi="Arial" w:cs="Arial"/>
                <w:b/>
                <w:color w:val="FFFFFF" w:themeColor="background1"/>
              </w:rPr>
            </w:pPr>
            <w:r w:rsidRPr="00C725C6">
              <w:rPr>
                <w:rFonts w:ascii="Arial" w:hAnsi="Arial" w:cs="Arial"/>
                <w:b/>
                <w:color w:val="FFFFFF" w:themeColor="background1"/>
              </w:rPr>
              <w:t xml:space="preserve">Frequency </w:t>
            </w:r>
            <w:r w:rsidR="00AE59F5" w:rsidRPr="00C725C6">
              <w:rPr>
                <w:rFonts w:ascii="Arial" w:hAnsi="Arial" w:cs="Arial"/>
                <w:b/>
                <w:color w:val="FFFFFF" w:themeColor="background1"/>
              </w:rPr>
              <w:t>r</w:t>
            </w:r>
            <w:r w:rsidRPr="00C725C6">
              <w:rPr>
                <w:rFonts w:ascii="Arial" w:hAnsi="Arial" w:cs="Arial"/>
                <w:b/>
                <w:color w:val="FFFFFF" w:themeColor="background1"/>
              </w:rPr>
              <w:t xml:space="preserve">ange </w:t>
            </w:r>
          </w:p>
          <w:p w14:paraId="1953ED92" w14:textId="77777777" w:rsidR="00F72BBA" w:rsidRPr="00C725C6" w:rsidRDefault="00F72BBA" w:rsidP="000543CA">
            <w:pPr>
              <w:pStyle w:val="ListParagraph"/>
              <w:ind w:left="0"/>
              <w:jc w:val="center"/>
              <w:rPr>
                <w:rFonts w:ascii="Arial" w:hAnsi="Arial" w:cs="Arial"/>
                <w:b/>
                <w:color w:val="FFFFFF" w:themeColor="background1"/>
              </w:rPr>
            </w:pPr>
            <w:r w:rsidRPr="00C725C6">
              <w:rPr>
                <w:rFonts w:ascii="Arial" w:hAnsi="Arial" w:cs="Arial"/>
                <w:b/>
                <w:color w:val="FFFFFF" w:themeColor="background1"/>
              </w:rPr>
              <w:t>(f)</w:t>
            </w:r>
          </w:p>
        </w:tc>
        <w:tc>
          <w:tcPr>
            <w:tcW w:w="2270" w:type="dxa"/>
            <w:shd w:val="clear" w:color="auto" w:fill="404040" w:themeFill="text1" w:themeFillTint="BF"/>
          </w:tcPr>
          <w:p w14:paraId="43CDC4BE" w14:textId="4A5C2120" w:rsidR="00F72BBA" w:rsidRPr="00C725C6" w:rsidRDefault="00F72BBA" w:rsidP="000543CA">
            <w:pPr>
              <w:pStyle w:val="ListParagraph"/>
              <w:ind w:left="0"/>
              <w:jc w:val="center"/>
              <w:rPr>
                <w:rFonts w:ascii="Arial" w:hAnsi="Arial" w:cs="Arial"/>
                <w:b/>
                <w:color w:val="FFFFFF" w:themeColor="background1"/>
              </w:rPr>
            </w:pPr>
            <w:r w:rsidRPr="00C725C6">
              <w:rPr>
                <w:rFonts w:ascii="Arial" w:hAnsi="Arial" w:cs="Arial"/>
                <w:b/>
                <w:color w:val="FFFFFF" w:themeColor="background1"/>
              </w:rPr>
              <w:t xml:space="preserve">Total </w:t>
            </w:r>
            <w:r w:rsidR="00AE59F5" w:rsidRPr="00C725C6">
              <w:rPr>
                <w:rFonts w:ascii="Arial" w:hAnsi="Arial" w:cs="Arial"/>
                <w:b/>
                <w:color w:val="FFFFFF" w:themeColor="background1"/>
              </w:rPr>
              <w:t>r</w:t>
            </w:r>
            <w:r w:rsidRPr="00C725C6">
              <w:rPr>
                <w:rFonts w:ascii="Arial" w:hAnsi="Arial" w:cs="Arial"/>
                <w:b/>
                <w:color w:val="FFFFFF" w:themeColor="background1"/>
              </w:rPr>
              <w:t xml:space="preserve">adiated </w:t>
            </w:r>
            <w:r w:rsidR="00AE59F5" w:rsidRPr="00C725C6">
              <w:rPr>
                <w:rFonts w:ascii="Arial" w:hAnsi="Arial" w:cs="Arial"/>
                <w:b/>
                <w:color w:val="FFFFFF" w:themeColor="background1"/>
              </w:rPr>
              <w:t>p</w:t>
            </w:r>
            <w:r w:rsidRPr="00C725C6">
              <w:rPr>
                <w:rFonts w:ascii="Arial" w:hAnsi="Arial" w:cs="Arial"/>
                <w:b/>
                <w:color w:val="FFFFFF" w:themeColor="background1"/>
              </w:rPr>
              <w:t xml:space="preserve">ower (dBm) </w:t>
            </w:r>
          </w:p>
        </w:tc>
        <w:tc>
          <w:tcPr>
            <w:tcW w:w="1600" w:type="dxa"/>
            <w:shd w:val="clear" w:color="auto" w:fill="404040" w:themeFill="text1" w:themeFillTint="BF"/>
          </w:tcPr>
          <w:p w14:paraId="48018A89" w14:textId="4B6FADDA" w:rsidR="00F72BBA" w:rsidRPr="00C725C6" w:rsidRDefault="00F72BBA" w:rsidP="000543CA">
            <w:pPr>
              <w:pStyle w:val="ListParagraph"/>
              <w:ind w:left="0"/>
              <w:jc w:val="center"/>
              <w:rPr>
                <w:rFonts w:ascii="Arial" w:hAnsi="Arial" w:cs="Arial"/>
                <w:b/>
                <w:color w:val="FFFFFF" w:themeColor="background1"/>
              </w:rPr>
            </w:pPr>
            <w:r w:rsidRPr="00C725C6">
              <w:rPr>
                <w:rFonts w:ascii="Arial" w:hAnsi="Arial" w:cs="Arial"/>
                <w:b/>
                <w:color w:val="FFFFFF" w:themeColor="background1"/>
              </w:rPr>
              <w:t xml:space="preserve">Measurement </w:t>
            </w:r>
            <w:r w:rsidR="00AE59F5" w:rsidRPr="00C725C6">
              <w:rPr>
                <w:rFonts w:ascii="Arial" w:hAnsi="Arial" w:cs="Arial"/>
                <w:b/>
                <w:color w:val="FFFFFF" w:themeColor="background1"/>
              </w:rPr>
              <w:t>b</w:t>
            </w:r>
            <w:r w:rsidRPr="00C725C6">
              <w:rPr>
                <w:rFonts w:ascii="Arial" w:hAnsi="Arial" w:cs="Arial"/>
                <w:b/>
                <w:color w:val="FFFFFF" w:themeColor="background1"/>
              </w:rPr>
              <w:t>andwidth</w:t>
            </w:r>
          </w:p>
        </w:tc>
      </w:tr>
      <w:tr w:rsidR="00F72BBA" w:rsidRPr="00AE59F5" w14:paraId="2525BDCD" w14:textId="77777777" w:rsidTr="00C725C6">
        <w:trPr>
          <w:jc w:val="center"/>
        </w:trPr>
        <w:tc>
          <w:tcPr>
            <w:tcW w:w="3265" w:type="dxa"/>
          </w:tcPr>
          <w:p w14:paraId="0AF5DE0A" w14:textId="77777777" w:rsidR="00F72BBA" w:rsidRPr="00C725C6" w:rsidRDefault="00F72BBA" w:rsidP="000543CA">
            <w:pPr>
              <w:pStyle w:val="ListParagraph"/>
              <w:ind w:left="0"/>
              <w:jc w:val="center"/>
              <w:rPr>
                <w:rFonts w:ascii="Arial" w:hAnsi="Arial" w:cs="Arial"/>
                <w:sz w:val="18"/>
                <w:szCs w:val="18"/>
              </w:rPr>
            </w:pPr>
            <w:r w:rsidRPr="00C725C6">
              <w:rPr>
                <w:rFonts w:ascii="Arial" w:hAnsi="Arial" w:cs="Arial"/>
                <w:sz w:val="18"/>
                <w:szCs w:val="18"/>
              </w:rPr>
              <w:t>9 kHz ≤ f &lt; 150 kHz</w:t>
            </w:r>
          </w:p>
        </w:tc>
        <w:tc>
          <w:tcPr>
            <w:tcW w:w="2270" w:type="dxa"/>
          </w:tcPr>
          <w:p w14:paraId="1553E001" w14:textId="77777777" w:rsidR="00F72BBA" w:rsidRPr="00C725C6" w:rsidRDefault="00F72BBA" w:rsidP="000543CA">
            <w:pPr>
              <w:pStyle w:val="ListParagraph"/>
              <w:ind w:left="0"/>
              <w:jc w:val="center"/>
              <w:rPr>
                <w:rFonts w:ascii="Arial" w:hAnsi="Arial" w:cs="Arial"/>
                <w:sz w:val="18"/>
                <w:szCs w:val="18"/>
              </w:rPr>
            </w:pPr>
            <w:r w:rsidRPr="00C725C6">
              <w:rPr>
                <w:rFonts w:ascii="Arial" w:hAnsi="Arial" w:cs="Arial"/>
                <w:sz w:val="18"/>
                <w:szCs w:val="18"/>
              </w:rPr>
              <w:t>-36</w:t>
            </w:r>
          </w:p>
        </w:tc>
        <w:tc>
          <w:tcPr>
            <w:tcW w:w="1600" w:type="dxa"/>
          </w:tcPr>
          <w:p w14:paraId="4DC54CF2" w14:textId="77777777" w:rsidR="00F72BBA" w:rsidRPr="00C725C6" w:rsidRDefault="00F72BBA" w:rsidP="000543CA">
            <w:pPr>
              <w:pStyle w:val="ListParagraph"/>
              <w:ind w:left="0"/>
              <w:jc w:val="center"/>
              <w:rPr>
                <w:rFonts w:ascii="Arial" w:hAnsi="Arial" w:cs="Arial"/>
                <w:sz w:val="18"/>
                <w:szCs w:val="18"/>
              </w:rPr>
            </w:pPr>
            <w:r w:rsidRPr="00C725C6">
              <w:rPr>
                <w:rFonts w:ascii="Arial" w:hAnsi="Arial" w:cs="Arial"/>
                <w:sz w:val="18"/>
                <w:szCs w:val="18"/>
              </w:rPr>
              <w:t>1 kHz</w:t>
            </w:r>
          </w:p>
        </w:tc>
      </w:tr>
      <w:tr w:rsidR="00F72BBA" w:rsidRPr="00AE59F5" w14:paraId="386B0A57" w14:textId="77777777" w:rsidTr="00C725C6">
        <w:trPr>
          <w:jc w:val="center"/>
        </w:trPr>
        <w:tc>
          <w:tcPr>
            <w:tcW w:w="3265" w:type="dxa"/>
            <w:shd w:val="clear" w:color="auto" w:fill="F2F2F2" w:themeFill="background1" w:themeFillShade="F2"/>
          </w:tcPr>
          <w:p w14:paraId="33EF2BCD" w14:textId="77777777" w:rsidR="00F72BBA" w:rsidRPr="00C725C6" w:rsidRDefault="00F72BBA" w:rsidP="000543CA">
            <w:pPr>
              <w:pStyle w:val="ListParagraph"/>
              <w:ind w:left="0"/>
              <w:jc w:val="center"/>
              <w:rPr>
                <w:rFonts w:ascii="Arial" w:hAnsi="Arial" w:cs="Arial"/>
                <w:sz w:val="18"/>
                <w:szCs w:val="18"/>
              </w:rPr>
            </w:pPr>
            <w:r w:rsidRPr="00C725C6">
              <w:rPr>
                <w:rFonts w:ascii="Arial" w:hAnsi="Arial" w:cs="Arial"/>
                <w:sz w:val="18"/>
                <w:szCs w:val="18"/>
              </w:rPr>
              <w:t>150 kHz ≤ f &lt; 30 MHz</w:t>
            </w:r>
          </w:p>
        </w:tc>
        <w:tc>
          <w:tcPr>
            <w:tcW w:w="2270" w:type="dxa"/>
            <w:shd w:val="clear" w:color="auto" w:fill="F2F2F2" w:themeFill="background1" w:themeFillShade="F2"/>
          </w:tcPr>
          <w:p w14:paraId="79703880" w14:textId="77777777" w:rsidR="00F72BBA" w:rsidRPr="00C725C6" w:rsidRDefault="00F72BBA" w:rsidP="000543CA">
            <w:pPr>
              <w:pStyle w:val="ListParagraph"/>
              <w:ind w:left="0"/>
              <w:jc w:val="center"/>
              <w:rPr>
                <w:rFonts w:ascii="Arial" w:hAnsi="Arial" w:cs="Arial"/>
                <w:sz w:val="18"/>
                <w:szCs w:val="18"/>
              </w:rPr>
            </w:pPr>
            <w:r w:rsidRPr="00C725C6">
              <w:rPr>
                <w:rFonts w:ascii="Arial" w:hAnsi="Arial" w:cs="Arial"/>
                <w:sz w:val="18"/>
                <w:szCs w:val="18"/>
              </w:rPr>
              <w:t>-36</w:t>
            </w:r>
          </w:p>
        </w:tc>
        <w:tc>
          <w:tcPr>
            <w:tcW w:w="1600" w:type="dxa"/>
            <w:shd w:val="clear" w:color="auto" w:fill="F2F2F2" w:themeFill="background1" w:themeFillShade="F2"/>
          </w:tcPr>
          <w:p w14:paraId="61348F51" w14:textId="77777777" w:rsidR="00F72BBA" w:rsidRPr="00C725C6" w:rsidRDefault="00F72BBA" w:rsidP="000543CA">
            <w:pPr>
              <w:pStyle w:val="ListParagraph"/>
              <w:ind w:left="0"/>
              <w:jc w:val="center"/>
              <w:rPr>
                <w:rFonts w:ascii="Arial" w:hAnsi="Arial" w:cs="Arial"/>
                <w:sz w:val="18"/>
                <w:szCs w:val="18"/>
              </w:rPr>
            </w:pPr>
            <w:r w:rsidRPr="00C725C6">
              <w:rPr>
                <w:rFonts w:ascii="Arial" w:hAnsi="Arial" w:cs="Arial"/>
                <w:sz w:val="18"/>
                <w:szCs w:val="18"/>
              </w:rPr>
              <w:t>10 kHz</w:t>
            </w:r>
          </w:p>
        </w:tc>
      </w:tr>
      <w:tr w:rsidR="00F72BBA" w:rsidRPr="00AE59F5" w14:paraId="4375767F" w14:textId="77777777" w:rsidTr="00C725C6">
        <w:trPr>
          <w:jc w:val="center"/>
        </w:trPr>
        <w:tc>
          <w:tcPr>
            <w:tcW w:w="3265" w:type="dxa"/>
          </w:tcPr>
          <w:p w14:paraId="7D78855E" w14:textId="77777777" w:rsidR="00F72BBA" w:rsidRPr="00C725C6" w:rsidRDefault="00F72BBA" w:rsidP="000543CA">
            <w:pPr>
              <w:pStyle w:val="ListParagraph"/>
              <w:ind w:left="0"/>
              <w:jc w:val="center"/>
              <w:rPr>
                <w:rFonts w:ascii="Arial" w:hAnsi="Arial" w:cs="Arial"/>
                <w:sz w:val="18"/>
                <w:szCs w:val="18"/>
              </w:rPr>
            </w:pPr>
            <w:r w:rsidRPr="00C725C6">
              <w:rPr>
                <w:rFonts w:ascii="Arial" w:hAnsi="Arial" w:cs="Arial"/>
                <w:sz w:val="18"/>
                <w:szCs w:val="18"/>
              </w:rPr>
              <w:t>30 MHz ≤ f &lt; 1 GHz</w:t>
            </w:r>
          </w:p>
        </w:tc>
        <w:tc>
          <w:tcPr>
            <w:tcW w:w="2270" w:type="dxa"/>
          </w:tcPr>
          <w:p w14:paraId="13A15838" w14:textId="77777777" w:rsidR="00F72BBA" w:rsidRPr="00C725C6" w:rsidRDefault="00F72BBA" w:rsidP="000543CA">
            <w:pPr>
              <w:pStyle w:val="ListParagraph"/>
              <w:ind w:left="0"/>
              <w:jc w:val="center"/>
              <w:rPr>
                <w:rFonts w:ascii="Arial" w:hAnsi="Arial" w:cs="Arial"/>
                <w:sz w:val="18"/>
                <w:szCs w:val="18"/>
              </w:rPr>
            </w:pPr>
            <w:r w:rsidRPr="00C725C6">
              <w:rPr>
                <w:rFonts w:ascii="Arial" w:hAnsi="Arial" w:cs="Arial"/>
                <w:sz w:val="18"/>
                <w:szCs w:val="18"/>
              </w:rPr>
              <w:t>-36</w:t>
            </w:r>
          </w:p>
        </w:tc>
        <w:tc>
          <w:tcPr>
            <w:tcW w:w="1600" w:type="dxa"/>
          </w:tcPr>
          <w:p w14:paraId="2FC21391" w14:textId="77777777" w:rsidR="00F72BBA" w:rsidRPr="00C725C6" w:rsidRDefault="00F72BBA" w:rsidP="000543CA">
            <w:pPr>
              <w:pStyle w:val="ListParagraph"/>
              <w:ind w:left="0"/>
              <w:jc w:val="center"/>
              <w:rPr>
                <w:rFonts w:ascii="Arial" w:hAnsi="Arial" w:cs="Arial"/>
                <w:sz w:val="18"/>
                <w:szCs w:val="18"/>
              </w:rPr>
            </w:pPr>
            <w:r w:rsidRPr="00C725C6">
              <w:rPr>
                <w:rFonts w:ascii="Arial" w:hAnsi="Arial" w:cs="Arial"/>
                <w:sz w:val="18"/>
                <w:szCs w:val="18"/>
              </w:rPr>
              <w:t>100 kHz</w:t>
            </w:r>
          </w:p>
        </w:tc>
      </w:tr>
      <w:tr w:rsidR="00F72BBA" w:rsidRPr="00AE59F5" w14:paraId="4E57E3BD" w14:textId="77777777" w:rsidTr="00C725C6">
        <w:trPr>
          <w:jc w:val="center"/>
        </w:trPr>
        <w:tc>
          <w:tcPr>
            <w:tcW w:w="3265" w:type="dxa"/>
            <w:shd w:val="clear" w:color="auto" w:fill="F2F2F2" w:themeFill="background1" w:themeFillShade="F2"/>
          </w:tcPr>
          <w:p w14:paraId="0C4FB14B" w14:textId="77777777" w:rsidR="00F72BBA" w:rsidRPr="00C725C6" w:rsidRDefault="00F72BBA" w:rsidP="000543CA">
            <w:pPr>
              <w:pStyle w:val="ListParagraph"/>
              <w:ind w:left="0"/>
              <w:jc w:val="center"/>
              <w:rPr>
                <w:rFonts w:ascii="Arial" w:hAnsi="Arial" w:cs="Arial"/>
                <w:sz w:val="18"/>
                <w:szCs w:val="18"/>
              </w:rPr>
            </w:pPr>
            <w:r w:rsidRPr="00C725C6">
              <w:rPr>
                <w:rFonts w:ascii="Arial" w:hAnsi="Arial" w:cs="Arial"/>
                <w:sz w:val="18"/>
                <w:szCs w:val="18"/>
              </w:rPr>
              <w:t>1 GHz ≤ f &lt; 12.75 GHz</w:t>
            </w:r>
          </w:p>
        </w:tc>
        <w:tc>
          <w:tcPr>
            <w:tcW w:w="2270" w:type="dxa"/>
            <w:shd w:val="clear" w:color="auto" w:fill="F2F2F2" w:themeFill="background1" w:themeFillShade="F2"/>
          </w:tcPr>
          <w:p w14:paraId="685144D6" w14:textId="77777777" w:rsidR="00F72BBA" w:rsidRPr="00C725C6" w:rsidRDefault="00F72BBA" w:rsidP="000543CA">
            <w:pPr>
              <w:pStyle w:val="ListParagraph"/>
              <w:ind w:left="0"/>
              <w:jc w:val="center"/>
              <w:rPr>
                <w:rFonts w:ascii="Arial" w:hAnsi="Arial" w:cs="Arial"/>
                <w:sz w:val="18"/>
                <w:szCs w:val="18"/>
              </w:rPr>
            </w:pPr>
            <w:r w:rsidRPr="00C725C6">
              <w:rPr>
                <w:rFonts w:ascii="Arial" w:hAnsi="Arial" w:cs="Arial"/>
                <w:sz w:val="18"/>
                <w:szCs w:val="18"/>
              </w:rPr>
              <w:t>-30</w:t>
            </w:r>
          </w:p>
        </w:tc>
        <w:tc>
          <w:tcPr>
            <w:tcW w:w="1600" w:type="dxa"/>
            <w:shd w:val="clear" w:color="auto" w:fill="F2F2F2" w:themeFill="background1" w:themeFillShade="F2"/>
          </w:tcPr>
          <w:p w14:paraId="10CAC799" w14:textId="77777777" w:rsidR="00F72BBA" w:rsidRPr="00C725C6" w:rsidRDefault="00F72BBA" w:rsidP="000543CA">
            <w:pPr>
              <w:pStyle w:val="ListParagraph"/>
              <w:ind w:left="0"/>
              <w:jc w:val="center"/>
              <w:rPr>
                <w:rFonts w:ascii="Arial" w:hAnsi="Arial" w:cs="Arial"/>
                <w:sz w:val="18"/>
                <w:szCs w:val="18"/>
              </w:rPr>
            </w:pPr>
            <w:r w:rsidRPr="00C725C6">
              <w:rPr>
                <w:rFonts w:ascii="Arial" w:hAnsi="Arial" w:cs="Arial"/>
                <w:sz w:val="18"/>
                <w:szCs w:val="18"/>
              </w:rPr>
              <w:t>1 MHz</w:t>
            </w:r>
          </w:p>
        </w:tc>
      </w:tr>
    </w:tbl>
    <w:p w14:paraId="1CC8BB7B" w14:textId="77777777" w:rsidR="00F72BBA" w:rsidRPr="00C725C6" w:rsidRDefault="00F72BBA" w:rsidP="00F72BBA">
      <w:pPr>
        <w:pStyle w:val="ListParagraph"/>
        <w:spacing w:before="120"/>
        <w:ind w:left="852"/>
        <w:rPr>
          <w:rFonts w:ascii="Arial" w:hAnsi="Arial" w:cs="Arial"/>
          <w:sz w:val="18"/>
          <w:szCs w:val="18"/>
        </w:rPr>
      </w:pPr>
    </w:p>
    <w:p w14:paraId="319BA087" w14:textId="4E2F5805" w:rsidR="00F72BBA" w:rsidRPr="007D04B2" w:rsidRDefault="00F72BBA" w:rsidP="00F72BBA">
      <w:pPr>
        <w:pStyle w:val="ACMATableHeader"/>
        <w:keepNext/>
        <w:keepLines/>
        <w:spacing w:line="240" w:lineRule="atLeast"/>
      </w:pPr>
      <w:r>
        <w:rPr>
          <w:rFonts w:cs="Arial"/>
        </w:rPr>
        <w:t>U</w:t>
      </w:r>
      <w:r w:rsidRPr="007D04B2">
        <w:rPr>
          <w:rFonts w:cs="Arial"/>
        </w:rPr>
        <w:t xml:space="preserve">nwanted emission limits </w:t>
      </w:r>
      <w:r>
        <w:rPr>
          <w:rFonts w:cs="Arial"/>
        </w:rPr>
        <w:t>for receivers operating in the lower 1800</w:t>
      </w:r>
      <w:r w:rsidR="00474C2A">
        <w:rPr>
          <w:rFonts w:cs="Arial"/>
        </w:rPr>
        <w:t> </w:t>
      </w:r>
      <w:r>
        <w:rPr>
          <w:rFonts w:cs="Arial"/>
        </w:rPr>
        <w:t xml:space="preserve">MHz band at </w:t>
      </w:r>
      <w:r w:rsidR="009B105A">
        <w:rPr>
          <w:rFonts w:cs="Arial"/>
        </w:rPr>
        <w:t xml:space="preserve">frequencies </w:t>
      </w:r>
      <w:r w:rsidRPr="007D04B2">
        <w:rPr>
          <w:rFonts w:cs="Arial"/>
        </w:rPr>
        <w:t xml:space="preserve">outside the </w:t>
      </w:r>
      <w:r>
        <w:t xml:space="preserve">1795–1890 </w:t>
      </w:r>
      <w:r w:rsidRPr="007D04B2">
        <w:rPr>
          <w:rFonts w:cs="Arial"/>
        </w:rPr>
        <w:t xml:space="preserve">MHz band </w:t>
      </w:r>
      <w:r w:rsidR="00AE59F5">
        <w:rPr>
          <w:rFonts w:cs="Arial"/>
        </w:rPr>
        <w:br/>
      </w:r>
      <w:r w:rsidRPr="007D04B2">
        <w:rPr>
          <w:rFonts w:cs="Arial"/>
        </w:rPr>
        <w:t>–</w:t>
      </w:r>
      <w:r>
        <w:rPr>
          <w:rFonts w:cs="Arial"/>
        </w:rPr>
        <w:t xml:space="preserve"> non-AAS </w:t>
      </w:r>
      <w:r w:rsidRPr="007D04B2">
        <w:rPr>
          <w:rFonts w:cs="Arial"/>
        </w:rPr>
        <w:t>devices</w:t>
      </w:r>
      <w:r w:rsidRPr="007D04B2">
        <w:t>.</w:t>
      </w:r>
      <w:r>
        <w:t xml:space="preserve"> </w:t>
      </w:r>
    </w:p>
    <w:tbl>
      <w:tblPr>
        <w:tblStyle w:val="TableGrid"/>
        <w:tblW w:w="7319" w:type="dxa"/>
        <w:jc w:val="center"/>
        <w:tblLook w:val="04A0" w:firstRow="1" w:lastRow="0" w:firstColumn="1" w:lastColumn="0" w:noHBand="0" w:noVBand="1"/>
      </w:tblPr>
      <w:tblGrid>
        <w:gridCol w:w="3265"/>
        <w:gridCol w:w="2548"/>
        <w:gridCol w:w="1506"/>
      </w:tblGrid>
      <w:tr w:rsidR="00C61D5A" w:rsidRPr="00C61D5A" w14:paraId="1E1C206B" w14:textId="77777777" w:rsidTr="00C61D5A">
        <w:trPr>
          <w:jc w:val="center"/>
        </w:trPr>
        <w:tc>
          <w:tcPr>
            <w:tcW w:w="3265" w:type="dxa"/>
            <w:shd w:val="clear" w:color="auto" w:fill="404040" w:themeFill="text1" w:themeFillTint="BF"/>
          </w:tcPr>
          <w:p w14:paraId="3A6A3BA0" w14:textId="166D6D3F" w:rsidR="00F72BBA" w:rsidRPr="00C725C6" w:rsidRDefault="00F72BBA" w:rsidP="000543CA">
            <w:pPr>
              <w:pStyle w:val="ListParagraph"/>
              <w:keepNext/>
              <w:keepLines/>
              <w:ind w:left="0"/>
              <w:jc w:val="center"/>
              <w:rPr>
                <w:rFonts w:ascii="Arial" w:hAnsi="Arial" w:cs="Arial"/>
                <w:b/>
                <w:color w:val="FFFFFF" w:themeColor="background1"/>
              </w:rPr>
            </w:pPr>
            <w:r w:rsidRPr="00C725C6">
              <w:rPr>
                <w:rFonts w:ascii="Arial" w:hAnsi="Arial" w:cs="Arial"/>
                <w:b/>
                <w:color w:val="FFFFFF" w:themeColor="background1"/>
              </w:rPr>
              <w:t xml:space="preserve">Frequency </w:t>
            </w:r>
            <w:r w:rsidR="00AE59F5" w:rsidRPr="00C725C6">
              <w:rPr>
                <w:rFonts w:ascii="Arial" w:hAnsi="Arial" w:cs="Arial"/>
                <w:b/>
                <w:color w:val="FFFFFF" w:themeColor="background1"/>
              </w:rPr>
              <w:t>r</w:t>
            </w:r>
            <w:r w:rsidRPr="00C725C6">
              <w:rPr>
                <w:rFonts w:ascii="Arial" w:hAnsi="Arial" w:cs="Arial"/>
                <w:b/>
                <w:color w:val="FFFFFF" w:themeColor="background1"/>
              </w:rPr>
              <w:t>ange</w:t>
            </w:r>
          </w:p>
          <w:p w14:paraId="187E4823" w14:textId="77777777" w:rsidR="00F72BBA" w:rsidRPr="00C725C6" w:rsidRDefault="00F72BBA" w:rsidP="000543CA">
            <w:pPr>
              <w:pStyle w:val="ListParagraph"/>
              <w:keepNext/>
              <w:keepLines/>
              <w:ind w:left="0"/>
              <w:jc w:val="center"/>
              <w:rPr>
                <w:rFonts w:ascii="Arial" w:hAnsi="Arial" w:cs="Arial"/>
                <w:b/>
                <w:color w:val="FFFFFF" w:themeColor="background1"/>
              </w:rPr>
            </w:pPr>
            <w:r w:rsidRPr="00C725C6">
              <w:rPr>
                <w:rFonts w:ascii="Arial" w:hAnsi="Arial" w:cs="Arial"/>
                <w:b/>
                <w:color w:val="FFFFFF" w:themeColor="background1"/>
              </w:rPr>
              <w:t>(f)</w:t>
            </w:r>
          </w:p>
        </w:tc>
        <w:tc>
          <w:tcPr>
            <w:tcW w:w="2548" w:type="dxa"/>
            <w:shd w:val="clear" w:color="auto" w:fill="404040" w:themeFill="text1" w:themeFillTint="BF"/>
          </w:tcPr>
          <w:p w14:paraId="3FA2267B" w14:textId="00DDEB86" w:rsidR="00F72BBA" w:rsidRPr="00C725C6" w:rsidRDefault="00F72BBA" w:rsidP="000543CA">
            <w:pPr>
              <w:pStyle w:val="ListParagraph"/>
              <w:keepNext/>
              <w:keepLines/>
              <w:ind w:left="0"/>
              <w:jc w:val="center"/>
              <w:rPr>
                <w:rFonts w:ascii="Arial" w:hAnsi="Arial" w:cs="Arial"/>
                <w:b/>
                <w:color w:val="FFFFFF" w:themeColor="background1"/>
              </w:rPr>
            </w:pPr>
            <w:r w:rsidRPr="00C725C6">
              <w:rPr>
                <w:rFonts w:ascii="Arial" w:hAnsi="Arial" w:cs="Arial"/>
                <w:b/>
                <w:color w:val="FFFFFF" w:themeColor="background1"/>
              </w:rPr>
              <w:t>mean power (dBm</w:t>
            </w:r>
            <w:r w:rsidR="00E83C76" w:rsidRPr="00C725C6">
              <w:rPr>
                <w:rFonts w:ascii="Arial" w:hAnsi="Arial" w:cs="Arial"/>
                <w:b/>
                <w:color w:val="FFFFFF" w:themeColor="background1"/>
              </w:rPr>
              <w:t>)</w:t>
            </w:r>
            <w:r w:rsidR="00352E3B" w:rsidRPr="00C725C6">
              <w:rPr>
                <w:rStyle w:val="CommentReference"/>
                <w:rFonts w:ascii="Arial" w:hAnsi="Arial"/>
                <w:color w:val="FFFFFF" w:themeColor="background1"/>
              </w:rPr>
              <w:t xml:space="preserve"> </w:t>
            </w:r>
            <w:r w:rsidRPr="00C725C6">
              <w:rPr>
                <w:rFonts w:ascii="Arial" w:hAnsi="Arial" w:cs="Arial"/>
                <w:b/>
                <w:color w:val="FFFFFF" w:themeColor="background1"/>
              </w:rPr>
              <w:t>per receiver port</w:t>
            </w:r>
          </w:p>
        </w:tc>
        <w:tc>
          <w:tcPr>
            <w:tcW w:w="1506" w:type="dxa"/>
            <w:shd w:val="clear" w:color="auto" w:fill="404040" w:themeFill="text1" w:themeFillTint="BF"/>
          </w:tcPr>
          <w:p w14:paraId="4AAB0643" w14:textId="7F04D6AF" w:rsidR="00F72BBA" w:rsidRPr="00C725C6" w:rsidRDefault="00F72BBA" w:rsidP="000543CA">
            <w:pPr>
              <w:pStyle w:val="ListParagraph"/>
              <w:keepNext/>
              <w:keepLines/>
              <w:ind w:left="0"/>
              <w:jc w:val="center"/>
              <w:rPr>
                <w:rFonts w:ascii="Arial" w:hAnsi="Arial" w:cs="Arial"/>
                <w:b/>
                <w:color w:val="FFFFFF" w:themeColor="background1"/>
              </w:rPr>
            </w:pPr>
            <w:r w:rsidRPr="00C725C6">
              <w:rPr>
                <w:rFonts w:ascii="Arial" w:hAnsi="Arial" w:cs="Arial"/>
                <w:b/>
                <w:color w:val="FFFFFF" w:themeColor="background1"/>
              </w:rPr>
              <w:t xml:space="preserve">Measurement </w:t>
            </w:r>
            <w:r w:rsidR="00AE59F5" w:rsidRPr="00C725C6">
              <w:rPr>
                <w:rFonts w:ascii="Arial" w:hAnsi="Arial" w:cs="Arial"/>
                <w:b/>
                <w:color w:val="FFFFFF" w:themeColor="background1"/>
              </w:rPr>
              <w:t>b</w:t>
            </w:r>
            <w:r w:rsidRPr="00C725C6">
              <w:rPr>
                <w:rFonts w:ascii="Arial" w:hAnsi="Arial" w:cs="Arial"/>
                <w:b/>
                <w:color w:val="FFFFFF" w:themeColor="background1"/>
              </w:rPr>
              <w:t>andwidth</w:t>
            </w:r>
          </w:p>
        </w:tc>
      </w:tr>
      <w:tr w:rsidR="00F72BBA" w:rsidRPr="007D04B2" w14:paraId="18AF805E" w14:textId="77777777" w:rsidTr="00C725C6">
        <w:trPr>
          <w:jc w:val="center"/>
        </w:trPr>
        <w:tc>
          <w:tcPr>
            <w:tcW w:w="3265" w:type="dxa"/>
          </w:tcPr>
          <w:p w14:paraId="381467D0" w14:textId="77777777" w:rsidR="00F72BBA" w:rsidRPr="00C725C6" w:rsidRDefault="00F72BBA" w:rsidP="000543CA">
            <w:pPr>
              <w:pStyle w:val="ListParagraph"/>
              <w:keepNext/>
              <w:keepLines/>
              <w:ind w:left="0"/>
              <w:jc w:val="center"/>
              <w:rPr>
                <w:rFonts w:ascii="Arial" w:hAnsi="Arial" w:cs="Arial"/>
                <w:sz w:val="18"/>
                <w:szCs w:val="18"/>
              </w:rPr>
            </w:pPr>
            <w:r w:rsidRPr="00C725C6">
              <w:rPr>
                <w:rFonts w:ascii="Arial" w:hAnsi="Arial" w:cs="Arial"/>
                <w:sz w:val="18"/>
                <w:szCs w:val="18"/>
              </w:rPr>
              <w:t>30 MHz ≤ f &lt; 1 GHz</w:t>
            </w:r>
          </w:p>
        </w:tc>
        <w:tc>
          <w:tcPr>
            <w:tcW w:w="2548" w:type="dxa"/>
          </w:tcPr>
          <w:p w14:paraId="01DF6039" w14:textId="77777777" w:rsidR="00F72BBA" w:rsidRPr="00C725C6" w:rsidRDefault="00F72BBA" w:rsidP="000543CA">
            <w:pPr>
              <w:pStyle w:val="ListParagraph"/>
              <w:keepNext/>
              <w:keepLines/>
              <w:ind w:left="0"/>
              <w:jc w:val="center"/>
              <w:rPr>
                <w:rFonts w:ascii="Arial" w:hAnsi="Arial" w:cs="Arial"/>
                <w:sz w:val="18"/>
                <w:szCs w:val="18"/>
              </w:rPr>
            </w:pPr>
            <w:r w:rsidRPr="00C725C6">
              <w:rPr>
                <w:rFonts w:ascii="Arial" w:hAnsi="Arial" w:cs="Arial"/>
                <w:sz w:val="18"/>
                <w:szCs w:val="18"/>
              </w:rPr>
              <w:t>-57</w:t>
            </w:r>
          </w:p>
        </w:tc>
        <w:tc>
          <w:tcPr>
            <w:tcW w:w="1506" w:type="dxa"/>
          </w:tcPr>
          <w:p w14:paraId="717B0D06" w14:textId="77777777" w:rsidR="00F72BBA" w:rsidRPr="00C725C6" w:rsidRDefault="00F72BBA" w:rsidP="000543CA">
            <w:pPr>
              <w:pStyle w:val="ListParagraph"/>
              <w:keepNext/>
              <w:keepLines/>
              <w:ind w:left="0"/>
              <w:jc w:val="center"/>
              <w:rPr>
                <w:rFonts w:ascii="Arial" w:hAnsi="Arial" w:cs="Arial"/>
                <w:sz w:val="18"/>
                <w:szCs w:val="18"/>
              </w:rPr>
            </w:pPr>
            <w:r w:rsidRPr="00C725C6">
              <w:rPr>
                <w:rFonts w:ascii="Arial" w:hAnsi="Arial" w:cs="Arial"/>
                <w:sz w:val="18"/>
                <w:szCs w:val="18"/>
              </w:rPr>
              <w:t>100 kHz</w:t>
            </w:r>
          </w:p>
        </w:tc>
      </w:tr>
      <w:tr w:rsidR="00F72BBA" w:rsidRPr="007D04B2" w14:paraId="7A7DBF30" w14:textId="77777777" w:rsidTr="00C725C6">
        <w:trPr>
          <w:jc w:val="center"/>
        </w:trPr>
        <w:tc>
          <w:tcPr>
            <w:tcW w:w="3265" w:type="dxa"/>
            <w:shd w:val="clear" w:color="auto" w:fill="F2F2F2" w:themeFill="background1" w:themeFillShade="F2"/>
          </w:tcPr>
          <w:p w14:paraId="1FDC50D2" w14:textId="77777777" w:rsidR="00F72BBA" w:rsidRPr="00C725C6" w:rsidRDefault="00F72BBA" w:rsidP="000543CA">
            <w:pPr>
              <w:pStyle w:val="ListParagraph"/>
              <w:keepNext/>
              <w:keepLines/>
              <w:ind w:left="0"/>
              <w:jc w:val="center"/>
              <w:rPr>
                <w:rFonts w:ascii="Arial" w:hAnsi="Arial" w:cs="Arial"/>
                <w:sz w:val="18"/>
                <w:szCs w:val="18"/>
              </w:rPr>
            </w:pPr>
            <w:r w:rsidRPr="00C725C6">
              <w:rPr>
                <w:rFonts w:ascii="Arial" w:hAnsi="Arial" w:cs="Arial"/>
                <w:sz w:val="18"/>
                <w:szCs w:val="18"/>
              </w:rPr>
              <w:t>1 GHz ≤ f &lt; 12.75 GHz</w:t>
            </w:r>
          </w:p>
        </w:tc>
        <w:tc>
          <w:tcPr>
            <w:tcW w:w="2548" w:type="dxa"/>
            <w:shd w:val="clear" w:color="auto" w:fill="F2F2F2" w:themeFill="background1" w:themeFillShade="F2"/>
          </w:tcPr>
          <w:p w14:paraId="62154461" w14:textId="77777777" w:rsidR="00F72BBA" w:rsidRPr="00C725C6" w:rsidRDefault="00F72BBA" w:rsidP="000543CA">
            <w:pPr>
              <w:pStyle w:val="ListParagraph"/>
              <w:keepNext/>
              <w:keepLines/>
              <w:ind w:left="0"/>
              <w:jc w:val="center"/>
              <w:rPr>
                <w:rFonts w:ascii="Arial" w:hAnsi="Arial" w:cs="Arial"/>
                <w:sz w:val="18"/>
                <w:szCs w:val="18"/>
              </w:rPr>
            </w:pPr>
            <w:r w:rsidRPr="00C725C6">
              <w:rPr>
                <w:rFonts w:ascii="Arial" w:hAnsi="Arial" w:cs="Arial"/>
                <w:sz w:val="18"/>
                <w:szCs w:val="18"/>
              </w:rPr>
              <w:t>-47</w:t>
            </w:r>
          </w:p>
        </w:tc>
        <w:tc>
          <w:tcPr>
            <w:tcW w:w="1506" w:type="dxa"/>
            <w:shd w:val="clear" w:color="auto" w:fill="F2F2F2" w:themeFill="background1" w:themeFillShade="F2"/>
          </w:tcPr>
          <w:p w14:paraId="64ED3100" w14:textId="77777777" w:rsidR="00F72BBA" w:rsidRPr="00C725C6" w:rsidRDefault="00F72BBA" w:rsidP="000543CA">
            <w:pPr>
              <w:pStyle w:val="ListParagraph"/>
              <w:keepNext/>
              <w:keepLines/>
              <w:ind w:left="0"/>
              <w:jc w:val="center"/>
              <w:rPr>
                <w:rFonts w:ascii="Arial" w:hAnsi="Arial" w:cs="Arial"/>
                <w:sz w:val="18"/>
                <w:szCs w:val="18"/>
              </w:rPr>
            </w:pPr>
            <w:r w:rsidRPr="00C725C6">
              <w:rPr>
                <w:rFonts w:ascii="Arial" w:hAnsi="Arial" w:cs="Arial"/>
                <w:sz w:val="18"/>
                <w:szCs w:val="18"/>
              </w:rPr>
              <w:t>1 MHz</w:t>
            </w:r>
          </w:p>
        </w:tc>
      </w:tr>
    </w:tbl>
    <w:p w14:paraId="451C8DBF" w14:textId="3FA70D95" w:rsidR="00F72BBA" w:rsidRPr="007D04B2" w:rsidRDefault="00F72BBA" w:rsidP="00F72BBA">
      <w:pPr>
        <w:keepNext/>
        <w:keepLines/>
        <w:spacing w:after="80"/>
        <w:rPr>
          <w:rFonts w:cs="Arial"/>
        </w:rPr>
      </w:pPr>
    </w:p>
    <w:p w14:paraId="6B614CB4" w14:textId="0DDE772F" w:rsidR="00002C66" w:rsidRDefault="00002C66" w:rsidP="00002C66">
      <w:r>
        <w:t xml:space="preserve">The proposed spurious emission limits for non-AAS receivers operating in the lower 1800 MHz band are provided in Table </w:t>
      </w:r>
      <w:r w:rsidR="00AD5D42">
        <w:t>8</w:t>
      </w:r>
      <w:r>
        <w:t>. However, consistent with 3GPP TS 38.104, f</w:t>
      </w:r>
      <w:r w:rsidRPr="009113E5">
        <w:t>or a radiocommunications receiver where the antenna or transceiver array boundary connectors support both a radiocommunications receiver and a radiocommunications transmitter</w:t>
      </w:r>
      <w:r w:rsidR="001A5005">
        <w:t>,</w:t>
      </w:r>
      <w:r>
        <w:t xml:space="preserve"> the limits in Table 3 will apply instead.</w:t>
      </w:r>
    </w:p>
    <w:p w14:paraId="0EC895E5" w14:textId="4891CFEC" w:rsidR="00002C66" w:rsidRDefault="00002C66" w:rsidP="00002C66">
      <w:r>
        <w:t>Due to the integrated nature of AAS</w:t>
      </w:r>
      <w:r w:rsidR="009B105A">
        <w:t>,</w:t>
      </w:r>
      <w:r>
        <w:t xml:space="preserve"> the proposed spurious emission limits for AAS receivers operating in the lower 1800 MHz band are the same as the AAS transmitter spurious emission limits specified in Table 4.   </w:t>
      </w:r>
    </w:p>
    <w:p w14:paraId="7376B538" w14:textId="77ACFEBE" w:rsidR="00F72BBA" w:rsidRPr="007D04B2" w:rsidRDefault="00F72BBA" w:rsidP="00F72BBA">
      <w:pPr>
        <w:pStyle w:val="ACMATableHeader"/>
        <w:keepNext/>
        <w:keepLines/>
        <w:spacing w:line="240" w:lineRule="atLeast"/>
      </w:pPr>
      <w:r>
        <w:rPr>
          <w:rFonts w:cs="Arial"/>
        </w:rPr>
        <w:lastRenderedPageBreak/>
        <w:t>U</w:t>
      </w:r>
      <w:r w:rsidRPr="007D04B2">
        <w:rPr>
          <w:rFonts w:cs="Arial"/>
        </w:rPr>
        <w:t xml:space="preserve">nwanted emission limits </w:t>
      </w:r>
      <w:r>
        <w:rPr>
          <w:rFonts w:cs="Arial"/>
        </w:rPr>
        <w:t>for receivers operating in the upper 1800</w:t>
      </w:r>
      <w:r w:rsidR="00474C2A">
        <w:rPr>
          <w:rFonts w:cs="Arial"/>
        </w:rPr>
        <w:t> </w:t>
      </w:r>
      <w:r>
        <w:rPr>
          <w:rFonts w:cs="Arial"/>
        </w:rPr>
        <w:t xml:space="preserve">MHz band at </w:t>
      </w:r>
      <w:r w:rsidR="009B105A">
        <w:rPr>
          <w:rFonts w:cs="Arial"/>
        </w:rPr>
        <w:t xml:space="preserve">frequencies </w:t>
      </w:r>
      <w:r w:rsidRPr="007D04B2">
        <w:rPr>
          <w:rFonts w:cs="Arial"/>
        </w:rPr>
        <w:t xml:space="preserve">outside the </w:t>
      </w:r>
      <w:r>
        <w:t>1665</w:t>
      </w:r>
      <w:r w:rsidR="00AE59F5">
        <w:t>–</w:t>
      </w:r>
      <w:r>
        <w:t>18</w:t>
      </w:r>
      <w:r w:rsidR="00847B59">
        <w:t>3</w:t>
      </w:r>
      <w:r>
        <w:t xml:space="preserve">0 </w:t>
      </w:r>
      <w:r w:rsidRPr="007D04B2">
        <w:rPr>
          <w:rFonts w:cs="Arial"/>
        </w:rPr>
        <w:t xml:space="preserve">MHz band </w:t>
      </w:r>
      <w:r w:rsidR="00AE59F5">
        <w:rPr>
          <w:rFonts w:cs="Arial"/>
        </w:rPr>
        <w:br/>
      </w:r>
      <w:r w:rsidRPr="007D04B2">
        <w:rPr>
          <w:rFonts w:cs="Arial"/>
        </w:rPr>
        <w:t>–</w:t>
      </w:r>
      <w:r>
        <w:rPr>
          <w:rFonts w:cs="Arial"/>
        </w:rPr>
        <w:t xml:space="preserve"> all </w:t>
      </w:r>
      <w:r w:rsidRPr="007D04B2">
        <w:rPr>
          <w:rFonts w:cs="Arial"/>
        </w:rPr>
        <w:t>devices</w:t>
      </w:r>
      <w:r w:rsidRPr="007D04B2">
        <w:t>.</w:t>
      </w:r>
    </w:p>
    <w:tbl>
      <w:tblPr>
        <w:tblStyle w:val="TableGrid"/>
        <w:tblW w:w="7271" w:type="dxa"/>
        <w:jc w:val="center"/>
        <w:tblLook w:val="04A0" w:firstRow="1" w:lastRow="0" w:firstColumn="1" w:lastColumn="0" w:noHBand="0" w:noVBand="1"/>
      </w:tblPr>
      <w:tblGrid>
        <w:gridCol w:w="3401"/>
        <w:gridCol w:w="2270"/>
        <w:gridCol w:w="1600"/>
      </w:tblGrid>
      <w:tr w:rsidR="00C61D5A" w:rsidRPr="00C61D5A" w14:paraId="2126612E" w14:textId="77777777" w:rsidTr="00C61D5A">
        <w:trPr>
          <w:jc w:val="center"/>
        </w:trPr>
        <w:tc>
          <w:tcPr>
            <w:tcW w:w="3401" w:type="dxa"/>
            <w:shd w:val="clear" w:color="auto" w:fill="404040" w:themeFill="text1" w:themeFillTint="BF"/>
          </w:tcPr>
          <w:p w14:paraId="2C132792" w14:textId="42B5B2F0" w:rsidR="00F72BBA" w:rsidRPr="00C725C6" w:rsidRDefault="00F72BBA" w:rsidP="000543CA">
            <w:pPr>
              <w:pStyle w:val="ListParagraph"/>
              <w:keepNext/>
              <w:keepLines/>
              <w:ind w:left="0"/>
              <w:jc w:val="center"/>
              <w:rPr>
                <w:rFonts w:ascii="Arial" w:hAnsi="Arial" w:cs="Arial"/>
                <w:b/>
                <w:color w:val="FFFFFF" w:themeColor="background1"/>
              </w:rPr>
            </w:pPr>
            <w:r w:rsidRPr="00C725C6">
              <w:rPr>
                <w:rFonts w:ascii="Arial" w:hAnsi="Arial" w:cs="Arial"/>
                <w:b/>
                <w:color w:val="FFFFFF" w:themeColor="background1"/>
              </w:rPr>
              <w:t xml:space="preserve">Frequency </w:t>
            </w:r>
            <w:r w:rsidR="00AE59F5" w:rsidRPr="00C725C6">
              <w:rPr>
                <w:rFonts w:ascii="Arial" w:hAnsi="Arial" w:cs="Arial"/>
                <w:b/>
                <w:color w:val="FFFFFF" w:themeColor="background1"/>
              </w:rPr>
              <w:t>r</w:t>
            </w:r>
            <w:r w:rsidRPr="00C725C6">
              <w:rPr>
                <w:rFonts w:ascii="Arial" w:hAnsi="Arial" w:cs="Arial"/>
                <w:b/>
                <w:color w:val="FFFFFF" w:themeColor="background1"/>
              </w:rPr>
              <w:t>ange</w:t>
            </w:r>
          </w:p>
          <w:p w14:paraId="75E1DA30" w14:textId="77777777" w:rsidR="00F72BBA" w:rsidRPr="00C725C6" w:rsidRDefault="00F72BBA" w:rsidP="000543CA">
            <w:pPr>
              <w:pStyle w:val="ListParagraph"/>
              <w:keepNext/>
              <w:keepLines/>
              <w:ind w:left="0"/>
              <w:jc w:val="center"/>
              <w:rPr>
                <w:rFonts w:ascii="Arial" w:hAnsi="Arial" w:cs="Arial"/>
                <w:b/>
                <w:color w:val="FFFFFF" w:themeColor="background1"/>
              </w:rPr>
            </w:pPr>
            <w:r w:rsidRPr="00C725C6">
              <w:rPr>
                <w:rFonts w:ascii="Arial" w:hAnsi="Arial" w:cs="Arial"/>
                <w:b/>
                <w:color w:val="FFFFFF" w:themeColor="background1"/>
              </w:rPr>
              <w:t>(f)</w:t>
            </w:r>
          </w:p>
        </w:tc>
        <w:tc>
          <w:tcPr>
            <w:tcW w:w="2270" w:type="dxa"/>
            <w:shd w:val="clear" w:color="auto" w:fill="404040" w:themeFill="text1" w:themeFillTint="BF"/>
          </w:tcPr>
          <w:p w14:paraId="747C4E95" w14:textId="0DE28D38" w:rsidR="00F72BBA" w:rsidRPr="00C725C6" w:rsidRDefault="00F72BBA" w:rsidP="000543CA">
            <w:pPr>
              <w:pStyle w:val="ListParagraph"/>
              <w:keepNext/>
              <w:keepLines/>
              <w:ind w:left="0"/>
              <w:jc w:val="center"/>
              <w:rPr>
                <w:rFonts w:ascii="Arial" w:hAnsi="Arial" w:cs="Arial"/>
                <w:b/>
                <w:color w:val="FFFFFF" w:themeColor="background1"/>
              </w:rPr>
            </w:pPr>
            <w:r w:rsidRPr="00C725C6">
              <w:rPr>
                <w:rFonts w:ascii="Arial" w:hAnsi="Arial" w:cs="Arial"/>
                <w:b/>
                <w:color w:val="FFFFFF" w:themeColor="background1"/>
              </w:rPr>
              <w:t xml:space="preserve">Total </w:t>
            </w:r>
            <w:r w:rsidR="00AE59F5" w:rsidRPr="00C725C6">
              <w:rPr>
                <w:rFonts w:ascii="Arial" w:hAnsi="Arial" w:cs="Arial"/>
                <w:b/>
                <w:color w:val="FFFFFF" w:themeColor="background1"/>
              </w:rPr>
              <w:t>r</w:t>
            </w:r>
            <w:r w:rsidRPr="00C725C6">
              <w:rPr>
                <w:rFonts w:ascii="Arial" w:hAnsi="Arial" w:cs="Arial"/>
                <w:b/>
                <w:color w:val="FFFFFF" w:themeColor="background1"/>
              </w:rPr>
              <w:t xml:space="preserve">adiated </w:t>
            </w:r>
            <w:r w:rsidR="00AE59F5" w:rsidRPr="00C725C6">
              <w:rPr>
                <w:rFonts w:ascii="Arial" w:hAnsi="Arial" w:cs="Arial"/>
                <w:b/>
                <w:color w:val="FFFFFF" w:themeColor="background1"/>
              </w:rPr>
              <w:t>p</w:t>
            </w:r>
            <w:r w:rsidRPr="00C725C6">
              <w:rPr>
                <w:rFonts w:ascii="Arial" w:hAnsi="Arial" w:cs="Arial"/>
                <w:b/>
                <w:color w:val="FFFFFF" w:themeColor="background1"/>
              </w:rPr>
              <w:t xml:space="preserve">ower (dBm) </w:t>
            </w:r>
          </w:p>
        </w:tc>
        <w:tc>
          <w:tcPr>
            <w:tcW w:w="1600" w:type="dxa"/>
            <w:shd w:val="clear" w:color="auto" w:fill="404040" w:themeFill="text1" w:themeFillTint="BF"/>
          </w:tcPr>
          <w:p w14:paraId="5FDFA0BD" w14:textId="4750505F" w:rsidR="00F72BBA" w:rsidRPr="00C725C6" w:rsidRDefault="00F72BBA" w:rsidP="000543CA">
            <w:pPr>
              <w:pStyle w:val="ListParagraph"/>
              <w:keepNext/>
              <w:keepLines/>
              <w:ind w:left="0"/>
              <w:jc w:val="center"/>
              <w:rPr>
                <w:rFonts w:ascii="Arial" w:hAnsi="Arial" w:cs="Arial"/>
                <w:b/>
                <w:color w:val="FFFFFF" w:themeColor="background1"/>
              </w:rPr>
            </w:pPr>
            <w:r w:rsidRPr="00C725C6">
              <w:rPr>
                <w:rFonts w:ascii="Arial" w:hAnsi="Arial" w:cs="Arial"/>
                <w:b/>
                <w:color w:val="FFFFFF" w:themeColor="background1"/>
              </w:rPr>
              <w:t xml:space="preserve">Measurement </w:t>
            </w:r>
            <w:r w:rsidR="00AE59F5" w:rsidRPr="00C725C6">
              <w:rPr>
                <w:rFonts w:ascii="Arial" w:hAnsi="Arial" w:cs="Arial"/>
                <w:b/>
                <w:color w:val="FFFFFF" w:themeColor="background1"/>
              </w:rPr>
              <w:t>b</w:t>
            </w:r>
            <w:r w:rsidRPr="00C725C6">
              <w:rPr>
                <w:rFonts w:ascii="Arial" w:hAnsi="Arial" w:cs="Arial"/>
                <w:b/>
                <w:color w:val="FFFFFF" w:themeColor="background1"/>
              </w:rPr>
              <w:t>andwidth</w:t>
            </w:r>
          </w:p>
        </w:tc>
      </w:tr>
      <w:tr w:rsidR="00F72BBA" w:rsidRPr="007D04B2" w14:paraId="0EC8750B" w14:textId="77777777" w:rsidTr="00C725C6">
        <w:trPr>
          <w:jc w:val="center"/>
        </w:trPr>
        <w:tc>
          <w:tcPr>
            <w:tcW w:w="3401" w:type="dxa"/>
          </w:tcPr>
          <w:p w14:paraId="586AF87A" w14:textId="77777777" w:rsidR="00F72BBA" w:rsidRPr="00C725C6" w:rsidRDefault="00F72BBA" w:rsidP="000543CA">
            <w:pPr>
              <w:pStyle w:val="ListParagraph"/>
              <w:keepNext/>
              <w:keepLines/>
              <w:ind w:left="0"/>
              <w:jc w:val="center"/>
              <w:rPr>
                <w:rFonts w:ascii="Arial" w:hAnsi="Arial" w:cs="Arial"/>
                <w:sz w:val="18"/>
                <w:szCs w:val="18"/>
              </w:rPr>
            </w:pPr>
            <w:r w:rsidRPr="00C725C6">
              <w:rPr>
                <w:rFonts w:ascii="Arial" w:hAnsi="Arial" w:cs="Arial"/>
                <w:sz w:val="18"/>
                <w:szCs w:val="18"/>
              </w:rPr>
              <w:t>30 MHz ≤ f &lt; 1 GHz</w:t>
            </w:r>
          </w:p>
        </w:tc>
        <w:tc>
          <w:tcPr>
            <w:tcW w:w="2270" w:type="dxa"/>
          </w:tcPr>
          <w:p w14:paraId="1ACB4733" w14:textId="77777777" w:rsidR="00F72BBA" w:rsidRPr="00C725C6" w:rsidRDefault="00F72BBA" w:rsidP="000543CA">
            <w:pPr>
              <w:pStyle w:val="ListParagraph"/>
              <w:keepNext/>
              <w:keepLines/>
              <w:ind w:left="0"/>
              <w:jc w:val="center"/>
              <w:rPr>
                <w:rFonts w:ascii="Arial" w:hAnsi="Arial" w:cs="Arial"/>
                <w:sz w:val="18"/>
                <w:szCs w:val="18"/>
              </w:rPr>
            </w:pPr>
            <w:r w:rsidRPr="00C725C6">
              <w:rPr>
                <w:rFonts w:ascii="Arial" w:hAnsi="Arial" w:cs="Arial"/>
                <w:sz w:val="18"/>
                <w:szCs w:val="18"/>
              </w:rPr>
              <w:t>-57</w:t>
            </w:r>
          </w:p>
        </w:tc>
        <w:tc>
          <w:tcPr>
            <w:tcW w:w="1600" w:type="dxa"/>
          </w:tcPr>
          <w:p w14:paraId="03773211" w14:textId="77777777" w:rsidR="00F72BBA" w:rsidRPr="00C725C6" w:rsidRDefault="00F72BBA" w:rsidP="000543CA">
            <w:pPr>
              <w:pStyle w:val="ListParagraph"/>
              <w:keepNext/>
              <w:keepLines/>
              <w:ind w:left="0"/>
              <w:jc w:val="center"/>
              <w:rPr>
                <w:rFonts w:ascii="Arial" w:hAnsi="Arial" w:cs="Arial"/>
                <w:sz w:val="18"/>
                <w:szCs w:val="18"/>
              </w:rPr>
            </w:pPr>
            <w:r w:rsidRPr="00C725C6">
              <w:rPr>
                <w:rFonts w:ascii="Arial" w:hAnsi="Arial" w:cs="Arial"/>
                <w:sz w:val="18"/>
                <w:szCs w:val="18"/>
              </w:rPr>
              <w:t>100 kHz</w:t>
            </w:r>
          </w:p>
        </w:tc>
      </w:tr>
      <w:tr w:rsidR="00F72BBA" w:rsidRPr="007D04B2" w14:paraId="7454A11F" w14:textId="77777777" w:rsidTr="00C725C6">
        <w:trPr>
          <w:jc w:val="center"/>
        </w:trPr>
        <w:tc>
          <w:tcPr>
            <w:tcW w:w="3401" w:type="dxa"/>
            <w:shd w:val="clear" w:color="auto" w:fill="F2F2F2" w:themeFill="background1" w:themeFillShade="F2"/>
          </w:tcPr>
          <w:p w14:paraId="3B3EE9AF" w14:textId="77777777" w:rsidR="00F72BBA" w:rsidRPr="00C725C6" w:rsidRDefault="00F72BBA" w:rsidP="000543CA">
            <w:pPr>
              <w:pStyle w:val="ListParagraph"/>
              <w:keepNext/>
              <w:keepLines/>
              <w:ind w:left="0"/>
              <w:jc w:val="center"/>
              <w:rPr>
                <w:rFonts w:ascii="Arial" w:hAnsi="Arial" w:cs="Arial"/>
                <w:sz w:val="18"/>
                <w:szCs w:val="18"/>
              </w:rPr>
            </w:pPr>
            <w:r w:rsidRPr="00C725C6">
              <w:rPr>
                <w:rFonts w:ascii="Arial" w:hAnsi="Arial" w:cs="Arial"/>
                <w:sz w:val="18"/>
                <w:szCs w:val="18"/>
              </w:rPr>
              <w:t>1 GHz ≤ f &lt; 12.75 GHz</w:t>
            </w:r>
          </w:p>
        </w:tc>
        <w:tc>
          <w:tcPr>
            <w:tcW w:w="2270" w:type="dxa"/>
            <w:shd w:val="clear" w:color="auto" w:fill="F2F2F2" w:themeFill="background1" w:themeFillShade="F2"/>
          </w:tcPr>
          <w:p w14:paraId="7797AB5F" w14:textId="77777777" w:rsidR="00F72BBA" w:rsidRPr="00C725C6" w:rsidRDefault="00F72BBA" w:rsidP="000543CA">
            <w:pPr>
              <w:pStyle w:val="ListParagraph"/>
              <w:keepNext/>
              <w:keepLines/>
              <w:ind w:left="0"/>
              <w:jc w:val="center"/>
              <w:rPr>
                <w:rFonts w:ascii="Arial" w:hAnsi="Arial" w:cs="Arial"/>
                <w:sz w:val="18"/>
                <w:szCs w:val="18"/>
              </w:rPr>
            </w:pPr>
            <w:r w:rsidRPr="00C725C6">
              <w:rPr>
                <w:rFonts w:ascii="Arial" w:hAnsi="Arial" w:cs="Arial"/>
                <w:sz w:val="18"/>
                <w:szCs w:val="18"/>
              </w:rPr>
              <w:t>-47</w:t>
            </w:r>
          </w:p>
        </w:tc>
        <w:tc>
          <w:tcPr>
            <w:tcW w:w="1600" w:type="dxa"/>
            <w:shd w:val="clear" w:color="auto" w:fill="F2F2F2" w:themeFill="background1" w:themeFillShade="F2"/>
          </w:tcPr>
          <w:p w14:paraId="109662B0" w14:textId="77777777" w:rsidR="00F72BBA" w:rsidRPr="00C725C6" w:rsidRDefault="00F72BBA" w:rsidP="000543CA">
            <w:pPr>
              <w:pStyle w:val="ListParagraph"/>
              <w:keepNext/>
              <w:keepLines/>
              <w:ind w:left="0"/>
              <w:jc w:val="center"/>
              <w:rPr>
                <w:rFonts w:ascii="Arial" w:hAnsi="Arial" w:cs="Arial"/>
                <w:sz w:val="18"/>
                <w:szCs w:val="18"/>
              </w:rPr>
            </w:pPr>
            <w:r w:rsidRPr="00C725C6">
              <w:rPr>
                <w:rFonts w:ascii="Arial" w:hAnsi="Arial" w:cs="Arial"/>
                <w:sz w:val="18"/>
                <w:szCs w:val="18"/>
              </w:rPr>
              <w:t>1 MHz</w:t>
            </w:r>
          </w:p>
        </w:tc>
      </w:tr>
    </w:tbl>
    <w:p w14:paraId="100D8DBE" w14:textId="7303747B" w:rsidR="00F72BBA" w:rsidRDefault="00F72BBA" w:rsidP="00F72BBA">
      <w:pPr>
        <w:pStyle w:val="ListBullet"/>
        <w:numPr>
          <w:ilvl w:val="0"/>
          <w:numId w:val="0"/>
        </w:numPr>
        <w:spacing w:after="240"/>
        <w:ind w:left="295" w:hanging="295"/>
      </w:pPr>
    </w:p>
    <w:p w14:paraId="7D22480F" w14:textId="0209D003" w:rsidR="0010535B" w:rsidRPr="00602151" w:rsidRDefault="00FE3D80" w:rsidP="00DC152A">
      <w:pPr>
        <w:pStyle w:val="Heading4"/>
      </w:pPr>
      <w:r w:rsidRPr="00602151">
        <w:t>In-band emission limits</w:t>
      </w:r>
    </w:p>
    <w:p w14:paraId="7635EB53" w14:textId="6F281ABC" w:rsidR="00D148F2" w:rsidRDefault="00D33DCC" w:rsidP="00C725C6">
      <w:pPr>
        <w:pStyle w:val="Paragraphbeforelist"/>
      </w:pPr>
      <w:r w:rsidRPr="00602151">
        <w:t xml:space="preserve">It is proposed to </w:t>
      </w:r>
      <w:r w:rsidR="00AD5D42">
        <w:t xml:space="preserve">change the existing in-band emission limits as detailed below. </w:t>
      </w:r>
      <w:r w:rsidRPr="0038741C">
        <w:t xml:space="preserve">This would involve a change to </w:t>
      </w:r>
      <w:r w:rsidR="00B17C7A">
        <w:t>Core Condition</w:t>
      </w:r>
      <w:r w:rsidRPr="0038741C">
        <w:t xml:space="preserve"> 1</w:t>
      </w:r>
      <w:r w:rsidR="00AD5D42">
        <w:t>5</w:t>
      </w:r>
      <w:r w:rsidRPr="0038741C">
        <w:t xml:space="preserve"> of Licence Schedule 2 of existing </w:t>
      </w:r>
      <w:r w:rsidR="009700B6">
        <w:t>1800</w:t>
      </w:r>
      <w:r w:rsidR="00AE59F5">
        <w:t> </w:t>
      </w:r>
      <w:r w:rsidR="009700B6">
        <w:t>MHz</w:t>
      </w:r>
      <w:r w:rsidR="008E76E5">
        <w:t xml:space="preserve"> band </w:t>
      </w:r>
      <w:r w:rsidRPr="0038741C">
        <w:t>spectrum licences</w:t>
      </w:r>
      <w:r w:rsidR="007D493A">
        <w:t>:</w:t>
      </w:r>
    </w:p>
    <w:p w14:paraId="63F0A7E2" w14:textId="5E12C044" w:rsidR="007D493A" w:rsidRDefault="00B43200" w:rsidP="00C725C6">
      <w:pPr>
        <w:pStyle w:val="Bulletlevel1"/>
      </w:pPr>
      <w:r>
        <w:t xml:space="preserve">EIRP of </w:t>
      </w:r>
      <w:r w:rsidR="007D493A">
        <w:t xml:space="preserve">54.5 dBm/30 kHz for GSM-R </w:t>
      </w:r>
      <w:r w:rsidR="002C4BA0">
        <w:t>transmitters</w:t>
      </w:r>
      <w:r w:rsidR="00AE59F5">
        <w:t>.</w:t>
      </w:r>
      <w:r w:rsidR="007D493A">
        <w:t xml:space="preserve"> </w:t>
      </w:r>
    </w:p>
    <w:p w14:paraId="226574C7" w14:textId="45E8BBC2" w:rsidR="007D493A" w:rsidRDefault="007D493A" w:rsidP="00C725C6">
      <w:pPr>
        <w:pStyle w:val="Bulletlevel1"/>
      </w:pPr>
      <w:r>
        <w:t>TRP of 50</w:t>
      </w:r>
      <w:r w:rsidRPr="00792707">
        <w:t xml:space="preserve"> dBm/5 MHz</w:t>
      </w:r>
      <w:r>
        <w:t xml:space="preserve"> for all other </w:t>
      </w:r>
      <w:r w:rsidR="002C4BA0">
        <w:t>transmitters</w:t>
      </w:r>
      <w:r w:rsidR="003E3742">
        <w:t xml:space="preserve"> operating </w:t>
      </w:r>
      <w:r>
        <w:t>in metropolitan areas</w:t>
      </w:r>
      <w:r w:rsidR="002C4BA0">
        <w:t xml:space="preserve">. For the purposes of this condition, </w:t>
      </w:r>
      <w:r w:rsidR="002C4BA0" w:rsidRPr="00DC4B80">
        <w:t>metropolitan a</w:t>
      </w:r>
      <w:r w:rsidR="002C4BA0">
        <w:t>reas are the following areas of high mobile use defined in Schedule 4 of the s.145</w:t>
      </w:r>
      <w:r w:rsidR="009B105A">
        <w:t>(4)</w:t>
      </w:r>
      <w:r w:rsidR="002C4BA0">
        <w:t xml:space="preserve"> determination: Adelaide, Brisbane, Melbourne, Perth and Sydney.</w:t>
      </w:r>
    </w:p>
    <w:p w14:paraId="745FFE79" w14:textId="70969069" w:rsidR="003D3C48" w:rsidRPr="00AF3F4C" w:rsidRDefault="007D493A" w:rsidP="00C725C6">
      <w:pPr>
        <w:pStyle w:val="Bulletlevel1last"/>
        <w:rPr>
          <w:b/>
          <w:i/>
        </w:rPr>
      </w:pPr>
      <w:r>
        <w:t>TRP of 53</w:t>
      </w:r>
      <w:r w:rsidRPr="00792707">
        <w:t xml:space="preserve"> dBm/5 MHz</w:t>
      </w:r>
      <w:r>
        <w:t xml:space="preserve"> for </w:t>
      </w:r>
      <w:r w:rsidR="003E3742">
        <w:t xml:space="preserve">all other </w:t>
      </w:r>
      <w:r w:rsidR="002C4BA0">
        <w:t>transmitters</w:t>
      </w:r>
      <w:r>
        <w:t xml:space="preserve"> </w:t>
      </w:r>
      <w:r w:rsidR="003E3742">
        <w:t>operating outside</w:t>
      </w:r>
      <w:r>
        <w:t xml:space="preserve"> </w:t>
      </w:r>
      <w:r w:rsidR="003E3742">
        <w:t>of metropolitan</w:t>
      </w:r>
      <w:r w:rsidR="00AE59F5">
        <w:t> </w:t>
      </w:r>
      <w:r>
        <w:t>areas</w:t>
      </w:r>
      <w:r w:rsidR="003E3742">
        <w:t>.</w:t>
      </w:r>
    </w:p>
    <w:p w14:paraId="278F6254" w14:textId="79C4222D" w:rsidR="005B30E4" w:rsidRPr="00D148F2" w:rsidRDefault="005B30E4" w:rsidP="00DC152A">
      <w:pPr>
        <w:pStyle w:val="Heading4"/>
      </w:pPr>
      <w:r w:rsidRPr="00D148F2">
        <w:t>Devices exempt from registration</w:t>
      </w:r>
    </w:p>
    <w:p w14:paraId="383718D1" w14:textId="5B2EFE8F" w:rsidR="005B30E4" w:rsidRDefault="005B30E4" w:rsidP="00C725C6">
      <w:pPr>
        <w:spacing w:after="120"/>
        <w:rPr>
          <w:rFonts w:cs="Arial"/>
        </w:rPr>
      </w:pPr>
      <w:r w:rsidRPr="00D148F2">
        <w:rPr>
          <w:rFonts w:cs="Arial"/>
        </w:rPr>
        <w:t>It is proposed to amend</w:t>
      </w:r>
      <w:r w:rsidR="00627288" w:rsidRPr="00D148F2">
        <w:rPr>
          <w:rFonts w:cs="Arial"/>
        </w:rPr>
        <w:t xml:space="preserve"> </w:t>
      </w:r>
      <w:r w:rsidRPr="00D148F2">
        <w:rPr>
          <w:rFonts w:cs="Arial"/>
        </w:rPr>
        <w:t>the existing definition of devices that are exempt from registration, as defined in statutory condition 4 of Li</w:t>
      </w:r>
      <w:r w:rsidRPr="00D644ED">
        <w:rPr>
          <w:rFonts w:cs="Arial"/>
        </w:rPr>
        <w:t>cen</w:t>
      </w:r>
      <w:r w:rsidR="00231C96" w:rsidRPr="00602151">
        <w:rPr>
          <w:rFonts w:cs="Arial"/>
        </w:rPr>
        <w:t>c</w:t>
      </w:r>
      <w:r w:rsidRPr="00602151">
        <w:rPr>
          <w:rFonts w:cs="Arial"/>
        </w:rPr>
        <w:t xml:space="preserve">e Schedule 3 of existing </w:t>
      </w:r>
      <w:r w:rsidR="009700B6">
        <w:rPr>
          <w:rFonts w:cs="Arial"/>
        </w:rPr>
        <w:t>1800</w:t>
      </w:r>
      <w:r w:rsidR="00847B59">
        <w:rPr>
          <w:rFonts w:cs="Arial"/>
        </w:rPr>
        <w:t> </w:t>
      </w:r>
      <w:r w:rsidR="009700B6">
        <w:rPr>
          <w:rFonts w:cs="Arial"/>
        </w:rPr>
        <w:t>MHz</w:t>
      </w:r>
      <w:r w:rsidR="003551DA">
        <w:rPr>
          <w:rFonts w:cs="Arial"/>
        </w:rPr>
        <w:t xml:space="preserve"> band </w:t>
      </w:r>
      <w:r w:rsidRPr="00602151">
        <w:rPr>
          <w:rFonts w:cs="Arial"/>
        </w:rPr>
        <w:t>spectrum licences</w:t>
      </w:r>
      <w:r w:rsidR="00C61D5A">
        <w:rPr>
          <w:rFonts w:cs="Arial"/>
        </w:rPr>
        <w:t>:</w:t>
      </w:r>
      <w:r w:rsidR="00627288" w:rsidRPr="00602151">
        <w:rPr>
          <w:rFonts w:cs="Arial"/>
        </w:rPr>
        <w:t xml:space="preserve"> </w:t>
      </w:r>
    </w:p>
    <w:p w14:paraId="62EB6904" w14:textId="6A1AFDEF" w:rsidR="007D493A" w:rsidRPr="00602151" w:rsidRDefault="007D493A" w:rsidP="005B30E4">
      <w:pPr>
        <w:rPr>
          <w:rFonts w:cs="Arial"/>
        </w:rPr>
      </w:pPr>
      <w:r w:rsidRPr="00D2010F">
        <w:rPr>
          <w:rFonts w:cs="Arial"/>
          <w:noProof/>
        </w:rPr>
        <mc:AlternateContent>
          <mc:Choice Requires="wps">
            <w:drawing>
              <wp:inline distT="0" distB="0" distL="0" distR="0" wp14:anchorId="288C9683" wp14:editId="0042E64E">
                <wp:extent cx="4597879" cy="1905000"/>
                <wp:effectExtent l="0" t="0" r="12700" b="19050"/>
                <wp:docPr id="6" name="Text Box 6"/>
                <wp:cNvGraphicFramePr/>
                <a:graphic xmlns:a="http://schemas.openxmlformats.org/drawingml/2006/main">
                  <a:graphicData uri="http://schemas.microsoft.com/office/word/2010/wordprocessingShape">
                    <wps:wsp>
                      <wps:cNvSpPr txBox="1"/>
                      <wps:spPr>
                        <a:xfrm>
                          <a:off x="0" y="0"/>
                          <a:ext cx="4597879" cy="1905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28AE3E" w14:textId="77777777" w:rsidR="007D493A" w:rsidRPr="00C206D9" w:rsidRDefault="007D493A" w:rsidP="007D493A">
                            <w:pPr>
                              <w:spacing w:after="0" w:line="290" w:lineRule="exact"/>
                              <w:ind w:left="152"/>
                              <w:outlineLvl w:val="1"/>
                              <w:rPr>
                                <w:rFonts w:ascii="Times New Roman" w:hAnsi="Times New Roman"/>
                                <w:b/>
                                <w:szCs w:val="20"/>
                              </w:rPr>
                            </w:pPr>
                            <w:r>
                              <w:rPr>
                                <w:rFonts w:ascii="Times New Roman" w:hAnsi="Times New Roman"/>
                                <w:b/>
                                <w:szCs w:val="20"/>
                              </w:rPr>
                              <w:t>Exemption from registration requirements</w:t>
                            </w:r>
                          </w:p>
                          <w:p w14:paraId="3FB18107" w14:textId="77777777" w:rsidR="007D493A" w:rsidRPr="00C206D9" w:rsidRDefault="007D493A" w:rsidP="007D493A">
                            <w:pPr>
                              <w:spacing w:after="120"/>
                              <w:ind w:left="568" w:hanging="416"/>
                              <w:rPr>
                                <w:rFonts w:ascii="Times New Roman" w:hAnsi="Times New Roman"/>
                                <w:szCs w:val="20"/>
                              </w:rPr>
                            </w:pPr>
                            <w:r>
                              <w:rPr>
                                <w:rFonts w:ascii="Times New Roman" w:hAnsi="Times New Roman"/>
                                <w:szCs w:val="20"/>
                              </w:rPr>
                              <w:t>1</w:t>
                            </w:r>
                            <w:r w:rsidRPr="00C206D9">
                              <w:rPr>
                                <w:rFonts w:ascii="Times New Roman" w:hAnsi="Times New Roman"/>
                                <w:szCs w:val="20"/>
                              </w:rPr>
                              <w:t>.</w:t>
                            </w:r>
                            <w:r w:rsidRPr="00C206D9">
                              <w:rPr>
                                <w:rFonts w:ascii="Times New Roman" w:hAnsi="Times New Roman"/>
                                <w:szCs w:val="20"/>
                              </w:rPr>
                              <w:tab/>
                            </w:r>
                            <w:r>
                              <w:rPr>
                                <w:rFonts w:ascii="TimesNewRoman" w:hAnsi="TimesNewRoman" w:cs="TimesNewRoman"/>
                                <w:sz w:val="21"/>
                                <w:szCs w:val="21"/>
                              </w:rPr>
                              <w:t>The following kinds of radiocommunications transmitters are exempt from the registration requirement in Statutory Condition 3</w:t>
                            </w:r>
                            <w:r w:rsidRPr="00C206D9">
                              <w:rPr>
                                <w:rFonts w:ascii="Times New Roman" w:hAnsi="Times New Roman"/>
                                <w:szCs w:val="20"/>
                              </w:rPr>
                              <w:t>:</w:t>
                            </w:r>
                          </w:p>
                          <w:p w14:paraId="17AFB0CD" w14:textId="77777777" w:rsidR="007D493A" w:rsidRDefault="007D493A" w:rsidP="007D493A">
                            <w:pPr>
                              <w:pStyle w:val="Jeanpara"/>
                              <w:tabs>
                                <w:tab w:val="left" w:pos="1134"/>
                              </w:tabs>
                              <w:spacing w:after="120"/>
                              <w:ind w:left="1134" w:hanging="425"/>
                              <w:rPr>
                                <w:sz w:val="20"/>
                              </w:rPr>
                            </w:pPr>
                            <w:r w:rsidRPr="00C206D9">
                              <w:rPr>
                                <w:sz w:val="20"/>
                              </w:rPr>
                              <w:t>(a)</w:t>
                            </w:r>
                            <w:r>
                              <w:rPr>
                                <w:sz w:val="20"/>
                              </w:rPr>
                              <w:tab/>
                            </w:r>
                            <w:r>
                              <w:rPr>
                                <w:rFonts w:ascii="TimesNewRoman" w:hAnsi="TimesNewRoman" w:cs="TimesNewRoman"/>
                                <w:sz w:val="21"/>
                                <w:szCs w:val="21"/>
                              </w:rPr>
                              <w:t xml:space="preserve">a transmitter that operates in the 1800 MHz band with a total radiated power of less than or equal to 28 dBm per occupied bandwidth; </w:t>
                            </w:r>
                            <w:r w:rsidRPr="00C206D9">
                              <w:rPr>
                                <w:sz w:val="20"/>
                              </w:rPr>
                              <w:tab/>
                            </w:r>
                          </w:p>
                          <w:p w14:paraId="4A1E7859" w14:textId="745E5B1A" w:rsidR="007D493A" w:rsidRDefault="007D493A" w:rsidP="007D493A">
                            <w:pPr>
                              <w:pStyle w:val="Jeanpara"/>
                              <w:tabs>
                                <w:tab w:val="left" w:pos="1134"/>
                              </w:tabs>
                              <w:spacing w:after="120"/>
                              <w:ind w:left="1134" w:hanging="425"/>
                              <w:rPr>
                                <w:rFonts w:ascii="TimesNewRoman" w:hAnsi="TimesNewRoman" w:cs="TimesNewRoman"/>
                                <w:sz w:val="21"/>
                                <w:szCs w:val="21"/>
                              </w:rPr>
                            </w:pPr>
                            <w:r>
                              <w:rPr>
                                <w:rFonts w:ascii="TimesNewRoman" w:hAnsi="TimesNewRoman" w:cs="TimesNewRoman"/>
                                <w:sz w:val="21"/>
                                <w:szCs w:val="21"/>
                              </w:rPr>
                              <w:t>(b)   a GSM-R mobile transmitter that operates in the 1800 MHz band with a</w:t>
                            </w:r>
                            <w:r w:rsidR="00A748B6">
                              <w:rPr>
                                <w:rFonts w:ascii="TimesNewRoman" w:hAnsi="TimesNewRoman" w:cs="TimesNewRoman"/>
                                <w:sz w:val="21"/>
                                <w:szCs w:val="21"/>
                              </w:rPr>
                              <w:t>n</w:t>
                            </w:r>
                            <w:r>
                              <w:rPr>
                                <w:rFonts w:ascii="TimesNewRoman" w:hAnsi="TimesNewRoman" w:cs="TimesNewRoman"/>
                                <w:sz w:val="21"/>
                                <w:szCs w:val="21"/>
                              </w:rPr>
                              <w:t xml:space="preserve"> </w:t>
                            </w:r>
                            <w:r w:rsidR="00A748B6">
                              <w:rPr>
                                <w:rFonts w:ascii="TimesNewRoman" w:hAnsi="TimesNewRoman" w:cs="TimesNewRoman"/>
                                <w:sz w:val="21"/>
                                <w:szCs w:val="21"/>
                              </w:rPr>
                              <w:t xml:space="preserve">EIRP </w:t>
                            </w:r>
                            <w:r>
                              <w:rPr>
                                <w:rFonts w:ascii="TimesNewRoman" w:hAnsi="TimesNewRoman" w:cs="TimesNewRoman"/>
                                <w:sz w:val="21"/>
                                <w:szCs w:val="21"/>
                              </w:rPr>
                              <w:t>of less than or equal to 39 dBm per occupied bandwidth; or</w:t>
                            </w:r>
                          </w:p>
                          <w:p w14:paraId="0FDE9C33" w14:textId="4CF13787" w:rsidR="007D493A" w:rsidRPr="00C206D9" w:rsidRDefault="007D493A" w:rsidP="00C725C6">
                            <w:pPr>
                              <w:spacing w:before="120" w:after="120"/>
                              <w:ind w:left="1134" w:hanging="425"/>
                              <w:rPr>
                                <w:rFonts w:ascii="Times New Roman" w:hAnsi="Times New Roman"/>
                                <w:szCs w:val="20"/>
                              </w:rPr>
                            </w:pPr>
                            <w:r>
                              <w:rPr>
                                <w:rFonts w:ascii="TimesNewRoman" w:hAnsi="TimesNewRoman" w:cs="TimesNewRoman"/>
                                <w:sz w:val="21"/>
                                <w:szCs w:val="21"/>
                              </w:rPr>
                              <w:t>(c)   a FRMCS mobile transmitter that operates in the 1800 MHz band with a total radiated power of less than or equal to 31 dBm per occupied bandwidth.</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inline>
            </w:drawing>
          </mc:Choice>
          <mc:Fallback>
            <w:pict>
              <v:shapetype w14:anchorId="288C9683" id="_x0000_t202" coordsize="21600,21600" o:spt="202" path="m,l,21600r21600,l21600,xe">
                <v:stroke joinstyle="miter"/>
                <v:path gradientshapeok="t" o:connecttype="rect"/>
              </v:shapetype>
              <v:shape id="Text Box 6" o:spid="_x0000_s1026" type="#_x0000_t202" style="width:362.0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" fillcolor="white [3201]" strokeweight=".5pt">
                <v:textbox inset="1mm,,1mm">
                  <w:txbxContent>
                    <w:p w14:paraId="7C28AE3E" w14:textId="77777777" w:rsidR="007D493A" w:rsidRPr="00C206D9" w:rsidRDefault="007D493A" w:rsidP="007D493A">
                      <w:pPr>
                        <w:spacing w:after="0" w:line="290" w:lineRule="exact"/>
                        <w:ind w:left="152"/>
                        <w:outlineLvl w:val="1"/>
                        <w:rPr>
                          <w:rFonts w:ascii="Times New Roman" w:hAnsi="Times New Roman"/>
                          <w:b/>
                          <w:szCs w:val="20"/>
                        </w:rPr>
                      </w:pPr>
                      <w:r>
                        <w:rPr>
                          <w:rFonts w:ascii="Times New Roman" w:hAnsi="Times New Roman"/>
                          <w:b/>
                          <w:szCs w:val="20"/>
                        </w:rPr>
                        <w:t>Exemption from registration requirements</w:t>
                      </w:r>
                    </w:p>
                    <w:p w14:paraId="3FB18107" w14:textId="77777777" w:rsidR="007D493A" w:rsidRPr="00C206D9" w:rsidRDefault="007D493A" w:rsidP="007D493A">
                      <w:pPr>
                        <w:spacing w:after="120"/>
                        <w:ind w:left="568" w:hanging="416"/>
                        <w:rPr>
                          <w:rFonts w:ascii="Times New Roman" w:hAnsi="Times New Roman"/>
                          <w:szCs w:val="20"/>
                        </w:rPr>
                      </w:pPr>
                      <w:r>
                        <w:rPr>
                          <w:rFonts w:ascii="Times New Roman" w:hAnsi="Times New Roman"/>
                          <w:szCs w:val="20"/>
                        </w:rPr>
                        <w:t>1</w:t>
                      </w:r>
                      <w:r w:rsidRPr="00C206D9">
                        <w:rPr>
                          <w:rFonts w:ascii="Times New Roman" w:hAnsi="Times New Roman"/>
                          <w:szCs w:val="20"/>
                        </w:rPr>
                        <w:t>.</w:t>
                      </w:r>
                      <w:r w:rsidRPr="00C206D9">
                        <w:rPr>
                          <w:rFonts w:ascii="Times New Roman" w:hAnsi="Times New Roman"/>
                          <w:szCs w:val="20"/>
                        </w:rPr>
                        <w:tab/>
                      </w:r>
                      <w:r>
                        <w:rPr>
                          <w:rFonts w:ascii="TimesNewRoman" w:hAnsi="TimesNewRoman" w:cs="TimesNewRoman"/>
                          <w:sz w:val="21"/>
                          <w:szCs w:val="21"/>
                        </w:rPr>
                        <w:t>The following kinds of radiocommunications transmitters are exempt from the registration requirement in Statutory Condition 3</w:t>
                      </w:r>
                      <w:r w:rsidRPr="00C206D9">
                        <w:rPr>
                          <w:rFonts w:ascii="Times New Roman" w:hAnsi="Times New Roman"/>
                          <w:szCs w:val="20"/>
                        </w:rPr>
                        <w:t>:</w:t>
                      </w:r>
                    </w:p>
                    <w:p w14:paraId="17AFB0CD" w14:textId="77777777" w:rsidR="007D493A" w:rsidRDefault="007D493A" w:rsidP="007D493A">
                      <w:pPr>
                        <w:pStyle w:val="Jeanpara"/>
                        <w:tabs>
                          <w:tab w:val="left" w:pos="1134"/>
                        </w:tabs>
                        <w:spacing w:after="120"/>
                        <w:ind w:left="1134" w:hanging="425"/>
                        <w:rPr>
                          <w:sz w:val="20"/>
                        </w:rPr>
                      </w:pPr>
                      <w:r w:rsidRPr="00C206D9">
                        <w:rPr>
                          <w:sz w:val="20"/>
                        </w:rPr>
                        <w:t>(a)</w:t>
                      </w:r>
                      <w:r>
                        <w:rPr>
                          <w:sz w:val="20"/>
                        </w:rPr>
                        <w:tab/>
                      </w:r>
                      <w:r>
                        <w:rPr>
                          <w:rFonts w:ascii="TimesNewRoman" w:hAnsi="TimesNewRoman" w:cs="TimesNewRoman"/>
                          <w:sz w:val="21"/>
                          <w:szCs w:val="21"/>
                        </w:rPr>
                        <w:t xml:space="preserve">a transmitter that operates in the 1800 MHz band with a total radiated power of less than or equal to 28 dBm per occupied bandwidth; </w:t>
                      </w:r>
                      <w:r w:rsidRPr="00C206D9">
                        <w:rPr>
                          <w:sz w:val="20"/>
                        </w:rPr>
                        <w:tab/>
                      </w:r>
                    </w:p>
                    <w:p w14:paraId="4A1E7859" w14:textId="745E5B1A" w:rsidR="007D493A" w:rsidRDefault="007D493A" w:rsidP="007D493A">
                      <w:pPr>
                        <w:pStyle w:val="Jeanpara"/>
                        <w:tabs>
                          <w:tab w:val="left" w:pos="1134"/>
                        </w:tabs>
                        <w:spacing w:after="120"/>
                        <w:ind w:left="1134" w:hanging="425"/>
                        <w:rPr>
                          <w:rFonts w:ascii="TimesNewRoman" w:hAnsi="TimesNewRoman" w:cs="TimesNewRoman"/>
                          <w:sz w:val="21"/>
                          <w:szCs w:val="21"/>
                        </w:rPr>
                      </w:pPr>
                      <w:r>
                        <w:rPr>
                          <w:rFonts w:ascii="TimesNewRoman" w:hAnsi="TimesNewRoman" w:cs="TimesNewRoman"/>
                          <w:sz w:val="21"/>
                          <w:szCs w:val="21"/>
                        </w:rPr>
                        <w:t>(b)   a GSM-R mobile transmitter that operates in the 1800 MHz band with a</w:t>
                      </w:r>
                      <w:r w:rsidR="00A748B6">
                        <w:rPr>
                          <w:rFonts w:ascii="TimesNewRoman" w:hAnsi="TimesNewRoman" w:cs="TimesNewRoman"/>
                          <w:sz w:val="21"/>
                          <w:szCs w:val="21"/>
                        </w:rPr>
                        <w:t>n</w:t>
                      </w:r>
                      <w:r>
                        <w:rPr>
                          <w:rFonts w:ascii="TimesNewRoman" w:hAnsi="TimesNewRoman" w:cs="TimesNewRoman"/>
                          <w:sz w:val="21"/>
                          <w:szCs w:val="21"/>
                        </w:rPr>
                        <w:t xml:space="preserve"> </w:t>
                      </w:r>
                      <w:r w:rsidR="00A748B6">
                        <w:rPr>
                          <w:rFonts w:ascii="TimesNewRoman" w:hAnsi="TimesNewRoman" w:cs="TimesNewRoman"/>
                          <w:sz w:val="21"/>
                          <w:szCs w:val="21"/>
                        </w:rPr>
                        <w:t xml:space="preserve">EIRP </w:t>
                      </w:r>
                      <w:r>
                        <w:rPr>
                          <w:rFonts w:ascii="TimesNewRoman" w:hAnsi="TimesNewRoman" w:cs="TimesNewRoman"/>
                          <w:sz w:val="21"/>
                          <w:szCs w:val="21"/>
                        </w:rPr>
                        <w:t>of less than or equal to 39 dBm per occupied bandwidth; or</w:t>
                      </w:r>
                    </w:p>
                    <w:p w14:paraId="0FDE9C33" w14:textId="4CF13787" w:rsidR="007D493A" w:rsidRPr="00C206D9" w:rsidRDefault="007D493A" w:rsidP="00C725C6">
                      <w:pPr>
                        <w:spacing w:before="120" w:after="120"/>
                        <w:ind w:left="1134" w:hanging="425"/>
                        <w:rPr>
                          <w:rFonts w:ascii="Times New Roman" w:hAnsi="Times New Roman"/>
                          <w:szCs w:val="20"/>
                        </w:rPr>
                      </w:pPr>
                      <w:r>
                        <w:rPr>
                          <w:rFonts w:ascii="TimesNewRoman" w:hAnsi="TimesNewRoman" w:cs="TimesNewRoman"/>
                          <w:sz w:val="21"/>
                          <w:szCs w:val="21"/>
                        </w:rPr>
                        <w:t>(c)   a FRMCS mobile transmitter that operates in the 1800 MHz band with a total radiated power of less than or equal to 31 dBm per occupied bandwidth.</w:t>
                      </w:r>
                    </w:p>
                  </w:txbxContent>
                </v:textbox>
                <w10:anchorlock/>
              </v:shape>
            </w:pict>
          </mc:Fallback>
        </mc:AlternateContent>
      </w:r>
    </w:p>
    <w:p w14:paraId="7DAB1294" w14:textId="28F25926" w:rsidR="00023157" w:rsidRPr="0038741C" w:rsidRDefault="00023157" w:rsidP="00C725C6">
      <w:pPr>
        <w:pStyle w:val="Heading3"/>
        <w:spacing w:before="240"/>
      </w:pPr>
      <w:bookmarkStart w:id="44" w:name="_Toc58241146"/>
      <w:bookmarkStart w:id="45" w:name="_Toc83989336"/>
      <w:r w:rsidRPr="0038741C">
        <w:t>Proposed changes to the s.145(4) determination</w:t>
      </w:r>
      <w:bookmarkEnd w:id="44"/>
      <w:bookmarkEnd w:id="45"/>
    </w:p>
    <w:p w14:paraId="7E546BD3" w14:textId="3EB017F7" w:rsidR="00023157" w:rsidRDefault="006D3D87" w:rsidP="00AF3F4C">
      <w:r w:rsidRPr="0038741C">
        <w:t xml:space="preserve">The ACMA is proposing to amend the </w:t>
      </w:r>
      <w:r w:rsidR="00CF23FA">
        <w:t>s.</w:t>
      </w:r>
      <w:r w:rsidRPr="0038741C">
        <w:t xml:space="preserve">145(4) determination as detailed </w:t>
      </w:r>
      <w:r w:rsidR="009C4D1E" w:rsidRPr="0038741C">
        <w:t>in the amendment instrument</w:t>
      </w:r>
      <w:r w:rsidR="00812CED">
        <w:t xml:space="preserve">, available </w:t>
      </w:r>
      <w:r w:rsidR="00EC401D">
        <w:t>in the key documents section of this consultation</w:t>
      </w:r>
      <w:r w:rsidR="009C4D1E" w:rsidRPr="0038741C">
        <w:t>.</w:t>
      </w:r>
      <w:r w:rsidRPr="0038741C">
        <w:t xml:space="preserve"> A</w:t>
      </w:r>
      <w:r w:rsidR="009C4D1E" w:rsidRPr="0038741C">
        <w:t xml:space="preserve"> high-level summary of the key changes </w:t>
      </w:r>
      <w:r w:rsidR="00231C96" w:rsidRPr="00DB5756">
        <w:t xml:space="preserve">is </w:t>
      </w:r>
      <w:r w:rsidR="009C4D1E" w:rsidRPr="00DB5756">
        <w:t>provide</w:t>
      </w:r>
      <w:r w:rsidR="00231C96" w:rsidRPr="00DB5756">
        <w:t>d</w:t>
      </w:r>
      <w:r w:rsidR="009C4D1E" w:rsidRPr="00DB5756">
        <w:t xml:space="preserve"> in Table </w:t>
      </w:r>
      <w:r w:rsidR="00211AE0">
        <w:t>10</w:t>
      </w:r>
      <w:r w:rsidR="009C4D1E" w:rsidRPr="00DB5756">
        <w:t xml:space="preserve">. </w:t>
      </w:r>
      <w:r w:rsidRPr="00DB5756">
        <w:t xml:space="preserve"> </w:t>
      </w:r>
    </w:p>
    <w:p w14:paraId="78BCDF6D" w14:textId="5AB0B7BD" w:rsidR="005D51CC" w:rsidRDefault="0066779D" w:rsidP="00C725C6">
      <w:pPr>
        <w:pStyle w:val="Paragraphbeforelist"/>
      </w:pPr>
      <w:r>
        <w:t>While not considered in the TLG, the ACMA</w:t>
      </w:r>
      <w:r w:rsidR="005D51CC">
        <w:t xml:space="preserve"> </w:t>
      </w:r>
      <w:r w:rsidR="00847B59">
        <w:t xml:space="preserve">has </w:t>
      </w:r>
      <w:r w:rsidR="005D51CC">
        <w:t>also</w:t>
      </w:r>
      <w:r>
        <w:t xml:space="preserve"> identified</w:t>
      </w:r>
      <w:r w:rsidR="00233962">
        <w:t xml:space="preserve"> </w:t>
      </w:r>
      <w:r w:rsidR="00905292">
        <w:t>other minor changes to the determination</w:t>
      </w:r>
      <w:r w:rsidR="005D51CC">
        <w:t>:</w:t>
      </w:r>
      <w:r>
        <w:t xml:space="preserve"> </w:t>
      </w:r>
    </w:p>
    <w:p w14:paraId="2BFDE27C" w14:textId="31F64590" w:rsidR="005D51CC" w:rsidRPr="00AF3F4C" w:rsidRDefault="009B105A" w:rsidP="00C725C6">
      <w:pPr>
        <w:pStyle w:val="Bulletlevel1"/>
      </w:pPr>
      <w:r>
        <w:t>Paragraph</w:t>
      </w:r>
      <w:r w:rsidR="005D51CC">
        <w:t xml:space="preserve"> </w:t>
      </w:r>
      <w:r w:rsidR="005D51CC" w:rsidRPr="00AF3F4C">
        <w:t>9(g) of the s.145</w:t>
      </w:r>
      <w:r>
        <w:t>(4)</w:t>
      </w:r>
      <w:r w:rsidR="005D51CC" w:rsidRPr="00AF3F4C">
        <w:t xml:space="preserve"> determination is not required. This </w:t>
      </w:r>
      <w:r>
        <w:t>paragraph</w:t>
      </w:r>
      <w:r w:rsidR="005D51CC">
        <w:t xml:space="preserve"> </w:t>
      </w:r>
      <w:r w:rsidR="005D51CC" w:rsidRPr="00AF3F4C">
        <w:t xml:space="preserve">states that mobile transmitters that operate with a horizontally radiated power greater than 39 dBm EIRP within their occupied bandwidth are deemed to cause </w:t>
      </w:r>
      <w:r w:rsidR="005D51CC" w:rsidRPr="005D51CC">
        <w:t>interference</w:t>
      </w:r>
      <w:r w:rsidR="005D51CC" w:rsidRPr="00AF3F4C">
        <w:t xml:space="preserve">. It is considered that this is </w:t>
      </w:r>
      <w:r w:rsidR="005D51CC">
        <w:t xml:space="preserve">already </w:t>
      </w:r>
      <w:r w:rsidR="005D51CC" w:rsidRPr="00AF3F4C">
        <w:t xml:space="preserve">covered by </w:t>
      </w:r>
      <w:r w:rsidR="00847B59">
        <w:t xml:space="preserve">the proposed </w:t>
      </w:r>
      <w:r w:rsidR="00F7342A">
        <w:t>paragraph</w:t>
      </w:r>
      <w:r w:rsidR="00847B59">
        <w:t xml:space="preserve"> 9(1)(b)</w:t>
      </w:r>
      <w:r w:rsidRPr="00E922E9">
        <w:t xml:space="preserve">, proposed to be inserted by </w:t>
      </w:r>
      <w:r w:rsidR="00847B59">
        <w:t>the amendment instrument</w:t>
      </w:r>
      <w:r w:rsidR="005D51CC" w:rsidRPr="00AF3F4C">
        <w:t xml:space="preserve">. </w:t>
      </w:r>
    </w:p>
    <w:p w14:paraId="71CA1FED" w14:textId="42778F5C" w:rsidR="005D51CC" w:rsidRDefault="005D51CC" w:rsidP="00C725C6">
      <w:pPr>
        <w:pStyle w:val="Bulletlevel1"/>
      </w:pPr>
      <w:r>
        <w:lastRenderedPageBreak/>
        <w:t>A</w:t>
      </w:r>
      <w:r w:rsidR="0066779D" w:rsidRPr="00AF3F4C">
        <w:t xml:space="preserve"> minor error in Vincenty’s formulae detailed in Part 3 of Schedule 3 of the s.145</w:t>
      </w:r>
      <w:r w:rsidR="009B105A">
        <w:t>(4)</w:t>
      </w:r>
      <w:r w:rsidR="0066779D" w:rsidRPr="00AF3F4C">
        <w:t xml:space="preserve"> determination</w:t>
      </w:r>
      <w:r w:rsidR="009B105A">
        <w:t xml:space="preserve"> </w:t>
      </w:r>
      <w:r w:rsidR="009B105A" w:rsidRPr="009B105A">
        <w:t>should be corrected</w:t>
      </w:r>
      <w:r w:rsidR="0066779D" w:rsidRPr="00AF3F4C">
        <w:t xml:space="preserve">. The ACMA proposes amending the formula </w:t>
      </w:r>
      <w:r w:rsidR="002C4BA0">
        <w:t>to correct this error</w:t>
      </w:r>
      <w:r w:rsidR="0066779D" w:rsidRPr="00AF3F4C">
        <w:t xml:space="preserve">. </w:t>
      </w:r>
    </w:p>
    <w:p w14:paraId="35589A97" w14:textId="34AF672F" w:rsidR="00002C66" w:rsidRPr="00AF3F4C" w:rsidRDefault="0066779D" w:rsidP="00C725C6">
      <w:pPr>
        <w:pStyle w:val="Bulletlevel1"/>
      </w:pPr>
      <w:r w:rsidRPr="005D51CC">
        <w:t xml:space="preserve">Several </w:t>
      </w:r>
      <w:r w:rsidR="009B105A">
        <w:t>minor</w:t>
      </w:r>
      <w:r w:rsidRPr="005D51CC">
        <w:t xml:space="preserve"> amendments to align the s.145</w:t>
      </w:r>
      <w:r w:rsidR="009B105A">
        <w:t>(4)</w:t>
      </w:r>
      <w:r w:rsidRPr="005D51CC">
        <w:t xml:space="preserve"> </w:t>
      </w:r>
      <w:r w:rsidR="005D51CC" w:rsidRPr="005D51CC">
        <w:t>determination</w:t>
      </w:r>
      <w:r w:rsidRPr="005D51CC">
        <w:t xml:space="preserve"> with </w:t>
      </w:r>
      <w:r w:rsidR="005D51CC" w:rsidRPr="005D51CC">
        <w:t>recently made and amended determination</w:t>
      </w:r>
      <w:r w:rsidR="009B105A">
        <w:t>s</w:t>
      </w:r>
      <w:r w:rsidR="005D51CC" w:rsidRPr="005D51CC">
        <w:t xml:space="preserve"> </w:t>
      </w:r>
      <w:r w:rsidR="009B105A">
        <w:t>for</w:t>
      </w:r>
      <w:r w:rsidR="009B105A" w:rsidRPr="005D51CC">
        <w:t xml:space="preserve"> </w:t>
      </w:r>
      <w:r w:rsidR="005D51CC" w:rsidRPr="005D51CC">
        <w:t>the 850/900 MHz, 2.3 GHz, 3.4 GHz and 26 GHz bands</w:t>
      </w:r>
      <w:r w:rsidR="009B105A" w:rsidRPr="009B105A">
        <w:t xml:space="preserve"> are proposed.</w:t>
      </w:r>
    </w:p>
    <w:p w14:paraId="07F37740" w14:textId="51313EB6" w:rsidR="00002C66" w:rsidRPr="003018F2" w:rsidRDefault="009B105A" w:rsidP="00C725C6">
      <w:pPr>
        <w:pStyle w:val="Bulletlevel1last"/>
      </w:pPr>
      <w:r>
        <w:t>The i</w:t>
      </w:r>
      <w:r w:rsidR="00233962">
        <w:t>nclusion of a</w:t>
      </w:r>
      <w:r w:rsidR="00002C66" w:rsidRPr="0015000A">
        <w:t xml:space="preserve"> grandfathering clause for existing device registrations</w:t>
      </w:r>
      <w:r>
        <w:t xml:space="preserve"> is proposed</w:t>
      </w:r>
      <w:r w:rsidR="00002C66" w:rsidRPr="0015000A">
        <w:t xml:space="preserve">. </w:t>
      </w:r>
      <w:r w:rsidR="00BB778C">
        <w:t>Such a clause</w:t>
      </w:r>
      <w:r w:rsidR="00002C66" w:rsidRPr="0015000A">
        <w:t xml:space="preserve"> </w:t>
      </w:r>
      <w:r w:rsidR="00905292">
        <w:t xml:space="preserve">is intended to clarify </w:t>
      </w:r>
      <w:r w:rsidR="00002C66" w:rsidRPr="0015000A">
        <w:t xml:space="preserve">that a device is only required to adhere to the </w:t>
      </w:r>
      <w:r w:rsidRPr="009B105A">
        <w:t xml:space="preserve">version of the </w:t>
      </w:r>
      <w:r w:rsidR="00002C66" w:rsidRPr="0015000A">
        <w:t xml:space="preserve">s.145(4) </w:t>
      </w:r>
      <w:r>
        <w:t>d</w:t>
      </w:r>
      <w:r w:rsidRPr="0015000A">
        <w:t xml:space="preserve">etermination </w:t>
      </w:r>
      <w:r w:rsidR="00002C66" w:rsidRPr="0015000A">
        <w:t xml:space="preserve">that </w:t>
      </w:r>
      <w:r>
        <w:t>was</w:t>
      </w:r>
      <w:r w:rsidRPr="0015000A">
        <w:t xml:space="preserve"> </w:t>
      </w:r>
      <w:r w:rsidR="00002C66" w:rsidRPr="0015000A">
        <w:t xml:space="preserve">in force at the time </w:t>
      </w:r>
      <w:r>
        <w:t>the</w:t>
      </w:r>
      <w:r w:rsidRPr="0015000A">
        <w:t xml:space="preserve"> </w:t>
      </w:r>
      <w:r w:rsidR="00002C66" w:rsidRPr="0015000A">
        <w:t xml:space="preserve">device </w:t>
      </w:r>
      <w:r>
        <w:t>was</w:t>
      </w:r>
      <w:r w:rsidRPr="0015000A">
        <w:t xml:space="preserve"> </w:t>
      </w:r>
      <w:r w:rsidR="00002C66" w:rsidRPr="0015000A">
        <w:t xml:space="preserve">registered. </w:t>
      </w:r>
      <w:r w:rsidR="00BB778C">
        <w:t>It also</w:t>
      </w:r>
      <w:r w:rsidR="00002C66" w:rsidRPr="0015000A">
        <w:t xml:space="preserve"> avoids any uncertainty over the impact the proposed changes may have on existing device registrations. </w:t>
      </w:r>
      <w:r w:rsidR="00BB778C">
        <w:t xml:space="preserve">A similar clause has been included in the unacceptable levels of interference determination for other </w:t>
      </w:r>
      <w:r w:rsidR="00113B02">
        <w:t xml:space="preserve">spectrum licensed </w:t>
      </w:r>
      <w:r w:rsidR="00BB778C">
        <w:t xml:space="preserve">bands. </w:t>
      </w:r>
      <w:r w:rsidR="00002C66" w:rsidRPr="0015000A">
        <w:t>However, the grandfathering clause, as currently</w:t>
      </w:r>
      <w:r w:rsidR="00BB778C">
        <w:t xml:space="preserve"> specified for other bands</w:t>
      </w:r>
      <w:r w:rsidR="00002C66" w:rsidRPr="0015000A">
        <w:t>, does not cover minor modifications to an existing registration. For example, changes that results in the same or lower horizontal radiated power for the purposes of device boundary calculations</w:t>
      </w:r>
      <w:r w:rsidR="006D7C60">
        <w:t>, or</w:t>
      </w:r>
      <w:r w:rsidR="00002C66" w:rsidRPr="0015000A">
        <w:t xml:space="preserve"> changes that result in the same or smaller device boundary as originally calculated when registering a device</w:t>
      </w:r>
      <w:r w:rsidRPr="009B105A">
        <w:t>, would result in the clause not applying to the device.</w:t>
      </w:r>
      <w:r w:rsidR="00002C66" w:rsidRPr="0015000A">
        <w:t xml:space="preserve"> </w:t>
      </w:r>
      <w:r w:rsidR="00BB778C">
        <w:t>Feedback is sought on whether the grandfathering clause should enable such changes.</w:t>
      </w:r>
      <w:r w:rsidR="00002C66" w:rsidRPr="0015000A">
        <w:t xml:space="preserve"> </w:t>
      </w:r>
    </w:p>
    <w:p w14:paraId="62A5D80F" w14:textId="4C8E3E29" w:rsidR="00002C66" w:rsidRPr="00D148F2" w:rsidRDefault="00002C66" w:rsidP="00002C66">
      <w:pPr>
        <w:pStyle w:val="Tableheading0"/>
        <w:numPr>
          <w:ilvl w:val="0"/>
          <w:numId w:val="7"/>
        </w:numPr>
        <w:tabs>
          <w:tab w:val="clear" w:pos="7627"/>
          <w:tab w:val="num" w:pos="964"/>
        </w:tabs>
        <w:spacing w:before="240"/>
        <w:ind w:left="964"/>
      </w:pPr>
      <w:r w:rsidRPr="00D148F2">
        <w:t xml:space="preserve">Summary </w:t>
      </w:r>
      <w:r>
        <w:t>of the key</w:t>
      </w:r>
      <w:r w:rsidRPr="00D148F2">
        <w:t xml:space="preserve"> proposed changes to the s.145(4) determination</w:t>
      </w:r>
    </w:p>
    <w:tbl>
      <w:tblPr>
        <w:tblStyle w:val="ACMAtablestyle"/>
        <w:tblW w:w="7933" w:type="dxa"/>
        <w:tblLayout w:type="fixed"/>
        <w:tblCellMar>
          <w:top w:w="85" w:type="dxa"/>
          <w:bottom w:w="85" w:type="dxa"/>
        </w:tblCellMar>
        <w:tblLook w:val="01E0" w:firstRow="1" w:lastRow="1" w:firstColumn="1" w:lastColumn="1" w:noHBand="0" w:noVBand="0"/>
        <w:tblCaption w:val="Table title to go here"/>
        <w:tblDescription w:val="Table description to go here"/>
      </w:tblPr>
      <w:tblGrid>
        <w:gridCol w:w="3966"/>
        <w:gridCol w:w="3967"/>
      </w:tblGrid>
      <w:tr w:rsidR="003E3335" w:rsidRPr="00602151" w14:paraId="3F6AC694" w14:textId="55956A16" w:rsidTr="00C725C6">
        <w:trPr>
          <w:cnfStyle w:val="100000000000" w:firstRow="1" w:lastRow="0" w:firstColumn="0" w:lastColumn="0" w:oddVBand="0" w:evenVBand="0" w:oddHBand="0" w:evenHBand="0" w:firstRowFirstColumn="0" w:firstRowLastColumn="0" w:lastRowFirstColumn="0" w:lastRowLastColumn="0"/>
        </w:trPr>
        <w:tc>
          <w:tcPr>
            <w:tcW w:w="0" w:type="dxa"/>
          </w:tcPr>
          <w:p w14:paraId="0F5EA154" w14:textId="77777777" w:rsidR="003E3335" w:rsidRPr="00E32714" w:rsidRDefault="003E3335" w:rsidP="009140FF">
            <w:pPr>
              <w:pStyle w:val="Tableheaderrow"/>
            </w:pPr>
            <w:r w:rsidRPr="00E32714">
              <w:t>Item</w:t>
            </w:r>
          </w:p>
        </w:tc>
        <w:tc>
          <w:tcPr>
            <w:tcW w:w="0" w:type="dxa"/>
          </w:tcPr>
          <w:p w14:paraId="3C5FB9E1" w14:textId="77777777" w:rsidR="003E3335" w:rsidRPr="00E32714" w:rsidRDefault="003E3335" w:rsidP="009140FF">
            <w:pPr>
              <w:pStyle w:val="Tableheaderrow"/>
            </w:pPr>
            <w:r w:rsidRPr="00E32714">
              <w:t>Proposed change</w:t>
            </w:r>
          </w:p>
        </w:tc>
      </w:tr>
      <w:tr w:rsidR="003E3335" w:rsidRPr="00602151" w14:paraId="1A62BC91" w14:textId="709E1F92" w:rsidTr="00C725C6">
        <w:trPr>
          <w:cnfStyle w:val="000000100000" w:firstRow="0" w:lastRow="0" w:firstColumn="0" w:lastColumn="0" w:oddVBand="0" w:evenVBand="0" w:oddHBand="1" w:evenHBand="0" w:firstRowFirstColumn="0" w:firstRowLastColumn="0" w:lastRowFirstColumn="0" w:lastRowLastColumn="0"/>
        </w:trPr>
        <w:tc>
          <w:tcPr>
            <w:tcW w:w="0" w:type="dxa"/>
          </w:tcPr>
          <w:p w14:paraId="7E50ED6F" w14:textId="77777777" w:rsidR="003E3335" w:rsidRPr="00602151" w:rsidRDefault="003E3335" w:rsidP="009140FF">
            <w:pPr>
              <w:pStyle w:val="TableBody"/>
            </w:pPr>
            <w:r w:rsidRPr="00602151">
              <w:t>Adopt a higher resolution DEM</w:t>
            </w:r>
          </w:p>
        </w:tc>
        <w:tc>
          <w:tcPr>
            <w:tcW w:w="0" w:type="dxa"/>
          </w:tcPr>
          <w:p w14:paraId="01B1BB15" w14:textId="77777777" w:rsidR="003E3335" w:rsidRPr="0038741C" w:rsidRDefault="003E3335" w:rsidP="009140FF">
            <w:pPr>
              <w:pStyle w:val="TableBody"/>
            </w:pPr>
            <w:r w:rsidRPr="00602151">
              <w:t xml:space="preserve">Adopt the </w:t>
            </w:r>
            <w:hyperlink r:id="rId54" w:history="1">
              <w:r w:rsidRPr="0038741C">
                <w:rPr>
                  <w:rStyle w:val="Hyperlink"/>
                  <w:iCs/>
                </w:rPr>
                <w:t>3 Second SRTM Derived Digital Elevation Model (DEM) Version 1.0. Record 1.0</w:t>
              </w:r>
            </w:hyperlink>
            <w:r w:rsidRPr="0038741C">
              <w:rPr>
                <w:iCs/>
              </w:rPr>
              <w:t xml:space="preserve"> (given the persistent identifier </w:t>
            </w:r>
            <w:hyperlink r:id="rId55" w:history="1">
              <w:r w:rsidRPr="0047042E">
                <w:rPr>
                  <w:rStyle w:val="Hyperlink"/>
                  <w:iCs/>
                </w:rPr>
                <w:t>http://pid.geoscience.gov.au/dataset/ga/69888</w:t>
              </w:r>
            </w:hyperlink>
            <w:r w:rsidRPr="0038741C">
              <w:rPr>
                <w:iCs/>
              </w:rPr>
              <w:t xml:space="preserve"> by Geoscience Australia)</w:t>
            </w:r>
          </w:p>
        </w:tc>
      </w:tr>
      <w:tr w:rsidR="003E3335" w:rsidRPr="00602151" w14:paraId="403B7533" w14:textId="6A8AFA60" w:rsidTr="00C725C6">
        <w:trPr>
          <w:cnfStyle w:val="000000010000" w:firstRow="0" w:lastRow="0" w:firstColumn="0" w:lastColumn="0" w:oddVBand="0" w:evenVBand="0" w:oddHBand="0" w:evenHBand="1" w:firstRowFirstColumn="0" w:firstRowLastColumn="0" w:lastRowFirstColumn="0" w:lastRowLastColumn="0"/>
        </w:trPr>
        <w:tc>
          <w:tcPr>
            <w:tcW w:w="0" w:type="dxa"/>
          </w:tcPr>
          <w:p w14:paraId="58E8D966" w14:textId="77777777" w:rsidR="003E3335" w:rsidRPr="00602151" w:rsidRDefault="003E3335" w:rsidP="009140FF">
            <w:pPr>
              <w:pStyle w:val="TableBody"/>
            </w:pPr>
            <w:r w:rsidRPr="00602151">
              <w:t>DBC failures over ocean paths</w:t>
            </w:r>
          </w:p>
        </w:tc>
        <w:tc>
          <w:tcPr>
            <w:tcW w:w="0" w:type="dxa"/>
          </w:tcPr>
          <w:p w14:paraId="77E8FCE9" w14:textId="49447FE2" w:rsidR="003E3335" w:rsidRPr="00602151" w:rsidRDefault="003E3335" w:rsidP="009140FF">
            <w:pPr>
              <w:pStyle w:val="TableBody"/>
            </w:pPr>
            <w:r w:rsidRPr="00602151">
              <w:t xml:space="preserve">Add a new </w:t>
            </w:r>
            <w:r>
              <w:t>subsection</w:t>
            </w:r>
            <w:r w:rsidRPr="00602151">
              <w:t xml:space="preserve"> 9(</w:t>
            </w:r>
            <w:r>
              <w:t>2</w:t>
            </w:r>
            <w:r w:rsidRPr="00602151">
              <w:t xml:space="preserve">) </w:t>
            </w:r>
            <w:r w:rsidR="00046063">
              <w:t>which would provide that</w:t>
            </w:r>
            <w:r w:rsidRPr="00602151">
              <w:t xml:space="preserve"> DBC failures over ocean</w:t>
            </w:r>
            <w:r w:rsidR="00046063">
              <w:t>-</w:t>
            </w:r>
            <w:r w:rsidRPr="00602151">
              <w:t xml:space="preserve">only paths are not </w:t>
            </w:r>
            <w:r>
              <w:t xml:space="preserve">taken to cause an </w:t>
            </w:r>
            <w:r w:rsidRPr="00602151">
              <w:t xml:space="preserve">unacceptable </w:t>
            </w:r>
            <w:r>
              <w:t>level of</w:t>
            </w:r>
            <w:r w:rsidRPr="00602151">
              <w:t xml:space="preserve"> interference. </w:t>
            </w:r>
          </w:p>
        </w:tc>
      </w:tr>
      <w:tr w:rsidR="003E3335" w:rsidRPr="00602151" w14:paraId="52C29B44" w14:textId="482C4290" w:rsidTr="00C725C6">
        <w:trPr>
          <w:cnfStyle w:val="000000100000" w:firstRow="0" w:lastRow="0" w:firstColumn="0" w:lastColumn="0" w:oddVBand="0" w:evenVBand="0" w:oddHBand="1" w:evenHBand="0" w:firstRowFirstColumn="0" w:firstRowLastColumn="0" w:lastRowFirstColumn="0" w:lastRowLastColumn="0"/>
        </w:trPr>
        <w:tc>
          <w:tcPr>
            <w:tcW w:w="0" w:type="dxa"/>
          </w:tcPr>
          <w:p w14:paraId="440BF76D" w14:textId="77777777" w:rsidR="003E3335" w:rsidRPr="00602151" w:rsidRDefault="003E3335" w:rsidP="009140FF">
            <w:pPr>
              <w:pStyle w:val="TableBody"/>
            </w:pPr>
            <w:r w:rsidRPr="00602151">
              <w:t>Increase DBC calculation resolution</w:t>
            </w:r>
          </w:p>
        </w:tc>
        <w:tc>
          <w:tcPr>
            <w:tcW w:w="0" w:type="dxa"/>
          </w:tcPr>
          <w:p w14:paraId="1A1FD888" w14:textId="4E2C9834" w:rsidR="003E3335" w:rsidRPr="00602151" w:rsidRDefault="003E3335" w:rsidP="009140FF">
            <w:pPr>
              <w:pStyle w:val="TableBody"/>
            </w:pPr>
            <w:r w:rsidRPr="00602151">
              <w:t xml:space="preserve">Change DBC calculation resolution </w:t>
            </w:r>
            <w:r>
              <w:t xml:space="preserve">along each radial </w:t>
            </w:r>
            <w:r w:rsidRPr="00602151">
              <w:t>from 500</w:t>
            </w:r>
            <w:r w:rsidR="00E767BA">
              <w:t xml:space="preserve"> </w:t>
            </w:r>
            <w:r w:rsidRPr="00602151">
              <w:t>m to 100</w:t>
            </w:r>
            <w:r w:rsidR="00E767BA">
              <w:t xml:space="preserve"> </w:t>
            </w:r>
            <w:r w:rsidRPr="00602151">
              <w:t xml:space="preserve">m in Schedules 2 and 3. To account for the change in calculation resolution, the maximum value of </w:t>
            </w:r>
            <w:r w:rsidR="00E767BA">
              <w:t>‘</w:t>
            </w:r>
            <w:r w:rsidRPr="00C725C6">
              <w:t>m</w:t>
            </w:r>
            <w:r w:rsidR="00E767BA">
              <w:t>’</w:t>
            </w:r>
            <w:r w:rsidRPr="00602151">
              <w:t xml:space="preserve"> (used in DBC calculations) also needs to be changed</w:t>
            </w:r>
            <w:r>
              <w:t xml:space="preserve">. The parameter </w:t>
            </w:r>
            <w:r w:rsidR="00E767BA">
              <w:t>‘</w:t>
            </w:r>
            <w:r w:rsidRPr="00C725C6">
              <w:t>m</w:t>
            </w:r>
            <w:r w:rsidR="00E767BA">
              <w:t>’</w:t>
            </w:r>
            <w:r>
              <w:t xml:space="preserve"> relates to the number of increments along each radial the DBC is calculated. The intention is that the maximum length of each radial is maintained at 40 km. If 100 </w:t>
            </w:r>
            <w:r w:rsidRPr="00046063">
              <w:t>m</w:t>
            </w:r>
            <w:r>
              <w:t xml:space="preserve"> increments are used this means the maximum value of </w:t>
            </w:r>
            <w:r w:rsidR="00E767BA">
              <w:t>‘</w:t>
            </w:r>
            <w:r w:rsidRPr="00C725C6">
              <w:t>m</w:t>
            </w:r>
            <w:r w:rsidR="00E767BA">
              <w:t>’</w:t>
            </w:r>
            <w:r>
              <w:t xml:space="preserve"> would need to be 400.</w:t>
            </w:r>
          </w:p>
        </w:tc>
      </w:tr>
      <w:tr w:rsidR="003E3335" w:rsidRPr="00602151" w14:paraId="4B3C8844" w14:textId="2A95D87E" w:rsidTr="00C725C6">
        <w:trPr>
          <w:cnfStyle w:val="000000010000" w:firstRow="0" w:lastRow="0" w:firstColumn="0" w:lastColumn="0" w:oddVBand="0" w:evenVBand="0" w:oddHBand="0" w:evenHBand="1" w:firstRowFirstColumn="0" w:firstRowLastColumn="0" w:lastRowFirstColumn="0" w:lastRowLastColumn="0"/>
        </w:trPr>
        <w:tc>
          <w:tcPr>
            <w:tcW w:w="0" w:type="dxa"/>
          </w:tcPr>
          <w:p w14:paraId="0ECB72F2" w14:textId="3B2B4A81" w:rsidR="003E3335" w:rsidRPr="00602151" w:rsidRDefault="003E3335" w:rsidP="009140FF">
            <w:pPr>
              <w:pStyle w:val="TableBody"/>
            </w:pPr>
            <w:r w:rsidRPr="00602151">
              <w:t xml:space="preserve">Modify the </w:t>
            </w:r>
            <w:r w:rsidR="00E767BA">
              <w:t>l</w:t>
            </w:r>
            <w:r>
              <w:t xml:space="preserve">evel of </w:t>
            </w:r>
            <w:r w:rsidR="00E767BA">
              <w:t>p</w:t>
            </w:r>
            <w:r>
              <w:t>rotection (L</w:t>
            </w:r>
            <w:r w:rsidRPr="00602151">
              <w:t>OP</w:t>
            </w:r>
            <w:r>
              <w:t>)</w:t>
            </w:r>
          </w:p>
        </w:tc>
        <w:tc>
          <w:tcPr>
            <w:tcW w:w="0" w:type="dxa"/>
          </w:tcPr>
          <w:p w14:paraId="2E056F54" w14:textId="77777777" w:rsidR="003E3335" w:rsidRPr="00602151" w:rsidRDefault="003E3335" w:rsidP="009140FF">
            <w:pPr>
              <w:pStyle w:val="TableBody"/>
            </w:pPr>
            <w:r w:rsidRPr="00602151">
              <w:t xml:space="preserve">Define the following LOPs in Part </w:t>
            </w:r>
            <w:r>
              <w:t xml:space="preserve">2 </w:t>
            </w:r>
            <w:r w:rsidRPr="00602151">
              <w:t>of Schedule 2:</w:t>
            </w:r>
          </w:p>
          <w:p w14:paraId="218CB2F3" w14:textId="77777777" w:rsidR="003E3335" w:rsidRPr="00602151" w:rsidRDefault="003E3335" w:rsidP="00C725C6">
            <w:pPr>
              <w:pStyle w:val="Bulletlevel1"/>
              <w:spacing w:after="60"/>
            </w:pPr>
            <w:r w:rsidRPr="00602151">
              <w:t>Non-AAS: -</w:t>
            </w:r>
            <w:r>
              <w:t>115</w:t>
            </w:r>
            <w:r w:rsidRPr="00602151">
              <w:t xml:space="preserve"> dBm/</w:t>
            </w:r>
            <w:r>
              <w:t>30 k</w:t>
            </w:r>
            <w:r w:rsidRPr="00602151">
              <w:t xml:space="preserve">Hz  </w:t>
            </w:r>
          </w:p>
          <w:p w14:paraId="2DB9C80E" w14:textId="77777777" w:rsidR="003E3335" w:rsidRPr="0038741C" w:rsidRDefault="003E3335" w:rsidP="009140FF">
            <w:pPr>
              <w:pStyle w:val="Bulletlevel1"/>
            </w:pPr>
            <w:r w:rsidRPr="00602151">
              <w:t>AAS: -</w:t>
            </w:r>
            <w:r>
              <w:t>107</w:t>
            </w:r>
            <w:r w:rsidRPr="00602151">
              <w:t xml:space="preserve"> dBm/</w:t>
            </w:r>
            <w:r>
              <w:t>30 k</w:t>
            </w:r>
            <w:r w:rsidRPr="00602151">
              <w:t xml:space="preserve">Hz </w:t>
            </w:r>
          </w:p>
        </w:tc>
      </w:tr>
      <w:tr w:rsidR="003E3335" w:rsidRPr="00602151" w14:paraId="3F8267BE" w14:textId="632A241A" w:rsidTr="00C725C6">
        <w:trPr>
          <w:cnfStyle w:val="000000100000" w:firstRow="0" w:lastRow="0" w:firstColumn="0" w:lastColumn="0" w:oddVBand="0" w:evenVBand="0" w:oddHBand="1" w:evenHBand="0" w:firstRowFirstColumn="0" w:firstRowLastColumn="0" w:lastRowFirstColumn="0" w:lastRowLastColumn="0"/>
        </w:trPr>
        <w:tc>
          <w:tcPr>
            <w:tcW w:w="0" w:type="dxa"/>
          </w:tcPr>
          <w:p w14:paraId="6C4487F8" w14:textId="77777777" w:rsidR="003E3335" w:rsidRPr="00602151" w:rsidRDefault="003E3335" w:rsidP="00EC401D">
            <w:pPr>
              <w:pStyle w:val="TableBody"/>
              <w:keepNext/>
              <w:keepLines/>
            </w:pPr>
            <w:r w:rsidRPr="00602151">
              <w:t>Transition arrangements</w:t>
            </w:r>
          </w:p>
        </w:tc>
        <w:tc>
          <w:tcPr>
            <w:tcW w:w="0" w:type="dxa"/>
          </w:tcPr>
          <w:p w14:paraId="1C212B2F" w14:textId="54E937AC" w:rsidR="003E3335" w:rsidRPr="00602151" w:rsidRDefault="003E3335" w:rsidP="00EC401D">
            <w:pPr>
              <w:pStyle w:val="TableBody"/>
              <w:keepNext/>
              <w:keepLines/>
            </w:pPr>
            <w:r w:rsidRPr="00602151">
              <w:t xml:space="preserve">To ensure existing registered devices are not affected, a new </w:t>
            </w:r>
            <w:r>
              <w:t>section</w:t>
            </w:r>
            <w:r w:rsidRPr="00602151">
              <w:t xml:space="preserve"> 1</w:t>
            </w:r>
            <w:r>
              <w:t>1</w:t>
            </w:r>
            <w:r w:rsidRPr="00602151">
              <w:t xml:space="preserve"> is </w:t>
            </w:r>
            <w:r w:rsidRPr="00602151">
              <w:lastRenderedPageBreak/>
              <w:t>proposed. This will ensure that devices registered before the changes to the s.145(4) determination come into effect do not need to adhere to the new requirements. Instead they are required to adhere to the requirements that were in place at the time they were registered.</w:t>
            </w:r>
          </w:p>
        </w:tc>
      </w:tr>
    </w:tbl>
    <w:p w14:paraId="2D08BC33" w14:textId="77777777" w:rsidR="00332835" w:rsidRDefault="00332835" w:rsidP="00EC401D">
      <w:pPr>
        <w:keepNext/>
        <w:keepLines/>
        <w:spacing w:before="120"/>
      </w:pPr>
    </w:p>
    <w:p w14:paraId="055D3081" w14:textId="77777777" w:rsidR="00332835" w:rsidRDefault="00332835">
      <w:pPr>
        <w:spacing w:after="0" w:line="240" w:lineRule="auto"/>
      </w:pPr>
      <w:r>
        <w:br w:type="page"/>
      </w:r>
    </w:p>
    <w:p w14:paraId="11ACAD91" w14:textId="23872365" w:rsidR="00002C66" w:rsidRDefault="00002C66" w:rsidP="00002C66">
      <w:pPr>
        <w:spacing w:before="120"/>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0"/>
      </w:tblGrid>
      <w:tr w:rsidR="00E767BA" w14:paraId="7CF98A2E" w14:textId="77777777" w:rsidTr="00ED15AB">
        <w:trPr>
          <w:trHeight w:val="858"/>
        </w:trPr>
        <w:tc>
          <w:tcPr>
            <w:tcW w:w="76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288EC3" w14:textId="4CF515D4" w:rsidR="00E767BA" w:rsidRPr="00C736BD" w:rsidRDefault="00E767BA" w:rsidP="00C725C6">
            <w:pPr>
              <w:pStyle w:val="ListNumber"/>
              <w:numPr>
                <w:ilvl w:val="0"/>
                <w:numId w:val="0"/>
              </w:numPr>
              <w:spacing w:before="100"/>
              <w:ind w:left="307" w:hanging="284"/>
            </w:pPr>
            <w:r>
              <w:t>4.  In</w:t>
            </w:r>
            <w:r w:rsidRPr="006F0D3A">
              <w:t xml:space="preserve"> </w:t>
            </w:r>
            <w:r>
              <w:t xml:space="preserve">relation to </w:t>
            </w:r>
            <w:r w:rsidRPr="003E3335">
              <w:t xml:space="preserve">the draft amendments </w:t>
            </w:r>
            <w:r>
              <w:t xml:space="preserve">proposed </w:t>
            </w:r>
            <w:r w:rsidRPr="003E3335">
              <w:t xml:space="preserve">to the s.145(4) </w:t>
            </w:r>
            <w:r>
              <w:t>d</w:t>
            </w:r>
            <w:r w:rsidRPr="003E3335">
              <w:t xml:space="preserve">etermination (separate attachment in key documents section of this consultation), should additional measures be included to also grandfather device registrations when minor modifications are made? If so, what minor modifications should be permitted? For example, </w:t>
            </w:r>
            <w:r>
              <w:t xml:space="preserve">what should happen to </w:t>
            </w:r>
            <w:r w:rsidRPr="003E3335">
              <w:t xml:space="preserve">changes that results in the same or lower horizontal radiated power for the purposes of device boundary calculations? Alternatively, </w:t>
            </w:r>
            <w:r>
              <w:t xml:space="preserve">what should happen to </w:t>
            </w:r>
            <w:r w:rsidRPr="003E3335">
              <w:t>changes that result in the same or smaller device boundary as originally calculated when registering a</w:t>
            </w:r>
            <w:r>
              <w:t> </w:t>
            </w:r>
            <w:r w:rsidRPr="003E3335">
              <w:t>device?</w:t>
            </w:r>
            <w:r>
              <w:br w:type="page"/>
            </w:r>
          </w:p>
        </w:tc>
      </w:tr>
    </w:tbl>
    <w:p w14:paraId="75F748E1" w14:textId="77777777" w:rsidR="0049203D" w:rsidRPr="0038741C" w:rsidRDefault="0049203D" w:rsidP="0049203D">
      <w:pPr>
        <w:pStyle w:val="Heading1"/>
      </w:pPr>
      <w:bookmarkStart w:id="46" w:name="_Toc32229894"/>
      <w:bookmarkStart w:id="47" w:name="_Toc58241148"/>
      <w:bookmarkStart w:id="48" w:name="_Toc83989337"/>
      <w:bookmarkStart w:id="49" w:name="_Toc298924672"/>
      <w:bookmarkStart w:id="50" w:name="_Toc300909555"/>
      <w:bookmarkStart w:id="51" w:name="_Toc348105636"/>
      <w:r w:rsidRPr="0038741C">
        <w:lastRenderedPageBreak/>
        <w:t>Invitation to comment</w:t>
      </w:r>
      <w:bookmarkEnd w:id="46"/>
      <w:bookmarkEnd w:id="47"/>
      <w:bookmarkEnd w:id="48"/>
    </w:p>
    <w:p w14:paraId="2AB3CFE8" w14:textId="77777777" w:rsidR="0049203D" w:rsidRPr="00DB5756" w:rsidRDefault="0049203D" w:rsidP="0049203D">
      <w:pPr>
        <w:pStyle w:val="Heading2"/>
      </w:pPr>
      <w:bookmarkStart w:id="52" w:name="_Toc433122131"/>
      <w:bookmarkStart w:id="53" w:name="_Toc348105637"/>
      <w:bookmarkStart w:id="54" w:name="_Toc300909556"/>
      <w:bookmarkStart w:id="55" w:name="_Toc298924673"/>
      <w:bookmarkStart w:id="56" w:name="_Toc32229895"/>
      <w:bookmarkStart w:id="57" w:name="_Toc58241149"/>
      <w:bookmarkStart w:id="58" w:name="_Toc83989338"/>
      <w:bookmarkStart w:id="59" w:name="_Toc348105638"/>
      <w:bookmarkStart w:id="60" w:name="_Toc300909557"/>
      <w:bookmarkStart w:id="61" w:name="_Toc298924674"/>
      <w:bookmarkStart w:id="62" w:name="_Toc274296357"/>
      <w:r w:rsidRPr="00DB5756">
        <w:t>Making a submission</w:t>
      </w:r>
      <w:bookmarkEnd w:id="52"/>
      <w:bookmarkEnd w:id="53"/>
      <w:bookmarkEnd w:id="54"/>
      <w:bookmarkEnd w:id="55"/>
      <w:bookmarkEnd w:id="56"/>
      <w:bookmarkEnd w:id="57"/>
      <w:bookmarkEnd w:id="58"/>
    </w:p>
    <w:p w14:paraId="4F3BCDF9" w14:textId="0785625D" w:rsidR="0049203D" w:rsidRPr="00DB5756" w:rsidRDefault="0049203D" w:rsidP="0049203D">
      <w:r w:rsidRPr="00DB5756">
        <w:t xml:space="preserve">The ACMA invites comments on the issues set out in this </w:t>
      </w:r>
      <w:r w:rsidR="00CF23FA">
        <w:t>consultation</w:t>
      </w:r>
      <w:r w:rsidR="00CF23FA" w:rsidRPr="00DB5756">
        <w:t xml:space="preserve"> </w:t>
      </w:r>
      <w:r w:rsidRPr="00DB5756">
        <w:t xml:space="preserve">paper. </w:t>
      </w:r>
    </w:p>
    <w:p w14:paraId="4459A95E" w14:textId="77777777" w:rsidR="0049203D" w:rsidRPr="0038741C" w:rsidRDefault="00402CBA" w:rsidP="0049203D">
      <w:pPr>
        <w:pStyle w:val="Bulletlevel1"/>
      </w:pPr>
      <w:hyperlink r:id="rId56" w:history="1">
        <w:r w:rsidR="0049203D" w:rsidRPr="0038741C">
          <w:rPr>
            <w:rStyle w:val="Hyperlink"/>
          </w:rPr>
          <w:t>Online submissions</w:t>
        </w:r>
      </w:hyperlink>
      <w:r w:rsidR="0049203D" w:rsidRPr="0038741C">
        <w:t xml:space="preserve"> can be made by uploading a document. Submissions in PDF, Microsoft Word or Rich Text Format are preferred.</w:t>
      </w:r>
    </w:p>
    <w:p w14:paraId="3EC341CE" w14:textId="77777777" w:rsidR="0049203D" w:rsidRPr="00DB5756" w:rsidRDefault="0049203D" w:rsidP="0049203D">
      <w:pPr>
        <w:pStyle w:val="Bulletlevel1"/>
      </w:pPr>
      <w:r w:rsidRPr="00DB5756">
        <w:t xml:space="preserve">Submissions by post can be sent to: </w:t>
      </w:r>
    </w:p>
    <w:p w14:paraId="63C060B0" w14:textId="77777777" w:rsidR="0049203D" w:rsidRPr="00DB5756" w:rsidRDefault="0049203D" w:rsidP="0049203D">
      <w:pPr>
        <w:tabs>
          <w:tab w:val="num" w:pos="295"/>
        </w:tabs>
        <w:spacing w:after="0"/>
        <w:ind w:left="295"/>
        <w:rPr>
          <w:szCs w:val="20"/>
        </w:rPr>
      </w:pPr>
      <w:bookmarkStart w:id="63" w:name="_Hlk31718494"/>
      <w:r w:rsidRPr="00DB5756">
        <w:rPr>
          <w:szCs w:val="20"/>
        </w:rPr>
        <w:t>The Manager</w:t>
      </w:r>
    </w:p>
    <w:p w14:paraId="664A2C82" w14:textId="77777777" w:rsidR="0049203D" w:rsidRPr="006E076A" w:rsidRDefault="0049203D" w:rsidP="0049203D">
      <w:pPr>
        <w:spacing w:after="0"/>
        <w:ind w:left="295"/>
        <w:rPr>
          <w:szCs w:val="20"/>
        </w:rPr>
      </w:pPr>
      <w:r w:rsidRPr="006E076A">
        <w:rPr>
          <w:szCs w:val="20"/>
        </w:rPr>
        <w:t>Wireless Broadband Section</w:t>
      </w:r>
    </w:p>
    <w:p w14:paraId="469A58A2" w14:textId="77777777" w:rsidR="0049203D" w:rsidRPr="00D148F2" w:rsidRDefault="0049203D" w:rsidP="0049203D">
      <w:pPr>
        <w:spacing w:after="0"/>
        <w:ind w:left="295"/>
        <w:rPr>
          <w:szCs w:val="20"/>
        </w:rPr>
      </w:pPr>
      <w:r w:rsidRPr="00D148F2">
        <w:rPr>
          <w:szCs w:val="20"/>
        </w:rPr>
        <w:t>Australian Communications and Media Authority</w:t>
      </w:r>
    </w:p>
    <w:p w14:paraId="2A471DCA" w14:textId="77777777" w:rsidR="0049203D" w:rsidRPr="00D148F2" w:rsidRDefault="0049203D" w:rsidP="0049203D">
      <w:pPr>
        <w:spacing w:after="0"/>
        <w:ind w:left="295"/>
        <w:rPr>
          <w:szCs w:val="20"/>
        </w:rPr>
      </w:pPr>
      <w:r w:rsidRPr="00D148F2">
        <w:rPr>
          <w:szCs w:val="20"/>
        </w:rPr>
        <w:t>PO Box 78</w:t>
      </w:r>
    </w:p>
    <w:p w14:paraId="054E872F" w14:textId="77777777" w:rsidR="0049203D" w:rsidRPr="00D148F2" w:rsidRDefault="0049203D" w:rsidP="0049203D">
      <w:pPr>
        <w:ind w:left="295"/>
        <w:rPr>
          <w:szCs w:val="20"/>
        </w:rPr>
      </w:pPr>
      <w:r w:rsidRPr="00D148F2">
        <w:rPr>
          <w:szCs w:val="20"/>
        </w:rPr>
        <w:t>Belconnen ACT 2616</w:t>
      </w:r>
    </w:p>
    <w:bookmarkEnd w:id="63"/>
    <w:p w14:paraId="30A4BD6A" w14:textId="548DE717" w:rsidR="0049203D" w:rsidRPr="0038741C" w:rsidRDefault="0049203D" w:rsidP="0049203D">
      <w:r w:rsidRPr="00D148F2">
        <w:t xml:space="preserve">The closing date for submissions is </w:t>
      </w:r>
      <w:r w:rsidRPr="00C725C6">
        <w:rPr>
          <w:b/>
          <w:bCs/>
        </w:rPr>
        <w:t>COB,</w:t>
      </w:r>
      <w:r w:rsidRPr="00D148F2">
        <w:t xml:space="preserve"> </w:t>
      </w:r>
      <w:r w:rsidR="006610ED">
        <w:rPr>
          <w:b/>
        </w:rPr>
        <w:t>5</w:t>
      </w:r>
      <w:r w:rsidR="009B5491" w:rsidRPr="00C008DA">
        <w:rPr>
          <w:b/>
        </w:rPr>
        <w:t xml:space="preserve"> </w:t>
      </w:r>
      <w:r w:rsidR="009B5491">
        <w:rPr>
          <w:b/>
        </w:rPr>
        <w:t>November</w:t>
      </w:r>
      <w:r w:rsidR="009B5491" w:rsidRPr="00C008DA">
        <w:rPr>
          <w:b/>
        </w:rPr>
        <w:t xml:space="preserve"> </w:t>
      </w:r>
      <w:r w:rsidR="00E32714" w:rsidRPr="00C008DA">
        <w:rPr>
          <w:b/>
        </w:rPr>
        <w:t>2021</w:t>
      </w:r>
      <w:r w:rsidRPr="0038741C">
        <w:t>.</w:t>
      </w:r>
    </w:p>
    <w:p w14:paraId="3B034CD9" w14:textId="5267CDDE" w:rsidR="0049203D" w:rsidRPr="0038741C" w:rsidRDefault="0049203D" w:rsidP="0049203D">
      <w:pPr>
        <w:rPr>
          <w:szCs w:val="20"/>
        </w:rPr>
      </w:pPr>
      <w:r w:rsidRPr="0038741C">
        <w:t xml:space="preserve">Consultation enquiries can be emailed </w:t>
      </w:r>
      <w:r w:rsidRPr="0038741C">
        <w:rPr>
          <w:szCs w:val="20"/>
        </w:rPr>
        <w:t xml:space="preserve">to </w:t>
      </w:r>
      <w:hyperlink r:id="rId57" w:history="1">
        <w:r w:rsidRPr="0038741C">
          <w:rPr>
            <w:rStyle w:val="Hyperlink"/>
            <w:szCs w:val="20"/>
          </w:rPr>
          <w:t>freqplan@acma.gov.au</w:t>
        </w:r>
      </w:hyperlink>
      <w:r w:rsidRPr="0038741C">
        <w:rPr>
          <w:szCs w:val="20"/>
        </w:rPr>
        <w:t>.</w:t>
      </w:r>
    </w:p>
    <w:p w14:paraId="19737281" w14:textId="72F05817" w:rsidR="0049203D" w:rsidRPr="00DB5756" w:rsidRDefault="0049203D">
      <w:pPr>
        <w:pStyle w:val="Heading4"/>
      </w:pPr>
      <w:r w:rsidRPr="00DB5756">
        <w:t>Publication of submissions</w:t>
      </w:r>
    </w:p>
    <w:p w14:paraId="2BC79282" w14:textId="77777777" w:rsidR="0049203D" w:rsidRPr="00D148F2" w:rsidRDefault="0049203D" w:rsidP="0049203D">
      <w:bookmarkStart w:id="64" w:name="_Toc348105640"/>
      <w:bookmarkStart w:id="65" w:name="_Toc300909559"/>
      <w:bookmarkStart w:id="66" w:name="_Toc265246234"/>
      <w:bookmarkEnd w:id="59"/>
      <w:bookmarkEnd w:id="60"/>
      <w:bookmarkEnd w:id="61"/>
      <w:bookmarkEnd w:id="62"/>
      <w:r w:rsidRPr="00DB5756">
        <w:t>The ACMA publishes submissions on our website</w:t>
      </w:r>
      <w:r w:rsidRPr="006E076A">
        <w:rPr>
          <w:rFonts w:cs="Arial"/>
        </w:rPr>
        <w:t>, including personal information (such as names and contact deta</w:t>
      </w:r>
      <w:r w:rsidRPr="00D148F2">
        <w:rPr>
          <w:rFonts w:cs="Arial"/>
        </w:rPr>
        <w:t>ils)</w:t>
      </w:r>
      <w:r w:rsidRPr="00D148F2">
        <w:t xml:space="preserve">, except for information that you have claimed (and we have accepted) is confidential. </w:t>
      </w:r>
    </w:p>
    <w:p w14:paraId="224C4C09" w14:textId="77777777" w:rsidR="0049203D" w:rsidRPr="00E32714" w:rsidRDefault="0049203D" w:rsidP="0049203D">
      <w:r w:rsidRPr="00D148F2">
        <w:t>Confidential information will not be published or otherwise released unless required or aut</w:t>
      </w:r>
      <w:r w:rsidRPr="00E32714">
        <w:t>horised by law.</w:t>
      </w:r>
    </w:p>
    <w:p w14:paraId="7230D48C" w14:textId="67E61B6C" w:rsidR="0049203D" w:rsidRPr="00E32714" w:rsidRDefault="0049203D">
      <w:pPr>
        <w:pStyle w:val="Heading4"/>
      </w:pPr>
      <w:r w:rsidRPr="00E32714">
        <w:t>Privacy</w:t>
      </w:r>
    </w:p>
    <w:p w14:paraId="7ECCADFD" w14:textId="6D084AF7" w:rsidR="0049203D" w:rsidRPr="00DB5756" w:rsidRDefault="0049203D" w:rsidP="0049203D">
      <w:pPr>
        <w:pStyle w:val="Paragraph"/>
      </w:pPr>
      <w:r w:rsidRPr="00E32714">
        <w:t xml:space="preserve">View information about our policy on the </w:t>
      </w:r>
      <w:hyperlink r:id="rId58" w:history="1">
        <w:r w:rsidRPr="0038741C">
          <w:rPr>
            <w:rStyle w:val="Hyperlink"/>
          </w:rPr>
          <w:t>publication of submissions</w:t>
        </w:r>
      </w:hyperlink>
      <w:r w:rsidRPr="0038741C">
        <w:t>, including collection of personal information during consultation and how we handle that informatio</w:t>
      </w:r>
      <w:r w:rsidRPr="00DB5756">
        <w:t>n.</w:t>
      </w:r>
    </w:p>
    <w:bookmarkEnd w:id="64"/>
    <w:bookmarkEnd w:id="65"/>
    <w:bookmarkEnd w:id="66"/>
    <w:p w14:paraId="0D3BCB6F" w14:textId="171C4700" w:rsidR="0049203D" w:rsidRPr="0038741C" w:rsidRDefault="0049203D" w:rsidP="0049203D">
      <w:pPr>
        <w:pStyle w:val="Paragraph"/>
      </w:pPr>
      <w:r w:rsidRPr="00DB5756">
        <w:t xml:space="preserve">Information on the </w:t>
      </w:r>
      <w:r w:rsidRPr="00DB5756">
        <w:rPr>
          <w:i/>
        </w:rPr>
        <w:t xml:space="preserve">Privacy Act 1988, </w:t>
      </w:r>
      <w:r w:rsidRPr="006E076A">
        <w:t xml:space="preserve">how to access or correct personal information, how to make a privacy complaint and how we will deal with the complaint, is available in our </w:t>
      </w:r>
      <w:hyperlink r:id="rId59" w:history="1">
        <w:r w:rsidRPr="0038741C">
          <w:rPr>
            <w:rStyle w:val="Hyperlink"/>
          </w:rPr>
          <w:t>privacy policy</w:t>
        </w:r>
      </w:hyperlink>
      <w:r w:rsidRPr="0038741C">
        <w:t xml:space="preserve">. </w:t>
      </w:r>
    </w:p>
    <w:p w14:paraId="32DC9A6D" w14:textId="4E27B297" w:rsidR="0049203D" w:rsidRPr="00DB5756" w:rsidRDefault="0049203D" w:rsidP="0049203D">
      <w:pPr>
        <w:pStyle w:val="Paragraph"/>
      </w:pPr>
    </w:p>
    <w:p w14:paraId="63FB3A46" w14:textId="77777777" w:rsidR="0049203D" w:rsidRPr="00DB5756" w:rsidRDefault="0049203D" w:rsidP="0049203D">
      <w:pPr>
        <w:pStyle w:val="Paragraph"/>
      </w:pPr>
    </w:p>
    <w:bookmarkEnd w:id="49"/>
    <w:bookmarkEnd w:id="50"/>
    <w:bookmarkEnd w:id="51"/>
    <w:p w14:paraId="66B67F01" w14:textId="0F93167D" w:rsidR="00FC5A07" w:rsidRPr="006E076A" w:rsidRDefault="00FC5A07">
      <w:pPr>
        <w:spacing w:after="0" w:line="240" w:lineRule="auto"/>
        <w:rPr>
          <w:rFonts w:cs="Arial"/>
          <w:bCs/>
          <w:color w:val="323232"/>
          <w:kern w:val="32"/>
          <w:sz w:val="53"/>
          <w:szCs w:val="32"/>
        </w:rPr>
      </w:pPr>
    </w:p>
    <w:p w14:paraId="372DDA99" w14:textId="17CED61C" w:rsidR="002908C2" w:rsidRPr="00D148F2" w:rsidRDefault="00D3488F" w:rsidP="002908C2">
      <w:pPr>
        <w:pStyle w:val="Heading1"/>
      </w:pPr>
      <w:bookmarkStart w:id="67" w:name="_Toc58241150"/>
      <w:bookmarkStart w:id="68" w:name="_Toc83989339"/>
      <w:r w:rsidRPr="006E076A">
        <w:lastRenderedPageBreak/>
        <w:t xml:space="preserve">Appendix </w:t>
      </w:r>
      <w:r w:rsidR="007A6FF2" w:rsidRPr="006E076A">
        <w:t>A</w:t>
      </w:r>
      <w:r w:rsidR="002908C2" w:rsidRPr="00D148F2">
        <w:t xml:space="preserve"> – </w:t>
      </w:r>
      <w:r w:rsidR="006B46AA" w:rsidRPr="00D148F2">
        <w:t xml:space="preserve">Relevant </w:t>
      </w:r>
      <w:r w:rsidR="00E26C02">
        <w:t>conditions</w:t>
      </w:r>
      <w:r w:rsidR="00E26C02" w:rsidRPr="00D148F2">
        <w:t xml:space="preserve"> </w:t>
      </w:r>
      <w:r w:rsidR="006B46AA" w:rsidRPr="00D148F2">
        <w:t>of c</w:t>
      </w:r>
      <w:r w:rsidRPr="00D148F2">
        <w:t xml:space="preserve">urrent </w:t>
      </w:r>
      <w:r w:rsidR="009700B6">
        <w:t>1800 MHz</w:t>
      </w:r>
      <w:r w:rsidR="002C1627">
        <w:t xml:space="preserve"> band spectrum </w:t>
      </w:r>
      <w:r w:rsidR="006B46AA" w:rsidRPr="00D148F2">
        <w:t>licences</w:t>
      </w:r>
      <w:bookmarkEnd w:id="67"/>
      <w:bookmarkEnd w:id="68"/>
    </w:p>
    <w:p w14:paraId="4B551117" w14:textId="533CD7D4" w:rsidR="006B46AA" w:rsidRPr="00D148F2" w:rsidRDefault="006B46AA" w:rsidP="00C725C6">
      <w:pPr>
        <w:pStyle w:val="Paragraphbeforelist"/>
      </w:pPr>
      <w:r w:rsidRPr="00D148F2">
        <w:t xml:space="preserve">This section reproduces the relevant </w:t>
      </w:r>
      <w:r w:rsidR="00E26C02">
        <w:t>conditions</w:t>
      </w:r>
      <w:r w:rsidR="00E26C02" w:rsidRPr="00D148F2">
        <w:t xml:space="preserve"> </w:t>
      </w:r>
      <w:r w:rsidRPr="00D148F2">
        <w:t xml:space="preserve">of existing </w:t>
      </w:r>
      <w:r w:rsidR="009700B6">
        <w:t>1800 MHz</w:t>
      </w:r>
      <w:r w:rsidRPr="00D148F2">
        <w:t xml:space="preserve"> </w:t>
      </w:r>
      <w:r w:rsidR="00CF23FA">
        <w:t xml:space="preserve">band </w:t>
      </w:r>
      <w:r w:rsidRPr="00D148F2">
        <w:t xml:space="preserve">spectrum licences where changes are proposed. </w:t>
      </w:r>
      <w:r w:rsidR="00D17CC8" w:rsidRPr="00D148F2">
        <w:t>This includes:</w:t>
      </w:r>
    </w:p>
    <w:p w14:paraId="2E43405C" w14:textId="3654143B" w:rsidR="00D17CC8" w:rsidRPr="00E32714" w:rsidRDefault="00D17CC8" w:rsidP="00C725C6">
      <w:pPr>
        <w:pStyle w:val="Bulletlevel1"/>
      </w:pPr>
      <w:r w:rsidRPr="00E32714">
        <w:t xml:space="preserve">Licence Schedule 2 </w:t>
      </w:r>
      <w:r w:rsidR="00812CED">
        <w:t>–</w:t>
      </w:r>
      <w:r w:rsidR="00812CED" w:rsidRPr="00E32714">
        <w:t xml:space="preserve"> </w:t>
      </w:r>
      <w:r w:rsidRPr="00E32714">
        <w:t>Core Conditions</w:t>
      </w:r>
    </w:p>
    <w:p w14:paraId="0793B81D" w14:textId="50FAD09E" w:rsidR="00D17CC8" w:rsidRPr="00E32714" w:rsidRDefault="00D17CC8" w:rsidP="00C725C6">
      <w:pPr>
        <w:pStyle w:val="Bulletlevel1last"/>
      </w:pPr>
      <w:r w:rsidRPr="00E32714">
        <w:t xml:space="preserve">Clause 4 of Licence Schedule 3 </w:t>
      </w:r>
      <w:r w:rsidR="00812CED">
        <w:t>–</w:t>
      </w:r>
      <w:r w:rsidR="00812CED" w:rsidRPr="00E32714">
        <w:t xml:space="preserve"> </w:t>
      </w:r>
      <w:r w:rsidRPr="00E32714">
        <w:t>Exemption from registration requirements</w:t>
      </w:r>
    </w:p>
    <w:p w14:paraId="332D0357" w14:textId="296B6D92" w:rsidR="00D17CC8" w:rsidRPr="0038741C" w:rsidRDefault="00D17CC8" w:rsidP="00DC152A">
      <w:pPr>
        <w:spacing w:before="240" w:after="360"/>
      </w:pPr>
      <w:r w:rsidRPr="00E32714">
        <w:t xml:space="preserve">Full copies of </w:t>
      </w:r>
      <w:hyperlink r:id="rId60" w:history="1">
        <w:r w:rsidRPr="0038741C">
          <w:rPr>
            <w:rStyle w:val="Hyperlink"/>
          </w:rPr>
          <w:t xml:space="preserve">existing </w:t>
        </w:r>
        <w:r w:rsidR="009700B6">
          <w:rPr>
            <w:rStyle w:val="Hyperlink"/>
          </w:rPr>
          <w:t>1800 MHz</w:t>
        </w:r>
        <w:r w:rsidR="002C1627">
          <w:rPr>
            <w:rStyle w:val="Hyperlink"/>
          </w:rPr>
          <w:t xml:space="preserve"> band spectrum </w:t>
        </w:r>
        <w:r w:rsidRPr="0038741C">
          <w:rPr>
            <w:rStyle w:val="Hyperlink"/>
          </w:rPr>
          <w:t>licences</w:t>
        </w:r>
      </w:hyperlink>
      <w:r w:rsidRPr="0038741C">
        <w:t xml:space="preserve"> are available </w:t>
      </w:r>
      <w:r w:rsidR="00050CBC" w:rsidRPr="0038741C">
        <w:t>on</w:t>
      </w:r>
      <w:r w:rsidRPr="0038741C">
        <w:t xml:space="preserve"> the RRL. </w:t>
      </w:r>
    </w:p>
    <w:p w14:paraId="23BE029B" w14:textId="7F94CEDA" w:rsidR="00FB0E13" w:rsidRPr="00DB5756" w:rsidRDefault="00FB0E13" w:rsidP="00FB0E13">
      <w:pPr>
        <w:pStyle w:val="Heading2"/>
        <w:spacing w:before="0" w:after="0"/>
        <w:ind w:right="1169"/>
      </w:pPr>
      <w:bookmarkStart w:id="69" w:name="_Toc58241151"/>
      <w:bookmarkStart w:id="70" w:name="_Toc83989340"/>
      <w:r w:rsidRPr="00DB5756">
        <w:t xml:space="preserve">Licence Schedule 2 – </w:t>
      </w:r>
      <w:r w:rsidR="003C70E3">
        <w:t>C</w:t>
      </w:r>
      <w:r w:rsidRPr="00DB5756">
        <w:t xml:space="preserve">ore </w:t>
      </w:r>
      <w:r w:rsidR="00AC733D">
        <w:t>C</w:t>
      </w:r>
      <w:r w:rsidRPr="00DB5756">
        <w:t>onditions</w:t>
      </w:r>
      <w:bookmarkEnd w:id="69"/>
      <w:bookmarkEnd w:id="70"/>
    </w:p>
    <w:p w14:paraId="77FFE3DC" w14:textId="20F227F3" w:rsidR="00D074FE" w:rsidRDefault="00D074FE" w:rsidP="00851F3F"/>
    <w:p w14:paraId="7C4DD9DF" w14:textId="3B6E1440" w:rsidR="00FB0E13" w:rsidRPr="00D148F2" w:rsidRDefault="00FB0E13" w:rsidP="00FB0E13">
      <w:pPr>
        <w:pStyle w:val="Heading3"/>
        <w:spacing w:before="240" w:after="120"/>
      </w:pPr>
      <w:bookmarkStart w:id="71" w:name="_Toc507878621"/>
      <w:bookmarkStart w:id="72" w:name="_Toc50380892"/>
      <w:bookmarkStart w:id="73" w:name="_Toc58241152"/>
      <w:bookmarkStart w:id="74" w:name="_Toc83989341"/>
      <w:r w:rsidRPr="00D148F2">
        <w:t>Frequency band and geographic areas</w:t>
      </w:r>
      <w:bookmarkEnd w:id="71"/>
      <w:bookmarkEnd w:id="72"/>
      <w:bookmarkEnd w:id="73"/>
      <w:bookmarkEnd w:id="74"/>
    </w:p>
    <w:p w14:paraId="51AC2E3B" w14:textId="6B526EF4" w:rsidR="00FB0E13" w:rsidRPr="00602151" w:rsidRDefault="00A9388C" w:rsidP="00FB0E13">
      <w:pPr>
        <w:pStyle w:val="BodyText"/>
        <w:numPr>
          <w:ilvl w:val="0"/>
          <w:numId w:val="27"/>
        </w:numPr>
        <w:tabs>
          <w:tab w:val="left" w:pos="531"/>
        </w:tabs>
        <w:spacing w:line="282" w:lineRule="auto"/>
        <w:ind w:right="-551"/>
        <w:jc w:val="left"/>
        <w:rPr>
          <w:lang w:val="en-AU"/>
        </w:rPr>
      </w:pPr>
      <w:r w:rsidRPr="00A9388C">
        <w:rPr>
          <w:lang w:val="en-AU"/>
        </w:rPr>
        <w:t>This licence authorises the operation of radiocommunications devices in the frequency bands and within the geographic areas set out in Part 2 of Licence Schedule 1.</w:t>
      </w:r>
    </w:p>
    <w:p w14:paraId="55766EC4" w14:textId="77777777" w:rsidR="00FB0E13" w:rsidRPr="00602151" w:rsidRDefault="00FB0E13" w:rsidP="00FB0E13">
      <w:pPr>
        <w:spacing w:after="0"/>
        <w:ind w:right="-551"/>
        <w:rPr>
          <w:rFonts w:ascii="Times New Roman" w:hAnsi="Times New Roman"/>
          <w:sz w:val="25"/>
          <w:szCs w:val="25"/>
        </w:rPr>
      </w:pPr>
    </w:p>
    <w:p w14:paraId="58C5ADE6" w14:textId="39D7AA3A" w:rsidR="00FB0E13" w:rsidRPr="00602151" w:rsidRDefault="00FB0E13" w:rsidP="00FB0E13">
      <w:pPr>
        <w:pStyle w:val="Heading3"/>
        <w:spacing w:before="240" w:after="120"/>
        <w:ind w:right="-551"/>
      </w:pPr>
      <w:bookmarkStart w:id="75" w:name="_Toc507878622"/>
      <w:bookmarkStart w:id="76" w:name="_Toc50380893"/>
      <w:bookmarkStart w:id="77" w:name="_Toc58241153"/>
      <w:bookmarkStart w:id="78" w:name="_Toc83989342"/>
      <w:r w:rsidRPr="00602151">
        <w:t>Emission limits outside the frequency band</w:t>
      </w:r>
      <w:bookmarkEnd w:id="75"/>
      <w:bookmarkEnd w:id="76"/>
      <w:bookmarkEnd w:id="77"/>
      <w:bookmarkEnd w:id="78"/>
    </w:p>
    <w:p w14:paraId="32AD443F" w14:textId="327E2A65" w:rsidR="00FB0E13" w:rsidRPr="00602151" w:rsidRDefault="00FB0E13" w:rsidP="00FB0E13">
      <w:pPr>
        <w:pStyle w:val="BodyText"/>
        <w:numPr>
          <w:ilvl w:val="0"/>
          <w:numId w:val="27"/>
        </w:numPr>
        <w:tabs>
          <w:tab w:val="left" w:pos="531"/>
        </w:tabs>
        <w:spacing w:line="282" w:lineRule="auto"/>
        <w:ind w:right="-551"/>
        <w:jc w:val="left"/>
        <w:rPr>
          <w:lang w:val="en-AU"/>
        </w:rPr>
      </w:pPr>
      <w:r w:rsidRPr="00602151">
        <w:rPr>
          <w:lang w:val="en-AU"/>
        </w:rPr>
        <w:t>Core</w:t>
      </w:r>
      <w:r w:rsidRPr="00602151">
        <w:rPr>
          <w:spacing w:val="4"/>
          <w:lang w:val="en-AU"/>
        </w:rPr>
        <w:t xml:space="preserve"> </w:t>
      </w:r>
      <w:r w:rsidRPr="00602151">
        <w:rPr>
          <w:lang w:val="en-AU"/>
        </w:rPr>
        <w:t>conditions</w:t>
      </w:r>
      <w:r w:rsidRPr="00602151">
        <w:rPr>
          <w:spacing w:val="4"/>
          <w:lang w:val="en-AU"/>
        </w:rPr>
        <w:t xml:space="preserve"> </w:t>
      </w:r>
      <w:r w:rsidRPr="00602151">
        <w:rPr>
          <w:lang w:val="en-AU"/>
        </w:rPr>
        <w:t>3</w:t>
      </w:r>
      <w:r w:rsidRPr="00602151">
        <w:rPr>
          <w:spacing w:val="4"/>
          <w:lang w:val="en-AU"/>
        </w:rPr>
        <w:t xml:space="preserve"> </w:t>
      </w:r>
      <w:r w:rsidRPr="00602151">
        <w:rPr>
          <w:lang w:val="en-AU"/>
        </w:rPr>
        <w:t>to</w:t>
      </w:r>
      <w:r w:rsidRPr="00602151">
        <w:rPr>
          <w:spacing w:val="5"/>
          <w:lang w:val="en-AU"/>
        </w:rPr>
        <w:t xml:space="preserve"> </w:t>
      </w:r>
      <w:r w:rsidRPr="00602151">
        <w:rPr>
          <w:lang w:val="en-AU"/>
        </w:rPr>
        <w:t>1</w:t>
      </w:r>
      <w:r w:rsidR="00A9388C">
        <w:rPr>
          <w:lang w:val="en-AU"/>
        </w:rPr>
        <w:t>1</w:t>
      </w:r>
      <w:r w:rsidRPr="00602151">
        <w:rPr>
          <w:spacing w:val="4"/>
          <w:lang w:val="en-AU"/>
        </w:rPr>
        <w:t xml:space="preserve"> </w:t>
      </w:r>
      <w:r w:rsidRPr="00602151">
        <w:rPr>
          <w:lang w:val="en-AU"/>
        </w:rPr>
        <w:t>apply</w:t>
      </w:r>
      <w:r w:rsidRPr="00602151">
        <w:rPr>
          <w:spacing w:val="4"/>
          <w:lang w:val="en-AU"/>
        </w:rPr>
        <w:t xml:space="preserve"> </w:t>
      </w:r>
      <w:r w:rsidRPr="00602151">
        <w:rPr>
          <w:lang w:val="en-AU"/>
        </w:rPr>
        <w:t>in</w:t>
      </w:r>
      <w:r w:rsidRPr="00602151">
        <w:rPr>
          <w:spacing w:val="5"/>
          <w:lang w:val="en-AU"/>
        </w:rPr>
        <w:t xml:space="preserve"> </w:t>
      </w:r>
      <w:r w:rsidRPr="00602151">
        <w:rPr>
          <w:lang w:val="en-AU"/>
        </w:rPr>
        <w:t>relation</w:t>
      </w:r>
      <w:r w:rsidRPr="00602151">
        <w:rPr>
          <w:spacing w:val="4"/>
          <w:lang w:val="en-AU"/>
        </w:rPr>
        <w:t xml:space="preserve"> </w:t>
      </w:r>
      <w:r w:rsidRPr="00602151">
        <w:rPr>
          <w:lang w:val="en-AU"/>
        </w:rPr>
        <w:t>to</w:t>
      </w:r>
      <w:r w:rsidRPr="00602151">
        <w:rPr>
          <w:spacing w:val="4"/>
          <w:lang w:val="en-AU"/>
        </w:rPr>
        <w:t xml:space="preserve"> </w:t>
      </w:r>
      <w:r w:rsidRPr="00602151">
        <w:rPr>
          <w:lang w:val="en-AU"/>
        </w:rPr>
        <w:t>those</w:t>
      </w:r>
      <w:r w:rsidRPr="00602151">
        <w:rPr>
          <w:spacing w:val="5"/>
          <w:lang w:val="en-AU"/>
        </w:rPr>
        <w:t xml:space="preserve"> </w:t>
      </w:r>
      <w:r w:rsidRPr="00602151">
        <w:rPr>
          <w:lang w:val="en-AU"/>
        </w:rPr>
        <w:t>frequencies</w:t>
      </w:r>
      <w:r w:rsidRPr="00602151">
        <w:rPr>
          <w:spacing w:val="4"/>
          <w:lang w:val="en-AU"/>
        </w:rPr>
        <w:t xml:space="preserve"> </w:t>
      </w:r>
      <w:r w:rsidRPr="00602151">
        <w:rPr>
          <w:lang w:val="en-AU"/>
        </w:rPr>
        <w:t>that</w:t>
      </w:r>
      <w:r w:rsidRPr="00602151">
        <w:rPr>
          <w:spacing w:val="4"/>
          <w:lang w:val="en-AU"/>
        </w:rPr>
        <w:t xml:space="preserve"> </w:t>
      </w:r>
      <w:r w:rsidRPr="00602151">
        <w:rPr>
          <w:lang w:val="en-AU"/>
        </w:rPr>
        <w:t>are</w:t>
      </w:r>
      <w:r w:rsidRPr="00602151">
        <w:rPr>
          <w:spacing w:val="5"/>
          <w:lang w:val="en-AU"/>
        </w:rPr>
        <w:t xml:space="preserve"> </w:t>
      </w:r>
      <w:r w:rsidRPr="00602151">
        <w:rPr>
          <w:lang w:val="en-AU"/>
        </w:rPr>
        <w:t>outside</w:t>
      </w:r>
      <w:r w:rsidRPr="00602151">
        <w:rPr>
          <w:spacing w:val="4"/>
          <w:lang w:val="en-AU"/>
        </w:rPr>
        <w:t xml:space="preserve"> </w:t>
      </w:r>
      <w:r w:rsidRPr="00602151">
        <w:rPr>
          <w:lang w:val="en-AU"/>
        </w:rPr>
        <w:t>the</w:t>
      </w:r>
      <w:r w:rsidRPr="00602151">
        <w:rPr>
          <w:w w:val="101"/>
          <w:lang w:val="en-AU"/>
        </w:rPr>
        <w:t xml:space="preserve"> </w:t>
      </w:r>
      <w:r w:rsidRPr="00602151">
        <w:rPr>
          <w:lang w:val="en-AU"/>
        </w:rPr>
        <w:t>frequency</w:t>
      </w:r>
      <w:r w:rsidRPr="00602151">
        <w:rPr>
          <w:spacing w:val="4"/>
          <w:lang w:val="en-AU"/>
        </w:rPr>
        <w:t xml:space="preserve"> </w:t>
      </w:r>
      <w:r w:rsidRPr="00602151">
        <w:rPr>
          <w:lang w:val="en-AU"/>
        </w:rPr>
        <w:t>bands</w:t>
      </w:r>
      <w:r w:rsidRPr="00602151">
        <w:rPr>
          <w:spacing w:val="4"/>
          <w:lang w:val="en-AU"/>
        </w:rPr>
        <w:t xml:space="preserve"> </w:t>
      </w:r>
      <w:r w:rsidRPr="00602151">
        <w:rPr>
          <w:spacing w:val="-1"/>
          <w:lang w:val="en-AU"/>
        </w:rPr>
        <w:t>set</w:t>
      </w:r>
      <w:r w:rsidRPr="00602151">
        <w:rPr>
          <w:spacing w:val="4"/>
          <w:lang w:val="en-AU"/>
        </w:rPr>
        <w:t xml:space="preserve"> </w:t>
      </w:r>
      <w:r w:rsidRPr="00602151">
        <w:rPr>
          <w:lang w:val="en-AU"/>
        </w:rPr>
        <w:t>out</w:t>
      </w:r>
      <w:r w:rsidRPr="00602151">
        <w:rPr>
          <w:spacing w:val="4"/>
          <w:lang w:val="en-AU"/>
        </w:rPr>
        <w:t xml:space="preserve"> </w:t>
      </w:r>
      <w:r w:rsidRPr="00602151">
        <w:rPr>
          <w:lang w:val="en-AU"/>
        </w:rPr>
        <w:t>in</w:t>
      </w:r>
      <w:r w:rsidRPr="00602151">
        <w:rPr>
          <w:spacing w:val="5"/>
          <w:lang w:val="en-AU"/>
        </w:rPr>
        <w:t xml:space="preserve"> </w:t>
      </w:r>
      <w:r w:rsidRPr="00602151">
        <w:rPr>
          <w:spacing w:val="-1"/>
          <w:lang w:val="en-AU"/>
        </w:rPr>
        <w:t>Part</w:t>
      </w:r>
      <w:r w:rsidRPr="00602151">
        <w:rPr>
          <w:spacing w:val="4"/>
          <w:lang w:val="en-AU"/>
        </w:rPr>
        <w:t xml:space="preserve"> </w:t>
      </w:r>
      <w:r w:rsidRPr="00602151">
        <w:rPr>
          <w:lang w:val="en-AU"/>
        </w:rPr>
        <w:t>2</w:t>
      </w:r>
      <w:r w:rsidRPr="00602151">
        <w:rPr>
          <w:spacing w:val="4"/>
          <w:lang w:val="en-AU"/>
        </w:rPr>
        <w:t xml:space="preserve"> </w:t>
      </w:r>
      <w:r w:rsidRPr="00602151">
        <w:rPr>
          <w:lang w:val="en-AU"/>
        </w:rPr>
        <w:t>of</w:t>
      </w:r>
      <w:r w:rsidRPr="00602151">
        <w:rPr>
          <w:spacing w:val="4"/>
          <w:lang w:val="en-AU"/>
        </w:rPr>
        <w:t xml:space="preserve"> </w:t>
      </w:r>
      <w:r w:rsidRPr="00602151">
        <w:rPr>
          <w:lang w:val="en-AU"/>
        </w:rPr>
        <w:t>Licence</w:t>
      </w:r>
      <w:r w:rsidRPr="00602151">
        <w:rPr>
          <w:spacing w:val="4"/>
          <w:lang w:val="en-AU"/>
        </w:rPr>
        <w:t xml:space="preserve"> </w:t>
      </w:r>
      <w:r w:rsidRPr="00602151">
        <w:rPr>
          <w:spacing w:val="-1"/>
          <w:lang w:val="en-AU"/>
        </w:rPr>
        <w:t>Schedule</w:t>
      </w:r>
      <w:r w:rsidRPr="00602151">
        <w:rPr>
          <w:spacing w:val="6"/>
          <w:lang w:val="en-AU"/>
        </w:rPr>
        <w:t xml:space="preserve"> </w:t>
      </w:r>
      <w:r w:rsidRPr="00602151">
        <w:rPr>
          <w:lang w:val="en-AU"/>
        </w:rPr>
        <w:t>1.</w:t>
      </w:r>
    </w:p>
    <w:p w14:paraId="3C1FE9BF" w14:textId="77777777" w:rsidR="00FB0E13" w:rsidRPr="00602151" w:rsidRDefault="00FB0E13" w:rsidP="00FB0E13">
      <w:pPr>
        <w:spacing w:after="0"/>
        <w:ind w:right="-551"/>
        <w:rPr>
          <w:rFonts w:ascii="Times New Roman" w:hAnsi="Times New Roman"/>
          <w:sz w:val="24"/>
        </w:rPr>
      </w:pPr>
    </w:p>
    <w:p w14:paraId="2F571B74" w14:textId="6F61E2A4" w:rsidR="00FB0E13" w:rsidRPr="00602151" w:rsidRDefault="00FB0E13" w:rsidP="00FB0E13">
      <w:pPr>
        <w:pStyle w:val="BodyText"/>
        <w:numPr>
          <w:ilvl w:val="0"/>
          <w:numId w:val="27"/>
        </w:numPr>
        <w:tabs>
          <w:tab w:val="left" w:pos="531"/>
        </w:tabs>
        <w:spacing w:line="282" w:lineRule="auto"/>
        <w:ind w:right="-551"/>
        <w:jc w:val="left"/>
        <w:rPr>
          <w:lang w:val="en-AU"/>
        </w:rPr>
      </w:pPr>
      <w:r w:rsidRPr="00602151">
        <w:rPr>
          <w:lang w:val="en-AU"/>
        </w:rPr>
        <w:t>Where</w:t>
      </w:r>
      <w:r w:rsidRPr="00602151">
        <w:rPr>
          <w:spacing w:val="6"/>
          <w:lang w:val="en-AU"/>
        </w:rPr>
        <w:t xml:space="preserve"> </w:t>
      </w:r>
      <w:r w:rsidRPr="00602151">
        <w:rPr>
          <w:lang w:val="en-AU"/>
        </w:rPr>
        <w:t>a</w:t>
      </w:r>
      <w:r w:rsidRPr="00602151">
        <w:rPr>
          <w:spacing w:val="6"/>
          <w:lang w:val="en-AU"/>
        </w:rPr>
        <w:t xml:space="preserve"> </w:t>
      </w:r>
      <w:r w:rsidRPr="00602151">
        <w:rPr>
          <w:spacing w:val="-1"/>
          <w:lang w:val="en-AU"/>
        </w:rPr>
        <w:t>written</w:t>
      </w:r>
      <w:r w:rsidRPr="00602151">
        <w:rPr>
          <w:spacing w:val="7"/>
          <w:lang w:val="en-AU"/>
        </w:rPr>
        <w:t xml:space="preserve"> </w:t>
      </w:r>
      <w:r w:rsidRPr="00602151">
        <w:rPr>
          <w:lang w:val="en-AU"/>
        </w:rPr>
        <w:t>agreement</w:t>
      </w:r>
      <w:r w:rsidRPr="00602151">
        <w:rPr>
          <w:spacing w:val="6"/>
          <w:lang w:val="en-AU"/>
        </w:rPr>
        <w:t xml:space="preserve"> </w:t>
      </w:r>
      <w:r w:rsidRPr="00602151">
        <w:rPr>
          <w:spacing w:val="-1"/>
          <w:lang w:val="en-AU"/>
        </w:rPr>
        <w:t>specifying</w:t>
      </w:r>
      <w:r w:rsidRPr="00602151">
        <w:rPr>
          <w:spacing w:val="7"/>
          <w:lang w:val="en-AU"/>
        </w:rPr>
        <w:t xml:space="preserve"> </w:t>
      </w:r>
      <w:r w:rsidRPr="00602151">
        <w:rPr>
          <w:lang w:val="en-AU"/>
        </w:rPr>
        <w:t>the</w:t>
      </w:r>
      <w:r w:rsidRPr="00602151">
        <w:rPr>
          <w:spacing w:val="6"/>
          <w:lang w:val="en-AU"/>
        </w:rPr>
        <w:t xml:space="preserve"> </w:t>
      </w:r>
      <w:r w:rsidRPr="00602151">
        <w:rPr>
          <w:lang w:val="en-AU"/>
        </w:rPr>
        <w:t>maximum</w:t>
      </w:r>
      <w:r w:rsidRPr="00602151">
        <w:rPr>
          <w:spacing w:val="6"/>
          <w:lang w:val="en-AU"/>
        </w:rPr>
        <w:t xml:space="preserve"> </w:t>
      </w:r>
      <w:r w:rsidRPr="00602151">
        <w:rPr>
          <w:lang w:val="en-AU"/>
        </w:rPr>
        <w:t>permitted</w:t>
      </w:r>
      <w:r w:rsidRPr="00602151">
        <w:rPr>
          <w:spacing w:val="6"/>
          <w:lang w:val="en-AU"/>
        </w:rPr>
        <w:t xml:space="preserve"> </w:t>
      </w:r>
      <w:r w:rsidRPr="00602151">
        <w:rPr>
          <w:lang w:val="en-AU"/>
        </w:rPr>
        <w:t>level</w:t>
      </w:r>
      <w:r w:rsidRPr="00602151">
        <w:rPr>
          <w:spacing w:val="6"/>
          <w:lang w:val="en-AU"/>
        </w:rPr>
        <w:t xml:space="preserve"> </w:t>
      </w:r>
      <w:r w:rsidRPr="00602151">
        <w:rPr>
          <w:lang w:val="en-AU"/>
        </w:rPr>
        <w:t>of</w:t>
      </w:r>
      <w:r w:rsidRPr="00602151">
        <w:rPr>
          <w:spacing w:val="6"/>
          <w:lang w:val="en-AU"/>
        </w:rPr>
        <w:t xml:space="preserve"> </w:t>
      </w:r>
      <w:r w:rsidRPr="00602151">
        <w:rPr>
          <w:lang w:val="en-AU"/>
        </w:rPr>
        <w:t>radio</w:t>
      </w:r>
      <w:r w:rsidRPr="00602151">
        <w:rPr>
          <w:spacing w:val="6"/>
          <w:lang w:val="en-AU"/>
        </w:rPr>
        <w:t xml:space="preserve"> </w:t>
      </w:r>
      <w:r w:rsidRPr="00602151">
        <w:rPr>
          <w:lang w:val="en-AU"/>
        </w:rPr>
        <w:t>emission</w:t>
      </w:r>
      <w:r w:rsidRPr="00602151">
        <w:rPr>
          <w:spacing w:val="23"/>
          <w:w w:val="101"/>
          <w:lang w:val="en-AU"/>
        </w:rPr>
        <w:t xml:space="preserve"> </w:t>
      </w:r>
      <w:r w:rsidRPr="00602151">
        <w:rPr>
          <w:lang w:val="en-AU"/>
        </w:rPr>
        <w:t>for</w:t>
      </w:r>
      <w:r w:rsidRPr="00602151">
        <w:rPr>
          <w:spacing w:val="5"/>
          <w:lang w:val="en-AU"/>
        </w:rPr>
        <w:t xml:space="preserve"> </w:t>
      </w:r>
      <w:r w:rsidRPr="00602151">
        <w:rPr>
          <w:lang w:val="en-AU"/>
        </w:rPr>
        <w:t>frequencies</w:t>
      </w:r>
      <w:r w:rsidRPr="00602151">
        <w:rPr>
          <w:spacing w:val="6"/>
          <w:lang w:val="en-AU"/>
        </w:rPr>
        <w:t xml:space="preserve"> </w:t>
      </w:r>
      <w:r w:rsidRPr="00602151">
        <w:rPr>
          <w:lang w:val="en-AU"/>
        </w:rPr>
        <w:t>described</w:t>
      </w:r>
      <w:r w:rsidRPr="00602151">
        <w:rPr>
          <w:spacing w:val="6"/>
          <w:lang w:val="en-AU"/>
        </w:rPr>
        <w:t xml:space="preserve"> </w:t>
      </w:r>
      <w:r w:rsidRPr="00602151">
        <w:rPr>
          <w:lang w:val="en-AU"/>
        </w:rPr>
        <w:t>in</w:t>
      </w:r>
      <w:r w:rsidRPr="00602151">
        <w:rPr>
          <w:spacing w:val="6"/>
          <w:lang w:val="en-AU"/>
        </w:rPr>
        <w:t xml:space="preserve"> </w:t>
      </w:r>
      <w:r w:rsidR="00CF23FA">
        <w:rPr>
          <w:lang w:val="en-AU"/>
        </w:rPr>
        <w:t>C</w:t>
      </w:r>
      <w:r w:rsidR="00CF23FA" w:rsidRPr="00602151">
        <w:rPr>
          <w:lang w:val="en-AU"/>
        </w:rPr>
        <w:t>ore</w:t>
      </w:r>
      <w:r w:rsidR="00CF23FA" w:rsidRPr="00602151">
        <w:rPr>
          <w:spacing w:val="6"/>
          <w:lang w:val="en-AU"/>
        </w:rPr>
        <w:t xml:space="preserve"> </w:t>
      </w:r>
      <w:r w:rsidR="00CF23FA">
        <w:rPr>
          <w:lang w:val="en-AU"/>
        </w:rPr>
        <w:t>C</w:t>
      </w:r>
      <w:r w:rsidRPr="00602151">
        <w:rPr>
          <w:lang w:val="en-AU"/>
        </w:rPr>
        <w:t>ondition</w:t>
      </w:r>
      <w:r w:rsidRPr="00602151">
        <w:rPr>
          <w:spacing w:val="6"/>
          <w:lang w:val="en-AU"/>
        </w:rPr>
        <w:t xml:space="preserve"> </w:t>
      </w:r>
      <w:r w:rsidRPr="00602151">
        <w:rPr>
          <w:lang w:val="en-AU"/>
        </w:rPr>
        <w:t>2</w:t>
      </w:r>
      <w:r w:rsidRPr="00602151">
        <w:rPr>
          <w:spacing w:val="5"/>
          <w:lang w:val="en-AU"/>
        </w:rPr>
        <w:t xml:space="preserve"> </w:t>
      </w:r>
      <w:r w:rsidRPr="00602151">
        <w:rPr>
          <w:lang w:val="en-AU"/>
        </w:rPr>
        <w:t>exists</w:t>
      </w:r>
      <w:r w:rsidRPr="00602151">
        <w:rPr>
          <w:spacing w:val="6"/>
          <w:lang w:val="en-AU"/>
        </w:rPr>
        <w:t xml:space="preserve"> </w:t>
      </w:r>
      <w:r w:rsidRPr="00602151">
        <w:rPr>
          <w:lang w:val="en-AU"/>
        </w:rPr>
        <w:t>between:</w:t>
      </w:r>
    </w:p>
    <w:p w14:paraId="3BC50D87" w14:textId="77777777" w:rsidR="00FB0E13" w:rsidRPr="00602151" w:rsidRDefault="00FB0E13" w:rsidP="00FB0E13">
      <w:pPr>
        <w:spacing w:after="0"/>
        <w:ind w:right="-551"/>
        <w:rPr>
          <w:rFonts w:ascii="Times New Roman" w:hAnsi="Times New Roman"/>
          <w:sz w:val="24"/>
        </w:rPr>
      </w:pPr>
    </w:p>
    <w:p w14:paraId="11A4CC76" w14:textId="77777777" w:rsidR="00FB0E13" w:rsidRPr="00602151" w:rsidRDefault="00FB0E13" w:rsidP="00FB0E13">
      <w:pPr>
        <w:pStyle w:val="BodyText"/>
        <w:numPr>
          <w:ilvl w:val="1"/>
          <w:numId w:val="27"/>
        </w:numPr>
        <w:tabs>
          <w:tab w:val="left" w:pos="891"/>
        </w:tabs>
        <w:ind w:right="-551"/>
        <w:rPr>
          <w:lang w:val="en-AU"/>
        </w:rPr>
      </w:pPr>
      <w:r w:rsidRPr="00602151">
        <w:rPr>
          <w:lang w:val="en-AU"/>
        </w:rPr>
        <w:t>the</w:t>
      </w:r>
      <w:r w:rsidRPr="00602151">
        <w:rPr>
          <w:spacing w:val="6"/>
          <w:lang w:val="en-AU"/>
        </w:rPr>
        <w:t xml:space="preserve"> </w:t>
      </w:r>
      <w:r w:rsidRPr="00602151">
        <w:rPr>
          <w:lang w:val="en-AU"/>
        </w:rPr>
        <w:t>licensee;</w:t>
      </w:r>
      <w:r w:rsidRPr="00602151">
        <w:rPr>
          <w:spacing w:val="6"/>
          <w:lang w:val="en-AU"/>
        </w:rPr>
        <w:t xml:space="preserve"> </w:t>
      </w:r>
      <w:r w:rsidRPr="00602151">
        <w:rPr>
          <w:lang w:val="en-AU"/>
        </w:rPr>
        <w:t>and</w:t>
      </w:r>
    </w:p>
    <w:p w14:paraId="7A448B3A" w14:textId="5F83E044" w:rsidR="00FB0E13" w:rsidRPr="00602151" w:rsidRDefault="00FB0E13" w:rsidP="00FB0E13">
      <w:pPr>
        <w:pStyle w:val="BodyText"/>
        <w:numPr>
          <w:ilvl w:val="1"/>
          <w:numId w:val="27"/>
        </w:numPr>
        <w:tabs>
          <w:tab w:val="left" w:pos="891"/>
        </w:tabs>
        <w:spacing w:line="282" w:lineRule="auto"/>
        <w:ind w:right="-551"/>
        <w:rPr>
          <w:lang w:val="en-AU"/>
        </w:rPr>
      </w:pPr>
      <w:r w:rsidRPr="00602151">
        <w:rPr>
          <w:lang w:val="en-AU"/>
        </w:rPr>
        <w:t>all</w:t>
      </w:r>
      <w:r w:rsidRPr="00602151">
        <w:rPr>
          <w:spacing w:val="7"/>
          <w:lang w:val="en-AU"/>
        </w:rPr>
        <w:t xml:space="preserve"> </w:t>
      </w:r>
      <w:r w:rsidRPr="00602151">
        <w:rPr>
          <w:lang w:val="en-AU"/>
        </w:rPr>
        <w:t>the</w:t>
      </w:r>
      <w:r w:rsidRPr="00602151">
        <w:rPr>
          <w:spacing w:val="7"/>
          <w:lang w:val="en-AU"/>
        </w:rPr>
        <w:t xml:space="preserve"> </w:t>
      </w:r>
      <w:r w:rsidRPr="00602151">
        <w:rPr>
          <w:lang w:val="en-AU"/>
        </w:rPr>
        <w:t>affected</w:t>
      </w:r>
      <w:r w:rsidRPr="00602151">
        <w:rPr>
          <w:spacing w:val="7"/>
          <w:lang w:val="en-AU"/>
        </w:rPr>
        <w:t xml:space="preserve"> </w:t>
      </w:r>
      <w:r w:rsidRPr="00602151">
        <w:rPr>
          <w:lang w:val="en-AU"/>
        </w:rPr>
        <w:t>licensees</w:t>
      </w:r>
      <w:r w:rsidRPr="00602151">
        <w:rPr>
          <w:spacing w:val="8"/>
          <w:lang w:val="en-AU"/>
        </w:rPr>
        <w:t xml:space="preserve"> </w:t>
      </w:r>
      <w:r w:rsidRPr="00602151">
        <w:rPr>
          <w:lang w:val="en-AU"/>
        </w:rPr>
        <w:t>of</w:t>
      </w:r>
      <w:r w:rsidRPr="00602151">
        <w:rPr>
          <w:spacing w:val="7"/>
          <w:lang w:val="en-AU"/>
        </w:rPr>
        <w:t xml:space="preserve"> </w:t>
      </w:r>
      <w:r w:rsidRPr="00602151">
        <w:rPr>
          <w:lang w:val="en-AU"/>
        </w:rPr>
        <w:t>frequency-adjacent</w:t>
      </w:r>
      <w:r w:rsidRPr="00602151">
        <w:rPr>
          <w:spacing w:val="8"/>
          <w:lang w:val="en-AU"/>
        </w:rPr>
        <w:t xml:space="preserve"> </w:t>
      </w:r>
      <w:r w:rsidRPr="00602151">
        <w:rPr>
          <w:lang w:val="en-AU"/>
        </w:rPr>
        <w:t>and</w:t>
      </w:r>
      <w:r w:rsidRPr="00602151">
        <w:rPr>
          <w:spacing w:val="7"/>
          <w:lang w:val="en-AU"/>
        </w:rPr>
        <w:t xml:space="preserve"> </w:t>
      </w:r>
      <w:r w:rsidRPr="00602151">
        <w:rPr>
          <w:lang w:val="en-AU"/>
        </w:rPr>
        <w:t>area-adjacent</w:t>
      </w:r>
      <w:r w:rsidRPr="00602151">
        <w:rPr>
          <w:spacing w:val="22"/>
          <w:w w:val="101"/>
          <w:lang w:val="en-AU"/>
        </w:rPr>
        <w:t xml:space="preserve"> </w:t>
      </w:r>
      <w:r w:rsidRPr="00602151">
        <w:rPr>
          <w:lang w:val="en-AU"/>
        </w:rPr>
        <w:t>licences;</w:t>
      </w:r>
    </w:p>
    <w:p w14:paraId="329E3166" w14:textId="77777777" w:rsidR="00FB0E13" w:rsidRPr="00602151" w:rsidRDefault="00FB0E13" w:rsidP="00FB0E13">
      <w:pPr>
        <w:spacing w:after="0"/>
        <w:ind w:right="-551"/>
        <w:rPr>
          <w:rFonts w:ascii="Times New Roman" w:hAnsi="Times New Roman"/>
          <w:sz w:val="24"/>
        </w:rPr>
      </w:pPr>
    </w:p>
    <w:p w14:paraId="79D9DD4F" w14:textId="77777777" w:rsidR="00FB0E13" w:rsidRPr="00602151" w:rsidRDefault="00FB0E13" w:rsidP="00FB0E13">
      <w:pPr>
        <w:pStyle w:val="BodyText"/>
        <w:spacing w:line="282" w:lineRule="auto"/>
        <w:ind w:left="530" w:right="-551" w:firstLine="0"/>
        <w:rPr>
          <w:lang w:val="en-AU"/>
        </w:rPr>
      </w:pPr>
      <w:r w:rsidRPr="00602151">
        <w:rPr>
          <w:lang w:val="en-AU"/>
        </w:rPr>
        <w:t>the</w:t>
      </w:r>
      <w:r w:rsidRPr="00602151">
        <w:rPr>
          <w:spacing w:val="5"/>
          <w:lang w:val="en-AU"/>
        </w:rPr>
        <w:t xml:space="preserve"> </w:t>
      </w:r>
      <w:r w:rsidRPr="00602151">
        <w:rPr>
          <w:lang w:val="en-AU"/>
        </w:rPr>
        <w:t>licensee</w:t>
      </w:r>
      <w:r w:rsidRPr="00602151">
        <w:rPr>
          <w:spacing w:val="6"/>
          <w:lang w:val="en-AU"/>
        </w:rPr>
        <w:t xml:space="preserve"> </w:t>
      </w:r>
      <w:r w:rsidRPr="00602151">
        <w:rPr>
          <w:lang w:val="en-AU"/>
        </w:rPr>
        <w:t>must</w:t>
      </w:r>
      <w:r w:rsidRPr="00602151">
        <w:rPr>
          <w:spacing w:val="5"/>
          <w:lang w:val="en-AU"/>
        </w:rPr>
        <w:t xml:space="preserve"> </w:t>
      </w:r>
      <w:r w:rsidRPr="00602151">
        <w:rPr>
          <w:lang w:val="en-AU"/>
        </w:rPr>
        <w:t>comply</w:t>
      </w:r>
      <w:r w:rsidRPr="00602151">
        <w:rPr>
          <w:spacing w:val="6"/>
          <w:lang w:val="en-AU"/>
        </w:rPr>
        <w:t xml:space="preserve"> </w:t>
      </w:r>
      <w:r w:rsidRPr="00602151">
        <w:rPr>
          <w:spacing w:val="-1"/>
          <w:lang w:val="en-AU"/>
        </w:rPr>
        <w:t>with</w:t>
      </w:r>
      <w:r w:rsidRPr="00602151">
        <w:rPr>
          <w:spacing w:val="6"/>
          <w:lang w:val="en-AU"/>
        </w:rPr>
        <w:t xml:space="preserve"> </w:t>
      </w:r>
      <w:r w:rsidRPr="00602151">
        <w:rPr>
          <w:lang w:val="en-AU"/>
        </w:rPr>
        <w:t>that</w:t>
      </w:r>
      <w:r w:rsidRPr="00602151">
        <w:rPr>
          <w:spacing w:val="6"/>
          <w:lang w:val="en-AU"/>
        </w:rPr>
        <w:t xml:space="preserve"> </w:t>
      </w:r>
      <w:r w:rsidRPr="00602151">
        <w:rPr>
          <w:spacing w:val="-1"/>
          <w:lang w:val="en-AU"/>
        </w:rPr>
        <w:t>specified</w:t>
      </w:r>
      <w:r w:rsidRPr="00602151">
        <w:rPr>
          <w:spacing w:val="6"/>
          <w:lang w:val="en-AU"/>
        </w:rPr>
        <w:t xml:space="preserve"> </w:t>
      </w:r>
      <w:r w:rsidRPr="00602151">
        <w:rPr>
          <w:lang w:val="en-AU"/>
        </w:rPr>
        <w:t>maximum</w:t>
      </w:r>
      <w:r w:rsidRPr="00602151">
        <w:rPr>
          <w:spacing w:val="6"/>
          <w:lang w:val="en-AU"/>
        </w:rPr>
        <w:t xml:space="preserve"> </w:t>
      </w:r>
      <w:r w:rsidRPr="00602151">
        <w:rPr>
          <w:lang w:val="en-AU"/>
        </w:rPr>
        <w:t>permitted</w:t>
      </w:r>
      <w:r w:rsidRPr="00602151">
        <w:rPr>
          <w:spacing w:val="5"/>
          <w:lang w:val="en-AU"/>
        </w:rPr>
        <w:t xml:space="preserve"> </w:t>
      </w:r>
      <w:r w:rsidRPr="00602151">
        <w:rPr>
          <w:lang w:val="en-AU"/>
        </w:rPr>
        <w:t>level</w:t>
      </w:r>
      <w:r w:rsidRPr="00602151">
        <w:rPr>
          <w:spacing w:val="6"/>
          <w:lang w:val="en-AU"/>
        </w:rPr>
        <w:t xml:space="preserve"> </w:t>
      </w:r>
      <w:r w:rsidRPr="00602151">
        <w:rPr>
          <w:lang w:val="en-AU"/>
        </w:rPr>
        <w:t>of</w:t>
      </w:r>
      <w:r w:rsidRPr="00602151">
        <w:rPr>
          <w:spacing w:val="5"/>
          <w:lang w:val="en-AU"/>
        </w:rPr>
        <w:t xml:space="preserve"> </w:t>
      </w:r>
      <w:r w:rsidRPr="00602151">
        <w:rPr>
          <w:lang w:val="en-AU"/>
        </w:rPr>
        <w:t>radio</w:t>
      </w:r>
      <w:r w:rsidRPr="00602151">
        <w:rPr>
          <w:spacing w:val="23"/>
          <w:w w:val="101"/>
          <w:lang w:val="en-AU"/>
        </w:rPr>
        <w:t xml:space="preserve"> </w:t>
      </w:r>
      <w:r w:rsidRPr="00602151">
        <w:rPr>
          <w:lang w:val="en-AU"/>
        </w:rPr>
        <w:t>emission.</w:t>
      </w:r>
    </w:p>
    <w:p w14:paraId="360C15F0" w14:textId="77777777" w:rsidR="00FB0E13" w:rsidRPr="00602151" w:rsidRDefault="00FB0E13" w:rsidP="00FB0E13">
      <w:pPr>
        <w:spacing w:after="0"/>
        <w:ind w:right="-551"/>
        <w:rPr>
          <w:rFonts w:ascii="Times New Roman" w:hAnsi="Times New Roman"/>
          <w:sz w:val="24"/>
        </w:rPr>
      </w:pPr>
    </w:p>
    <w:p w14:paraId="08B263F2" w14:textId="58E7282B" w:rsidR="00FB0E13" w:rsidRPr="00602151" w:rsidRDefault="00FB0E13" w:rsidP="00FB0E13">
      <w:pPr>
        <w:pStyle w:val="BodyText"/>
        <w:numPr>
          <w:ilvl w:val="0"/>
          <w:numId w:val="27"/>
        </w:numPr>
        <w:tabs>
          <w:tab w:val="left" w:pos="531"/>
        </w:tabs>
        <w:spacing w:line="282" w:lineRule="auto"/>
        <w:ind w:right="-551"/>
        <w:jc w:val="left"/>
        <w:rPr>
          <w:lang w:val="en-AU"/>
        </w:rPr>
      </w:pPr>
      <w:r w:rsidRPr="00602151">
        <w:rPr>
          <w:lang w:val="en-AU"/>
        </w:rPr>
        <w:t>Where</w:t>
      </w:r>
      <w:r w:rsidRPr="00602151">
        <w:rPr>
          <w:spacing w:val="4"/>
          <w:lang w:val="en-AU"/>
        </w:rPr>
        <w:t xml:space="preserve"> </w:t>
      </w:r>
      <w:r w:rsidRPr="00602151">
        <w:rPr>
          <w:lang w:val="en-AU"/>
        </w:rPr>
        <w:t>there</w:t>
      </w:r>
      <w:r w:rsidRPr="00602151">
        <w:rPr>
          <w:spacing w:val="4"/>
          <w:lang w:val="en-AU"/>
        </w:rPr>
        <w:t xml:space="preserve"> </w:t>
      </w:r>
      <w:r w:rsidRPr="00602151">
        <w:rPr>
          <w:lang w:val="en-AU"/>
        </w:rPr>
        <w:t>is</w:t>
      </w:r>
      <w:r w:rsidRPr="00602151">
        <w:rPr>
          <w:spacing w:val="4"/>
          <w:lang w:val="en-AU"/>
        </w:rPr>
        <w:t xml:space="preserve"> </w:t>
      </w:r>
      <w:r w:rsidRPr="00602151">
        <w:rPr>
          <w:lang w:val="en-AU"/>
        </w:rPr>
        <w:t>no</w:t>
      </w:r>
      <w:r w:rsidRPr="00602151">
        <w:rPr>
          <w:spacing w:val="5"/>
          <w:lang w:val="en-AU"/>
        </w:rPr>
        <w:t xml:space="preserve"> </w:t>
      </w:r>
      <w:r w:rsidRPr="00602151">
        <w:rPr>
          <w:spacing w:val="-1"/>
          <w:lang w:val="en-AU"/>
        </w:rPr>
        <w:t>written</w:t>
      </w:r>
      <w:r w:rsidRPr="00602151">
        <w:rPr>
          <w:spacing w:val="5"/>
          <w:lang w:val="en-AU"/>
        </w:rPr>
        <w:t xml:space="preserve"> </w:t>
      </w:r>
      <w:r w:rsidRPr="00602151">
        <w:rPr>
          <w:lang w:val="en-AU"/>
        </w:rPr>
        <w:t>agreement</w:t>
      </w:r>
      <w:r w:rsidRPr="00602151">
        <w:rPr>
          <w:spacing w:val="4"/>
          <w:lang w:val="en-AU"/>
        </w:rPr>
        <w:t xml:space="preserve"> </w:t>
      </w:r>
      <w:r w:rsidRPr="00602151">
        <w:rPr>
          <w:lang w:val="en-AU"/>
        </w:rPr>
        <w:t>for</w:t>
      </w:r>
      <w:r w:rsidRPr="00602151">
        <w:rPr>
          <w:spacing w:val="4"/>
          <w:lang w:val="en-AU"/>
        </w:rPr>
        <w:t xml:space="preserve"> </w:t>
      </w:r>
      <w:r w:rsidRPr="00602151">
        <w:rPr>
          <w:lang w:val="en-AU"/>
        </w:rPr>
        <w:t>the</w:t>
      </w:r>
      <w:r w:rsidRPr="00602151">
        <w:rPr>
          <w:spacing w:val="5"/>
          <w:lang w:val="en-AU"/>
        </w:rPr>
        <w:t xml:space="preserve"> </w:t>
      </w:r>
      <w:r w:rsidRPr="00602151">
        <w:rPr>
          <w:lang w:val="en-AU"/>
        </w:rPr>
        <w:t>purposes</w:t>
      </w:r>
      <w:r w:rsidRPr="00602151">
        <w:rPr>
          <w:spacing w:val="4"/>
          <w:lang w:val="en-AU"/>
        </w:rPr>
        <w:t xml:space="preserve"> </w:t>
      </w:r>
      <w:r w:rsidRPr="00602151">
        <w:rPr>
          <w:lang w:val="en-AU"/>
        </w:rPr>
        <w:t>of</w:t>
      </w:r>
      <w:r w:rsidRPr="00602151">
        <w:rPr>
          <w:spacing w:val="4"/>
          <w:lang w:val="en-AU"/>
        </w:rPr>
        <w:t xml:space="preserve"> </w:t>
      </w:r>
      <w:r w:rsidR="00CF23FA">
        <w:rPr>
          <w:lang w:val="en-AU"/>
        </w:rPr>
        <w:t>C</w:t>
      </w:r>
      <w:r w:rsidRPr="00602151">
        <w:rPr>
          <w:lang w:val="en-AU"/>
        </w:rPr>
        <w:t>ore</w:t>
      </w:r>
      <w:r w:rsidRPr="00602151">
        <w:rPr>
          <w:spacing w:val="4"/>
          <w:lang w:val="en-AU"/>
        </w:rPr>
        <w:t xml:space="preserve"> </w:t>
      </w:r>
      <w:r w:rsidR="00CF23FA">
        <w:rPr>
          <w:lang w:val="en-AU"/>
        </w:rPr>
        <w:t>C</w:t>
      </w:r>
      <w:r w:rsidRPr="00602151">
        <w:rPr>
          <w:lang w:val="en-AU"/>
        </w:rPr>
        <w:t>ondition</w:t>
      </w:r>
      <w:r w:rsidRPr="00602151">
        <w:rPr>
          <w:spacing w:val="5"/>
          <w:lang w:val="en-AU"/>
        </w:rPr>
        <w:t xml:space="preserve"> </w:t>
      </w:r>
      <w:r w:rsidRPr="00602151">
        <w:rPr>
          <w:lang w:val="en-AU"/>
        </w:rPr>
        <w:t>3</w:t>
      </w:r>
      <w:r w:rsidRPr="00602151">
        <w:rPr>
          <w:spacing w:val="4"/>
          <w:lang w:val="en-AU"/>
        </w:rPr>
        <w:t xml:space="preserve"> </w:t>
      </w:r>
      <w:r w:rsidRPr="00602151">
        <w:rPr>
          <w:lang w:val="en-AU"/>
        </w:rPr>
        <w:t>in</w:t>
      </w:r>
      <w:r w:rsidRPr="00602151">
        <w:rPr>
          <w:spacing w:val="4"/>
          <w:lang w:val="en-AU"/>
        </w:rPr>
        <w:t xml:space="preserve"> </w:t>
      </w:r>
      <w:r w:rsidRPr="00602151">
        <w:rPr>
          <w:lang w:val="en-AU"/>
        </w:rPr>
        <w:t>force,</w:t>
      </w:r>
      <w:r w:rsidRPr="00602151">
        <w:rPr>
          <w:spacing w:val="4"/>
          <w:lang w:val="en-AU"/>
        </w:rPr>
        <w:t xml:space="preserve"> </w:t>
      </w:r>
      <w:r w:rsidRPr="00602151">
        <w:rPr>
          <w:lang w:val="en-AU"/>
        </w:rPr>
        <w:t>the</w:t>
      </w:r>
      <w:r w:rsidRPr="00602151">
        <w:rPr>
          <w:spacing w:val="22"/>
          <w:w w:val="101"/>
          <w:lang w:val="en-AU"/>
        </w:rPr>
        <w:t xml:space="preserve"> </w:t>
      </w:r>
      <w:r w:rsidRPr="00602151">
        <w:rPr>
          <w:lang w:val="en-AU"/>
        </w:rPr>
        <w:t>licensee</w:t>
      </w:r>
      <w:r w:rsidRPr="00602151">
        <w:rPr>
          <w:spacing w:val="4"/>
          <w:lang w:val="en-AU"/>
        </w:rPr>
        <w:t xml:space="preserve"> </w:t>
      </w:r>
      <w:r w:rsidRPr="00602151">
        <w:rPr>
          <w:lang w:val="en-AU"/>
        </w:rPr>
        <w:t>must</w:t>
      </w:r>
      <w:r w:rsidRPr="00602151">
        <w:rPr>
          <w:spacing w:val="5"/>
          <w:lang w:val="en-AU"/>
        </w:rPr>
        <w:t xml:space="preserve"> </w:t>
      </w:r>
      <w:r w:rsidRPr="00602151">
        <w:rPr>
          <w:lang w:val="en-AU"/>
        </w:rPr>
        <w:t>comply</w:t>
      </w:r>
      <w:r w:rsidRPr="00602151">
        <w:rPr>
          <w:spacing w:val="5"/>
          <w:lang w:val="en-AU"/>
        </w:rPr>
        <w:t xml:space="preserve"> </w:t>
      </w:r>
      <w:r w:rsidRPr="00602151">
        <w:rPr>
          <w:spacing w:val="-1"/>
          <w:lang w:val="en-AU"/>
        </w:rPr>
        <w:t>with</w:t>
      </w:r>
      <w:r w:rsidRPr="00602151">
        <w:rPr>
          <w:spacing w:val="6"/>
          <w:lang w:val="en-AU"/>
        </w:rPr>
        <w:t xml:space="preserve"> </w:t>
      </w:r>
      <w:r w:rsidR="00CF23FA">
        <w:rPr>
          <w:lang w:val="en-AU"/>
        </w:rPr>
        <w:t>C</w:t>
      </w:r>
      <w:r w:rsidRPr="00602151">
        <w:rPr>
          <w:lang w:val="en-AU"/>
        </w:rPr>
        <w:t>ore</w:t>
      </w:r>
      <w:r w:rsidRPr="00602151">
        <w:rPr>
          <w:spacing w:val="5"/>
          <w:lang w:val="en-AU"/>
        </w:rPr>
        <w:t xml:space="preserve"> </w:t>
      </w:r>
      <w:r w:rsidR="00CF23FA">
        <w:rPr>
          <w:lang w:val="en-AU"/>
        </w:rPr>
        <w:t>C</w:t>
      </w:r>
      <w:r w:rsidRPr="00602151">
        <w:rPr>
          <w:lang w:val="en-AU"/>
        </w:rPr>
        <w:t>onditions</w:t>
      </w:r>
      <w:r w:rsidRPr="00602151">
        <w:rPr>
          <w:spacing w:val="4"/>
          <w:lang w:val="en-AU"/>
        </w:rPr>
        <w:t xml:space="preserve"> </w:t>
      </w:r>
      <w:r w:rsidRPr="00602151">
        <w:rPr>
          <w:lang w:val="en-AU"/>
        </w:rPr>
        <w:t>5</w:t>
      </w:r>
      <w:r w:rsidRPr="00602151">
        <w:rPr>
          <w:spacing w:val="5"/>
          <w:lang w:val="en-AU"/>
        </w:rPr>
        <w:t xml:space="preserve"> </w:t>
      </w:r>
      <w:r w:rsidRPr="00602151">
        <w:rPr>
          <w:lang w:val="en-AU"/>
        </w:rPr>
        <w:t>to</w:t>
      </w:r>
      <w:r w:rsidRPr="00602151">
        <w:rPr>
          <w:spacing w:val="5"/>
          <w:lang w:val="en-AU"/>
        </w:rPr>
        <w:t xml:space="preserve"> </w:t>
      </w:r>
      <w:r w:rsidRPr="00602151">
        <w:rPr>
          <w:lang w:val="en-AU"/>
        </w:rPr>
        <w:t>1</w:t>
      </w:r>
      <w:r w:rsidR="00A9388C">
        <w:rPr>
          <w:lang w:val="en-AU"/>
        </w:rPr>
        <w:t>1</w:t>
      </w:r>
      <w:r w:rsidRPr="00602151">
        <w:rPr>
          <w:lang w:val="en-AU"/>
        </w:rPr>
        <w:t>.</w:t>
      </w:r>
    </w:p>
    <w:p w14:paraId="3EB0E087" w14:textId="77777777" w:rsidR="00FB0E13" w:rsidRPr="00602151" w:rsidRDefault="00FB0E13" w:rsidP="00FB0E13">
      <w:pPr>
        <w:spacing w:after="0"/>
        <w:ind w:right="-551"/>
        <w:rPr>
          <w:rFonts w:ascii="Times New Roman" w:hAnsi="Times New Roman"/>
          <w:sz w:val="25"/>
          <w:szCs w:val="25"/>
        </w:rPr>
      </w:pPr>
    </w:p>
    <w:p w14:paraId="4E79079E" w14:textId="47BA427A" w:rsidR="00FB0E13" w:rsidRPr="00602151" w:rsidRDefault="00FB0E13" w:rsidP="00FB0E13">
      <w:pPr>
        <w:pStyle w:val="Heading3"/>
        <w:spacing w:before="240" w:after="120"/>
        <w:ind w:right="-551"/>
      </w:pPr>
      <w:bookmarkStart w:id="79" w:name="_Toc507878623"/>
      <w:bookmarkStart w:id="80" w:name="_Toc50380894"/>
      <w:bookmarkStart w:id="81" w:name="_Toc58241154"/>
      <w:bookmarkStart w:id="82" w:name="_Toc83989343"/>
      <w:r w:rsidRPr="00602151">
        <w:t>Non spurious emission limits</w:t>
      </w:r>
      <w:bookmarkEnd w:id="79"/>
      <w:bookmarkEnd w:id="80"/>
      <w:bookmarkEnd w:id="81"/>
      <w:bookmarkEnd w:id="82"/>
    </w:p>
    <w:p w14:paraId="14260E0B" w14:textId="78250DD7" w:rsidR="00FB0E13" w:rsidRPr="00602151" w:rsidRDefault="00FB0E13" w:rsidP="00FB0E13">
      <w:pPr>
        <w:pStyle w:val="BodyText"/>
        <w:numPr>
          <w:ilvl w:val="0"/>
          <w:numId w:val="27"/>
        </w:numPr>
        <w:tabs>
          <w:tab w:val="left" w:pos="531"/>
        </w:tabs>
        <w:spacing w:line="282" w:lineRule="auto"/>
        <w:ind w:left="891" w:right="-551" w:hanging="715"/>
        <w:jc w:val="both"/>
        <w:rPr>
          <w:lang w:val="en-AU"/>
        </w:rPr>
      </w:pPr>
      <w:r w:rsidRPr="00602151">
        <w:rPr>
          <w:lang w:val="en-AU"/>
        </w:rPr>
        <w:t>(1)</w:t>
      </w:r>
      <w:r w:rsidRPr="00602151">
        <w:rPr>
          <w:spacing w:val="17"/>
          <w:lang w:val="en-AU"/>
        </w:rPr>
        <w:t xml:space="preserve"> </w:t>
      </w:r>
      <w:r w:rsidR="00A9388C">
        <w:t>Subject to sub-condition (2), the licensee must ensure that radiocommunications transmitters operated under this licence do not exceed the non spurious emission limits in core conditions 6 and 7</w:t>
      </w:r>
      <w:r w:rsidRPr="00602151">
        <w:rPr>
          <w:lang w:val="en-AU"/>
        </w:rPr>
        <w:t>.</w:t>
      </w:r>
    </w:p>
    <w:p w14:paraId="12F58714" w14:textId="557DAC4A" w:rsidR="00FB0E13" w:rsidRPr="00602151" w:rsidRDefault="00FB0E13" w:rsidP="00FB0E13">
      <w:pPr>
        <w:pStyle w:val="BodyText"/>
        <w:tabs>
          <w:tab w:val="left" w:pos="531"/>
        </w:tabs>
        <w:spacing w:line="282" w:lineRule="auto"/>
        <w:ind w:right="-551"/>
        <w:rPr>
          <w:lang w:val="en-AU"/>
        </w:rPr>
      </w:pPr>
      <w:r w:rsidRPr="00602151">
        <w:rPr>
          <w:lang w:val="en-AU"/>
        </w:rPr>
        <w:t xml:space="preserve">(2)  </w:t>
      </w:r>
      <w:r w:rsidR="00A9388C">
        <w:t>For any frequency where an emission limit described in core condition 8 is less than an emission limit described in core condition 6 or 7, the emission limit in core condition 8 applies instead of the emission limits in core condition 6 or 7</w:t>
      </w:r>
      <w:r w:rsidRPr="00602151">
        <w:rPr>
          <w:lang w:val="en-AU"/>
        </w:rPr>
        <w:t>.</w:t>
      </w:r>
    </w:p>
    <w:p w14:paraId="24C0B370" w14:textId="77777777" w:rsidR="00FB0E13" w:rsidRPr="00602151" w:rsidRDefault="00FB0E13" w:rsidP="00FB0E13">
      <w:pPr>
        <w:pStyle w:val="BodyText"/>
        <w:numPr>
          <w:ilvl w:val="0"/>
          <w:numId w:val="27"/>
        </w:numPr>
        <w:tabs>
          <w:tab w:val="left" w:pos="531"/>
        </w:tabs>
        <w:spacing w:before="120"/>
        <w:ind w:right="-551"/>
        <w:jc w:val="left"/>
        <w:rPr>
          <w:lang w:val="en-AU"/>
        </w:rPr>
      </w:pPr>
      <w:r w:rsidRPr="00602151">
        <w:rPr>
          <w:lang w:val="en-AU"/>
        </w:rPr>
        <w:t>The</w:t>
      </w:r>
      <w:r w:rsidRPr="00602151">
        <w:rPr>
          <w:spacing w:val="4"/>
          <w:lang w:val="en-AU"/>
        </w:rPr>
        <w:t xml:space="preserve"> </w:t>
      </w:r>
      <w:r w:rsidRPr="00602151">
        <w:rPr>
          <w:lang w:val="en-AU"/>
        </w:rPr>
        <w:t>non</w:t>
      </w:r>
      <w:r w:rsidRPr="00602151">
        <w:rPr>
          <w:spacing w:val="5"/>
          <w:lang w:val="en-AU"/>
        </w:rPr>
        <w:t xml:space="preserve"> </w:t>
      </w:r>
      <w:r w:rsidRPr="00602151">
        <w:rPr>
          <w:spacing w:val="-1"/>
          <w:lang w:val="en-AU"/>
        </w:rPr>
        <w:t>spurious</w:t>
      </w:r>
      <w:r w:rsidRPr="00602151">
        <w:rPr>
          <w:spacing w:val="6"/>
          <w:lang w:val="en-AU"/>
        </w:rPr>
        <w:t xml:space="preserve"> </w:t>
      </w:r>
      <w:r w:rsidRPr="00602151">
        <w:rPr>
          <w:lang w:val="en-AU"/>
        </w:rPr>
        <w:t>emission</w:t>
      </w:r>
      <w:r w:rsidRPr="00602151">
        <w:rPr>
          <w:spacing w:val="5"/>
          <w:lang w:val="en-AU"/>
        </w:rPr>
        <w:t xml:space="preserve"> </w:t>
      </w:r>
      <w:r w:rsidRPr="00602151">
        <w:rPr>
          <w:lang w:val="en-AU"/>
        </w:rPr>
        <w:t>limits</w:t>
      </w:r>
      <w:r w:rsidRPr="00602151">
        <w:rPr>
          <w:spacing w:val="5"/>
          <w:lang w:val="en-AU"/>
        </w:rPr>
        <w:t xml:space="preserve"> </w:t>
      </w:r>
      <w:r w:rsidRPr="00602151">
        <w:rPr>
          <w:lang w:val="en-AU"/>
        </w:rPr>
        <w:t>in</w:t>
      </w:r>
      <w:r w:rsidRPr="00602151">
        <w:rPr>
          <w:spacing w:val="4"/>
          <w:lang w:val="en-AU"/>
        </w:rPr>
        <w:t xml:space="preserve"> </w:t>
      </w:r>
      <w:r w:rsidRPr="00602151">
        <w:rPr>
          <w:lang w:val="en-AU"/>
        </w:rPr>
        <w:t>Table</w:t>
      </w:r>
      <w:r w:rsidRPr="00602151">
        <w:rPr>
          <w:spacing w:val="5"/>
          <w:lang w:val="en-AU"/>
        </w:rPr>
        <w:t xml:space="preserve"> </w:t>
      </w:r>
      <w:r w:rsidRPr="00602151">
        <w:rPr>
          <w:lang w:val="en-AU"/>
        </w:rPr>
        <w:t>3</w:t>
      </w:r>
      <w:r w:rsidRPr="00602151">
        <w:rPr>
          <w:spacing w:val="5"/>
          <w:lang w:val="en-AU"/>
        </w:rPr>
        <w:t xml:space="preserve"> </w:t>
      </w:r>
      <w:r w:rsidRPr="00602151">
        <w:rPr>
          <w:lang w:val="en-AU"/>
        </w:rPr>
        <w:t>apply:</w:t>
      </w:r>
    </w:p>
    <w:p w14:paraId="0FB0A0D7" w14:textId="77777777" w:rsidR="00FB0E13" w:rsidRPr="00602151" w:rsidRDefault="00FB0E13" w:rsidP="00FB0E13">
      <w:pPr>
        <w:spacing w:after="0"/>
        <w:ind w:right="-551"/>
        <w:rPr>
          <w:rFonts w:ascii="Times New Roman" w:hAnsi="Times New Roman"/>
          <w:sz w:val="28"/>
          <w:szCs w:val="28"/>
        </w:rPr>
      </w:pPr>
    </w:p>
    <w:p w14:paraId="061700B8" w14:textId="423CA8C0" w:rsidR="00FB0E13" w:rsidRPr="00A9388C" w:rsidRDefault="00A9388C" w:rsidP="00A9388C">
      <w:pPr>
        <w:pStyle w:val="ListParagraph"/>
        <w:numPr>
          <w:ilvl w:val="1"/>
          <w:numId w:val="27"/>
        </w:numPr>
        <w:rPr>
          <w:rFonts w:ascii="Times New Roman" w:hAnsi="Times New Roman" w:cstheme="minorBidi"/>
          <w:sz w:val="21"/>
          <w:szCs w:val="21"/>
          <w:lang w:eastAsia="en-US"/>
        </w:rPr>
      </w:pPr>
      <w:r w:rsidRPr="00A9388C">
        <w:rPr>
          <w:rFonts w:ascii="Times New Roman" w:hAnsi="Times New Roman" w:cstheme="minorBidi"/>
          <w:sz w:val="21"/>
          <w:szCs w:val="21"/>
          <w:lang w:eastAsia="en-US"/>
        </w:rPr>
        <w:lastRenderedPageBreak/>
        <w:t xml:space="preserve">at frequencies outside the 1710-1785 MHz and 1805-1880 MHz frequency bands; and </w:t>
      </w:r>
      <w:r w:rsidR="00FB0E13" w:rsidRPr="00A9388C">
        <w:t xml:space="preserve"> </w:t>
      </w:r>
    </w:p>
    <w:p w14:paraId="3B83578E" w14:textId="693F2845" w:rsidR="00FB0E13" w:rsidRPr="00602151" w:rsidRDefault="00FB0E13" w:rsidP="00FB0E13">
      <w:pPr>
        <w:spacing w:after="0"/>
        <w:ind w:right="-551"/>
        <w:rPr>
          <w:rFonts w:ascii="Times New Roman" w:hAnsi="Times New Roman" w:cstheme="minorBidi"/>
          <w:sz w:val="21"/>
          <w:szCs w:val="21"/>
          <w:lang w:eastAsia="en-US"/>
        </w:rPr>
      </w:pPr>
      <w:r w:rsidRPr="00602151">
        <w:rPr>
          <w:rFonts w:ascii="Times New Roman" w:hAnsi="Times New Roman" w:cstheme="minorBidi"/>
          <w:sz w:val="21"/>
          <w:szCs w:val="21"/>
          <w:lang w:eastAsia="en-US"/>
        </w:rPr>
        <w:t xml:space="preserve">          (b) </w:t>
      </w:r>
      <w:r w:rsidR="00A9388C">
        <w:rPr>
          <w:rFonts w:ascii="Times New Roman" w:hAnsi="Times New Roman" w:cstheme="minorBidi"/>
          <w:sz w:val="21"/>
          <w:szCs w:val="21"/>
          <w:lang w:eastAsia="en-US"/>
        </w:rPr>
        <w:tab/>
        <w:t xml:space="preserve"> </w:t>
      </w:r>
      <w:r w:rsidR="00A9388C" w:rsidRPr="00A9388C">
        <w:rPr>
          <w:rFonts w:ascii="Times New Roman" w:hAnsi="Times New Roman" w:cstheme="minorBidi"/>
          <w:sz w:val="21"/>
          <w:szCs w:val="21"/>
          <w:lang w:eastAsia="en-US"/>
        </w:rPr>
        <w:t>offset from 1785 MHz, 1805 MHz and 1880 MHz;</w:t>
      </w:r>
    </w:p>
    <w:p w14:paraId="38C2ABB7" w14:textId="77777777" w:rsidR="00FB0E13" w:rsidRPr="00602151" w:rsidRDefault="00FB0E13" w:rsidP="00FB0E13">
      <w:pPr>
        <w:pStyle w:val="BodyText"/>
        <w:ind w:left="530" w:right="-551" w:firstLine="0"/>
        <w:rPr>
          <w:spacing w:val="-1"/>
          <w:lang w:val="en-AU"/>
        </w:rPr>
      </w:pPr>
    </w:p>
    <w:p w14:paraId="1F42701D" w14:textId="77777777" w:rsidR="00FB0E13" w:rsidRPr="00602151" w:rsidRDefault="00FB0E13" w:rsidP="00FB0E13">
      <w:pPr>
        <w:pStyle w:val="BodyText"/>
        <w:ind w:left="530" w:right="-551" w:firstLine="0"/>
        <w:rPr>
          <w:lang w:val="en-AU"/>
        </w:rPr>
      </w:pPr>
      <w:r w:rsidRPr="00602151">
        <w:rPr>
          <w:spacing w:val="-1"/>
          <w:lang w:val="en-AU"/>
        </w:rPr>
        <w:t>where:</w:t>
      </w:r>
    </w:p>
    <w:p w14:paraId="27C0B100" w14:textId="26532724" w:rsidR="00A9388C" w:rsidRDefault="00FB0E13" w:rsidP="00A9388C">
      <w:pPr>
        <w:autoSpaceDE w:val="0"/>
        <w:autoSpaceDN w:val="0"/>
        <w:adjustRightInd w:val="0"/>
        <w:spacing w:after="0" w:line="240" w:lineRule="auto"/>
        <w:ind w:right="-551"/>
        <w:rPr>
          <w:rFonts w:ascii="TimesNewRoman" w:hAnsi="TimesNewRoman" w:cs="TimesNewRoman"/>
          <w:sz w:val="21"/>
          <w:szCs w:val="21"/>
        </w:rPr>
      </w:pPr>
      <w:r w:rsidRPr="00602151">
        <w:rPr>
          <w:rFonts w:ascii="TimesNewRoman,Bold" w:hAnsi="TimesNewRoman,Bold" w:cs="TimesNewRoman,Bold"/>
          <w:b/>
          <w:bCs/>
          <w:sz w:val="25"/>
          <w:szCs w:val="25"/>
        </w:rPr>
        <w:t xml:space="preserve">         f</w:t>
      </w:r>
      <w:r w:rsidRPr="00602151">
        <w:rPr>
          <w:rFonts w:ascii="TimesNewRoman,Bold" w:hAnsi="TimesNewRoman,Bold" w:cs="TimesNewRoman,Bold"/>
          <w:b/>
          <w:bCs/>
          <w:sz w:val="16"/>
          <w:szCs w:val="16"/>
        </w:rPr>
        <w:t>offset</w:t>
      </w:r>
      <w:r w:rsidR="00A9388C">
        <w:rPr>
          <w:rFonts w:ascii="TimesNewRoman,Bold" w:hAnsi="TimesNewRoman,Bold" w:cs="TimesNewRoman,Bold"/>
          <w:b/>
          <w:bCs/>
          <w:sz w:val="16"/>
          <w:szCs w:val="16"/>
        </w:rPr>
        <w:t>:</w:t>
      </w:r>
      <w:r w:rsidRPr="00602151">
        <w:rPr>
          <w:rFonts w:ascii="TimesNewRoman,Bold" w:hAnsi="TimesNewRoman,Bold" w:cs="TimesNewRoman,Bold"/>
          <w:b/>
          <w:bCs/>
          <w:sz w:val="16"/>
          <w:szCs w:val="16"/>
        </w:rPr>
        <w:t xml:space="preserve"> </w:t>
      </w:r>
      <w:r w:rsidR="00A9388C" w:rsidRPr="00A9388C">
        <w:rPr>
          <w:rFonts w:ascii="TimesNewRoman" w:hAnsi="TimesNewRoman" w:cs="TimesNewRoman"/>
          <w:sz w:val="21"/>
          <w:szCs w:val="21"/>
        </w:rPr>
        <w:t xml:space="preserve">is the frequency offset from the 1785 MHz, 1805 MHz and 1880 MHz band edges. </w:t>
      </w:r>
    </w:p>
    <w:p w14:paraId="7EA7E912" w14:textId="5467A8B9" w:rsidR="00FB0E13" w:rsidRPr="00602151" w:rsidRDefault="00A9388C" w:rsidP="00A9388C">
      <w:pPr>
        <w:autoSpaceDE w:val="0"/>
        <w:autoSpaceDN w:val="0"/>
        <w:adjustRightInd w:val="0"/>
        <w:spacing w:after="0" w:line="240" w:lineRule="auto"/>
        <w:ind w:left="568" w:right="-551"/>
        <w:rPr>
          <w:b/>
          <w:sz w:val="14"/>
        </w:rPr>
      </w:pPr>
      <w:r w:rsidRPr="00A9388C">
        <w:rPr>
          <w:rFonts w:ascii="TimesNewRoman" w:hAnsi="TimesNewRoman" w:cs="TimesNewRoman"/>
          <w:sz w:val="21"/>
          <w:szCs w:val="21"/>
        </w:rPr>
        <w:t>The -3dB point of the specified bandwidth closest to the band edge being frequency offset from, is placed at foffset.</w:t>
      </w:r>
    </w:p>
    <w:p w14:paraId="797D9C71" w14:textId="1D7BDB95" w:rsidR="00FB0E13" w:rsidRPr="00602151" w:rsidRDefault="00FB0E13" w:rsidP="00CB7345">
      <w:pPr>
        <w:pStyle w:val="BodyText"/>
        <w:spacing w:before="240" w:after="120" w:line="285" w:lineRule="auto"/>
        <w:ind w:left="0" w:right="-551" w:firstLine="0"/>
        <w:jc w:val="center"/>
        <w:rPr>
          <w:iCs/>
          <w:lang w:val="en-AU"/>
        </w:rPr>
      </w:pPr>
      <w:r w:rsidRPr="00602151">
        <w:rPr>
          <w:b/>
          <w:bCs/>
          <w:lang w:val="en-AU"/>
        </w:rPr>
        <w:t>Table 3: Radiated maximum true mean power non-spurious emission limits</w:t>
      </w:r>
    </w:p>
    <w:tbl>
      <w:tblPr>
        <w:tblW w:w="7800" w:type="dxa"/>
        <w:tblInd w:w="170" w:type="dxa"/>
        <w:tblLayout w:type="fixed"/>
        <w:tblCellMar>
          <w:left w:w="0" w:type="dxa"/>
          <w:right w:w="0" w:type="dxa"/>
        </w:tblCellMar>
        <w:tblLook w:val="01E0" w:firstRow="1" w:lastRow="1" w:firstColumn="1" w:lastColumn="1" w:noHBand="0" w:noVBand="0"/>
      </w:tblPr>
      <w:tblGrid>
        <w:gridCol w:w="3391"/>
        <w:gridCol w:w="2952"/>
        <w:gridCol w:w="1457"/>
      </w:tblGrid>
      <w:tr w:rsidR="00CB7345" w:rsidRPr="00602151" w14:paraId="2AA011B4" w14:textId="77777777" w:rsidTr="00D04028">
        <w:trPr>
          <w:trHeight w:hRule="exact" w:val="663"/>
        </w:trPr>
        <w:tc>
          <w:tcPr>
            <w:tcW w:w="3391" w:type="dxa"/>
            <w:tcBorders>
              <w:top w:val="single" w:sz="6" w:space="0" w:color="000000"/>
              <w:left w:val="single" w:sz="6" w:space="0" w:color="000000"/>
              <w:bottom w:val="single" w:sz="6" w:space="0" w:color="000000"/>
              <w:right w:val="single" w:sz="6" w:space="0" w:color="000000"/>
            </w:tcBorders>
          </w:tcPr>
          <w:p w14:paraId="54AC015C" w14:textId="1C4004B7" w:rsidR="00CB7345" w:rsidRPr="00602151" w:rsidRDefault="00CB7345" w:rsidP="00CB7345">
            <w:pPr>
              <w:pStyle w:val="TableParagraph"/>
              <w:ind w:right="47"/>
              <w:jc w:val="center"/>
              <w:rPr>
                <w:rFonts w:ascii="Times New Roman" w:eastAsia="Times New Roman" w:hAnsi="Times New Roman" w:cs="Times New Roman"/>
                <w:sz w:val="23"/>
                <w:szCs w:val="23"/>
                <w:lang w:val="en-AU"/>
              </w:rPr>
            </w:pPr>
            <w:r w:rsidRPr="00602151">
              <w:rPr>
                <w:rFonts w:ascii="Times New Roman"/>
                <w:b/>
                <w:spacing w:val="-5"/>
                <w:sz w:val="23"/>
                <w:lang w:val="en-AU"/>
              </w:rPr>
              <w:t>Frequency</w:t>
            </w:r>
            <w:r w:rsidRPr="00602151">
              <w:rPr>
                <w:rFonts w:ascii="Times New Roman"/>
                <w:b/>
                <w:spacing w:val="25"/>
                <w:sz w:val="23"/>
                <w:lang w:val="en-AU"/>
              </w:rPr>
              <w:t xml:space="preserve"> </w:t>
            </w:r>
            <w:r w:rsidRPr="00602151">
              <w:rPr>
                <w:rFonts w:ascii="Times New Roman"/>
                <w:b/>
                <w:sz w:val="23"/>
                <w:lang w:val="en-AU"/>
              </w:rPr>
              <w:t>offset</w:t>
            </w:r>
            <w:r w:rsidRPr="00602151">
              <w:rPr>
                <w:rFonts w:ascii="Times New Roman"/>
                <w:b/>
                <w:spacing w:val="25"/>
                <w:sz w:val="23"/>
                <w:lang w:val="en-AU"/>
              </w:rPr>
              <w:t xml:space="preserve"> </w:t>
            </w:r>
            <w:r w:rsidRPr="00602151">
              <w:rPr>
                <w:rFonts w:ascii="Times New Roman"/>
                <w:b/>
                <w:spacing w:val="-5"/>
                <w:sz w:val="23"/>
                <w:lang w:val="en-AU"/>
              </w:rPr>
              <w:t>range</w:t>
            </w:r>
          </w:p>
          <w:p w14:paraId="65BD0AE6" w14:textId="77777777" w:rsidR="00CB7345" w:rsidRPr="00602151" w:rsidRDefault="00CB7345" w:rsidP="00CB7345">
            <w:pPr>
              <w:pStyle w:val="TableParagraph"/>
              <w:ind w:right="1"/>
              <w:jc w:val="center"/>
              <w:rPr>
                <w:rFonts w:ascii="Times New Roman" w:eastAsia="Times New Roman" w:hAnsi="Times New Roman" w:cs="Times New Roman"/>
                <w:sz w:val="23"/>
                <w:szCs w:val="23"/>
                <w:lang w:val="en-AU"/>
              </w:rPr>
            </w:pPr>
            <w:r w:rsidRPr="00602151">
              <w:rPr>
                <w:rFonts w:ascii="Times New Roman"/>
                <w:b/>
                <w:position w:val="5"/>
                <w:sz w:val="23"/>
                <w:lang w:val="en-AU"/>
              </w:rPr>
              <w:t>(f</w:t>
            </w:r>
            <w:r w:rsidRPr="00602151">
              <w:rPr>
                <w:rFonts w:ascii="Times New Roman"/>
                <w:b/>
                <w:sz w:val="15"/>
                <w:lang w:val="en-AU"/>
              </w:rPr>
              <w:t>offset</w:t>
            </w:r>
            <w:r w:rsidRPr="00602151">
              <w:rPr>
                <w:rFonts w:ascii="Times New Roman"/>
                <w:b/>
                <w:position w:val="5"/>
                <w:sz w:val="23"/>
                <w:lang w:val="en-AU"/>
              </w:rPr>
              <w:t>)</w:t>
            </w:r>
          </w:p>
        </w:tc>
        <w:tc>
          <w:tcPr>
            <w:tcW w:w="2952" w:type="dxa"/>
            <w:tcBorders>
              <w:top w:val="single" w:sz="6" w:space="0" w:color="000000"/>
              <w:left w:val="single" w:sz="6" w:space="0" w:color="000000"/>
              <w:bottom w:val="single" w:sz="6" w:space="0" w:color="000000"/>
              <w:right w:val="single" w:sz="6" w:space="0" w:color="000000"/>
            </w:tcBorders>
          </w:tcPr>
          <w:p w14:paraId="205809A6" w14:textId="59E3B7B1" w:rsidR="00CB7345" w:rsidRPr="00602151" w:rsidRDefault="00CB7345" w:rsidP="00CB7345">
            <w:pPr>
              <w:pStyle w:val="TableParagraph"/>
              <w:spacing w:line="279" w:lineRule="auto"/>
              <w:ind w:left="165" w:right="224"/>
              <w:jc w:val="center"/>
              <w:rPr>
                <w:rFonts w:ascii="Times New Roman" w:eastAsia="Times New Roman" w:hAnsi="Times New Roman" w:cs="Times New Roman"/>
                <w:sz w:val="23"/>
                <w:szCs w:val="23"/>
                <w:lang w:val="en-AU"/>
              </w:rPr>
            </w:pPr>
            <w:r w:rsidRPr="00602151">
              <w:rPr>
                <w:rFonts w:ascii="Times New Roman"/>
                <w:b/>
                <w:spacing w:val="-2"/>
                <w:sz w:val="23"/>
                <w:lang w:val="en-AU"/>
              </w:rPr>
              <w:t>Radiated</w:t>
            </w:r>
            <w:r w:rsidRPr="00602151">
              <w:rPr>
                <w:rFonts w:ascii="Times New Roman"/>
                <w:b/>
                <w:spacing w:val="5"/>
                <w:sz w:val="23"/>
                <w:lang w:val="en-AU"/>
              </w:rPr>
              <w:t xml:space="preserve"> </w:t>
            </w:r>
            <w:r w:rsidRPr="00602151">
              <w:rPr>
                <w:rFonts w:ascii="Times New Roman"/>
                <w:b/>
                <w:spacing w:val="-11"/>
                <w:sz w:val="23"/>
                <w:lang w:val="en-AU"/>
              </w:rPr>
              <w:t xml:space="preserve">maximum </w:t>
            </w:r>
            <w:r w:rsidRPr="00602151">
              <w:rPr>
                <w:rFonts w:ascii="Times New Roman"/>
                <w:b/>
                <w:spacing w:val="-6"/>
                <w:sz w:val="23"/>
                <w:lang w:val="en-AU"/>
              </w:rPr>
              <w:t>true</w:t>
            </w:r>
            <w:r w:rsidRPr="00602151">
              <w:rPr>
                <w:rFonts w:ascii="Times New Roman"/>
                <w:b/>
                <w:spacing w:val="37"/>
                <w:sz w:val="23"/>
                <w:lang w:val="en-AU"/>
              </w:rPr>
              <w:t xml:space="preserve"> </w:t>
            </w:r>
            <w:r w:rsidRPr="00602151">
              <w:rPr>
                <w:rFonts w:ascii="Times New Roman"/>
                <w:b/>
                <w:spacing w:val="-4"/>
                <w:sz w:val="23"/>
                <w:lang w:val="en-AU"/>
              </w:rPr>
              <w:t>mean</w:t>
            </w:r>
            <w:r w:rsidRPr="00602151">
              <w:rPr>
                <w:rFonts w:ascii="Times New Roman"/>
                <w:b/>
                <w:spacing w:val="6"/>
                <w:sz w:val="23"/>
                <w:lang w:val="en-AU"/>
              </w:rPr>
              <w:t xml:space="preserve"> </w:t>
            </w:r>
            <w:r w:rsidRPr="00602151">
              <w:rPr>
                <w:rFonts w:ascii="Times New Roman"/>
                <w:b/>
                <w:spacing w:val="-1"/>
                <w:sz w:val="23"/>
                <w:lang w:val="en-AU"/>
              </w:rPr>
              <w:t>power</w:t>
            </w:r>
            <w:r w:rsidRPr="00602151">
              <w:rPr>
                <w:rFonts w:ascii="Times New Roman"/>
                <w:b/>
                <w:spacing w:val="27"/>
                <w:w w:val="102"/>
                <w:sz w:val="23"/>
                <w:lang w:val="en-AU"/>
              </w:rPr>
              <w:t xml:space="preserve"> </w:t>
            </w:r>
            <w:r w:rsidRPr="00602151">
              <w:rPr>
                <w:rFonts w:ascii="Times New Roman"/>
                <w:b/>
                <w:spacing w:val="-3"/>
                <w:sz w:val="23"/>
                <w:lang w:val="en-AU"/>
              </w:rPr>
              <w:t>(dBm</w:t>
            </w:r>
            <w:r w:rsidRPr="00602151">
              <w:rPr>
                <w:rFonts w:ascii="Times New Roman"/>
                <w:b/>
                <w:sz w:val="23"/>
                <w:lang w:val="en-AU"/>
              </w:rPr>
              <w:t xml:space="preserve"> </w:t>
            </w:r>
            <w:r w:rsidRPr="00602151">
              <w:rPr>
                <w:rFonts w:ascii="Times New Roman"/>
                <w:b/>
                <w:spacing w:val="-3"/>
                <w:sz w:val="23"/>
                <w:lang w:val="en-AU"/>
              </w:rPr>
              <w:t>EIRP)</w:t>
            </w:r>
          </w:p>
        </w:tc>
        <w:tc>
          <w:tcPr>
            <w:tcW w:w="1457" w:type="dxa"/>
            <w:tcBorders>
              <w:top w:val="single" w:sz="6" w:space="0" w:color="000000"/>
              <w:left w:val="single" w:sz="6" w:space="0" w:color="000000"/>
              <w:bottom w:val="single" w:sz="6" w:space="0" w:color="000000"/>
              <w:right w:val="single" w:sz="6" w:space="0" w:color="000000"/>
            </w:tcBorders>
          </w:tcPr>
          <w:p w14:paraId="6C76F4F3" w14:textId="77777777" w:rsidR="00CB7345" w:rsidRPr="00602151" w:rsidRDefault="00CB7345" w:rsidP="00CB7345">
            <w:pPr>
              <w:pStyle w:val="TableParagraph"/>
              <w:spacing w:line="279" w:lineRule="auto"/>
              <w:ind w:left="184" w:right="190" w:firstLine="82"/>
              <w:jc w:val="center"/>
              <w:rPr>
                <w:rFonts w:ascii="Times New Roman" w:eastAsia="Times New Roman" w:hAnsi="Times New Roman" w:cs="Times New Roman"/>
                <w:sz w:val="23"/>
                <w:szCs w:val="23"/>
                <w:lang w:val="en-AU"/>
              </w:rPr>
            </w:pPr>
            <w:r w:rsidRPr="00602151">
              <w:rPr>
                <w:rFonts w:ascii="Times New Roman"/>
                <w:b/>
                <w:spacing w:val="-2"/>
                <w:sz w:val="23"/>
                <w:lang w:val="en-AU"/>
              </w:rPr>
              <w:t>Specified</w:t>
            </w:r>
            <w:r w:rsidRPr="00602151">
              <w:rPr>
                <w:rFonts w:ascii="Times New Roman"/>
                <w:b/>
                <w:spacing w:val="23"/>
                <w:w w:val="102"/>
                <w:sz w:val="23"/>
                <w:lang w:val="en-AU"/>
              </w:rPr>
              <w:t xml:space="preserve"> </w:t>
            </w:r>
            <w:r w:rsidRPr="00602151">
              <w:rPr>
                <w:rFonts w:ascii="Times New Roman"/>
                <w:b/>
                <w:spacing w:val="-6"/>
                <w:sz w:val="23"/>
                <w:lang w:val="en-AU"/>
              </w:rPr>
              <w:t>Bandwidth</w:t>
            </w:r>
          </w:p>
        </w:tc>
      </w:tr>
      <w:tr w:rsidR="00CB7345" w:rsidRPr="00602151" w14:paraId="0B506B64" w14:textId="77777777" w:rsidTr="00D04028">
        <w:trPr>
          <w:trHeight w:hRule="exact" w:val="320"/>
        </w:trPr>
        <w:tc>
          <w:tcPr>
            <w:tcW w:w="3391" w:type="dxa"/>
            <w:tcBorders>
              <w:top w:val="single" w:sz="6" w:space="0" w:color="000000"/>
              <w:left w:val="single" w:sz="6" w:space="0" w:color="000000"/>
              <w:bottom w:val="single" w:sz="6" w:space="0" w:color="000000"/>
              <w:right w:val="single" w:sz="6" w:space="0" w:color="000000"/>
            </w:tcBorders>
          </w:tcPr>
          <w:p w14:paraId="59D3F0F1" w14:textId="4D3A288C" w:rsidR="00CB7345" w:rsidRPr="00602151" w:rsidRDefault="00CB7345" w:rsidP="00CB7345">
            <w:pPr>
              <w:pStyle w:val="TableParagraph"/>
              <w:jc w:val="center"/>
              <w:rPr>
                <w:rFonts w:ascii="Times New Roman" w:eastAsia="Times New Roman" w:hAnsi="Times New Roman" w:cs="Times New Roman"/>
                <w:sz w:val="21"/>
                <w:szCs w:val="21"/>
                <w:lang w:val="en-AU"/>
              </w:rPr>
            </w:pPr>
            <w:r w:rsidRPr="00602151">
              <w:rPr>
                <w:rFonts w:ascii="Times New Roman"/>
                <w:sz w:val="21"/>
                <w:lang w:val="en-AU"/>
              </w:rPr>
              <w:t>0 kHz</w:t>
            </w:r>
            <w:r w:rsidRPr="00602151">
              <w:rPr>
                <w:rFonts w:ascii="Times New Roman"/>
                <w:spacing w:val="13"/>
                <w:sz w:val="21"/>
                <w:lang w:val="en-AU"/>
              </w:rPr>
              <w:t xml:space="preserve"> </w:t>
            </w:r>
            <w:r w:rsidRPr="00602151">
              <w:rPr>
                <w:rFonts w:ascii="Times New Roman"/>
                <w:sz w:val="21"/>
                <w:u w:val="single" w:color="000000"/>
                <w:lang w:val="en-AU"/>
              </w:rPr>
              <w:t>&lt;</w:t>
            </w:r>
            <w:r w:rsidRPr="00602151">
              <w:rPr>
                <w:rFonts w:ascii="Times New Roman"/>
                <w:spacing w:val="11"/>
                <w:sz w:val="21"/>
                <w:u w:val="single" w:color="000000"/>
                <w:lang w:val="en-AU"/>
              </w:rPr>
              <w:t xml:space="preserve"> </w:t>
            </w:r>
            <w:r w:rsidRPr="00602151">
              <w:rPr>
                <w:rFonts w:ascii="Times New Roman"/>
                <w:sz w:val="21"/>
                <w:lang w:val="en-AU"/>
              </w:rPr>
              <w:t>f</w:t>
            </w:r>
            <w:r w:rsidRPr="00602151">
              <w:rPr>
                <w:rFonts w:ascii="Times New Roman"/>
                <w:position w:val="-1"/>
                <w:sz w:val="14"/>
                <w:lang w:val="en-AU"/>
              </w:rPr>
              <w:t>offset</w:t>
            </w:r>
            <w:r w:rsidRPr="00602151">
              <w:rPr>
                <w:rFonts w:ascii="Times New Roman"/>
                <w:spacing w:val="27"/>
                <w:position w:val="-1"/>
                <w:sz w:val="14"/>
                <w:lang w:val="en-AU"/>
              </w:rPr>
              <w:t xml:space="preserve"> </w:t>
            </w:r>
            <w:r w:rsidRPr="00602151">
              <w:rPr>
                <w:rFonts w:ascii="Times New Roman"/>
                <w:sz w:val="21"/>
                <w:lang w:val="en-AU"/>
              </w:rPr>
              <w:t>&lt;</w:t>
            </w:r>
            <w:r w:rsidRPr="00602151">
              <w:rPr>
                <w:rFonts w:ascii="Times New Roman"/>
                <w:spacing w:val="1"/>
                <w:sz w:val="21"/>
                <w:lang w:val="en-AU"/>
              </w:rPr>
              <w:t xml:space="preserve"> </w:t>
            </w:r>
            <w:r w:rsidRPr="00602151">
              <w:rPr>
                <w:rFonts w:ascii="Times New Roman"/>
                <w:sz w:val="21"/>
                <w:lang w:val="en-AU"/>
              </w:rPr>
              <w:t xml:space="preserve">200 </w:t>
            </w:r>
            <w:r w:rsidR="00D04028">
              <w:rPr>
                <w:rFonts w:ascii="Times New Roman"/>
                <w:sz w:val="21"/>
                <w:lang w:val="en-AU"/>
              </w:rPr>
              <w:t>k</w:t>
            </w:r>
            <w:r w:rsidRPr="00602151">
              <w:rPr>
                <w:rFonts w:ascii="Times New Roman"/>
                <w:sz w:val="21"/>
                <w:lang w:val="en-AU"/>
              </w:rPr>
              <w:t>Hz</w:t>
            </w:r>
          </w:p>
        </w:tc>
        <w:tc>
          <w:tcPr>
            <w:tcW w:w="2952" w:type="dxa"/>
            <w:tcBorders>
              <w:top w:val="single" w:sz="6" w:space="0" w:color="000000"/>
              <w:left w:val="single" w:sz="6" w:space="0" w:color="000000"/>
              <w:bottom w:val="single" w:sz="6" w:space="0" w:color="000000"/>
              <w:right w:val="single" w:sz="6" w:space="0" w:color="000000"/>
            </w:tcBorders>
          </w:tcPr>
          <w:p w14:paraId="32CF437D" w14:textId="69346D01" w:rsidR="00CB7345" w:rsidRPr="00602151" w:rsidRDefault="00D04028" w:rsidP="00CB7345">
            <w:pPr>
              <w:pStyle w:val="TableParagraph"/>
              <w:jc w:val="center"/>
              <w:rPr>
                <w:rFonts w:ascii="Times New Roman" w:eastAsia="Times New Roman" w:hAnsi="Times New Roman" w:cs="Times New Roman"/>
                <w:sz w:val="21"/>
                <w:szCs w:val="21"/>
                <w:lang w:val="en-AU"/>
              </w:rPr>
            </w:pPr>
            <w:r>
              <w:rPr>
                <w:rFonts w:ascii="Times New Roman" w:eastAsia="Times New Roman" w:hAnsi="Times New Roman" w:cs="Times New Roman"/>
                <w:sz w:val="21"/>
                <w:szCs w:val="21"/>
                <w:lang w:val="en-AU"/>
              </w:rPr>
              <w:t>2</w:t>
            </w:r>
          </w:p>
        </w:tc>
        <w:tc>
          <w:tcPr>
            <w:tcW w:w="1457" w:type="dxa"/>
            <w:tcBorders>
              <w:top w:val="single" w:sz="6" w:space="0" w:color="000000"/>
              <w:left w:val="single" w:sz="6" w:space="0" w:color="000000"/>
              <w:bottom w:val="single" w:sz="6" w:space="0" w:color="000000"/>
              <w:right w:val="single" w:sz="6" w:space="0" w:color="000000"/>
            </w:tcBorders>
          </w:tcPr>
          <w:p w14:paraId="545CE880" w14:textId="77777777" w:rsidR="00CB7345" w:rsidRPr="00602151" w:rsidRDefault="00CB7345" w:rsidP="00CB7345">
            <w:pPr>
              <w:pStyle w:val="TableParagraph"/>
              <w:ind w:left="325"/>
              <w:rPr>
                <w:rFonts w:ascii="Times New Roman" w:eastAsia="Times New Roman" w:hAnsi="Times New Roman" w:cs="Times New Roman"/>
                <w:sz w:val="21"/>
                <w:szCs w:val="21"/>
                <w:lang w:val="en-AU"/>
              </w:rPr>
            </w:pPr>
            <w:r w:rsidRPr="00602151">
              <w:rPr>
                <w:rFonts w:ascii="Times New Roman"/>
                <w:sz w:val="21"/>
                <w:lang w:val="en-AU"/>
              </w:rPr>
              <w:t>30</w:t>
            </w:r>
            <w:r w:rsidRPr="00602151">
              <w:rPr>
                <w:rFonts w:ascii="Times New Roman"/>
                <w:spacing w:val="6"/>
                <w:sz w:val="21"/>
                <w:lang w:val="en-AU"/>
              </w:rPr>
              <w:t xml:space="preserve"> </w:t>
            </w:r>
            <w:r w:rsidRPr="00602151">
              <w:rPr>
                <w:rFonts w:ascii="Times New Roman"/>
                <w:spacing w:val="-1"/>
                <w:sz w:val="21"/>
                <w:lang w:val="en-AU"/>
              </w:rPr>
              <w:t>kHz</w:t>
            </w:r>
          </w:p>
        </w:tc>
      </w:tr>
      <w:tr w:rsidR="00CB7345" w:rsidRPr="00602151" w14:paraId="64689AEE" w14:textId="77777777" w:rsidTr="00D04028">
        <w:trPr>
          <w:trHeight w:hRule="exact" w:val="320"/>
        </w:trPr>
        <w:tc>
          <w:tcPr>
            <w:tcW w:w="3391" w:type="dxa"/>
            <w:tcBorders>
              <w:top w:val="single" w:sz="6" w:space="0" w:color="000000"/>
              <w:left w:val="single" w:sz="6" w:space="0" w:color="000000"/>
              <w:bottom w:val="single" w:sz="6" w:space="0" w:color="000000"/>
              <w:right w:val="single" w:sz="6" w:space="0" w:color="000000"/>
            </w:tcBorders>
          </w:tcPr>
          <w:p w14:paraId="27349C98" w14:textId="2D9C4E5C" w:rsidR="00CB7345" w:rsidRPr="00602151" w:rsidRDefault="00CB7345" w:rsidP="00CB7345">
            <w:pPr>
              <w:pStyle w:val="TableParagraph"/>
              <w:jc w:val="center"/>
              <w:rPr>
                <w:rFonts w:ascii="Times New Roman"/>
                <w:sz w:val="21"/>
                <w:lang w:val="en-AU"/>
              </w:rPr>
            </w:pPr>
            <w:r w:rsidRPr="00602151">
              <w:rPr>
                <w:rFonts w:ascii="TimesNewRoman" w:hAnsi="TimesNewRoman" w:cs="TimesNewRoman"/>
                <w:sz w:val="21"/>
                <w:szCs w:val="21"/>
                <w:lang w:val="en-AU"/>
              </w:rPr>
              <w:t>200 kHz &lt; f</w:t>
            </w:r>
            <w:r w:rsidRPr="00602151">
              <w:rPr>
                <w:rFonts w:ascii="TimesNewRoman" w:hAnsi="TimesNewRoman" w:cs="TimesNewRoman"/>
                <w:sz w:val="14"/>
                <w:szCs w:val="14"/>
                <w:lang w:val="en-AU"/>
              </w:rPr>
              <w:t xml:space="preserve">offset </w:t>
            </w:r>
            <w:r w:rsidRPr="00602151">
              <w:rPr>
                <w:rFonts w:ascii="TimesNewRoman" w:hAnsi="TimesNewRoman" w:cs="TimesNewRoman"/>
                <w:sz w:val="21"/>
                <w:szCs w:val="21"/>
                <w:lang w:val="en-AU"/>
              </w:rPr>
              <w:t xml:space="preserve">&lt; </w:t>
            </w:r>
            <w:r w:rsidR="00A9388C">
              <w:rPr>
                <w:rFonts w:ascii="TimesNewRoman" w:hAnsi="TimesNewRoman" w:cs="TimesNewRoman"/>
                <w:sz w:val="21"/>
                <w:szCs w:val="21"/>
                <w:lang w:val="en-AU"/>
              </w:rPr>
              <w:t>900</w:t>
            </w:r>
            <w:r w:rsidRPr="00602151">
              <w:rPr>
                <w:rFonts w:ascii="TimesNewRoman" w:hAnsi="TimesNewRoman" w:cs="TimesNewRoman"/>
                <w:sz w:val="21"/>
                <w:szCs w:val="21"/>
                <w:lang w:val="en-AU"/>
              </w:rPr>
              <w:t xml:space="preserve"> </w:t>
            </w:r>
            <w:r w:rsidR="00D04028">
              <w:rPr>
                <w:rFonts w:ascii="TimesNewRoman" w:hAnsi="TimesNewRoman" w:cs="TimesNewRoman"/>
                <w:sz w:val="21"/>
                <w:szCs w:val="21"/>
                <w:lang w:val="en-AU"/>
              </w:rPr>
              <w:t>k</w:t>
            </w:r>
            <w:r w:rsidRPr="00602151">
              <w:rPr>
                <w:rFonts w:ascii="TimesNewRoman" w:hAnsi="TimesNewRoman" w:cs="TimesNewRoman"/>
                <w:sz w:val="21"/>
                <w:szCs w:val="21"/>
                <w:lang w:val="en-AU"/>
              </w:rPr>
              <w:t>Hz</w:t>
            </w:r>
          </w:p>
        </w:tc>
        <w:tc>
          <w:tcPr>
            <w:tcW w:w="2952" w:type="dxa"/>
            <w:tcBorders>
              <w:top w:val="single" w:sz="6" w:space="0" w:color="000000"/>
              <w:left w:val="single" w:sz="6" w:space="0" w:color="000000"/>
              <w:bottom w:val="single" w:sz="6" w:space="0" w:color="000000"/>
              <w:right w:val="single" w:sz="6" w:space="0" w:color="000000"/>
            </w:tcBorders>
          </w:tcPr>
          <w:p w14:paraId="28682EB7" w14:textId="00645B10" w:rsidR="00CB7345" w:rsidRPr="00602151" w:rsidRDefault="00D04028" w:rsidP="00CB7345">
            <w:pPr>
              <w:pStyle w:val="TableParagraph"/>
              <w:jc w:val="center"/>
              <w:rPr>
                <w:rFonts w:ascii="Times New Roman"/>
                <w:sz w:val="21"/>
                <w:lang w:val="en-AU"/>
              </w:rPr>
            </w:pPr>
            <w:r>
              <w:rPr>
                <w:rFonts w:ascii="Times New Roman"/>
                <w:spacing w:val="1"/>
                <w:sz w:val="21"/>
                <w:lang w:val="en-AU"/>
              </w:rPr>
              <w:t>2</w:t>
            </w:r>
            <w:r w:rsidR="00CB7345" w:rsidRPr="00602151">
              <w:rPr>
                <w:rFonts w:ascii="Times New Roman"/>
                <w:spacing w:val="1"/>
                <w:sz w:val="21"/>
                <w:lang w:val="en-AU"/>
              </w:rPr>
              <w:t xml:space="preserve"> </w:t>
            </w:r>
            <w:r w:rsidR="00CB7345" w:rsidRPr="00602151">
              <w:rPr>
                <w:rFonts w:ascii="Times New Roman"/>
                <w:sz w:val="21"/>
                <w:lang w:val="en-AU"/>
              </w:rPr>
              <w:t>-</w:t>
            </w:r>
            <w:r w:rsidR="00CB7345" w:rsidRPr="00602151">
              <w:rPr>
                <w:rFonts w:ascii="Times New Roman"/>
                <w:spacing w:val="1"/>
                <w:sz w:val="21"/>
                <w:lang w:val="en-AU"/>
              </w:rPr>
              <w:t xml:space="preserve"> 1</w:t>
            </w:r>
            <w:r w:rsidR="00CB7345" w:rsidRPr="00602151">
              <w:rPr>
                <w:rFonts w:ascii="Times New Roman"/>
                <w:sz w:val="21"/>
                <w:lang w:val="en-AU"/>
              </w:rPr>
              <w:t>5</w:t>
            </w:r>
            <w:r w:rsidR="00CB7345" w:rsidRPr="00602151">
              <w:rPr>
                <w:rFonts w:ascii="Times New Roman"/>
                <w:spacing w:val="1"/>
                <w:sz w:val="21"/>
                <w:lang w:val="en-AU"/>
              </w:rPr>
              <w:t xml:space="preserve"> </w:t>
            </w:r>
            <w:r w:rsidR="00CB7345" w:rsidRPr="00602151">
              <w:rPr>
                <w:rFonts w:ascii="Times New Roman"/>
                <w:sz w:val="21"/>
                <w:lang w:val="en-AU"/>
              </w:rPr>
              <w:t>x</w:t>
            </w:r>
            <w:r w:rsidR="00CB7345" w:rsidRPr="00602151">
              <w:rPr>
                <w:rFonts w:ascii="Times New Roman"/>
                <w:spacing w:val="-11"/>
                <w:sz w:val="21"/>
                <w:lang w:val="en-AU"/>
              </w:rPr>
              <w:t xml:space="preserve"> (</w:t>
            </w:r>
            <w:r w:rsidR="00CB7345" w:rsidRPr="00602151">
              <w:rPr>
                <w:rFonts w:ascii="Times New Roman"/>
                <w:sz w:val="21"/>
                <w:lang w:val="en-AU"/>
              </w:rPr>
              <w:t>f</w:t>
            </w:r>
            <w:r w:rsidR="00CB7345" w:rsidRPr="00602151">
              <w:rPr>
                <w:rFonts w:ascii="Times New Roman"/>
                <w:spacing w:val="-16"/>
                <w:sz w:val="21"/>
                <w:lang w:val="en-AU"/>
              </w:rPr>
              <w:t xml:space="preserve"> </w:t>
            </w:r>
            <w:r w:rsidR="00CB7345" w:rsidRPr="00602151">
              <w:rPr>
                <w:rFonts w:ascii="Times New Roman"/>
                <w:position w:val="-1"/>
                <w:sz w:val="14"/>
                <w:lang w:val="en-AU"/>
              </w:rPr>
              <w:t>offset</w:t>
            </w:r>
            <w:r w:rsidR="00CB7345" w:rsidRPr="00602151">
              <w:rPr>
                <w:rFonts w:ascii="Times New Roman"/>
                <w:spacing w:val="27"/>
                <w:position w:val="-1"/>
                <w:sz w:val="14"/>
                <w:lang w:val="en-AU"/>
              </w:rPr>
              <w:t xml:space="preserve"> </w:t>
            </w:r>
            <w:r w:rsidR="00CB7345" w:rsidRPr="00602151">
              <w:rPr>
                <w:rFonts w:ascii="Times New Roman"/>
                <w:sz w:val="21"/>
                <w:lang w:val="en-AU"/>
              </w:rPr>
              <w:t>(MHz)-0.2)</w:t>
            </w:r>
          </w:p>
        </w:tc>
        <w:tc>
          <w:tcPr>
            <w:tcW w:w="1457" w:type="dxa"/>
            <w:tcBorders>
              <w:top w:val="single" w:sz="6" w:space="0" w:color="000000"/>
              <w:left w:val="single" w:sz="6" w:space="0" w:color="000000"/>
              <w:bottom w:val="single" w:sz="6" w:space="0" w:color="000000"/>
              <w:right w:val="single" w:sz="6" w:space="0" w:color="000000"/>
            </w:tcBorders>
          </w:tcPr>
          <w:p w14:paraId="3FD4DE80" w14:textId="77777777" w:rsidR="00CB7345" w:rsidRPr="00602151" w:rsidRDefault="00CB7345" w:rsidP="00CB7345">
            <w:pPr>
              <w:pStyle w:val="TableParagraph"/>
              <w:ind w:left="325"/>
              <w:rPr>
                <w:rFonts w:ascii="Times New Roman"/>
                <w:sz w:val="21"/>
                <w:lang w:val="en-AU"/>
              </w:rPr>
            </w:pPr>
            <w:r w:rsidRPr="00602151">
              <w:rPr>
                <w:rFonts w:ascii="Times New Roman"/>
                <w:sz w:val="21"/>
                <w:lang w:val="en-AU"/>
              </w:rPr>
              <w:t>30</w:t>
            </w:r>
            <w:r w:rsidRPr="00602151">
              <w:rPr>
                <w:rFonts w:ascii="Times New Roman"/>
                <w:spacing w:val="6"/>
                <w:sz w:val="21"/>
                <w:lang w:val="en-AU"/>
              </w:rPr>
              <w:t xml:space="preserve"> </w:t>
            </w:r>
            <w:r w:rsidRPr="00602151">
              <w:rPr>
                <w:rFonts w:ascii="Times New Roman"/>
                <w:spacing w:val="-1"/>
                <w:sz w:val="21"/>
                <w:lang w:val="en-AU"/>
              </w:rPr>
              <w:t>kHz</w:t>
            </w:r>
          </w:p>
        </w:tc>
      </w:tr>
      <w:tr w:rsidR="00CB7345" w:rsidRPr="00602151" w14:paraId="2195C028" w14:textId="77777777" w:rsidTr="00D04028">
        <w:trPr>
          <w:trHeight w:hRule="exact" w:val="320"/>
        </w:trPr>
        <w:tc>
          <w:tcPr>
            <w:tcW w:w="3391" w:type="dxa"/>
            <w:tcBorders>
              <w:top w:val="single" w:sz="6" w:space="0" w:color="000000"/>
              <w:left w:val="single" w:sz="6" w:space="0" w:color="000000"/>
              <w:bottom w:val="single" w:sz="6" w:space="0" w:color="000000"/>
              <w:right w:val="single" w:sz="6" w:space="0" w:color="000000"/>
            </w:tcBorders>
          </w:tcPr>
          <w:p w14:paraId="1C0C92C6" w14:textId="033BFE68" w:rsidR="00CB7345" w:rsidRPr="00602151" w:rsidRDefault="00D04028" w:rsidP="00CB7345">
            <w:pPr>
              <w:pStyle w:val="TableParagraph"/>
              <w:jc w:val="center"/>
              <w:rPr>
                <w:rFonts w:ascii="Times New Roman" w:eastAsia="Times New Roman" w:hAnsi="Times New Roman" w:cs="Times New Roman"/>
                <w:sz w:val="21"/>
                <w:szCs w:val="21"/>
                <w:lang w:val="en-AU"/>
              </w:rPr>
            </w:pPr>
            <w:r>
              <w:rPr>
                <w:rFonts w:ascii="TimesNewRoman" w:hAnsi="TimesNewRoman" w:cs="TimesNewRoman"/>
                <w:sz w:val="21"/>
                <w:szCs w:val="21"/>
                <w:lang w:val="en-AU"/>
              </w:rPr>
              <w:t>900</w:t>
            </w:r>
            <w:r w:rsidR="00CB7345" w:rsidRPr="00602151">
              <w:rPr>
                <w:rFonts w:ascii="TimesNewRoman" w:hAnsi="TimesNewRoman" w:cs="TimesNewRoman"/>
                <w:sz w:val="21"/>
                <w:szCs w:val="21"/>
                <w:lang w:val="en-AU"/>
              </w:rPr>
              <w:t xml:space="preserve"> </w:t>
            </w:r>
            <w:r>
              <w:rPr>
                <w:rFonts w:ascii="TimesNewRoman" w:hAnsi="TimesNewRoman" w:cs="TimesNewRoman"/>
                <w:sz w:val="21"/>
                <w:szCs w:val="21"/>
                <w:lang w:val="en-AU"/>
              </w:rPr>
              <w:t>k</w:t>
            </w:r>
            <w:r w:rsidR="00CB7345" w:rsidRPr="00602151">
              <w:rPr>
                <w:rFonts w:ascii="TimesNewRoman" w:hAnsi="TimesNewRoman" w:cs="TimesNewRoman"/>
                <w:sz w:val="21"/>
                <w:szCs w:val="21"/>
                <w:lang w:val="en-AU"/>
              </w:rPr>
              <w:t>Hz &lt; f</w:t>
            </w:r>
            <w:r w:rsidR="00CB7345" w:rsidRPr="00602151">
              <w:rPr>
                <w:rFonts w:ascii="TimesNewRoman" w:hAnsi="TimesNewRoman" w:cs="TimesNewRoman"/>
                <w:sz w:val="14"/>
                <w:szCs w:val="14"/>
                <w:lang w:val="en-AU"/>
              </w:rPr>
              <w:t xml:space="preserve">offset </w:t>
            </w:r>
            <w:r w:rsidR="00CB7345" w:rsidRPr="00602151">
              <w:rPr>
                <w:rFonts w:ascii="TimesNewRoman" w:hAnsi="TimesNewRoman" w:cs="TimesNewRoman"/>
                <w:sz w:val="21"/>
                <w:szCs w:val="21"/>
                <w:lang w:val="en-AU"/>
              </w:rPr>
              <w:t xml:space="preserve">&lt; </w:t>
            </w:r>
            <w:r>
              <w:rPr>
                <w:rFonts w:ascii="TimesNewRoman" w:hAnsi="TimesNewRoman" w:cs="TimesNewRoman"/>
                <w:sz w:val="21"/>
                <w:szCs w:val="21"/>
                <w:lang w:val="en-AU"/>
              </w:rPr>
              <w:t>5.6</w:t>
            </w:r>
            <w:r w:rsidR="00CB7345" w:rsidRPr="00602151">
              <w:rPr>
                <w:rFonts w:ascii="TimesNewRoman" w:hAnsi="TimesNewRoman" w:cs="TimesNewRoman"/>
                <w:sz w:val="21"/>
                <w:szCs w:val="21"/>
                <w:lang w:val="en-AU"/>
              </w:rPr>
              <w:t xml:space="preserve"> MHz</w:t>
            </w:r>
          </w:p>
        </w:tc>
        <w:tc>
          <w:tcPr>
            <w:tcW w:w="2952" w:type="dxa"/>
            <w:tcBorders>
              <w:top w:val="single" w:sz="6" w:space="0" w:color="000000"/>
              <w:left w:val="single" w:sz="6" w:space="0" w:color="000000"/>
              <w:bottom w:val="single" w:sz="6" w:space="0" w:color="000000"/>
              <w:right w:val="single" w:sz="6" w:space="0" w:color="000000"/>
            </w:tcBorders>
          </w:tcPr>
          <w:p w14:paraId="29678881" w14:textId="033B5B1D" w:rsidR="00CB7345" w:rsidRPr="00602151" w:rsidRDefault="00CB7345" w:rsidP="00CB7345">
            <w:pPr>
              <w:pStyle w:val="TableParagraph"/>
              <w:ind w:right="10"/>
              <w:jc w:val="center"/>
              <w:rPr>
                <w:rFonts w:ascii="Times New Roman" w:eastAsia="Times New Roman" w:hAnsi="Times New Roman" w:cs="Times New Roman"/>
                <w:sz w:val="21"/>
                <w:szCs w:val="21"/>
                <w:lang w:val="en-AU"/>
              </w:rPr>
            </w:pPr>
            <w:r w:rsidRPr="00602151">
              <w:rPr>
                <w:rFonts w:ascii="Times New Roman" w:eastAsia="Times New Roman" w:hAnsi="Times New Roman" w:cs="Times New Roman"/>
                <w:sz w:val="21"/>
                <w:szCs w:val="21"/>
                <w:lang w:val="en-AU"/>
              </w:rPr>
              <w:t>-</w:t>
            </w:r>
            <w:r w:rsidR="00D04028">
              <w:rPr>
                <w:rFonts w:ascii="Times New Roman" w:eastAsia="Times New Roman" w:hAnsi="Times New Roman" w:cs="Times New Roman"/>
                <w:sz w:val="21"/>
                <w:szCs w:val="21"/>
                <w:lang w:val="en-AU"/>
              </w:rPr>
              <w:t>8.5</w:t>
            </w:r>
          </w:p>
        </w:tc>
        <w:tc>
          <w:tcPr>
            <w:tcW w:w="1457" w:type="dxa"/>
            <w:tcBorders>
              <w:top w:val="single" w:sz="6" w:space="0" w:color="000000"/>
              <w:left w:val="single" w:sz="6" w:space="0" w:color="000000"/>
              <w:bottom w:val="single" w:sz="6" w:space="0" w:color="000000"/>
              <w:right w:val="single" w:sz="6" w:space="0" w:color="000000"/>
            </w:tcBorders>
          </w:tcPr>
          <w:p w14:paraId="03EC76C9" w14:textId="77777777" w:rsidR="00CB7345" w:rsidRPr="00602151" w:rsidRDefault="00CB7345" w:rsidP="00CB7345">
            <w:pPr>
              <w:pStyle w:val="TableParagraph"/>
              <w:ind w:left="325"/>
              <w:rPr>
                <w:rFonts w:ascii="Times New Roman" w:eastAsia="Times New Roman" w:hAnsi="Times New Roman" w:cs="Times New Roman"/>
                <w:sz w:val="21"/>
                <w:szCs w:val="21"/>
                <w:lang w:val="en-AU"/>
              </w:rPr>
            </w:pPr>
            <w:r w:rsidRPr="00602151">
              <w:rPr>
                <w:rFonts w:ascii="Times New Roman"/>
                <w:sz w:val="21"/>
                <w:lang w:val="en-AU"/>
              </w:rPr>
              <w:t>30</w:t>
            </w:r>
            <w:r w:rsidRPr="00602151">
              <w:rPr>
                <w:rFonts w:ascii="Times New Roman"/>
                <w:spacing w:val="2"/>
                <w:sz w:val="21"/>
                <w:lang w:val="en-AU"/>
              </w:rPr>
              <w:t xml:space="preserve"> </w:t>
            </w:r>
            <w:r w:rsidRPr="00602151">
              <w:rPr>
                <w:rFonts w:ascii="Times New Roman"/>
                <w:spacing w:val="-1"/>
                <w:sz w:val="21"/>
                <w:lang w:val="en-AU"/>
              </w:rPr>
              <w:t>kHz</w:t>
            </w:r>
          </w:p>
        </w:tc>
      </w:tr>
      <w:tr w:rsidR="00CB7345" w:rsidRPr="00602151" w14:paraId="7B18881D" w14:textId="77777777" w:rsidTr="00D04028">
        <w:trPr>
          <w:trHeight w:hRule="exact" w:val="320"/>
        </w:trPr>
        <w:tc>
          <w:tcPr>
            <w:tcW w:w="3391" w:type="dxa"/>
            <w:tcBorders>
              <w:top w:val="single" w:sz="6" w:space="0" w:color="000000"/>
              <w:left w:val="single" w:sz="6" w:space="0" w:color="000000"/>
              <w:bottom w:val="single" w:sz="6" w:space="0" w:color="000000"/>
              <w:right w:val="single" w:sz="6" w:space="0" w:color="000000"/>
            </w:tcBorders>
          </w:tcPr>
          <w:p w14:paraId="335C3E07" w14:textId="5246D919" w:rsidR="00CB7345" w:rsidRPr="00602151" w:rsidRDefault="00CB7345" w:rsidP="00CB7345">
            <w:pPr>
              <w:pStyle w:val="TableParagraph"/>
              <w:jc w:val="center"/>
              <w:rPr>
                <w:rFonts w:ascii="Times New Roman"/>
                <w:sz w:val="21"/>
                <w:lang w:val="en-AU"/>
              </w:rPr>
            </w:pPr>
            <w:r w:rsidRPr="00602151">
              <w:rPr>
                <w:rFonts w:ascii="Times New Roman"/>
                <w:sz w:val="21"/>
                <w:lang w:val="en-AU"/>
              </w:rPr>
              <w:t>f</w:t>
            </w:r>
            <w:r w:rsidRPr="00602151">
              <w:rPr>
                <w:rFonts w:ascii="Times New Roman"/>
                <w:position w:val="-1"/>
                <w:sz w:val="14"/>
                <w:lang w:val="en-AU"/>
              </w:rPr>
              <w:t xml:space="preserve">offset </w:t>
            </w:r>
            <w:r w:rsidRPr="00602151">
              <w:rPr>
                <w:rFonts w:ascii="Times New Roman"/>
                <w:spacing w:val="10"/>
                <w:position w:val="-1"/>
                <w:sz w:val="14"/>
                <w:lang w:val="en-AU"/>
              </w:rPr>
              <w:t xml:space="preserve"> </w:t>
            </w:r>
            <w:r w:rsidRPr="00602151">
              <w:rPr>
                <w:rFonts w:ascii="Times New Roman"/>
                <w:sz w:val="21"/>
                <w:u w:val="single" w:color="000000"/>
                <w:lang w:val="en-AU"/>
              </w:rPr>
              <w:t>&gt;</w:t>
            </w:r>
            <w:r w:rsidRPr="00602151">
              <w:rPr>
                <w:rFonts w:ascii="Times New Roman"/>
                <w:spacing w:val="2"/>
                <w:sz w:val="21"/>
                <w:lang w:val="en-AU"/>
              </w:rPr>
              <w:t xml:space="preserve"> 5</w:t>
            </w:r>
            <w:r w:rsidR="00D04028">
              <w:rPr>
                <w:rFonts w:ascii="Times New Roman"/>
                <w:spacing w:val="2"/>
                <w:sz w:val="21"/>
                <w:lang w:val="en-AU"/>
              </w:rPr>
              <w:t>.6</w:t>
            </w:r>
            <w:r w:rsidRPr="00602151">
              <w:rPr>
                <w:rFonts w:ascii="Times New Roman"/>
                <w:spacing w:val="2"/>
                <w:sz w:val="21"/>
                <w:lang w:val="en-AU"/>
              </w:rPr>
              <w:t xml:space="preserve"> </w:t>
            </w:r>
            <w:r w:rsidRPr="00602151">
              <w:rPr>
                <w:rFonts w:ascii="Times New Roman"/>
                <w:spacing w:val="-1"/>
                <w:sz w:val="21"/>
                <w:lang w:val="en-AU"/>
              </w:rPr>
              <w:t>MHz</w:t>
            </w:r>
          </w:p>
        </w:tc>
        <w:tc>
          <w:tcPr>
            <w:tcW w:w="2952" w:type="dxa"/>
            <w:tcBorders>
              <w:top w:val="single" w:sz="6" w:space="0" w:color="000000"/>
              <w:left w:val="single" w:sz="6" w:space="0" w:color="000000"/>
              <w:bottom w:val="single" w:sz="6" w:space="0" w:color="000000"/>
              <w:right w:val="single" w:sz="6" w:space="0" w:color="000000"/>
            </w:tcBorders>
          </w:tcPr>
          <w:p w14:paraId="74C454ED" w14:textId="5E0FF6CB" w:rsidR="00CB7345" w:rsidRPr="00602151" w:rsidRDefault="00CB7345" w:rsidP="00CB7345">
            <w:pPr>
              <w:pStyle w:val="TableParagraph"/>
              <w:ind w:right="10"/>
              <w:jc w:val="center"/>
              <w:rPr>
                <w:rFonts w:ascii="Times New Roman"/>
                <w:sz w:val="21"/>
                <w:lang w:val="en-AU"/>
              </w:rPr>
            </w:pPr>
            <w:r w:rsidRPr="00602151">
              <w:rPr>
                <w:rFonts w:ascii="Times New Roman"/>
                <w:sz w:val="21"/>
                <w:lang w:val="en-AU"/>
              </w:rPr>
              <w:t>-</w:t>
            </w:r>
            <w:r w:rsidR="00D04028">
              <w:rPr>
                <w:rFonts w:ascii="Times New Roman"/>
                <w:sz w:val="21"/>
                <w:lang w:val="en-AU"/>
              </w:rPr>
              <w:t>18.5</w:t>
            </w:r>
          </w:p>
        </w:tc>
        <w:tc>
          <w:tcPr>
            <w:tcW w:w="1457" w:type="dxa"/>
            <w:tcBorders>
              <w:top w:val="single" w:sz="6" w:space="0" w:color="000000"/>
              <w:left w:val="single" w:sz="6" w:space="0" w:color="000000"/>
              <w:bottom w:val="single" w:sz="6" w:space="0" w:color="000000"/>
              <w:right w:val="single" w:sz="6" w:space="0" w:color="000000"/>
            </w:tcBorders>
          </w:tcPr>
          <w:p w14:paraId="2AFB05C1" w14:textId="4068F20D" w:rsidR="00CB7345" w:rsidRPr="00602151" w:rsidRDefault="00D04028" w:rsidP="00D04028">
            <w:pPr>
              <w:pStyle w:val="TableParagraph"/>
              <w:rPr>
                <w:rFonts w:ascii="Times New Roman"/>
                <w:sz w:val="21"/>
                <w:lang w:val="en-AU"/>
              </w:rPr>
            </w:pPr>
            <w:r>
              <w:rPr>
                <w:rFonts w:ascii="Times New Roman"/>
                <w:sz w:val="21"/>
                <w:lang w:val="en-AU"/>
              </w:rPr>
              <w:t xml:space="preserve">      </w:t>
            </w:r>
            <w:r w:rsidRPr="00602151">
              <w:rPr>
                <w:rFonts w:ascii="Times New Roman"/>
                <w:sz w:val="21"/>
                <w:lang w:val="en-AU"/>
              </w:rPr>
              <w:t>30</w:t>
            </w:r>
            <w:r w:rsidRPr="00602151">
              <w:rPr>
                <w:rFonts w:ascii="Times New Roman"/>
                <w:spacing w:val="2"/>
                <w:sz w:val="21"/>
                <w:lang w:val="en-AU"/>
              </w:rPr>
              <w:t xml:space="preserve"> </w:t>
            </w:r>
            <w:r w:rsidRPr="00602151">
              <w:rPr>
                <w:rFonts w:ascii="Times New Roman"/>
                <w:spacing w:val="-1"/>
                <w:sz w:val="21"/>
                <w:lang w:val="en-AU"/>
              </w:rPr>
              <w:t>kHz</w:t>
            </w:r>
          </w:p>
        </w:tc>
      </w:tr>
    </w:tbl>
    <w:p w14:paraId="4D823D68" w14:textId="77777777" w:rsidR="00FB0E13" w:rsidRPr="00602151" w:rsidRDefault="00FB0E13" w:rsidP="00FB0E13">
      <w:pPr>
        <w:spacing w:after="0"/>
        <w:ind w:right="-551"/>
        <w:rPr>
          <w:rFonts w:ascii="Times New Roman" w:hAnsi="Times New Roman"/>
          <w:b/>
          <w:bCs/>
          <w:sz w:val="19"/>
          <w:szCs w:val="19"/>
        </w:rPr>
      </w:pPr>
    </w:p>
    <w:p w14:paraId="187AA1EA" w14:textId="3287769B" w:rsidR="00FB0E13" w:rsidRPr="00602151" w:rsidRDefault="00FB0E13" w:rsidP="00FB0E13">
      <w:pPr>
        <w:pStyle w:val="BodyText"/>
        <w:numPr>
          <w:ilvl w:val="0"/>
          <w:numId w:val="27"/>
        </w:numPr>
        <w:tabs>
          <w:tab w:val="left" w:pos="531"/>
        </w:tabs>
        <w:ind w:right="-551"/>
        <w:jc w:val="left"/>
        <w:rPr>
          <w:lang w:val="en-AU"/>
        </w:rPr>
      </w:pPr>
      <w:r w:rsidRPr="00602151">
        <w:rPr>
          <w:lang w:val="en-AU"/>
        </w:rPr>
        <w:t>The</w:t>
      </w:r>
      <w:r w:rsidRPr="00602151">
        <w:rPr>
          <w:spacing w:val="4"/>
          <w:lang w:val="en-AU"/>
        </w:rPr>
        <w:t xml:space="preserve"> </w:t>
      </w:r>
      <w:r w:rsidRPr="00602151">
        <w:rPr>
          <w:lang w:val="en-AU"/>
        </w:rPr>
        <w:t>non</w:t>
      </w:r>
      <w:r w:rsidRPr="00602151">
        <w:rPr>
          <w:spacing w:val="5"/>
          <w:lang w:val="en-AU"/>
        </w:rPr>
        <w:t xml:space="preserve"> </w:t>
      </w:r>
      <w:r w:rsidRPr="00602151">
        <w:rPr>
          <w:spacing w:val="-1"/>
          <w:lang w:val="en-AU"/>
        </w:rPr>
        <w:t>spurious</w:t>
      </w:r>
      <w:r w:rsidRPr="00602151">
        <w:rPr>
          <w:spacing w:val="6"/>
          <w:lang w:val="en-AU"/>
        </w:rPr>
        <w:t xml:space="preserve"> </w:t>
      </w:r>
      <w:r w:rsidRPr="00602151">
        <w:rPr>
          <w:lang w:val="en-AU"/>
        </w:rPr>
        <w:t>emission</w:t>
      </w:r>
      <w:r w:rsidRPr="00602151">
        <w:rPr>
          <w:spacing w:val="5"/>
          <w:lang w:val="en-AU"/>
        </w:rPr>
        <w:t xml:space="preserve"> </w:t>
      </w:r>
      <w:r w:rsidRPr="00602151">
        <w:rPr>
          <w:lang w:val="en-AU"/>
        </w:rPr>
        <w:t>limits</w:t>
      </w:r>
      <w:r w:rsidRPr="00602151">
        <w:rPr>
          <w:spacing w:val="5"/>
          <w:lang w:val="en-AU"/>
        </w:rPr>
        <w:t xml:space="preserve"> </w:t>
      </w:r>
      <w:r w:rsidRPr="00602151">
        <w:rPr>
          <w:lang w:val="en-AU"/>
        </w:rPr>
        <w:t>in</w:t>
      </w:r>
      <w:r w:rsidRPr="00602151">
        <w:rPr>
          <w:spacing w:val="4"/>
          <w:lang w:val="en-AU"/>
        </w:rPr>
        <w:t xml:space="preserve"> </w:t>
      </w:r>
      <w:r w:rsidRPr="00602151">
        <w:rPr>
          <w:lang w:val="en-AU"/>
        </w:rPr>
        <w:t>Table</w:t>
      </w:r>
      <w:r w:rsidRPr="00602151">
        <w:rPr>
          <w:spacing w:val="5"/>
          <w:lang w:val="en-AU"/>
        </w:rPr>
        <w:t xml:space="preserve"> </w:t>
      </w:r>
      <w:r w:rsidRPr="00602151">
        <w:rPr>
          <w:lang w:val="en-AU"/>
        </w:rPr>
        <w:t>4</w:t>
      </w:r>
      <w:r w:rsidR="00D04028">
        <w:rPr>
          <w:lang w:val="en-AU"/>
        </w:rPr>
        <w:t>a and 4b</w:t>
      </w:r>
      <w:r w:rsidRPr="00602151">
        <w:rPr>
          <w:spacing w:val="5"/>
          <w:lang w:val="en-AU"/>
        </w:rPr>
        <w:t xml:space="preserve"> </w:t>
      </w:r>
      <w:r w:rsidRPr="00602151">
        <w:rPr>
          <w:lang w:val="en-AU"/>
        </w:rPr>
        <w:t>apply:</w:t>
      </w:r>
    </w:p>
    <w:p w14:paraId="33A24D66" w14:textId="77777777" w:rsidR="00FB0E13" w:rsidRPr="00602151" w:rsidRDefault="00FB0E13" w:rsidP="00FB0E13">
      <w:pPr>
        <w:spacing w:after="0"/>
        <w:ind w:right="-551"/>
        <w:rPr>
          <w:rFonts w:ascii="Times New Roman" w:hAnsi="Times New Roman"/>
          <w:sz w:val="28"/>
          <w:szCs w:val="28"/>
        </w:rPr>
      </w:pPr>
    </w:p>
    <w:p w14:paraId="74800F27" w14:textId="7D4A817D" w:rsidR="00FB0E13" w:rsidRPr="00602151" w:rsidRDefault="00FB0E13" w:rsidP="00FB0E13">
      <w:pPr>
        <w:pStyle w:val="BodyText"/>
        <w:numPr>
          <w:ilvl w:val="1"/>
          <w:numId w:val="27"/>
        </w:numPr>
        <w:tabs>
          <w:tab w:val="left" w:pos="892"/>
        </w:tabs>
        <w:ind w:right="-551"/>
        <w:rPr>
          <w:rFonts w:cs="Times New Roman"/>
          <w:lang w:val="en-AU"/>
        </w:rPr>
      </w:pPr>
      <w:r w:rsidRPr="00602151">
        <w:rPr>
          <w:rFonts w:ascii="TimesNewRoman" w:hAnsi="TimesNewRoman" w:cs="TimesNewRoman"/>
          <w:lang w:val="en-AU"/>
        </w:rPr>
        <w:t xml:space="preserve">at frequencies outside </w:t>
      </w:r>
      <w:r w:rsidR="00D04028">
        <w:rPr>
          <w:rFonts w:ascii="TimesNewRoman" w:hAnsi="TimesNewRoman" w:cs="TimesNewRoman"/>
          <w:lang w:val="en-AU"/>
        </w:rPr>
        <w:t>1710</w:t>
      </w:r>
      <w:r w:rsidRPr="00602151">
        <w:rPr>
          <w:rFonts w:ascii="TimesNewRoman" w:hAnsi="TimesNewRoman" w:cs="TimesNewRoman"/>
          <w:lang w:val="en-AU"/>
        </w:rPr>
        <w:t>-</w:t>
      </w:r>
      <w:r w:rsidR="00D04028">
        <w:rPr>
          <w:rFonts w:ascii="TimesNewRoman" w:hAnsi="TimesNewRoman" w:cs="TimesNewRoman"/>
          <w:lang w:val="en-AU"/>
        </w:rPr>
        <w:t>1785</w:t>
      </w:r>
      <w:r w:rsidRPr="00602151">
        <w:rPr>
          <w:rFonts w:ascii="TimesNewRoman" w:hAnsi="TimesNewRoman" w:cs="TimesNewRoman"/>
          <w:lang w:val="en-AU"/>
        </w:rPr>
        <w:t xml:space="preserve"> MHz frequency band; and</w:t>
      </w:r>
      <w:r w:rsidRPr="00602151">
        <w:rPr>
          <w:lang w:val="en-AU"/>
        </w:rPr>
        <w:t xml:space="preserve"> </w:t>
      </w:r>
    </w:p>
    <w:p w14:paraId="6FD247D9" w14:textId="501D4EF9" w:rsidR="00FB0E13" w:rsidRPr="00602151" w:rsidRDefault="00FB0E13" w:rsidP="00FB0E13">
      <w:pPr>
        <w:pStyle w:val="ListParagraph"/>
        <w:numPr>
          <w:ilvl w:val="1"/>
          <w:numId w:val="27"/>
        </w:numPr>
        <w:autoSpaceDE w:val="0"/>
        <w:autoSpaceDN w:val="0"/>
        <w:adjustRightInd w:val="0"/>
        <w:spacing w:line="240" w:lineRule="auto"/>
        <w:ind w:right="-551"/>
        <w:rPr>
          <w:rFonts w:ascii="TimesNewRoman" w:hAnsi="TimesNewRoman" w:cs="TimesNewRoman"/>
          <w:sz w:val="21"/>
          <w:szCs w:val="21"/>
        </w:rPr>
      </w:pPr>
      <w:r w:rsidRPr="00602151">
        <w:rPr>
          <w:rFonts w:ascii="TimesNewRoman" w:hAnsi="TimesNewRoman" w:cs="TimesNewRoman"/>
          <w:sz w:val="21"/>
          <w:szCs w:val="21"/>
        </w:rPr>
        <w:t xml:space="preserve"> offset from </w:t>
      </w:r>
      <w:r w:rsidR="00D04028">
        <w:rPr>
          <w:rFonts w:ascii="TimesNewRoman" w:hAnsi="TimesNewRoman" w:cs="TimesNewRoman"/>
          <w:sz w:val="21"/>
          <w:szCs w:val="21"/>
        </w:rPr>
        <w:t>171</w:t>
      </w:r>
      <w:r w:rsidRPr="00602151">
        <w:rPr>
          <w:rFonts w:ascii="TimesNewRoman" w:hAnsi="TimesNewRoman" w:cs="TimesNewRoman"/>
          <w:sz w:val="21"/>
          <w:szCs w:val="21"/>
        </w:rPr>
        <w:t>0 MHz;</w:t>
      </w:r>
    </w:p>
    <w:p w14:paraId="711B3342" w14:textId="77777777" w:rsidR="00FB0E13" w:rsidRPr="00602151" w:rsidRDefault="00FB0E13" w:rsidP="00FB0E13">
      <w:pPr>
        <w:spacing w:after="0"/>
        <w:ind w:right="-551"/>
        <w:rPr>
          <w:rFonts w:ascii="Times New Roman" w:hAnsi="Times New Roman"/>
          <w:sz w:val="28"/>
          <w:szCs w:val="28"/>
        </w:rPr>
      </w:pPr>
    </w:p>
    <w:p w14:paraId="3B8A6CAE" w14:textId="77777777" w:rsidR="00FB0E13" w:rsidRPr="00602151" w:rsidRDefault="00FB0E13" w:rsidP="00FB0E13">
      <w:pPr>
        <w:pStyle w:val="BodyText"/>
        <w:ind w:left="530" w:right="-551" w:firstLine="0"/>
        <w:rPr>
          <w:lang w:val="en-AU"/>
        </w:rPr>
      </w:pPr>
      <w:r w:rsidRPr="00602151">
        <w:rPr>
          <w:spacing w:val="-1"/>
          <w:lang w:val="en-AU"/>
        </w:rPr>
        <w:t>where:</w:t>
      </w:r>
    </w:p>
    <w:p w14:paraId="52C3F172" w14:textId="0D4C57CF" w:rsidR="00FB0E13" w:rsidRDefault="00FB0E13" w:rsidP="00D04028">
      <w:pPr>
        <w:autoSpaceDE w:val="0"/>
        <w:autoSpaceDN w:val="0"/>
        <w:adjustRightInd w:val="0"/>
        <w:spacing w:after="0" w:line="240" w:lineRule="auto"/>
        <w:ind w:left="530" w:right="-551" w:firstLine="55"/>
        <w:rPr>
          <w:rFonts w:ascii="TimesNewRoman" w:hAnsi="TimesNewRoman" w:cs="TimesNewRoman"/>
          <w:sz w:val="21"/>
          <w:szCs w:val="21"/>
        </w:rPr>
      </w:pPr>
      <w:r w:rsidRPr="00602151">
        <w:rPr>
          <w:rFonts w:ascii="TimesNewRoman,Bold" w:hAnsi="TimesNewRoman,Bold" w:cs="TimesNewRoman,Bold"/>
          <w:b/>
          <w:bCs/>
          <w:sz w:val="21"/>
          <w:szCs w:val="21"/>
        </w:rPr>
        <w:t>f</w:t>
      </w:r>
      <w:r w:rsidRPr="00602151">
        <w:rPr>
          <w:rFonts w:ascii="TimesNewRoman,Bold" w:hAnsi="TimesNewRoman,Bold" w:cs="TimesNewRoman,Bold"/>
          <w:b/>
          <w:bCs/>
          <w:sz w:val="14"/>
          <w:szCs w:val="14"/>
        </w:rPr>
        <w:t xml:space="preserve">offset </w:t>
      </w:r>
      <w:r w:rsidR="00D04028" w:rsidRPr="00D04028">
        <w:rPr>
          <w:rFonts w:ascii="TimesNewRoman" w:hAnsi="TimesNewRoman" w:cs="TimesNewRoman"/>
          <w:sz w:val="21"/>
          <w:szCs w:val="21"/>
        </w:rPr>
        <w:t xml:space="preserve">is the frequency offset from the 1710 MHz band edge. The -3dB point of the specified bandwidth closest to the band edge being frequency offset from, is placed at </w:t>
      </w:r>
      <w:r w:rsidR="00D04028" w:rsidRPr="00602151">
        <w:rPr>
          <w:rFonts w:ascii="TimesNewRoman,Bold" w:hAnsi="TimesNewRoman,Bold" w:cs="TimesNewRoman,Bold"/>
          <w:b/>
          <w:bCs/>
          <w:sz w:val="21"/>
          <w:szCs w:val="21"/>
        </w:rPr>
        <w:t>f</w:t>
      </w:r>
      <w:r w:rsidR="00D04028" w:rsidRPr="00602151">
        <w:rPr>
          <w:rFonts w:ascii="TimesNewRoman,Bold" w:hAnsi="TimesNewRoman,Bold" w:cs="TimesNewRoman,Bold"/>
          <w:b/>
          <w:bCs/>
          <w:sz w:val="14"/>
          <w:szCs w:val="14"/>
        </w:rPr>
        <w:t>offset</w:t>
      </w:r>
      <w:r w:rsidR="00D04028" w:rsidRPr="00D04028">
        <w:rPr>
          <w:rFonts w:ascii="TimesNewRoman" w:hAnsi="TimesNewRoman" w:cs="TimesNewRoman"/>
          <w:sz w:val="21"/>
          <w:szCs w:val="21"/>
        </w:rPr>
        <w:t>.</w:t>
      </w:r>
    </w:p>
    <w:p w14:paraId="44D1479D" w14:textId="77777777" w:rsidR="00344D13" w:rsidRPr="00602151" w:rsidRDefault="00344D13" w:rsidP="00D04028">
      <w:pPr>
        <w:autoSpaceDE w:val="0"/>
        <w:autoSpaceDN w:val="0"/>
        <w:adjustRightInd w:val="0"/>
        <w:spacing w:after="0" w:line="240" w:lineRule="auto"/>
        <w:ind w:left="530" w:right="-551" w:firstLine="55"/>
        <w:rPr>
          <w:rFonts w:ascii="Times New Roman" w:hAnsi="Times New Roman"/>
          <w:b/>
          <w:bCs/>
          <w:szCs w:val="20"/>
        </w:rPr>
      </w:pPr>
    </w:p>
    <w:p w14:paraId="5EAD912E" w14:textId="77777777" w:rsidR="00D04028" w:rsidRDefault="00D04028" w:rsidP="00D04028">
      <w:pPr>
        <w:spacing w:after="0" w:line="259" w:lineRule="auto"/>
        <w:ind w:left="-4"/>
      </w:pPr>
      <w:r>
        <w:rPr>
          <w:rFonts w:ascii="Times New Roman" w:hAnsi="Times New Roman"/>
          <w:b/>
        </w:rPr>
        <w:t>Table 4a: Radiated maximum true mean power non-spurious emission limits</w:t>
      </w:r>
    </w:p>
    <w:tbl>
      <w:tblPr>
        <w:tblStyle w:val="TableGrid0"/>
        <w:tblW w:w="7923" w:type="dxa"/>
        <w:tblInd w:w="6" w:type="dxa"/>
        <w:tblCellMar>
          <w:top w:w="71" w:type="dxa"/>
          <w:left w:w="158" w:type="dxa"/>
          <w:right w:w="93" w:type="dxa"/>
        </w:tblCellMar>
        <w:tblLook w:val="04A0" w:firstRow="1" w:lastRow="0" w:firstColumn="1" w:lastColumn="0" w:noHBand="0" w:noVBand="1"/>
      </w:tblPr>
      <w:tblGrid>
        <w:gridCol w:w="2537"/>
        <w:gridCol w:w="3969"/>
        <w:gridCol w:w="1417"/>
      </w:tblGrid>
      <w:tr w:rsidR="00D04028" w14:paraId="6CCCBE4F" w14:textId="77777777" w:rsidTr="00D04028">
        <w:trPr>
          <w:trHeight w:val="658"/>
        </w:trPr>
        <w:tc>
          <w:tcPr>
            <w:tcW w:w="2537" w:type="dxa"/>
            <w:tcBorders>
              <w:top w:val="single" w:sz="7" w:space="0" w:color="000000"/>
              <w:left w:val="single" w:sz="7" w:space="0" w:color="000000"/>
              <w:bottom w:val="single" w:sz="7" w:space="0" w:color="000000"/>
              <w:right w:val="single" w:sz="6" w:space="0" w:color="000000"/>
            </w:tcBorders>
          </w:tcPr>
          <w:p w14:paraId="43A767BB" w14:textId="77777777" w:rsidR="00D04028" w:rsidRPr="00D04028" w:rsidRDefault="00D04028" w:rsidP="000543CA">
            <w:pPr>
              <w:spacing w:after="101" w:line="259" w:lineRule="auto"/>
              <w:rPr>
                <w:rFonts w:ascii="Times New Roman" w:hAnsi="Times New Roman" w:cs="Times New Roman"/>
                <w:sz w:val="23"/>
                <w:szCs w:val="23"/>
              </w:rPr>
            </w:pPr>
            <w:r w:rsidRPr="00D04028">
              <w:rPr>
                <w:rFonts w:ascii="Times New Roman" w:eastAsia="Times New Roman" w:hAnsi="Times New Roman" w:cs="Times New Roman"/>
                <w:b/>
                <w:sz w:val="23"/>
                <w:szCs w:val="23"/>
              </w:rPr>
              <w:t xml:space="preserve">Frequency offset range </w:t>
            </w:r>
          </w:p>
          <w:p w14:paraId="0843387E" w14:textId="77777777" w:rsidR="00D04028" w:rsidRPr="00D04028" w:rsidRDefault="00D04028" w:rsidP="000543CA">
            <w:pPr>
              <w:spacing w:after="0" w:line="259" w:lineRule="auto"/>
              <w:ind w:right="74"/>
              <w:jc w:val="center"/>
              <w:rPr>
                <w:rFonts w:ascii="Times New Roman" w:hAnsi="Times New Roman" w:cs="Times New Roman"/>
                <w:sz w:val="23"/>
                <w:szCs w:val="23"/>
              </w:rPr>
            </w:pPr>
            <w:r w:rsidRPr="00D04028">
              <w:rPr>
                <w:rFonts w:ascii="Times New Roman" w:eastAsia="Times New Roman" w:hAnsi="Times New Roman" w:cs="Times New Roman"/>
                <w:b/>
                <w:sz w:val="23"/>
                <w:szCs w:val="23"/>
              </w:rPr>
              <w:t>(f</w:t>
            </w:r>
            <w:r w:rsidRPr="00D04028">
              <w:rPr>
                <w:rFonts w:ascii="Times New Roman" w:eastAsia="Times New Roman" w:hAnsi="Times New Roman" w:cs="Times New Roman"/>
                <w:b/>
                <w:sz w:val="23"/>
                <w:szCs w:val="23"/>
                <w:vertAlign w:val="subscript"/>
              </w:rPr>
              <w:t>offset</w:t>
            </w:r>
            <w:r w:rsidRPr="00D04028">
              <w:rPr>
                <w:rFonts w:ascii="Times New Roman" w:eastAsia="Times New Roman" w:hAnsi="Times New Roman" w:cs="Times New Roman"/>
                <w:b/>
                <w:sz w:val="23"/>
                <w:szCs w:val="23"/>
              </w:rPr>
              <w:t>)</w:t>
            </w:r>
          </w:p>
        </w:tc>
        <w:tc>
          <w:tcPr>
            <w:tcW w:w="3969" w:type="dxa"/>
            <w:tcBorders>
              <w:top w:val="single" w:sz="7" w:space="0" w:color="000000"/>
              <w:left w:val="single" w:sz="6" w:space="0" w:color="000000"/>
              <w:bottom w:val="single" w:sz="7" w:space="0" w:color="000000"/>
              <w:right w:val="single" w:sz="6" w:space="0" w:color="000000"/>
            </w:tcBorders>
          </w:tcPr>
          <w:p w14:paraId="0D7B8304" w14:textId="2AA3FC1B" w:rsidR="00D04028" w:rsidRPr="00D04028" w:rsidRDefault="00D04028" w:rsidP="00D04028">
            <w:pPr>
              <w:spacing w:after="15" w:line="259" w:lineRule="auto"/>
              <w:ind w:right="36"/>
              <w:jc w:val="center"/>
              <w:rPr>
                <w:rFonts w:ascii="Times New Roman" w:hAnsi="Times New Roman" w:cs="Times New Roman"/>
                <w:sz w:val="23"/>
                <w:szCs w:val="23"/>
              </w:rPr>
            </w:pPr>
            <w:r w:rsidRPr="00D04028">
              <w:rPr>
                <w:rFonts w:ascii="Times New Roman" w:eastAsia="Times New Roman" w:hAnsi="Times New Roman" w:cs="Times New Roman"/>
                <w:b/>
                <w:sz w:val="23"/>
                <w:szCs w:val="23"/>
              </w:rPr>
              <w:t>Radiated maximum true mean power</w:t>
            </w:r>
            <w:r>
              <w:rPr>
                <w:rFonts w:ascii="Times New Roman" w:eastAsia="Times New Roman" w:hAnsi="Times New Roman" w:cs="Times New Roman"/>
                <w:b/>
                <w:sz w:val="23"/>
                <w:szCs w:val="23"/>
              </w:rPr>
              <w:t xml:space="preserve"> </w:t>
            </w:r>
            <w:r w:rsidRPr="00D04028">
              <w:rPr>
                <w:rFonts w:ascii="Times New Roman" w:eastAsia="Times New Roman" w:hAnsi="Times New Roman" w:cs="Times New Roman"/>
                <w:b/>
                <w:sz w:val="23"/>
                <w:szCs w:val="23"/>
              </w:rPr>
              <w:t>(dBm EIRP)</w:t>
            </w:r>
          </w:p>
        </w:tc>
        <w:tc>
          <w:tcPr>
            <w:tcW w:w="1417" w:type="dxa"/>
            <w:tcBorders>
              <w:top w:val="single" w:sz="7" w:space="0" w:color="000000"/>
              <w:left w:val="single" w:sz="6" w:space="0" w:color="000000"/>
              <w:bottom w:val="single" w:sz="7" w:space="0" w:color="000000"/>
              <w:right w:val="single" w:sz="6" w:space="0" w:color="000000"/>
            </w:tcBorders>
          </w:tcPr>
          <w:p w14:paraId="565DEFFE" w14:textId="77777777" w:rsidR="00D04028" w:rsidRPr="00D04028" w:rsidRDefault="00D04028" w:rsidP="000543CA">
            <w:pPr>
              <w:spacing w:after="0" w:line="259" w:lineRule="auto"/>
              <w:ind w:left="29" w:firstLine="75"/>
              <w:rPr>
                <w:rFonts w:ascii="Times New Roman" w:hAnsi="Times New Roman" w:cs="Times New Roman"/>
                <w:sz w:val="23"/>
                <w:szCs w:val="23"/>
              </w:rPr>
            </w:pPr>
            <w:r w:rsidRPr="00D04028">
              <w:rPr>
                <w:rFonts w:ascii="Times New Roman" w:eastAsia="Times New Roman" w:hAnsi="Times New Roman" w:cs="Times New Roman"/>
                <w:b/>
                <w:sz w:val="23"/>
                <w:szCs w:val="23"/>
              </w:rPr>
              <w:t>Specified Bandwidth</w:t>
            </w:r>
          </w:p>
        </w:tc>
      </w:tr>
      <w:tr w:rsidR="00D04028" w14:paraId="044BA836" w14:textId="77777777" w:rsidTr="00D04028">
        <w:trPr>
          <w:trHeight w:val="329"/>
        </w:trPr>
        <w:tc>
          <w:tcPr>
            <w:tcW w:w="2537" w:type="dxa"/>
            <w:tcBorders>
              <w:top w:val="single" w:sz="7" w:space="0" w:color="000000"/>
              <w:left w:val="single" w:sz="7" w:space="0" w:color="000000"/>
              <w:bottom w:val="single" w:sz="7" w:space="0" w:color="000000"/>
              <w:right w:val="single" w:sz="6" w:space="0" w:color="000000"/>
            </w:tcBorders>
          </w:tcPr>
          <w:p w14:paraId="05ADD124" w14:textId="77777777" w:rsidR="00D04028" w:rsidRPr="00D04028" w:rsidRDefault="00D04028" w:rsidP="000543CA">
            <w:pPr>
              <w:spacing w:after="0" w:line="259" w:lineRule="auto"/>
              <w:ind w:right="106"/>
              <w:jc w:val="center"/>
              <w:rPr>
                <w:rFonts w:ascii="Times New Roman" w:hAnsi="Times New Roman" w:cs="Times New Roman"/>
                <w:sz w:val="21"/>
                <w:szCs w:val="21"/>
              </w:rPr>
            </w:pPr>
            <w:r w:rsidRPr="00D04028">
              <w:rPr>
                <w:rFonts w:ascii="Times New Roman" w:hAnsi="Times New Roman" w:cs="Times New Roman"/>
                <w:sz w:val="21"/>
                <w:szCs w:val="21"/>
              </w:rPr>
              <w:t xml:space="preserve">0 Hz </w:t>
            </w:r>
            <w:r w:rsidRPr="00D04028">
              <w:rPr>
                <w:rFonts w:ascii="Times New Roman" w:hAnsi="Times New Roman" w:cs="Times New Roman"/>
                <w:sz w:val="21"/>
                <w:szCs w:val="21"/>
                <w:u w:val="single" w:color="000000"/>
              </w:rPr>
              <w:t>&lt;</w:t>
            </w:r>
            <w:r w:rsidRPr="00D04028">
              <w:rPr>
                <w:rFonts w:ascii="Times New Roman" w:hAnsi="Times New Roman" w:cs="Times New Roman"/>
                <w:sz w:val="21"/>
                <w:szCs w:val="21"/>
              </w:rPr>
              <w:t xml:space="preserve"> f</w:t>
            </w:r>
            <w:r w:rsidRPr="00D04028">
              <w:rPr>
                <w:rFonts w:ascii="Times New Roman" w:hAnsi="Times New Roman" w:cs="Times New Roman"/>
                <w:sz w:val="21"/>
                <w:szCs w:val="21"/>
                <w:vertAlign w:val="subscript"/>
              </w:rPr>
              <w:t>offset</w:t>
            </w:r>
            <w:r w:rsidRPr="00D04028">
              <w:rPr>
                <w:rFonts w:ascii="Times New Roman" w:hAnsi="Times New Roman" w:cs="Times New Roman"/>
                <w:sz w:val="21"/>
                <w:szCs w:val="21"/>
              </w:rPr>
              <w:t xml:space="preserve"> &lt; 500 kHz</w:t>
            </w:r>
          </w:p>
        </w:tc>
        <w:tc>
          <w:tcPr>
            <w:tcW w:w="3969" w:type="dxa"/>
            <w:tcBorders>
              <w:top w:val="single" w:sz="7" w:space="0" w:color="000000"/>
              <w:left w:val="single" w:sz="6" w:space="0" w:color="000000"/>
              <w:bottom w:val="single" w:sz="7" w:space="0" w:color="000000"/>
              <w:right w:val="single" w:sz="6" w:space="0" w:color="000000"/>
            </w:tcBorders>
          </w:tcPr>
          <w:p w14:paraId="783D100A" w14:textId="77777777" w:rsidR="00D04028" w:rsidRPr="00D04028" w:rsidRDefault="00D04028" w:rsidP="000543CA">
            <w:pPr>
              <w:spacing w:after="0" w:line="259" w:lineRule="auto"/>
              <w:ind w:right="69"/>
              <w:jc w:val="center"/>
              <w:rPr>
                <w:rFonts w:ascii="Times New Roman" w:hAnsi="Times New Roman" w:cs="Times New Roman"/>
                <w:sz w:val="21"/>
                <w:szCs w:val="21"/>
              </w:rPr>
            </w:pPr>
            <w:r w:rsidRPr="00D04028">
              <w:rPr>
                <w:rFonts w:ascii="Times New Roman" w:hAnsi="Times New Roman" w:cs="Times New Roman"/>
                <w:sz w:val="21"/>
                <w:szCs w:val="21"/>
              </w:rPr>
              <w:t>-8.5</w:t>
            </w:r>
          </w:p>
        </w:tc>
        <w:tc>
          <w:tcPr>
            <w:tcW w:w="1417" w:type="dxa"/>
            <w:tcBorders>
              <w:top w:val="single" w:sz="7" w:space="0" w:color="000000"/>
              <w:left w:val="single" w:sz="6" w:space="0" w:color="000000"/>
              <w:bottom w:val="single" w:sz="7" w:space="0" w:color="000000"/>
              <w:right w:val="single" w:sz="6" w:space="0" w:color="000000"/>
            </w:tcBorders>
          </w:tcPr>
          <w:p w14:paraId="599D5827" w14:textId="77777777" w:rsidR="00D04028" w:rsidRPr="00D04028" w:rsidRDefault="00D04028" w:rsidP="000543CA">
            <w:pPr>
              <w:spacing w:after="0" w:line="259" w:lineRule="auto"/>
              <w:ind w:right="86"/>
              <w:jc w:val="center"/>
              <w:rPr>
                <w:rFonts w:ascii="Times New Roman" w:hAnsi="Times New Roman" w:cs="Times New Roman"/>
                <w:sz w:val="21"/>
                <w:szCs w:val="21"/>
              </w:rPr>
            </w:pPr>
            <w:r w:rsidRPr="00D04028">
              <w:rPr>
                <w:rFonts w:ascii="Times New Roman" w:hAnsi="Times New Roman" w:cs="Times New Roman"/>
                <w:sz w:val="21"/>
                <w:szCs w:val="21"/>
              </w:rPr>
              <w:t>30 kHz</w:t>
            </w:r>
          </w:p>
        </w:tc>
      </w:tr>
      <w:tr w:rsidR="00D04028" w14:paraId="65ACB779" w14:textId="77777777" w:rsidTr="00D04028">
        <w:trPr>
          <w:trHeight w:val="329"/>
        </w:trPr>
        <w:tc>
          <w:tcPr>
            <w:tcW w:w="2537" w:type="dxa"/>
            <w:tcBorders>
              <w:top w:val="single" w:sz="7" w:space="0" w:color="000000"/>
              <w:left w:val="single" w:sz="7" w:space="0" w:color="000000"/>
              <w:bottom w:val="single" w:sz="7" w:space="0" w:color="000000"/>
              <w:right w:val="single" w:sz="6" w:space="0" w:color="000000"/>
            </w:tcBorders>
          </w:tcPr>
          <w:p w14:paraId="6580E380" w14:textId="77777777" w:rsidR="00D04028" w:rsidRPr="00D04028" w:rsidRDefault="00D04028" w:rsidP="000543CA">
            <w:pPr>
              <w:spacing w:after="0" w:line="259" w:lineRule="auto"/>
              <w:ind w:right="110"/>
              <w:jc w:val="center"/>
              <w:rPr>
                <w:rFonts w:ascii="Times New Roman" w:hAnsi="Times New Roman" w:cs="Times New Roman"/>
                <w:sz w:val="21"/>
                <w:szCs w:val="21"/>
              </w:rPr>
            </w:pPr>
            <w:r w:rsidRPr="00D04028">
              <w:rPr>
                <w:rFonts w:ascii="Times New Roman" w:hAnsi="Times New Roman" w:cs="Times New Roman"/>
                <w:sz w:val="21"/>
                <w:szCs w:val="21"/>
              </w:rPr>
              <w:t>f</w:t>
            </w:r>
            <w:r w:rsidRPr="00D04028">
              <w:rPr>
                <w:rFonts w:ascii="Times New Roman" w:hAnsi="Times New Roman" w:cs="Times New Roman"/>
                <w:sz w:val="21"/>
                <w:szCs w:val="21"/>
                <w:vertAlign w:val="subscript"/>
              </w:rPr>
              <w:t>offset</w:t>
            </w:r>
            <w:r w:rsidRPr="00D04028">
              <w:rPr>
                <w:rFonts w:ascii="Times New Roman" w:hAnsi="Times New Roman" w:cs="Times New Roman"/>
                <w:sz w:val="21"/>
                <w:szCs w:val="21"/>
              </w:rPr>
              <w:t xml:space="preserve"> </w:t>
            </w:r>
            <w:r w:rsidRPr="00D04028">
              <w:rPr>
                <w:rFonts w:ascii="Times New Roman" w:hAnsi="Times New Roman" w:cs="Times New Roman"/>
                <w:sz w:val="21"/>
                <w:szCs w:val="21"/>
                <w:u w:val="single" w:color="000000"/>
              </w:rPr>
              <w:t>&gt;</w:t>
            </w:r>
            <w:r w:rsidRPr="00D04028">
              <w:rPr>
                <w:rFonts w:ascii="Times New Roman" w:hAnsi="Times New Roman" w:cs="Times New Roman"/>
                <w:sz w:val="21"/>
                <w:szCs w:val="21"/>
              </w:rPr>
              <w:t xml:space="preserve"> 500 kHz</w:t>
            </w:r>
          </w:p>
        </w:tc>
        <w:tc>
          <w:tcPr>
            <w:tcW w:w="3969" w:type="dxa"/>
            <w:tcBorders>
              <w:top w:val="single" w:sz="7" w:space="0" w:color="000000"/>
              <w:left w:val="single" w:sz="6" w:space="0" w:color="000000"/>
              <w:bottom w:val="single" w:sz="7" w:space="0" w:color="000000"/>
              <w:right w:val="single" w:sz="6" w:space="0" w:color="000000"/>
            </w:tcBorders>
          </w:tcPr>
          <w:p w14:paraId="1CA49512" w14:textId="77777777" w:rsidR="00D04028" w:rsidRPr="00D04028" w:rsidRDefault="00D04028" w:rsidP="000543CA">
            <w:pPr>
              <w:spacing w:after="0" w:line="259" w:lineRule="auto"/>
              <w:ind w:right="92"/>
              <w:jc w:val="center"/>
              <w:rPr>
                <w:rFonts w:ascii="Times New Roman" w:hAnsi="Times New Roman" w:cs="Times New Roman"/>
                <w:sz w:val="21"/>
                <w:szCs w:val="21"/>
              </w:rPr>
            </w:pPr>
            <w:r w:rsidRPr="00D04028">
              <w:rPr>
                <w:rFonts w:ascii="Times New Roman" w:hAnsi="Times New Roman" w:cs="Times New Roman"/>
                <w:sz w:val="21"/>
                <w:szCs w:val="21"/>
              </w:rPr>
              <w:t>-33.5</w:t>
            </w:r>
          </w:p>
        </w:tc>
        <w:tc>
          <w:tcPr>
            <w:tcW w:w="1417" w:type="dxa"/>
            <w:tcBorders>
              <w:top w:val="single" w:sz="7" w:space="0" w:color="000000"/>
              <w:left w:val="single" w:sz="6" w:space="0" w:color="000000"/>
              <w:bottom w:val="single" w:sz="7" w:space="0" w:color="000000"/>
              <w:right w:val="single" w:sz="6" w:space="0" w:color="000000"/>
            </w:tcBorders>
          </w:tcPr>
          <w:p w14:paraId="70F798C5" w14:textId="77777777" w:rsidR="00D04028" w:rsidRPr="00D04028" w:rsidRDefault="00D04028" w:rsidP="000543CA">
            <w:pPr>
              <w:spacing w:after="0" w:line="259" w:lineRule="auto"/>
              <w:ind w:right="86"/>
              <w:jc w:val="center"/>
              <w:rPr>
                <w:rFonts w:ascii="Times New Roman" w:hAnsi="Times New Roman" w:cs="Times New Roman"/>
                <w:sz w:val="21"/>
                <w:szCs w:val="21"/>
              </w:rPr>
            </w:pPr>
            <w:r w:rsidRPr="00D04028">
              <w:rPr>
                <w:rFonts w:ascii="Times New Roman" w:hAnsi="Times New Roman" w:cs="Times New Roman"/>
                <w:sz w:val="21"/>
                <w:szCs w:val="21"/>
              </w:rPr>
              <w:t>30 kHz</w:t>
            </w:r>
          </w:p>
        </w:tc>
      </w:tr>
    </w:tbl>
    <w:p w14:paraId="7EF6A2CC" w14:textId="77777777" w:rsidR="00D04028" w:rsidRDefault="00D04028" w:rsidP="00D04028">
      <w:pPr>
        <w:spacing w:after="0" w:line="259" w:lineRule="auto"/>
        <w:ind w:left="-4"/>
        <w:rPr>
          <w:rFonts w:ascii="Times New Roman" w:hAnsi="Times New Roman"/>
          <w:b/>
        </w:rPr>
      </w:pPr>
    </w:p>
    <w:p w14:paraId="2E078B2E" w14:textId="08AD6489" w:rsidR="00D04028" w:rsidRDefault="00D04028" w:rsidP="00D04028">
      <w:pPr>
        <w:spacing w:after="0" w:line="259" w:lineRule="auto"/>
        <w:ind w:left="-4"/>
        <w:rPr>
          <w:rFonts w:ascii="Times New Roman" w:hAnsi="Times New Roman"/>
          <w:b/>
        </w:rPr>
      </w:pPr>
      <w:r>
        <w:rPr>
          <w:rFonts w:ascii="Times New Roman" w:hAnsi="Times New Roman"/>
          <w:b/>
        </w:rPr>
        <w:t>Table 4b: Radiated peak power non-spurious emission limits</w:t>
      </w:r>
    </w:p>
    <w:tbl>
      <w:tblPr>
        <w:tblStyle w:val="TableGrid0"/>
        <w:tblW w:w="7923" w:type="dxa"/>
        <w:tblInd w:w="6" w:type="dxa"/>
        <w:tblCellMar>
          <w:top w:w="71" w:type="dxa"/>
          <w:left w:w="158" w:type="dxa"/>
          <w:right w:w="93" w:type="dxa"/>
        </w:tblCellMar>
        <w:tblLook w:val="04A0" w:firstRow="1" w:lastRow="0" w:firstColumn="1" w:lastColumn="0" w:noHBand="0" w:noVBand="1"/>
      </w:tblPr>
      <w:tblGrid>
        <w:gridCol w:w="2537"/>
        <w:gridCol w:w="3969"/>
        <w:gridCol w:w="1417"/>
      </w:tblGrid>
      <w:tr w:rsidR="00D04028" w14:paraId="391ADA6E" w14:textId="77777777" w:rsidTr="000543CA">
        <w:trPr>
          <w:trHeight w:val="658"/>
        </w:trPr>
        <w:tc>
          <w:tcPr>
            <w:tcW w:w="2537" w:type="dxa"/>
            <w:tcBorders>
              <w:top w:val="single" w:sz="7" w:space="0" w:color="000000"/>
              <w:left w:val="single" w:sz="7" w:space="0" w:color="000000"/>
              <w:bottom w:val="single" w:sz="7" w:space="0" w:color="000000"/>
              <w:right w:val="single" w:sz="6" w:space="0" w:color="000000"/>
            </w:tcBorders>
          </w:tcPr>
          <w:p w14:paraId="7325A93F" w14:textId="77777777" w:rsidR="00D04028" w:rsidRPr="00D04028" w:rsidRDefault="00D04028" w:rsidP="000543CA">
            <w:pPr>
              <w:spacing w:after="101" w:line="259" w:lineRule="auto"/>
              <w:rPr>
                <w:rFonts w:ascii="Times New Roman" w:hAnsi="Times New Roman" w:cs="Times New Roman"/>
                <w:sz w:val="23"/>
                <w:szCs w:val="23"/>
              </w:rPr>
            </w:pPr>
            <w:r w:rsidRPr="00D04028">
              <w:rPr>
                <w:rFonts w:ascii="Times New Roman" w:eastAsia="Times New Roman" w:hAnsi="Times New Roman" w:cs="Times New Roman"/>
                <w:b/>
                <w:sz w:val="23"/>
                <w:szCs w:val="23"/>
              </w:rPr>
              <w:t xml:space="preserve">Frequency offset range </w:t>
            </w:r>
          </w:p>
          <w:p w14:paraId="06DAB7F9" w14:textId="77777777" w:rsidR="00D04028" w:rsidRPr="00D04028" w:rsidRDefault="00D04028" w:rsidP="000543CA">
            <w:pPr>
              <w:spacing w:after="0" w:line="259" w:lineRule="auto"/>
              <w:ind w:right="74"/>
              <w:jc w:val="center"/>
              <w:rPr>
                <w:rFonts w:ascii="Times New Roman" w:hAnsi="Times New Roman" w:cs="Times New Roman"/>
                <w:sz w:val="23"/>
                <w:szCs w:val="23"/>
              </w:rPr>
            </w:pPr>
            <w:r w:rsidRPr="00D04028">
              <w:rPr>
                <w:rFonts w:ascii="Times New Roman" w:eastAsia="Times New Roman" w:hAnsi="Times New Roman" w:cs="Times New Roman"/>
                <w:b/>
                <w:sz w:val="23"/>
                <w:szCs w:val="23"/>
              </w:rPr>
              <w:t>(f</w:t>
            </w:r>
            <w:r w:rsidRPr="00D04028">
              <w:rPr>
                <w:rFonts w:ascii="Times New Roman" w:eastAsia="Times New Roman" w:hAnsi="Times New Roman" w:cs="Times New Roman"/>
                <w:b/>
                <w:sz w:val="23"/>
                <w:szCs w:val="23"/>
                <w:vertAlign w:val="subscript"/>
              </w:rPr>
              <w:t>offset</w:t>
            </w:r>
            <w:r w:rsidRPr="00D04028">
              <w:rPr>
                <w:rFonts w:ascii="Times New Roman" w:eastAsia="Times New Roman" w:hAnsi="Times New Roman" w:cs="Times New Roman"/>
                <w:b/>
                <w:sz w:val="23"/>
                <w:szCs w:val="23"/>
              </w:rPr>
              <w:t>)</w:t>
            </w:r>
          </w:p>
        </w:tc>
        <w:tc>
          <w:tcPr>
            <w:tcW w:w="3969" w:type="dxa"/>
            <w:tcBorders>
              <w:top w:val="single" w:sz="7" w:space="0" w:color="000000"/>
              <w:left w:val="single" w:sz="6" w:space="0" w:color="000000"/>
              <w:bottom w:val="single" w:sz="7" w:space="0" w:color="000000"/>
              <w:right w:val="single" w:sz="6" w:space="0" w:color="000000"/>
            </w:tcBorders>
          </w:tcPr>
          <w:p w14:paraId="1D8EC1CC" w14:textId="77777777" w:rsidR="00D04028" w:rsidRDefault="00D04028" w:rsidP="000543CA">
            <w:pPr>
              <w:spacing w:after="15" w:line="259" w:lineRule="auto"/>
              <w:ind w:right="36"/>
              <w:jc w:val="center"/>
              <w:rPr>
                <w:rFonts w:ascii="Times New Roman" w:eastAsia="Times New Roman" w:hAnsi="Times New Roman" w:cs="Times New Roman"/>
                <w:b/>
                <w:sz w:val="23"/>
                <w:szCs w:val="23"/>
              </w:rPr>
            </w:pPr>
            <w:r w:rsidRPr="00D04028">
              <w:rPr>
                <w:rFonts w:ascii="Times New Roman" w:eastAsia="Times New Roman" w:hAnsi="Times New Roman" w:cs="Times New Roman"/>
                <w:b/>
                <w:sz w:val="23"/>
                <w:szCs w:val="23"/>
              </w:rPr>
              <w:t xml:space="preserve">Radiated </w:t>
            </w:r>
            <w:r>
              <w:rPr>
                <w:rFonts w:ascii="Times New Roman" w:eastAsia="Times New Roman" w:hAnsi="Times New Roman" w:cs="Times New Roman"/>
                <w:b/>
                <w:sz w:val="23"/>
                <w:szCs w:val="23"/>
              </w:rPr>
              <w:t>peak</w:t>
            </w:r>
            <w:r w:rsidRPr="00D04028">
              <w:rPr>
                <w:rFonts w:ascii="Times New Roman" w:eastAsia="Times New Roman" w:hAnsi="Times New Roman" w:cs="Times New Roman"/>
                <w:b/>
                <w:sz w:val="23"/>
                <w:szCs w:val="23"/>
              </w:rPr>
              <w:t xml:space="preserve"> power</w:t>
            </w:r>
            <w:r>
              <w:rPr>
                <w:rFonts w:ascii="Times New Roman" w:eastAsia="Times New Roman" w:hAnsi="Times New Roman" w:cs="Times New Roman"/>
                <w:b/>
                <w:sz w:val="23"/>
                <w:szCs w:val="23"/>
              </w:rPr>
              <w:t xml:space="preserve"> </w:t>
            </w:r>
          </w:p>
          <w:p w14:paraId="0FD07618" w14:textId="1022AE8B" w:rsidR="00D04028" w:rsidRPr="00D04028" w:rsidRDefault="00D04028" w:rsidP="000543CA">
            <w:pPr>
              <w:spacing w:after="15" w:line="259" w:lineRule="auto"/>
              <w:ind w:right="36"/>
              <w:jc w:val="center"/>
              <w:rPr>
                <w:rFonts w:ascii="Times New Roman" w:hAnsi="Times New Roman" w:cs="Times New Roman"/>
                <w:sz w:val="23"/>
                <w:szCs w:val="23"/>
              </w:rPr>
            </w:pPr>
            <w:r w:rsidRPr="00D04028">
              <w:rPr>
                <w:rFonts w:ascii="Times New Roman" w:eastAsia="Times New Roman" w:hAnsi="Times New Roman" w:cs="Times New Roman"/>
                <w:b/>
                <w:sz w:val="23"/>
                <w:szCs w:val="23"/>
              </w:rPr>
              <w:t>(dBm EIRP)</w:t>
            </w:r>
          </w:p>
        </w:tc>
        <w:tc>
          <w:tcPr>
            <w:tcW w:w="1417" w:type="dxa"/>
            <w:tcBorders>
              <w:top w:val="single" w:sz="7" w:space="0" w:color="000000"/>
              <w:left w:val="single" w:sz="6" w:space="0" w:color="000000"/>
              <w:bottom w:val="single" w:sz="7" w:space="0" w:color="000000"/>
              <w:right w:val="single" w:sz="6" w:space="0" w:color="000000"/>
            </w:tcBorders>
          </w:tcPr>
          <w:p w14:paraId="4B4F37C2" w14:textId="77777777" w:rsidR="00D04028" w:rsidRPr="00D04028" w:rsidRDefault="00D04028" w:rsidP="000543CA">
            <w:pPr>
              <w:spacing w:after="0" w:line="259" w:lineRule="auto"/>
              <w:ind w:left="29" w:firstLine="75"/>
              <w:rPr>
                <w:rFonts w:ascii="Times New Roman" w:hAnsi="Times New Roman" w:cs="Times New Roman"/>
                <w:sz w:val="23"/>
                <w:szCs w:val="23"/>
              </w:rPr>
            </w:pPr>
            <w:r w:rsidRPr="00D04028">
              <w:rPr>
                <w:rFonts w:ascii="Times New Roman" w:eastAsia="Times New Roman" w:hAnsi="Times New Roman" w:cs="Times New Roman"/>
                <w:b/>
                <w:sz w:val="23"/>
                <w:szCs w:val="23"/>
              </w:rPr>
              <w:t>Specified Bandwidth</w:t>
            </w:r>
          </w:p>
        </w:tc>
      </w:tr>
      <w:tr w:rsidR="00D04028" w14:paraId="48EC0B5C" w14:textId="77777777" w:rsidTr="000543CA">
        <w:trPr>
          <w:trHeight w:val="329"/>
        </w:trPr>
        <w:tc>
          <w:tcPr>
            <w:tcW w:w="2537" w:type="dxa"/>
            <w:tcBorders>
              <w:top w:val="single" w:sz="7" w:space="0" w:color="000000"/>
              <w:left w:val="single" w:sz="7" w:space="0" w:color="000000"/>
              <w:bottom w:val="single" w:sz="7" w:space="0" w:color="000000"/>
              <w:right w:val="single" w:sz="6" w:space="0" w:color="000000"/>
            </w:tcBorders>
          </w:tcPr>
          <w:p w14:paraId="563A7657" w14:textId="3AD64101" w:rsidR="00D04028" w:rsidRPr="00D04028" w:rsidRDefault="00D04028" w:rsidP="000543CA">
            <w:pPr>
              <w:spacing w:after="0" w:line="259" w:lineRule="auto"/>
              <w:ind w:right="106"/>
              <w:jc w:val="center"/>
              <w:rPr>
                <w:rFonts w:ascii="Times New Roman" w:hAnsi="Times New Roman" w:cs="Times New Roman"/>
                <w:sz w:val="21"/>
                <w:szCs w:val="21"/>
              </w:rPr>
            </w:pPr>
            <w:r w:rsidRPr="00D04028">
              <w:rPr>
                <w:rFonts w:ascii="Times New Roman" w:hAnsi="Times New Roman" w:cs="Times New Roman"/>
                <w:sz w:val="21"/>
                <w:szCs w:val="21"/>
              </w:rPr>
              <w:t xml:space="preserve">0 Hz </w:t>
            </w:r>
            <w:r w:rsidRPr="00D04028">
              <w:rPr>
                <w:rFonts w:ascii="Times New Roman" w:hAnsi="Times New Roman" w:cs="Times New Roman"/>
                <w:sz w:val="21"/>
                <w:szCs w:val="21"/>
                <w:u w:val="single" w:color="000000"/>
              </w:rPr>
              <w:t>&lt;</w:t>
            </w:r>
            <w:r w:rsidRPr="00D04028">
              <w:rPr>
                <w:rFonts w:ascii="Times New Roman" w:hAnsi="Times New Roman" w:cs="Times New Roman"/>
                <w:sz w:val="21"/>
                <w:szCs w:val="21"/>
              </w:rPr>
              <w:t xml:space="preserve"> f</w:t>
            </w:r>
            <w:r w:rsidRPr="00D04028">
              <w:rPr>
                <w:rFonts w:ascii="Times New Roman" w:hAnsi="Times New Roman" w:cs="Times New Roman"/>
                <w:sz w:val="21"/>
                <w:szCs w:val="21"/>
                <w:vertAlign w:val="subscript"/>
              </w:rPr>
              <w:t>offset</w:t>
            </w:r>
            <w:r w:rsidRPr="00D04028">
              <w:rPr>
                <w:rFonts w:ascii="Times New Roman" w:hAnsi="Times New Roman" w:cs="Times New Roman"/>
                <w:sz w:val="21"/>
                <w:szCs w:val="21"/>
              </w:rPr>
              <w:t xml:space="preserve"> &lt; </w:t>
            </w:r>
            <w:r>
              <w:rPr>
                <w:rFonts w:ascii="Times New Roman" w:hAnsi="Times New Roman" w:cs="Times New Roman"/>
                <w:sz w:val="21"/>
                <w:szCs w:val="21"/>
              </w:rPr>
              <w:t>3</w:t>
            </w:r>
            <w:r w:rsidRPr="00D04028">
              <w:rPr>
                <w:rFonts w:ascii="Times New Roman" w:hAnsi="Times New Roman" w:cs="Times New Roman"/>
                <w:sz w:val="21"/>
                <w:szCs w:val="21"/>
              </w:rPr>
              <w:t>00 kHz</w:t>
            </w:r>
          </w:p>
        </w:tc>
        <w:tc>
          <w:tcPr>
            <w:tcW w:w="3969" w:type="dxa"/>
            <w:tcBorders>
              <w:top w:val="single" w:sz="7" w:space="0" w:color="000000"/>
              <w:left w:val="single" w:sz="6" w:space="0" w:color="000000"/>
              <w:bottom w:val="single" w:sz="7" w:space="0" w:color="000000"/>
              <w:right w:val="single" w:sz="6" w:space="0" w:color="000000"/>
            </w:tcBorders>
          </w:tcPr>
          <w:p w14:paraId="1BDAD348" w14:textId="599E3856" w:rsidR="00D04028" w:rsidRPr="00D04028" w:rsidRDefault="00D04028" w:rsidP="000543CA">
            <w:pPr>
              <w:spacing w:after="0" w:line="259" w:lineRule="auto"/>
              <w:ind w:right="69"/>
              <w:jc w:val="center"/>
              <w:rPr>
                <w:rFonts w:ascii="Times New Roman" w:hAnsi="Times New Roman" w:cs="Times New Roman"/>
                <w:sz w:val="21"/>
                <w:szCs w:val="21"/>
              </w:rPr>
            </w:pPr>
            <w:r>
              <w:rPr>
                <w:rFonts w:ascii="Times New Roman" w:hAnsi="Times New Roman" w:cs="Times New Roman"/>
                <w:sz w:val="21"/>
                <w:szCs w:val="21"/>
              </w:rPr>
              <w:t>10</w:t>
            </w:r>
          </w:p>
        </w:tc>
        <w:tc>
          <w:tcPr>
            <w:tcW w:w="1417" w:type="dxa"/>
            <w:tcBorders>
              <w:top w:val="single" w:sz="7" w:space="0" w:color="000000"/>
              <w:left w:val="single" w:sz="6" w:space="0" w:color="000000"/>
              <w:bottom w:val="single" w:sz="7" w:space="0" w:color="000000"/>
              <w:right w:val="single" w:sz="6" w:space="0" w:color="000000"/>
            </w:tcBorders>
          </w:tcPr>
          <w:p w14:paraId="34E8254F" w14:textId="25E4209F" w:rsidR="00D04028" w:rsidRPr="00D04028" w:rsidRDefault="00D04028" w:rsidP="000543CA">
            <w:pPr>
              <w:spacing w:after="0" w:line="259" w:lineRule="auto"/>
              <w:ind w:right="86"/>
              <w:jc w:val="center"/>
              <w:rPr>
                <w:rFonts w:ascii="Times New Roman" w:hAnsi="Times New Roman" w:cs="Times New Roman"/>
                <w:sz w:val="21"/>
                <w:szCs w:val="21"/>
              </w:rPr>
            </w:pPr>
            <w:r w:rsidRPr="00D04028">
              <w:rPr>
                <w:rFonts w:ascii="Times New Roman" w:hAnsi="Times New Roman" w:cs="Times New Roman"/>
                <w:sz w:val="21"/>
                <w:szCs w:val="21"/>
              </w:rPr>
              <w:t>3</w:t>
            </w:r>
            <w:r>
              <w:rPr>
                <w:rFonts w:ascii="Times New Roman" w:hAnsi="Times New Roman" w:cs="Times New Roman"/>
                <w:sz w:val="21"/>
                <w:szCs w:val="21"/>
              </w:rPr>
              <w:t>0</w:t>
            </w:r>
            <w:r w:rsidRPr="00D04028">
              <w:rPr>
                <w:rFonts w:ascii="Times New Roman" w:hAnsi="Times New Roman" w:cs="Times New Roman"/>
                <w:sz w:val="21"/>
                <w:szCs w:val="21"/>
              </w:rPr>
              <w:t>0 kHz</w:t>
            </w:r>
          </w:p>
        </w:tc>
      </w:tr>
    </w:tbl>
    <w:p w14:paraId="380C7A64" w14:textId="77777777" w:rsidR="00FB0E13" w:rsidRPr="00602151" w:rsidRDefault="00FB0E13" w:rsidP="00FB0E13">
      <w:pPr>
        <w:spacing w:after="0"/>
        <w:ind w:right="-551"/>
        <w:rPr>
          <w:rFonts w:ascii="Times New Roman" w:hAnsi="Times New Roman"/>
          <w:sz w:val="21"/>
          <w:szCs w:val="21"/>
        </w:rPr>
      </w:pPr>
    </w:p>
    <w:p w14:paraId="51C01549" w14:textId="77777777" w:rsidR="00FB0E13" w:rsidRPr="00602151" w:rsidRDefault="00FB0E13" w:rsidP="00FB0E13">
      <w:pPr>
        <w:pStyle w:val="BodyText"/>
        <w:numPr>
          <w:ilvl w:val="0"/>
          <w:numId w:val="27"/>
        </w:numPr>
        <w:tabs>
          <w:tab w:val="left" w:pos="531"/>
        </w:tabs>
        <w:ind w:right="-551"/>
        <w:jc w:val="left"/>
        <w:rPr>
          <w:lang w:val="en-AU"/>
        </w:rPr>
      </w:pPr>
      <w:r w:rsidRPr="00602151">
        <w:rPr>
          <w:lang w:val="en-AU"/>
        </w:rPr>
        <w:t>The</w:t>
      </w:r>
      <w:r w:rsidRPr="00602151">
        <w:rPr>
          <w:spacing w:val="4"/>
          <w:lang w:val="en-AU"/>
        </w:rPr>
        <w:t xml:space="preserve"> </w:t>
      </w:r>
      <w:r w:rsidRPr="00602151">
        <w:rPr>
          <w:lang w:val="en-AU"/>
        </w:rPr>
        <w:t>non</w:t>
      </w:r>
      <w:r w:rsidRPr="00602151">
        <w:rPr>
          <w:spacing w:val="5"/>
          <w:lang w:val="en-AU"/>
        </w:rPr>
        <w:t xml:space="preserve"> </w:t>
      </w:r>
      <w:r w:rsidRPr="00602151">
        <w:rPr>
          <w:spacing w:val="-1"/>
          <w:lang w:val="en-AU"/>
        </w:rPr>
        <w:t>spurious</w:t>
      </w:r>
      <w:r w:rsidRPr="00602151">
        <w:rPr>
          <w:spacing w:val="6"/>
          <w:lang w:val="en-AU"/>
        </w:rPr>
        <w:t xml:space="preserve"> </w:t>
      </w:r>
      <w:r w:rsidRPr="00602151">
        <w:rPr>
          <w:lang w:val="en-AU"/>
        </w:rPr>
        <w:t>emission</w:t>
      </w:r>
      <w:r w:rsidRPr="00602151">
        <w:rPr>
          <w:spacing w:val="5"/>
          <w:lang w:val="en-AU"/>
        </w:rPr>
        <w:t xml:space="preserve"> </w:t>
      </w:r>
      <w:r w:rsidRPr="00602151">
        <w:rPr>
          <w:lang w:val="en-AU"/>
        </w:rPr>
        <w:t>limits</w:t>
      </w:r>
      <w:r w:rsidRPr="00602151">
        <w:rPr>
          <w:spacing w:val="5"/>
          <w:lang w:val="en-AU"/>
        </w:rPr>
        <w:t xml:space="preserve"> </w:t>
      </w:r>
      <w:r w:rsidRPr="00602151">
        <w:rPr>
          <w:lang w:val="en-AU"/>
        </w:rPr>
        <w:t>in</w:t>
      </w:r>
      <w:r w:rsidRPr="00602151">
        <w:rPr>
          <w:spacing w:val="4"/>
          <w:lang w:val="en-AU"/>
        </w:rPr>
        <w:t xml:space="preserve"> </w:t>
      </w:r>
      <w:r w:rsidRPr="00602151">
        <w:rPr>
          <w:lang w:val="en-AU"/>
        </w:rPr>
        <w:t>Table</w:t>
      </w:r>
      <w:r w:rsidRPr="00602151">
        <w:rPr>
          <w:spacing w:val="5"/>
          <w:lang w:val="en-AU"/>
        </w:rPr>
        <w:t xml:space="preserve"> </w:t>
      </w:r>
      <w:r w:rsidRPr="00602151">
        <w:rPr>
          <w:lang w:val="en-AU"/>
        </w:rPr>
        <w:t>5</w:t>
      </w:r>
      <w:r w:rsidRPr="00602151">
        <w:rPr>
          <w:spacing w:val="5"/>
          <w:lang w:val="en-AU"/>
        </w:rPr>
        <w:t xml:space="preserve"> </w:t>
      </w:r>
      <w:r w:rsidRPr="00602151">
        <w:rPr>
          <w:lang w:val="en-AU"/>
        </w:rPr>
        <w:t>apply:</w:t>
      </w:r>
    </w:p>
    <w:p w14:paraId="50FD6BE2" w14:textId="77777777" w:rsidR="00FB0E13" w:rsidRPr="00602151" w:rsidRDefault="00FB0E13" w:rsidP="00FB0E13">
      <w:pPr>
        <w:spacing w:after="0"/>
        <w:ind w:right="-551"/>
        <w:rPr>
          <w:rFonts w:ascii="Times New Roman" w:hAnsi="Times New Roman"/>
          <w:sz w:val="28"/>
          <w:szCs w:val="28"/>
        </w:rPr>
      </w:pPr>
    </w:p>
    <w:p w14:paraId="2986CD33" w14:textId="59967027" w:rsidR="004901BA" w:rsidRPr="004901BA" w:rsidRDefault="00D04028" w:rsidP="004901BA">
      <w:pPr>
        <w:pStyle w:val="ListParagraph"/>
        <w:numPr>
          <w:ilvl w:val="1"/>
          <w:numId w:val="27"/>
        </w:numPr>
        <w:rPr>
          <w:rFonts w:ascii="TimesNewRoman" w:hAnsi="TimesNewRoman" w:cs="TimesNewRoman"/>
          <w:sz w:val="21"/>
          <w:szCs w:val="21"/>
        </w:rPr>
      </w:pPr>
      <w:r w:rsidRPr="004901BA">
        <w:rPr>
          <w:rFonts w:ascii="TimesNewRoman" w:hAnsi="TimesNewRoman" w:cs="TimesNewRoman"/>
          <w:sz w:val="21"/>
          <w:szCs w:val="21"/>
        </w:rPr>
        <w:t xml:space="preserve">at </w:t>
      </w:r>
      <w:r w:rsidR="004901BA" w:rsidRPr="004901BA">
        <w:rPr>
          <w:rFonts w:ascii="TimesNewRoman" w:hAnsi="TimesNewRoman" w:cs="TimesNewRoman"/>
          <w:sz w:val="21"/>
          <w:szCs w:val="21"/>
        </w:rPr>
        <w:t>frequencies outside the upper or lower frequency limits as set out in Part 2 of Licence Schedule 1; and</w:t>
      </w:r>
    </w:p>
    <w:p w14:paraId="576DE787" w14:textId="6896486B" w:rsidR="004901BA" w:rsidRPr="004901BA" w:rsidRDefault="004901BA" w:rsidP="004901BA">
      <w:pPr>
        <w:pStyle w:val="ListParagraph"/>
        <w:numPr>
          <w:ilvl w:val="1"/>
          <w:numId w:val="27"/>
        </w:numPr>
        <w:rPr>
          <w:rFonts w:ascii="TimesNewRoman" w:hAnsi="TimesNewRoman" w:cs="TimesNewRoman"/>
          <w:sz w:val="21"/>
          <w:szCs w:val="21"/>
        </w:rPr>
      </w:pPr>
      <w:r w:rsidRPr="004901BA">
        <w:rPr>
          <w:rFonts w:ascii="TimesNewRoman" w:hAnsi="TimesNewRoman" w:cs="TimesNewRoman"/>
          <w:sz w:val="21"/>
          <w:szCs w:val="21"/>
        </w:rPr>
        <w:t>offset from the upper or lower frequency limits set out in Part 2 of Licence</w:t>
      </w:r>
      <w:r>
        <w:rPr>
          <w:rFonts w:ascii="TimesNewRoman" w:hAnsi="TimesNewRoman" w:cs="TimesNewRoman"/>
          <w:sz w:val="21"/>
          <w:szCs w:val="21"/>
        </w:rPr>
        <w:t xml:space="preserve"> </w:t>
      </w:r>
      <w:r w:rsidRPr="004901BA">
        <w:rPr>
          <w:rFonts w:ascii="TimesNewRoman" w:hAnsi="TimesNewRoman" w:cs="TimesNewRoman"/>
          <w:sz w:val="21"/>
          <w:szCs w:val="21"/>
        </w:rPr>
        <w:t>Schedule 1;</w:t>
      </w:r>
    </w:p>
    <w:p w14:paraId="4AEA65D1" w14:textId="77777777" w:rsidR="00FB0E13" w:rsidRPr="00602151" w:rsidRDefault="00FB0E13" w:rsidP="00FB0E13">
      <w:pPr>
        <w:pStyle w:val="BodyText"/>
        <w:ind w:left="530" w:right="-551" w:firstLine="0"/>
        <w:rPr>
          <w:lang w:val="en-AU"/>
        </w:rPr>
      </w:pPr>
      <w:r w:rsidRPr="00602151">
        <w:rPr>
          <w:spacing w:val="-1"/>
          <w:lang w:val="en-AU"/>
        </w:rPr>
        <w:t>where:</w:t>
      </w:r>
    </w:p>
    <w:p w14:paraId="5E70EF33" w14:textId="46B314B7" w:rsidR="00FB0E13" w:rsidRPr="00602151" w:rsidRDefault="00FB0E13" w:rsidP="00D04028">
      <w:pPr>
        <w:autoSpaceDE w:val="0"/>
        <w:autoSpaceDN w:val="0"/>
        <w:adjustRightInd w:val="0"/>
        <w:spacing w:after="0" w:line="240" w:lineRule="auto"/>
        <w:ind w:left="568" w:right="-551" w:firstLine="17"/>
        <w:rPr>
          <w:rFonts w:ascii="Times New Roman" w:hAnsi="Times New Roman"/>
          <w:b/>
          <w:bCs/>
          <w:sz w:val="19"/>
          <w:szCs w:val="19"/>
        </w:rPr>
      </w:pPr>
      <w:r w:rsidRPr="00602151">
        <w:rPr>
          <w:rFonts w:ascii="TimesNewRoman,Bold" w:hAnsi="TimesNewRoman,Bold" w:cs="TimesNewRoman,Bold"/>
          <w:b/>
          <w:bCs/>
          <w:sz w:val="21"/>
          <w:szCs w:val="21"/>
        </w:rPr>
        <w:t>f</w:t>
      </w:r>
      <w:r w:rsidRPr="00602151">
        <w:rPr>
          <w:rFonts w:ascii="TimesNewRoman,Bold" w:hAnsi="TimesNewRoman,Bold" w:cs="TimesNewRoman,Bold"/>
          <w:b/>
          <w:bCs/>
          <w:sz w:val="14"/>
          <w:szCs w:val="14"/>
        </w:rPr>
        <w:t>offset</w:t>
      </w:r>
      <w:r w:rsidR="00D04028">
        <w:rPr>
          <w:rFonts w:ascii="TimesNewRoman,Bold" w:hAnsi="TimesNewRoman,Bold" w:cs="TimesNewRoman,Bold"/>
          <w:b/>
          <w:bCs/>
          <w:sz w:val="14"/>
          <w:szCs w:val="14"/>
        </w:rPr>
        <w:t>:</w:t>
      </w:r>
      <w:r w:rsidRPr="00602151">
        <w:rPr>
          <w:rFonts w:ascii="TimesNewRoman,Bold" w:hAnsi="TimesNewRoman,Bold" w:cs="TimesNewRoman,Bold"/>
          <w:b/>
          <w:bCs/>
          <w:sz w:val="14"/>
          <w:szCs w:val="14"/>
        </w:rPr>
        <w:t xml:space="preserve"> </w:t>
      </w:r>
      <w:r w:rsidR="00D04028" w:rsidRPr="00D04028">
        <w:rPr>
          <w:rFonts w:ascii="TimesNewRoman" w:hAnsi="TimesNewRoman" w:cs="TimesNewRoman"/>
          <w:sz w:val="21"/>
          <w:szCs w:val="21"/>
        </w:rPr>
        <w:t>is the frequency offset from the upper or lower frequency limits set out in Part 2 of Licence Schedule 1. The -3dB point of the specified bandwidth closest to the band edge being frequency offset from, is placed at</w:t>
      </w:r>
      <w:r w:rsidRPr="00602151">
        <w:rPr>
          <w:rFonts w:ascii="TimesNewRoman" w:hAnsi="TimesNewRoman" w:cs="TimesNewRoman"/>
          <w:sz w:val="21"/>
          <w:szCs w:val="21"/>
        </w:rPr>
        <w:t xml:space="preserve"> </w:t>
      </w:r>
      <w:r w:rsidRPr="00602151">
        <w:rPr>
          <w:rFonts w:ascii="TimesNewRoman,Bold" w:hAnsi="TimesNewRoman,Bold" w:cs="TimesNewRoman,Bold"/>
          <w:b/>
          <w:bCs/>
          <w:sz w:val="21"/>
          <w:szCs w:val="21"/>
        </w:rPr>
        <w:t>f</w:t>
      </w:r>
      <w:r w:rsidRPr="00602151">
        <w:rPr>
          <w:rFonts w:ascii="TimesNewRoman,Bold" w:hAnsi="TimesNewRoman,Bold" w:cs="TimesNewRoman,Bold"/>
          <w:b/>
          <w:bCs/>
          <w:sz w:val="14"/>
          <w:szCs w:val="14"/>
        </w:rPr>
        <w:t>offset.</w:t>
      </w:r>
    </w:p>
    <w:p w14:paraId="2D956A9E" w14:textId="77777777" w:rsidR="00FB0E13" w:rsidRPr="00602151" w:rsidRDefault="00FB0E13" w:rsidP="00FB0E13">
      <w:pPr>
        <w:spacing w:after="0"/>
        <w:ind w:right="-551"/>
        <w:rPr>
          <w:rFonts w:ascii="Times New Roman" w:hAnsi="Times New Roman"/>
          <w:b/>
          <w:bCs/>
          <w:szCs w:val="20"/>
        </w:rPr>
      </w:pPr>
    </w:p>
    <w:p w14:paraId="0EC3522B" w14:textId="295C2160" w:rsidR="00FB0E13" w:rsidRPr="00602151" w:rsidRDefault="00FB0E13" w:rsidP="00CB7345">
      <w:pPr>
        <w:pStyle w:val="BodyText"/>
        <w:spacing w:before="240" w:after="120" w:line="285" w:lineRule="auto"/>
        <w:ind w:left="0" w:right="-551" w:firstLine="0"/>
        <w:jc w:val="center"/>
        <w:rPr>
          <w:b/>
          <w:bCs/>
          <w:lang w:val="en-AU"/>
        </w:rPr>
      </w:pPr>
      <w:r w:rsidRPr="00602151">
        <w:rPr>
          <w:b/>
          <w:bCs/>
          <w:lang w:val="en-AU"/>
        </w:rPr>
        <w:t>Table 5: Radiated maximum true mean power non-spurious emission limits</w:t>
      </w:r>
    </w:p>
    <w:tbl>
      <w:tblPr>
        <w:tblW w:w="7800" w:type="dxa"/>
        <w:tblInd w:w="170" w:type="dxa"/>
        <w:tblLayout w:type="fixed"/>
        <w:tblCellMar>
          <w:left w:w="0" w:type="dxa"/>
          <w:right w:w="0" w:type="dxa"/>
        </w:tblCellMar>
        <w:tblLook w:val="01E0" w:firstRow="1" w:lastRow="1" w:firstColumn="1" w:lastColumn="1" w:noHBand="0" w:noVBand="0"/>
      </w:tblPr>
      <w:tblGrid>
        <w:gridCol w:w="3391"/>
        <w:gridCol w:w="2952"/>
        <w:gridCol w:w="1457"/>
      </w:tblGrid>
      <w:tr w:rsidR="00FB0E13" w:rsidRPr="00602151" w14:paraId="37EE7F34" w14:textId="77777777" w:rsidTr="00D04028">
        <w:trPr>
          <w:trHeight w:hRule="exact" w:val="663"/>
        </w:trPr>
        <w:tc>
          <w:tcPr>
            <w:tcW w:w="3391" w:type="dxa"/>
            <w:tcBorders>
              <w:top w:val="single" w:sz="6" w:space="0" w:color="000000"/>
              <w:left w:val="single" w:sz="6" w:space="0" w:color="000000"/>
              <w:bottom w:val="single" w:sz="6" w:space="0" w:color="000000"/>
              <w:right w:val="single" w:sz="6" w:space="0" w:color="000000"/>
            </w:tcBorders>
          </w:tcPr>
          <w:p w14:paraId="3198D6C5" w14:textId="77777777" w:rsidR="00FB0E13" w:rsidRPr="00602151" w:rsidRDefault="00FB0E13" w:rsidP="00CB7345">
            <w:pPr>
              <w:pStyle w:val="TableParagraph"/>
              <w:jc w:val="center"/>
              <w:rPr>
                <w:rFonts w:ascii="Times New Roman" w:eastAsia="Times New Roman" w:hAnsi="Times New Roman" w:cs="Times New Roman"/>
                <w:sz w:val="23"/>
                <w:szCs w:val="23"/>
                <w:lang w:val="en-AU"/>
              </w:rPr>
            </w:pPr>
            <w:r w:rsidRPr="00602151">
              <w:rPr>
                <w:rFonts w:ascii="Times New Roman"/>
                <w:b/>
                <w:spacing w:val="-5"/>
                <w:sz w:val="23"/>
                <w:lang w:val="en-AU"/>
              </w:rPr>
              <w:t>Frequency</w:t>
            </w:r>
            <w:r w:rsidRPr="00602151">
              <w:rPr>
                <w:rFonts w:ascii="Times New Roman"/>
                <w:b/>
                <w:spacing w:val="25"/>
                <w:sz w:val="23"/>
                <w:lang w:val="en-AU"/>
              </w:rPr>
              <w:t xml:space="preserve"> </w:t>
            </w:r>
            <w:r w:rsidRPr="00602151">
              <w:rPr>
                <w:rFonts w:ascii="Times New Roman"/>
                <w:b/>
                <w:sz w:val="23"/>
                <w:lang w:val="en-AU"/>
              </w:rPr>
              <w:t>offset</w:t>
            </w:r>
            <w:r w:rsidRPr="00602151">
              <w:rPr>
                <w:rFonts w:ascii="Times New Roman"/>
                <w:b/>
                <w:spacing w:val="25"/>
                <w:sz w:val="23"/>
                <w:lang w:val="en-AU"/>
              </w:rPr>
              <w:t xml:space="preserve"> </w:t>
            </w:r>
            <w:r w:rsidRPr="00602151">
              <w:rPr>
                <w:rFonts w:ascii="Times New Roman"/>
                <w:b/>
                <w:spacing w:val="-5"/>
                <w:sz w:val="23"/>
                <w:lang w:val="en-AU"/>
              </w:rPr>
              <w:t>range</w:t>
            </w:r>
          </w:p>
          <w:p w14:paraId="4F7411CA" w14:textId="77777777" w:rsidR="00FB0E13" w:rsidRPr="00602151" w:rsidRDefault="00FB0E13" w:rsidP="00CB7345">
            <w:pPr>
              <w:pStyle w:val="TableParagraph"/>
              <w:jc w:val="center"/>
              <w:rPr>
                <w:rFonts w:ascii="Times New Roman" w:eastAsia="Times New Roman" w:hAnsi="Times New Roman" w:cs="Times New Roman"/>
                <w:sz w:val="23"/>
                <w:szCs w:val="23"/>
                <w:lang w:val="en-AU"/>
              </w:rPr>
            </w:pPr>
            <w:r w:rsidRPr="00602151">
              <w:rPr>
                <w:rFonts w:ascii="Times New Roman"/>
                <w:b/>
                <w:position w:val="5"/>
                <w:sz w:val="23"/>
                <w:lang w:val="en-AU"/>
              </w:rPr>
              <w:t>(f</w:t>
            </w:r>
            <w:r w:rsidRPr="00602151">
              <w:rPr>
                <w:rFonts w:ascii="Times New Roman"/>
                <w:b/>
                <w:sz w:val="15"/>
                <w:lang w:val="en-AU"/>
              </w:rPr>
              <w:t>offset</w:t>
            </w:r>
            <w:r w:rsidRPr="00602151">
              <w:rPr>
                <w:rFonts w:ascii="Times New Roman"/>
                <w:b/>
                <w:position w:val="5"/>
                <w:sz w:val="23"/>
                <w:lang w:val="en-AU"/>
              </w:rPr>
              <w:t>)</w:t>
            </w:r>
          </w:p>
        </w:tc>
        <w:tc>
          <w:tcPr>
            <w:tcW w:w="2952" w:type="dxa"/>
            <w:tcBorders>
              <w:top w:val="single" w:sz="6" w:space="0" w:color="000000"/>
              <w:left w:val="single" w:sz="6" w:space="0" w:color="000000"/>
              <w:bottom w:val="single" w:sz="6" w:space="0" w:color="000000"/>
              <w:right w:val="single" w:sz="6" w:space="0" w:color="000000"/>
            </w:tcBorders>
          </w:tcPr>
          <w:p w14:paraId="63E08C00" w14:textId="77777777" w:rsidR="00CB7345" w:rsidRPr="00602151" w:rsidRDefault="00FB0E13" w:rsidP="00CB7345">
            <w:pPr>
              <w:pStyle w:val="TableParagraph"/>
              <w:spacing w:line="278" w:lineRule="auto"/>
              <w:ind w:left="1225" w:hanging="1225"/>
              <w:jc w:val="center"/>
              <w:rPr>
                <w:rFonts w:ascii="Times New Roman"/>
                <w:b/>
                <w:spacing w:val="6"/>
                <w:sz w:val="23"/>
                <w:lang w:val="en-AU"/>
              </w:rPr>
            </w:pPr>
            <w:r w:rsidRPr="00602151">
              <w:rPr>
                <w:rFonts w:ascii="Times New Roman"/>
                <w:b/>
                <w:spacing w:val="-2"/>
                <w:sz w:val="23"/>
                <w:lang w:val="en-AU"/>
              </w:rPr>
              <w:t>Radiated</w:t>
            </w:r>
            <w:r w:rsidRPr="00602151">
              <w:rPr>
                <w:rFonts w:ascii="Times New Roman"/>
                <w:b/>
                <w:spacing w:val="5"/>
                <w:sz w:val="23"/>
                <w:lang w:val="en-AU"/>
              </w:rPr>
              <w:t xml:space="preserve"> </w:t>
            </w:r>
            <w:r w:rsidRPr="00602151">
              <w:rPr>
                <w:rFonts w:ascii="Times New Roman"/>
                <w:b/>
                <w:spacing w:val="-11"/>
                <w:sz w:val="23"/>
                <w:lang w:val="en-AU"/>
              </w:rPr>
              <w:t xml:space="preserve">maximum </w:t>
            </w:r>
            <w:r w:rsidRPr="00602151">
              <w:rPr>
                <w:rFonts w:ascii="Times New Roman"/>
                <w:b/>
                <w:spacing w:val="-6"/>
                <w:sz w:val="23"/>
                <w:lang w:val="en-AU"/>
              </w:rPr>
              <w:t>true</w:t>
            </w:r>
            <w:r w:rsidRPr="00602151">
              <w:rPr>
                <w:rFonts w:ascii="Times New Roman"/>
                <w:b/>
                <w:spacing w:val="37"/>
                <w:sz w:val="23"/>
                <w:lang w:val="en-AU"/>
              </w:rPr>
              <w:t xml:space="preserve"> </w:t>
            </w:r>
            <w:r w:rsidRPr="00602151">
              <w:rPr>
                <w:rFonts w:ascii="Times New Roman"/>
                <w:b/>
                <w:spacing w:val="-4"/>
                <w:sz w:val="23"/>
                <w:lang w:val="en-AU"/>
              </w:rPr>
              <w:t>mean</w:t>
            </w:r>
            <w:r w:rsidRPr="00602151">
              <w:rPr>
                <w:rFonts w:ascii="Times New Roman"/>
                <w:b/>
                <w:spacing w:val="6"/>
                <w:sz w:val="23"/>
                <w:lang w:val="en-AU"/>
              </w:rPr>
              <w:t xml:space="preserve"> </w:t>
            </w:r>
          </w:p>
          <w:p w14:paraId="32DB6480" w14:textId="1C076CAB" w:rsidR="00FB0E13" w:rsidRPr="00602151" w:rsidRDefault="00FB0E13" w:rsidP="00CB7345">
            <w:pPr>
              <w:pStyle w:val="TableParagraph"/>
              <w:spacing w:line="278" w:lineRule="auto"/>
              <w:ind w:left="1225" w:hanging="1225"/>
              <w:jc w:val="center"/>
              <w:rPr>
                <w:rFonts w:ascii="Times New Roman" w:eastAsia="Times New Roman" w:hAnsi="Times New Roman" w:cs="Times New Roman"/>
                <w:sz w:val="23"/>
                <w:szCs w:val="23"/>
                <w:lang w:val="en-AU"/>
              </w:rPr>
            </w:pPr>
            <w:r w:rsidRPr="00602151">
              <w:rPr>
                <w:rFonts w:ascii="Times New Roman"/>
                <w:b/>
                <w:spacing w:val="-1"/>
                <w:sz w:val="23"/>
                <w:lang w:val="en-AU"/>
              </w:rPr>
              <w:t>power</w:t>
            </w:r>
            <w:r w:rsidRPr="00602151">
              <w:rPr>
                <w:rFonts w:ascii="Times New Roman"/>
                <w:b/>
                <w:spacing w:val="27"/>
                <w:w w:val="102"/>
                <w:sz w:val="23"/>
                <w:lang w:val="en-AU"/>
              </w:rPr>
              <w:t xml:space="preserve"> </w:t>
            </w:r>
            <w:r w:rsidRPr="00602151">
              <w:rPr>
                <w:rFonts w:ascii="Times New Roman"/>
                <w:b/>
                <w:spacing w:val="-3"/>
                <w:sz w:val="23"/>
                <w:lang w:val="en-AU"/>
              </w:rPr>
              <w:t>(dBm</w:t>
            </w:r>
            <w:r w:rsidRPr="00602151">
              <w:rPr>
                <w:rFonts w:ascii="Times New Roman"/>
                <w:b/>
                <w:sz w:val="23"/>
                <w:lang w:val="en-AU"/>
              </w:rPr>
              <w:t xml:space="preserve"> </w:t>
            </w:r>
            <w:r w:rsidRPr="00602151">
              <w:rPr>
                <w:rFonts w:ascii="Times New Roman"/>
                <w:b/>
                <w:spacing w:val="-3"/>
                <w:sz w:val="23"/>
                <w:lang w:val="en-AU"/>
              </w:rPr>
              <w:t>EIRP)</w:t>
            </w:r>
          </w:p>
        </w:tc>
        <w:tc>
          <w:tcPr>
            <w:tcW w:w="1457" w:type="dxa"/>
            <w:tcBorders>
              <w:top w:val="single" w:sz="6" w:space="0" w:color="000000"/>
              <w:left w:val="single" w:sz="6" w:space="0" w:color="000000"/>
              <w:bottom w:val="single" w:sz="6" w:space="0" w:color="000000"/>
              <w:right w:val="single" w:sz="6" w:space="0" w:color="000000"/>
            </w:tcBorders>
          </w:tcPr>
          <w:p w14:paraId="25AB4E7B" w14:textId="77777777" w:rsidR="00FB0E13" w:rsidRPr="00602151" w:rsidRDefault="00FB0E13" w:rsidP="00FB0E13">
            <w:pPr>
              <w:pStyle w:val="TableParagraph"/>
              <w:spacing w:line="279" w:lineRule="auto"/>
              <w:ind w:left="184" w:right="-551" w:firstLine="82"/>
              <w:rPr>
                <w:rFonts w:ascii="Times New Roman" w:eastAsia="Times New Roman" w:hAnsi="Times New Roman" w:cs="Times New Roman"/>
                <w:sz w:val="23"/>
                <w:szCs w:val="23"/>
                <w:lang w:val="en-AU"/>
              </w:rPr>
            </w:pPr>
            <w:r w:rsidRPr="00602151">
              <w:rPr>
                <w:rFonts w:ascii="Times New Roman"/>
                <w:b/>
                <w:spacing w:val="-2"/>
                <w:sz w:val="23"/>
                <w:lang w:val="en-AU"/>
              </w:rPr>
              <w:t>Specified</w:t>
            </w:r>
            <w:r w:rsidRPr="00602151">
              <w:rPr>
                <w:rFonts w:ascii="Times New Roman"/>
                <w:b/>
                <w:spacing w:val="23"/>
                <w:w w:val="102"/>
                <w:sz w:val="23"/>
                <w:lang w:val="en-AU"/>
              </w:rPr>
              <w:t xml:space="preserve"> </w:t>
            </w:r>
            <w:r w:rsidRPr="00602151">
              <w:rPr>
                <w:rFonts w:ascii="Times New Roman"/>
                <w:b/>
                <w:spacing w:val="-6"/>
                <w:sz w:val="23"/>
                <w:lang w:val="en-AU"/>
              </w:rPr>
              <w:t>Bandwidth</w:t>
            </w:r>
          </w:p>
        </w:tc>
      </w:tr>
      <w:tr w:rsidR="00D04028" w:rsidRPr="00602151" w14:paraId="1D0BFBDC" w14:textId="77777777" w:rsidTr="00D04028">
        <w:trPr>
          <w:trHeight w:hRule="exact" w:val="320"/>
        </w:trPr>
        <w:tc>
          <w:tcPr>
            <w:tcW w:w="3391" w:type="dxa"/>
            <w:tcBorders>
              <w:top w:val="single" w:sz="6" w:space="0" w:color="000000"/>
              <w:left w:val="single" w:sz="6" w:space="0" w:color="000000"/>
              <w:bottom w:val="single" w:sz="6" w:space="0" w:color="000000"/>
              <w:right w:val="single" w:sz="6" w:space="0" w:color="000000"/>
            </w:tcBorders>
          </w:tcPr>
          <w:p w14:paraId="5392C269" w14:textId="6CBA4D10" w:rsidR="00D04028" w:rsidRPr="00602151" w:rsidRDefault="00D04028" w:rsidP="00D04028">
            <w:pPr>
              <w:pStyle w:val="TableParagraph"/>
              <w:jc w:val="center"/>
              <w:rPr>
                <w:rFonts w:ascii="Times New Roman" w:eastAsia="Times New Roman" w:hAnsi="Times New Roman" w:cs="Times New Roman"/>
                <w:sz w:val="21"/>
                <w:szCs w:val="21"/>
                <w:lang w:val="en-AU"/>
              </w:rPr>
            </w:pPr>
            <w:r w:rsidRPr="00602151">
              <w:rPr>
                <w:rFonts w:ascii="Times New Roman"/>
                <w:sz w:val="21"/>
                <w:lang w:val="en-AU"/>
              </w:rPr>
              <w:t>0 kHz</w:t>
            </w:r>
            <w:r w:rsidRPr="00602151">
              <w:rPr>
                <w:rFonts w:ascii="Times New Roman"/>
                <w:spacing w:val="13"/>
                <w:sz w:val="21"/>
                <w:lang w:val="en-AU"/>
              </w:rPr>
              <w:t xml:space="preserve"> </w:t>
            </w:r>
            <w:r w:rsidRPr="00602151">
              <w:rPr>
                <w:rFonts w:ascii="Times New Roman"/>
                <w:sz w:val="21"/>
                <w:u w:val="single" w:color="000000"/>
                <w:lang w:val="en-AU"/>
              </w:rPr>
              <w:t>&lt;</w:t>
            </w:r>
            <w:r w:rsidRPr="00602151">
              <w:rPr>
                <w:rFonts w:ascii="Times New Roman"/>
                <w:spacing w:val="11"/>
                <w:sz w:val="21"/>
                <w:u w:val="single" w:color="000000"/>
                <w:lang w:val="en-AU"/>
              </w:rPr>
              <w:t xml:space="preserve"> </w:t>
            </w:r>
            <w:r w:rsidRPr="00602151">
              <w:rPr>
                <w:rFonts w:ascii="Times New Roman"/>
                <w:sz w:val="21"/>
                <w:lang w:val="en-AU"/>
              </w:rPr>
              <w:t>f</w:t>
            </w:r>
            <w:r w:rsidRPr="00602151">
              <w:rPr>
                <w:rFonts w:ascii="Times New Roman"/>
                <w:position w:val="-1"/>
                <w:sz w:val="14"/>
                <w:lang w:val="en-AU"/>
              </w:rPr>
              <w:t>offset</w:t>
            </w:r>
            <w:r w:rsidRPr="00602151">
              <w:rPr>
                <w:rFonts w:ascii="Times New Roman"/>
                <w:spacing w:val="27"/>
                <w:position w:val="-1"/>
                <w:sz w:val="14"/>
                <w:lang w:val="en-AU"/>
              </w:rPr>
              <w:t xml:space="preserve"> </w:t>
            </w:r>
            <w:r w:rsidRPr="00602151">
              <w:rPr>
                <w:rFonts w:ascii="Times New Roman"/>
                <w:sz w:val="21"/>
                <w:lang w:val="en-AU"/>
              </w:rPr>
              <w:t>&lt;</w:t>
            </w:r>
            <w:r w:rsidRPr="00602151">
              <w:rPr>
                <w:rFonts w:ascii="Times New Roman"/>
                <w:spacing w:val="1"/>
                <w:sz w:val="21"/>
                <w:lang w:val="en-AU"/>
              </w:rPr>
              <w:t xml:space="preserve"> </w:t>
            </w:r>
            <w:r w:rsidRPr="00602151">
              <w:rPr>
                <w:rFonts w:ascii="Times New Roman"/>
                <w:sz w:val="21"/>
                <w:lang w:val="en-AU"/>
              </w:rPr>
              <w:t xml:space="preserve">200 </w:t>
            </w:r>
            <w:r>
              <w:rPr>
                <w:rFonts w:ascii="Times New Roman"/>
                <w:sz w:val="21"/>
                <w:lang w:val="en-AU"/>
              </w:rPr>
              <w:t>k</w:t>
            </w:r>
            <w:r w:rsidRPr="00602151">
              <w:rPr>
                <w:rFonts w:ascii="Times New Roman"/>
                <w:sz w:val="21"/>
                <w:lang w:val="en-AU"/>
              </w:rPr>
              <w:t>Hz</w:t>
            </w:r>
          </w:p>
        </w:tc>
        <w:tc>
          <w:tcPr>
            <w:tcW w:w="2952" w:type="dxa"/>
            <w:tcBorders>
              <w:top w:val="single" w:sz="6" w:space="0" w:color="000000"/>
              <w:left w:val="single" w:sz="6" w:space="0" w:color="000000"/>
              <w:bottom w:val="single" w:sz="6" w:space="0" w:color="000000"/>
              <w:right w:val="single" w:sz="6" w:space="0" w:color="000000"/>
            </w:tcBorders>
          </w:tcPr>
          <w:p w14:paraId="40390BCA" w14:textId="55B03FA9" w:rsidR="00D04028" w:rsidRPr="00602151" w:rsidRDefault="00D04028" w:rsidP="00D04028">
            <w:pPr>
              <w:pStyle w:val="TableParagraph"/>
              <w:jc w:val="center"/>
              <w:rPr>
                <w:rFonts w:ascii="Times New Roman" w:eastAsia="Times New Roman" w:hAnsi="Times New Roman" w:cs="Times New Roman"/>
                <w:sz w:val="21"/>
                <w:szCs w:val="21"/>
                <w:lang w:val="en-AU"/>
              </w:rPr>
            </w:pPr>
            <w:r>
              <w:rPr>
                <w:rFonts w:ascii="TimesNewRoman" w:hAnsi="TimesNewRoman" w:cs="TimesNewRoman"/>
                <w:sz w:val="21"/>
                <w:szCs w:val="21"/>
                <w:lang w:val="en-AU"/>
              </w:rPr>
              <w:t>21.5</w:t>
            </w:r>
          </w:p>
        </w:tc>
        <w:tc>
          <w:tcPr>
            <w:tcW w:w="1457" w:type="dxa"/>
            <w:tcBorders>
              <w:top w:val="single" w:sz="6" w:space="0" w:color="000000"/>
              <w:left w:val="single" w:sz="6" w:space="0" w:color="000000"/>
              <w:bottom w:val="single" w:sz="6" w:space="0" w:color="000000"/>
              <w:right w:val="single" w:sz="6" w:space="0" w:color="000000"/>
            </w:tcBorders>
          </w:tcPr>
          <w:p w14:paraId="67860F75" w14:textId="4B5804D7" w:rsidR="00D04028" w:rsidRPr="00602151" w:rsidRDefault="00D04028" w:rsidP="00D04028">
            <w:pPr>
              <w:pStyle w:val="TableParagraph"/>
              <w:ind w:left="384" w:right="-551"/>
              <w:rPr>
                <w:rFonts w:ascii="Times New Roman" w:eastAsia="Times New Roman" w:hAnsi="Times New Roman" w:cs="Times New Roman"/>
                <w:sz w:val="21"/>
                <w:szCs w:val="21"/>
                <w:lang w:val="en-AU"/>
              </w:rPr>
            </w:pPr>
            <w:r w:rsidRPr="00602151">
              <w:rPr>
                <w:rFonts w:ascii="Times New Roman"/>
                <w:sz w:val="21"/>
                <w:lang w:val="en-AU"/>
              </w:rPr>
              <w:t>30</w:t>
            </w:r>
            <w:r w:rsidRPr="00602151">
              <w:rPr>
                <w:rFonts w:ascii="Times New Roman"/>
                <w:spacing w:val="6"/>
                <w:sz w:val="21"/>
                <w:lang w:val="en-AU"/>
              </w:rPr>
              <w:t xml:space="preserve"> </w:t>
            </w:r>
            <w:r w:rsidRPr="00602151">
              <w:rPr>
                <w:rFonts w:ascii="Times New Roman"/>
                <w:spacing w:val="-1"/>
                <w:sz w:val="21"/>
                <w:lang w:val="en-AU"/>
              </w:rPr>
              <w:t>kHz</w:t>
            </w:r>
          </w:p>
        </w:tc>
      </w:tr>
      <w:tr w:rsidR="00D04028" w:rsidRPr="00602151" w14:paraId="7FC72F13" w14:textId="77777777" w:rsidTr="00D04028">
        <w:trPr>
          <w:trHeight w:hRule="exact" w:val="320"/>
        </w:trPr>
        <w:tc>
          <w:tcPr>
            <w:tcW w:w="3391" w:type="dxa"/>
            <w:tcBorders>
              <w:top w:val="single" w:sz="6" w:space="0" w:color="000000"/>
              <w:left w:val="single" w:sz="6" w:space="0" w:color="000000"/>
              <w:bottom w:val="single" w:sz="6" w:space="0" w:color="000000"/>
              <w:right w:val="single" w:sz="6" w:space="0" w:color="000000"/>
            </w:tcBorders>
          </w:tcPr>
          <w:p w14:paraId="6FC9E02A" w14:textId="3A17555F" w:rsidR="00D04028" w:rsidRPr="00602151" w:rsidRDefault="00D04028" w:rsidP="00D04028">
            <w:pPr>
              <w:pStyle w:val="TableParagraph"/>
              <w:jc w:val="center"/>
              <w:rPr>
                <w:rFonts w:ascii="Times New Roman" w:eastAsia="Times New Roman" w:hAnsi="Times New Roman" w:cs="Times New Roman"/>
                <w:sz w:val="21"/>
                <w:szCs w:val="21"/>
                <w:lang w:val="en-AU"/>
              </w:rPr>
            </w:pPr>
            <w:r w:rsidRPr="00602151">
              <w:rPr>
                <w:rFonts w:ascii="TimesNewRoman" w:hAnsi="TimesNewRoman" w:cs="TimesNewRoman"/>
                <w:sz w:val="21"/>
                <w:szCs w:val="21"/>
                <w:lang w:val="en-AU"/>
              </w:rPr>
              <w:t>200 kHz &lt; f</w:t>
            </w:r>
            <w:r w:rsidRPr="00602151">
              <w:rPr>
                <w:rFonts w:ascii="TimesNewRoman" w:hAnsi="TimesNewRoman" w:cs="TimesNewRoman"/>
                <w:sz w:val="14"/>
                <w:szCs w:val="14"/>
                <w:lang w:val="en-AU"/>
              </w:rPr>
              <w:t xml:space="preserve">offset </w:t>
            </w:r>
            <w:r w:rsidRPr="00602151">
              <w:rPr>
                <w:rFonts w:ascii="TimesNewRoman" w:hAnsi="TimesNewRoman" w:cs="TimesNewRoman"/>
                <w:sz w:val="21"/>
                <w:szCs w:val="21"/>
                <w:lang w:val="en-AU"/>
              </w:rPr>
              <w:t xml:space="preserve">&lt; </w:t>
            </w:r>
            <w:r>
              <w:rPr>
                <w:rFonts w:ascii="TimesNewRoman" w:hAnsi="TimesNewRoman" w:cs="TimesNewRoman"/>
                <w:sz w:val="21"/>
                <w:szCs w:val="21"/>
                <w:lang w:val="en-AU"/>
              </w:rPr>
              <w:t>1</w:t>
            </w:r>
            <w:r w:rsidRPr="00602151">
              <w:rPr>
                <w:rFonts w:ascii="TimesNewRoman" w:hAnsi="TimesNewRoman" w:cs="TimesNewRoman"/>
                <w:sz w:val="21"/>
                <w:szCs w:val="21"/>
                <w:lang w:val="en-AU"/>
              </w:rPr>
              <w:t xml:space="preserve"> </w:t>
            </w:r>
            <w:r>
              <w:rPr>
                <w:rFonts w:ascii="TimesNewRoman" w:hAnsi="TimesNewRoman" w:cs="TimesNewRoman"/>
                <w:sz w:val="21"/>
                <w:szCs w:val="21"/>
                <w:lang w:val="en-AU"/>
              </w:rPr>
              <w:t>M</w:t>
            </w:r>
            <w:r w:rsidRPr="00602151">
              <w:rPr>
                <w:rFonts w:ascii="TimesNewRoman" w:hAnsi="TimesNewRoman" w:cs="TimesNewRoman"/>
                <w:sz w:val="21"/>
                <w:szCs w:val="21"/>
                <w:lang w:val="en-AU"/>
              </w:rPr>
              <w:t>Hz</w:t>
            </w:r>
          </w:p>
        </w:tc>
        <w:tc>
          <w:tcPr>
            <w:tcW w:w="2952" w:type="dxa"/>
            <w:tcBorders>
              <w:top w:val="single" w:sz="6" w:space="0" w:color="000000"/>
              <w:left w:val="single" w:sz="6" w:space="0" w:color="000000"/>
              <w:bottom w:val="single" w:sz="6" w:space="0" w:color="000000"/>
              <w:right w:val="single" w:sz="6" w:space="0" w:color="000000"/>
            </w:tcBorders>
          </w:tcPr>
          <w:p w14:paraId="2EA9A2C5" w14:textId="3C88183E" w:rsidR="00D04028" w:rsidRPr="00602151" w:rsidRDefault="00D04028" w:rsidP="00D04028">
            <w:pPr>
              <w:pStyle w:val="TableParagraph"/>
              <w:jc w:val="center"/>
              <w:rPr>
                <w:rFonts w:ascii="Times New Roman" w:eastAsia="Times New Roman" w:hAnsi="Times New Roman" w:cs="Times New Roman"/>
                <w:sz w:val="21"/>
                <w:szCs w:val="21"/>
                <w:lang w:val="en-AU"/>
              </w:rPr>
            </w:pPr>
            <w:r>
              <w:rPr>
                <w:rFonts w:ascii="TimesNewRoman" w:hAnsi="TimesNewRoman" w:cs="TimesNewRoman"/>
                <w:sz w:val="21"/>
                <w:szCs w:val="21"/>
                <w:lang w:val="en-AU"/>
              </w:rPr>
              <w:t>2</w:t>
            </w:r>
            <w:r w:rsidRPr="00602151">
              <w:rPr>
                <w:rFonts w:ascii="TimesNewRoman" w:hAnsi="TimesNewRoman" w:cs="TimesNewRoman"/>
                <w:sz w:val="21"/>
                <w:szCs w:val="21"/>
                <w:lang w:val="en-AU"/>
              </w:rPr>
              <w:t xml:space="preserve"> </w:t>
            </w:r>
            <w:r>
              <w:rPr>
                <w:rFonts w:ascii="TimesNewRoman" w:hAnsi="TimesNewRoman" w:cs="TimesNewRoman"/>
                <w:sz w:val="21"/>
                <w:szCs w:val="21"/>
                <w:lang w:val="en-AU"/>
              </w:rPr>
              <w:t>–</w:t>
            </w:r>
            <w:r w:rsidRPr="00602151">
              <w:rPr>
                <w:rFonts w:ascii="TimesNewRoman" w:hAnsi="TimesNewRoman" w:cs="TimesNewRoman"/>
                <w:sz w:val="21"/>
                <w:szCs w:val="21"/>
                <w:lang w:val="en-AU"/>
              </w:rPr>
              <w:t xml:space="preserve"> </w:t>
            </w:r>
            <w:r>
              <w:rPr>
                <w:rFonts w:ascii="TimesNewRoman" w:hAnsi="TimesNewRoman" w:cs="TimesNewRoman"/>
                <w:sz w:val="21"/>
                <w:szCs w:val="21"/>
                <w:lang w:val="en-AU"/>
              </w:rPr>
              <w:t>13.125</w:t>
            </w:r>
            <w:r w:rsidRPr="00602151">
              <w:rPr>
                <w:rFonts w:ascii="TimesNewRoman" w:hAnsi="TimesNewRoman" w:cs="TimesNewRoman"/>
                <w:sz w:val="21"/>
                <w:szCs w:val="21"/>
                <w:lang w:val="en-AU"/>
              </w:rPr>
              <w:t xml:space="preserve"> x </w:t>
            </w:r>
            <w:r>
              <w:rPr>
                <w:rFonts w:ascii="TimesNewRoman" w:hAnsi="TimesNewRoman" w:cs="TimesNewRoman"/>
                <w:sz w:val="21"/>
                <w:szCs w:val="21"/>
                <w:lang w:val="en-AU"/>
              </w:rPr>
              <w:t>(</w:t>
            </w:r>
            <w:r w:rsidRPr="00602151">
              <w:rPr>
                <w:rFonts w:ascii="TimesNewRoman" w:hAnsi="TimesNewRoman" w:cs="TimesNewRoman"/>
                <w:sz w:val="21"/>
                <w:szCs w:val="21"/>
                <w:lang w:val="en-AU"/>
              </w:rPr>
              <w:t xml:space="preserve">f </w:t>
            </w:r>
            <w:r w:rsidRPr="00602151">
              <w:rPr>
                <w:rFonts w:ascii="TimesNewRoman" w:hAnsi="TimesNewRoman" w:cs="TimesNewRoman"/>
                <w:sz w:val="14"/>
                <w:szCs w:val="14"/>
                <w:lang w:val="en-AU"/>
              </w:rPr>
              <w:t xml:space="preserve">offset </w:t>
            </w:r>
            <w:r w:rsidRPr="00602151">
              <w:rPr>
                <w:rFonts w:ascii="TimesNewRoman" w:hAnsi="TimesNewRoman" w:cs="TimesNewRoman"/>
                <w:sz w:val="21"/>
                <w:szCs w:val="21"/>
                <w:lang w:val="en-AU"/>
              </w:rPr>
              <w:t>(MHz)</w:t>
            </w:r>
            <w:r>
              <w:rPr>
                <w:rFonts w:ascii="TimesNewRoman" w:hAnsi="TimesNewRoman" w:cs="TimesNewRoman"/>
                <w:sz w:val="21"/>
                <w:szCs w:val="21"/>
                <w:lang w:val="en-AU"/>
              </w:rPr>
              <w:t xml:space="preserve"> – 0.2)</w:t>
            </w:r>
          </w:p>
        </w:tc>
        <w:tc>
          <w:tcPr>
            <w:tcW w:w="1457" w:type="dxa"/>
            <w:tcBorders>
              <w:top w:val="single" w:sz="6" w:space="0" w:color="000000"/>
              <w:left w:val="single" w:sz="6" w:space="0" w:color="000000"/>
              <w:bottom w:val="single" w:sz="6" w:space="0" w:color="000000"/>
              <w:right w:val="single" w:sz="6" w:space="0" w:color="000000"/>
            </w:tcBorders>
          </w:tcPr>
          <w:p w14:paraId="3CD62E9E" w14:textId="4CD467AD" w:rsidR="00D04028" w:rsidRPr="00602151" w:rsidRDefault="00D04028" w:rsidP="00D04028">
            <w:pPr>
              <w:pStyle w:val="TableParagraph"/>
              <w:ind w:left="420" w:right="-551"/>
              <w:rPr>
                <w:rFonts w:ascii="Times New Roman" w:eastAsia="Times New Roman" w:hAnsi="Times New Roman" w:cs="Times New Roman"/>
                <w:sz w:val="21"/>
                <w:szCs w:val="21"/>
                <w:lang w:val="en-AU"/>
              </w:rPr>
            </w:pPr>
            <w:r w:rsidRPr="00602151">
              <w:rPr>
                <w:rFonts w:ascii="Times New Roman"/>
                <w:sz w:val="21"/>
                <w:lang w:val="en-AU"/>
              </w:rPr>
              <w:t>30</w:t>
            </w:r>
            <w:r w:rsidRPr="00602151">
              <w:rPr>
                <w:rFonts w:ascii="Times New Roman"/>
                <w:spacing w:val="6"/>
                <w:sz w:val="21"/>
                <w:lang w:val="en-AU"/>
              </w:rPr>
              <w:t xml:space="preserve"> </w:t>
            </w:r>
            <w:r w:rsidRPr="00602151">
              <w:rPr>
                <w:rFonts w:ascii="Times New Roman"/>
                <w:spacing w:val="-1"/>
                <w:sz w:val="21"/>
                <w:lang w:val="en-AU"/>
              </w:rPr>
              <w:t>kHz</w:t>
            </w:r>
          </w:p>
        </w:tc>
      </w:tr>
      <w:tr w:rsidR="00D04028" w:rsidRPr="00602151" w14:paraId="234841A7" w14:textId="77777777" w:rsidTr="00D04028">
        <w:trPr>
          <w:trHeight w:hRule="exact" w:val="320"/>
        </w:trPr>
        <w:tc>
          <w:tcPr>
            <w:tcW w:w="3391" w:type="dxa"/>
            <w:tcBorders>
              <w:top w:val="single" w:sz="6" w:space="0" w:color="000000"/>
              <w:left w:val="single" w:sz="6" w:space="0" w:color="000000"/>
              <w:bottom w:val="single" w:sz="6" w:space="0" w:color="000000"/>
              <w:right w:val="single" w:sz="6" w:space="0" w:color="000000"/>
            </w:tcBorders>
          </w:tcPr>
          <w:p w14:paraId="1765D747" w14:textId="5B5E6E56" w:rsidR="00D04028" w:rsidRPr="00602151" w:rsidRDefault="00D04028" w:rsidP="00D04028">
            <w:pPr>
              <w:pStyle w:val="TableParagraph"/>
              <w:jc w:val="center"/>
              <w:rPr>
                <w:rFonts w:ascii="Times New Roman" w:eastAsia="Times New Roman" w:hAnsi="Times New Roman" w:cs="Times New Roman"/>
                <w:sz w:val="21"/>
                <w:szCs w:val="21"/>
                <w:lang w:val="en-AU"/>
              </w:rPr>
            </w:pPr>
            <w:r>
              <w:rPr>
                <w:rFonts w:ascii="TimesNewRoman" w:hAnsi="TimesNewRoman" w:cs="TimesNewRoman"/>
                <w:sz w:val="21"/>
                <w:szCs w:val="21"/>
                <w:lang w:val="en-AU"/>
              </w:rPr>
              <w:t>1</w:t>
            </w:r>
            <w:r w:rsidRPr="00602151">
              <w:rPr>
                <w:rFonts w:ascii="TimesNewRoman" w:hAnsi="TimesNewRoman" w:cs="TimesNewRoman"/>
                <w:sz w:val="21"/>
                <w:szCs w:val="21"/>
                <w:lang w:val="en-AU"/>
              </w:rPr>
              <w:t xml:space="preserve"> </w:t>
            </w:r>
            <w:r>
              <w:rPr>
                <w:rFonts w:ascii="TimesNewRoman" w:hAnsi="TimesNewRoman" w:cs="TimesNewRoman"/>
                <w:sz w:val="21"/>
                <w:szCs w:val="21"/>
                <w:lang w:val="en-AU"/>
              </w:rPr>
              <w:t>M</w:t>
            </w:r>
            <w:r w:rsidRPr="00602151">
              <w:rPr>
                <w:rFonts w:ascii="TimesNewRoman" w:hAnsi="TimesNewRoman" w:cs="TimesNewRoman"/>
                <w:sz w:val="21"/>
                <w:szCs w:val="21"/>
                <w:lang w:val="en-AU"/>
              </w:rPr>
              <w:t>Hz &lt; f</w:t>
            </w:r>
            <w:r w:rsidRPr="00602151">
              <w:rPr>
                <w:rFonts w:ascii="TimesNewRoman" w:hAnsi="TimesNewRoman" w:cs="TimesNewRoman"/>
                <w:sz w:val="14"/>
                <w:szCs w:val="14"/>
                <w:lang w:val="en-AU"/>
              </w:rPr>
              <w:t xml:space="preserve">offset </w:t>
            </w:r>
            <w:r w:rsidRPr="00602151">
              <w:rPr>
                <w:rFonts w:ascii="TimesNewRoman" w:hAnsi="TimesNewRoman" w:cs="TimesNewRoman"/>
                <w:sz w:val="21"/>
                <w:szCs w:val="21"/>
                <w:lang w:val="en-AU"/>
              </w:rPr>
              <w:t xml:space="preserve">&lt; </w:t>
            </w:r>
            <w:r>
              <w:rPr>
                <w:rFonts w:ascii="TimesNewRoman" w:hAnsi="TimesNewRoman" w:cs="TimesNewRoman"/>
                <w:sz w:val="21"/>
                <w:szCs w:val="21"/>
                <w:lang w:val="en-AU"/>
              </w:rPr>
              <w:t>5.8</w:t>
            </w:r>
            <w:r w:rsidRPr="00602151">
              <w:rPr>
                <w:rFonts w:ascii="TimesNewRoman" w:hAnsi="TimesNewRoman" w:cs="TimesNewRoman"/>
                <w:sz w:val="21"/>
                <w:szCs w:val="21"/>
                <w:lang w:val="en-AU"/>
              </w:rPr>
              <w:t xml:space="preserve"> MHz</w:t>
            </w:r>
          </w:p>
        </w:tc>
        <w:tc>
          <w:tcPr>
            <w:tcW w:w="2952" w:type="dxa"/>
            <w:tcBorders>
              <w:top w:val="single" w:sz="6" w:space="0" w:color="000000"/>
              <w:left w:val="single" w:sz="6" w:space="0" w:color="000000"/>
              <w:bottom w:val="single" w:sz="6" w:space="0" w:color="000000"/>
              <w:right w:val="single" w:sz="6" w:space="0" w:color="000000"/>
            </w:tcBorders>
          </w:tcPr>
          <w:p w14:paraId="39007D82" w14:textId="7447C189" w:rsidR="00D04028" w:rsidRPr="00602151" w:rsidRDefault="00D04028" w:rsidP="00D04028">
            <w:pPr>
              <w:pStyle w:val="TableParagraph"/>
              <w:jc w:val="center"/>
              <w:rPr>
                <w:rFonts w:ascii="Times New Roman" w:eastAsia="Times New Roman" w:hAnsi="Times New Roman" w:cs="Times New Roman"/>
                <w:sz w:val="21"/>
                <w:szCs w:val="21"/>
                <w:lang w:val="en-AU"/>
              </w:rPr>
            </w:pPr>
            <w:r>
              <w:rPr>
                <w:rFonts w:ascii="Times New Roman"/>
                <w:sz w:val="21"/>
                <w:lang w:val="en-AU"/>
              </w:rPr>
              <w:t>-8.5</w:t>
            </w:r>
          </w:p>
        </w:tc>
        <w:tc>
          <w:tcPr>
            <w:tcW w:w="1457" w:type="dxa"/>
            <w:tcBorders>
              <w:top w:val="single" w:sz="6" w:space="0" w:color="000000"/>
              <w:left w:val="single" w:sz="6" w:space="0" w:color="000000"/>
              <w:bottom w:val="single" w:sz="6" w:space="0" w:color="000000"/>
              <w:right w:val="single" w:sz="6" w:space="0" w:color="000000"/>
            </w:tcBorders>
          </w:tcPr>
          <w:p w14:paraId="62DBBF56" w14:textId="373FC9CA" w:rsidR="00D04028" w:rsidRPr="00602151" w:rsidRDefault="00D04028" w:rsidP="00D04028">
            <w:pPr>
              <w:pStyle w:val="TableParagraph"/>
              <w:ind w:left="420" w:right="-551"/>
              <w:rPr>
                <w:rFonts w:ascii="Times New Roman" w:eastAsia="Times New Roman" w:hAnsi="Times New Roman" w:cs="Times New Roman"/>
                <w:sz w:val="21"/>
                <w:szCs w:val="21"/>
                <w:lang w:val="en-AU"/>
              </w:rPr>
            </w:pPr>
            <w:r w:rsidRPr="00602151">
              <w:rPr>
                <w:rFonts w:ascii="Times New Roman"/>
                <w:sz w:val="21"/>
                <w:lang w:val="en-AU"/>
              </w:rPr>
              <w:t>30</w:t>
            </w:r>
            <w:r w:rsidRPr="00602151">
              <w:rPr>
                <w:rFonts w:ascii="Times New Roman"/>
                <w:spacing w:val="2"/>
                <w:sz w:val="21"/>
                <w:lang w:val="en-AU"/>
              </w:rPr>
              <w:t xml:space="preserve"> </w:t>
            </w:r>
            <w:r w:rsidRPr="00602151">
              <w:rPr>
                <w:rFonts w:ascii="Times New Roman"/>
                <w:spacing w:val="-1"/>
                <w:sz w:val="21"/>
                <w:lang w:val="en-AU"/>
              </w:rPr>
              <w:t>kHz</w:t>
            </w:r>
          </w:p>
        </w:tc>
      </w:tr>
      <w:tr w:rsidR="00D04028" w:rsidRPr="00602151" w14:paraId="05DF1DE7" w14:textId="77777777" w:rsidTr="00D04028">
        <w:trPr>
          <w:trHeight w:hRule="exact" w:val="320"/>
        </w:trPr>
        <w:tc>
          <w:tcPr>
            <w:tcW w:w="3391" w:type="dxa"/>
            <w:tcBorders>
              <w:top w:val="single" w:sz="6" w:space="0" w:color="000000"/>
              <w:left w:val="single" w:sz="6" w:space="0" w:color="000000"/>
              <w:bottom w:val="single" w:sz="6" w:space="0" w:color="000000"/>
              <w:right w:val="single" w:sz="6" w:space="0" w:color="000000"/>
            </w:tcBorders>
          </w:tcPr>
          <w:p w14:paraId="5FE2EEFB" w14:textId="4B1FC652" w:rsidR="00D04028" w:rsidRPr="00602151" w:rsidRDefault="00D04028" w:rsidP="00D04028">
            <w:pPr>
              <w:pStyle w:val="TableParagraph"/>
              <w:jc w:val="center"/>
              <w:rPr>
                <w:rFonts w:ascii="Times New Roman"/>
                <w:sz w:val="21"/>
                <w:lang w:val="en-AU"/>
              </w:rPr>
            </w:pPr>
            <w:r w:rsidRPr="00602151">
              <w:rPr>
                <w:rFonts w:ascii="Times New Roman"/>
                <w:sz w:val="21"/>
                <w:lang w:val="en-AU"/>
              </w:rPr>
              <w:t>f</w:t>
            </w:r>
            <w:r w:rsidRPr="00602151">
              <w:rPr>
                <w:rFonts w:ascii="Times New Roman"/>
                <w:position w:val="-1"/>
                <w:sz w:val="14"/>
                <w:lang w:val="en-AU"/>
              </w:rPr>
              <w:t xml:space="preserve">offset </w:t>
            </w:r>
            <w:r w:rsidRPr="00602151">
              <w:rPr>
                <w:rFonts w:ascii="Times New Roman"/>
                <w:spacing w:val="10"/>
                <w:position w:val="-1"/>
                <w:sz w:val="14"/>
                <w:lang w:val="en-AU"/>
              </w:rPr>
              <w:t xml:space="preserve"> </w:t>
            </w:r>
            <w:r w:rsidRPr="00602151">
              <w:rPr>
                <w:rFonts w:ascii="Times New Roman"/>
                <w:sz w:val="21"/>
                <w:u w:val="single" w:color="000000"/>
                <w:lang w:val="en-AU"/>
              </w:rPr>
              <w:t>&gt;</w:t>
            </w:r>
            <w:r w:rsidRPr="00602151">
              <w:rPr>
                <w:rFonts w:ascii="Times New Roman"/>
                <w:spacing w:val="2"/>
                <w:sz w:val="21"/>
                <w:lang w:val="en-AU"/>
              </w:rPr>
              <w:t xml:space="preserve"> 5</w:t>
            </w:r>
            <w:r>
              <w:rPr>
                <w:rFonts w:ascii="Times New Roman"/>
                <w:spacing w:val="2"/>
                <w:sz w:val="21"/>
                <w:lang w:val="en-AU"/>
              </w:rPr>
              <w:t>.8</w:t>
            </w:r>
            <w:r w:rsidRPr="00602151">
              <w:rPr>
                <w:rFonts w:ascii="Times New Roman"/>
                <w:spacing w:val="2"/>
                <w:sz w:val="21"/>
                <w:lang w:val="en-AU"/>
              </w:rPr>
              <w:t xml:space="preserve"> </w:t>
            </w:r>
            <w:r w:rsidRPr="00602151">
              <w:rPr>
                <w:rFonts w:ascii="Times New Roman"/>
                <w:spacing w:val="-1"/>
                <w:sz w:val="21"/>
                <w:lang w:val="en-AU"/>
              </w:rPr>
              <w:t>MHz</w:t>
            </w:r>
          </w:p>
        </w:tc>
        <w:tc>
          <w:tcPr>
            <w:tcW w:w="2952" w:type="dxa"/>
            <w:tcBorders>
              <w:top w:val="single" w:sz="6" w:space="0" w:color="000000"/>
              <w:left w:val="single" w:sz="6" w:space="0" w:color="000000"/>
              <w:bottom w:val="single" w:sz="6" w:space="0" w:color="000000"/>
              <w:right w:val="single" w:sz="6" w:space="0" w:color="000000"/>
            </w:tcBorders>
          </w:tcPr>
          <w:p w14:paraId="1FF6EC20" w14:textId="5716154B" w:rsidR="00D04028" w:rsidRPr="00602151" w:rsidRDefault="00D04028" w:rsidP="00D04028">
            <w:pPr>
              <w:pStyle w:val="TableParagraph"/>
              <w:jc w:val="center"/>
              <w:rPr>
                <w:rFonts w:ascii="Times New Roman"/>
                <w:sz w:val="21"/>
                <w:lang w:val="en-AU"/>
              </w:rPr>
            </w:pPr>
            <w:r>
              <w:rPr>
                <w:rFonts w:ascii="Times New Roman"/>
                <w:sz w:val="21"/>
                <w:lang w:val="en-AU"/>
              </w:rPr>
              <w:t>-13</w:t>
            </w:r>
          </w:p>
        </w:tc>
        <w:tc>
          <w:tcPr>
            <w:tcW w:w="1457" w:type="dxa"/>
            <w:tcBorders>
              <w:top w:val="single" w:sz="6" w:space="0" w:color="000000"/>
              <w:left w:val="single" w:sz="6" w:space="0" w:color="000000"/>
              <w:bottom w:val="single" w:sz="6" w:space="0" w:color="000000"/>
              <w:right w:val="single" w:sz="6" w:space="0" w:color="000000"/>
            </w:tcBorders>
          </w:tcPr>
          <w:p w14:paraId="5ECD5267" w14:textId="585EE3CC" w:rsidR="00D04028" w:rsidRPr="00602151" w:rsidRDefault="00D04028" w:rsidP="00D04028">
            <w:pPr>
              <w:pStyle w:val="TableParagraph"/>
              <w:ind w:left="420" w:right="-551"/>
              <w:rPr>
                <w:rFonts w:ascii="Times New Roman"/>
                <w:sz w:val="21"/>
                <w:lang w:val="en-AU"/>
              </w:rPr>
            </w:pPr>
            <w:r w:rsidRPr="00602151">
              <w:rPr>
                <w:rFonts w:ascii="Times New Roman"/>
                <w:sz w:val="21"/>
                <w:lang w:val="en-AU"/>
              </w:rPr>
              <w:t>30</w:t>
            </w:r>
            <w:r w:rsidRPr="00602151">
              <w:rPr>
                <w:rFonts w:ascii="Times New Roman"/>
                <w:spacing w:val="2"/>
                <w:sz w:val="21"/>
                <w:lang w:val="en-AU"/>
              </w:rPr>
              <w:t xml:space="preserve"> </w:t>
            </w:r>
            <w:r w:rsidRPr="00602151">
              <w:rPr>
                <w:rFonts w:ascii="Times New Roman"/>
                <w:spacing w:val="-1"/>
                <w:sz w:val="21"/>
                <w:lang w:val="en-AU"/>
              </w:rPr>
              <w:t>kHz</w:t>
            </w:r>
          </w:p>
        </w:tc>
      </w:tr>
    </w:tbl>
    <w:p w14:paraId="260B5D5D" w14:textId="77777777" w:rsidR="00FB0E13" w:rsidRPr="00602151" w:rsidRDefault="00FB0E13" w:rsidP="00FB0E13">
      <w:pPr>
        <w:spacing w:after="0"/>
        <w:ind w:right="-551"/>
        <w:rPr>
          <w:rFonts w:ascii="Times New Roman" w:hAnsi="Times New Roman"/>
          <w:sz w:val="21"/>
          <w:szCs w:val="21"/>
        </w:rPr>
      </w:pPr>
    </w:p>
    <w:p w14:paraId="6ACCA92C" w14:textId="77777777" w:rsidR="004901BA" w:rsidRPr="00602151" w:rsidRDefault="004901BA" w:rsidP="004901BA">
      <w:pPr>
        <w:pStyle w:val="Heading3"/>
        <w:spacing w:before="240" w:after="120"/>
        <w:ind w:right="-551"/>
      </w:pPr>
      <w:bookmarkStart w:id="83" w:name="_Toc58241155"/>
      <w:bookmarkStart w:id="84" w:name="_Toc83989344"/>
      <w:r w:rsidRPr="00602151">
        <w:t>Spurious Emission Limits</w:t>
      </w:r>
      <w:bookmarkEnd w:id="83"/>
      <w:bookmarkEnd w:id="84"/>
    </w:p>
    <w:p w14:paraId="11B7D828" w14:textId="77777777" w:rsidR="00FB0E13" w:rsidRPr="00602151" w:rsidRDefault="00FB0E13" w:rsidP="00FB0E13">
      <w:pPr>
        <w:spacing w:after="0"/>
        <w:ind w:right="-551"/>
        <w:rPr>
          <w:rFonts w:ascii="Times New Roman" w:hAnsi="Times New Roman"/>
          <w:sz w:val="21"/>
          <w:szCs w:val="21"/>
        </w:rPr>
      </w:pPr>
    </w:p>
    <w:p w14:paraId="0B604678" w14:textId="1F744816" w:rsidR="004901BA" w:rsidRPr="004901BA" w:rsidRDefault="004901BA" w:rsidP="00FB0E13">
      <w:pPr>
        <w:pStyle w:val="BodyText"/>
        <w:numPr>
          <w:ilvl w:val="0"/>
          <w:numId w:val="27"/>
        </w:numPr>
        <w:tabs>
          <w:tab w:val="left" w:pos="531"/>
        </w:tabs>
        <w:ind w:right="-551"/>
        <w:jc w:val="left"/>
        <w:rPr>
          <w:lang w:val="en-AU"/>
        </w:rPr>
      </w:pPr>
      <w:r>
        <w:t>The licensee must ensure that radiocommunications devices operated under this licence do not exceed the spurious emission limits in core conditions 10 and 11</w:t>
      </w:r>
    </w:p>
    <w:p w14:paraId="4AFE3D59" w14:textId="77777777" w:rsidR="004901BA" w:rsidRDefault="004901BA" w:rsidP="004901BA">
      <w:pPr>
        <w:pStyle w:val="BodyText"/>
        <w:tabs>
          <w:tab w:val="left" w:pos="531"/>
        </w:tabs>
        <w:ind w:left="531" w:right="-551" w:firstLine="0"/>
        <w:jc w:val="right"/>
        <w:rPr>
          <w:lang w:val="en-AU"/>
        </w:rPr>
      </w:pPr>
    </w:p>
    <w:p w14:paraId="54EC2A88" w14:textId="4FAF90A5" w:rsidR="00FB0E13" w:rsidRPr="00602151" w:rsidRDefault="004901BA" w:rsidP="00FB0E13">
      <w:pPr>
        <w:pStyle w:val="BodyText"/>
        <w:numPr>
          <w:ilvl w:val="0"/>
          <w:numId w:val="27"/>
        </w:numPr>
        <w:tabs>
          <w:tab w:val="left" w:pos="531"/>
        </w:tabs>
        <w:ind w:right="-551"/>
        <w:jc w:val="left"/>
        <w:rPr>
          <w:lang w:val="en-AU"/>
        </w:rPr>
      </w:pPr>
      <w:r w:rsidRPr="004901BA">
        <w:rPr>
          <w:lang w:val="en-AU"/>
        </w:rPr>
        <w:t>For radiocommunications transmitters operated under this licence, the spurious emission limits in Table 6 apply at frequencies outside the 1710-1785 MHz and 1805-1880 MHz frequency bands, measured over the specified bandwidth for the relevant frequency range</w:t>
      </w:r>
      <w:r>
        <w:rPr>
          <w:lang w:val="en-AU"/>
        </w:rPr>
        <w:t>.</w:t>
      </w:r>
    </w:p>
    <w:p w14:paraId="03287F7F" w14:textId="77777777" w:rsidR="00FB0E13" w:rsidRPr="00602151" w:rsidRDefault="00FB0E13" w:rsidP="00FB0E13">
      <w:pPr>
        <w:spacing w:after="0"/>
        <w:ind w:right="-551"/>
        <w:rPr>
          <w:rFonts w:ascii="Times New Roman" w:hAnsi="Times New Roman"/>
          <w:sz w:val="28"/>
          <w:szCs w:val="28"/>
        </w:rPr>
      </w:pPr>
    </w:p>
    <w:p w14:paraId="4805AC00" w14:textId="1533434B" w:rsidR="00CB7345" w:rsidRPr="00602151" w:rsidRDefault="00CB7345" w:rsidP="00CB7345">
      <w:pPr>
        <w:pStyle w:val="BodyText"/>
        <w:spacing w:before="240" w:after="120" w:line="285" w:lineRule="auto"/>
        <w:ind w:left="0" w:right="-551" w:firstLine="0"/>
        <w:jc w:val="center"/>
        <w:rPr>
          <w:b/>
          <w:bCs/>
          <w:lang w:val="en-AU"/>
        </w:rPr>
      </w:pPr>
      <w:r w:rsidRPr="00602151">
        <w:rPr>
          <w:b/>
          <w:bCs/>
          <w:lang w:val="en-AU"/>
        </w:rPr>
        <w:t xml:space="preserve">Table </w:t>
      </w:r>
      <w:r w:rsidR="004901BA">
        <w:rPr>
          <w:b/>
          <w:bCs/>
          <w:lang w:val="en-AU"/>
        </w:rPr>
        <w:t>6</w:t>
      </w:r>
      <w:r w:rsidRPr="00602151">
        <w:rPr>
          <w:b/>
          <w:bCs/>
          <w:lang w:val="en-AU"/>
        </w:rPr>
        <w:t>: Radiocommunications transmitter spurious emission limits</w:t>
      </w:r>
    </w:p>
    <w:tbl>
      <w:tblPr>
        <w:tblW w:w="7658" w:type="dxa"/>
        <w:tblInd w:w="170" w:type="dxa"/>
        <w:tblLayout w:type="fixed"/>
        <w:tblCellMar>
          <w:left w:w="0" w:type="dxa"/>
          <w:right w:w="0" w:type="dxa"/>
        </w:tblCellMar>
        <w:tblLook w:val="01E0" w:firstRow="1" w:lastRow="1" w:firstColumn="1" w:lastColumn="1" w:noHBand="0" w:noVBand="0"/>
      </w:tblPr>
      <w:tblGrid>
        <w:gridCol w:w="3391"/>
        <w:gridCol w:w="2810"/>
        <w:gridCol w:w="1457"/>
      </w:tblGrid>
      <w:tr w:rsidR="00FB0E13" w:rsidRPr="00602151" w14:paraId="691FFDF4" w14:textId="77777777" w:rsidTr="00C91433">
        <w:trPr>
          <w:trHeight w:hRule="exact" w:val="616"/>
        </w:trPr>
        <w:tc>
          <w:tcPr>
            <w:tcW w:w="3391" w:type="dxa"/>
            <w:tcBorders>
              <w:top w:val="single" w:sz="6" w:space="0" w:color="000000"/>
              <w:left w:val="single" w:sz="6" w:space="0" w:color="000000"/>
              <w:bottom w:val="single" w:sz="6" w:space="0" w:color="000000"/>
              <w:right w:val="single" w:sz="6" w:space="0" w:color="000000"/>
            </w:tcBorders>
          </w:tcPr>
          <w:p w14:paraId="3027C067" w14:textId="77777777" w:rsidR="00FB0E13" w:rsidRPr="00602151" w:rsidRDefault="00FB0E13" w:rsidP="00CB7345">
            <w:pPr>
              <w:pStyle w:val="TableParagraph"/>
              <w:jc w:val="center"/>
              <w:rPr>
                <w:rFonts w:ascii="Times New Roman" w:eastAsia="Times New Roman" w:hAnsi="Times New Roman" w:cs="Times New Roman"/>
                <w:sz w:val="23"/>
                <w:szCs w:val="23"/>
                <w:lang w:val="en-AU"/>
              </w:rPr>
            </w:pPr>
            <w:bookmarkStart w:id="85" w:name="_Hlk50551018"/>
            <w:r w:rsidRPr="00602151">
              <w:rPr>
                <w:rFonts w:ascii="Times New Roman"/>
                <w:b/>
                <w:spacing w:val="-5"/>
                <w:sz w:val="23"/>
                <w:lang w:val="en-AU"/>
              </w:rPr>
              <w:t>Frequency</w:t>
            </w:r>
            <w:r w:rsidRPr="00602151">
              <w:rPr>
                <w:rFonts w:ascii="Times New Roman"/>
                <w:b/>
                <w:spacing w:val="33"/>
                <w:sz w:val="23"/>
                <w:lang w:val="en-AU"/>
              </w:rPr>
              <w:t xml:space="preserve"> </w:t>
            </w:r>
            <w:r w:rsidRPr="00602151">
              <w:rPr>
                <w:rFonts w:ascii="Times New Roman"/>
                <w:b/>
                <w:spacing w:val="-5"/>
                <w:sz w:val="23"/>
                <w:lang w:val="en-AU"/>
              </w:rPr>
              <w:t>range</w:t>
            </w:r>
          </w:p>
          <w:p w14:paraId="000D08F6" w14:textId="77777777" w:rsidR="00FB0E13" w:rsidRPr="00602151" w:rsidRDefault="00FB0E13" w:rsidP="00CB7345">
            <w:pPr>
              <w:pStyle w:val="TableParagraph"/>
              <w:jc w:val="center"/>
              <w:rPr>
                <w:rFonts w:ascii="Times New Roman" w:eastAsia="Times New Roman" w:hAnsi="Times New Roman" w:cs="Times New Roman"/>
                <w:sz w:val="23"/>
                <w:szCs w:val="23"/>
                <w:lang w:val="en-AU"/>
              </w:rPr>
            </w:pPr>
            <w:r w:rsidRPr="00602151">
              <w:rPr>
                <w:rFonts w:ascii="Times New Roman"/>
                <w:b/>
                <w:sz w:val="23"/>
                <w:lang w:val="en-AU"/>
              </w:rPr>
              <w:t>(f)</w:t>
            </w:r>
          </w:p>
        </w:tc>
        <w:tc>
          <w:tcPr>
            <w:tcW w:w="2810" w:type="dxa"/>
            <w:tcBorders>
              <w:top w:val="single" w:sz="6" w:space="0" w:color="000000"/>
              <w:left w:val="single" w:sz="6" w:space="0" w:color="000000"/>
              <w:bottom w:val="single" w:sz="6" w:space="0" w:color="000000"/>
              <w:right w:val="single" w:sz="6" w:space="0" w:color="000000"/>
            </w:tcBorders>
          </w:tcPr>
          <w:p w14:paraId="4AD1A2BB" w14:textId="77777777" w:rsidR="004901BA" w:rsidRPr="00602151" w:rsidRDefault="004901BA" w:rsidP="004901BA">
            <w:pPr>
              <w:pStyle w:val="TableParagraph"/>
              <w:jc w:val="center"/>
              <w:rPr>
                <w:rFonts w:ascii="Times New Roman" w:eastAsia="Times New Roman" w:hAnsi="Times New Roman" w:cs="Times New Roman"/>
                <w:sz w:val="23"/>
                <w:szCs w:val="23"/>
                <w:lang w:val="en-AU"/>
              </w:rPr>
            </w:pPr>
            <w:r>
              <w:rPr>
                <w:rFonts w:ascii="Times New Roman"/>
                <w:b/>
                <w:spacing w:val="-1"/>
                <w:sz w:val="23"/>
                <w:lang w:val="en-AU"/>
              </w:rPr>
              <w:t>Radiated m</w:t>
            </w:r>
            <w:r w:rsidRPr="00602151">
              <w:rPr>
                <w:rFonts w:ascii="Times New Roman"/>
                <w:b/>
                <w:spacing w:val="-1"/>
                <w:sz w:val="23"/>
                <w:lang w:val="en-AU"/>
              </w:rPr>
              <w:t>ean</w:t>
            </w:r>
            <w:r w:rsidRPr="00602151">
              <w:rPr>
                <w:rFonts w:ascii="Times New Roman"/>
                <w:b/>
                <w:spacing w:val="12"/>
                <w:sz w:val="23"/>
                <w:lang w:val="en-AU"/>
              </w:rPr>
              <w:t xml:space="preserve"> </w:t>
            </w:r>
            <w:r w:rsidRPr="00602151">
              <w:rPr>
                <w:rFonts w:ascii="Times New Roman"/>
                <w:b/>
                <w:spacing w:val="-1"/>
                <w:sz w:val="23"/>
                <w:lang w:val="en-AU"/>
              </w:rPr>
              <w:t>power</w:t>
            </w:r>
          </w:p>
          <w:p w14:paraId="790AE421" w14:textId="2A1B080A" w:rsidR="00FB0E13" w:rsidRPr="00602151" w:rsidRDefault="004901BA" w:rsidP="004901BA">
            <w:pPr>
              <w:pStyle w:val="TableParagraph"/>
              <w:jc w:val="center"/>
              <w:rPr>
                <w:rFonts w:ascii="Times New Roman" w:eastAsia="Times New Roman" w:hAnsi="Times New Roman" w:cs="Times New Roman"/>
                <w:sz w:val="23"/>
                <w:szCs w:val="23"/>
                <w:lang w:val="en-AU"/>
              </w:rPr>
            </w:pPr>
            <w:r w:rsidRPr="00602151">
              <w:rPr>
                <w:rFonts w:ascii="Times New Roman"/>
                <w:b/>
                <w:spacing w:val="-8"/>
                <w:sz w:val="23"/>
                <w:lang w:val="en-AU"/>
              </w:rPr>
              <w:t>(dBm</w:t>
            </w:r>
            <w:r>
              <w:rPr>
                <w:rFonts w:ascii="Times New Roman"/>
                <w:b/>
                <w:spacing w:val="-8"/>
                <w:sz w:val="23"/>
                <w:lang w:val="en-AU"/>
              </w:rPr>
              <w:t xml:space="preserve"> EIRP</w:t>
            </w:r>
            <w:r w:rsidRPr="00602151">
              <w:rPr>
                <w:rFonts w:ascii="Times New Roman"/>
                <w:b/>
                <w:spacing w:val="-8"/>
                <w:sz w:val="23"/>
                <w:lang w:val="en-AU"/>
              </w:rPr>
              <w:t>)</w:t>
            </w:r>
          </w:p>
        </w:tc>
        <w:tc>
          <w:tcPr>
            <w:tcW w:w="1457" w:type="dxa"/>
            <w:tcBorders>
              <w:top w:val="single" w:sz="6" w:space="0" w:color="000000"/>
              <w:left w:val="single" w:sz="6" w:space="0" w:color="000000"/>
              <w:bottom w:val="single" w:sz="6" w:space="0" w:color="000000"/>
              <w:right w:val="single" w:sz="6" w:space="0" w:color="000000"/>
            </w:tcBorders>
          </w:tcPr>
          <w:p w14:paraId="31DEC6BC" w14:textId="77777777" w:rsidR="00FB0E13" w:rsidRPr="00602151" w:rsidRDefault="00FB0E13" w:rsidP="00FB0E13">
            <w:pPr>
              <w:pStyle w:val="TableParagraph"/>
              <w:ind w:left="187" w:right="-551" w:firstLine="70"/>
              <w:rPr>
                <w:rFonts w:ascii="Times New Roman" w:eastAsia="Times New Roman" w:hAnsi="Times New Roman" w:cs="Times New Roman"/>
                <w:sz w:val="23"/>
                <w:szCs w:val="23"/>
                <w:lang w:val="en-AU"/>
              </w:rPr>
            </w:pPr>
            <w:r w:rsidRPr="00602151">
              <w:rPr>
                <w:rFonts w:ascii="Times New Roman"/>
                <w:b/>
                <w:spacing w:val="-2"/>
                <w:sz w:val="23"/>
                <w:lang w:val="en-AU"/>
              </w:rPr>
              <w:t>Specified</w:t>
            </w:r>
          </w:p>
          <w:p w14:paraId="4A7AEE97" w14:textId="77777777" w:rsidR="00FB0E13" w:rsidRPr="00602151" w:rsidRDefault="00FB0E13" w:rsidP="00FB0E13">
            <w:pPr>
              <w:pStyle w:val="TableParagraph"/>
              <w:ind w:left="187" w:right="-551"/>
              <w:rPr>
                <w:rFonts w:ascii="Times New Roman" w:eastAsia="Times New Roman" w:hAnsi="Times New Roman" w:cs="Times New Roman"/>
                <w:sz w:val="23"/>
                <w:szCs w:val="23"/>
                <w:lang w:val="en-AU"/>
              </w:rPr>
            </w:pPr>
            <w:r w:rsidRPr="00602151">
              <w:rPr>
                <w:rFonts w:ascii="Times New Roman"/>
                <w:b/>
                <w:spacing w:val="-6"/>
                <w:sz w:val="23"/>
                <w:lang w:val="en-AU"/>
              </w:rPr>
              <w:t>Bandwidth</w:t>
            </w:r>
          </w:p>
        </w:tc>
      </w:tr>
      <w:tr w:rsidR="00FB0E13" w:rsidRPr="00602151" w14:paraId="01B45656" w14:textId="77777777" w:rsidTr="00C91433">
        <w:trPr>
          <w:trHeight w:hRule="exact" w:val="320"/>
        </w:trPr>
        <w:tc>
          <w:tcPr>
            <w:tcW w:w="3391" w:type="dxa"/>
            <w:tcBorders>
              <w:top w:val="single" w:sz="6" w:space="0" w:color="000000"/>
              <w:left w:val="single" w:sz="6" w:space="0" w:color="000000"/>
              <w:bottom w:val="single" w:sz="6" w:space="0" w:color="000000"/>
              <w:right w:val="single" w:sz="6" w:space="0" w:color="000000"/>
            </w:tcBorders>
          </w:tcPr>
          <w:p w14:paraId="0B5E7773" w14:textId="77777777" w:rsidR="00FB0E13" w:rsidRPr="00602151" w:rsidRDefault="00FB0E13" w:rsidP="00CB7345">
            <w:pPr>
              <w:pStyle w:val="TableParagraph"/>
              <w:jc w:val="center"/>
              <w:rPr>
                <w:rFonts w:ascii="Times New Roman" w:eastAsia="Times New Roman" w:hAnsi="Times New Roman" w:cs="Times New Roman"/>
                <w:sz w:val="21"/>
                <w:szCs w:val="21"/>
                <w:lang w:val="en-AU"/>
              </w:rPr>
            </w:pPr>
            <w:r w:rsidRPr="00602151">
              <w:rPr>
                <w:rFonts w:ascii="Times New Roman"/>
                <w:sz w:val="21"/>
                <w:lang w:val="en-AU"/>
              </w:rPr>
              <w:t>9</w:t>
            </w:r>
            <w:r w:rsidRPr="00602151">
              <w:rPr>
                <w:rFonts w:ascii="Times New Roman"/>
                <w:spacing w:val="2"/>
                <w:sz w:val="21"/>
                <w:lang w:val="en-AU"/>
              </w:rPr>
              <w:t xml:space="preserve"> </w:t>
            </w:r>
            <w:r w:rsidRPr="00602151">
              <w:rPr>
                <w:rFonts w:ascii="Times New Roman"/>
                <w:sz w:val="21"/>
                <w:lang w:val="en-AU"/>
              </w:rPr>
              <w:t>kHz</w:t>
            </w:r>
            <w:r w:rsidRPr="00602151">
              <w:rPr>
                <w:rFonts w:ascii="Times New Roman"/>
                <w:spacing w:val="14"/>
                <w:sz w:val="21"/>
                <w:lang w:val="en-AU"/>
              </w:rPr>
              <w:t xml:space="preserve"> </w:t>
            </w:r>
            <w:r w:rsidRPr="00602151">
              <w:rPr>
                <w:rFonts w:ascii="Times New Roman"/>
                <w:sz w:val="21"/>
                <w:u w:val="single" w:color="000000"/>
                <w:lang w:val="en-AU"/>
              </w:rPr>
              <w:t>&lt;</w:t>
            </w:r>
            <w:r w:rsidRPr="00602151">
              <w:rPr>
                <w:rFonts w:ascii="Times New Roman"/>
                <w:spacing w:val="13"/>
                <w:sz w:val="21"/>
                <w:u w:val="single" w:color="000000"/>
                <w:lang w:val="en-AU"/>
              </w:rPr>
              <w:t xml:space="preserve"> </w:t>
            </w:r>
            <w:r w:rsidRPr="00602151">
              <w:rPr>
                <w:rFonts w:ascii="Times New Roman"/>
                <w:sz w:val="21"/>
                <w:lang w:val="en-AU"/>
              </w:rPr>
              <w:t>f</w:t>
            </w:r>
            <w:r w:rsidRPr="00602151">
              <w:rPr>
                <w:rFonts w:ascii="Times New Roman"/>
                <w:spacing w:val="2"/>
                <w:sz w:val="21"/>
                <w:lang w:val="en-AU"/>
              </w:rPr>
              <w:t xml:space="preserve"> </w:t>
            </w:r>
            <w:r w:rsidRPr="00602151">
              <w:rPr>
                <w:rFonts w:ascii="Times New Roman"/>
                <w:sz w:val="21"/>
                <w:lang w:val="en-AU"/>
              </w:rPr>
              <w:t>&lt;</w:t>
            </w:r>
            <w:r w:rsidRPr="00602151">
              <w:rPr>
                <w:rFonts w:ascii="Times New Roman"/>
                <w:spacing w:val="3"/>
                <w:sz w:val="21"/>
                <w:lang w:val="en-AU"/>
              </w:rPr>
              <w:t xml:space="preserve"> </w:t>
            </w:r>
            <w:r w:rsidRPr="00602151">
              <w:rPr>
                <w:rFonts w:ascii="Times New Roman"/>
                <w:sz w:val="21"/>
                <w:lang w:val="en-AU"/>
              </w:rPr>
              <w:t>150</w:t>
            </w:r>
            <w:r w:rsidRPr="00602151">
              <w:rPr>
                <w:rFonts w:ascii="Times New Roman"/>
                <w:spacing w:val="2"/>
                <w:sz w:val="21"/>
                <w:lang w:val="en-AU"/>
              </w:rPr>
              <w:t xml:space="preserve"> </w:t>
            </w:r>
            <w:r w:rsidRPr="00602151">
              <w:rPr>
                <w:rFonts w:ascii="Times New Roman"/>
                <w:sz w:val="21"/>
                <w:lang w:val="en-AU"/>
              </w:rPr>
              <w:t>kHz</w:t>
            </w:r>
          </w:p>
        </w:tc>
        <w:tc>
          <w:tcPr>
            <w:tcW w:w="2810" w:type="dxa"/>
            <w:tcBorders>
              <w:top w:val="single" w:sz="6" w:space="0" w:color="000000"/>
              <w:left w:val="single" w:sz="6" w:space="0" w:color="000000"/>
              <w:bottom w:val="single" w:sz="6" w:space="0" w:color="000000"/>
              <w:right w:val="single" w:sz="6" w:space="0" w:color="000000"/>
            </w:tcBorders>
          </w:tcPr>
          <w:p w14:paraId="42192947" w14:textId="77777777" w:rsidR="00FB0E13" w:rsidRPr="00602151" w:rsidRDefault="00FB0E13" w:rsidP="00CB7345">
            <w:pPr>
              <w:pStyle w:val="TableParagraph"/>
              <w:jc w:val="center"/>
              <w:rPr>
                <w:rFonts w:ascii="Times New Roman" w:eastAsia="Times New Roman" w:hAnsi="Times New Roman" w:cs="Times New Roman"/>
                <w:sz w:val="21"/>
                <w:szCs w:val="21"/>
                <w:lang w:val="en-AU"/>
              </w:rPr>
            </w:pPr>
            <w:r w:rsidRPr="00602151">
              <w:rPr>
                <w:rFonts w:ascii="Times New Roman"/>
                <w:sz w:val="21"/>
                <w:lang w:val="en-AU"/>
              </w:rPr>
              <w:t>-36</w:t>
            </w:r>
          </w:p>
        </w:tc>
        <w:tc>
          <w:tcPr>
            <w:tcW w:w="1457" w:type="dxa"/>
            <w:tcBorders>
              <w:top w:val="single" w:sz="6" w:space="0" w:color="000000"/>
              <w:left w:val="single" w:sz="6" w:space="0" w:color="000000"/>
              <w:bottom w:val="single" w:sz="6" w:space="0" w:color="000000"/>
              <w:right w:val="single" w:sz="6" w:space="0" w:color="000000"/>
            </w:tcBorders>
          </w:tcPr>
          <w:p w14:paraId="5A5172F7" w14:textId="77777777" w:rsidR="00FB0E13" w:rsidRPr="00602151" w:rsidRDefault="00FB0E13" w:rsidP="00FB0E13">
            <w:pPr>
              <w:pStyle w:val="TableParagraph"/>
              <w:ind w:left="423" w:right="-551"/>
              <w:rPr>
                <w:rFonts w:ascii="Times New Roman" w:eastAsia="Times New Roman" w:hAnsi="Times New Roman" w:cs="Times New Roman"/>
                <w:sz w:val="21"/>
                <w:szCs w:val="21"/>
                <w:lang w:val="en-AU"/>
              </w:rPr>
            </w:pPr>
            <w:r w:rsidRPr="00602151">
              <w:rPr>
                <w:rFonts w:ascii="Times New Roman"/>
                <w:sz w:val="21"/>
                <w:lang w:val="en-AU"/>
              </w:rPr>
              <w:t>1</w:t>
            </w:r>
            <w:r w:rsidRPr="00602151">
              <w:rPr>
                <w:rFonts w:ascii="Times New Roman"/>
                <w:spacing w:val="4"/>
                <w:sz w:val="21"/>
                <w:lang w:val="en-AU"/>
              </w:rPr>
              <w:t xml:space="preserve"> </w:t>
            </w:r>
            <w:r w:rsidRPr="00602151">
              <w:rPr>
                <w:rFonts w:ascii="Times New Roman"/>
                <w:spacing w:val="-1"/>
                <w:sz w:val="21"/>
                <w:lang w:val="en-AU"/>
              </w:rPr>
              <w:t>kHz</w:t>
            </w:r>
          </w:p>
        </w:tc>
      </w:tr>
      <w:tr w:rsidR="00FB0E13" w:rsidRPr="00602151" w14:paraId="15C98EC1" w14:textId="77777777" w:rsidTr="00C91433">
        <w:trPr>
          <w:trHeight w:hRule="exact" w:val="320"/>
        </w:trPr>
        <w:tc>
          <w:tcPr>
            <w:tcW w:w="3391" w:type="dxa"/>
            <w:tcBorders>
              <w:top w:val="single" w:sz="6" w:space="0" w:color="000000"/>
              <w:left w:val="single" w:sz="6" w:space="0" w:color="000000"/>
              <w:bottom w:val="single" w:sz="6" w:space="0" w:color="000000"/>
              <w:right w:val="single" w:sz="6" w:space="0" w:color="000000"/>
            </w:tcBorders>
          </w:tcPr>
          <w:p w14:paraId="7E60C43B" w14:textId="77777777" w:rsidR="00FB0E13" w:rsidRPr="00602151" w:rsidRDefault="00FB0E13" w:rsidP="00CB7345">
            <w:pPr>
              <w:pStyle w:val="TableParagraph"/>
              <w:jc w:val="center"/>
              <w:rPr>
                <w:rFonts w:ascii="Times New Roman" w:eastAsia="Times New Roman" w:hAnsi="Times New Roman" w:cs="Times New Roman"/>
                <w:sz w:val="21"/>
                <w:szCs w:val="21"/>
                <w:lang w:val="en-AU"/>
              </w:rPr>
            </w:pPr>
            <w:r w:rsidRPr="00602151">
              <w:rPr>
                <w:rFonts w:ascii="Times New Roman"/>
                <w:sz w:val="21"/>
                <w:lang w:val="en-AU"/>
              </w:rPr>
              <w:t>150</w:t>
            </w:r>
            <w:r w:rsidRPr="00602151">
              <w:rPr>
                <w:rFonts w:ascii="Times New Roman"/>
                <w:spacing w:val="2"/>
                <w:sz w:val="21"/>
                <w:lang w:val="en-AU"/>
              </w:rPr>
              <w:t xml:space="preserve"> </w:t>
            </w:r>
            <w:r w:rsidRPr="00602151">
              <w:rPr>
                <w:rFonts w:ascii="Times New Roman"/>
                <w:sz w:val="21"/>
                <w:lang w:val="en-AU"/>
              </w:rPr>
              <w:t>kHz</w:t>
            </w:r>
            <w:r w:rsidRPr="00602151">
              <w:rPr>
                <w:rFonts w:ascii="Times New Roman"/>
                <w:spacing w:val="28"/>
                <w:sz w:val="21"/>
                <w:lang w:val="en-AU"/>
              </w:rPr>
              <w:t xml:space="preserve"> </w:t>
            </w:r>
            <w:r w:rsidRPr="00602151">
              <w:rPr>
                <w:rFonts w:ascii="Times New Roman"/>
                <w:sz w:val="21"/>
                <w:u w:val="single" w:color="000000"/>
                <w:lang w:val="en-AU"/>
              </w:rPr>
              <w:t xml:space="preserve">&lt; </w:t>
            </w:r>
            <w:r w:rsidRPr="00602151">
              <w:rPr>
                <w:rFonts w:ascii="Times New Roman"/>
                <w:sz w:val="21"/>
                <w:lang w:val="en-AU"/>
              </w:rPr>
              <w:t>f</w:t>
            </w:r>
            <w:r w:rsidRPr="00602151">
              <w:rPr>
                <w:rFonts w:ascii="Times New Roman"/>
                <w:spacing w:val="3"/>
                <w:sz w:val="21"/>
                <w:lang w:val="en-AU"/>
              </w:rPr>
              <w:t xml:space="preserve"> </w:t>
            </w:r>
            <w:r w:rsidRPr="00602151">
              <w:rPr>
                <w:rFonts w:ascii="Times New Roman"/>
                <w:sz w:val="21"/>
                <w:lang w:val="en-AU"/>
              </w:rPr>
              <w:t>&lt;</w:t>
            </w:r>
            <w:r w:rsidRPr="00602151">
              <w:rPr>
                <w:rFonts w:ascii="Times New Roman"/>
                <w:spacing w:val="2"/>
                <w:sz w:val="21"/>
                <w:lang w:val="en-AU"/>
              </w:rPr>
              <w:t xml:space="preserve"> </w:t>
            </w:r>
            <w:r w:rsidRPr="00602151">
              <w:rPr>
                <w:rFonts w:ascii="Times New Roman"/>
                <w:sz w:val="21"/>
                <w:lang w:val="en-AU"/>
              </w:rPr>
              <w:t>30</w:t>
            </w:r>
            <w:r w:rsidRPr="00602151">
              <w:rPr>
                <w:rFonts w:ascii="Times New Roman"/>
                <w:spacing w:val="3"/>
                <w:sz w:val="21"/>
                <w:lang w:val="en-AU"/>
              </w:rPr>
              <w:t xml:space="preserve"> </w:t>
            </w:r>
            <w:r w:rsidRPr="00602151">
              <w:rPr>
                <w:rFonts w:ascii="Times New Roman"/>
                <w:spacing w:val="-1"/>
                <w:sz w:val="21"/>
                <w:lang w:val="en-AU"/>
              </w:rPr>
              <w:t>MHz</w:t>
            </w:r>
          </w:p>
        </w:tc>
        <w:tc>
          <w:tcPr>
            <w:tcW w:w="2810" w:type="dxa"/>
            <w:tcBorders>
              <w:top w:val="single" w:sz="6" w:space="0" w:color="000000"/>
              <w:left w:val="single" w:sz="6" w:space="0" w:color="000000"/>
              <w:bottom w:val="single" w:sz="6" w:space="0" w:color="000000"/>
              <w:right w:val="single" w:sz="6" w:space="0" w:color="000000"/>
            </w:tcBorders>
          </w:tcPr>
          <w:p w14:paraId="615504F8" w14:textId="77777777" w:rsidR="00FB0E13" w:rsidRPr="00602151" w:rsidRDefault="00FB0E13" w:rsidP="00CB7345">
            <w:pPr>
              <w:pStyle w:val="TableParagraph"/>
              <w:jc w:val="center"/>
              <w:rPr>
                <w:rFonts w:ascii="Times New Roman" w:eastAsia="Times New Roman" w:hAnsi="Times New Roman" w:cs="Times New Roman"/>
                <w:sz w:val="21"/>
                <w:szCs w:val="21"/>
                <w:lang w:val="en-AU"/>
              </w:rPr>
            </w:pPr>
            <w:r w:rsidRPr="00602151">
              <w:rPr>
                <w:rFonts w:ascii="Times New Roman"/>
                <w:sz w:val="21"/>
                <w:lang w:val="en-AU"/>
              </w:rPr>
              <w:t>-36</w:t>
            </w:r>
          </w:p>
        </w:tc>
        <w:tc>
          <w:tcPr>
            <w:tcW w:w="1457" w:type="dxa"/>
            <w:tcBorders>
              <w:top w:val="single" w:sz="6" w:space="0" w:color="000000"/>
              <w:left w:val="single" w:sz="6" w:space="0" w:color="000000"/>
              <w:bottom w:val="single" w:sz="6" w:space="0" w:color="000000"/>
              <w:right w:val="single" w:sz="6" w:space="0" w:color="000000"/>
            </w:tcBorders>
          </w:tcPr>
          <w:p w14:paraId="15AC807A" w14:textId="77777777" w:rsidR="00FB0E13" w:rsidRPr="00602151" w:rsidRDefault="00FB0E13" w:rsidP="00FB0E13">
            <w:pPr>
              <w:pStyle w:val="TableParagraph"/>
              <w:ind w:left="399" w:right="-551"/>
              <w:rPr>
                <w:rFonts w:ascii="Times New Roman" w:eastAsia="Times New Roman" w:hAnsi="Times New Roman" w:cs="Times New Roman"/>
                <w:sz w:val="21"/>
                <w:szCs w:val="21"/>
                <w:lang w:val="en-AU"/>
              </w:rPr>
            </w:pPr>
            <w:r w:rsidRPr="00602151">
              <w:rPr>
                <w:rFonts w:ascii="Times New Roman"/>
                <w:sz w:val="21"/>
                <w:lang w:val="en-AU"/>
              </w:rPr>
              <w:t>10</w:t>
            </w:r>
            <w:r w:rsidRPr="00602151">
              <w:rPr>
                <w:rFonts w:ascii="Times New Roman"/>
                <w:spacing w:val="5"/>
                <w:sz w:val="21"/>
                <w:lang w:val="en-AU"/>
              </w:rPr>
              <w:t xml:space="preserve"> </w:t>
            </w:r>
            <w:r w:rsidRPr="00602151">
              <w:rPr>
                <w:rFonts w:ascii="Times New Roman"/>
                <w:sz w:val="21"/>
                <w:lang w:val="en-AU"/>
              </w:rPr>
              <w:t>kHz</w:t>
            </w:r>
          </w:p>
        </w:tc>
      </w:tr>
      <w:tr w:rsidR="00FB0E13" w:rsidRPr="00602151" w14:paraId="071C0C59" w14:textId="77777777" w:rsidTr="00C91433">
        <w:trPr>
          <w:trHeight w:hRule="exact" w:val="320"/>
        </w:trPr>
        <w:tc>
          <w:tcPr>
            <w:tcW w:w="3391" w:type="dxa"/>
            <w:tcBorders>
              <w:top w:val="single" w:sz="6" w:space="0" w:color="000000"/>
              <w:left w:val="single" w:sz="6" w:space="0" w:color="000000"/>
              <w:bottom w:val="single" w:sz="6" w:space="0" w:color="000000"/>
              <w:right w:val="single" w:sz="6" w:space="0" w:color="000000"/>
            </w:tcBorders>
          </w:tcPr>
          <w:p w14:paraId="7076520F" w14:textId="77777777" w:rsidR="00FB0E13" w:rsidRPr="00602151" w:rsidRDefault="00FB0E13" w:rsidP="00CB7345">
            <w:pPr>
              <w:pStyle w:val="TableParagraph"/>
              <w:jc w:val="center"/>
              <w:rPr>
                <w:rFonts w:ascii="Times New Roman" w:eastAsia="Times New Roman" w:hAnsi="Times New Roman" w:cs="Times New Roman"/>
                <w:sz w:val="21"/>
                <w:szCs w:val="21"/>
                <w:lang w:val="en-AU"/>
              </w:rPr>
            </w:pPr>
            <w:r w:rsidRPr="00602151">
              <w:rPr>
                <w:rFonts w:ascii="Times New Roman"/>
                <w:sz w:val="21"/>
                <w:lang w:val="en-AU"/>
              </w:rPr>
              <w:t>30</w:t>
            </w:r>
            <w:r w:rsidRPr="00602151">
              <w:rPr>
                <w:rFonts w:ascii="Times New Roman"/>
                <w:spacing w:val="2"/>
                <w:sz w:val="21"/>
                <w:lang w:val="en-AU"/>
              </w:rPr>
              <w:t xml:space="preserve"> </w:t>
            </w:r>
            <w:r w:rsidRPr="00602151">
              <w:rPr>
                <w:rFonts w:ascii="Times New Roman"/>
                <w:spacing w:val="-1"/>
                <w:sz w:val="21"/>
                <w:lang w:val="en-AU"/>
              </w:rPr>
              <w:t>MHz</w:t>
            </w:r>
            <w:r w:rsidRPr="00602151">
              <w:rPr>
                <w:rFonts w:ascii="Times New Roman"/>
                <w:spacing w:val="27"/>
                <w:sz w:val="21"/>
                <w:lang w:val="en-AU"/>
              </w:rPr>
              <w:t xml:space="preserve"> </w:t>
            </w:r>
            <w:r w:rsidRPr="00602151">
              <w:rPr>
                <w:rFonts w:ascii="Times New Roman"/>
                <w:sz w:val="21"/>
                <w:u w:val="single" w:color="000000"/>
                <w:lang w:val="en-AU"/>
              </w:rPr>
              <w:t xml:space="preserve">&lt; </w:t>
            </w:r>
            <w:r w:rsidRPr="00602151">
              <w:rPr>
                <w:rFonts w:ascii="Times New Roman"/>
                <w:sz w:val="21"/>
                <w:lang w:val="en-AU"/>
              </w:rPr>
              <w:t>f</w:t>
            </w:r>
            <w:r w:rsidRPr="00602151">
              <w:rPr>
                <w:rFonts w:ascii="Times New Roman"/>
                <w:spacing w:val="3"/>
                <w:sz w:val="21"/>
                <w:lang w:val="en-AU"/>
              </w:rPr>
              <w:t xml:space="preserve"> </w:t>
            </w:r>
            <w:r w:rsidRPr="00602151">
              <w:rPr>
                <w:rFonts w:ascii="Times New Roman"/>
                <w:sz w:val="21"/>
                <w:lang w:val="en-AU"/>
              </w:rPr>
              <w:t>&lt;</w:t>
            </w:r>
            <w:r w:rsidRPr="00602151">
              <w:rPr>
                <w:rFonts w:ascii="Times New Roman"/>
                <w:spacing w:val="2"/>
                <w:sz w:val="21"/>
                <w:lang w:val="en-AU"/>
              </w:rPr>
              <w:t xml:space="preserve"> </w:t>
            </w:r>
            <w:r w:rsidRPr="00602151">
              <w:rPr>
                <w:rFonts w:ascii="Times New Roman"/>
                <w:sz w:val="21"/>
                <w:lang w:val="en-AU"/>
              </w:rPr>
              <w:t>1</w:t>
            </w:r>
            <w:r w:rsidRPr="00602151">
              <w:rPr>
                <w:rFonts w:ascii="Times New Roman"/>
                <w:spacing w:val="2"/>
                <w:sz w:val="21"/>
                <w:lang w:val="en-AU"/>
              </w:rPr>
              <w:t xml:space="preserve"> </w:t>
            </w:r>
            <w:r w:rsidRPr="00602151">
              <w:rPr>
                <w:rFonts w:ascii="Times New Roman"/>
                <w:spacing w:val="-1"/>
                <w:sz w:val="21"/>
                <w:lang w:val="en-AU"/>
              </w:rPr>
              <w:t>GHz</w:t>
            </w:r>
          </w:p>
        </w:tc>
        <w:tc>
          <w:tcPr>
            <w:tcW w:w="2810" w:type="dxa"/>
            <w:tcBorders>
              <w:top w:val="single" w:sz="6" w:space="0" w:color="000000"/>
              <w:left w:val="single" w:sz="6" w:space="0" w:color="000000"/>
              <w:bottom w:val="single" w:sz="6" w:space="0" w:color="000000"/>
              <w:right w:val="single" w:sz="6" w:space="0" w:color="000000"/>
            </w:tcBorders>
          </w:tcPr>
          <w:p w14:paraId="06370263" w14:textId="77777777" w:rsidR="00FB0E13" w:rsidRPr="00602151" w:rsidRDefault="00FB0E13" w:rsidP="00CB7345">
            <w:pPr>
              <w:pStyle w:val="TableParagraph"/>
              <w:jc w:val="center"/>
              <w:rPr>
                <w:rFonts w:ascii="Times New Roman" w:eastAsia="Times New Roman" w:hAnsi="Times New Roman" w:cs="Times New Roman"/>
                <w:sz w:val="21"/>
                <w:szCs w:val="21"/>
                <w:lang w:val="en-AU"/>
              </w:rPr>
            </w:pPr>
            <w:r w:rsidRPr="00602151">
              <w:rPr>
                <w:rFonts w:ascii="Times New Roman"/>
                <w:sz w:val="21"/>
                <w:lang w:val="en-AU"/>
              </w:rPr>
              <w:t>-36</w:t>
            </w:r>
          </w:p>
        </w:tc>
        <w:tc>
          <w:tcPr>
            <w:tcW w:w="1457" w:type="dxa"/>
            <w:tcBorders>
              <w:top w:val="single" w:sz="6" w:space="0" w:color="000000"/>
              <w:left w:val="single" w:sz="6" w:space="0" w:color="000000"/>
              <w:bottom w:val="single" w:sz="6" w:space="0" w:color="000000"/>
              <w:right w:val="single" w:sz="6" w:space="0" w:color="000000"/>
            </w:tcBorders>
          </w:tcPr>
          <w:p w14:paraId="07634A0A" w14:textId="77777777" w:rsidR="00FB0E13" w:rsidRPr="00602151" w:rsidRDefault="00FB0E13" w:rsidP="00FB0E13">
            <w:pPr>
              <w:pStyle w:val="TableParagraph"/>
              <w:ind w:left="340" w:right="-551"/>
              <w:rPr>
                <w:rFonts w:ascii="Times New Roman" w:eastAsia="Times New Roman" w:hAnsi="Times New Roman" w:cs="Times New Roman"/>
                <w:sz w:val="21"/>
                <w:szCs w:val="21"/>
                <w:lang w:val="en-AU"/>
              </w:rPr>
            </w:pPr>
            <w:r w:rsidRPr="00602151">
              <w:rPr>
                <w:rFonts w:ascii="Times New Roman"/>
                <w:sz w:val="21"/>
                <w:lang w:val="en-AU"/>
              </w:rPr>
              <w:t>100</w:t>
            </w:r>
            <w:r w:rsidRPr="00602151">
              <w:rPr>
                <w:rFonts w:ascii="Times New Roman"/>
                <w:spacing w:val="6"/>
                <w:sz w:val="21"/>
                <w:lang w:val="en-AU"/>
              </w:rPr>
              <w:t xml:space="preserve"> </w:t>
            </w:r>
            <w:r w:rsidRPr="00602151">
              <w:rPr>
                <w:rFonts w:ascii="Times New Roman"/>
                <w:sz w:val="21"/>
                <w:lang w:val="en-AU"/>
              </w:rPr>
              <w:t>kHz</w:t>
            </w:r>
          </w:p>
        </w:tc>
      </w:tr>
      <w:tr w:rsidR="004901BA" w:rsidRPr="00602151" w14:paraId="32EA14B1" w14:textId="77777777" w:rsidTr="00C91433">
        <w:trPr>
          <w:trHeight w:hRule="exact" w:val="320"/>
        </w:trPr>
        <w:tc>
          <w:tcPr>
            <w:tcW w:w="3391" w:type="dxa"/>
            <w:tcBorders>
              <w:top w:val="single" w:sz="6" w:space="0" w:color="000000"/>
              <w:left w:val="single" w:sz="6" w:space="0" w:color="000000"/>
              <w:bottom w:val="single" w:sz="6" w:space="0" w:color="000000"/>
              <w:right w:val="single" w:sz="6" w:space="0" w:color="000000"/>
            </w:tcBorders>
          </w:tcPr>
          <w:p w14:paraId="78C62B1B" w14:textId="3F3409FD" w:rsidR="004901BA" w:rsidRPr="00602151" w:rsidRDefault="004901BA" w:rsidP="004901BA">
            <w:pPr>
              <w:pStyle w:val="TableParagraph"/>
              <w:jc w:val="center"/>
              <w:rPr>
                <w:rFonts w:ascii="Times New Roman"/>
                <w:sz w:val="21"/>
                <w:lang w:val="en-AU"/>
              </w:rPr>
            </w:pPr>
            <w:r w:rsidRPr="00602151">
              <w:rPr>
                <w:rFonts w:ascii="Times New Roman"/>
                <w:sz w:val="21"/>
                <w:lang w:val="en-AU"/>
              </w:rPr>
              <w:t>1</w:t>
            </w:r>
            <w:r w:rsidRPr="00602151">
              <w:rPr>
                <w:rFonts w:ascii="Times New Roman"/>
                <w:spacing w:val="2"/>
                <w:sz w:val="21"/>
                <w:lang w:val="en-AU"/>
              </w:rPr>
              <w:t xml:space="preserve"> </w:t>
            </w:r>
            <w:r w:rsidRPr="00602151">
              <w:rPr>
                <w:rFonts w:ascii="Times New Roman"/>
                <w:spacing w:val="-1"/>
                <w:sz w:val="21"/>
                <w:lang w:val="en-AU"/>
              </w:rPr>
              <w:t>GHz</w:t>
            </w:r>
            <w:r w:rsidRPr="00602151">
              <w:rPr>
                <w:rFonts w:ascii="Times New Roman"/>
                <w:spacing w:val="15"/>
                <w:sz w:val="21"/>
                <w:lang w:val="en-AU"/>
              </w:rPr>
              <w:t xml:space="preserve"> </w:t>
            </w:r>
            <w:r w:rsidRPr="00602151">
              <w:rPr>
                <w:rFonts w:ascii="Times New Roman"/>
                <w:sz w:val="21"/>
                <w:u w:val="single" w:color="000000"/>
                <w:lang w:val="en-AU"/>
              </w:rPr>
              <w:t>&lt;</w:t>
            </w:r>
            <w:r w:rsidRPr="00602151">
              <w:rPr>
                <w:rFonts w:ascii="Times New Roman"/>
                <w:spacing w:val="13"/>
                <w:sz w:val="21"/>
                <w:u w:val="single" w:color="000000"/>
                <w:lang w:val="en-AU"/>
              </w:rPr>
              <w:t xml:space="preserve"> </w:t>
            </w:r>
            <w:r w:rsidRPr="00602151">
              <w:rPr>
                <w:rFonts w:ascii="Times New Roman"/>
                <w:sz w:val="21"/>
                <w:lang w:val="en-AU"/>
              </w:rPr>
              <w:t>f</w:t>
            </w:r>
            <w:r w:rsidRPr="00602151">
              <w:rPr>
                <w:rFonts w:ascii="Times New Roman"/>
                <w:spacing w:val="3"/>
                <w:sz w:val="21"/>
                <w:lang w:val="en-AU"/>
              </w:rPr>
              <w:t xml:space="preserve"> </w:t>
            </w:r>
            <w:r w:rsidRPr="00602151">
              <w:rPr>
                <w:rFonts w:ascii="Times New Roman"/>
                <w:sz w:val="21"/>
                <w:lang w:val="en-AU"/>
              </w:rPr>
              <w:t>&lt;</w:t>
            </w:r>
            <w:r w:rsidRPr="00602151">
              <w:rPr>
                <w:rFonts w:ascii="Times New Roman"/>
                <w:spacing w:val="3"/>
                <w:sz w:val="21"/>
                <w:lang w:val="en-AU"/>
              </w:rPr>
              <w:t xml:space="preserve"> </w:t>
            </w:r>
            <w:r>
              <w:rPr>
                <w:rFonts w:ascii="Times New Roman"/>
                <w:sz w:val="21"/>
                <w:lang w:val="en-AU"/>
              </w:rPr>
              <w:t xml:space="preserve">3.5 </w:t>
            </w:r>
            <w:r w:rsidRPr="00602151">
              <w:rPr>
                <w:rFonts w:ascii="Times New Roman"/>
                <w:spacing w:val="-1"/>
                <w:sz w:val="21"/>
                <w:lang w:val="en-AU"/>
              </w:rPr>
              <w:t>GHz</w:t>
            </w:r>
          </w:p>
        </w:tc>
        <w:tc>
          <w:tcPr>
            <w:tcW w:w="2810" w:type="dxa"/>
            <w:tcBorders>
              <w:top w:val="single" w:sz="6" w:space="0" w:color="000000"/>
              <w:left w:val="single" w:sz="6" w:space="0" w:color="000000"/>
              <w:bottom w:val="single" w:sz="6" w:space="0" w:color="000000"/>
              <w:right w:val="single" w:sz="6" w:space="0" w:color="000000"/>
            </w:tcBorders>
          </w:tcPr>
          <w:p w14:paraId="65709129" w14:textId="70EEDB18" w:rsidR="004901BA" w:rsidRPr="00602151" w:rsidRDefault="004901BA" w:rsidP="004901BA">
            <w:pPr>
              <w:pStyle w:val="TableParagraph"/>
              <w:jc w:val="center"/>
              <w:rPr>
                <w:rFonts w:ascii="Times New Roman"/>
                <w:sz w:val="21"/>
                <w:lang w:val="en-AU"/>
              </w:rPr>
            </w:pPr>
            <w:r w:rsidRPr="00602151">
              <w:rPr>
                <w:rFonts w:ascii="Times New Roman"/>
                <w:sz w:val="21"/>
                <w:lang w:val="en-AU"/>
              </w:rPr>
              <w:t>-</w:t>
            </w:r>
            <w:r>
              <w:rPr>
                <w:rFonts w:ascii="Times New Roman"/>
                <w:sz w:val="21"/>
                <w:lang w:val="en-AU"/>
              </w:rPr>
              <w:t>2</w:t>
            </w:r>
          </w:p>
        </w:tc>
        <w:tc>
          <w:tcPr>
            <w:tcW w:w="1457" w:type="dxa"/>
            <w:tcBorders>
              <w:top w:val="single" w:sz="6" w:space="0" w:color="000000"/>
              <w:left w:val="single" w:sz="6" w:space="0" w:color="000000"/>
              <w:bottom w:val="single" w:sz="6" w:space="0" w:color="000000"/>
              <w:right w:val="single" w:sz="6" w:space="0" w:color="000000"/>
            </w:tcBorders>
          </w:tcPr>
          <w:p w14:paraId="2A7DB088" w14:textId="4A6BA02C" w:rsidR="004901BA" w:rsidRPr="00602151" w:rsidRDefault="004901BA" w:rsidP="004901BA">
            <w:pPr>
              <w:pStyle w:val="TableParagraph"/>
              <w:ind w:left="340" w:right="-551"/>
              <w:rPr>
                <w:rFonts w:ascii="Times New Roman"/>
                <w:sz w:val="21"/>
                <w:lang w:val="en-AU"/>
              </w:rPr>
            </w:pPr>
            <w:r>
              <w:rPr>
                <w:rFonts w:ascii="Times New Roman"/>
                <w:sz w:val="21"/>
                <w:lang w:val="en-AU"/>
              </w:rPr>
              <w:t xml:space="preserve"> </w:t>
            </w:r>
            <w:r w:rsidRPr="00602151">
              <w:rPr>
                <w:rFonts w:ascii="Times New Roman"/>
                <w:sz w:val="21"/>
                <w:lang w:val="en-AU"/>
              </w:rPr>
              <w:t>1</w:t>
            </w:r>
            <w:r w:rsidRPr="00602151">
              <w:rPr>
                <w:rFonts w:ascii="Times New Roman"/>
                <w:spacing w:val="5"/>
                <w:sz w:val="21"/>
                <w:lang w:val="en-AU"/>
              </w:rPr>
              <w:t xml:space="preserve"> </w:t>
            </w:r>
            <w:r w:rsidRPr="00602151">
              <w:rPr>
                <w:rFonts w:ascii="Times New Roman"/>
                <w:spacing w:val="-1"/>
                <w:sz w:val="21"/>
                <w:lang w:val="en-AU"/>
              </w:rPr>
              <w:t>MHz</w:t>
            </w:r>
          </w:p>
        </w:tc>
      </w:tr>
      <w:tr w:rsidR="00FB0E13" w:rsidRPr="00602151" w14:paraId="04BD6063" w14:textId="77777777" w:rsidTr="00C91433">
        <w:trPr>
          <w:trHeight w:hRule="exact" w:val="320"/>
        </w:trPr>
        <w:tc>
          <w:tcPr>
            <w:tcW w:w="3391" w:type="dxa"/>
            <w:tcBorders>
              <w:top w:val="single" w:sz="6" w:space="0" w:color="000000"/>
              <w:left w:val="single" w:sz="6" w:space="0" w:color="000000"/>
              <w:bottom w:val="single" w:sz="6" w:space="0" w:color="000000"/>
              <w:right w:val="single" w:sz="6" w:space="0" w:color="000000"/>
            </w:tcBorders>
          </w:tcPr>
          <w:p w14:paraId="5A1253F9" w14:textId="7680D717" w:rsidR="00FB0E13" w:rsidRPr="00602151" w:rsidRDefault="004901BA" w:rsidP="00CB7345">
            <w:pPr>
              <w:pStyle w:val="TableParagraph"/>
              <w:jc w:val="center"/>
              <w:rPr>
                <w:rFonts w:ascii="Times New Roman" w:eastAsia="Times New Roman" w:hAnsi="Times New Roman" w:cs="Times New Roman"/>
                <w:sz w:val="21"/>
                <w:szCs w:val="21"/>
                <w:lang w:val="en-AU"/>
              </w:rPr>
            </w:pPr>
            <w:r>
              <w:rPr>
                <w:rFonts w:ascii="Times New Roman"/>
                <w:sz w:val="21"/>
                <w:lang w:val="en-AU"/>
              </w:rPr>
              <w:t>3.5</w:t>
            </w:r>
            <w:r w:rsidR="00FB0E13" w:rsidRPr="00602151">
              <w:rPr>
                <w:rFonts w:ascii="Times New Roman"/>
                <w:spacing w:val="2"/>
                <w:sz w:val="21"/>
                <w:lang w:val="en-AU"/>
              </w:rPr>
              <w:t xml:space="preserve"> </w:t>
            </w:r>
            <w:r w:rsidR="00FB0E13" w:rsidRPr="00602151">
              <w:rPr>
                <w:rFonts w:ascii="Times New Roman"/>
                <w:spacing w:val="-1"/>
                <w:sz w:val="21"/>
                <w:lang w:val="en-AU"/>
              </w:rPr>
              <w:t>GHz</w:t>
            </w:r>
            <w:r w:rsidR="00FB0E13" w:rsidRPr="00602151">
              <w:rPr>
                <w:rFonts w:ascii="Times New Roman"/>
                <w:spacing w:val="15"/>
                <w:sz w:val="21"/>
                <w:lang w:val="en-AU"/>
              </w:rPr>
              <w:t xml:space="preserve"> </w:t>
            </w:r>
            <w:r w:rsidR="00FB0E13" w:rsidRPr="00602151">
              <w:rPr>
                <w:rFonts w:ascii="Times New Roman"/>
                <w:sz w:val="21"/>
                <w:u w:val="single" w:color="000000"/>
                <w:lang w:val="en-AU"/>
              </w:rPr>
              <w:t>&lt;</w:t>
            </w:r>
            <w:r w:rsidR="00FB0E13" w:rsidRPr="00602151">
              <w:rPr>
                <w:rFonts w:ascii="Times New Roman"/>
                <w:spacing w:val="13"/>
                <w:sz w:val="21"/>
                <w:u w:val="single" w:color="000000"/>
                <w:lang w:val="en-AU"/>
              </w:rPr>
              <w:t xml:space="preserve"> </w:t>
            </w:r>
            <w:r w:rsidR="00FB0E13" w:rsidRPr="00602151">
              <w:rPr>
                <w:rFonts w:ascii="Times New Roman"/>
                <w:sz w:val="21"/>
                <w:lang w:val="en-AU"/>
              </w:rPr>
              <w:t>f</w:t>
            </w:r>
            <w:r w:rsidR="00FB0E13" w:rsidRPr="00602151">
              <w:rPr>
                <w:rFonts w:ascii="Times New Roman"/>
                <w:spacing w:val="3"/>
                <w:sz w:val="21"/>
                <w:lang w:val="en-AU"/>
              </w:rPr>
              <w:t xml:space="preserve"> </w:t>
            </w:r>
            <w:r w:rsidR="00FB0E13" w:rsidRPr="00602151">
              <w:rPr>
                <w:rFonts w:ascii="Times New Roman"/>
                <w:sz w:val="21"/>
                <w:lang w:val="en-AU"/>
              </w:rPr>
              <w:t>&lt;</w:t>
            </w:r>
            <w:r w:rsidR="00FB0E13" w:rsidRPr="00602151">
              <w:rPr>
                <w:rFonts w:ascii="Times New Roman"/>
                <w:spacing w:val="3"/>
                <w:sz w:val="21"/>
                <w:lang w:val="en-AU"/>
              </w:rPr>
              <w:t xml:space="preserve"> </w:t>
            </w:r>
            <w:r w:rsidR="00FB0E13" w:rsidRPr="00602151">
              <w:rPr>
                <w:rFonts w:ascii="Times New Roman"/>
                <w:sz w:val="21"/>
                <w:lang w:val="en-AU"/>
              </w:rPr>
              <w:t>12.75</w:t>
            </w:r>
            <w:r w:rsidR="00FB0E13" w:rsidRPr="00602151">
              <w:rPr>
                <w:rFonts w:ascii="Times New Roman"/>
                <w:spacing w:val="2"/>
                <w:sz w:val="21"/>
                <w:lang w:val="en-AU"/>
              </w:rPr>
              <w:t xml:space="preserve"> </w:t>
            </w:r>
            <w:r w:rsidR="00FB0E13" w:rsidRPr="00602151">
              <w:rPr>
                <w:rFonts w:ascii="Times New Roman"/>
                <w:spacing w:val="-1"/>
                <w:sz w:val="21"/>
                <w:lang w:val="en-AU"/>
              </w:rPr>
              <w:t>GHz</w:t>
            </w:r>
          </w:p>
        </w:tc>
        <w:tc>
          <w:tcPr>
            <w:tcW w:w="2810" w:type="dxa"/>
            <w:tcBorders>
              <w:top w:val="single" w:sz="6" w:space="0" w:color="000000"/>
              <w:left w:val="single" w:sz="6" w:space="0" w:color="000000"/>
              <w:bottom w:val="single" w:sz="6" w:space="0" w:color="000000"/>
              <w:right w:val="single" w:sz="6" w:space="0" w:color="000000"/>
            </w:tcBorders>
          </w:tcPr>
          <w:p w14:paraId="0C2C66A7" w14:textId="77777777" w:rsidR="00FB0E13" w:rsidRPr="00602151" w:rsidRDefault="00FB0E13" w:rsidP="00CB7345">
            <w:pPr>
              <w:pStyle w:val="TableParagraph"/>
              <w:jc w:val="center"/>
              <w:rPr>
                <w:rFonts w:ascii="Times New Roman" w:eastAsia="Times New Roman" w:hAnsi="Times New Roman" w:cs="Times New Roman"/>
                <w:sz w:val="21"/>
                <w:szCs w:val="21"/>
                <w:lang w:val="en-AU"/>
              </w:rPr>
            </w:pPr>
            <w:r w:rsidRPr="00602151">
              <w:rPr>
                <w:rFonts w:ascii="Times New Roman"/>
                <w:sz w:val="21"/>
                <w:lang w:val="en-AU"/>
              </w:rPr>
              <w:t>-30</w:t>
            </w:r>
          </w:p>
        </w:tc>
        <w:tc>
          <w:tcPr>
            <w:tcW w:w="1457" w:type="dxa"/>
            <w:tcBorders>
              <w:top w:val="single" w:sz="6" w:space="0" w:color="000000"/>
              <w:left w:val="single" w:sz="6" w:space="0" w:color="000000"/>
              <w:bottom w:val="single" w:sz="6" w:space="0" w:color="000000"/>
              <w:right w:val="single" w:sz="6" w:space="0" w:color="000000"/>
            </w:tcBorders>
          </w:tcPr>
          <w:p w14:paraId="1E6ADD6D" w14:textId="77777777" w:rsidR="00FB0E13" w:rsidRPr="00602151" w:rsidRDefault="00FB0E13" w:rsidP="00FB0E13">
            <w:pPr>
              <w:pStyle w:val="TableParagraph"/>
              <w:ind w:left="411" w:right="-551"/>
              <w:rPr>
                <w:rFonts w:ascii="Times New Roman" w:eastAsia="Times New Roman" w:hAnsi="Times New Roman" w:cs="Times New Roman"/>
                <w:sz w:val="21"/>
                <w:szCs w:val="21"/>
                <w:lang w:val="en-AU"/>
              </w:rPr>
            </w:pPr>
            <w:r w:rsidRPr="00602151">
              <w:rPr>
                <w:rFonts w:ascii="Times New Roman"/>
                <w:sz w:val="21"/>
                <w:lang w:val="en-AU"/>
              </w:rPr>
              <w:t>1</w:t>
            </w:r>
            <w:r w:rsidRPr="00602151">
              <w:rPr>
                <w:rFonts w:ascii="Times New Roman"/>
                <w:spacing w:val="5"/>
                <w:sz w:val="21"/>
                <w:lang w:val="en-AU"/>
              </w:rPr>
              <w:t xml:space="preserve"> </w:t>
            </w:r>
            <w:r w:rsidRPr="00602151">
              <w:rPr>
                <w:rFonts w:ascii="Times New Roman"/>
                <w:spacing w:val="-1"/>
                <w:sz w:val="21"/>
                <w:lang w:val="en-AU"/>
              </w:rPr>
              <w:t>MHz</w:t>
            </w:r>
          </w:p>
        </w:tc>
      </w:tr>
      <w:bookmarkEnd w:id="85"/>
    </w:tbl>
    <w:p w14:paraId="70277BDF" w14:textId="77777777" w:rsidR="00FB0E13" w:rsidRPr="00602151" w:rsidRDefault="00FB0E13" w:rsidP="00FB0E13">
      <w:pPr>
        <w:spacing w:after="0"/>
        <w:ind w:right="-551"/>
        <w:rPr>
          <w:rFonts w:ascii="Times New Roman" w:hAnsi="Times New Roman"/>
          <w:b/>
          <w:bCs/>
          <w:szCs w:val="20"/>
        </w:rPr>
      </w:pPr>
    </w:p>
    <w:p w14:paraId="35C805E9" w14:textId="64DA2FD2" w:rsidR="004901BA" w:rsidRPr="00602151" w:rsidRDefault="004901BA" w:rsidP="004901BA">
      <w:pPr>
        <w:pStyle w:val="BodyText"/>
        <w:numPr>
          <w:ilvl w:val="0"/>
          <w:numId w:val="27"/>
        </w:numPr>
        <w:tabs>
          <w:tab w:val="left" w:pos="614"/>
        </w:tabs>
        <w:ind w:left="614" w:right="-551" w:hanging="348"/>
        <w:jc w:val="left"/>
        <w:rPr>
          <w:lang w:val="en-AU"/>
        </w:rPr>
      </w:pPr>
      <w:r w:rsidRPr="004901BA">
        <w:rPr>
          <w:spacing w:val="7"/>
          <w:lang w:val="en-AU"/>
        </w:rPr>
        <w:t>For radiocommunications receivers operated under this licence, the spurious emission limits in Table 7 apply at frequencies outside the 1710-1785 MHz and 1805-1880 MHz frequency bands, measured over the specified bandwidth for the relevant frequency range</w:t>
      </w:r>
    </w:p>
    <w:p w14:paraId="1159D99B" w14:textId="383B9556" w:rsidR="00FB0E13" w:rsidRPr="00602151" w:rsidRDefault="00CB7345" w:rsidP="001679C8">
      <w:pPr>
        <w:pStyle w:val="BodyText"/>
        <w:spacing w:before="240" w:after="120" w:line="285" w:lineRule="auto"/>
        <w:ind w:left="0" w:right="-551" w:firstLine="0"/>
        <w:jc w:val="center"/>
        <w:rPr>
          <w:b/>
          <w:bCs/>
          <w:lang w:val="en-AU"/>
        </w:rPr>
      </w:pPr>
      <w:r w:rsidRPr="00602151">
        <w:rPr>
          <w:b/>
          <w:bCs/>
          <w:lang w:val="en-AU"/>
        </w:rPr>
        <w:t xml:space="preserve">Table </w:t>
      </w:r>
      <w:r w:rsidR="004901BA">
        <w:rPr>
          <w:b/>
          <w:bCs/>
          <w:lang w:val="en-AU"/>
        </w:rPr>
        <w:t>7</w:t>
      </w:r>
      <w:r w:rsidRPr="00602151">
        <w:rPr>
          <w:b/>
          <w:bCs/>
          <w:lang w:val="en-AU"/>
        </w:rPr>
        <w:t xml:space="preserve">: Radiocommunications </w:t>
      </w:r>
      <w:r w:rsidR="001679C8" w:rsidRPr="00602151">
        <w:rPr>
          <w:b/>
          <w:bCs/>
          <w:lang w:val="en-AU"/>
        </w:rPr>
        <w:t xml:space="preserve">receiver </w:t>
      </w:r>
      <w:r w:rsidRPr="00602151">
        <w:rPr>
          <w:b/>
          <w:bCs/>
          <w:lang w:val="en-AU"/>
        </w:rPr>
        <w:t>spurious emission limits</w:t>
      </w:r>
    </w:p>
    <w:tbl>
      <w:tblPr>
        <w:tblW w:w="7596" w:type="dxa"/>
        <w:tblInd w:w="232" w:type="dxa"/>
        <w:tblLayout w:type="fixed"/>
        <w:tblCellMar>
          <w:left w:w="0" w:type="dxa"/>
          <w:right w:w="0" w:type="dxa"/>
        </w:tblCellMar>
        <w:tblLook w:val="01E0" w:firstRow="1" w:lastRow="1" w:firstColumn="1" w:lastColumn="1" w:noHBand="0" w:noVBand="0"/>
      </w:tblPr>
      <w:tblGrid>
        <w:gridCol w:w="3391"/>
        <w:gridCol w:w="2748"/>
        <w:gridCol w:w="1457"/>
      </w:tblGrid>
      <w:tr w:rsidR="00FB0E13" w:rsidRPr="00602151" w14:paraId="73666D51" w14:textId="77777777" w:rsidTr="00C91433">
        <w:trPr>
          <w:trHeight w:hRule="exact" w:val="613"/>
        </w:trPr>
        <w:tc>
          <w:tcPr>
            <w:tcW w:w="3391" w:type="dxa"/>
            <w:tcBorders>
              <w:top w:val="single" w:sz="6" w:space="0" w:color="000000"/>
              <w:left w:val="single" w:sz="6" w:space="0" w:color="000000"/>
              <w:bottom w:val="single" w:sz="6" w:space="0" w:color="000000"/>
              <w:right w:val="single" w:sz="6" w:space="0" w:color="000000"/>
            </w:tcBorders>
          </w:tcPr>
          <w:p w14:paraId="3EFDCA47" w14:textId="77777777" w:rsidR="00FB0E13" w:rsidRPr="00602151" w:rsidRDefault="00FB0E13" w:rsidP="001679C8">
            <w:pPr>
              <w:pStyle w:val="TableParagraph"/>
              <w:jc w:val="center"/>
              <w:rPr>
                <w:rFonts w:ascii="Times New Roman" w:eastAsia="Times New Roman" w:hAnsi="Times New Roman" w:cs="Times New Roman"/>
                <w:sz w:val="23"/>
                <w:szCs w:val="23"/>
                <w:lang w:val="en-AU"/>
              </w:rPr>
            </w:pPr>
            <w:r w:rsidRPr="00602151">
              <w:rPr>
                <w:rFonts w:ascii="Times New Roman"/>
                <w:b/>
                <w:spacing w:val="-5"/>
                <w:sz w:val="23"/>
                <w:lang w:val="en-AU"/>
              </w:rPr>
              <w:t>Frequency</w:t>
            </w:r>
            <w:r w:rsidRPr="00602151">
              <w:rPr>
                <w:rFonts w:ascii="Times New Roman"/>
                <w:b/>
                <w:spacing w:val="17"/>
                <w:sz w:val="23"/>
                <w:lang w:val="en-AU"/>
              </w:rPr>
              <w:t xml:space="preserve"> </w:t>
            </w:r>
            <w:r w:rsidRPr="00602151">
              <w:rPr>
                <w:rFonts w:ascii="Times New Roman"/>
                <w:b/>
                <w:spacing w:val="-5"/>
                <w:sz w:val="23"/>
                <w:lang w:val="en-AU"/>
              </w:rPr>
              <w:t>range</w:t>
            </w:r>
          </w:p>
          <w:p w14:paraId="2945DDC3" w14:textId="77777777" w:rsidR="00FB0E13" w:rsidRPr="00602151" w:rsidRDefault="00FB0E13" w:rsidP="001679C8">
            <w:pPr>
              <w:pStyle w:val="TableParagraph"/>
              <w:jc w:val="center"/>
              <w:rPr>
                <w:rFonts w:ascii="Times New Roman" w:eastAsia="Times New Roman" w:hAnsi="Times New Roman" w:cs="Times New Roman"/>
                <w:sz w:val="23"/>
                <w:szCs w:val="23"/>
                <w:lang w:val="en-AU"/>
              </w:rPr>
            </w:pPr>
            <w:r w:rsidRPr="00602151">
              <w:rPr>
                <w:rFonts w:ascii="Times New Roman"/>
                <w:b/>
                <w:sz w:val="23"/>
                <w:lang w:val="en-AU"/>
              </w:rPr>
              <w:t>(f)</w:t>
            </w:r>
          </w:p>
        </w:tc>
        <w:tc>
          <w:tcPr>
            <w:tcW w:w="2748" w:type="dxa"/>
            <w:tcBorders>
              <w:top w:val="single" w:sz="6" w:space="0" w:color="000000"/>
              <w:left w:val="single" w:sz="6" w:space="0" w:color="000000"/>
              <w:bottom w:val="single" w:sz="6" w:space="0" w:color="000000"/>
              <w:right w:val="single" w:sz="6" w:space="0" w:color="000000"/>
            </w:tcBorders>
          </w:tcPr>
          <w:p w14:paraId="78593EC1" w14:textId="00DDD94C" w:rsidR="00FB0E13" w:rsidRPr="00602151" w:rsidRDefault="004901BA" w:rsidP="001679C8">
            <w:pPr>
              <w:pStyle w:val="TableParagraph"/>
              <w:jc w:val="center"/>
              <w:rPr>
                <w:rFonts w:ascii="Times New Roman" w:eastAsia="Times New Roman" w:hAnsi="Times New Roman" w:cs="Times New Roman"/>
                <w:sz w:val="23"/>
                <w:szCs w:val="23"/>
                <w:lang w:val="en-AU"/>
              </w:rPr>
            </w:pPr>
            <w:r>
              <w:rPr>
                <w:rFonts w:ascii="Times New Roman"/>
                <w:b/>
                <w:spacing w:val="-1"/>
                <w:sz w:val="23"/>
                <w:lang w:val="en-AU"/>
              </w:rPr>
              <w:t>Radiated m</w:t>
            </w:r>
            <w:r w:rsidR="00FB0E13" w:rsidRPr="00602151">
              <w:rPr>
                <w:rFonts w:ascii="Times New Roman"/>
                <w:b/>
                <w:spacing w:val="-1"/>
                <w:sz w:val="23"/>
                <w:lang w:val="en-AU"/>
              </w:rPr>
              <w:t>ean</w:t>
            </w:r>
            <w:r w:rsidR="00FB0E13" w:rsidRPr="00602151">
              <w:rPr>
                <w:rFonts w:ascii="Times New Roman"/>
                <w:b/>
                <w:spacing w:val="12"/>
                <w:sz w:val="23"/>
                <w:lang w:val="en-AU"/>
              </w:rPr>
              <w:t xml:space="preserve"> </w:t>
            </w:r>
            <w:r w:rsidR="00FB0E13" w:rsidRPr="00602151">
              <w:rPr>
                <w:rFonts w:ascii="Times New Roman"/>
                <w:b/>
                <w:spacing w:val="-1"/>
                <w:sz w:val="23"/>
                <w:lang w:val="en-AU"/>
              </w:rPr>
              <w:t>power</w:t>
            </w:r>
          </w:p>
          <w:p w14:paraId="12C965CE" w14:textId="70278EB9" w:rsidR="00FB0E13" w:rsidRPr="00602151" w:rsidRDefault="00FB0E13" w:rsidP="001679C8">
            <w:pPr>
              <w:pStyle w:val="TableParagraph"/>
              <w:jc w:val="center"/>
              <w:rPr>
                <w:rFonts w:ascii="Times New Roman" w:eastAsia="Times New Roman" w:hAnsi="Times New Roman" w:cs="Times New Roman"/>
                <w:sz w:val="23"/>
                <w:szCs w:val="23"/>
                <w:lang w:val="en-AU"/>
              </w:rPr>
            </w:pPr>
            <w:r w:rsidRPr="00602151">
              <w:rPr>
                <w:rFonts w:ascii="Times New Roman"/>
                <w:b/>
                <w:spacing w:val="-8"/>
                <w:sz w:val="23"/>
                <w:lang w:val="en-AU"/>
              </w:rPr>
              <w:t>(dBm</w:t>
            </w:r>
            <w:r w:rsidR="004901BA">
              <w:rPr>
                <w:rFonts w:ascii="Times New Roman"/>
                <w:b/>
                <w:spacing w:val="-8"/>
                <w:sz w:val="23"/>
                <w:lang w:val="en-AU"/>
              </w:rPr>
              <w:t xml:space="preserve"> EIRP</w:t>
            </w:r>
            <w:r w:rsidRPr="00602151">
              <w:rPr>
                <w:rFonts w:ascii="Times New Roman"/>
                <w:b/>
                <w:spacing w:val="-8"/>
                <w:sz w:val="23"/>
                <w:lang w:val="en-AU"/>
              </w:rPr>
              <w:t>)</w:t>
            </w:r>
          </w:p>
        </w:tc>
        <w:tc>
          <w:tcPr>
            <w:tcW w:w="1457" w:type="dxa"/>
            <w:tcBorders>
              <w:top w:val="single" w:sz="6" w:space="0" w:color="000000"/>
              <w:left w:val="single" w:sz="6" w:space="0" w:color="000000"/>
              <w:bottom w:val="single" w:sz="6" w:space="0" w:color="000000"/>
              <w:right w:val="single" w:sz="6" w:space="0" w:color="000000"/>
            </w:tcBorders>
          </w:tcPr>
          <w:p w14:paraId="535354B2" w14:textId="77777777" w:rsidR="00FB0E13" w:rsidRPr="00602151" w:rsidRDefault="00FB0E13" w:rsidP="00FB0E13">
            <w:pPr>
              <w:pStyle w:val="TableParagraph"/>
              <w:ind w:left="191" w:right="-551" w:firstLine="70"/>
              <w:rPr>
                <w:rFonts w:ascii="Times New Roman" w:eastAsia="Times New Roman" w:hAnsi="Times New Roman" w:cs="Times New Roman"/>
                <w:sz w:val="23"/>
                <w:szCs w:val="23"/>
                <w:lang w:val="en-AU"/>
              </w:rPr>
            </w:pPr>
            <w:r w:rsidRPr="00602151">
              <w:rPr>
                <w:rFonts w:ascii="Times New Roman"/>
                <w:b/>
                <w:spacing w:val="-2"/>
                <w:sz w:val="23"/>
                <w:lang w:val="en-AU"/>
              </w:rPr>
              <w:t>Specified</w:t>
            </w:r>
          </w:p>
          <w:p w14:paraId="3EE507BB" w14:textId="77777777" w:rsidR="00FB0E13" w:rsidRPr="00602151" w:rsidRDefault="00FB0E13" w:rsidP="00FB0E13">
            <w:pPr>
              <w:pStyle w:val="TableParagraph"/>
              <w:ind w:left="191" w:right="-551"/>
              <w:rPr>
                <w:rFonts w:ascii="Times New Roman" w:eastAsia="Times New Roman" w:hAnsi="Times New Roman" w:cs="Times New Roman"/>
                <w:sz w:val="23"/>
                <w:szCs w:val="23"/>
                <w:lang w:val="en-AU"/>
              </w:rPr>
            </w:pPr>
            <w:r w:rsidRPr="00602151">
              <w:rPr>
                <w:rFonts w:ascii="Times New Roman"/>
                <w:b/>
                <w:spacing w:val="-6"/>
                <w:sz w:val="23"/>
                <w:lang w:val="en-AU"/>
              </w:rPr>
              <w:t>Bandwidth</w:t>
            </w:r>
          </w:p>
        </w:tc>
      </w:tr>
      <w:tr w:rsidR="004901BA" w:rsidRPr="00602151" w14:paraId="3903BEE5" w14:textId="77777777" w:rsidTr="00C91433">
        <w:trPr>
          <w:trHeight w:hRule="exact" w:val="318"/>
        </w:trPr>
        <w:tc>
          <w:tcPr>
            <w:tcW w:w="3391" w:type="dxa"/>
            <w:tcBorders>
              <w:top w:val="single" w:sz="6" w:space="0" w:color="000000"/>
              <w:left w:val="single" w:sz="6" w:space="0" w:color="000000"/>
              <w:bottom w:val="single" w:sz="6" w:space="0" w:color="000000"/>
              <w:right w:val="single" w:sz="6" w:space="0" w:color="000000"/>
            </w:tcBorders>
          </w:tcPr>
          <w:p w14:paraId="3B7CBB34" w14:textId="5A5047EF" w:rsidR="004901BA" w:rsidRPr="00602151" w:rsidRDefault="004901BA" w:rsidP="004901BA">
            <w:pPr>
              <w:pStyle w:val="TableParagraph"/>
              <w:jc w:val="center"/>
              <w:rPr>
                <w:rFonts w:ascii="Times New Roman" w:eastAsia="Times New Roman" w:hAnsi="Times New Roman" w:cs="Times New Roman"/>
                <w:sz w:val="21"/>
                <w:szCs w:val="21"/>
                <w:lang w:val="en-AU"/>
              </w:rPr>
            </w:pPr>
            <w:r w:rsidRPr="00602151">
              <w:rPr>
                <w:rFonts w:ascii="Times New Roman"/>
                <w:sz w:val="21"/>
                <w:lang w:val="en-AU"/>
              </w:rPr>
              <w:t>9</w:t>
            </w:r>
            <w:r w:rsidRPr="00602151">
              <w:rPr>
                <w:rFonts w:ascii="Times New Roman"/>
                <w:spacing w:val="2"/>
                <w:sz w:val="21"/>
                <w:lang w:val="en-AU"/>
              </w:rPr>
              <w:t xml:space="preserve"> </w:t>
            </w:r>
            <w:r w:rsidRPr="00602151">
              <w:rPr>
                <w:rFonts w:ascii="Times New Roman"/>
                <w:sz w:val="21"/>
                <w:lang w:val="en-AU"/>
              </w:rPr>
              <w:t>kHz</w:t>
            </w:r>
            <w:r w:rsidRPr="00602151">
              <w:rPr>
                <w:rFonts w:ascii="Times New Roman"/>
                <w:spacing w:val="14"/>
                <w:sz w:val="21"/>
                <w:lang w:val="en-AU"/>
              </w:rPr>
              <w:t xml:space="preserve"> </w:t>
            </w:r>
            <w:r w:rsidRPr="00602151">
              <w:rPr>
                <w:rFonts w:ascii="Times New Roman"/>
                <w:sz w:val="21"/>
                <w:u w:val="single" w:color="000000"/>
                <w:lang w:val="en-AU"/>
              </w:rPr>
              <w:t>&lt;</w:t>
            </w:r>
            <w:r w:rsidRPr="00602151">
              <w:rPr>
                <w:rFonts w:ascii="Times New Roman"/>
                <w:spacing w:val="13"/>
                <w:sz w:val="21"/>
                <w:u w:val="single" w:color="000000"/>
                <w:lang w:val="en-AU"/>
              </w:rPr>
              <w:t xml:space="preserve"> </w:t>
            </w:r>
            <w:r w:rsidRPr="00602151">
              <w:rPr>
                <w:rFonts w:ascii="Times New Roman"/>
                <w:sz w:val="21"/>
                <w:lang w:val="en-AU"/>
              </w:rPr>
              <w:t>f</w:t>
            </w:r>
            <w:r w:rsidRPr="00602151">
              <w:rPr>
                <w:rFonts w:ascii="Times New Roman"/>
                <w:spacing w:val="2"/>
                <w:sz w:val="21"/>
                <w:lang w:val="en-AU"/>
              </w:rPr>
              <w:t xml:space="preserve"> </w:t>
            </w:r>
            <w:r w:rsidRPr="00602151">
              <w:rPr>
                <w:rFonts w:ascii="Times New Roman"/>
                <w:sz w:val="21"/>
                <w:lang w:val="en-AU"/>
              </w:rPr>
              <w:t>&lt;</w:t>
            </w:r>
            <w:r w:rsidRPr="00602151">
              <w:rPr>
                <w:rFonts w:ascii="Times New Roman"/>
                <w:spacing w:val="3"/>
                <w:sz w:val="21"/>
                <w:lang w:val="en-AU"/>
              </w:rPr>
              <w:t xml:space="preserve"> </w:t>
            </w:r>
            <w:r w:rsidRPr="00602151">
              <w:rPr>
                <w:rFonts w:ascii="Times New Roman"/>
                <w:sz w:val="21"/>
                <w:lang w:val="en-AU"/>
              </w:rPr>
              <w:t>1</w:t>
            </w:r>
            <w:r w:rsidRPr="00602151">
              <w:rPr>
                <w:rFonts w:ascii="Times New Roman"/>
                <w:spacing w:val="2"/>
                <w:sz w:val="21"/>
                <w:lang w:val="en-AU"/>
              </w:rPr>
              <w:t xml:space="preserve"> </w:t>
            </w:r>
            <w:r>
              <w:rPr>
                <w:rFonts w:ascii="Times New Roman"/>
                <w:sz w:val="21"/>
                <w:lang w:val="en-AU"/>
              </w:rPr>
              <w:t>G</w:t>
            </w:r>
            <w:r w:rsidRPr="00602151">
              <w:rPr>
                <w:rFonts w:ascii="Times New Roman"/>
                <w:sz w:val="21"/>
                <w:lang w:val="en-AU"/>
              </w:rPr>
              <w:t>Hz</w:t>
            </w:r>
          </w:p>
        </w:tc>
        <w:tc>
          <w:tcPr>
            <w:tcW w:w="2748" w:type="dxa"/>
            <w:tcBorders>
              <w:top w:val="single" w:sz="6" w:space="0" w:color="000000"/>
              <w:left w:val="single" w:sz="6" w:space="0" w:color="000000"/>
              <w:bottom w:val="single" w:sz="6" w:space="0" w:color="000000"/>
              <w:right w:val="single" w:sz="6" w:space="0" w:color="000000"/>
            </w:tcBorders>
          </w:tcPr>
          <w:p w14:paraId="3B26A09E" w14:textId="37C56A54" w:rsidR="004901BA" w:rsidRPr="00602151" w:rsidRDefault="004901BA" w:rsidP="004901BA">
            <w:pPr>
              <w:pStyle w:val="TableParagraph"/>
              <w:jc w:val="center"/>
              <w:rPr>
                <w:rFonts w:ascii="Times New Roman" w:eastAsia="Times New Roman" w:hAnsi="Times New Roman" w:cs="Times New Roman"/>
                <w:sz w:val="21"/>
                <w:szCs w:val="21"/>
                <w:lang w:val="en-AU"/>
              </w:rPr>
            </w:pPr>
            <w:r w:rsidRPr="00602151">
              <w:rPr>
                <w:rFonts w:ascii="Times New Roman"/>
                <w:sz w:val="21"/>
                <w:lang w:val="en-AU"/>
              </w:rPr>
              <w:t>-</w:t>
            </w:r>
            <w:r>
              <w:rPr>
                <w:rFonts w:ascii="Times New Roman"/>
                <w:sz w:val="21"/>
                <w:lang w:val="en-AU"/>
              </w:rPr>
              <w:t>57</w:t>
            </w:r>
          </w:p>
        </w:tc>
        <w:tc>
          <w:tcPr>
            <w:tcW w:w="1457" w:type="dxa"/>
            <w:tcBorders>
              <w:top w:val="single" w:sz="6" w:space="0" w:color="000000"/>
              <w:left w:val="single" w:sz="6" w:space="0" w:color="000000"/>
              <w:bottom w:val="single" w:sz="6" w:space="0" w:color="000000"/>
              <w:right w:val="single" w:sz="6" w:space="0" w:color="000000"/>
            </w:tcBorders>
          </w:tcPr>
          <w:p w14:paraId="53ECA85C" w14:textId="11DE6AA3" w:rsidR="004901BA" w:rsidRPr="00602151" w:rsidRDefault="004901BA" w:rsidP="004901BA">
            <w:pPr>
              <w:pStyle w:val="TableParagraph"/>
              <w:ind w:left="343" w:right="-551"/>
              <w:rPr>
                <w:rFonts w:ascii="Times New Roman" w:eastAsia="Times New Roman" w:hAnsi="Times New Roman" w:cs="Times New Roman"/>
                <w:sz w:val="21"/>
                <w:szCs w:val="21"/>
                <w:lang w:val="en-AU"/>
              </w:rPr>
            </w:pPr>
            <w:r w:rsidRPr="00602151">
              <w:rPr>
                <w:rFonts w:ascii="Times New Roman"/>
                <w:sz w:val="21"/>
                <w:lang w:val="en-AU"/>
              </w:rPr>
              <w:t>100 kHz</w:t>
            </w:r>
          </w:p>
        </w:tc>
      </w:tr>
      <w:tr w:rsidR="004901BA" w:rsidRPr="00602151" w14:paraId="0F5B4DDE" w14:textId="77777777" w:rsidTr="00C91433">
        <w:trPr>
          <w:trHeight w:hRule="exact" w:val="318"/>
        </w:trPr>
        <w:tc>
          <w:tcPr>
            <w:tcW w:w="3391" w:type="dxa"/>
            <w:tcBorders>
              <w:top w:val="single" w:sz="6" w:space="0" w:color="000000"/>
              <w:left w:val="single" w:sz="6" w:space="0" w:color="000000"/>
              <w:bottom w:val="single" w:sz="6" w:space="0" w:color="000000"/>
              <w:right w:val="single" w:sz="6" w:space="0" w:color="000000"/>
            </w:tcBorders>
          </w:tcPr>
          <w:p w14:paraId="7013D8EE" w14:textId="2F640B0B" w:rsidR="004901BA" w:rsidRPr="00602151" w:rsidRDefault="004901BA" w:rsidP="004901BA">
            <w:pPr>
              <w:pStyle w:val="TableParagraph"/>
              <w:jc w:val="center"/>
              <w:rPr>
                <w:rFonts w:ascii="Times New Roman"/>
                <w:sz w:val="21"/>
                <w:lang w:val="en-AU"/>
              </w:rPr>
            </w:pPr>
            <w:r>
              <w:rPr>
                <w:rFonts w:ascii="Times New Roman"/>
                <w:sz w:val="21"/>
                <w:lang w:val="en-AU"/>
              </w:rPr>
              <w:t>1</w:t>
            </w:r>
            <w:r w:rsidRPr="00602151">
              <w:rPr>
                <w:rFonts w:ascii="Times New Roman"/>
                <w:sz w:val="21"/>
                <w:lang w:val="en-AU"/>
              </w:rPr>
              <w:t xml:space="preserve"> </w:t>
            </w:r>
            <w:r>
              <w:rPr>
                <w:rFonts w:ascii="Times New Roman"/>
                <w:spacing w:val="-1"/>
                <w:sz w:val="21"/>
                <w:lang w:val="en-AU"/>
              </w:rPr>
              <w:t>G</w:t>
            </w:r>
            <w:r w:rsidRPr="00602151">
              <w:rPr>
                <w:rFonts w:ascii="Times New Roman"/>
                <w:spacing w:val="-1"/>
                <w:sz w:val="21"/>
                <w:lang w:val="en-AU"/>
              </w:rPr>
              <w:t>Hz</w:t>
            </w:r>
            <w:r w:rsidRPr="00602151">
              <w:rPr>
                <w:rFonts w:ascii="Times New Roman"/>
                <w:spacing w:val="23"/>
                <w:sz w:val="21"/>
                <w:lang w:val="en-AU"/>
              </w:rPr>
              <w:t xml:space="preserve"> </w:t>
            </w:r>
            <w:r w:rsidRPr="00602151">
              <w:rPr>
                <w:rFonts w:ascii="Times New Roman"/>
                <w:sz w:val="21"/>
                <w:u w:val="single" w:color="000000"/>
                <w:lang w:val="en-AU"/>
              </w:rPr>
              <w:t>&lt;</w:t>
            </w:r>
            <w:r w:rsidRPr="00602151">
              <w:rPr>
                <w:rFonts w:ascii="Times New Roman"/>
                <w:spacing w:val="10"/>
                <w:sz w:val="21"/>
                <w:u w:val="single" w:color="000000"/>
                <w:lang w:val="en-AU"/>
              </w:rPr>
              <w:t xml:space="preserve"> </w:t>
            </w:r>
            <w:r w:rsidRPr="00602151">
              <w:rPr>
                <w:rFonts w:ascii="Times New Roman"/>
                <w:sz w:val="21"/>
                <w:lang w:val="en-AU"/>
              </w:rPr>
              <w:t xml:space="preserve">f &lt; </w:t>
            </w:r>
            <w:r>
              <w:rPr>
                <w:rFonts w:ascii="Times New Roman"/>
                <w:sz w:val="21"/>
                <w:lang w:val="en-AU"/>
              </w:rPr>
              <w:t>3.5</w:t>
            </w:r>
            <w:r w:rsidRPr="00602151">
              <w:rPr>
                <w:rFonts w:ascii="Times New Roman"/>
                <w:sz w:val="21"/>
                <w:lang w:val="en-AU"/>
              </w:rPr>
              <w:t xml:space="preserve"> </w:t>
            </w:r>
            <w:r w:rsidRPr="00602151">
              <w:rPr>
                <w:rFonts w:ascii="Times New Roman"/>
                <w:spacing w:val="-1"/>
                <w:sz w:val="21"/>
                <w:lang w:val="en-AU"/>
              </w:rPr>
              <w:t>GHz</w:t>
            </w:r>
          </w:p>
        </w:tc>
        <w:tc>
          <w:tcPr>
            <w:tcW w:w="2748" w:type="dxa"/>
            <w:tcBorders>
              <w:top w:val="single" w:sz="6" w:space="0" w:color="000000"/>
              <w:left w:val="single" w:sz="6" w:space="0" w:color="000000"/>
              <w:bottom w:val="single" w:sz="6" w:space="0" w:color="000000"/>
              <w:right w:val="single" w:sz="6" w:space="0" w:color="000000"/>
            </w:tcBorders>
          </w:tcPr>
          <w:p w14:paraId="44760A3D" w14:textId="1453351C" w:rsidR="004901BA" w:rsidRPr="00602151" w:rsidRDefault="004901BA" w:rsidP="004901BA">
            <w:pPr>
              <w:pStyle w:val="TableParagraph"/>
              <w:jc w:val="center"/>
              <w:rPr>
                <w:rFonts w:ascii="Times New Roman"/>
                <w:sz w:val="21"/>
                <w:lang w:val="en-AU"/>
              </w:rPr>
            </w:pPr>
            <w:r w:rsidRPr="00602151">
              <w:rPr>
                <w:rFonts w:ascii="Times New Roman"/>
                <w:sz w:val="21"/>
                <w:lang w:val="en-AU"/>
              </w:rPr>
              <w:t>-</w:t>
            </w:r>
            <w:r>
              <w:rPr>
                <w:rFonts w:ascii="Times New Roman"/>
                <w:sz w:val="21"/>
                <w:lang w:val="en-AU"/>
              </w:rPr>
              <w:t>19</w:t>
            </w:r>
          </w:p>
        </w:tc>
        <w:tc>
          <w:tcPr>
            <w:tcW w:w="1457" w:type="dxa"/>
            <w:tcBorders>
              <w:top w:val="single" w:sz="6" w:space="0" w:color="000000"/>
              <w:left w:val="single" w:sz="6" w:space="0" w:color="000000"/>
              <w:bottom w:val="single" w:sz="6" w:space="0" w:color="000000"/>
              <w:right w:val="single" w:sz="6" w:space="0" w:color="000000"/>
            </w:tcBorders>
          </w:tcPr>
          <w:p w14:paraId="7F738FA9" w14:textId="1F868478" w:rsidR="004901BA" w:rsidRPr="00602151" w:rsidRDefault="004901BA" w:rsidP="004901BA">
            <w:pPr>
              <w:pStyle w:val="TableParagraph"/>
              <w:ind w:left="343" w:right="-551"/>
              <w:rPr>
                <w:rFonts w:ascii="Times New Roman"/>
                <w:sz w:val="21"/>
                <w:lang w:val="en-AU"/>
              </w:rPr>
            </w:pPr>
            <w:r w:rsidRPr="00602151">
              <w:rPr>
                <w:rFonts w:ascii="Times New Roman"/>
                <w:sz w:val="21"/>
                <w:lang w:val="en-AU"/>
              </w:rPr>
              <w:t xml:space="preserve">1 </w:t>
            </w:r>
            <w:r w:rsidRPr="00602151">
              <w:rPr>
                <w:rFonts w:ascii="Times New Roman"/>
                <w:spacing w:val="-1"/>
                <w:sz w:val="21"/>
                <w:lang w:val="en-AU"/>
              </w:rPr>
              <w:t>MHz</w:t>
            </w:r>
          </w:p>
        </w:tc>
      </w:tr>
      <w:tr w:rsidR="004901BA" w:rsidRPr="00602151" w14:paraId="40B78013" w14:textId="77777777" w:rsidTr="00C91433">
        <w:trPr>
          <w:trHeight w:hRule="exact" w:val="318"/>
        </w:trPr>
        <w:tc>
          <w:tcPr>
            <w:tcW w:w="3391" w:type="dxa"/>
            <w:tcBorders>
              <w:top w:val="single" w:sz="6" w:space="0" w:color="000000"/>
              <w:left w:val="single" w:sz="6" w:space="0" w:color="000000"/>
              <w:bottom w:val="single" w:sz="6" w:space="0" w:color="000000"/>
              <w:right w:val="single" w:sz="6" w:space="0" w:color="000000"/>
            </w:tcBorders>
          </w:tcPr>
          <w:p w14:paraId="5FBF1920" w14:textId="230083EA" w:rsidR="004901BA" w:rsidRPr="00602151" w:rsidRDefault="004901BA" w:rsidP="004901BA">
            <w:pPr>
              <w:pStyle w:val="TableParagraph"/>
              <w:jc w:val="center"/>
              <w:rPr>
                <w:rFonts w:ascii="Times New Roman" w:eastAsia="Times New Roman" w:hAnsi="Times New Roman" w:cs="Times New Roman"/>
                <w:sz w:val="21"/>
                <w:szCs w:val="21"/>
                <w:lang w:val="en-AU"/>
              </w:rPr>
            </w:pPr>
            <w:r>
              <w:rPr>
                <w:rFonts w:ascii="Times New Roman"/>
                <w:sz w:val="21"/>
                <w:lang w:val="en-AU"/>
              </w:rPr>
              <w:t>3.5</w:t>
            </w:r>
            <w:r w:rsidRPr="00602151">
              <w:rPr>
                <w:rFonts w:ascii="Times New Roman"/>
                <w:sz w:val="21"/>
                <w:lang w:val="en-AU"/>
              </w:rPr>
              <w:t xml:space="preserve"> </w:t>
            </w:r>
            <w:r w:rsidRPr="00602151">
              <w:rPr>
                <w:rFonts w:ascii="Times New Roman"/>
                <w:spacing w:val="-1"/>
                <w:sz w:val="21"/>
                <w:lang w:val="en-AU"/>
              </w:rPr>
              <w:t>GHz</w:t>
            </w:r>
            <w:r w:rsidRPr="00602151">
              <w:rPr>
                <w:rFonts w:ascii="Times New Roman"/>
                <w:spacing w:val="24"/>
                <w:sz w:val="21"/>
                <w:lang w:val="en-AU"/>
              </w:rPr>
              <w:t xml:space="preserve"> </w:t>
            </w:r>
            <w:r w:rsidRPr="00602151">
              <w:rPr>
                <w:rFonts w:ascii="Times New Roman"/>
                <w:sz w:val="21"/>
                <w:u w:val="single" w:color="000000"/>
                <w:lang w:val="en-AU"/>
              </w:rPr>
              <w:t>&lt;</w:t>
            </w:r>
            <w:r w:rsidRPr="00602151">
              <w:rPr>
                <w:rFonts w:ascii="Times New Roman"/>
                <w:spacing w:val="-2"/>
                <w:sz w:val="21"/>
                <w:u w:val="single" w:color="000000"/>
                <w:lang w:val="en-AU"/>
              </w:rPr>
              <w:t xml:space="preserve"> </w:t>
            </w:r>
            <w:r w:rsidRPr="00602151">
              <w:rPr>
                <w:rFonts w:ascii="Times New Roman"/>
                <w:sz w:val="21"/>
                <w:lang w:val="en-AU"/>
              </w:rPr>
              <w:t xml:space="preserve">f &lt; 12.75 </w:t>
            </w:r>
            <w:r w:rsidRPr="00602151">
              <w:rPr>
                <w:rFonts w:ascii="Times New Roman"/>
                <w:spacing w:val="-1"/>
                <w:sz w:val="21"/>
                <w:lang w:val="en-AU"/>
              </w:rPr>
              <w:t>GHz</w:t>
            </w:r>
          </w:p>
        </w:tc>
        <w:tc>
          <w:tcPr>
            <w:tcW w:w="2748" w:type="dxa"/>
            <w:tcBorders>
              <w:top w:val="single" w:sz="6" w:space="0" w:color="000000"/>
              <w:left w:val="single" w:sz="6" w:space="0" w:color="000000"/>
              <w:bottom w:val="single" w:sz="6" w:space="0" w:color="000000"/>
              <w:right w:val="single" w:sz="6" w:space="0" w:color="000000"/>
            </w:tcBorders>
          </w:tcPr>
          <w:p w14:paraId="4133DAD5" w14:textId="77777777" w:rsidR="004901BA" w:rsidRPr="00602151" w:rsidRDefault="004901BA" w:rsidP="004901BA">
            <w:pPr>
              <w:pStyle w:val="TableParagraph"/>
              <w:jc w:val="center"/>
              <w:rPr>
                <w:rFonts w:ascii="Times New Roman" w:eastAsia="Times New Roman" w:hAnsi="Times New Roman" w:cs="Times New Roman"/>
                <w:sz w:val="21"/>
                <w:szCs w:val="21"/>
                <w:lang w:val="en-AU"/>
              </w:rPr>
            </w:pPr>
            <w:r w:rsidRPr="00602151">
              <w:rPr>
                <w:rFonts w:ascii="Times New Roman"/>
                <w:sz w:val="21"/>
                <w:lang w:val="en-AU"/>
              </w:rPr>
              <w:t>-47</w:t>
            </w:r>
          </w:p>
        </w:tc>
        <w:tc>
          <w:tcPr>
            <w:tcW w:w="1457" w:type="dxa"/>
            <w:tcBorders>
              <w:top w:val="single" w:sz="6" w:space="0" w:color="000000"/>
              <w:left w:val="single" w:sz="6" w:space="0" w:color="000000"/>
              <w:bottom w:val="single" w:sz="6" w:space="0" w:color="000000"/>
              <w:right w:val="single" w:sz="6" w:space="0" w:color="000000"/>
            </w:tcBorders>
          </w:tcPr>
          <w:p w14:paraId="7D5F0108" w14:textId="2F7C30DF" w:rsidR="004901BA" w:rsidRPr="00602151" w:rsidRDefault="004901BA" w:rsidP="004901BA">
            <w:pPr>
              <w:pStyle w:val="TableParagraph"/>
              <w:ind w:right="-551"/>
              <w:rPr>
                <w:rFonts w:ascii="Times New Roman" w:eastAsia="Times New Roman" w:hAnsi="Times New Roman" w:cs="Times New Roman"/>
                <w:sz w:val="21"/>
                <w:szCs w:val="21"/>
                <w:lang w:val="en-AU"/>
              </w:rPr>
            </w:pPr>
            <w:r>
              <w:rPr>
                <w:rFonts w:ascii="Times New Roman"/>
                <w:sz w:val="21"/>
                <w:lang w:val="en-AU"/>
              </w:rPr>
              <w:t xml:space="preserve">       </w:t>
            </w:r>
            <w:r w:rsidRPr="00602151">
              <w:rPr>
                <w:rFonts w:ascii="Times New Roman"/>
                <w:sz w:val="21"/>
                <w:lang w:val="en-AU"/>
              </w:rPr>
              <w:t xml:space="preserve">1 </w:t>
            </w:r>
            <w:r w:rsidRPr="00602151">
              <w:rPr>
                <w:rFonts w:ascii="Times New Roman"/>
                <w:spacing w:val="-1"/>
                <w:sz w:val="21"/>
                <w:lang w:val="en-AU"/>
              </w:rPr>
              <w:t>MHz</w:t>
            </w:r>
          </w:p>
        </w:tc>
      </w:tr>
    </w:tbl>
    <w:p w14:paraId="5AB92F98" w14:textId="77777777" w:rsidR="00FB0E13" w:rsidRPr="00602151" w:rsidRDefault="00FB0E13" w:rsidP="00FB0E13">
      <w:pPr>
        <w:spacing w:after="0"/>
        <w:ind w:right="-551"/>
        <w:rPr>
          <w:rFonts w:ascii="Times New Roman" w:hAnsi="Times New Roman"/>
          <w:b/>
          <w:bCs/>
          <w:sz w:val="21"/>
          <w:szCs w:val="21"/>
        </w:rPr>
      </w:pPr>
    </w:p>
    <w:p w14:paraId="6514EB45" w14:textId="77777777" w:rsidR="00344D13" w:rsidRDefault="00344D13">
      <w:pPr>
        <w:spacing w:after="0" w:line="240" w:lineRule="auto"/>
        <w:rPr>
          <w:rFonts w:cs="Arial"/>
          <w:b/>
          <w:bCs/>
          <w:szCs w:val="26"/>
        </w:rPr>
      </w:pPr>
      <w:bookmarkStart w:id="86" w:name="_Toc58241156"/>
      <w:r>
        <w:br w:type="page"/>
      </w:r>
    </w:p>
    <w:p w14:paraId="16AC4FAB" w14:textId="10DF643B" w:rsidR="00334240" w:rsidRPr="00602151" w:rsidRDefault="00334240" w:rsidP="00334240">
      <w:pPr>
        <w:pStyle w:val="Heading3"/>
        <w:spacing w:before="240" w:after="120"/>
        <w:ind w:right="-551"/>
      </w:pPr>
      <w:bookmarkStart w:id="87" w:name="_Toc83989345"/>
      <w:r w:rsidRPr="00602151">
        <w:lastRenderedPageBreak/>
        <w:t>Emission limits outside the geographic areas</w:t>
      </w:r>
      <w:bookmarkEnd w:id="86"/>
      <w:bookmarkEnd w:id="87"/>
    </w:p>
    <w:p w14:paraId="1F57B23A" w14:textId="6CFD6D08" w:rsidR="00334240" w:rsidRPr="00602151" w:rsidRDefault="00334240" w:rsidP="00334240">
      <w:pPr>
        <w:pStyle w:val="BodyText"/>
        <w:numPr>
          <w:ilvl w:val="0"/>
          <w:numId w:val="27"/>
        </w:numPr>
        <w:tabs>
          <w:tab w:val="left" w:pos="531"/>
        </w:tabs>
        <w:spacing w:line="282" w:lineRule="auto"/>
        <w:ind w:right="-551" w:hanging="326"/>
        <w:jc w:val="left"/>
        <w:rPr>
          <w:spacing w:val="-1"/>
          <w:lang w:val="en-AU"/>
        </w:rPr>
      </w:pPr>
      <w:r w:rsidRPr="00602151">
        <w:rPr>
          <w:spacing w:val="-1"/>
          <w:lang w:val="en-AU"/>
        </w:rPr>
        <w:t>Core Conditions 1</w:t>
      </w:r>
      <w:r w:rsidR="002075FE">
        <w:rPr>
          <w:spacing w:val="-1"/>
          <w:lang w:val="en-AU"/>
        </w:rPr>
        <w:t>3</w:t>
      </w:r>
      <w:r w:rsidRPr="00602151">
        <w:rPr>
          <w:spacing w:val="-1"/>
          <w:lang w:val="en-AU"/>
        </w:rPr>
        <w:t xml:space="preserve"> to 1</w:t>
      </w:r>
      <w:r w:rsidR="002075FE">
        <w:rPr>
          <w:spacing w:val="-1"/>
          <w:lang w:val="en-AU"/>
        </w:rPr>
        <w:t>5</w:t>
      </w:r>
      <w:r w:rsidRPr="00602151">
        <w:rPr>
          <w:spacing w:val="-1"/>
          <w:lang w:val="en-AU"/>
        </w:rPr>
        <w:t xml:space="preserve"> apply in relation to those areas that are outside the geographic areas set out in Part 2 of Licence Schedule 1.</w:t>
      </w:r>
    </w:p>
    <w:p w14:paraId="4A1D3ED6" w14:textId="077EEB12" w:rsidR="00334240" w:rsidRPr="00602151" w:rsidRDefault="00334240" w:rsidP="00334240">
      <w:pPr>
        <w:pStyle w:val="BodyText"/>
        <w:numPr>
          <w:ilvl w:val="0"/>
          <w:numId w:val="27"/>
        </w:numPr>
        <w:tabs>
          <w:tab w:val="left" w:pos="531"/>
        </w:tabs>
        <w:spacing w:line="282" w:lineRule="auto"/>
        <w:ind w:right="-551" w:hanging="326"/>
        <w:jc w:val="left"/>
        <w:rPr>
          <w:spacing w:val="-1"/>
          <w:lang w:val="en-AU"/>
        </w:rPr>
      </w:pPr>
      <w:r w:rsidRPr="00602151">
        <w:rPr>
          <w:spacing w:val="-1"/>
          <w:lang w:val="en-AU"/>
        </w:rPr>
        <w:t>Where a written agreement specifying the maximum permitted level of radio emission for areas described in Core Condition 1</w:t>
      </w:r>
      <w:r w:rsidR="002075FE">
        <w:rPr>
          <w:spacing w:val="-1"/>
          <w:lang w:val="en-AU"/>
        </w:rPr>
        <w:t>2</w:t>
      </w:r>
      <w:r w:rsidRPr="00602151">
        <w:rPr>
          <w:spacing w:val="-1"/>
          <w:lang w:val="en-AU"/>
        </w:rPr>
        <w:t xml:space="preserve"> exists between:</w:t>
      </w:r>
    </w:p>
    <w:p w14:paraId="5F007E9F" w14:textId="7FE66B2C" w:rsidR="00334240" w:rsidRPr="00602151" w:rsidRDefault="00334240" w:rsidP="00334240">
      <w:pPr>
        <w:pStyle w:val="ListParagraph"/>
        <w:numPr>
          <w:ilvl w:val="1"/>
          <w:numId w:val="27"/>
        </w:numPr>
        <w:autoSpaceDE w:val="0"/>
        <w:autoSpaceDN w:val="0"/>
        <w:adjustRightInd w:val="0"/>
        <w:spacing w:before="120" w:line="240" w:lineRule="auto"/>
        <w:ind w:right="-551"/>
        <w:rPr>
          <w:rFonts w:ascii="TimesNewRoman" w:hAnsi="TimesNewRoman" w:cs="TimesNewRoman"/>
          <w:sz w:val="21"/>
          <w:szCs w:val="21"/>
        </w:rPr>
      </w:pPr>
      <w:r w:rsidRPr="00602151">
        <w:rPr>
          <w:rFonts w:ascii="TimesNewRoman" w:hAnsi="TimesNewRoman" w:cs="TimesNewRoman"/>
          <w:sz w:val="21"/>
          <w:szCs w:val="21"/>
        </w:rPr>
        <w:t>the licensee; and</w:t>
      </w:r>
    </w:p>
    <w:p w14:paraId="3106734D" w14:textId="0EEC9D1E" w:rsidR="00334240" w:rsidRPr="00602151" w:rsidRDefault="00334240" w:rsidP="00334240">
      <w:pPr>
        <w:pStyle w:val="ListParagraph"/>
        <w:numPr>
          <w:ilvl w:val="1"/>
          <w:numId w:val="27"/>
        </w:numPr>
        <w:autoSpaceDE w:val="0"/>
        <w:autoSpaceDN w:val="0"/>
        <w:adjustRightInd w:val="0"/>
        <w:spacing w:after="120" w:line="240" w:lineRule="auto"/>
        <w:ind w:right="-551"/>
        <w:rPr>
          <w:rFonts w:ascii="TimesNewRoman" w:hAnsi="TimesNewRoman" w:cs="TimesNewRoman"/>
          <w:sz w:val="21"/>
          <w:szCs w:val="21"/>
        </w:rPr>
      </w:pPr>
      <w:r w:rsidRPr="00602151">
        <w:rPr>
          <w:rFonts w:ascii="TimesNewRoman" w:hAnsi="TimesNewRoman" w:cs="TimesNewRoman"/>
          <w:sz w:val="21"/>
          <w:szCs w:val="21"/>
        </w:rPr>
        <w:t>all the affected licensees of frequency-adjacent licences and area-adjacent licences;</w:t>
      </w:r>
    </w:p>
    <w:p w14:paraId="5F822D22" w14:textId="77777777" w:rsidR="00334240" w:rsidRPr="00602151" w:rsidRDefault="00334240" w:rsidP="00334240">
      <w:pPr>
        <w:spacing w:before="240"/>
        <w:ind w:left="247" w:right="-551" w:firstLine="284"/>
        <w:rPr>
          <w:rFonts w:ascii="Times New Roman" w:hAnsi="Times New Roman" w:cstheme="minorBidi"/>
          <w:spacing w:val="-1"/>
          <w:sz w:val="21"/>
          <w:szCs w:val="21"/>
          <w:lang w:eastAsia="en-US"/>
        </w:rPr>
      </w:pPr>
      <w:r w:rsidRPr="00602151">
        <w:rPr>
          <w:rFonts w:ascii="Times New Roman" w:hAnsi="Times New Roman" w:cstheme="minorBidi"/>
          <w:spacing w:val="-1"/>
          <w:sz w:val="21"/>
          <w:szCs w:val="21"/>
          <w:lang w:eastAsia="en-US"/>
        </w:rPr>
        <w:t>the licensee must comply with that specified maximum permitted level of radio emission.</w:t>
      </w:r>
    </w:p>
    <w:p w14:paraId="2ED57365" w14:textId="114501AD" w:rsidR="00D074FE" w:rsidRPr="00602151" w:rsidRDefault="00334240" w:rsidP="00334240">
      <w:pPr>
        <w:pStyle w:val="BodyText"/>
        <w:numPr>
          <w:ilvl w:val="0"/>
          <w:numId w:val="27"/>
        </w:numPr>
        <w:tabs>
          <w:tab w:val="left" w:pos="531"/>
        </w:tabs>
        <w:spacing w:line="282" w:lineRule="auto"/>
        <w:ind w:right="-551" w:hanging="326"/>
        <w:jc w:val="left"/>
        <w:rPr>
          <w:spacing w:val="-1"/>
          <w:lang w:val="en-AU"/>
        </w:rPr>
      </w:pPr>
      <w:r w:rsidRPr="00602151">
        <w:rPr>
          <w:spacing w:val="-1"/>
          <w:lang w:val="en-AU"/>
        </w:rPr>
        <w:t>Where there is no written agreement for the purposes of Core Condition 1</w:t>
      </w:r>
      <w:r w:rsidR="002075FE">
        <w:rPr>
          <w:spacing w:val="-1"/>
          <w:lang w:val="en-AU"/>
        </w:rPr>
        <w:t>3</w:t>
      </w:r>
      <w:r w:rsidRPr="00602151">
        <w:rPr>
          <w:spacing w:val="-1"/>
          <w:lang w:val="en-AU"/>
        </w:rPr>
        <w:t xml:space="preserve"> in force, the licensee must comply with Core Condition 1</w:t>
      </w:r>
      <w:r w:rsidR="002075FE">
        <w:rPr>
          <w:spacing w:val="-1"/>
          <w:lang w:val="en-AU"/>
        </w:rPr>
        <w:t>5</w:t>
      </w:r>
      <w:r w:rsidRPr="00602151">
        <w:rPr>
          <w:spacing w:val="-1"/>
          <w:lang w:val="en-AU"/>
        </w:rPr>
        <w:t>.</w:t>
      </w:r>
    </w:p>
    <w:p w14:paraId="4229CB78" w14:textId="7F64178E" w:rsidR="00334240" w:rsidRPr="0038741C" w:rsidRDefault="00334240" w:rsidP="00F1425B">
      <w:pPr>
        <w:pStyle w:val="BodyText"/>
        <w:numPr>
          <w:ilvl w:val="0"/>
          <w:numId w:val="27"/>
        </w:numPr>
        <w:tabs>
          <w:tab w:val="left" w:pos="531"/>
        </w:tabs>
        <w:spacing w:line="282" w:lineRule="auto"/>
        <w:ind w:left="891" w:right="-551" w:hanging="715"/>
        <w:jc w:val="left"/>
        <w:rPr>
          <w:lang w:val="en-AU"/>
        </w:rPr>
      </w:pPr>
      <w:r w:rsidRPr="00602151">
        <w:rPr>
          <w:lang w:val="en-AU"/>
        </w:rPr>
        <w:t>(1)</w:t>
      </w:r>
      <w:r w:rsidRPr="00602151">
        <w:rPr>
          <w:spacing w:val="17"/>
          <w:lang w:val="en-AU"/>
        </w:rPr>
        <w:t xml:space="preserve"> </w:t>
      </w:r>
      <w:r w:rsidR="00F1425B" w:rsidRPr="00602151">
        <w:rPr>
          <w:spacing w:val="17"/>
          <w:lang w:val="en-AU"/>
        </w:rPr>
        <w:t xml:space="preserve"> </w:t>
      </w:r>
      <w:r w:rsidR="002075FE" w:rsidRPr="002075FE">
        <w:rPr>
          <w:lang w:val="en-AU"/>
        </w:rPr>
        <w:t>The licensee must ensure that the maximum permitted level of radio emission for an area described in core condition 12 caused by operation of radiocommunications devices under this licence does not exceed a radiated maximum true mean power of 54.5 dBm EIRP per 30 kHz</w:t>
      </w:r>
      <w:r w:rsidR="002075FE">
        <w:rPr>
          <w:lang w:val="en-AU"/>
        </w:rPr>
        <w:t>.</w:t>
      </w:r>
    </w:p>
    <w:p w14:paraId="3CE98641" w14:textId="62D00380" w:rsidR="00D074FE" w:rsidRPr="00602151" w:rsidRDefault="00334240" w:rsidP="00F1425B">
      <w:pPr>
        <w:pStyle w:val="BodyText"/>
        <w:tabs>
          <w:tab w:val="left" w:pos="531"/>
        </w:tabs>
        <w:spacing w:before="120" w:line="282" w:lineRule="auto"/>
        <w:ind w:right="-551"/>
        <w:rPr>
          <w:lang w:val="en-AU"/>
        </w:rPr>
      </w:pPr>
      <w:r w:rsidRPr="00602151">
        <w:rPr>
          <w:lang w:val="en-AU"/>
        </w:rPr>
        <w:t xml:space="preserve">(2) </w:t>
      </w:r>
      <w:r w:rsidR="00F1425B" w:rsidRPr="00602151">
        <w:rPr>
          <w:lang w:val="en-AU"/>
        </w:rPr>
        <w:t xml:space="preserve"> </w:t>
      </w:r>
      <w:r w:rsidR="002075FE" w:rsidRPr="002075FE">
        <w:rPr>
          <w:lang w:val="en-AU"/>
        </w:rPr>
        <w:t>The licensee complies with sub-condition (1) by ensuring that no radiocommunications device is operated under this licence in excess of a radiated maximum true mean power of 54.5 dBm EIRP per 30 kHz</w:t>
      </w:r>
      <w:r w:rsidRPr="00602151">
        <w:rPr>
          <w:lang w:val="en-AU"/>
        </w:rPr>
        <w:t>.</w:t>
      </w:r>
    </w:p>
    <w:p w14:paraId="3232054F" w14:textId="2A835AEF" w:rsidR="00D33E55" w:rsidRPr="00602151" w:rsidRDefault="00D33E55" w:rsidP="00F1425B"/>
    <w:p w14:paraId="32F4B657" w14:textId="34CC8A7B" w:rsidR="00F1425B" w:rsidRPr="00602151" w:rsidRDefault="00F1425B" w:rsidP="00F1425B">
      <w:pPr>
        <w:pStyle w:val="Heading2"/>
        <w:spacing w:before="0" w:after="0"/>
        <w:ind w:right="1169"/>
      </w:pPr>
      <w:bookmarkStart w:id="88" w:name="_Toc58241157"/>
      <w:bookmarkStart w:id="89" w:name="_Toc83989346"/>
      <w:r w:rsidRPr="00602151">
        <w:t>Licence Schedule 3 – Statutory Conditions</w:t>
      </w:r>
      <w:bookmarkEnd w:id="88"/>
      <w:bookmarkEnd w:id="89"/>
    </w:p>
    <w:p w14:paraId="7103F47B" w14:textId="77777777" w:rsidR="00F1425B" w:rsidRPr="00602151" w:rsidRDefault="00F1425B" w:rsidP="00F1425B"/>
    <w:p w14:paraId="3FC6FA76" w14:textId="1639C885" w:rsidR="00F1425B" w:rsidRPr="00602151" w:rsidRDefault="00F1425B" w:rsidP="00F1425B">
      <w:pPr>
        <w:pStyle w:val="Heading3"/>
        <w:spacing w:before="240" w:after="120"/>
      </w:pPr>
      <w:bookmarkStart w:id="90" w:name="_Toc58241158"/>
      <w:bookmarkStart w:id="91" w:name="_Toc83989347"/>
      <w:r w:rsidRPr="00602151">
        <w:t>Exemption from registration requirements</w:t>
      </w:r>
      <w:bookmarkEnd w:id="90"/>
      <w:bookmarkEnd w:id="91"/>
    </w:p>
    <w:p w14:paraId="4F834A5F" w14:textId="6F8669A7" w:rsidR="00F1425B" w:rsidRPr="0038741C" w:rsidRDefault="00F1425B" w:rsidP="00F1425B">
      <w:pPr>
        <w:pStyle w:val="BodyText"/>
        <w:numPr>
          <w:ilvl w:val="0"/>
          <w:numId w:val="35"/>
        </w:numPr>
        <w:tabs>
          <w:tab w:val="left" w:pos="531"/>
        </w:tabs>
        <w:spacing w:line="282" w:lineRule="auto"/>
        <w:ind w:right="-551"/>
        <w:rPr>
          <w:lang w:val="en-AU"/>
        </w:rPr>
      </w:pPr>
      <w:r w:rsidRPr="00C008DA">
        <w:rPr>
          <w:lang w:val="en-AU"/>
        </w:rPr>
        <w:t>The following kinds of radiocommunications transmitters are exempt from the registration requirement in Statutory Condition 3:</w:t>
      </w:r>
    </w:p>
    <w:p w14:paraId="70FEDA27" w14:textId="0A658143" w:rsidR="002075FE" w:rsidRPr="002075FE" w:rsidRDefault="002075FE" w:rsidP="002075FE">
      <w:pPr>
        <w:pStyle w:val="ListParagraph"/>
        <w:numPr>
          <w:ilvl w:val="0"/>
          <w:numId w:val="36"/>
        </w:numPr>
        <w:rPr>
          <w:rFonts w:ascii="TimesNewRoman" w:hAnsi="TimesNewRoman" w:cs="TimesNewRoman"/>
          <w:sz w:val="21"/>
          <w:szCs w:val="21"/>
        </w:rPr>
      </w:pPr>
      <w:r w:rsidRPr="002075FE">
        <w:rPr>
          <w:rFonts w:ascii="TimesNewRoman" w:hAnsi="TimesNewRoman" w:cs="TimesNewRoman"/>
          <w:sz w:val="21"/>
          <w:szCs w:val="21"/>
        </w:rPr>
        <w:t xml:space="preserve">a mobile transmitter that operates in the 1800 MHz band with a radiated power of less than or equal to 39 dBm EIRP per occupied bandwidth; or </w:t>
      </w:r>
    </w:p>
    <w:p w14:paraId="224D5C1B" w14:textId="20CA6722" w:rsidR="00F1425B" w:rsidRPr="002075FE" w:rsidRDefault="002075FE" w:rsidP="00E80B8B">
      <w:pPr>
        <w:pStyle w:val="ListParagraph"/>
        <w:numPr>
          <w:ilvl w:val="0"/>
          <w:numId w:val="36"/>
        </w:numPr>
        <w:autoSpaceDE w:val="0"/>
        <w:autoSpaceDN w:val="0"/>
        <w:adjustRightInd w:val="0"/>
        <w:spacing w:before="120" w:line="240" w:lineRule="auto"/>
        <w:ind w:right="-551"/>
        <w:rPr>
          <w:rFonts w:ascii="TimesNewRoman" w:hAnsi="TimesNewRoman" w:cs="TimesNewRoman"/>
          <w:sz w:val="21"/>
          <w:szCs w:val="21"/>
        </w:rPr>
      </w:pPr>
      <w:r w:rsidRPr="002075FE">
        <w:rPr>
          <w:rFonts w:ascii="TimesNewRoman" w:hAnsi="TimesNewRoman" w:cs="TimesNewRoman"/>
          <w:sz w:val="21"/>
          <w:szCs w:val="21"/>
        </w:rPr>
        <w:t>a fixed transmitter that operates in the 1800 MHz band with a radiated power always less than or equal to 33 dBm EIRP per occupied bandwidth.</w:t>
      </w:r>
    </w:p>
    <w:sectPr w:rsidR="00F1425B" w:rsidRPr="002075FE" w:rsidSect="00E442ED">
      <w:headerReference w:type="even" r:id="rId61"/>
      <w:headerReference w:type="default" r:id="rId62"/>
      <w:footerReference w:type="default" r:id="rId63"/>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2DEC8" w14:textId="77777777" w:rsidR="00EE4EBD" w:rsidRDefault="00EE4EBD">
      <w:r>
        <w:separator/>
      </w:r>
    </w:p>
  </w:endnote>
  <w:endnote w:type="continuationSeparator" w:id="0">
    <w:p w14:paraId="35451189" w14:textId="77777777" w:rsidR="00EE4EBD" w:rsidRDefault="00EE4EBD">
      <w:r>
        <w:continuationSeparator/>
      </w:r>
    </w:p>
  </w:endnote>
  <w:endnote w:type="continuationNotice" w:id="1">
    <w:p w14:paraId="682482DA" w14:textId="77777777" w:rsidR="00EE4EBD" w:rsidRDefault="00EE4E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A562C" w14:textId="3A9A0C19" w:rsidR="00207BA9" w:rsidRPr="00A5474E" w:rsidRDefault="00207BA9" w:rsidP="001A10DA">
    <w:pPr>
      <w:pStyle w:val="Footer"/>
      <w:tabs>
        <w:tab w:val="left" w:pos="4245"/>
        <w:tab w:val="right" w:pos="9780"/>
      </w:tabs>
    </w:pPr>
    <w:r>
      <w:tab/>
    </w:r>
    <w:r>
      <w:tab/>
    </w:r>
    <w:r>
      <w:tab/>
    </w:r>
    <w:r w:rsidRPr="005E250B">
      <w:rPr>
        <w:noProof/>
        <w:vertAlign w:val="subscript"/>
      </w:rPr>
      <w:drawing>
        <wp:inline distT="0" distB="0" distL="0" distR="0" wp14:anchorId="36320CC2" wp14:editId="39203BCE">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2529" w14:textId="77777777" w:rsidR="00207BA9" w:rsidRDefault="00207B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B16A" w14:textId="77777777" w:rsidR="00207BA9" w:rsidRDefault="00207B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CCA39" w14:textId="77777777" w:rsidR="00207BA9" w:rsidRPr="00622A3B" w:rsidRDefault="00207BA9" w:rsidP="00E442ED">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t>2</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4CF7594F" w14:textId="77777777" w:rsidR="00207BA9" w:rsidRPr="00A5474E" w:rsidRDefault="00207BA9"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6CCD" w14:textId="77777777" w:rsidR="00207BA9" w:rsidRPr="00622A3B" w:rsidRDefault="00207BA9"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33669AD6" w14:textId="77777777" w:rsidR="00207BA9" w:rsidRPr="00A5474E" w:rsidRDefault="00207BA9"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76ECD" w14:textId="77777777" w:rsidR="00207BA9" w:rsidRPr="00622A3B" w:rsidRDefault="00207BA9"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iii</w:t>
    </w:r>
    <w:r w:rsidRPr="002E4DDC">
      <w:rPr>
        <w:color w:val="505050"/>
      </w:rPr>
      <w:fldChar w:fldCharType="end"/>
    </w:r>
  </w:p>
  <w:p w14:paraId="1A8287DE" w14:textId="77777777" w:rsidR="00207BA9" w:rsidRPr="00A5474E" w:rsidRDefault="00207BA9"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22F41" w14:textId="77777777" w:rsidR="00207BA9" w:rsidRPr="00622A3B" w:rsidRDefault="00207BA9" w:rsidP="00E442ED">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color w:val="505050"/>
      </w:rPr>
      <w:t>1</w:t>
    </w:r>
    <w:r w:rsidRPr="00575AC5">
      <w:rPr>
        <w:color w:val="505050"/>
      </w:rPr>
      <w:fldChar w:fldCharType="end"/>
    </w:r>
  </w:p>
  <w:p w14:paraId="40E9CFB6" w14:textId="77777777" w:rsidR="00207BA9" w:rsidRPr="00A5474E" w:rsidRDefault="00207BA9"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22515" w14:textId="77777777" w:rsidR="00EE4EBD" w:rsidRDefault="00EE4EBD">
      <w:r>
        <w:separator/>
      </w:r>
    </w:p>
  </w:footnote>
  <w:footnote w:type="continuationSeparator" w:id="0">
    <w:p w14:paraId="709EB33B" w14:textId="77777777" w:rsidR="00EE4EBD" w:rsidRDefault="00EE4EBD">
      <w:r>
        <w:continuationSeparator/>
      </w:r>
    </w:p>
  </w:footnote>
  <w:footnote w:type="continuationNotice" w:id="1">
    <w:p w14:paraId="5432DFCA" w14:textId="77777777" w:rsidR="00EE4EBD" w:rsidRDefault="00EE4EBD">
      <w:pPr>
        <w:spacing w:after="0" w:line="240" w:lineRule="auto"/>
      </w:pPr>
    </w:p>
  </w:footnote>
  <w:footnote w:id="2">
    <w:p w14:paraId="759CA792" w14:textId="554D1A1E" w:rsidR="00992C37" w:rsidRDefault="00992C37">
      <w:pPr>
        <w:pStyle w:val="FootnoteText"/>
      </w:pPr>
      <w:r>
        <w:rPr>
          <w:rStyle w:val="FootnoteReference"/>
        </w:rPr>
        <w:footnoteRef/>
      </w:r>
      <w:r>
        <w:t xml:space="preserve"> </w:t>
      </w:r>
      <w:r w:rsidR="00315F8F" w:rsidRPr="00004FDE">
        <w:t>Global System for Mobile Communications – Railway</w:t>
      </w:r>
      <w:r w:rsidR="00315F8F">
        <w:t xml:space="preserve"> (GSM-R): Relevant ETSI standards for GSM-R can be obtain</w:t>
      </w:r>
      <w:r w:rsidR="00D828C1">
        <w:t>ed</w:t>
      </w:r>
      <w:r w:rsidR="00315F8F">
        <w:t xml:space="preserve"> from </w:t>
      </w:r>
      <w:hyperlink r:id="rId1" w:history="1">
        <w:r w:rsidR="00315F8F" w:rsidRPr="001811A6">
          <w:rPr>
            <w:rStyle w:val="Hyperlink"/>
          </w:rPr>
          <w:t>https://www.etsi.org/technologies/rail-communications</w:t>
        </w:r>
      </w:hyperlink>
      <w:r w:rsidR="00D828C1">
        <w:t>.</w:t>
      </w:r>
    </w:p>
  </w:footnote>
  <w:footnote w:id="3">
    <w:p w14:paraId="3F921031" w14:textId="7DD1EA80" w:rsidR="006A6EEF" w:rsidRDefault="006A6EEF" w:rsidP="00C725C6">
      <w:pPr>
        <w:pStyle w:val="FootnoteText"/>
        <w:spacing w:after="80" w:line="240" w:lineRule="auto"/>
      </w:pPr>
      <w:r>
        <w:rPr>
          <w:rStyle w:val="FootnoteReference"/>
        </w:rPr>
        <w:footnoteRef/>
      </w:r>
      <w:r>
        <w:t xml:space="preserve"> ETSI TR 103 459 V1.2.1 (2020-08), </w:t>
      </w:r>
      <w:hyperlink r:id="rId2" w:history="1">
        <w:r w:rsidRPr="001811A6">
          <w:rPr>
            <w:rStyle w:val="Hyperlink"/>
          </w:rPr>
          <w:t>https://www.etsi.org/deliver/etsi_tr/103400_103499/103459/01.02.01_60/tr_103459v010201p.pdf</w:t>
        </w:r>
      </w:hyperlink>
      <w:r>
        <w:t xml:space="preserve"> </w:t>
      </w:r>
    </w:p>
  </w:footnote>
  <w:footnote w:id="4">
    <w:p w14:paraId="50DAE185" w14:textId="09EFD66E" w:rsidR="00A0124A" w:rsidRDefault="00A0124A" w:rsidP="00C725C6">
      <w:pPr>
        <w:pStyle w:val="FootnoteText"/>
        <w:spacing w:after="80" w:line="240" w:lineRule="auto"/>
      </w:pPr>
      <w:r>
        <w:rPr>
          <w:rStyle w:val="FootnoteReference"/>
        </w:rPr>
        <w:footnoteRef/>
      </w:r>
      <w:r>
        <w:t xml:space="preserve"> Massive IoT (Internet of Things) is the connection of a large number of devices embedded with sensors, processing ability, software and other technologies to exchange date with other devices. </w:t>
      </w:r>
      <w:r>
        <w:rPr>
          <w:rFonts w:cs="Arial"/>
          <w:color w:val="202124"/>
          <w:shd w:val="clear" w:color="auto" w:fill="FFFFFF"/>
        </w:rPr>
        <w:t>The aim is to facilitate the transmission and reception of small amounts of data from a large number of devices while providing low equipment costs and longer battery life.</w:t>
      </w:r>
    </w:p>
  </w:footnote>
  <w:footnote w:id="5">
    <w:p w14:paraId="780A90EB" w14:textId="77777777" w:rsidR="00A0124A" w:rsidRDefault="00A0124A" w:rsidP="00C725C6">
      <w:pPr>
        <w:pStyle w:val="FootnoteText"/>
        <w:spacing w:after="120" w:line="240" w:lineRule="auto"/>
      </w:pPr>
      <w:r>
        <w:rPr>
          <w:rStyle w:val="FootnoteReference"/>
        </w:rPr>
        <w:footnoteRef/>
      </w:r>
      <w:r>
        <w:t xml:space="preserve"> </w:t>
      </w:r>
      <w:hyperlink r:id="rId3" w:history="1">
        <w:r>
          <w:rPr>
            <w:rStyle w:val="Hyperlink"/>
          </w:rPr>
          <w:t>What is 5G | Everything You Need to Know About 5G | 5G FAQ | Qualcomm</w:t>
        </w:r>
      </w:hyperlink>
    </w:p>
  </w:footnote>
  <w:footnote w:id="6">
    <w:p w14:paraId="75F1F948" w14:textId="5687B8EC" w:rsidR="00207BA9" w:rsidRDefault="00207BA9" w:rsidP="00C008DA">
      <w:pPr>
        <w:pStyle w:val="FootnoteText"/>
        <w:spacing w:after="0"/>
      </w:pPr>
      <w:r>
        <w:rPr>
          <w:rStyle w:val="FootnoteReference"/>
        </w:rPr>
        <w:footnoteRef/>
      </w:r>
      <w:r>
        <w:t xml:space="preserve"> </w:t>
      </w:r>
      <w:r w:rsidRPr="00CF0720">
        <w:t xml:space="preserve">3GPP R4-168430, </w:t>
      </w:r>
      <w:r w:rsidR="00E90571">
        <w:t>‘</w:t>
      </w:r>
      <w:r w:rsidRPr="00CF0720">
        <w:t>On NRb BS ACLR requirement</w:t>
      </w:r>
      <w:r w:rsidR="00E90571">
        <w:t>’</w:t>
      </w:r>
      <w:r w:rsidRPr="00CF0720">
        <w:t>, Huawei, 3GPP TSG-RAN WG4 Meeting #80bis, Oct</w:t>
      </w:r>
      <w:r w:rsidR="00E90571">
        <w:t>ober</w:t>
      </w:r>
      <w:r w:rsidRPr="00CF0720">
        <w:t xml:space="preserve"> 2016</w:t>
      </w:r>
      <w:r w:rsidR="00E90571">
        <w:t>.</w:t>
      </w:r>
    </w:p>
  </w:footnote>
  <w:footnote w:id="7">
    <w:p w14:paraId="7AF1E1B6" w14:textId="69CD7CCC" w:rsidR="004A2EFD" w:rsidRDefault="004A2EFD" w:rsidP="00C725C6">
      <w:pPr>
        <w:pStyle w:val="FootnoteText"/>
        <w:spacing w:after="60" w:line="240" w:lineRule="auto"/>
      </w:pPr>
      <w:r>
        <w:rPr>
          <w:rStyle w:val="FootnoteReference"/>
        </w:rPr>
        <w:footnoteRef/>
      </w:r>
      <w:r>
        <w:t xml:space="preserve"> 3GPP </w:t>
      </w:r>
      <w:r w:rsidRPr="00B46252">
        <w:t>TS 3</w:t>
      </w:r>
      <w:r>
        <w:t>8</w:t>
      </w:r>
      <w:r w:rsidRPr="00B46252">
        <w:t xml:space="preserve">.104, available at: </w:t>
      </w:r>
      <w:hyperlink r:id="rId4" w:history="1">
        <w:r w:rsidRPr="006129E5">
          <w:rPr>
            <w:rStyle w:val="Hyperlink"/>
          </w:rPr>
          <w:t>https://portal.3gpp.org/desktopmodules/Specifications/SpecificationDetails.aspx?specificationId=3202</w:t>
        </w:r>
      </w:hyperlink>
      <w:r w:rsidR="00322DE0">
        <w:t>.</w:t>
      </w:r>
    </w:p>
  </w:footnote>
  <w:footnote w:id="8">
    <w:p w14:paraId="5061030F" w14:textId="07F32A6D" w:rsidR="000626E2" w:rsidRDefault="000626E2" w:rsidP="00C725C6">
      <w:pPr>
        <w:pStyle w:val="FootnoteText"/>
        <w:spacing w:line="240" w:lineRule="auto"/>
      </w:pPr>
      <w:r>
        <w:rPr>
          <w:rStyle w:val="FootnoteReference"/>
        </w:rPr>
        <w:footnoteRef/>
      </w:r>
      <w:r>
        <w:t xml:space="preserve"> 3GPP </w:t>
      </w:r>
      <w:r w:rsidRPr="00B46252">
        <w:t>TS 3</w:t>
      </w:r>
      <w:r>
        <w:t>8</w:t>
      </w:r>
      <w:r w:rsidRPr="00B46252">
        <w:t>.10</w:t>
      </w:r>
      <w:r>
        <w:t>1</w:t>
      </w:r>
      <w:r w:rsidR="002D50BE">
        <w:t>-1 is</w:t>
      </w:r>
      <w:r w:rsidRPr="00B46252">
        <w:t xml:space="preserve"> available at: </w:t>
      </w:r>
      <w:hyperlink r:id="rId5" w:history="1">
        <w:r w:rsidRPr="00966C5B">
          <w:rPr>
            <w:rStyle w:val="Hyperlink"/>
          </w:rPr>
          <w:t>https://portal.3gpp.org/desktopmodules/Specifications/SpecificationDetails.aspx?specificationId=3283</w:t>
        </w:r>
      </w:hyperlink>
      <w:r w:rsidR="00322DE0" w:rsidRPr="00C725C6">
        <w:rPr>
          <w:rStyle w:val="Hyperlink"/>
          <w:color w:val="auto"/>
          <w:u w:val="none"/>
        </w:rPr>
        <w:t>.</w:t>
      </w:r>
    </w:p>
    <w:p w14:paraId="336A3E3C" w14:textId="77777777" w:rsidR="000626E2" w:rsidRDefault="000626E2">
      <w:pPr>
        <w:pStyle w:val="FootnoteText"/>
      </w:pPr>
    </w:p>
  </w:footnote>
  <w:footnote w:id="9">
    <w:p w14:paraId="3B1326B2" w14:textId="3CC77C0A" w:rsidR="00DF62EC" w:rsidRDefault="00DF62EC" w:rsidP="00C725C6">
      <w:pPr>
        <w:pStyle w:val="FootnoteText"/>
        <w:spacing w:after="60" w:line="240" w:lineRule="auto"/>
      </w:pPr>
      <w:r>
        <w:rPr>
          <w:rStyle w:val="FootnoteReference"/>
        </w:rPr>
        <w:footnoteRef/>
      </w:r>
      <w:r>
        <w:t xml:space="preserve"> European Integrated Railway Radio Enhanced Network</w:t>
      </w:r>
      <w:r w:rsidR="00C44BAD">
        <w:t>.</w:t>
      </w:r>
    </w:p>
  </w:footnote>
  <w:footnote w:id="10">
    <w:p w14:paraId="0F95F1D9" w14:textId="25A4C3D8" w:rsidR="00DF62EC" w:rsidRDefault="00DF62EC" w:rsidP="00C725C6">
      <w:pPr>
        <w:pStyle w:val="FootnoteText"/>
        <w:spacing w:after="60" w:line="240" w:lineRule="auto"/>
      </w:pPr>
      <w:r>
        <w:rPr>
          <w:rStyle w:val="FootnoteReference"/>
        </w:rPr>
        <w:footnoteRef/>
      </w:r>
      <w:r>
        <w:t xml:space="preserve"> </w:t>
      </w:r>
      <w:hyperlink r:id="rId6" w:history="1">
        <w:r w:rsidRPr="00C44BAD">
          <w:rPr>
            <w:rStyle w:val="Hyperlink"/>
          </w:rPr>
          <w:t>https://uic.org/IMG/pdf/eirene_srs_15.1.pdf</w:t>
        </w:r>
      </w:hyperlink>
    </w:p>
  </w:footnote>
  <w:footnote w:id="11">
    <w:p w14:paraId="2F86810E" w14:textId="7005B5BC" w:rsidR="00207BA9" w:rsidRDefault="00207BA9" w:rsidP="00C725C6">
      <w:pPr>
        <w:pStyle w:val="FootnoteText"/>
        <w:spacing w:after="120" w:line="240" w:lineRule="auto"/>
      </w:pPr>
      <w:r>
        <w:rPr>
          <w:rStyle w:val="FootnoteReference"/>
        </w:rPr>
        <w:footnoteRef/>
      </w:r>
      <w:r>
        <w:t xml:space="preserve"> </w:t>
      </w:r>
      <w:bookmarkStart w:id="22" w:name="_Hlk56075657"/>
      <w:r w:rsidRPr="00F00EBD">
        <w:rPr>
          <w:iCs/>
        </w:rPr>
        <w:t xml:space="preserve">3 Second SRTM Derived Digital Elevation Model (DEM) </w:t>
      </w:r>
      <w:r>
        <w:rPr>
          <w:iCs/>
        </w:rPr>
        <w:t>V</w:t>
      </w:r>
      <w:r w:rsidRPr="00F00EBD">
        <w:rPr>
          <w:iCs/>
        </w:rPr>
        <w:t>ersion 1.0.</w:t>
      </w:r>
      <w:r>
        <w:rPr>
          <w:iCs/>
        </w:rPr>
        <w:t xml:space="preserve"> </w:t>
      </w:r>
      <w:bookmarkEnd w:id="22"/>
      <w:r>
        <w:rPr>
          <w:iCs/>
        </w:rPr>
        <w:t xml:space="preserve">Record 1.0, given the persistent identifier </w:t>
      </w:r>
      <w:hyperlink r:id="rId7" w:history="1">
        <w:r w:rsidRPr="003A1608">
          <w:rPr>
            <w:rStyle w:val="Hyperlink"/>
            <w:iCs/>
          </w:rPr>
          <w:t>http://pid.geoscience.gov.au/dataset/ga/69888</w:t>
        </w:r>
      </w:hyperlink>
      <w:r>
        <w:rPr>
          <w:iCs/>
        </w:rPr>
        <w:t>.</w:t>
      </w:r>
    </w:p>
  </w:footnote>
  <w:footnote w:id="12">
    <w:p w14:paraId="025FAC7E" w14:textId="7C1E2461" w:rsidR="003C778E" w:rsidRDefault="003C778E">
      <w:pPr>
        <w:pStyle w:val="FootnoteText"/>
      </w:pPr>
      <w:r>
        <w:rPr>
          <w:rStyle w:val="FootnoteReference"/>
        </w:rPr>
        <w:footnoteRef/>
      </w:r>
      <w:r>
        <w:t xml:space="preserve"> </w:t>
      </w:r>
      <w:r w:rsidRPr="00051503">
        <w:t>Digital enhanced cordless telecommunications</w:t>
      </w:r>
      <w:r>
        <w:t xml:space="preserve"> (DECT)</w:t>
      </w:r>
      <w:r w:rsidR="000F25D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3C200" w14:textId="77777777" w:rsidR="00207BA9" w:rsidRPr="00A5474E" w:rsidRDefault="00207BA9" w:rsidP="001A10DA">
    <w:pPr>
      <w:pStyle w:val="Header"/>
    </w:pPr>
    <w:r>
      <w:rPr>
        <w:noProof/>
      </w:rPr>
      <w:drawing>
        <wp:inline distT="0" distB="0" distL="0" distR="0" wp14:anchorId="35C65ACF" wp14:editId="159684C1">
          <wp:extent cx="6210300" cy="571134"/>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p w14:paraId="3CEE5740" w14:textId="498F7278" w:rsidR="00207BA9" w:rsidRPr="00A5474E" w:rsidRDefault="00207BA9" w:rsidP="00A547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FE009" w14:textId="77777777" w:rsidR="00207BA9" w:rsidRPr="00A5474E" w:rsidRDefault="00207BA9"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AA1D" w14:textId="77777777" w:rsidR="00207BA9" w:rsidRDefault="00207B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C1C9" w14:textId="77777777" w:rsidR="00207BA9" w:rsidRDefault="00207B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207BA9" w14:paraId="263DE0B4" w14:textId="77777777" w:rsidTr="00F73C6E">
      <w:trPr>
        <w:trHeight w:hRule="exact" w:val="988"/>
      </w:trPr>
      <w:tc>
        <w:tcPr>
          <w:tcW w:w="7678" w:type="dxa"/>
          <w:shd w:val="clear" w:color="auto" w:fill="auto"/>
        </w:tcPr>
        <w:p w14:paraId="4BF8E389" w14:textId="77777777" w:rsidR="00207BA9" w:rsidRDefault="00207BA9" w:rsidP="00971914">
          <w:pPr>
            <w:pStyle w:val="Header"/>
          </w:pPr>
        </w:p>
      </w:tc>
    </w:tr>
    <w:tr w:rsidR="00207BA9" w14:paraId="3367778D" w14:textId="77777777" w:rsidTr="00F73C6E">
      <w:tc>
        <w:tcPr>
          <w:tcW w:w="7678" w:type="dxa"/>
          <w:shd w:val="clear" w:color="auto" w:fill="auto"/>
        </w:tcPr>
        <w:p w14:paraId="2EE21C61" w14:textId="77777777" w:rsidR="00207BA9" w:rsidRDefault="00207BA9" w:rsidP="00971914">
          <w:pPr>
            <w:pStyle w:val="GridTable31"/>
          </w:pPr>
          <w:r>
            <w:t xml:space="preserve">Contents </w:t>
          </w:r>
          <w:r w:rsidRPr="00915B1C">
            <w:rPr>
              <w:b w:val="0"/>
              <w:spacing w:val="0"/>
              <w:sz w:val="28"/>
              <w:szCs w:val="28"/>
            </w:rPr>
            <w:t>(Continued)</w:t>
          </w:r>
        </w:p>
      </w:tc>
    </w:tr>
    <w:tr w:rsidR="00207BA9" w14:paraId="0853C5EA" w14:textId="77777777" w:rsidTr="00F73C6E">
      <w:trPr>
        <w:trHeight w:val="1220"/>
      </w:trPr>
      <w:tc>
        <w:tcPr>
          <w:tcW w:w="7678" w:type="dxa"/>
          <w:shd w:val="clear" w:color="auto" w:fill="auto"/>
        </w:tcPr>
        <w:p w14:paraId="23622C8C" w14:textId="77777777" w:rsidR="00207BA9" w:rsidRDefault="00207BA9" w:rsidP="00971914"/>
      </w:tc>
    </w:tr>
  </w:tbl>
  <w:p w14:paraId="10DC4753" w14:textId="77777777" w:rsidR="00207BA9" w:rsidRDefault="00207BA9"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207BA9" w14:paraId="232090B4" w14:textId="77777777" w:rsidTr="00F73C6E">
      <w:trPr>
        <w:trHeight w:hRule="exact" w:val="988"/>
      </w:trPr>
      <w:tc>
        <w:tcPr>
          <w:tcW w:w="7678" w:type="dxa"/>
          <w:shd w:val="clear" w:color="auto" w:fill="auto"/>
        </w:tcPr>
        <w:p w14:paraId="077809E7" w14:textId="77777777" w:rsidR="00207BA9" w:rsidRDefault="00207BA9" w:rsidP="00971914">
          <w:pPr>
            <w:pStyle w:val="Header"/>
          </w:pPr>
        </w:p>
      </w:tc>
    </w:tr>
    <w:tr w:rsidR="00207BA9" w14:paraId="6AE6C37B" w14:textId="77777777" w:rsidTr="00F73C6E">
      <w:tc>
        <w:tcPr>
          <w:tcW w:w="7678" w:type="dxa"/>
          <w:shd w:val="clear" w:color="auto" w:fill="auto"/>
        </w:tcPr>
        <w:p w14:paraId="335BFC31" w14:textId="77777777" w:rsidR="00207BA9" w:rsidRDefault="00207BA9" w:rsidP="00971914">
          <w:pPr>
            <w:pStyle w:val="GridTable31"/>
          </w:pPr>
          <w:r>
            <w:t xml:space="preserve">Contents </w:t>
          </w:r>
          <w:r w:rsidRPr="00915B1C">
            <w:rPr>
              <w:b w:val="0"/>
              <w:spacing w:val="0"/>
              <w:sz w:val="28"/>
              <w:szCs w:val="28"/>
            </w:rPr>
            <w:t>(Continued)</w:t>
          </w:r>
        </w:p>
      </w:tc>
    </w:tr>
    <w:tr w:rsidR="00207BA9" w14:paraId="69D1CA1C" w14:textId="77777777" w:rsidTr="00F73C6E">
      <w:trPr>
        <w:trHeight w:val="1220"/>
      </w:trPr>
      <w:tc>
        <w:tcPr>
          <w:tcW w:w="7678" w:type="dxa"/>
          <w:shd w:val="clear" w:color="auto" w:fill="auto"/>
        </w:tcPr>
        <w:p w14:paraId="31E6442A" w14:textId="77777777" w:rsidR="00207BA9" w:rsidRDefault="00207BA9" w:rsidP="00971914"/>
      </w:tc>
    </w:tr>
  </w:tbl>
  <w:p w14:paraId="30437F9F" w14:textId="77777777" w:rsidR="00207BA9" w:rsidRPr="00A5474E" w:rsidRDefault="00207BA9"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347CE" w14:textId="77777777" w:rsidR="00207BA9" w:rsidRDefault="00207BA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4C36" w14:textId="77777777" w:rsidR="00207BA9" w:rsidRDefault="00207B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F86318"/>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703632DA"/>
    <w:lvl w:ilvl="0">
      <w:start w:val="1"/>
      <w:numFmt w:val="decimal"/>
      <w:pStyle w:val="ListNumber2"/>
      <w:lvlText w:val="%1."/>
      <w:lvlJc w:val="left"/>
      <w:pPr>
        <w:ind w:left="360" w:hanging="360"/>
      </w:pPr>
      <w:rPr>
        <w:rFonts w:hint="default"/>
      </w:rPr>
    </w:lvl>
  </w:abstractNum>
  <w:abstractNum w:abstractNumId="2" w15:restartNumberingAfterBreak="0">
    <w:nsid w:val="FFFFFF83"/>
    <w:multiLevelType w:val="singleLevel"/>
    <w:tmpl w:val="FAE25674"/>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3" w15:restartNumberingAfterBreak="0">
    <w:nsid w:val="FFFFFF88"/>
    <w:multiLevelType w:val="multilevel"/>
    <w:tmpl w:val="AE9AF5E2"/>
    <w:lvl w:ilvl="0">
      <w:start w:val="1"/>
      <w:numFmt w:val="decimal"/>
      <w:pStyle w:val="ListNumber"/>
      <w:lvlText w:val="%1."/>
      <w:lvlJc w:val="left"/>
      <w:pPr>
        <w:ind w:left="360" w:hanging="360"/>
      </w:pPr>
      <w:rPr>
        <w:rFonts w:hint="default"/>
        <w:caps/>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FFFFFF89"/>
    <w:multiLevelType w:val="singleLevel"/>
    <w:tmpl w:val="CD7C8754"/>
    <w:lvl w:ilvl="0">
      <w:start w:val="1"/>
      <w:numFmt w:val="bullet"/>
      <w:pStyle w:val="ListBullet"/>
      <w:lvlText w:val="&gt;"/>
      <w:lvlJc w:val="left"/>
      <w:pPr>
        <w:tabs>
          <w:tab w:val="num" w:pos="295"/>
        </w:tabs>
        <w:ind w:left="295" w:hanging="295"/>
      </w:pPr>
      <w:rPr>
        <w:rFonts w:ascii="HelveticaNeueLT Std Lt" w:hAnsi="HelveticaNeueLT Std Lt" w:hint="default"/>
        <w:color w:val="000000" w:themeColor="text1"/>
        <w:sz w:val="20"/>
      </w:rPr>
    </w:lvl>
  </w:abstractNum>
  <w:abstractNum w:abstractNumId="5" w15:restartNumberingAfterBreak="0">
    <w:nsid w:val="01EC65A0"/>
    <w:multiLevelType w:val="hybridMultilevel"/>
    <w:tmpl w:val="D2B283F4"/>
    <w:lvl w:ilvl="0" w:tplc="55F2986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2DB3CE3"/>
    <w:multiLevelType w:val="hybridMultilevel"/>
    <w:tmpl w:val="A128077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4BA05A3"/>
    <w:multiLevelType w:val="hybridMultilevel"/>
    <w:tmpl w:val="EF02B0F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5524E1D"/>
    <w:multiLevelType w:val="hybridMultilevel"/>
    <w:tmpl w:val="2B304BF2"/>
    <w:lvl w:ilvl="0" w:tplc="DC2E5006">
      <w:start w:val="1"/>
      <w:numFmt w:val="decimal"/>
      <w:lvlText w:val="%1."/>
      <w:lvlJc w:val="left"/>
      <w:pPr>
        <w:ind w:left="531" w:hanging="360"/>
        <w:jc w:val="right"/>
      </w:pPr>
      <w:rPr>
        <w:rFonts w:ascii="Times New Roman" w:eastAsia="Times New Roman" w:hAnsi="Times New Roman" w:hint="default"/>
        <w:w w:val="101"/>
        <w:sz w:val="21"/>
        <w:szCs w:val="21"/>
      </w:rPr>
    </w:lvl>
    <w:lvl w:ilvl="1" w:tplc="8D0442E0">
      <w:start w:val="1"/>
      <w:numFmt w:val="lowerLetter"/>
      <w:lvlText w:val="(%2)"/>
      <w:lvlJc w:val="left"/>
      <w:pPr>
        <w:ind w:left="891" w:hanging="360"/>
      </w:pPr>
      <w:rPr>
        <w:rFonts w:ascii="Times New Roman" w:eastAsia="Times New Roman" w:hAnsi="Times New Roman" w:hint="default"/>
        <w:w w:val="101"/>
        <w:sz w:val="21"/>
        <w:szCs w:val="21"/>
      </w:rPr>
    </w:lvl>
    <w:lvl w:ilvl="2" w:tplc="E9E467A2">
      <w:start w:val="1"/>
      <w:numFmt w:val="lowerRoman"/>
      <w:lvlText w:val="(%3)"/>
      <w:lvlJc w:val="left"/>
      <w:pPr>
        <w:ind w:left="1674" w:hanging="360"/>
      </w:pPr>
      <w:rPr>
        <w:rFonts w:ascii="Times New Roman" w:eastAsia="Times New Roman" w:hAnsi="Times New Roman" w:hint="default"/>
        <w:w w:val="101"/>
        <w:sz w:val="21"/>
        <w:szCs w:val="21"/>
      </w:rPr>
    </w:lvl>
    <w:lvl w:ilvl="3" w:tplc="3BAA366E">
      <w:start w:val="1"/>
      <w:numFmt w:val="upperLetter"/>
      <w:lvlText w:val="(%4)"/>
      <w:lvlJc w:val="left"/>
      <w:pPr>
        <w:ind w:left="2034" w:hanging="360"/>
      </w:pPr>
      <w:rPr>
        <w:rFonts w:ascii="Times New Roman" w:eastAsia="Times New Roman" w:hAnsi="Times New Roman" w:hint="default"/>
        <w:w w:val="101"/>
        <w:sz w:val="21"/>
        <w:szCs w:val="21"/>
      </w:rPr>
    </w:lvl>
    <w:lvl w:ilvl="4" w:tplc="A00EC460">
      <w:start w:val="1"/>
      <w:numFmt w:val="bullet"/>
      <w:lvlText w:val="•"/>
      <w:lvlJc w:val="left"/>
      <w:pPr>
        <w:ind w:left="1674" w:hanging="360"/>
      </w:pPr>
      <w:rPr>
        <w:rFonts w:hint="default"/>
      </w:rPr>
    </w:lvl>
    <w:lvl w:ilvl="5" w:tplc="18306F8C">
      <w:start w:val="1"/>
      <w:numFmt w:val="bullet"/>
      <w:lvlText w:val="•"/>
      <w:lvlJc w:val="left"/>
      <w:pPr>
        <w:ind w:left="2034" w:hanging="360"/>
      </w:pPr>
      <w:rPr>
        <w:rFonts w:hint="default"/>
      </w:rPr>
    </w:lvl>
    <w:lvl w:ilvl="6" w:tplc="DCA441AC">
      <w:start w:val="1"/>
      <w:numFmt w:val="bullet"/>
      <w:lvlText w:val="•"/>
      <w:lvlJc w:val="left"/>
      <w:pPr>
        <w:ind w:left="3487" w:hanging="360"/>
      </w:pPr>
      <w:rPr>
        <w:rFonts w:hint="default"/>
      </w:rPr>
    </w:lvl>
    <w:lvl w:ilvl="7" w:tplc="E1C03F70">
      <w:start w:val="1"/>
      <w:numFmt w:val="bullet"/>
      <w:lvlText w:val="•"/>
      <w:lvlJc w:val="left"/>
      <w:pPr>
        <w:ind w:left="4940" w:hanging="360"/>
      </w:pPr>
      <w:rPr>
        <w:rFonts w:hint="default"/>
      </w:rPr>
    </w:lvl>
    <w:lvl w:ilvl="8" w:tplc="0D40AFBA">
      <w:start w:val="1"/>
      <w:numFmt w:val="bullet"/>
      <w:lvlText w:val="•"/>
      <w:lvlJc w:val="left"/>
      <w:pPr>
        <w:ind w:left="6393" w:hanging="360"/>
      </w:pPr>
      <w:rPr>
        <w:rFonts w:hint="default"/>
      </w:rPr>
    </w:lvl>
  </w:abstractNum>
  <w:abstractNum w:abstractNumId="9" w15:restartNumberingAfterBreak="0">
    <w:nsid w:val="07F50189"/>
    <w:multiLevelType w:val="hybridMultilevel"/>
    <w:tmpl w:val="9F9487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C0372CD"/>
    <w:multiLevelType w:val="hybridMultilevel"/>
    <w:tmpl w:val="C794165C"/>
    <w:lvl w:ilvl="0" w:tplc="DC2E5006">
      <w:start w:val="1"/>
      <w:numFmt w:val="decimal"/>
      <w:lvlText w:val="%1."/>
      <w:lvlJc w:val="left"/>
      <w:pPr>
        <w:ind w:left="531" w:hanging="360"/>
        <w:jc w:val="right"/>
      </w:pPr>
      <w:rPr>
        <w:rFonts w:ascii="Times New Roman" w:eastAsia="Times New Roman" w:hAnsi="Times New Roman" w:hint="default"/>
        <w:w w:val="101"/>
        <w:sz w:val="21"/>
        <w:szCs w:val="21"/>
      </w:rPr>
    </w:lvl>
    <w:lvl w:ilvl="1" w:tplc="8D0442E0">
      <w:start w:val="1"/>
      <w:numFmt w:val="lowerLetter"/>
      <w:lvlText w:val="(%2)"/>
      <w:lvlJc w:val="left"/>
      <w:pPr>
        <w:ind w:left="891" w:hanging="360"/>
      </w:pPr>
      <w:rPr>
        <w:rFonts w:ascii="Times New Roman" w:eastAsia="Times New Roman" w:hAnsi="Times New Roman" w:hint="default"/>
        <w:w w:val="101"/>
        <w:sz w:val="21"/>
        <w:szCs w:val="21"/>
      </w:rPr>
    </w:lvl>
    <w:lvl w:ilvl="2" w:tplc="E9E467A2">
      <w:start w:val="1"/>
      <w:numFmt w:val="lowerRoman"/>
      <w:lvlText w:val="(%3)"/>
      <w:lvlJc w:val="left"/>
      <w:pPr>
        <w:ind w:left="1674" w:hanging="360"/>
      </w:pPr>
      <w:rPr>
        <w:rFonts w:ascii="Times New Roman" w:eastAsia="Times New Roman" w:hAnsi="Times New Roman" w:hint="default"/>
        <w:w w:val="101"/>
        <w:sz w:val="21"/>
        <w:szCs w:val="21"/>
      </w:rPr>
    </w:lvl>
    <w:lvl w:ilvl="3" w:tplc="3BAA366E">
      <w:start w:val="1"/>
      <w:numFmt w:val="upperLetter"/>
      <w:lvlText w:val="(%4)"/>
      <w:lvlJc w:val="left"/>
      <w:pPr>
        <w:ind w:left="2034" w:hanging="360"/>
      </w:pPr>
      <w:rPr>
        <w:rFonts w:ascii="Times New Roman" w:eastAsia="Times New Roman" w:hAnsi="Times New Roman" w:hint="default"/>
        <w:w w:val="101"/>
        <w:sz w:val="21"/>
        <w:szCs w:val="21"/>
      </w:rPr>
    </w:lvl>
    <w:lvl w:ilvl="4" w:tplc="A00EC460">
      <w:start w:val="1"/>
      <w:numFmt w:val="bullet"/>
      <w:lvlText w:val="•"/>
      <w:lvlJc w:val="left"/>
      <w:pPr>
        <w:ind w:left="1674" w:hanging="360"/>
      </w:pPr>
      <w:rPr>
        <w:rFonts w:hint="default"/>
      </w:rPr>
    </w:lvl>
    <w:lvl w:ilvl="5" w:tplc="18306F8C">
      <w:start w:val="1"/>
      <w:numFmt w:val="bullet"/>
      <w:lvlText w:val="•"/>
      <w:lvlJc w:val="left"/>
      <w:pPr>
        <w:ind w:left="2034" w:hanging="360"/>
      </w:pPr>
      <w:rPr>
        <w:rFonts w:hint="default"/>
      </w:rPr>
    </w:lvl>
    <w:lvl w:ilvl="6" w:tplc="DCA441AC">
      <w:start w:val="1"/>
      <w:numFmt w:val="bullet"/>
      <w:lvlText w:val="•"/>
      <w:lvlJc w:val="left"/>
      <w:pPr>
        <w:ind w:left="3487" w:hanging="360"/>
      </w:pPr>
      <w:rPr>
        <w:rFonts w:hint="default"/>
      </w:rPr>
    </w:lvl>
    <w:lvl w:ilvl="7" w:tplc="E1C03F70">
      <w:start w:val="1"/>
      <w:numFmt w:val="bullet"/>
      <w:lvlText w:val="•"/>
      <w:lvlJc w:val="left"/>
      <w:pPr>
        <w:ind w:left="4940" w:hanging="360"/>
      </w:pPr>
      <w:rPr>
        <w:rFonts w:hint="default"/>
      </w:rPr>
    </w:lvl>
    <w:lvl w:ilvl="8" w:tplc="0D40AFBA">
      <w:start w:val="1"/>
      <w:numFmt w:val="bullet"/>
      <w:lvlText w:val="•"/>
      <w:lvlJc w:val="left"/>
      <w:pPr>
        <w:ind w:left="6393" w:hanging="360"/>
      </w:pPr>
      <w:rPr>
        <w:rFonts w:hint="default"/>
      </w:rPr>
    </w:lvl>
  </w:abstractNum>
  <w:abstractNum w:abstractNumId="11" w15:restartNumberingAfterBreak="0">
    <w:nsid w:val="12A44FD4"/>
    <w:multiLevelType w:val="hybridMultilevel"/>
    <w:tmpl w:val="8ACE7CE6"/>
    <w:lvl w:ilvl="0" w:tplc="8D0442E0">
      <w:start w:val="1"/>
      <w:numFmt w:val="lowerLetter"/>
      <w:lvlText w:val="(%1)"/>
      <w:lvlJc w:val="left"/>
      <w:pPr>
        <w:ind w:left="891" w:hanging="360"/>
      </w:pPr>
      <w:rPr>
        <w:rFonts w:ascii="Times New Roman" w:eastAsia="Times New Roman" w:hAnsi="Times New Roman" w:hint="default"/>
        <w:w w:val="101"/>
        <w:sz w:val="21"/>
        <w:szCs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5F282E"/>
    <w:multiLevelType w:val="hybridMultilevel"/>
    <w:tmpl w:val="590C998A"/>
    <w:lvl w:ilvl="0" w:tplc="55F2986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4760C6E"/>
    <w:multiLevelType w:val="hybridMultilevel"/>
    <w:tmpl w:val="F402ACD8"/>
    <w:lvl w:ilvl="0" w:tplc="55F2986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5747F38"/>
    <w:multiLevelType w:val="hybridMultilevel"/>
    <w:tmpl w:val="7D64CEF4"/>
    <w:lvl w:ilvl="0" w:tplc="001230B2">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B1205B"/>
    <w:multiLevelType w:val="hybridMultilevel"/>
    <w:tmpl w:val="7F06800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D2143E"/>
    <w:multiLevelType w:val="hybridMultilevel"/>
    <w:tmpl w:val="AB123F4A"/>
    <w:lvl w:ilvl="0" w:tplc="E9E467A2">
      <w:start w:val="1"/>
      <w:numFmt w:val="lowerRoman"/>
      <w:lvlText w:val="(%1)"/>
      <w:lvlJc w:val="left"/>
      <w:pPr>
        <w:ind w:left="720" w:hanging="360"/>
      </w:pPr>
      <w:rPr>
        <w:rFonts w:ascii="Times New Roman" w:eastAsia="Times New Roman" w:hAnsi="Times New Roman" w:hint="default"/>
        <w:w w:val="101"/>
        <w:sz w:val="21"/>
        <w:szCs w:val="21"/>
      </w:rPr>
    </w:lvl>
    <w:lvl w:ilvl="1" w:tplc="0C090019" w:tentative="1">
      <w:start w:val="1"/>
      <w:numFmt w:val="lowerLetter"/>
      <w:lvlText w:val="%2."/>
      <w:lvlJc w:val="left"/>
      <w:pPr>
        <w:ind w:left="1440" w:hanging="360"/>
      </w:pPr>
    </w:lvl>
    <w:lvl w:ilvl="2" w:tplc="E9E467A2">
      <w:start w:val="1"/>
      <w:numFmt w:val="lowerRoman"/>
      <w:lvlText w:val="(%3)"/>
      <w:lvlJc w:val="left"/>
      <w:pPr>
        <w:ind w:left="2160" w:hanging="180"/>
      </w:pPr>
      <w:rPr>
        <w:rFonts w:ascii="Times New Roman" w:eastAsia="Times New Roman" w:hAnsi="Times New Roman" w:hint="default"/>
        <w:w w:val="101"/>
        <w:sz w:val="21"/>
        <w:szCs w:val="21"/>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2F8B2664"/>
    <w:multiLevelType w:val="hybridMultilevel"/>
    <w:tmpl w:val="8B50037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CB4796F"/>
    <w:multiLevelType w:val="hybridMultilevel"/>
    <w:tmpl w:val="EA0423CA"/>
    <w:lvl w:ilvl="0" w:tplc="121044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E13750"/>
    <w:multiLevelType w:val="hybridMultilevel"/>
    <w:tmpl w:val="FF341078"/>
    <w:lvl w:ilvl="0" w:tplc="D66A3B6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12903E0"/>
    <w:multiLevelType w:val="hybridMultilevel"/>
    <w:tmpl w:val="9918A5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31E077F"/>
    <w:multiLevelType w:val="hybridMultilevel"/>
    <w:tmpl w:val="6E80A816"/>
    <w:lvl w:ilvl="0" w:tplc="D7FEE5C0">
      <w:start w:val="4"/>
      <w:numFmt w:val="decimal"/>
      <w:lvlText w:val="%1."/>
      <w:lvlJc w:val="left"/>
      <w:pPr>
        <w:ind w:left="531" w:hanging="360"/>
      </w:pPr>
      <w:rPr>
        <w:rFonts w:ascii="Times New Roman" w:eastAsia="Times New Roman" w:hAnsi="Times New Roman" w:hint="default"/>
        <w:w w:val="101"/>
        <w:sz w:val="21"/>
        <w:szCs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462295A"/>
    <w:multiLevelType w:val="hybridMultilevel"/>
    <w:tmpl w:val="826E4232"/>
    <w:lvl w:ilvl="0" w:tplc="0714CB3A">
      <w:start w:val="1"/>
      <w:numFmt w:val="lowerRoman"/>
      <w:lvlText w:val="(%1)"/>
      <w:lvlJc w:val="left"/>
      <w:pPr>
        <w:ind w:left="720" w:hanging="360"/>
      </w:pPr>
      <w:rPr>
        <w:rFonts w:ascii="Times New Roman" w:eastAsia="Times New Roman" w:hAnsi="Times New Roman" w:hint="default"/>
        <w:b w:val="0"/>
        <w:bCs w:val="0"/>
        <w:i w:val="0"/>
        <w:iCs w:val="0"/>
        <w:w w:val="101"/>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9233C0"/>
    <w:multiLevelType w:val="hybridMultilevel"/>
    <w:tmpl w:val="C794165C"/>
    <w:lvl w:ilvl="0" w:tplc="DC2E5006">
      <w:start w:val="1"/>
      <w:numFmt w:val="decimal"/>
      <w:lvlText w:val="%1."/>
      <w:lvlJc w:val="left"/>
      <w:pPr>
        <w:ind w:left="531" w:hanging="360"/>
        <w:jc w:val="right"/>
      </w:pPr>
      <w:rPr>
        <w:rFonts w:ascii="Times New Roman" w:eastAsia="Times New Roman" w:hAnsi="Times New Roman" w:hint="default"/>
        <w:w w:val="101"/>
        <w:sz w:val="21"/>
        <w:szCs w:val="21"/>
      </w:rPr>
    </w:lvl>
    <w:lvl w:ilvl="1" w:tplc="8D0442E0">
      <w:start w:val="1"/>
      <w:numFmt w:val="lowerLetter"/>
      <w:lvlText w:val="(%2)"/>
      <w:lvlJc w:val="left"/>
      <w:pPr>
        <w:ind w:left="891" w:hanging="360"/>
      </w:pPr>
      <w:rPr>
        <w:rFonts w:ascii="Times New Roman" w:eastAsia="Times New Roman" w:hAnsi="Times New Roman" w:hint="default"/>
        <w:w w:val="101"/>
        <w:sz w:val="21"/>
        <w:szCs w:val="21"/>
      </w:rPr>
    </w:lvl>
    <w:lvl w:ilvl="2" w:tplc="E9E467A2">
      <w:start w:val="1"/>
      <w:numFmt w:val="lowerRoman"/>
      <w:lvlText w:val="(%3)"/>
      <w:lvlJc w:val="left"/>
      <w:pPr>
        <w:ind w:left="1674" w:hanging="360"/>
      </w:pPr>
      <w:rPr>
        <w:rFonts w:ascii="Times New Roman" w:eastAsia="Times New Roman" w:hAnsi="Times New Roman" w:hint="default"/>
        <w:w w:val="101"/>
        <w:sz w:val="21"/>
        <w:szCs w:val="21"/>
      </w:rPr>
    </w:lvl>
    <w:lvl w:ilvl="3" w:tplc="3BAA366E">
      <w:start w:val="1"/>
      <w:numFmt w:val="upperLetter"/>
      <w:lvlText w:val="(%4)"/>
      <w:lvlJc w:val="left"/>
      <w:pPr>
        <w:ind w:left="2034" w:hanging="360"/>
      </w:pPr>
      <w:rPr>
        <w:rFonts w:ascii="Times New Roman" w:eastAsia="Times New Roman" w:hAnsi="Times New Roman" w:hint="default"/>
        <w:w w:val="101"/>
        <w:sz w:val="21"/>
        <w:szCs w:val="21"/>
      </w:rPr>
    </w:lvl>
    <w:lvl w:ilvl="4" w:tplc="A00EC460">
      <w:start w:val="1"/>
      <w:numFmt w:val="bullet"/>
      <w:lvlText w:val="•"/>
      <w:lvlJc w:val="left"/>
      <w:pPr>
        <w:ind w:left="1674" w:hanging="360"/>
      </w:pPr>
      <w:rPr>
        <w:rFonts w:hint="default"/>
      </w:rPr>
    </w:lvl>
    <w:lvl w:ilvl="5" w:tplc="18306F8C">
      <w:start w:val="1"/>
      <w:numFmt w:val="bullet"/>
      <w:lvlText w:val="•"/>
      <w:lvlJc w:val="left"/>
      <w:pPr>
        <w:ind w:left="2034" w:hanging="360"/>
      </w:pPr>
      <w:rPr>
        <w:rFonts w:hint="default"/>
      </w:rPr>
    </w:lvl>
    <w:lvl w:ilvl="6" w:tplc="DCA441AC">
      <w:start w:val="1"/>
      <w:numFmt w:val="bullet"/>
      <w:lvlText w:val="•"/>
      <w:lvlJc w:val="left"/>
      <w:pPr>
        <w:ind w:left="3487" w:hanging="360"/>
      </w:pPr>
      <w:rPr>
        <w:rFonts w:hint="default"/>
      </w:rPr>
    </w:lvl>
    <w:lvl w:ilvl="7" w:tplc="E1C03F70">
      <w:start w:val="1"/>
      <w:numFmt w:val="bullet"/>
      <w:lvlText w:val="•"/>
      <w:lvlJc w:val="left"/>
      <w:pPr>
        <w:ind w:left="4940" w:hanging="360"/>
      </w:pPr>
      <w:rPr>
        <w:rFonts w:hint="default"/>
      </w:rPr>
    </w:lvl>
    <w:lvl w:ilvl="8" w:tplc="0D40AFBA">
      <w:start w:val="1"/>
      <w:numFmt w:val="bullet"/>
      <w:lvlText w:val="•"/>
      <w:lvlJc w:val="left"/>
      <w:pPr>
        <w:ind w:left="6393" w:hanging="360"/>
      </w:pPr>
      <w:rPr>
        <w:rFonts w:hint="default"/>
      </w:rPr>
    </w:lvl>
  </w:abstractNum>
  <w:abstractNum w:abstractNumId="25" w15:restartNumberingAfterBreak="0">
    <w:nsid w:val="52913BC1"/>
    <w:multiLevelType w:val="hybridMultilevel"/>
    <w:tmpl w:val="CADA9158"/>
    <w:lvl w:ilvl="0" w:tplc="B0A4136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5AA21F0"/>
    <w:multiLevelType w:val="hybridMultilevel"/>
    <w:tmpl w:val="06AC6452"/>
    <w:lvl w:ilvl="0" w:tplc="075A84B2">
      <w:start w:val="1"/>
      <w:numFmt w:val="decimal"/>
      <w:pStyle w:val="ACMATableHeader"/>
      <w:lvlText w:val="Table %1:"/>
      <w:lvlJc w:val="left"/>
      <w:pPr>
        <w:tabs>
          <w:tab w:val="num" w:pos="7627"/>
        </w:tabs>
        <w:ind w:left="7627"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F12DA0"/>
    <w:multiLevelType w:val="hybridMultilevel"/>
    <w:tmpl w:val="38604AF0"/>
    <w:lvl w:ilvl="0" w:tplc="3BAA366E">
      <w:start w:val="1"/>
      <w:numFmt w:val="upperLetter"/>
      <w:lvlText w:val="(%1)"/>
      <w:lvlJc w:val="left"/>
      <w:pPr>
        <w:ind w:left="720" w:hanging="360"/>
      </w:pPr>
      <w:rPr>
        <w:rFonts w:ascii="Times New Roman" w:eastAsia="Times New Roman" w:hAnsi="Times New Roman" w:hint="default"/>
        <w:w w:val="101"/>
        <w:sz w:val="21"/>
        <w:szCs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7551A53"/>
    <w:multiLevelType w:val="hybridMultilevel"/>
    <w:tmpl w:val="826E4232"/>
    <w:lvl w:ilvl="0" w:tplc="0714CB3A">
      <w:start w:val="1"/>
      <w:numFmt w:val="lowerRoman"/>
      <w:lvlText w:val="(%1)"/>
      <w:lvlJc w:val="left"/>
      <w:pPr>
        <w:ind w:left="720" w:hanging="360"/>
      </w:pPr>
      <w:rPr>
        <w:rFonts w:ascii="Times New Roman" w:eastAsia="Times New Roman" w:hAnsi="Times New Roman" w:hint="default"/>
        <w:b w:val="0"/>
        <w:bCs w:val="0"/>
        <w:i w:val="0"/>
        <w:iCs w:val="0"/>
        <w:w w:val="101"/>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845242F"/>
    <w:multiLevelType w:val="hybridMultilevel"/>
    <w:tmpl w:val="EF7897F8"/>
    <w:lvl w:ilvl="0" w:tplc="0C090001">
      <w:start w:val="1"/>
      <w:numFmt w:val="bullet"/>
      <w:lvlText w:val=""/>
      <w:lvlJc w:val="left"/>
      <w:pPr>
        <w:ind w:left="360" w:hanging="360"/>
      </w:pPr>
      <w:rPr>
        <w:rFonts w:ascii="Symbol" w:hAnsi="Symbol" w:hint="default"/>
      </w:rPr>
    </w:lvl>
    <w:lvl w:ilvl="1" w:tplc="AD368B42">
      <w:numFmt w:val="bullet"/>
      <w:lvlText w:val="•"/>
      <w:lvlJc w:val="left"/>
      <w:pPr>
        <w:ind w:left="1440" w:hanging="72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BBC1571"/>
    <w:multiLevelType w:val="hybridMultilevel"/>
    <w:tmpl w:val="763E8444"/>
    <w:lvl w:ilvl="0" w:tplc="856E6310">
      <w:start w:val="1"/>
      <w:numFmt w:val="bullet"/>
      <w:lvlText w:val="&gt;"/>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C72555D"/>
    <w:multiLevelType w:val="hybridMultilevel"/>
    <w:tmpl w:val="1D9AE1C4"/>
    <w:lvl w:ilvl="0" w:tplc="E9E467A2">
      <w:start w:val="1"/>
      <w:numFmt w:val="lowerRoman"/>
      <w:lvlText w:val="(%1)"/>
      <w:lvlJc w:val="left"/>
      <w:pPr>
        <w:ind w:left="720" w:hanging="360"/>
      </w:pPr>
      <w:rPr>
        <w:rFonts w:ascii="Times New Roman" w:eastAsia="Times New Roman" w:hAnsi="Times New Roman" w:hint="default"/>
        <w:w w:val="101"/>
        <w:sz w:val="21"/>
        <w:szCs w:val="21"/>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11F2599"/>
    <w:multiLevelType w:val="hybridMultilevel"/>
    <w:tmpl w:val="280A7FC8"/>
    <w:lvl w:ilvl="0" w:tplc="55F2986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071478"/>
    <w:multiLevelType w:val="hybridMultilevel"/>
    <w:tmpl w:val="4560EABA"/>
    <w:lvl w:ilvl="0" w:tplc="01D2533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8E5845"/>
    <w:multiLevelType w:val="hybridMultilevel"/>
    <w:tmpl w:val="1304054A"/>
    <w:lvl w:ilvl="0" w:tplc="3BAA366E">
      <w:start w:val="1"/>
      <w:numFmt w:val="upperLetter"/>
      <w:lvlText w:val="(%1)"/>
      <w:lvlJc w:val="left"/>
      <w:pPr>
        <w:ind w:left="720" w:hanging="360"/>
      </w:pPr>
      <w:rPr>
        <w:rFonts w:ascii="Times New Roman" w:eastAsia="Times New Roman" w:hAnsi="Times New Roman" w:hint="default"/>
        <w:w w:val="101"/>
        <w:sz w:val="21"/>
        <w:szCs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3BAA366E">
      <w:start w:val="1"/>
      <w:numFmt w:val="upperLetter"/>
      <w:lvlText w:val="(%4)"/>
      <w:lvlJc w:val="left"/>
      <w:pPr>
        <w:ind w:left="2880" w:hanging="360"/>
      </w:pPr>
      <w:rPr>
        <w:rFonts w:ascii="Times New Roman" w:eastAsia="Times New Roman" w:hAnsi="Times New Roman" w:hint="default"/>
        <w:w w:val="101"/>
        <w:sz w:val="21"/>
        <w:szCs w:val="21"/>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1BB6143"/>
    <w:multiLevelType w:val="hybridMultilevel"/>
    <w:tmpl w:val="B142CB02"/>
    <w:lvl w:ilvl="0" w:tplc="8DE61C02">
      <w:start w:val="1"/>
      <w:numFmt w:val="lowerLetter"/>
      <w:lvlText w:val="(%1)"/>
      <w:lvlJc w:val="left"/>
      <w:pPr>
        <w:ind w:left="360" w:hanging="360"/>
      </w:pPr>
      <w:rPr>
        <w:rFonts w:ascii="Times New Roman" w:eastAsia="Times New Roman" w:hAnsi="Times New Roman" w:hint="default"/>
        <w:w w:val="101"/>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3914A75"/>
    <w:multiLevelType w:val="hybridMultilevel"/>
    <w:tmpl w:val="473C5F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D406153"/>
    <w:multiLevelType w:val="hybridMultilevel"/>
    <w:tmpl w:val="F80EC45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F135BB5"/>
    <w:multiLevelType w:val="hybridMultilevel"/>
    <w:tmpl w:val="D6FE629C"/>
    <w:lvl w:ilvl="0" w:tplc="E9E467A2">
      <w:start w:val="1"/>
      <w:numFmt w:val="lowerRoman"/>
      <w:lvlText w:val="(%1)"/>
      <w:lvlJc w:val="left"/>
      <w:pPr>
        <w:ind w:left="720" w:hanging="360"/>
      </w:pPr>
      <w:rPr>
        <w:rFonts w:ascii="Times New Roman" w:eastAsia="Times New Roman" w:hAnsi="Times New Roman" w:hint="default"/>
        <w:w w:val="101"/>
        <w:sz w:val="21"/>
        <w:szCs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17"/>
  </w:num>
  <w:num w:numId="6">
    <w:abstractNumId w:val="34"/>
  </w:num>
  <w:num w:numId="7">
    <w:abstractNumId w:val="26"/>
  </w:num>
  <w:num w:numId="8">
    <w:abstractNumId w:val="33"/>
  </w:num>
  <w:num w:numId="9">
    <w:abstractNumId w:val="35"/>
  </w:num>
  <w:num w:numId="10">
    <w:abstractNumId w:val="14"/>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37"/>
  </w:num>
  <w:num w:numId="14">
    <w:abstractNumId w:val="28"/>
  </w:num>
  <w:num w:numId="15">
    <w:abstractNumId w:val="23"/>
  </w:num>
  <w:num w:numId="16">
    <w:abstractNumId w:val="29"/>
  </w:num>
  <w:num w:numId="17">
    <w:abstractNumId w:val="21"/>
  </w:num>
  <w:num w:numId="18">
    <w:abstractNumId w:val="34"/>
    <w:lvlOverride w:ilvl="0">
      <w:startOverride w:val="1"/>
    </w:lvlOverride>
  </w:num>
  <w:num w:numId="19">
    <w:abstractNumId w:val="4"/>
  </w:num>
  <w:num w:numId="20">
    <w:abstractNumId w:val="4"/>
  </w:num>
  <w:num w:numId="21">
    <w:abstractNumId w:val="19"/>
  </w:num>
  <w:num w:numId="22">
    <w:abstractNumId w:val="4"/>
  </w:num>
  <w:num w:numId="23">
    <w:abstractNumId w:val="4"/>
  </w:num>
  <w:num w:numId="24">
    <w:abstractNumId w:val="7"/>
  </w:num>
  <w:num w:numId="25">
    <w:abstractNumId w:val="15"/>
  </w:num>
  <w:num w:numId="26">
    <w:abstractNumId w:val="4"/>
  </w:num>
  <w:num w:numId="27">
    <w:abstractNumId w:val="24"/>
  </w:num>
  <w:num w:numId="28">
    <w:abstractNumId w:val="4"/>
  </w:num>
  <w:num w:numId="29">
    <w:abstractNumId w:val="8"/>
  </w:num>
  <w:num w:numId="30">
    <w:abstractNumId w:val="31"/>
  </w:num>
  <w:num w:numId="31">
    <w:abstractNumId w:val="16"/>
  </w:num>
  <w:num w:numId="32">
    <w:abstractNumId w:val="27"/>
  </w:num>
  <w:num w:numId="33">
    <w:abstractNumId w:val="36"/>
  </w:num>
  <w:num w:numId="34">
    <w:abstractNumId w:val="10"/>
  </w:num>
  <w:num w:numId="35">
    <w:abstractNumId w:val="22"/>
  </w:num>
  <w:num w:numId="36">
    <w:abstractNumId w:val="11"/>
  </w:num>
  <w:num w:numId="37">
    <w:abstractNumId w:val="40"/>
  </w:num>
  <w:num w:numId="38">
    <w:abstractNumId w:val="20"/>
  </w:num>
  <w:num w:numId="39">
    <w:abstractNumId w:val="25"/>
  </w:num>
  <w:num w:numId="40">
    <w:abstractNumId w:val="4"/>
  </w:num>
  <w:num w:numId="41">
    <w:abstractNumId w:val="0"/>
  </w:num>
  <w:num w:numId="42">
    <w:abstractNumId w:val="3"/>
    <w:lvlOverride w:ilvl="0">
      <w:startOverride w:val="1"/>
    </w:lvlOverride>
  </w:num>
  <w:num w:numId="43">
    <w:abstractNumId w:val="5"/>
  </w:num>
  <w:num w:numId="44">
    <w:abstractNumId w:val="13"/>
  </w:num>
  <w:num w:numId="45">
    <w:abstractNumId w:val="12"/>
  </w:num>
  <w:num w:numId="46">
    <w:abstractNumId w:val="6"/>
  </w:num>
  <w:num w:numId="47">
    <w:abstractNumId w:val="18"/>
  </w:num>
  <w:num w:numId="48">
    <w:abstractNumId w:val="30"/>
  </w:num>
  <w:num w:numId="49">
    <w:abstractNumId w:val="9"/>
  </w:num>
  <w:num w:numId="50">
    <w:abstractNumId w:val="32"/>
  </w:num>
  <w:num w:numId="51">
    <w:abstractNumId w:val="4"/>
  </w:num>
  <w:num w:numId="52">
    <w:abstractNumId w:val="3"/>
  </w:num>
  <w:num w:numId="53">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284"/>
  <w:evenAndOddHeaders/>
  <w:drawingGridHorizontalSpacing w:val="100"/>
  <w:displayHorizontalDrawingGridEvery w:val="2"/>
  <w:characterSpacingControl w:val="doNotCompress"/>
  <w:hdrShapeDefaults>
    <o:shapedefaults v:ext="edit" spidmax="4097">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DFC"/>
    <w:rsid w:val="0000222C"/>
    <w:rsid w:val="000027B8"/>
    <w:rsid w:val="00002C66"/>
    <w:rsid w:val="00002F16"/>
    <w:rsid w:val="0000334E"/>
    <w:rsid w:val="000035DA"/>
    <w:rsid w:val="00004A73"/>
    <w:rsid w:val="00004DDE"/>
    <w:rsid w:val="00005092"/>
    <w:rsid w:val="00007AEF"/>
    <w:rsid w:val="00007DD8"/>
    <w:rsid w:val="00010142"/>
    <w:rsid w:val="00010667"/>
    <w:rsid w:val="00010B8F"/>
    <w:rsid w:val="000110ED"/>
    <w:rsid w:val="00011E46"/>
    <w:rsid w:val="000129D5"/>
    <w:rsid w:val="00013D6E"/>
    <w:rsid w:val="00014549"/>
    <w:rsid w:val="00015AE7"/>
    <w:rsid w:val="00015B2B"/>
    <w:rsid w:val="000162E5"/>
    <w:rsid w:val="000163A1"/>
    <w:rsid w:val="00016E21"/>
    <w:rsid w:val="0001719C"/>
    <w:rsid w:val="0002224E"/>
    <w:rsid w:val="00022B1A"/>
    <w:rsid w:val="00023157"/>
    <w:rsid w:val="000248B1"/>
    <w:rsid w:val="0002512D"/>
    <w:rsid w:val="0002673E"/>
    <w:rsid w:val="00026CB1"/>
    <w:rsid w:val="00026F91"/>
    <w:rsid w:val="000277EB"/>
    <w:rsid w:val="0003009F"/>
    <w:rsid w:val="00033506"/>
    <w:rsid w:val="0003399B"/>
    <w:rsid w:val="00033A5A"/>
    <w:rsid w:val="00033FDA"/>
    <w:rsid w:val="00033FE8"/>
    <w:rsid w:val="00035178"/>
    <w:rsid w:val="00035373"/>
    <w:rsid w:val="0004290A"/>
    <w:rsid w:val="00043B59"/>
    <w:rsid w:val="000442DF"/>
    <w:rsid w:val="00046063"/>
    <w:rsid w:val="000473BB"/>
    <w:rsid w:val="0004764C"/>
    <w:rsid w:val="00047911"/>
    <w:rsid w:val="0005011A"/>
    <w:rsid w:val="0005045A"/>
    <w:rsid w:val="00050CBC"/>
    <w:rsid w:val="00051C1E"/>
    <w:rsid w:val="0005307B"/>
    <w:rsid w:val="000539F9"/>
    <w:rsid w:val="00054C27"/>
    <w:rsid w:val="00054F6D"/>
    <w:rsid w:val="0005509A"/>
    <w:rsid w:val="00055EC3"/>
    <w:rsid w:val="000563CE"/>
    <w:rsid w:val="00061873"/>
    <w:rsid w:val="00062690"/>
    <w:rsid w:val="000626E2"/>
    <w:rsid w:val="000628D6"/>
    <w:rsid w:val="000628E0"/>
    <w:rsid w:val="000659B6"/>
    <w:rsid w:val="0006683D"/>
    <w:rsid w:val="0006686F"/>
    <w:rsid w:val="0006722A"/>
    <w:rsid w:val="000674BD"/>
    <w:rsid w:val="00067633"/>
    <w:rsid w:val="00067C0E"/>
    <w:rsid w:val="00067E30"/>
    <w:rsid w:val="000703ED"/>
    <w:rsid w:val="00070D5E"/>
    <w:rsid w:val="000717F5"/>
    <w:rsid w:val="00071801"/>
    <w:rsid w:val="00072106"/>
    <w:rsid w:val="00072927"/>
    <w:rsid w:val="000732CF"/>
    <w:rsid w:val="000745BE"/>
    <w:rsid w:val="00075B96"/>
    <w:rsid w:val="00077E12"/>
    <w:rsid w:val="00080CD5"/>
    <w:rsid w:val="0008196A"/>
    <w:rsid w:val="00081BFE"/>
    <w:rsid w:val="00082322"/>
    <w:rsid w:val="00084478"/>
    <w:rsid w:val="00087BFB"/>
    <w:rsid w:val="00090D9F"/>
    <w:rsid w:val="000910D4"/>
    <w:rsid w:val="0009158F"/>
    <w:rsid w:val="000915ED"/>
    <w:rsid w:val="0009209D"/>
    <w:rsid w:val="000928FD"/>
    <w:rsid w:val="00093DBF"/>
    <w:rsid w:val="000946EC"/>
    <w:rsid w:val="000956DB"/>
    <w:rsid w:val="00096984"/>
    <w:rsid w:val="000969BD"/>
    <w:rsid w:val="000969BF"/>
    <w:rsid w:val="000A00F6"/>
    <w:rsid w:val="000A0C22"/>
    <w:rsid w:val="000A1238"/>
    <w:rsid w:val="000A1400"/>
    <w:rsid w:val="000A21D1"/>
    <w:rsid w:val="000A3947"/>
    <w:rsid w:val="000A3C43"/>
    <w:rsid w:val="000A407B"/>
    <w:rsid w:val="000A431F"/>
    <w:rsid w:val="000A4A51"/>
    <w:rsid w:val="000A5D2B"/>
    <w:rsid w:val="000A66D8"/>
    <w:rsid w:val="000A72C9"/>
    <w:rsid w:val="000A79E6"/>
    <w:rsid w:val="000B1CA3"/>
    <w:rsid w:val="000B2E24"/>
    <w:rsid w:val="000B3906"/>
    <w:rsid w:val="000B3C55"/>
    <w:rsid w:val="000B54BC"/>
    <w:rsid w:val="000B5BEE"/>
    <w:rsid w:val="000B5DE3"/>
    <w:rsid w:val="000B603D"/>
    <w:rsid w:val="000B748D"/>
    <w:rsid w:val="000B7F53"/>
    <w:rsid w:val="000C0A57"/>
    <w:rsid w:val="000C13AB"/>
    <w:rsid w:val="000C230C"/>
    <w:rsid w:val="000C28BA"/>
    <w:rsid w:val="000C3452"/>
    <w:rsid w:val="000C481F"/>
    <w:rsid w:val="000C4F14"/>
    <w:rsid w:val="000C6AB4"/>
    <w:rsid w:val="000C6ABF"/>
    <w:rsid w:val="000D00E3"/>
    <w:rsid w:val="000D0894"/>
    <w:rsid w:val="000D31BE"/>
    <w:rsid w:val="000D519A"/>
    <w:rsid w:val="000D5994"/>
    <w:rsid w:val="000D71D9"/>
    <w:rsid w:val="000D76E0"/>
    <w:rsid w:val="000D7C73"/>
    <w:rsid w:val="000D7E8B"/>
    <w:rsid w:val="000E1115"/>
    <w:rsid w:val="000E4449"/>
    <w:rsid w:val="000E5F2E"/>
    <w:rsid w:val="000E6097"/>
    <w:rsid w:val="000E6749"/>
    <w:rsid w:val="000E77E8"/>
    <w:rsid w:val="000F25DF"/>
    <w:rsid w:val="000F41E0"/>
    <w:rsid w:val="000F6C54"/>
    <w:rsid w:val="000F7BCD"/>
    <w:rsid w:val="0010046D"/>
    <w:rsid w:val="001013B9"/>
    <w:rsid w:val="00101A1E"/>
    <w:rsid w:val="00101A7B"/>
    <w:rsid w:val="00102669"/>
    <w:rsid w:val="00103039"/>
    <w:rsid w:val="00103829"/>
    <w:rsid w:val="00104F78"/>
    <w:rsid w:val="0010535B"/>
    <w:rsid w:val="00106CD7"/>
    <w:rsid w:val="00110B79"/>
    <w:rsid w:val="00111553"/>
    <w:rsid w:val="0011196A"/>
    <w:rsid w:val="00111ED7"/>
    <w:rsid w:val="00111FCE"/>
    <w:rsid w:val="0011375E"/>
    <w:rsid w:val="00113B02"/>
    <w:rsid w:val="00117567"/>
    <w:rsid w:val="001229A5"/>
    <w:rsid w:val="00122D77"/>
    <w:rsid w:val="0012314D"/>
    <w:rsid w:val="001244AE"/>
    <w:rsid w:val="00124789"/>
    <w:rsid w:val="0012489B"/>
    <w:rsid w:val="00124C6E"/>
    <w:rsid w:val="00130017"/>
    <w:rsid w:val="00130F91"/>
    <w:rsid w:val="00131DB0"/>
    <w:rsid w:val="001349ED"/>
    <w:rsid w:val="0013598B"/>
    <w:rsid w:val="00137380"/>
    <w:rsid w:val="00137424"/>
    <w:rsid w:val="00137EBF"/>
    <w:rsid w:val="00140318"/>
    <w:rsid w:val="00141AD9"/>
    <w:rsid w:val="0014202C"/>
    <w:rsid w:val="001452E3"/>
    <w:rsid w:val="00146350"/>
    <w:rsid w:val="00146CE6"/>
    <w:rsid w:val="00147A5F"/>
    <w:rsid w:val="00152018"/>
    <w:rsid w:val="00152903"/>
    <w:rsid w:val="00153FD5"/>
    <w:rsid w:val="00154B3C"/>
    <w:rsid w:val="001558E2"/>
    <w:rsid w:val="0015603B"/>
    <w:rsid w:val="0015614F"/>
    <w:rsid w:val="0015626C"/>
    <w:rsid w:val="00156A68"/>
    <w:rsid w:val="001573CC"/>
    <w:rsid w:val="001577C2"/>
    <w:rsid w:val="00162E63"/>
    <w:rsid w:val="001633C4"/>
    <w:rsid w:val="00163439"/>
    <w:rsid w:val="00163578"/>
    <w:rsid w:val="0016391E"/>
    <w:rsid w:val="00163F7C"/>
    <w:rsid w:val="001655B4"/>
    <w:rsid w:val="00165B59"/>
    <w:rsid w:val="00165C50"/>
    <w:rsid w:val="00166DF6"/>
    <w:rsid w:val="00167531"/>
    <w:rsid w:val="001679C8"/>
    <w:rsid w:val="00171591"/>
    <w:rsid w:val="00171CE5"/>
    <w:rsid w:val="001728D4"/>
    <w:rsid w:val="00173981"/>
    <w:rsid w:val="001739BA"/>
    <w:rsid w:val="00175063"/>
    <w:rsid w:val="001751AB"/>
    <w:rsid w:val="00176F8E"/>
    <w:rsid w:val="0017719D"/>
    <w:rsid w:val="00177983"/>
    <w:rsid w:val="001821C6"/>
    <w:rsid w:val="00182F48"/>
    <w:rsid w:val="00183693"/>
    <w:rsid w:val="00183FD7"/>
    <w:rsid w:val="00184EBD"/>
    <w:rsid w:val="0018563D"/>
    <w:rsid w:val="00185CAB"/>
    <w:rsid w:val="00186FA7"/>
    <w:rsid w:val="001875B7"/>
    <w:rsid w:val="00187CB3"/>
    <w:rsid w:val="001901EB"/>
    <w:rsid w:val="0019050A"/>
    <w:rsid w:val="001910D4"/>
    <w:rsid w:val="001915A4"/>
    <w:rsid w:val="00193E4A"/>
    <w:rsid w:val="00196B8D"/>
    <w:rsid w:val="001971A9"/>
    <w:rsid w:val="001971D6"/>
    <w:rsid w:val="001976E3"/>
    <w:rsid w:val="001A10DA"/>
    <w:rsid w:val="001A15F9"/>
    <w:rsid w:val="001A3C49"/>
    <w:rsid w:val="001A44EC"/>
    <w:rsid w:val="001A4A09"/>
    <w:rsid w:val="001A5005"/>
    <w:rsid w:val="001A673B"/>
    <w:rsid w:val="001B0ABE"/>
    <w:rsid w:val="001B0CF4"/>
    <w:rsid w:val="001B20F0"/>
    <w:rsid w:val="001B23DE"/>
    <w:rsid w:val="001B3B9C"/>
    <w:rsid w:val="001B58AA"/>
    <w:rsid w:val="001B74F2"/>
    <w:rsid w:val="001B7E48"/>
    <w:rsid w:val="001C17CE"/>
    <w:rsid w:val="001C2204"/>
    <w:rsid w:val="001C253F"/>
    <w:rsid w:val="001C2AAE"/>
    <w:rsid w:val="001C36CA"/>
    <w:rsid w:val="001C44D1"/>
    <w:rsid w:val="001C530B"/>
    <w:rsid w:val="001C564D"/>
    <w:rsid w:val="001C6AEE"/>
    <w:rsid w:val="001C721E"/>
    <w:rsid w:val="001C7630"/>
    <w:rsid w:val="001D34A1"/>
    <w:rsid w:val="001D3A79"/>
    <w:rsid w:val="001D409D"/>
    <w:rsid w:val="001D449A"/>
    <w:rsid w:val="001D4C2B"/>
    <w:rsid w:val="001D4C46"/>
    <w:rsid w:val="001D6D15"/>
    <w:rsid w:val="001D6D95"/>
    <w:rsid w:val="001D71A0"/>
    <w:rsid w:val="001D7419"/>
    <w:rsid w:val="001D7564"/>
    <w:rsid w:val="001E14C5"/>
    <w:rsid w:val="001E2531"/>
    <w:rsid w:val="001E254F"/>
    <w:rsid w:val="001E31C7"/>
    <w:rsid w:val="001E36DA"/>
    <w:rsid w:val="001E49B9"/>
    <w:rsid w:val="001E5176"/>
    <w:rsid w:val="001E5F6F"/>
    <w:rsid w:val="001E616D"/>
    <w:rsid w:val="001E6703"/>
    <w:rsid w:val="001F0389"/>
    <w:rsid w:val="001F171F"/>
    <w:rsid w:val="001F1F53"/>
    <w:rsid w:val="001F45C3"/>
    <w:rsid w:val="001F51AB"/>
    <w:rsid w:val="001F593E"/>
    <w:rsid w:val="001F67B6"/>
    <w:rsid w:val="001F7558"/>
    <w:rsid w:val="00201C1E"/>
    <w:rsid w:val="00203AFC"/>
    <w:rsid w:val="0020448C"/>
    <w:rsid w:val="00205B57"/>
    <w:rsid w:val="002074BF"/>
    <w:rsid w:val="002075FE"/>
    <w:rsid w:val="00207BA9"/>
    <w:rsid w:val="0021138F"/>
    <w:rsid w:val="00211AE0"/>
    <w:rsid w:val="002123D6"/>
    <w:rsid w:val="00212DCF"/>
    <w:rsid w:val="002136BE"/>
    <w:rsid w:val="0021498B"/>
    <w:rsid w:val="00214C97"/>
    <w:rsid w:val="002157E0"/>
    <w:rsid w:val="00216A57"/>
    <w:rsid w:val="00216C6E"/>
    <w:rsid w:val="00217250"/>
    <w:rsid w:val="00220213"/>
    <w:rsid w:val="00220F31"/>
    <w:rsid w:val="002227C1"/>
    <w:rsid w:val="002229D3"/>
    <w:rsid w:val="002229FF"/>
    <w:rsid w:val="00222AD3"/>
    <w:rsid w:val="0022334F"/>
    <w:rsid w:val="00223526"/>
    <w:rsid w:val="002244AF"/>
    <w:rsid w:val="002246CF"/>
    <w:rsid w:val="00225BE4"/>
    <w:rsid w:val="002267D4"/>
    <w:rsid w:val="002267DA"/>
    <w:rsid w:val="00226819"/>
    <w:rsid w:val="00230AAB"/>
    <w:rsid w:val="00231C96"/>
    <w:rsid w:val="00233101"/>
    <w:rsid w:val="00233817"/>
    <w:rsid w:val="00233962"/>
    <w:rsid w:val="0023509B"/>
    <w:rsid w:val="002367FF"/>
    <w:rsid w:val="00236A88"/>
    <w:rsid w:val="00240CE9"/>
    <w:rsid w:val="00241532"/>
    <w:rsid w:val="002434BA"/>
    <w:rsid w:val="00246089"/>
    <w:rsid w:val="00246093"/>
    <w:rsid w:val="002461EB"/>
    <w:rsid w:val="00246513"/>
    <w:rsid w:val="00246702"/>
    <w:rsid w:val="00246888"/>
    <w:rsid w:val="00247C59"/>
    <w:rsid w:val="00247F2E"/>
    <w:rsid w:val="00250ADC"/>
    <w:rsid w:val="00250B07"/>
    <w:rsid w:val="00250BFF"/>
    <w:rsid w:val="00252039"/>
    <w:rsid w:val="00252AD3"/>
    <w:rsid w:val="00255376"/>
    <w:rsid w:val="00255B49"/>
    <w:rsid w:val="0025638A"/>
    <w:rsid w:val="00257553"/>
    <w:rsid w:val="00257C62"/>
    <w:rsid w:val="002603F7"/>
    <w:rsid w:val="00260FB2"/>
    <w:rsid w:val="00262128"/>
    <w:rsid w:val="0026287B"/>
    <w:rsid w:val="00263B4D"/>
    <w:rsid w:val="00264962"/>
    <w:rsid w:val="00264B86"/>
    <w:rsid w:val="00264DB7"/>
    <w:rsid w:val="0026653F"/>
    <w:rsid w:val="00267EF3"/>
    <w:rsid w:val="0027042A"/>
    <w:rsid w:val="0027165D"/>
    <w:rsid w:val="0027238F"/>
    <w:rsid w:val="00273CEB"/>
    <w:rsid w:val="0027571C"/>
    <w:rsid w:val="002765E5"/>
    <w:rsid w:val="00281C89"/>
    <w:rsid w:val="0028282F"/>
    <w:rsid w:val="0028392F"/>
    <w:rsid w:val="002854C8"/>
    <w:rsid w:val="00286119"/>
    <w:rsid w:val="00286465"/>
    <w:rsid w:val="002908C2"/>
    <w:rsid w:val="00291647"/>
    <w:rsid w:val="0029295B"/>
    <w:rsid w:val="0029593B"/>
    <w:rsid w:val="002965DD"/>
    <w:rsid w:val="002965EF"/>
    <w:rsid w:val="002971AD"/>
    <w:rsid w:val="00297A45"/>
    <w:rsid w:val="00297FC5"/>
    <w:rsid w:val="002A0417"/>
    <w:rsid w:val="002A0662"/>
    <w:rsid w:val="002A07D7"/>
    <w:rsid w:val="002A0B0B"/>
    <w:rsid w:val="002A0C98"/>
    <w:rsid w:val="002A16D8"/>
    <w:rsid w:val="002A1BC8"/>
    <w:rsid w:val="002A2475"/>
    <w:rsid w:val="002A3EF2"/>
    <w:rsid w:val="002A567C"/>
    <w:rsid w:val="002A6070"/>
    <w:rsid w:val="002A6171"/>
    <w:rsid w:val="002A61F9"/>
    <w:rsid w:val="002B056A"/>
    <w:rsid w:val="002B0DED"/>
    <w:rsid w:val="002B106F"/>
    <w:rsid w:val="002B19A2"/>
    <w:rsid w:val="002B381A"/>
    <w:rsid w:val="002B433E"/>
    <w:rsid w:val="002B45D4"/>
    <w:rsid w:val="002B4FCC"/>
    <w:rsid w:val="002B703E"/>
    <w:rsid w:val="002B7408"/>
    <w:rsid w:val="002B7CFD"/>
    <w:rsid w:val="002C024F"/>
    <w:rsid w:val="002C1209"/>
    <w:rsid w:val="002C1627"/>
    <w:rsid w:val="002C210F"/>
    <w:rsid w:val="002C4BA0"/>
    <w:rsid w:val="002C53C3"/>
    <w:rsid w:val="002D0491"/>
    <w:rsid w:val="002D0B20"/>
    <w:rsid w:val="002D1ED2"/>
    <w:rsid w:val="002D2E80"/>
    <w:rsid w:val="002D3600"/>
    <w:rsid w:val="002D50BE"/>
    <w:rsid w:val="002D5592"/>
    <w:rsid w:val="002D5843"/>
    <w:rsid w:val="002D5EE7"/>
    <w:rsid w:val="002D6BDB"/>
    <w:rsid w:val="002D7BD8"/>
    <w:rsid w:val="002E0628"/>
    <w:rsid w:val="002E0941"/>
    <w:rsid w:val="002E0A1C"/>
    <w:rsid w:val="002E1594"/>
    <w:rsid w:val="002E371B"/>
    <w:rsid w:val="002E4681"/>
    <w:rsid w:val="002E4DDC"/>
    <w:rsid w:val="002E521B"/>
    <w:rsid w:val="002E5613"/>
    <w:rsid w:val="002E5CE3"/>
    <w:rsid w:val="002E60BA"/>
    <w:rsid w:val="002E74BC"/>
    <w:rsid w:val="002F08A5"/>
    <w:rsid w:val="002F1B02"/>
    <w:rsid w:val="002F2086"/>
    <w:rsid w:val="002F2306"/>
    <w:rsid w:val="002F359C"/>
    <w:rsid w:val="002F42AE"/>
    <w:rsid w:val="002F78B6"/>
    <w:rsid w:val="003002F2"/>
    <w:rsid w:val="003018F2"/>
    <w:rsid w:val="0030239D"/>
    <w:rsid w:val="00302480"/>
    <w:rsid w:val="0030430F"/>
    <w:rsid w:val="00304354"/>
    <w:rsid w:val="00305794"/>
    <w:rsid w:val="003100C5"/>
    <w:rsid w:val="00310110"/>
    <w:rsid w:val="00310340"/>
    <w:rsid w:val="00310D88"/>
    <w:rsid w:val="00311A14"/>
    <w:rsid w:val="003127C4"/>
    <w:rsid w:val="003146CA"/>
    <w:rsid w:val="00315F8F"/>
    <w:rsid w:val="003165E6"/>
    <w:rsid w:val="00320689"/>
    <w:rsid w:val="00320BE8"/>
    <w:rsid w:val="00321296"/>
    <w:rsid w:val="003215B5"/>
    <w:rsid w:val="003218F2"/>
    <w:rsid w:val="003221CF"/>
    <w:rsid w:val="00322916"/>
    <w:rsid w:val="00322DE0"/>
    <w:rsid w:val="003233ED"/>
    <w:rsid w:val="0032364D"/>
    <w:rsid w:val="00324D9F"/>
    <w:rsid w:val="00325FCA"/>
    <w:rsid w:val="003277E2"/>
    <w:rsid w:val="00327948"/>
    <w:rsid w:val="00327AED"/>
    <w:rsid w:val="0033000F"/>
    <w:rsid w:val="003301DF"/>
    <w:rsid w:val="003311D4"/>
    <w:rsid w:val="003312E7"/>
    <w:rsid w:val="00332011"/>
    <w:rsid w:val="00332518"/>
    <w:rsid w:val="00332835"/>
    <w:rsid w:val="00332925"/>
    <w:rsid w:val="003332ED"/>
    <w:rsid w:val="00334240"/>
    <w:rsid w:val="00335A44"/>
    <w:rsid w:val="003360B6"/>
    <w:rsid w:val="003368DC"/>
    <w:rsid w:val="00336B32"/>
    <w:rsid w:val="00340734"/>
    <w:rsid w:val="00344D13"/>
    <w:rsid w:val="00345927"/>
    <w:rsid w:val="0034723F"/>
    <w:rsid w:val="00347427"/>
    <w:rsid w:val="00350584"/>
    <w:rsid w:val="003510A9"/>
    <w:rsid w:val="003513F1"/>
    <w:rsid w:val="00351857"/>
    <w:rsid w:val="00352E3B"/>
    <w:rsid w:val="00353685"/>
    <w:rsid w:val="00353FE4"/>
    <w:rsid w:val="003545E8"/>
    <w:rsid w:val="003551DA"/>
    <w:rsid w:val="0035692D"/>
    <w:rsid w:val="003610E1"/>
    <w:rsid w:val="00363743"/>
    <w:rsid w:val="00363A46"/>
    <w:rsid w:val="003668A3"/>
    <w:rsid w:val="003671BE"/>
    <w:rsid w:val="00370E36"/>
    <w:rsid w:val="00371791"/>
    <w:rsid w:val="00371AE8"/>
    <w:rsid w:val="00372485"/>
    <w:rsid w:val="00373200"/>
    <w:rsid w:val="00373B88"/>
    <w:rsid w:val="003749C1"/>
    <w:rsid w:val="003754A3"/>
    <w:rsid w:val="00375EF5"/>
    <w:rsid w:val="003767A5"/>
    <w:rsid w:val="00377558"/>
    <w:rsid w:val="00377F0F"/>
    <w:rsid w:val="00381367"/>
    <w:rsid w:val="00381D15"/>
    <w:rsid w:val="00382EBF"/>
    <w:rsid w:val="00385254"/>
    <w:rsid w:val="0038639E"/>
    <w:rsid w:val="00386CB6"/>
    <w:rsid w:val="0038741C"/>
    <w:rsid w:val="0038765E"/>
    <w:rsid w:val="00390205"/>
    <w:rsid w:val="003906EB"/>
    <w:rsid w:val="00390737"/>
    <w:rsid w:val="003908F0"/>
    <w:rsid w:val="00390B2A"/>
    <w:rsid w:val="00390FEF"/>
    <w:rsid w:val="00391F41"/>
    <w:rsid w:val="0039211E"/>
    <w:rsid w:val="003926C0"/>
    <w:rsid w:val="00395543"/>
    <w:rsid w:val="003960ED"/>
    <w:rsid w:val="003964B0"/>
    <w:rsid w:val="003972FE"/>
    <w:rsid w:val="003A04DB"/>
    <w:rsid w:val="003A0974"/>
    <w:rsid w:val="003A158A"/>
    <w:rsid w:val="003A1608"/>
    <w:rsid w:val="003A334A"/>
    <w:rsid w:val="003A3484"/>
    <w:rsid w:val="003A4395"/>
    <w:rsid w:val="003A4C6A"/>
    <w:rsid w:val="003A4CD9"/>
    <w:rsid w:val="003A4D55"/>
    <w:rsid w:val="003A5714"/>
    <w:rsid w:val="003A5F5B"/>
    <w:rsid w:val="003A789A"/>
    <w:rsid w:val="003A7F8D"/>
    <w:rsid w:val="003B12EC"/>
    <w:rsid w:val="003B13E4"/>
    <w:rsid w:val="003B2415"/>
    <w:rsid w:val="003B2B6D"/>
    <w:rsid w:val="003B4C82"/>
    <w:rsid w:val="003B5D8D"/>
    <w:rsid w:val="003B6651"/>
    <w:rsid w:val="003C0007"/>
    <w:rsid w:val="003C0A0C"/>
    <w:rsid w:val="003C0F4F"/>
    <w:rsid w:val="003C176E"/>
    <w:rsid w:val="003C1D0C"/>
    <w:rsid w:val="003C2B82"/>
    <w:rsid w:val="003C3B4D"/>
    <w:rsid w:val="003C4FD3"/>
    <w:rsid w:val="003C50F7"/>
    <w:rsid w:val="003C5E76"/>
    <w:rsid w:val="003C6591"/>
    <w:rsid w:val="003C70E3"/>
    <w:rsid w:val="003C71EE"/>
    <w:rsid w:val="003C778E"/>
    <w:rsid w:val="003C77E0"/>
    <w:rsid w:val="003D06D5"/>
    <w:rsid w:val="003D12E1"/>
    <w:rsid w:val="003D17D7"/>
    <w:rsid w:val="003D2678"/>
    <w:rsid w:val="003D3111"/>
    <w:rsid w:val="003D3C48"/>
    <w:rsid w:val="003D71A3"/>
    <w:rsid w:val="003E019C"/>
    <w:rsid w:val="003E023D"/>
    <w:rsid w:val="003E09D3"/>
    <w:rsid w:val="003E2B8A"/>
    <w:rsid w:val="003E3335"/>
    <w:rsid w:val="003E3742"/>
    <w:rsid w:val="003E586C"/>
    <w:rsid w:val="003E6BA2"/>
    <w:rsid w:val="003F10EE"/>
    <w:rsid w:val="003F16F6"/>
    <w:rsid w:val="003F20E3"/>
    <w:rsid w:val="003F29C6"/>
    <w:rsid w:val="003F3E37"/>
    <w:rsid w:val="003F4BBD"/>
    <w:rsid w:val="003F4BBF"/>
    <w:rsid w:val="003F4DC7"/>
    <w:rsid w:val="003F5235"/>
    <w:rsid w:val="003F58DE"/>
    <w:rsid w:val="003F5990"/>
    <w:rsid w:val="003F5EA8"/>
    <w:rsid w:val="003F608B"/>
    <w:rsid w:val="003F651F"/>
    <w:rsid w:val="003F7C43"/>
    <w:rsid w:val="0040188E"/>
    <w:rsid w:val="00402327"/>
    <w:rsid w:val="004027E4"/>
    <w:rsid w:val="004029D3"/>
    <w:rsid w:val="00402CBA"/>
    <w:rsid w:val="004034A2"/>
    <w:rsid w:val="004037E0"/>
    <w:rsid w:val="00405F40"/>
    <w:rsid w:val="0040642D"/>
    <w:rsid w:val="0041051B"/>
    <w:rsid w:val="0041071D"/>
    <w:rsid w:val="00411B54"/>
    <w:rsid w:val="00412DA4"/>
    <w:rsid w:val="004133C2"/>
    <w:rsid w:val="00414AFC"/>
    <w:rsid w:val="004151A7"/>
    <w:rsid w:val="00415310"/>
    <w:rsid w:val="0041710B"/>
    <w:rsid w:val="00421709"/>
    <w:rsid w:val="00423763"/>
    <w:rsid w:val="00424AD9"/>
    <w:rsid w:val="00425239"/>
    <w:rsid w:val="0042657A"/>
    <w:rsid w:val="00427431"/>
    <w:rsid w:val="0042762F"/>
    <w:rsid w:val="004276E5"/>
    <w:rsid w:val="00427DC7"/>
    <w:rsid w:val="00430F19"/>
    <w:rsid w:val="00431613"/>
    <w:rsid w:val="00431792"/>
    <w:rsid w:val="0043297A"/>
    <w:rsid w:val="004329C0"/>
    <w:rsid w:val="00432A66"/>
    <w:rsid w:val="00432B4A"/>
    <w:rsid w:val="00432EAD"/>
    <w:rsid w:val="00432EB2"/>
    <w:rsid w:val="004357FA"/>
    <w:rsid w:val="0043714F"/>
    <w:rsid w:val="00440DC8"/>
    <w:rsid w:val="00441558"/>
    <w:rsid w:val="004432BB"/>
    <w:rsid w:val="004438B5"/>
    <w:rsid w:val="004450DE"/>
    <w:rsid w:val="00446823"/>
    <w:rsid w:val="00447037"/>
    <w:rsid w:val="004470CE"/>
    <w:rsid w:val="00447882"/>
    <w:rsid w:val="0045124D"/>
    <w:rsid w:val="00454596"/>
    <w:rsid w:val="00454C1E"/>
    <w:rsid w:val="0045605D"/>
    <w:rsid w:val="00456AF3"/>
    <w:rsid w:val="00456BA8"/>
    <w:rsid w:val="004578A8"/>
    <w:rsid w:val="00460CAC"/>
    <w:rsid w:val="0046135B"/>
    <w:rsid w:val="00461D47"/>
    <w:rsid w:val="00462CCC"/>
    <w:rsid w:val="00466AEC"/>
    <w:rsid w:val="00466FD8"/>
    <w:rsid w:val="00470249"/>
    <w:rsid w:val="0047042E"/>
    <w:rsid w:val="00470AA1"/>
    <w:rsid w:val="004718CC"/>
    <w:rsid w:val="00471F22"/>
    <w:rsid w:val="00472DDD"/>
    <w:rsid w:val="00474C2A"/>
    <w:rsid w:val="00474F99"/>
    <w:rsid w:val="00476F64"/>
    <w:rsid w:val="0047740D"/>
    <w:rsid w:val="00480A25"/>
    <w:rsid w:val="00481695"/>
    <w:rsid w:val="004834D2"/>
    <w:rsid w:val="004869C9"/>
    <w:rsid w:val="00486AEE"/>
    <w:rsid w:val="0048787E"/>
    <w:rsid w:val="004901BA"/>
    <w:rsid w:val="0049034A"/>
    <w:rsid w:val="0049040C"/>
    <w:rsid w:val="0049101B"/>
    <w:rsid w:val="0049203D"/>
    <w:rsid w:val="004926FB"/>
    <w:rsid w:val="00493DF4"/>
    <w:rsid w:val="0049545F"/>
    <w:rsid w:val="00495A96"/>
    <w:rsid w:val="00495BB3"/>
    <w:rsid w:val="004A2EFD"/>
    <w:rsid w:val="004A4064"/>
    <w:rsid w:val="004A4AE2"/>
    <w:rsid w:val="004A56BB"/>
    <w:rsid w:val="004A68F3"/>
    <w:rsid w:val="004B1751"/>
    <w:rsid w:val="004B3236"/>
    <w:rsid w:val="004C0253"/>
    <w:rsid w:val="004C0DAE"/>
    <w:rsid w:val="004C3398"/>
    <w:rsid w:val="004C53E1"/>
    <w:rsid w:val="004C7B2B"/>
    <w:rsid w:val="004C7C65"/>
    <w:rsid w:val="004C7D69"/>
    <w:rsid w:val="004D114F"/>
    <w:rsid w:val="004D1622"/>
    <w:rsid w:val="004D1A14"/>
    <w:rsid w:val="004D21B4"/>
    <w:rsid w:val="004D2F7A"/>
    <w:rsid w:val="004D4CB2"/>
    <w:rsid w:val="004D535C"/>
    <w:rsid w:val="004D56FF"/>
    <w:rsid w:val="004E03F8"/>
    <w:rsid w:val="004E24BD"/>
    <w:rsid w:val="004E2A29"/>
    <w:rsid w:val="004E39D3"/>
    <w:rsid w:val="004E441B"/>
    <w:rsid w:val="004E476A"/>
    <w:rsid w:val="004E508A"/>
    <w:rsid w:val="004E616D"/>
    <w:rsid w:val="004F112E"/>
    <w:rsid w:val="004F177F"/>
    <w:rsid w:val="004F1BDE"/>
    <w:rsid w:val="004F2CEE"/>
    <w:rsid w:val="004F31B9"/>
    <w:rsid w:val="004F4214"/>
    <w:rsid w:val="004F453F"/>
    <w:rsid w:val="004F4E80"/>
    <w:rsid w:val="004F556E"/>
    <w:rsid w:val="004F591C"/>
    <w:rsid w:val="004F6636"/>
    <w:rsid w:val="004F703C"/>
    <w:rsid w:val="004F74F6"/>
    <w:rsid w:val="004F7F44"/>
    <w:rsid w:val="00500DC2"/>
    <w:rsid w:val="0050134D"/>
    <w:rsid w:val="00502253"/>
    <w:rsid w:val="00502344"/>
    <w:rsid w:val="005037B4"/>
    <w:rsid w:val="00506E4B"/>
    <w:rsid w:val="005079BF"/>
    <w:rsid w:val="00511E2A"/>
    <w:rsid w:val="0051269A"/>
    <w:rsid w:val="00512736"/>
    <w:rsid w:val="005137C9"/>
    <w:rsid w:val="00515E6B"/>
    <w:rsid w:val="00516C88"/>
    <w:rsid w:val="005179A3"/>
    <w:rsid w:val="005179F1"/>
    <w:rsid w:val="00520A56"/>
    <w:rsid w:val="005219E7"/>
    <w:rsid w:val="00522FEA"/>
    <w:rsid w:val="00523983"/>
    <w:rsid w:val="0052499A"/>
    <w:rsid w:val="00525F5B"/>
    <w:rsid w:val="00527961"/>
    <w:rsid w:val="00530926"/>
    <w:rsid w:val="00531292"/>
    <w:rsid w:val="005315B1"/>
    <w:rsid w:val="00531B9A"/>
    <w:rsid w:val="00531D15"/>
    <w:rsid w:val="0053409F"/>
    <w:rsid w:val="0053652C"/>
    <w:rsid w:val="00537604"/>
    <w:rsid w:val="00537D56"/>
    <w:rsid w:val="0054004B"/>
    <w:rsid w:val="00541070"/>
    <w:rsid w:val="00541D8A"/>
    <w:rsid w:val="00542377"/>
    <w:rsid w:val="00542E03"/>
    <w:rsid w:val="00542FC4"/>
    <w:rsid w:val="005441D2"/>
    <w:rsid w:val="00544AE8"/>
    <w:rsid w:val="00544B0C"/>
    <w:rsid w:val="005476EB"/>
    <w:rsid w:val="00547D7C"/>
    <w:rsid w:val="00551782"/>
    <w:rsid w:val="00552BF0"/>
    <w:rsid w:val="005549A9"/>
    <w:rsid w:val="00556830"/>
    <w:rsid w:val="00557C00"/>
    <w:rsid w:val="00557E6A"/>
    <w:rsid w:val="00560D75"/>
    <w:rsid w:val="00561121"/>
    <w:rsid w:val="005616FC"/>
    <w:rsid w:val="00563EF1"/>
    <w:rsid w:val="00564155"/>
    <w:rsid w:val="005645DB"/>
    <w:rsid w:val="005648C3"/>
    <w:rsid w:val="00564B1A"/>
    <w:rsid w:val="00566AB4"/>
    <w:rsid w:val="0057031E"/>
    <w:rsid w:val="005709AB"/>
    <w:rsid w:val="005711CE"/>
    <w:rsid w:val="005730AC"/>
    <w:rsid w:val="00574E49"/>
    <w:rsid w:val="00574FBA"/>
    <w:rsid w:val="00575AC5"/>
    <w:rsid w:val="0057605D"/>
    <w:rsid w:val="005769E2"/>
    <w:rsid w:val="00577503"/>
    <w:rsid w:val="00577CFC"/>
    <w:rsid w:val="00581347"/>
    <w:rsid w:val="00581AC9"/>
    <w:rsid w:val="00582114"/>
    <w:rsid w:val="005846B3"/>
    <w:rsid w:val="005849F8"/>
    <w:rsid w:val="00584A3A"/>
    <w:rsid w:val="00584DFD"/>
    <w:rsid w:val="00585FFD"/>
    <w:rsid w:val="005864F7"/>
    <w:rsid w:val="00586C41"/>
    <w:rsid w:val="005876C2"/>
    <w:rsid w:val="005933DA"/>
    <w:rsid w:val="005938DF"/>
    <w:rsid w:val="00594055"/>
    <w:rsid w:val="00594255"/>
    <w:rsid w:val="00594875"/>
    <w:rsid w:val="00594E9C"/>
    <w:rsid w:val="00594F0C"/>
    <w:rsid w:val="00596A18"/>
    <w:rsid w:val="005A099B"/>
    <w:rsid w:val="005A1463"/>
    <w:rsid w:val="005A1E5B"/>
    <w:rsid w:val="005A2305"/>
    <w:rsid w:val="005A2D9C"/>
    <w:rsid w:val="005A3B49"/>
    <w:rsid w:val="005A3D17"/>
    <w:rsid w:val="005A3EF9"/>
    <w:rsid w:val="005A476F"/>
    <w:rsid w:val="005A55FE"/>
    <w:rsid w:val="005A5839"/>
    <w:rsid w:val="005A677A"/>
    <w:rsid w:val="005A6A11"/>
    <w:rsid w:val="005A7A3C"/>
    <w:rsid w:val="005B27E7"/>
    <w:rsid w:val="005B30E4"/>
    <w:rsid w:val="005B6881"/>
    <w:rsid w:val="005C051D"/>
    <w:rsid w:val="005C0971"/>
    <w:rsid w:val="005C2641"/>
    <w:rsid w:val="005C2802"/>
    <w:rsid w:val="005C3CF7"/>
    <w:rsid w:val="005C489A"/>
    <w:rsid w:val="005C5DE3"/>
    <w:rsid w:val="005C7349"/>
    <w:rsid w:val="005C75E3"/>
    <w:rsid w:val="005D2502"/>
    <w:rsid w:val="005D2B16"/>
    <w:rsid w:val="005D40BB"/>
    <w:rsid w:val="005D47F3"/>
    <w:rsid w:val="005D49BF"/>
    <w:rsid w:val="005D4AA5"/>
    <w:rsid w:val="005D51CC"/>
    <w:rsid w:val="005D5554"/>
    <w:rsid w:val="005D6F4E"/>
    <w:rsid w:val="005D7C73"/>
    <w:rsid w:val="005E10AE"/>
    <w:rsid w:val="005E155C"/>
    <w:rsid w:val="005E156E"/>
    <w:rsid w:val="005E3ACD"/>
    <w:rsid w:val="005E4438"/>
    <w:rsid w:val="005E5255"/>
    <w:rsid w:val="005E626D"/>
    <w:rsid w:val="005E6B3E"/>
    <w:rsid w:val="005E7226"/>
    <w:rsid w:val="005E7A57"/>
    <w:rsid w:val="005E7BCE"/>
    <w:rsid w:val="005F1272"/>
    <w:rsid w:val="005F1C70"/>
    <w:rsid w:val="005F24B0"/>
    <w:rsid w:val="005F3AB5"/>
    <w:rsid w:val="005F5305"/>
    <w:rsid w:val="005F5F92"/>
    <w:rsid w:val="006000A1"/>
    <w:rsid w:val="00602151"/>
    <w:rsid w:val="00604315"/>
    <w:rsid w:val="006045BF"/>
    <w:rsid w:val="006047AD"/>
    <w:rsid w:val="00604E26"/>
    <w:rsid w:val="006052CF"/>
    <w:rsid w:val="00607B8D"/>
    <w:rsid w:val="0061030C"/>
    <w:rsid w:val="0061098E"/>
    <w:rsid w:val="00611BBE"/>
    <w:rsid w:val="00611F5C"/>
    <w:rsid w:val="006123E2"/>
    <w:rsid w:val="00612A4C"/>
    <w:rsid w:val="00614221"/>
    <w:rsid w:val="00614241"/>
    <w:rsid w:val="006149B4"/>
    <w:rsid w:val="00616E09"/>
    <w:rsid w:val="006176FE"/>
    <w:rsid w:val="00617C38"/>
    <w:rsid w:val="00622A3B"/>
    <w:rsid w:val="00622EEA"/>
    <w:rsid w:val="00623940"/>
    <w:rsid w:val="0062396C"/>
    <w:rsid w:val="00623B2D"/>
    <w:rsid w:val="00623FF9"/>
    <w:rsid w:val="00625663"/>
    <w:rsid w:val="006257A1"/>
    <w:rsid w:val="00625B69"/>
    <w:rsid w:val="00626DAC"/>
    <w:rsid w:val="00627288"/>
    <w:rsid w:val="00627D4E"/>
    <w:rsid w:val="00627FA4"/>
    <w:rsid w:val="006322BC"/>
    <w:rsid w:val="00632B89"/>
    <w:rsid w:val="0063417B"/>
    <w:rsid w:val="00634478"/>
    <w:rsid w:val="00635287"/>
    <w:rsid w:val="006358D3"/>
    <w:rsid w:val="00642EF3"/>
    <w:rsid w:val="0064326E"/>
    <w:rsid w:val="00643E33"/>
    <w:rsid w:val="00644373"/>
    <w:rsid w:val="00645915"/>
    <w:rsid w:val="0064677F"/>
    <w:rsid w:val="006475EB"/>
    <w:rsid w:val="0064794C"/>
    <w:rsid w:val="00651640"/>
    <w:rsid w:val="006519C3"/>
    <w:rsid w:val="00652B30"/>
    <w:rsid w:val="006536CE"/>
    <w:rsid w:val="00656345"/>
    <w:rsid w:val="00656DC6"/>
    <w:rsid w:val="00657CE4"/>
    <w:rsid w:val="00657E8D"/>
    <w:rsid w:val="00660EC6"/>
    <w:rsid w:val="006610C4"/>
    <w:rsid w:val="006610ED"/>
    <w:rsid w:val="0066182F"/>
    <w:rsid w:val="00661EBC"/>
    <w:rsid w:val="00662990"/>
    <w:rsid w:val="00662EBB"/>
    <w:rsid w:val="006635C1"/>
    <w:rsid w:val="00664110"/>
    <w:rsid w:val="00664D17"/>
    <w:rsid w:val="00666520"/>
    <w:rsid w:val="00666A76"/>
    <w:rsid w:val="00666D2F"/>
    <w:rsid w:val="0066779D"/>
    <w:rsid w:val="00667C5B"/>
    <w:rsid w:val="00670B10"/>
    <w:rsid w:val="00670E9D"/>
    <w:rsid w:val="00671FCD"/>
    <w:rsid w:val="00672BDA"/>
    <w:rsid w:val="00673682"/>
    <w:rsid w:val="00673B21"/>
    <w:rsid w:val="00675153"/>
    <w:rsid w:val="00675FB6"/>
    <w:rsid w:val="00681A18"/>
    <w:rsid w:val="00682038"/>
    <w:rsid w:val="006825E1"/>
    <w:rsid w:val="00682A83"/>
    <w:rsid w:val="00682C5D"/>
    <w:rsid w:val="0068383C"/>
    <w:rsid w:val="00683987"/>
    <w:rsid w:val="006863D6"/>
    <w:rsid w:val="00686A5B"/>
    <w:rsid w:val="00686B2E"/>
    <w:rsid w:val="0068724F"/>
    <w:rsid w:val="00690193"/>
    <w:rsid w:val="00691EB8"/>
    <w:rsid w:val="00692CDE"/>
    <w:rsid w:val="00693073"/>
    <w:rsid w:val="00694E89"/>
    <w:rsid w:val="00695535"/>
    <w:rsid w:val="006977FF"/>
    <w:rsid w:val="006A01FA"/>
    <w:rsid w:val="006A0E7B"/>
    <w:rsid w:val="006A0E9E"/>
    <w:rsid w:val="006A0EA9"/>
    <w:rsid w:val="006A22B8"/>
    <w:rsid w:val="006A25C7"/>
    <w:rsid w:val="006A2937"/>
    <w:rsid w:val="006A3F52"/>
    <w:rsid w:val="006A4AAD"/>
    <w:rsid w:val="006A52A7"/>
    <w:rsid w:val="006A5D2F"/>
    <w:rsid w:val="006A6DA2"/>
    <w:rsid w:val="006A6EEF"/>
    <w:rsid w:val="006A7700"/>
    <w:rsid w:val="006A7AB2"/>
    <w:rsid w:val="006B0782"/>
    <w:rsid w:val="006B1A2D"/>
    <w:rsid w:val="006B1DAD"/>
    <w:rsid w:val="006B3484"/>
    <w:rsid w:val="006B4308"/>
    <w:rsid w:val="006B46AA"/>
    <w:rsid w:val="006B5717"/>
    <w:rsid w:val="006B582F"/>
    <w:rsid w:val="006B664D"/>
    <w:rsid w:val="006B6DA6"/>
    <w:rsid w:val="006C0CEB"/>
    <w:rsid w:val="006C1856"/>
    <w:rsid w:val="006C2448"/>
    <w:rsid w:val="006C24B2"/>
    <w:rsid w:val="006C3193"/>
    <w:rsid w:val="006C343D"/>
    <w:rsid w:val="006C3B1E"/>
    <w:rsid w:val="006C4004"/>
    <w:rsid w:val="006C47FD"/>
    <w:rsid w:val="006C59E4"/>
    <w:rsid w:val="006C5A90"/>
    <w:rsid w:val="006C5C19"/>
    <w:rsid w:val="006C70A0"/>
    <w:rsid w:val="006C7ADA"/>
    <w:rsid w:val="006D03FB"/>
    <w:rsid w:val="006D2106"/>
    <w:rsid w:val="006D27CB"/>
    <w:rsid w:val="006D2F08"/>
    <w:rsid w:val="006D33B2"/>
    <w:rsid w:val="006D3D87"/>
    <w:rsid w:val="006D4FB8"/>
    <w:rsid w:val="006D576C"/>
    <w:rsid w:val="006D5865"/>
    <w:rsid w:val="006D62ED"/>
    <w:rsid w:val="006D6C82"/>
    <w:rsid w:val="006D77A3"/>
    <w:rsid w:val="006D7C60"/>
    <w:rsid w:val="006E01C5"/>
    <w:rsid w:val="006E076A"/>
    <w:rsid w:val="006E1F3E"/>
    <w:rsid w:val="006E49BF"/>
    <w:rsid w:val="006E4B1B"/>
    <w:rsid w:val="006E5445"/>
    <w:rsid w:val="006E614C"/>
    <w:rsid w:val="006E78A6"/>
    <w:rsid w:val="006E7D93"/>
    <w:rsid w:val="006F0436"/>
    <w:rsid w:val="006F0721"/>
    <w:rsid w:val="006F0D3A"/>
    <w:rsid w:val="006F188E"/>
    <w:rsid w:val="006F1DFC"/>
    <w:rsid w:val="006F3656"/>
    <w:rsid w:val="006F7EDF"/>
    <w:rsid w:val="007016F9"/>
    <w:rsid w:val="007026FF"/>
    <w:rsid w:val="007029A3"/>
    <w:rsid w:val="00702C43"/>
    <w:rsid w:val="00703C80"/>
    <w:rsid w:val="00703D36"/>
    <w:rsid w:val="007046B6"/>
    <w:rsid w:val="00704B5B"/>
    <w:rsid w:val="00706E4E"/>
    <w:rsid w:val="0070791C"/>
    <w:rsid w:val="00710067"/>
    <w:rsid w:val="0071194D"/>
    <w:rsid w:val="0071383C"/>
    <w:rsid w:val="007141A7"/>
    <w:rsid w:val="00714877"/>
    <w:rsid w:val="00714A15"/>
    <w:rsid w:val="0071517B"/>
    <w:rsid w:val="00715722"/>
    <w:rsid w:val="00715EB2"/>
    <w:rsid w:val="007177F0"/>
    <w:rsid w:val="00721032"/>
    <w:rsid w:val="00721422"/>
    <w:rsid w:val="007218DD"/>
    <w:rsid w:val="00721B55"/>
    <w:rsid w:val="00722D2B"/>
    <w:rsid w:val="007232C7"/>
    <w:rsid w:val="00723A48"/>
    <w:rsid w:val="0072555B"/>
    <w:rsid w:val="00726538"/>
    <w:rsid w:val="00726CE4"/>
    <w:rsid w:val="007304CA"/>
    <w:rsid w:val="00732083"/>
    <w:rsid w:val="00733CCB"/>
    <w:rsid w:val="00733DAC"/>
    <w:rsid w:val="00734143"/>
    <w:rsid w:val="00736042"/>
    <w:rsid w:val="00736F57"/>
    <w:rsid w:val="00737886"/>
    <w:rsid w:val="00737E47"/>
    <w:rsid w:val="00740EAC"/>
    <w:rsid w:val="00741B81"/>
    <w:rsid w:val="00744956"/>
    <w:rsid w:val="00745A5C"/>
    <w:rsid w:val="0074605F"/>
    <w:rsid w:val="007464B7"/>
    <w:rsid w:val="007466AB"/>
    <w:rsid w:val="00747E94"/>
    <w:rsid w:val="0075098E"/>
    <w:rsid w:val="007512BC"/>
    <w:rsid w:val="00753612"/>
    <w:rsid w:val="00754783"/>
    <w:rsid w:val="00754C83"/>
    <w:rsid w:val="00755B91"/>
    <w:rsid w:val="00760574"/>
    <w:rsid w:val="00761548"/>
    <w:rsid w:val="00761BF1"/>
    <w:rsid w:val="0076427A"/>
    <w:rsid w:val="007645DA"/>
    <w:rsid w:val="00765DF8"/>
    <w:rsid w:val="007660AF"/>
    <w:rsid w:val="00766749"/>
    <w:rsid w:val="00767C1B"/>
    <w:rsid w:val="007707B6"/>
    <w:rsid w:val="00770D64"/>
    <w:rsid w:val="00770EA1"/>
    <w:rsid w:val="007714A9"/>
    <w:rsid w:val="0077189B"/>
    <w:rsid w:val="0077338A"/>
    <w:rsid w:val="00774F88"/>
    <w:rsid w:val="00774FDB"/>
    <w:rsid w:val="00775376"/>
    <w:rsid w:val="00775611"/>
    <w:rsid w:val="00776129"/>
    <w:rsid w:val="00777BA2"/>
    <w:rsid w:val="00780D4C"/>
    <w:rsid w:val="00780F99"/>
    <w:rsid w:val="00781408"/>
    <w:rsid w:val="00784D04"/>
    <w:rsid w:val="00784F7F"/>
    <w:rsid w:val="007853A8"/>
    <w:rsid w:val="00786320"/>
    <w:rsid w:val="007877B3"/>
    <w:rsid w:val="007878BD"/>
    <w:rsid w:val="007922EA"/>
    <w:rsid w:val="0079270C"/>
    <w:rsid w:val="00793CE1"/>
    <w:rsid w:val="00794BC9"/>
    <w:rsid w:val="00794CFD"/>
    <w:rsid w:val="00795417"/>
    <w:rsid w:val="0079554C"/>
    <w:rsid w:val="00796F25"/>
    <w:rsid w:val="00797730"/>
    <w:rsid w:val="007A00D8"/>
    <w:rsid w:val="007A2E98"/>
    <w:rsid w:val="007A2FC2"/>
    <w:rsid w:val="007A3BA3"/>
    <w:rsid w:val="007A4807"/>
    <w:rsid w:val="007A56F2"/>
    <w:rsid w:val="007A5E03"/>
    <w:rsid w:val="007A65A1"/>
    <w:rsid w:val="007A6CC0"/>
    <w:rsid w:val="007A6FF2"/>
    <w:rsid w:val="007A7FEC"/>
    <w:rsid w:val="007B0A98"/>
    <w:rsid w:val="007B1499"/>
    <w:rsid w:val="007B1BBF"/>
    <w:rsid w:val="007B1FFB"/>
    <w:rsid w:val="007B2350"/>
    <w:rsid w:val="007B2960"/>
    <w:rsid w:val="007B3337"/>
    <w:rsid w:val="007B355D"/>
    <w:rsid w:val="007B41BD"/>
    <w:rsid w:val="007B59E0"/>
    <w:rsid w:val="007B5EF9"/>
    <w:rsid w:val="007B7980"/>
    <w:rsid w:val="007C0DEF"/>
    <w:rsid w:val="007C1BD9"/>
    <w:rsid w:val="007C2ED9"/>
    <w:rsid w:val="007C2FA0"/>
    <w:rsid w:val="007C3376"/>
    <w:rsid w:val="007C48EC"/>
    <w:rsid w:val="007C5BEE"/>
    <w:rsid w:val="007C5D5A"/>
    <w:rsid w:val="007C6048"/>
    <w:rsid w:val="007C607F"/>
    <w:rsid w:val="007C608A"/>
    <w:rsid w:val="007C79DD"/>
    <w:rsid w:val="007C7BC5"/>
    <w:rsid w:val="007D00CE"/>
    <w:rsid w:val="007D04B2"/>
    <w:rsid w:val="007D1127"/>
    <w:rsid w:val="007D1A97"/>
    <w:rsid w:val="007D2CD6"/>
    <w:rsid w:val="007D3063"/>
    <w:rsid w:val="007D373A"/>
    <w:rsid w:val="007D3CEB"/>
    <w:rsid w:val="007D43F0"/>
    <w:rsid w:val="007D493A"/>
    <w:rsid w:val="007D5A0E"/>
    <w:rsid w:val="007D7251"/>
    <w:rsid w:val="007D75D0"/>
    <w:rsid w:val="007E55EB"/>
    <w:rsid w:val="007E65E5"/>
    <w:rsid w:val="007E661A"/>
    <w:rsid w:val="007E7683"/>
    <w:rsid w:val="007E7774"/>
    <w:rsid w:val="007F44CF"/>
    <w:rsid w:val="007F49FA"/>
    <w:rsid w:val="007F4EA6"/>
    <w:rsid w:val="007F5050"/>
    <w:rsid w:val="007F52A6"/>
    <w:rsid w:val="007F54C4"/>
    <w:rsid w:val="007F5B74"/>
    <w:rsid w:val="007F6393"/>
    <w:rsid w:val="007F6E9A"/>
    <w:rsid w:val="00802E1C"/>
    <w:rsid w:val="00803AF9"/>
    <w:rsid w:val="008044D4"/>
    <w:rsid w:val="0080542B"/>
    <w:rsid w:val="00806000"/>
    <w:rsid w:val="008063C3"/>
    <w:rsid w:val="00810948"/>
    <w:rsid w:val="00810AB4"/>
    <w:rsid w:val="00811DB7"/>
    <w:rsid w:val="0081299F"/>
    <w:rsid w:val="00812CED"/>
    <w:rsid w:val="00812D3D"/>
    <w:rsid w:val="0081426B"/>
    <w:rsid w:val="008152A1"/>
    <w:rsid w:val="00816CEF"/>
    <w:rsid w:val="00817B56"/>
    <w:rsid w:val="00821A88"/>
    <w:rsid w:val="00823125"/>
    <w:rsid w:val="008233C6"/>
    <w:rsid w:val="00823954"/>
    <w:rsid w:val="00823BAA"/>
    <w:rsid w:val="00824484"/>
    <w:rsid w:val="0082495D"/>
    <w:rsid w:val="008265C2"/>
    <w:rsid w:val="00826E4E"/>
    <w:rsid w:val="008316EE"/>
    <w:rsid w:val="00831AC3"/>
    <w:rsid w:val="00832112"/>
    <w:rsid w:val="008331BF"/>
    <w:rsid w:val="00834310"/>
    <w:rsid w:val="00834C41"/>
    <w:rsid w:val="00834D38"/>
    <w:rsid w:val="00835061"/>
    <w:rsid w:val="008355C6"/>
    <w:rsid w:val="0083789A"/>
    <w:rsid w:val="008408FF"/>
    <w:rsid w:val="00840D99"/>
    <w:rsid w:val="008414C5"/>
    <w:rsid w:val="00842705"/>
    <w:rsid w:val="00843B2C"/>
    <w:rsid w:val="0084456F"/>
    <w:rsid w:val="00846608"/>
    <w:rsid w:val="008476DC"/>
    <w:rsid w:val="00847B59"/>
    <w:rsid w:val="00850508"/>
    <w:rsid w:val="00851F3F"/>
    <w:rsid w:val="0085233B"/>
    <w:rsid w:val="00852349"/>
    <w:rsid w:val="00853268"/>
    <w:rsid w:val="00853823"/>
    <w:rsid w:val="00854895"/>
    <w:rsid w:val="00855F31"/>
    <w:rsid w:val="00856938"/>
    <w:rsid w:val="00856EDC"/>
    <w:rsid w:val="00860DB8"/>
    <w:rsid w:val="008623B5"/>
    <w:rsid w:val="00863AB1"/>
    <w:rsid w:val="008640F2"/>
    <w:rsid w:val="00865379"/>
    <w:rsid w:val="008657C9"/>
    <w:rsid w:val="00865A56"/>
    <w:rsid w:val="00865EC9"/>
    <w:rsid w:val="00866D37"/>
    <w:rsid w:val="00870ABA"/>
    <w:rsid w:val="00870D88"/>
    <w:rsid w:val="008710E1"/>
    <w:rsid w:val="008716E5"/>
    <w:rsid w:val="00872A60"/>
    <w:rsid w:val="008731B1"/>
    <w:rsid w:val="00873A1C"/>
    <w:rsid w:val="00877202"/>
    <w:rsid w:val="0088174B"/>
    <w:rsid w:val="00881CA9"/>
    <w:rsid w:val="00883628"/>
    <w:rsid w:val="00884DC8"/>
    <w:rsid w:val="008853F4"/>
    <w:rsid w:val="00885544"/>
    <w:rsid w:val="0088564A"/>
    <w:rsid w:val="00885C76"/>
    <w:rsid w:val="0088634E"/>
    <w:rsid w:val="00886832"/>
    <w:rsid w:val="008917FA"/>
    <w:rsid w:val="00893AB8"/>
    <w:rsid w:val="00893EF5"/>
    <w:rsid w:val="00894471"/>
    <w:rsid w:val="00894730"/>
    <w:rsid w:val="00895138"/>
    <w:rsid w:val="00897A27"/>
    <w:rsid w:val="008A00D7"/>
    <w:rsid w:val="008A0221"/>
    <w:rsid w:val="008A04C8"/>
    <w:rsid w:val="008A337D"/>
    <w:rsid w:val="008A4B06"/>
    <w:rsid w:val="008A6913"/>
    <w:rsid w:val="008A70C8"/>
    <w:rsid w:val="008B031D"/>
    <w:rsid w:val="008B093B"/>
    <w:rsid w:val="008B1E45"/>
    <w:rsid w:val="008B217D"/>
    <w:rsid w:val="008B230A"/>
    <w:rsid w:val="008B2606"/>
    <w:rsid w:val="008B363E"/>
    <w:rsid w:val="008B3773"/>
    <w:rsid w:val="008B5A09"/>
    <w:rsid w:val="008B6382"/>
    <w:rsid w:val="008B70F3"/>
    <w:rsid w:val="008B71C4"/>
    <w:rsid w:val="008B76DF"/>
    <w:rsid w:val="008B7DBB"/>
    <w:rsid w:val="008C10F4"/>
    <w:rsid w:val="008C13F2"/>
    <w:rsid w:val="008C2457"/>
    <w:rsid w:val="008C3E91"/>
    <w:rsid w:val="008C51AE"/>
    <w:rsid w:val="008C51F9"/>
    <w:rsid w:val="008C65F7"/>
    <w:rsid w:val="008C72CE"/>
    <w:rsid w:val="008C7AA7"/>
    <w:rsid w:val="008D286A"/>
    <w:rsid w:val="008D49CD"/>
    <w:rsid w:val="008D56B6"/>
    <w:rsid w:val="008D5B2D"/>
    <w:rsid w:val="008D5C7F"/>
    <w:rsid w:val="008E2355"/>
    <w:rsid w:val="008E26BD"/>
    <w:rsid w:val="008E2C0F"/>
    <w:rsid w:val="008E3502"/>
    <w:rsid w:val="008E441B"/>
    <w:rsid w:val="008E4767"/>
    <w:rsid w:val="008E4C9C"/>
    <w:rsid w:val="008E4FAA"/>
    <w:rsid w:val="008E548A"/>
    <w:rsid w:val="008E68E2"/>
    <w:rsid w:val="008E6DF7"/>
    <w:rsid w:val="008E7348"/>
    <w:rsid w:val="008E76E5"/>
    <w:rsid w:val="008E7A2D"/>
    <w:rsid w:val="008E7A8C"/>
    <w:rsid w:val="008E7BB8"/>
    <w:rsid w:val="008F0162"/>
    <w:rsid w:val="008F024D"/>
    <w:rsid w:val="008F1E95"/>
    <w:rsid w:val="008F2223"/>
    <w:rsid w:val="008F2B32"/>
    <w:rsid w:val="008F5998"/>
    <w:rsid w:val="008F6D06"/>
    <w:rsid w:val="008F77A2"/>
    <w:rsid w:val="00900D06"/>
    <w:rsid w:val="00900DC9"/>
    <w:rsid w:val="00902D27"/>
    <w:rsid w:val="00903285"/>
    <w:rsid w:val="00905209"/>
    <w:rsid w:val="00905292"/>
    <w:rsid w:val="009056F1"/>
    <w:rsid w:val="009068EF"/>
    <w:rsid w:val="00906A88"/>
    <w:rsid w:val="00906F40"/>
    <w:rsid w:val="0090731E"/>
    <w:rsid w:val="0091053B"/>
    <w:rsid w:val="00910A8B"/>
    <w:rsid w:val="00910B85"/>
    <w:rsid w:val="009114DC"/>
    <w:rsid w:val="00912097"/>
    <w:rsid w:val="00913FDC"/>
    <w:rsid w:val="009147A4"/>
    <w:rsid w:val="00914BA8"/>
    <w:rsid w:val="00915B1C"/>
    <w:rsid w:val="0091689F"/>
    <w:rsid w:val="00917213"/>
    <w:rsid w:val="009174F3"/>
    <w:rsid w:val="0091797D"/>
    <w:rsid w:val="0092339F"/>
    <w:rsid w:val="00923BD0"/>
    <w:rsid w:val="00923CBA"/>
    <w:rsid w:val="00923DF0"/>
    <w:rsid w:val="009266FF"/>
    <w:rsid w:val="00926703"/>
    <w:rsid w:val="009268F4"/>
    <w:rsid w:val="00927248"/>
    <w:rsid w:val="00927691"/>
    <w:rsid w:val="00927939"/>
    <w:rsid w:val="00927A5F"/>
    <w:rsid w:val="009302D6"/>
    <w:rsid w:val="00931EA5"/>
    <w:rsid w:val="00933C68"/>
    <w:rsid w:val="00934921"/>
    <w:rsid w:val="00935B63"/>
    <w:rsid w:val="00936230"/>
    <w:rsid w:val="00936554"/>
    <w:rsid w:val="0094078F"/>
    <w:rsid w:val="00940FA3"/>
    <w:rsid w:val="00941FB0"/>
    <w:rsid w:val="009421D2"/>
    <w:rsid w:val="009426D4"/>
    <w:rsid w:val="009427AB"/>
    <w:rsid w:val="0094468D"/>
    <w:rsid w:val="00944EE8"/>
    <w:rsid w:val="0094513E"/>
    <w:rsid w:val="0094596F"/>
    <w:rsid w:val="00945B76"/>
    <w:rsid w:val="00946A3F"/>
    <w:rsid w:val="00947F25"/>
    <w:rsid w:val="00950159"/>
    <w:rsid w:val="00951045"/>
    <w:rsid w:val="00951C85"/>
    <w:rsid w:val="00954867"/>
    <w:rsid w:val="0095490B"/>
    <w:rsid w:val="00960A33"/>
    <w:rsid w:val="00960C35"/>
    <w:rsid w:val="00962EAB"/>
    <w:rsid w:val="00963CE8"/>
    <w:rsid w:val="00965AB5"/>
    <w:rsid w:val="00966B22"/>
    <w:rsid w:val="00967903"/>
    <w:rsid w:val="009700B6"/>
    <w:rsid w:val="00970750"/>
    <w:rsid w:val="00971914"/>
    <w:rsid w:val="00973474"/>
    <w:rsid w:val="0097424E"/>
    <w:rsid w:val="00974363"/>
    <w:rsid w:val="0097693A"/>
    <w:rsid w:val="00981898"/>
    <w:rsid w:val="0098256B"/>
    <w:rsid w:val="009830D5"/>
    <w:rsid w:val="0098319E"/>
    <w:rsid w:val="009852F0"/>
    <w:rsid w:val="00990D3D"/>
    <w:rsid w:val="00992C37"/>
    <w:rsid w:val="00992E35"/>
    <w:rsid w:val="00992F3E"/>
    <w:rsid w:val="0099577C"/>
    <w:rsid w:val="00996612"/>
    <w:rsid w:val="00996624"/>
    <w:rsid w:val="009A55C0"/>
    <w:rsid w:val="009A5B21"/>
    <w:rsid w:val="009A7469"/>
    <w:rsid w:val="009A78E6"/>
    <w:rsid w:val="009A7F42"/>
    <w:rsid w:val="009B0385"/>
    <w:rsid w:val="009B105A"/>
    <w:rsid w:val="009B1065"/>
    <w:rsid w:val="009B2066"/>
    <w:rsid w:val="009B2242"/>
    <w:rsid w:val="009B2601"/>
    <w:rsid w:val="009B437B"/>
    <w:rsid w:val="009B48F3"/>
    <w:rsid w:val="009B4B09"/>
    <w:rsid w:val="009B4E9E"/>
    <w:rsid w:val="009B5247"/>
    <w:rsid w:val="009B5491"/>
    <w:rsid w:val="009B6AD8"/>
    <w:rsid w:val="009B7503"/>
    <w:rsid w:val="009C020F"/>
    <w:rsid w:val="009C139A"/>
    <w:rsid w:val="009C1690"/>
    <w:rsid w:val="009C3741"/>
    <w:rsid w:val="009C4485"/>
    <w:rsid w:val="009C44F5"/>
    <w:rsid w:val="009C4510"/>
    <w:rsid w:val="009C4D1E"/>
    <w:rsid w:val="009C5089"/>
    <w:rsid w:val="009C687C"/>
    <w:rsid w:val="009C6881"/>
    <w:rsid w:val="009C7759"/>
    <w:rsid w:val="009C7FD1"/>
    <w:rsid w:val="009D01A3"/>
    <w:rsid w:val="009D043D"/>
    <w:rsid w:val="009D07C8"/>
    <w:rsid w:val="009D144A"/>
    <w:rsid w:val="009D1B2F"/>
    <w:rsid w:val="009D1C12"/>
    <w:rsid w:val="009D204E"/>
    <w:rsid w:val="009D3236"/>
    <w:rsid w:val="009D4681"/>
    <w:rsid w:val="009D4C20"/>
    <w:rsid w:val="009D5663"/>
    <w:rsid w:val="009D59DE"/>
    <w:rsid w:val="009D6C71"/>
    <w:rsid w:val="009D759D"/>
    <w:rsid w:val="009E0631"/>
    <w:rsid w:val="009E16D0"/>
    <w:rsid w:val="009E21CC"/>
    <w:rsid w:val="009E3601"/>
    <w:rsid w:val="009E38FD"/>
    <w:rsid w:val="009E3FA7"/>
    <w:rsid w:val="009E40B6"/>
    <w:rsid w:val="009E4909"/>
    <w:rsid w:val="009E52C1"/>
    <w:rsid w:val="009E5937"/>
    <w:rsid w:val="009E5A4F"/>
    <w:rsid w:val="009E6674"/>
    <w:rsid w:val="009E76E7"/>
    <w:rsid w:val="009F039B"/>
    <w:rsid w:val="009F0D2B"/>
    <w:rsid w:val="009F138D"/>
    <w:rsid w:val="009F13D6"/>
    <w:rsid w:val="009F2171"/>
    <w:rsid w:val="009F320E"/>
    <w:rsid w:val="009F4A19"/>
    <w:rsid w:val="009F4C6B"/>
    <w:rsid w:val="009F4C77"/>
    <w:rsid w:val="009F4D52"/>
    <w:rsid w:val="009F51BB"/>
    <w:rsid w:val="009F54B1"/>
    <w:rsid w:val="009F5799"/>
    <w:rsid w:val="009F6B3B"/>
    <w:rsid w:val="009F78A8"/>
    <w:rsid w:val="00A0124A"/>
    <w:rsid w:val="00A02AD6"/>
    <w:rsid w:val="00A02EB0"/>
    <w:rsid w:val="00A036DA"/>
    <w:rsid w:val="00A07096"/>
    <w:rsid w:val="00A07318"/>
    <w:rsid w:val="00A077C2"/>
    <w:rsid w:val="00A07E55"/>
    <w:rsid w:val="00A10DF7"/>
    <w:rsid w:val="00A11370"/>
    <w:rsid w:val="00A13DC2"/>
    <w:rsid w:val="00A140F7"/>
    <w:rsid w:val="00A14199"/>
    <w:rsid w:val="00A1425D"/>
    <w:rsid w:val="00A14A29"/>
    <w:rsid w:val="00A152BE"/>
    <w:rsid w:val="00A17487"/>
    <w:rsid w:val="00A2021D"/>
    <w:rsid w:val="00A2040E"/>
    <w:rsid w:val="00A224CE"/>
    <w:rsid w:val="00A22522"/>
    <w:rsid w:val="00A22BFD"/>
    <w:rsid w:val="00A24AFD"/>
    <w:rsid w:val="00A24F5C"/>
    <w:rsid w:val="00A26129"/>
    <w:rsid w:val="00A266A7"/>
    <w:rsid w:val="00A2745C"/>
    <w:rsid w:val="00A27AB5"/>
    <w:rsid w:val="00A302BE"/>
    <w:rsid w:val="00A31D68"/>
    <w:rsid w:val="00A32F96"/>
    <w:rsid w:val="00A33FC2"/>
    <w:rsid w:val="00A34761"/>
    <w:rsid w:val="00A34846"/>
    <w:rsid w:val="00A37621"/>
    <w:rsid w:val="00A379A0"/>
    <w:rsid w:val="00A40871"/>
    <w:rsid w:val="00A412AB"/>
    <w:rsid w:val="00A4193E"/>
    <w:rsid w:val="00A440E0"/>
    <w:rsid w:val="00A442EF"/>
    <w:rsid w:val="00A446A8"/>
    <w:rsid w:val="00A4483E"/>
    <w:rsid w:val="00A4627D"/>
    <w:rsid w:val="00A469C6"/>
    <w:rsid w:val="00A50217"/>
    <w:rsid w:val="00A50E84"/>
    <w:rsid w:val="00A51C58"/>
    <w:rsid w:val="00A51D1A"/>
    <w:rsid w:val="00A53B6A"/>
    <w:rsid w:val="00A5418D"/>
    <w:rsid w:val="00A542D1"/>
    <w:rsid w:val="00A543A5"/>
    <w:rsid w:val="00A5474E"/>
    <w:rsid w:val="00A56459"/>
    <w:rsid w:val="00A62226"/>
    <w:rsid w:val="00A62FBE"/>
    <w:rsid w:val="00A64234"/>
    <w:rsid w:val="00A64BBB"/>
    <w:rsid w:val="00A652BE"/>
    <w:rsid w:val="00A666C8"/>
    <w:rsid w:val="00A668DA"/>
    <w:rsid w:val="00A66B1C"/>
    <w:rsid w:val="00A70ADF"/>
    <w:rsid w:val="00A70B3E"/>
    <w:rsid w:val="00A70E8B"/>
    <w:rsid w:val="00A71073"/>
    <w:rsid w:val="00A71466"/>
    <w:rsid w:val="00A7146A"/>
    <w:rsid w:val="00A73098"/>
    <w:rsid w:val="00A735FC"/>
    <w:rsid w:val="00A73815"/>
    <w:rsid w:val="00A748B6"/>
    <w:rsid w:val="00A74B5E"/>
    <w:rsid w:val="00A7733C"/>
    <w:rsid w:val="00A80D61"/>
    <w:rsid w:val="00A81BED"/>
    <w:rsid w:val="00A81EC4"/>
    <w:rsid w:val="00A83A6A"/>
    <w:rsid w:val="00A86871"/>
    <w:rsid w:val="00A86B25"/>
    <w:rsid w:val="00A87217"/>
    <w:rsid w:val="00A90F60"/>
    <w:rsid w:val="00A915BD"/>
    <w:rsid w:val="00A91918"/>
    <w:rsid w:val="00A92377"/>
    <w:rsid w:val="00A92775"/>
    <w:rsid w:val="00A931B8"/>
    <w:rsid w:val="00A9388C"/>
    <w:rsid w:val="00A95986"/>
    <w:rsid w:val="00A967FD"/>
    <w:rsid w:val="00AA0B06"/>
    <w:rsid w:val="00AA165D"/>
    <w:rsid w:val="00AA26EB"/>
    <w:rsid w:val="00AA2DEA"/>
    <w:rsid w:val="00AA77DF"/>
    <w:rsid w:val="00AA7DE7"/>
    <w:rsid w:val="00AB156C"/>
    <w:rsid w:val="00AB2B3F"/>
    <w:rsid w:val="00AB2CB0"/>
    <w:rsid w:val="00AB4017"/>
    <w:rsid w:val="00AB4136"/>
    <w:rsid w:val="00AB5177"/>
    <w:rsid w:val="00AB5E1D"/>
    <w:rsid w:val="00AB6814"/>
    <w:rsid w:val="00AC02C2"/>
    <w:rsid w:val="00AC04BA"/>
    <w:rsid w:val="00AC05A2"/>
    <w:rsid w:val="00AC0E39"/>
    <w:rsid w:val="00AC25F5"/>
    <w:rsid w:val="00AC287A"/>
    <w:rsid w:val="00AC365E"/>
    <w:rsid w:val="00AC3FD7"/>
    <w:rsid w:val="00AC4DD2"/>
    <w:rsid w:val="00AC5ACD"/>
    <w:rsid w:val="00AC733D"/>
    <w:rsid w:val="00AC7D17"/>
    <w:rsid w:val="00AD3082"/>
    <w:rsid w:val="00AD32B4"/>
    <w:rsid w:val="00AD4AD0"/>
    <w:rsid w:val="00AD5436"/>
    <w:rsid w:val="00AD5B5F"/>
    <w:rsid w:val="00AD5D42"/>
    <w:rsid w:val="00AD60CD"/>
    <w:rsid w:val="00AD6C8C"/>
    <w:rsid w:val="00AE091D"/>
    <w:rsid w:val="00AE2BD8"/>
    <w:rsid w:val="00AE3B60"/>
    <w:rsid w:val="00AE53A1"/>
    <w:rsid w:val="00AE557D"/>
    <w:rsid w:val="00AE595D"/>
    <w:rsid w:val="00AE59F5"/>
    <w:rsid w:val="00AF1696"/>
    <w:rsid w:val="00AF1D45"/>
    <w:rsid w:val="00AF2484"/>
    <w:rsid w:val="00AF2AB6"/>
    <w:rsid w:val="00AF3F4C"/>
    <w:rsid w:val="00AF63E7"/>
    <w:rsid w:val="00AF6E17"/>
    <w:rsid w:val="00B004D8"/>
    <w:rsid w:val="00B00978"/>
    <w:rsid w:val="00B0165D"/>
    <w:rsid w:val="00B01B60"/>
    <w:rsid w:val="00B03058"/>
    <w:rsid w:val="00B031F3"/>
    <w:rsid w:val="00B032C7"/>
    <w:rsid w:val="00B0385A"/>
    <w:rsid w:val="00B052A4"/>
    <w:rsid w:val="00B06A1A"/>
    <w:rsid w:val="00B11475"/>
    <w:rsid w:val="00B11E1D"/>
    <w:rsid w:val="00B125DE"/>
    <w:rsid w:val="00B12906"/>
    <w:rsid w:val="00B13DD4"/>
    <w:rsid w:val="00B13FDD"/>
    <w:rsid w:val="00B149DB"/>
    <w:rsid w:val="00B1571A"/>
    <w:rsid w:val="00B165AF"/>
    <w:rsid w:val="00B16ADF"/>
    <w:rsid w:val="00B17C7A"/>
    <w:rsid w:val="00B22EB2"/>
    <w:rsid w:val="00B231EE"/>
    <w:rsid w:val="00B24A6B"/>
    <w:rsid w:val="00B267A4"/>
    <w:rsid w:val="00B27363"/>
    <w:rsid w:val="00B27442"/>
    <w:rsid w:val="00B30272"/>
    <w:rsid w:val="00B31040"/>
    <w:rsid w:val="00B31167"/>
    <w:rsid w:val="00B31520"/>
    <w:rsid w:val="00B31524"/>
    <w:rsid w:val="00B31FD2"/>
    <w:rsid w:val="00B329D8"/>
    <w:rsid w:val="00B32BB9"/>
    <w:rsid w:val="00B33AD2"/>
    <w:rsid w:val="00B33AE1"/>
    <w:rsid w:val="00B362D1"/>
    <w:rsid w:val="00B37547"/>
    <w:rsid w:val="00B37C38"/>
    <w:rsid w:val="00B40739"/>
    <w:rsid w:val="00B4288C"/>
    <w:rsid w:val="00B43200"/>
    <w:rsid w:val="00B43262"/>
    <w:rsid w:val="00B433F2"/>
    <w:rsid w:val="00B437D3"/>
    <w:rsid w:val="00B43D14"/>
    <w:rsid w:val="00B43EE8"/>
    <w:rsid w:val="00B440AB"/>
    <w:rsid w:val="00B44100"/>
    <w:rsid w:val="00B459CC"/>
    <w:rsid w:val="00B46252"/>
    <w:rsid w:val="00B46CBA"/>
    <w:rsid w:val="00B46F94"/>
    <w:rsid w:val="00B47496"/>
    <w:rsid w:val="00B50434"/>
    <w:rsid w:val="00B51C9C"/>
    <w:rsid w:val="00B5381C"/>
    <w:rsid w:val="00B53949"/>
    <w:rsid w:val="00B53D60"/>
    <w:rsid w:val="00B560A9"/>
    <w:rsid w:val="00B569D7"/>
    <w:rsid w:val="00B575D8"/>
    <w:rsid w:val="00B6003C"/>
    <w:rsid w:val="00B602D1"/>
    <w:rsid w:val="00B60369"/>
    <w:rsid w:val="00B618F0"/>
    <w:rsid w:val="00B61F03"/>
    <w:rsid w:val="00B626E4"/>
    <w:rsid w:val="00B62745"/>
    <w:rsid w:val="00B6302B"/>
    <w:rsid w:val="00B6499A"/>
    <w:rsid w:val="00B65489"/>
    <w:rsid w:val="00B676C1"/>
    <w:rsid w:val="00B67AEA"/>
    <w:rsid w:val="00B67B95"/>
    <w:rsid w:val="00B67FCE"/>
    <w:rsid w:val="00B72089"/>
    <w:rsid w:val="00B72807"/>
    <w:rsid w:val="00B72F4A"/>
    <w:rsid w:val="00B76A41"/>
    <w:rsid w:val="00B80E34"/>
    <w:rsid w:val="00B83238"/>
    <w:rsid w:val="00B83C27"/>
    <w:rsid w:val="00B84BC3"/>
    <w:rsid w:val="00B84BDD"/>
    <w:rsid w:val="00B86013"/>
    <w:rsid w:val="00B873AC"/>
    <w:rsid w:val="00B90084"/>
    <w:rsid w:val="00B9108B"/>
    <w:rsid w:val="00B912D5"/>
    <w:rsid w:val="00B913B6"/>
    <w:rsid w:val="00B913C6"/>
    <w:rsid w:val="00B92180"/>
    <w:rsid w:val="00B92643"/>
    <w:rsid w:val="00B92812"/>
    <w:rsid w:val="00B92DE4"/>
    <w:rsid w:val="00B96208"/>
    <w:rsid w:val="00B96735"/>
    <w:rsid w:val="00B96DBD"/>
    <w:rsid w:val="00B97BDB"/>
    <w:rsid w:val="00B97FA6"/>
    <w:rsid w:val="00BA0A44"/>
    <w:rsid w:val="00BA0A56"/>
    <w:rsid w:val="00BA26AA"/>
    <w:rsid w:val="00BA2CEB"/>
    <w:rsid w:val="00BA301C"/>
    <w:rsid w:val="00BA36C5"/>
    <w:rsid w:val="00BA3741"/>
    <w:rsid w:val="00BB4561"/>
    <w:rsid w:val="00BB45A1"/>
    <w:rsid w:val="00BB7686"/>
    <w:rsid w:val="00BB778C"/>
    <w:rsid w:val="00BC1324"/>
    <w:rsid w:val="00BC14D3"/>
    <w:rsid w:val="00BC23F9"/>
    <w:rsid w:val="00BC3421"/>
    <w:rsid w:val="00BC41EF"/>
    <w:rsid w:val="00BC5A7B"/>
    <w:rsid w:val="00BC732C"/>
    <w:rsid w:val="00BD0EB9"/>
    <w:rsid w:val="00BD278F"/>
    <w:rsid w:val="00BD3B30"/>
    <w:rsid w:val="00BE23D2"/>
    <w:rsid w:val="00BE2580"/>
    <w:rsid w:val="00BE266D"/>
    <w:rsid w:val="00BE339E"/>
    <w:rsid w:val="00BE38A9"/>
    <w:rsid w:val="00BE3938"/>
    <w:rsid w:val="00BE4181"/>
    <w:rsid w:val="00BE4C11"/>
    <w:rsid w:val="00BE6472"/>
    <w:rsid w:val="00BE6A65"/>
    <w:rsid w:val="00BE71C0"/>
    <w:rsid w:val="00BE763D"/>
    <w:rsid w:val="00BE76B5"/>
    <w:rsid w:val="00BF1644"/>
    <w:rsid w:val="00BF610C"/>
    <w:rsid w:val="00BF708D"/>
    <w:rsid w:val="00C0060B"/>
    <w:rsid w:val="00C008DA"/>
    <w:rsid w:val="00C01338"/>
    <w:rsid w:val="00C0277D"/>
    <w:rsid w:val="00C03AEF"/>
    <w:rsid w:val="00C03F62"/>
    <w:rsid w:val="00C053A1"/>
    <w:rsid w:val="00C07608"/>
    <w:rsid w:val="00C079CB"/>
    <w:rsid w:val="00C1057B"/>
    <w:rsid w:val="00C12149"/>
    <w:rsid w:val="00C125EF"/>
    <w:rsid w:val="00C12FE3"/>
    <w:rsid w:val="00C148A6"/>
    <w:rsid w:val="00C15F36"/>
    <w:rsid w:val="00C16198"/>
    <w:rsid w:val="00C172BE"/>
    <w:rsid w:val="00C206D9"/>
    <w:rsid w:val="00C2083D"/>
    <w:rsid w:val="00C21313"/>
    <w:rsid w:val="00C22E91"/>
    <w:rsid w:val="00C2460E"/>
    <w:rsid w:val="00C24A53"/>
    <w:rsid w:val="00C26D8C"/>
    <w:rsid w:val="00C270FE"/>
    <w:rsid w:val="00C305F9"/>
    <w:rsid w:val="00C30C61"/>
    <w:rsid w:val="00C3219D"/>
    <w:rsid w:val="00C3279A"/>
    <w:rsid w:val="00C33B34"/>
    <w:rsid w:val="00C34A05"/>
    <w:rsid w:val="00C35188"/>
    <w:rsid w:val="00C35A70"/>
    <w:rsid w:val="00C365AA"/>
    <w:rsid w:val="00C3666A"/>
    <w:rsid w:val="00C36A89"/>
    <w:rsid w:val="00C36E48"/>
    <w:rsid w:val="00C40188"/>
    <w:rsid w:val="00C4032F"/>
    <w:rsid w:val="00C43B23"/>
    <w:rsid w:val="00C44047"/>
    <w:rsid w:val="00C44BAD"/>
    <w:rsid w:val="00C45155"/>
    <w:rsid w:val="00C4589B"/>
    <w:rsid w:val="00C50790"/>
    <w:rsid w:val="00C530F8"/>
    <w:rsid w:val="00C538B4"/>
    <w:rsid w:val="00C54838"/>
    <w:rsid w:val="00C5498F"/>
    <w:rsid w:val="00C55235"/>
    <w:rsid w:val="00C57F47"/>
    <w:rsid w:val="00C60C31"/>
    <w:rsid w:val="00C610BD"/>
    <w:rsid w:val="00C61796"/>
    <w:rsid w:val="00C61A20"/>
    <w:rsid w:val="00C61A3F"/>
    <w:rsid w:val="00C61D5A"/>
    <w:rsid w:val="00C6270D"/>
    <w:rsid w:val="00C63296"/>
    <w:rsid w:val="00C64CD0"/>
    <w:rsid w:val="00C6684F"/>
    <w:rsid w:val="00C70E70"/>
    <w:rsid w:val="00C71465"/>
    <w:rsid w:val="00C71536"/>
    <w:rsid w:val="00C71D3A"/>
    <w:rsid w:val="00C71E4D"/>
    <w:rsid w:val="00C725C6"/>
    <w:rsid w:val="00C736BD"/>
    <w:rsid w:val="00C74DB5"/>
    <w:rsid w:val="00C75C4B"/>
    <w:rsid w:val="00C75F8D"/>
    <w:rsid w:val="00C77380"/>
    <w:rsid w:val="00C77BC3"/>
    <w:rsid w:val="00C80071"/>
    <w:rsid w:val="00C81361"/>
    <w:rsid w:val="00C82FD4"/>
    <w:rsid w:val="00C8336B"/>
    <w:rsid w:val="00C865C4"/>
    <w:rsid w:val="00C8762A"/>
    <w:rsid w:val="00C87709"/>
    <w:rsid w:val="00C91433"/>
    <w:rsid w:val="00C94409"/>
    <w:rsid w:val="00C97736"/>
    <w:rsid w:val="00CA106D"/>
    <w:rsid w:val="00CA1703"/>
    <w:rsid w:val="00CA345A"/>
    <w:rsid w:val="00CA742A"/>
    <w:rsid w:val="00CA7593"/>
    <w:rsid w:val="00CB0BDC"/>
    <w:rsid w:val="00CB13DE"/>
    <w:rsid w:val="00CB1D0E"/>
    <w:rsid w:val="00CB1E36"/>
    <w:rsid w:val="00CB1E82"/>
    <w:rsid w:val="00CB4020"/>
    <w:rsid w:val="00CB4BA8"/>
    <w:rsid w:val="00CB52D7"/>
    <w:rsid w:val="00CB5EAD"/>
    <w:rsid w:val="00CB5F1F"/>
    <w:rsid w:val="00CB7345"/>
    <w:rsid w:val="00CC0422"/>
    <w:rsid w:val="00CC1A03"/>
    <w:rsid w:val="00CC1D60"/>
    <w:rsid w:val="00CC28D7"/>
    <w:rsid w:val="00CC4086"/>
    <w:rsid w:val="00CC52B3"/>
    <w:rsid w:val="00CC5A6E"/>
    <w:rsid w:val="00CC6732"/>
    <w:rsid w:val="00CD0756"/>
    <w:rsid w:val="00CD2012"/>
    <w:rsid w:val="00CD20B5"/>
    <w:rsid w:val="00CD3477"/>
    <w:rsid w:val="00CD3C35"/>
    <w:rsid w:val="00CD4102"/>
    <w:rsid w:val="00CD4D78"/>
    <w:rsid w:val="00CE07DC"/>
    <w:rsid w:val="00CE1BCC"/>
    <w:rsid w:val="00CE25EB"/>
    <w:rsid w:val="00CE3C96"/>
    <w:rsid w:val="00CE47BE"/>
    <w:rsid w:val="00CE51A8"/>
    <w:rsid w:val="00CE740B"/>
    <w:rsid w:val="00CE7FA5"/>
    <w:rsid w:val="00CF028E"/>
    <w:rsid w:val="00CF0645"/>
    <w:rsid w:val="00CF23FA"/>
    <w:rsid w:val="00CF2C17"/>
    <w:rsid w:val="00CF2CE0"/>
    <w:rsid w:val="00CF369B"/>
    <w:rsid w:val="00CF3CDD"/>
    <w:rsid w:val="00CF622F"/>
    <w:rsid w:val="00CF6358"/>
    <w:rsid w:val="00CF66B9"/>
    <w:rsid w:val="00D00AD7"/>
    <w:rsid w:val="00D00C5B"/>
    <w:rsid w:val="00D00E28"/>
    <w:rsid w:val="00D0269E"/>
    <w:rsid w:val="00D03717"/>
    <w:rsid w:val="00D039C9"/>
    <w:rsid w:val="00D04028"/>
    <w:rsid w:val="00D04E74"/>
    <w:rsid w:val="00D05A65"/>
    <w:rsid w:val="00D05D6C"/>
    <w:rsid w:val="00D074FE"/>
    <w:rsid w:val="00D1432F"/>
    <w:rsid w:val="00D148F2"/>
    <w:rsid w:val="00D15810"/>
    <w:rsid w:val="00D164A7"/>
    <w:rsid w:val="00D16D4E"/>
    <w:rsid w:val="00D16FE3"/>
    <w:rsid w:val="00D176D0"/>
    <w:rsid w:val="00D17CC8"/>
    <w:rsid w:val="00D2010F"/>
    <w:rsid w:val="00D20773"/>
    <w:rsid w:val="00D214D1"/>
    <w:rsid w:val="00D2322C"/>
    <w:rsid w:val="00D24345"/>
    <w:rsid w:val="00D24944"/>
    <w:rsid w:val="00D249A7"/>
    <w:rsid w:val="00D2533E"/>
    <w:rsid w:val="00D25446"/>
    <w:rsid w:val="00D25B89"/>
    <w:rsid w:val="00D26645"/>
    <w:rsid w:val="00D274EB"/>
    <w:rsid w:val="00D27F41"/>
    <w:rsid w:val="00D30627"/>
    <w:rsid w:val="00D30678"/>
    <w:rsid w:val="00D316E2"/>
    <w:rsid w:val="00D3318D"/>
    <w:rsid w:val="00D33A4D"/>
    <w:rsid w:val="00D33DCC"/>
    <w:rsid w:val="00D33E55"/>
    <w:rsid w:val="00D3488F"/>
    <w:rsid w:val="00D35501"/>
    <w:rsid w:val="00D36441"/>
    <w:rsid w:val="00D364EC"/>
    <w:rsid w:val="00D37C8B"/>
    <w:rsid w:val="00D4013D"/>
    <w:rsid w:val="00D4064E"/>
    <w:rsid w:val="00D40929"/>
    <w:rsid w:val="00D419F0"/>
    <w:rsid w:val="00D44E9B"/>
    <w:rsid w:val="00D47727"/>
    <w:rsid w:val="00D4793A"/>
    <w:rsid w:val="00D47AEB"/>
    <w:rsid w:val="00D50B11"/>
    <w:rsid w:val="00D50DB9"/>
    <w:rsid w:val="00D51302"/>
    <w:rsid w:val="00D52122"/>
    <w:rsid w:val="00D5231D"/>
    <w:rsid w:val="00D52C43"/>
    <w:rsid w:val="00D54496"/>
    <w:rsid w:val="00D55593"/>
    <w:rsid w:val="00D55EE0"/>
    <w:rsid w:val="00D55F87"/>
    <w:rsid w:val="00D56540"/>
    <w:rsid w:val="00D56914"/>
    <w:rsid w:val="00D60D6C"/>
    <w:rsid w:val="00D61023"/>
    <w:rsid w:val="00D610EF"/>
    <w:rsid w:val="00D61532"/>
    <w:rsid w:val="00D6176F"/>
    <w:rsid w:val="00D622A0"/>
    <w:rsid w:val="00D62AAF"/>
    <w:rsid w:val="00D644ED"/>
    <w:rsid w:val="00D6507F"/>
    <w:rsid w:val="00D66003"/>
    <w:rsid w:val="00D7021A"/>
    <w:rsid w:val="00D70C9E"/>
    <w:rsid w:val="00D72FEF"/>
    <w:rsid w:val="00D730BC"/>
    <w:rsid w:val="00D734B2"/>
    <w:rsid w:val="00D73912"/>
    <w:rsid w:val="00D743A9"/>
    <w:rsid w:val="00D74B9E"/>
    <w:rsid w:val="00D8111B"/>
    <w:rsid w:val="00D81225"/>
    <w:rsid w:val="00D828C1"/>
    <w:rsid w:val="00D85226"/>
    <w:rsid w:val="00D85EAC"/>
    <w:rsid w:val="00D8673C"/>
    <w:rsid w:val="00D87B94"/>
    <w:rsid w:val="00D90142"/>
    <w:rsid w:val="00D9029C"/>
    <w:rsid w:val="00D91331"/>
    <w:rsid w:val="00D918B0"/>
    <w:rsid w:val="00D91F96"/>
    <w:rsid w:val="00D9207A"/>
    <w:rsid w:val="00D927A5"/>
    <w:rsid w:val="00D92D49"/>
    <w:rsid w:val="00D92EC1"/>
    <w:rsid w:val="00D93D2B"/>
    <w:rsid w:val="00D95929"/>
    <w:rsid w:val="00D9606F"/>
    <w:rsid w:val="00D96DEA"/>
    <w:rsid w:val="00D97C47"/>
    <w:rsid w:val="00DA23F3"/>
    <w:rsid w:val="00DA27C7"/>
    <w:rsid w:val="00DA2DC8"/>
    <w:rsid w:val="00DA32B3"/>
    <w:rsid w:val="00DA3D38"/>
    <w:rsid w:val="00DA4BD2"/>
    <w:rsid w:val="00DA4E0E"/>
    <w:rsid w:val="00DA4E41"/>
    <w:rsid w:val="00DA7843"/>
    <w:rsid w:val="00DB117A"/>
    <w:rsid w:val="00DB195D"/>
    <w:rsid w:val="00DB2D6A"/>
    <w:rsid w:val="00DB4ABF"/>
    <w:rsid w:val="00DB5173"/>
    <w:rsid w:val="00DB5756"/>
    <w:rsid w:val="00DB5E0C"/>
    <w:rsid w:val="00DB7717"/>
    <w:rsid w:val="00DB7873"/>
    <w:rsid w:val="00DC0924"/>
    <w:rsid w:val="00DC0FC6"/>
    <w:rsid w:val="00DC152A"/>
    <w:rsid w:val="00DC187B"/>
    <w:rsid w:val="00DC2129"/>
    <w:rsid w:val="00DC23E9"/>
    <w:rsid w:val="00DC3994"/>
    <w:rsid w:val="00DC3AE5"/>
    <w:rsid w:val="00DC4624"/>
    <w:rsid w:val="00DC5374"/>
    <w:rsid w:val="00DD1519"/>
    <w:rsid w:val="00DD314C"/>
    <w:rsid w:val="00DD4442"/>
    <w:rsid w:val="00DD4532"/>
    <w:rsid w:val="00DD493C"/>
    <w:rsid w:val="00DD516F"/>
    <w:rsid w:val="00DD5262"/>
    <w:rsid w:val="00DD53CB"/>
    <w:rsid w:val="00DD5620"/>
    <w:rsid w:val="00DD6EB3"/>
    <w:rsid w:val="00DD72B7"/>
    <w:rsid w:val="00DD73C2"/>
    <w:rsid w:val="00DD7EC0"/>
    <w:rsid w:val="00DE04AE"/>
    <w:rsid w:val="00DE07EF"/>
    <w:rsid w:val="00DE0A95"/>
    <w:rsid w:val="00DE1F2A"/>
    <w:rsid w:val="00DE2730"/>
    <w:rsid w:val="00DE319B"/>
    <w:rsid w:val="00DE4998"/>
    <w:rsid w:val="00DE6008"/>
    <w:rsid w:val="00DE6039"/>
    <w:rsid w:val="00DE73AD"/>
    <w:rsid w:val="00DF05D8"/>
    <w:rsid w:val="00DF3275"/>
    <w:rsid w:val="00DF34FE"/>
    <w:rsid w:val="00DF373D"/>
    <w:rsid w:val="00DF379D"/>
    <w:rsid w:val="00DF420B"/>
    <w:rsid w:val="00DF44C0"/>
    <w:rsid w:val="00DF45B6"/>
    <w:rsid w:val="00DF4E5A"/>
    <w:rsid w:val="00DF56AA"/>
    <w:rsid w:val="00DF56AF"/>
    <w:rsid w:val="00DF58C2"/>
    <w:rsid w:val="00DF5D51"/>
    <w:rsid w:val="00DF5D6F"/>
    <w:rsid w:val="00DF62EC"/>
    <w:rsid w:val="00DF6A28"/>
    <w:rsid w:val="00DF7411"/>
    <w:rsid w:val="00DF78E7"/>
    <w:rsid w:val="00E00756"/>
    <w:rsid w:val="00E02FB1"/>
    <w:rsid w:val="00E036AE"/>
    <w:rsid w:val="00E03B25"/>
    <w:rsid w:val="00E05708"/>
    <w:rsid w:val="00E05E1C"/>
    <w:rsid w:val="00E0717E"/>
    <w:rsid w:val="00E071D6"/>
    <w:rsid w:val="00E1056F"/>
    <w:rsid w:val="00E11014"/>
    <w:rsid w:val="00E110E0"/>
    <w:rsid w:val="00E11671"/>
    <w:rsid w:val="00E15371"/>
    <w:rsid w:val="00E17CA9"/>
    <w:rsid w:val="00E20039"/>
    <w:rsid w:val="00E205B8"/>
    <w:rsid w:val="00E2349B"/>
    <w:rsid w:val="00E24104"/>
    <w:rsid w:val="00E24BAC"/>
    <w:rsid w:val="00E25163"/>
    <w:rsid w:val="00E26C02"/>
    <w:rsid w:val="00E27A8E"/>
    <w:rsid w:val="00E302D0"/>
    <w:rsid w:val="00E314C2"/>
    <w:rsid w:val="00E32623"/>
    <w:rsid w:val="00E32714"/>
    <w:rsid w:val="00E32DCC"/>
    <w:rsid w:val="00E33BE3"/>
    <w:rsid w:val="00E33CAE"/>
    <w:rsid w:val="00E347D3"/>
    <w:rsid w:val="00E35707"/>
    <w:rsid w:val="00E36AA1"/>
    <w:rsid w:val="00E371BA"/>
    <w:rsid w:val="00E37E7D"/>
    <w:rsid w:val="00E37FB9"/>
    <w:rsid w:val="00E40272"/>
    <w:rsid w:val="00E41ECB"/>
    <w:rsid w:val="00E442ED"/>
    <w:rsid w:val="00E448C4"/>
    <w:rsid w:val="00E45F73"/>
    <w:rsid w:val="00E46699"/>
    <w:rsid w:val="00E50124"/>
    <w:rsid w:val="00E52D2F"/>
    <w:rsid w:val="00E535A0"/>
    <w:rsid w:val="00E539E5"/>
    <w:rsid w:val="00E54538"/>
    <w:rsid w:val="00E54FDB"/>
    <w:rsid w:val="00E55312"/>
    <w:rsid w:val="00E5617D"/>
    <w:rsid w:val="00E563D7"/>
    <w:rsid w:val="00E621BF"/>
    <w:rsid w:val="00E62306"/>
    <w:rsid w:val="00E63B2F"/>
    <w:rsid w:val="00E6423E"/>
    <w:rsid w:val="00E643D5"/>
    <w:rsid w:val="00E657BD"/>
    <w:rsid w:val="00E663F4"/>
    <w:rsid w:val="00E666F2"/>
    <w:rsid w:val="00E66DD4"/>
    <w:rsid w:val="00E66E16"/>
    <w:rsid w:val="00E70E95"/>
    <w:rsid w:val="00E748CC"/>
    <w:rsid w:val="00E75415"/>
    <w:rsid w:val="00E75E56"/>
    <w:rsid w:val="00E765B8"/>
    <w:rsid w:val="00E767BA"/>
    <w:rsid w:val="00E775B1"/>
    <w:rsid w:val="00E8030D"/>
    <w:rsid w:val="00E806B5"/>
    <w:rsid w:val="00E8152A"/>
    <w:rsid w:val="00E82AA2"/>
    <w:rsid w:val="00E83C25"/>
    <w:rsid w:val="00E83C76"/>
    <w:rsid w:val="00E84A89"/>
    <w:rsid w:val="00E86FE0"/>
    <w:rsid w:val="00E87257"/>
    <w:rsid w:val="00E87650"/>
    <w:rsid w:val="00E87AE9"/>
    <w:rsid w:val="00E90571"/>
    <w:rsid w:val="00E90698"/>
    <w:rsid w:val="00E922E9"/>
    <w:rsid w:val="00E92612"/>
    <w:rsid w:val="00E932F5"/>
    <w:rsid w:val="00E93629"/>
    <w:rsid w:val="00E93B5C"/>
    <w:rsid w:val="00E9411C"/>
    <w:rsid w:val="00E94B1B"/>
    <w:rsid w:val="00E94CEC"/>
    <w:rsid w:val="00E9683D"/>
    <w:rsid w:val="00E96DA8"/>
    <w:rsid w:val="00E96F91"/>
    <w:rsid w:val="00EA04EF"/>
    <w:rsid w:val="00EA17B7"/>
    <w:rsid w:val="00EA5595"/>
    <w:rsid w:val="00EA5644"/>
    <w:rsid w:val="00EA6B63"/>
    <w:rsid w:val="00EA6F19"/>
    <w:rsid w:val="00EA7769"/>
    <w:rsid w:val="00EB29AA"/>
    <w:rsid w:val="00EB30D7"/>
    <w:rsid w:val="00EB3853"/>
    <w:rsid w:val="00EB54EF"/>
    <w:rsid w:val="00EB64AF"/>
    <w:rsid w:val="00EB7090"/>
    <w:rsid w:val="00EC1BBE"/>
    <w:rsid w:val="00EC1C19"/>
    <w:rsid w:val="00EC285F"/>
    <w:rsid w:val="00EC3254"/>
    <w:rsid w:val="00EC401D"/>
    <w:rsid w:val="00EC45DB"/>
    <w:rsid w:val="00EC474B"/>
    <w:rsid w:val="00EC4C37"/>
    <w:rsid w:val="00EC562D"/>
    <w:rsid w:val="00EC5CD7"/>
    <w:rsid w:val="00EC677B"/>
    <w:rsid w:val="00EC6E83"/>
    <w:rsid w:val="00EC74E0"/>
    <w:rsid w:val="00ED0401"/>
    <w:rsid w:val="00ED0C36"/>
    <w:rsid w:val="00ED0D3E"/>
    <w:rsid w:val="00ED13CB"/>
    <w:rsid w:val="00ED2408"/>
    <w:rsid w:val="00ED4EF4"/>
    <w:rsid w:val="00ED61B3"/>
    <w:rsid w:val="00EE02F7"/>
    <w:rsid w:val="00EE0E86"/>
    <w:rsid w:val="00EE2C32"/>
    <w:rsid w:val="00EE32FB"/>
    <w:rsid w:val="00EE4D7E"/>
    <w:rsid w:val="00EE4EBD"/>
    <w:rsid w:val="00EE5FB3"/>
    <w:rsid w:val="00EE7856"/>
    <w:rsid w:val="00EE7EB9"/>
    <w:rsid w:val="00EE7F79"/>
    <w:rsid w:val="00EF09C8"/>
    <w:rsid w:val="00EF2B08"/>
    <w:rsid w:val="00EF332C"/>
    <w:rsid w:val="00EF3EBF"/>
    <w:rsid w:val="00EF4045"/>
    <w:rsid w:val="00EF4346"/>
    <w:rsid w:val="00EF715A"/>
    <w:rsid w:val="00EF7AA2"/>
    <w:rsid w:val="00F0134C"/>
    <w:rsid w:val="00F017E4"/>
    <w:rsid w:val="00F01CCB"/>
    <w:rsid w:val="00F03381"/>
    <w:rsid w:val="00F0347C"/>
    <w:rsid w:val="00F0525A"/>
    <w:rsid w:val="00F057AD"/>
    <w:rsid w:val="00F0681E"/>
    <w:rsid w:val="00F06E14"/>
    <w:rsid w:val="00F1089B"/>
    <w:rsid w:val="00F109A2"/>
    <w:rsid w:val="00F11EC6"/>
    <w:rsid w:val="00F1277E"/>
    <w:rsid w:val="00F12F8D"/>
    <w:rsid w:val="00F1425B"/>
    <w:rsid w:val="00F15894"/>
    <w:rsid w:val="00F15EFC"/>
    <w:rsid w:val="00F165DA"/>
    <w:rsid w:val="00F1748B"/>
    <w:rsid w:val="00F17575"/>
    <w:rsid w:val="00F179D4"/>
    <w:rsid w:val="00F21919"/>
    <w:rsid w:val="00F22370"/>
    <w:rsid w:val="00F23EB4"/>
    <w:rsid w:val="00F23F6D"/>
    <w:rsid w:val="00F2420A"/>
    <w:rsid w:val="00F26ACE"/>
    <w:rsid w:val="00F26DD5"/>
    <w:rsid w:val="00F2703A"/>
    <w:rsid w:val="00F279CE"/>
    <w:rsid w:val="00F3102C"/>
    <w:rsid w:val="00F31E39"/>
    <w:rsid w:val="00F33A30"/>
    <w:rsid w:val="00F33C56"/>
    <w:rsid w:val="00F347C7"/>
    <w:rsid w:val="00F34848"/>
    <w:rsid w:val="00F359BF"/>
    <w:rsid w:val="00F403E7"/>
    <w:rsid w:val="00F42D46"/>
    <w:rsid w:val="00F4484E"/>
    <w:rsid w:val="00F4496C"/>
    <w:rsid w:val="00F44F3A"/>
    <w:rsid w:val="00F4548D"/>
    <w:rsid w:val="00F4661A"/>
    <w:rsid w:val="00F50047"/>
    <w:rsid w:val="00F50659"/>
    <w:rsid w:val="00F51F10"/>
    <w:rsid w:val="00F529A5"/>
    <w:rsid w:val="00F57786"/>
    <w:rsid w:val="00F60F00"/>
    <w:rsid w:val="00F614C0"/>
    <w:rsid w:val="00F625FB"/>
    <w:rsid w:val="00F62C12"/>
    <w:rsid w:val="00F6476E"/>
    <w:rsid w:val="00F64B19"/>
    <w:rsid w:val="00F6513C"/>
    <w:rsid w:val="00F664EE"/>
    <w:rsid w:val="00F67A24"/>
    <w:rsid w:val="00F709FF"/>
    <w:rsid w:val="00F7235D"/>
    <w:rsid w:val="00F72BBA"/>
    <w:rsid w:val="00F73422"/>
    <w:rsid w:val="00F7342A"/>
    <w:rsid w:val="00F73C6E"/>
    <w:rsid w:val="00F74263"/>
    <w:rsid w:val="00F75B13"/>
    <w:rsid w:val="00F777C6"/>
    <w:rsid w:val="00F77C62"/>
    <w:rsid w:val="00F803D4"/>
    <w:rsid w:val="00F81445"/>
    <w:rsid w:val="00F83848"/>
    <w:rsid w:val="00F85C83"/>
    <w:rsid w:val="00F878DE"/>
    <w:rsid w:val="00F87DD1"/>
    <w:rsid w:val="00F90556"/>
    <w:rsid w:val="00F91002"/>
    <w:rsid w:val="00F92EDE"/>
    <w:rsid w:val="00F94CC6"/>
    <w:rsid w:val="00F95657"/>
    <w:rsid w:val="00F96589"/>
    <w:rsid w:val="00F9699B"/>
    <w:rsid w:val="00F975E9"/>
    <w:rsid w:val="00F979B3"/>
    <w:rsid w:val="00FA0C1C"/>
    <w:rsid w:val="00FA1B7D"/>
    <w:rsid w:val="00FA7245"/>
    <w:rsid w:val="00FB0CD8"/>
    <w:rsid w:val="00FB0E13"/>
    <w:rsid w:val="00FB146B"/>
    <w:rsid w:val="00FB18F9"/>
    <w:rsid w:val="00FB3BB4"/>
    <w:rsid w:val="00FB50E8"/>
    <w:rsid w:val="00FB6C54"/>
    <w:rsid w:val="00FB7C3F"/>
    <w:rsid w:val="00FC07B9"/>
    <w:rsid w:val="00FC42B5"/>
    <w:rsid w:val="00FC4E21"/>
    <w:rsid w:val="00FC5329"/>
    <w:rsid w:val="00FC5A07"/>
    <w:rsid w:val="00FC5A3E"/>
    <w:rsid w:val="00FC5F6D"/>
    <w:rsid w:val="00FD0107"/>
    <w:rsid w:val="00FD027D"/>
    <w:rsid w:val="00FD1F57"/>
    <w:rsid w:val="00FD2C2F"/>
    <w:rsid w:val="00FD3B31"/>
    <w:rsid w:val="00FD7B45"/>
    <w:rsid w:val="00FD7FDE"/>
    <w:rsid w:val="00FE12F6"/>
    <w:rsid w:val="00FE1823"/>
    <w:rsid w:val="00FE1D1E"/>
    <w:rsid w:val="00FE359B"/>
    <w:rsid w:val="00FE378C"/>
    <w:rsid w:val="00FE3D80"/>
    <w:rsid w:val="00FE487A"/>
    <w:rsid w:val="00FE4DB7"/>
    <w:rsid w:val="00FE4E0C"/>
    <w:rsid w:val="00FE4E34"/>
    <w:rsid w:val="00FE5666"/>
    <w:rsid w:val="00FE58DF"/>
    <w:rsid w:val="00FE6557"/>
    <w:rsid w:val="00FE7FB9"/>
    <w:rsid w:val="00FF0569"/>
    <w:rsid w:val="00FF132F"/>
    <w:rsid w:val="00FF1978"/>
    <w:rsid w:val="00FF1CC2"/>
    <w:rsid w:val="00FF1EBE"/>
    <w:rsid w:val="00FF206E"/>
    <w:rsid w:val="00FF2DEF"/>
    <w:rsid w:val="00FF3495"/>
    <w:rsid w:val="00FF3C69"/>
    <w:rsid w:val="00FF62B2"/>
    <w:rsid w:val="00FF6E0A"/>
    <w:rsid w:val="00FF7852"/>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red,#4d4d4f"/>
    </o:shapedefaults>
    <o:shapelayout v:ext="edit">
      <o:idmap v:ext="edit" data="1"/>
    </o:shapelayout>
  </w:shapeDefaults>
  <w:decimalSymbol w:val="."/>
  <w:listSeparator w:val=","/>
  <w14:docId w14:val="6AFA9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uiPriority="2" w:qFormat="1"/>
    <w:lsdException w:name="heading 4" w:uiPriority="2"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7BA"/>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aliases w:val="RIS Heading 2"/>
    <w:basedOn w:val="Normal"/>
    <w:next w:val="Normal"/>
    <w:link w:val="Heading2Char"/>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Normal"/>
    <w:next w:val="Normal"/>
    <w:uiPriority w:val="2"/>
    <w:qFormat/>
    <w:rsid w:val="00AC25F5"/>
    <w:pPr>
      <w:spacing w:before="240" w:after="60"/>
      <w:outlineLvl w:val="3"/>
    </w:pPr>
    <w:rPr>
      <w:rFonts w:cs="Arial"/>
      <w:b/>
      <w:i/>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rsid w:val="0094078F"/>
    <w:rPr>
      <w:rFonts w:ascii="Arial" w:hAnsi="Arial"/>
      <w:color w:val="323232"/>
      <w:sz w:val="16"/>
    </w:rPr>
  </w:style>
  <w:style w:type="paragraph" w:customStyle="1" w:styleId="ACMAReportTitle">
    <w:name w:val="ACMA_ReportTitle"/>
    <w:basedOn w:val="Normal"/>
    <w:qFormat/>
    <w:rsid w:val="00A51D1A"/>
    <w:pPr>
      <w:spacing w:after="0"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uiPriority w:val="3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AReportDate">
    <w:name w:val="ACMA_ReportDate"/>
    <w:basedOn w:val="ACMAReportSubTitle"/>
    <w:qFormat/>
    <w:rsid w:val="00950159"/>
    <w:pPr>
      <w:spacing w:after="1200" w:line="240" w:lineRule="auto"/>
    </w:pPr>
    <w:rPr>
      <w:caps/>
      <w:spacing w:val="-10"/>
      <w:sz w:val="20"/>
    </w:rPr>
  </w:style>
  <w:style w:type="paragraph" w:customStyle="1" w:styleId="TableHeading">
    <w:name w:val="Table Heading"/>
    <w:basedOn w:val="Normal"/>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qFormat/>
    <w:rsid w:val="00950159"/>
    <w:pPr>
      <w:spacing w:before="1200" w:line="240" w:lineRule="auto"/>
    </w:pPr>
    <w:rPr>
      <w:b/>
      <w:color w:val="323232"/>
      <w:spacing w:val="-28"/>
      <w:sz w:val="53"/>
    </w:rPr>
  </w:style>
  <w:style w:type="paragraph" w:styleId="Caption">
    <w:name w:val="caption"/>
    <w:aliases w:val="Caption table"/>
    <w:basedOn w:val="Normal"/>
    <w:next w:val="Normal"/>
    <w:qFormat/>
    <w:rsid w:val="00E8152A"/>
    <w:pPr>
      <w:numPr>
        <w:numId w:val="9"/>
      </w:numPr>
      <w:spacing w:after="0"/>
    </w:pPr>
    <w:rPr>
      <w:b/>
      <w:bCs/>
      <w:color w:val="323232"/>
      <w:szCs w:val="20"/>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basedOn w:val="Normal"/>
    <w:link w:val="ListBulletChar"/>
    <w:qFormat/>
    <w:rsid w:val="001C6AEE"/>
    <w:pPr>
      <w:numPr>
        <w:numId w:val="1"/>
      </w:numPr>
      <w:spacing w:after="80"/>
    </w:pPr>
  </w:style>
  <w:style w:type="paragraph" w:styleId="ListBullet2">
    <w:name w:val="List Bullet 2"/>
    <w:basedOn w:val="Normal"/>
    <w:qFormat/>
    <w:rsid w:val="001C6AEE"/>
    <w:pPr>
      <w:numPr>
        <w:numId w:val="2"/>
      </w:numPr>
      <w:spacing w:after="80"/>
    </w:pPr>
  </w:style>
  <w:style w:type="paragraph" w:styleId="ListNumber">
    <w:name w:val="List Number"/>
    <w:basedOn w:val="Normal"/>
    <w:qFormat/>
    <w:rsid w:val="00C24A53"/>
    <w:pPr>
      <w:numPr>
        <w:numId w:val="3"/>
      </w:numPr>
      <w:spacing w:after="80"/>
    </w:pPr>
  </w:style>
  <w:style w:type="paragraph" w:styleId="ListNumber2">
    <w:name w:val="List Number 2"/>
    <w:basedOn w:val="Normal"/>
    <w:qFormat/>
    <w:rsid w:val="00247C59"/>
    <w:pPr>
      <w:numPr>
        <w:numId w:val="4"/>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aliases w:val="CEO_Hyperlink"/>
    <w:basedOn w:val="DefaultParagraphFont"/>
    <w:uiPriority w:val="99"/>
    <w:qFormat/>
    <w:rsid w:val="003A5F5B"/>
    <w:rPr>
      <w:color w:val="0000FF"/>
      <w:u w:val="single"/>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Style 13,FR"/>
    <w:basedOn w:val="DefaultParagraphFont"/>
    <w:uiPriority w:val="99"/>
    <w:rsid w:val="00566AB4"/>
    <w:rPr>
      <w:rFonts w:ascii="Arial" w:hAnsi="Arial"/>
      <w:vertAlign w:val="superscript"/>
    </w:rPr>
  </w:style>
  <w:style w:type="paragraph" w:styleId="FootnoteText">
    <w:name w:val="footnote text"/>
    <w:aliases w:val="ACMA Footnote Text,ABA Footnote Text,footnote text,Footnote Text Char1,Footnote Text Char Char,Footnote Text Char1 Char Char,Footnote Text Char Char Char Char,Footnote Text Char1 Char Char Char Char,Footnote Text Char2 Char Char,f,fn"/>
    <w:basedOn w:val="Normal"/>
    <w:link w:val="FootnoteTextChar"/>
    <w:rsid w:val="00566AB4"/>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rsid w:val="00EE7F79"/>
    <w:pPr>
      <w:spacing w:line="240" w:lineRule="auto"/>
    </w:pPr>
    <w:rPr>
      <w:szCs w:val="20"/>
    </w:rPr>
  </w:style>
  <w:style w:type="character" w:customStyle="1" w:styleId="CommentTextChar">
    <w:name w:val="Comment Text Char"/>
    <w:basedOn w:val="DefaultParagraphFont"/>
    <w:link w:val="CommentText"/>
    <w:uiPriority w:val="99"/>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semiHidden/>
    <w:qFormat/>
    <w:rsid w:val="0005011A"/>
    <w:rPr>
      <w:b/>
      <w:bCs/>
    </w:rPr>
  </w:style>
  <w:style w:type="paragraph" w:customStyle="1" w:styleId="ACMACorporateAddressHeader">
    <w:name w:val="ACMA_CorporateAddressHeader"/>
    <w:basedOn w:val="Normal"/>
    <w:next w:val="ACMACorporateAddresses"/>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FC07B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3F10EE"/>
    <w:pPr>
      <w:numPr>
        <w:numId w:val="7"/>
      </w:numPr>
      <w:tabs>
        <w:tab w:val="clear" w:pos="7627"/>
        <w:tab w:val="num" w:pos="964"/>
      </w:tabs>
      <w:spacing w:after="160"/>
      <w:ind w:left="964"/>
    </w:pPr>
    <w:rPr>
      <w:rFonts w:ascii="Arial" w:hAnsi="Arial"/>
      <w:b/>
      <w:bCs/>
      <w:color w:val="323232"/>
      <w:sz w:val="20"/>
      <w:szCs w:val="20"/>
    </w:rPr>
  </w:style>
  <w:style w:type="paragraph" w:customStyle="1" w:styleId="ACMANotes">
    <w:name w:val="ACMA_Notes"/>
    <w:qFormat/>
    <w:rsid w:val="00FF206E"/>
    <w:pPr>
      <w:spacing w:before="80"/>
    </w:pPr>
    <w:rPr>
      <w:rFonts w:ascii="Arial" w:hAnsi="Arial" w:cs="Arial"/>
      <w:i/>
      <w:sz w:val="16"/>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ACMASpaceaftertable">
    <w:name w:val="ACMA_Space after table"/>
    <w:basedOn w:val="Normal"/>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qFormat/>
    <w:rsid w:val="00E8152A"/>
    <w:pPr>
      <w:keepNext/>
      <w:numPr>
        <w:numId w:val="8"/>
      </w:numPr>
    </w:pPr>
    <w:rPr>
      <w:rFonts w:cs="Arial"/>
    </w:rPr>
  </w:style>
  <w:style w:type="paragraph" w:customStyle="1" w:styleId="GridTable31">
    <w:name w:val="Grid Table 31"/>
    <w:basedOn w:val="Normal"/>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paragraph" w:styleId="ListParagraph">
    <w:name w:val="List Paragraph"/>
    <w:basedOn w:val="Normal"/>
    <w:uiPriority w:val="34"/>
    <w:qFormat/>
    <w:rsid w:val="00E05708"/>
    <w:pPr>
      <w:spacing w:after="0"/>
      <w:ind w:left="720"/>
      <w:contextualSpacing/>
    </w:pPr>
    <w:rPr>
      <w:rFonts w:ascii="Calibri" w:hAnsi="Calibri"/>
    </w:rPr>
  </w:style>
  <w:style w:type="character" w:customStyle="1" w:styleId="FootnoteTextChar">
    <w:name w:val="Footnote Text Char"/>
    <w:aliases w:val="ACMA Footnote Text Char,ABA Footnote Text Char,footnote text Char,Footnote Text Char1 Char,Footnote Text Char Char Char,Footnote Text Char1 Char Char Char,Footnote Text Char Char Char Char Char,Footnote Text Char2 Char Char Char"/>
    <w:basedOn w:val="DefaultParagraphFont"/>
    <w:link w:val="FootnoteText"/>
    <w:rsid w:val="00E05708"/>
    <w:rPr>
      <w:rFonts w:ascii="Arial" w:hAnsi="Arial"/>
      <w:sz w:val="16"/>
      <w:szCs w:val="16"/>
    </w:rPr>
  </w:style>
  <w:style w:type="character" w:customStyle="1" w:styleId="Heading2Char">
    <w:name w:val="Heading 2 Char"/>
    <w:aliases w:val="RIS Heading 2 Char"/>
    <w:basedOn w:val="DefaultParagraphFont"/>
    <w:link w:val="Heading2"/>
    <w:rsid w:val="0029295B"/>
    <w:rPr>
      <w:rFonts w:ascii="Arial" w:hAnsi="Arial" w:cs="Arial"/>
      <w:b/>
      <w:bCs/>
      <w:iCs/>
      <w:sz w:val="28"/>
      <w:szCs w:val="28"/>
    </w:rPr>
  </w:style>
  <w:style w:type="character" w:customStyle="1" w:styleId="Heading3Char">
    <w:name w:val="Heading 3 Char"/>
    <w:basedOn w:val="DefaultParagraphFont"/>
    <w:link w:val="Heading3"/>
    <w:uiPriority w:val="2"/>
    <w:rsid w:val="0029295B"/>
    <w:rPr>
      <w:rFonts w:ascii="Arial" w:hAnsi="Arial" w:cs="Arial"/>
      <w:b/>
      <w:bCs/>
      <w:sz w:val="20"/>
      <w:szCs w:val="26"/>
    </w:rPr>
  </w:style>
  <w:style w:type="character" w:customStyle="1" w:styleId="ACMAFootnoteTextCharChar">
    <w:name w:val="ACMA Footnote Text Char Char"/>
    <w:basedOn w:val="DefaultParagraphFont"/>
    <w:rsid w:val="0029295B"/>
    <w:rPr>
      <w:lang w:val="en-AU" w:eastAsia="en-US" w:bidi="ar-SA"/>
    </w:rPr>
  </w:style>
  <w:style w:type="character" w:customStyle="1" w:styleId="ECCParagraph">
    <w:name w:val="ECC Paragraph"/>
    <w:basedOn w:val="DefaultParagraphFont"/>
    <w:uiPriority w:val="1"/>
    <w:qFormat/>
    <w:rsid w:val="00FF62B2"/>
    <w:rPr>
      <w:rFonts w:ascii="Arial" w:hAnsi="Arial"/>
      <w:noProof w:val="0"/>
      <w:sz w:val="20"/>
      <w:bdr w:val="none" w:sz="0" w:space="0" w:color="auto"/>
      <w:lang w:val="en-GB"/>
    </w:rPr>
  </w:style>
  <w:style w:type="paragraph" w:customStyle="1" w:styleId="Jeanpara">
    <w:name w:val="Jean para"/>
    <w:basedOn w:val="Normal"/>
    <w:uiPriority w:val="99"/>
    <w:rsid w:val="00072106"/>
    <w:pPr>
      <w:spacing w:after="0" w:line="240" w:lineRule="auto"/>
      <w:ind w:left="1020" w:hanging="340"/>
    </w:pPr>
    <w:rPr>
      <w:rFonts w:ascii="Times New Roman" w:hAnsi="Times New Roman"/>
      <w:sz w:val="24"/>
      <w:szCs w:val="20"/>
    </w:rPr>
  </w:style>
  <w:style w:type="paragraph" w:styleId="BodyText">
    <w:name w:val="Body Text"/>
    <w:basedOn w:val="Normal"/>
    <w:link w:val="BodyTextChar"/>
    <w:uiPriority w:val="1"/>
    <w:qFormat/>
    <w:rsid w:val="006E78A6"/>
    <w:pPr>
      <w:widowControl w:val="0"/>
      <w:spacing w:after="0" w:line="240" w:lineRule="auto"/>
      <w:ind w:left="891" w:hanging="360"/>
    </w:pPr>
    <w:rPr>
      <w:rFonts w:ascii="Times New Roman" w:hAnsi="Times New Roman" w:cstheme="minorBidi"/>
      <w:sz w:val="21"/>
      <w:szCs w:val="21"/>
      <w:lang w:val="en-US" w:eastAsia="en-US"/>
    </w:rPr>
  </w:style>
  <w:style w:type="character" w:customStyle="1" w:styleId="BodyTextChar">
    <w:name w:val="Body Text Char"/>
    <w:basedOn w:val="DefaultParagraphFont"/>
    <w:link w:val="BodyText"/>
    <w:uiPriority w:val="1"/>
    <w:rsid w:val="006E78A6"/>
    <w:rPr>
      <w:rFonts w:cstheme="minorBidi"/>
      <w:sz w:val="21"/>
      <w:szCs w:val="21"/>
      <w:lang w:val="en-US" w:eastAsia="en-US"/>
    </w:rPr>
  </w:style>
  <w:style w:type="character" w:customStyle="1" w:styleId="ListBulletChar">
    <w:name w:val="List Bullet Char"/>
    <w:basedOn w:val="DefaultParagraphFont"/>
    <w:link w:val="ListBullet"/>
    <w:rsid w:val="0010046D"/>
    <w:rPr>
      <w:rFonts w:ascii="Arial" w:hAnsi="Arial"/>
      <w:sz w:val="20"/>
    </w:rPr>
  </w:style>
  <w:style w:type="paragraph" w:customStyle="1" w:styleId="TableParagraph">
    <w:name w:val="Table Paragraph"/>
    <w:basedOn w:val="Normal"/>
    <w:uiPriority w:val="1"/>
    <w:qFormat/>
    <w:rsid w:val="00A83A6A"/>
    <w:pPr>
      <w:widowControl w:val="0"/>
      <w:spacing w:after="0" w:line="240" w:lineRule="auto"/>
    </w:pPr>
    <w:rPr>
      <w:rFonts w:asciiTheme="minorHAnsi" w:eastAsiaTheme="minorHAnsi" w:hAnsiTheme="minorHAnsi" w:cstheme="minorBidi"/>
      <w:sz w:val="22"/>
      <w:szCs w:val="22"/>
      <w:lang w:val="en-US" w:eastAsia="en-US"/>
    </w:rPr>
  </w:style>
  <w:style w:type="paragraph" w:customStyle="1" w:styleId="A2">
    <w:name w:val="A2"/>
    <w:aliases w:val="1.1 amendment,Instruction amendment"/>
    <w:basedOn w:val="Normal"/>
    <w:next w:val="Normal"/>
    <w:rsid w:val="001452E3"/>
    <w:pPr>
      <w:tabs>
        <w:tab w:val="right" w:pos="794"/>
      </w:tabs>
      <w:spacing w:before="120" w:after="0" w:line="260" w:lineRule="exact"/>
      <w:ind w:left="964" w:hanging="964"/>
      <w:jc w:val="both"/>
    </w:pPr>
    <w:rPr>
      <w:rFonts w:ascii="Times New Roman" w:hAnsi="Times New Roman"/>
      <w:noProof/>
      <w:sz w:val="24"/>
      <w:lang w:eastAsia="en-US"/>
    </w:rPr>
  </w:style>
  <w:style w:type="paragraph" w:customStyle="1" w:styleId="R1">
    <w:name w:val="R1"/>
    <w:aliases w:val="1. or 1.(1)"/>
    <w:basedOn w:val="Normal"/>
    <w:next w:val="Normal"/>
    <w:rsid w:val="001452E3"/>
    <w:pPr>
      <w:tabs>
        <w:tab w:val="right" w:pos="794"/>
      </w:tabs>
      <w:spacing w:before="120" w:after="0" w:line="260" w:lineRule="exact"/>
      <w:ind w:left="964" w:hanging="964"/>
      <w:jc w:val="both"/>
    </w:pPr>
    <w:rPr>
      <w:rFonts w:ascii="Times New Roman" w:hAnsi="Times New Roman"/>
      <w:noProof/>
      <w:sz w:val="24"/>
      <w:lang w:eastAsia="en-US"/>
    </w:rPr>
  </w:style>
  <w:style w:type="character" w:styleId="UnresolvedMention">
    <w:name w:val="Unresolved Mention"/>
    <w:basedOn w:val="DefaultParagraphFont"/>
    <w:uiPriority w:val="99"/>
    <w:semiHidden/>
    <w:unhideWhenUsed/>
    <w:rsid w:val="003311D4"/>
    <w:rPr>
      <w:color w:val="605E5C"/>
      <w:shd w:val="clear" w:color="auto" w:fill="E1DFDD"/>
    </w:rPr>
  </w:style>
  <w:style w:type="character" w:customStyle="1" w:styleId="Heading1Char">
    <w:name w:val="Heading 1 Char"/>
    <w:basedOn w:val="DefaultParagraphFont"/>
    <w:link w:val="Heading1"/>
    <w:uiPriority w:val="1"/>
    <w:rsid w:val="008063C3"/>
    <w:rPr>
      <w:rFonts w:ascii="Arial" w:hAnsi="Arial" w:cs="Arial"/>
      <w:bCs/>
      <w:color w:val="323232"/>
      <w:kern w:val="32"/>
      <w:sz w:val="53"/>
      <w:szCs w:val="32"/>
    </w:rPr>
  </w:style>
  <w:style w:type="paragraph" w:customStyle="1" w:styleId="Paragraphbeforelist">
    <w:name w:val="Paragraph before list"/>
    <w:basedOn w:val="Paragraph"/>
    <w:uiPriority w:val="4"/>
    <w:qFormat/>
    <w:rsid w:val="00305794"/>
    <w:pPr>
      <w:spacing w:after="80"/>
    </w:pPr>
  </w:style>
  <w:style w:type="paragraph" w:customStyle="1" w:styleId="Bulletlevel1">
    <w:name w:val="Bullet level 1"/>
    <w:basedOn w:val="ListBullet"/>
    <w:uiPriority w:val="5"/>
    <w:qFormat/>
    <w:rsid w:val="00305794"/>
    <w:rPr>
      <w:rFonts w:cs="Arial"/>
    </w:rPr>
  </w:style>
  <w:style w:type="paragraph" w:customStyle="1" w:styleId="Paragraph">
    <w:name w:val="Paragraph"/>
    <w:basedOn w:val="Normal"/>
    <w:qFormat/>
    <w:rsid w:val="00305794"/>
    <w:rPr>
      <w:rFonts w:cs="Arial"/>
    </w:rPr>
  </w:style>
  <w:style w:type="paragraph" w:customStyle="1" w:styleId="Bulletlevel1last">
    <w:name w:val="Bullet level 1 last"/>
    <w:basedOn w:val="ListBulletLast"/>
    <w:uiPriority w:val="6"/>
    <w:qFormat/>
    <w:rsid w:val="00305794"/>
  </w:style>
  <w:style w:type="paragraph" w:customStyle="1" w:styleId="Bulletlevel2">
    <w:name w:val="Bullet level 2"/>
    <w:basedOn w:val="ListBullet2"/>
    <w:uiPriority w:val="7"/>
    <w:qFormat/>
    <w:rsid w:val="00906A88"/>
    <w:rPr>
      <w:rFonts w:cs="Arial"/>
    </w:rPr>
  </w:style>
  <w:style w:type="paragraph" w:customStyle="1" w:styleId="Bulletlevel2last">
    <w:name w:val="Bullet level 2 last"/>
    <w:basedOn w:val="Bulletlevel2"/>
    <w:uiPriority w:val="8"/>
    <w:qFormat/>
    <w:rsid w:val="00906A88"/>
    <w:pPr>
      <w:spacing w:after="240"/>
    </w:pPr>
  </w:style>
  <w:style w:type="paragraph" w:styleId="Revision">
    <w:name w:val="Revision"/>
    <w:hidden/>
    <w:semiHidden/>
    <w:rsid w:val="00CF2CE0"/>
    <w:rPr>
      <w:rFonts w:ascii="Arial" w:hAnsi="Arial"/>
      <w:sz w:val="20"/>
    </w:rPr>
  </w:style>
  <w:style w:type="paragraph" w:customStyle="1" w:styleId="Tableheaderrow">
    <w:name w:val="Table header row"/>
    <w:basedOn w:val="Normal"/>
    <w:uiPriority w:val="14"/>
    <w:qFormat/>
    <w:rsid w:val="006D3D87"/>
    <w:pPr>
      <w:spacing w:after="0"/>
    </w:pPr>
    <w:rPr>
      <w:b/>
    </w:rPr>
  </w:style>
  <w:style w:type="table" w:customStyle="1" w:styleId="ACMAtablestyle">
    <w:name w:val="ACMA table style"/>
    <w:basedOn w:val="TableNormal"/>
    <w:uiPriority w:val="99"/>
    <w:rsid w:val="006D3D87"/>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0">
    <w:name w:val="Table heading"/>
    <w:basedOn w:val="ACMATableHeader"/>
    <w:uiPriority w:val="13"/>
    <w:qFormat/>
    <w:rsid w:val="006D3D87"/>
    <w:pPr>
      <w:keepNext/>
      <w:numPr>
        <w:numId w:val="0"/>
      </w:numPr>
      <w:tabs>
        <w:tab w:val="num" w:pos="295"/>
      </w:tabs>
      <w:spacing w:line="240" w:lineRule="atLeast"/>
      <w:ind w:left="295" w:hanging="295"/>
    </w:pPr>
  </w:style>
  <w:style w:type="paragraph" w:customStyle="1" w:styleId="Execsummaryheading">
    <w:name w:val="Exec summary heading"/>
    <w:basedOn w:val="Normal"/>
    <w:uiPriority w:val="22"/>
    <w:qFormat/>
    <w:rsid w:val="00E442ED"/>
    <w:pPr>
      <w:pageBreakBefore/>
      <w:spacing w:after="1440" w:line="550" w:lineRule="exact"/>
    </w:pPr>
    <w:rPr>
      <w:b/>
      <w:color w:val="323232"/>
      <w:spacing w:val="-18"/>
      <w:sz w:val="53"/>
    </w:rPr>
  </w:style>
  <w:style w:type="table" w:customStyle="1" w:styleId="TableGrid0">
    <w:name w:val="TableGrid"/>
    <w:rsid w:val="00D04028"/>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1004">
      <w:bodyDiv w:val="1"/>
      <w:marLeft w:val="0"/>
      <w:marRight w:val="0"/>
      <w:marTop w:val="0"/>
      <w:marBottom w:val="0"/>
      <w:divBdr>
        <w:top w:val="none" w:sz="0" w:space="0" w:color="auto"/>
        <w:left w:val="none" w:sz="0" w:space="0" w:color="auto"/>
        <w:bottom w:val="none" w:sz="0" w:space="0" w:color="auto"/>
        <w:right w:val="none" w:sz="0" w:space="0" w:color="auto"/>
      </w:divBdr>
    </w:div>
    <w:div w:id="595985476">
      <w:bodyDiv w:val="1"/>
      <w:marLeft w:val="0"/>
      <w:marRight w:val="0"/>
      <w:marTop w:val="0"/>
      <w:marBottom w:val="0"/>
      <w:divBdr>
        <w:top w:val="none" w:sz="0" w:space="0" w:color="auto"/>
        <w:left w:val="none" w:sz="0" w:space="0" w:color="auto"/>
        <w:bottom w:val="none" w:sz="0" w:space="0" w:color="auto"/>
        <w:right w:val="none" w:sz="0" w:space="0" w:color="auto"/>
      </w:divBdr>
    </w:div>
    <w:div w:id="617486635">
      <w:bodyDiv w:val="1"/>
      <w:marLeft w:val="0"/>
      <w:marRight w:val="0"/>
      <w:marTop w:val="0"/>
      <w:marBottom w:val="0"/>
      <w:divBdr>
        <w:top w:val="none" w:sz="0" w:space="0" w:color="auto"/>
        <w:left w:val="none" w:sz="0" w:space="0" w:color="auto"/>
        <w:bottom w:val="none" w:sz="0" w:space="0" w:color="auto"/>
        <w:right w:val="none" w:sz="0" w:space="0" w:color="auto"/>
      </w:divBdr>
    </w:div>
    <w:div w:id="1390377359">
      <w:bodyDiv w:val="1"/>
      <w:marLeft w:val="0"/>
      <w:marRight w:val="0"/>
      <w:marTop w:val="0"/>
      <w:marBottom w:val="0"/>
      <w:divBdr>
        <w:top w:val="none" w:sz="0" w:space="0" w:color="auto"/>
        <w:left w:val="none" w:sz="0" w:space="0" w:color="auto"/>
        <w:bottom w:val="none" w:sz="0" w:space="0" w:color="auto"/>
        <w:right w:val="none" w:sz="0" w:space="0" w:color="auto"/>
      </w:divBdr>
    </w:div>
    <w:div w:id="1892645279">
      <w:bodyDiv w:val="1"/>
      <w:marLeft w:val="0"/>
      <w:marRight w:val="0"/>
      <w:marTop w:val="0"/>
      <w:marBottom w:val="0"/>
      <w:divBdr>
        <w:top w:val="none" w:sz="0" w:space="0" w:color="auto"/>
        <w:left w:val="none" w:sz="0" w:space="0" w:color="auto"/>
        <w:bottom w:val="none" w:sz="0" w:space="0" w:color="auto"/>
        <w:right w:val="none" w:sz="0" w:space="0" w:color="auto"/>
      </w:divBdr>
    </w:div>
    <w:div w:id="1911959534">
      <w:bodyDiv w:val="1"/>
      <w:marLeft w:val="0"/>
      <w:marRight w:val="0"/>
      <w:marTop w:val="0"/>
      <w:marBottom w:val="0"/>
      <w:divBdr>
        <w:top w:val="none" w:sz="0" w:space="0" w:color="auto"/>
        <w:left w:val="none" w:sz="0" w:space="0" w:color="auto"/>
        <w:bottom w:val="none" w:sz="0" w:space="0" w:color="auto"/>
        <w:right w:val="none" w:sz="0" w:space="0" w:color="auto"/>
      </w:divBdr>
    </w:div>
    <w:div w:id="1970279770">
      <w:bodyDiv w:val="1"/>
      <w:marLeft w:val="0"/>
      <w:marRight w:val="0"/>
      <w:marTop w:val="0"/>
      <w:marBottom w:val="0"/>
      <w:divBdr>
        <w:top w:val="none" w:sz="0" w:space="0" w:color="auto"/>
        <w:left w:val="none" w:sz="0" w:space="0" w:color="auto"/>
        <w:bottom w:val="none" w:sz="0" w:space="0" w:color="auto"/>
        <w:right w:val="none" w:sz="0" w:space="0" w:color="auto"/>
      </w:divBdr>
    </w:div>
    <w:div w:id="2062512623">
      <w:bodyDiv w:val="1"/>
      <w:marLeft w:val="0"/>
      <w:marRight w:val="0"/>
      <w:marTop w:val="0"/>
      <w:marBottom w:val="0"/>
      <w:divBdr>
        <w:top w:val="none" w:sz="0" w:space="0" w:color="auto"/>
        <w:left w:val="none" w:sz="0" w:space="0" w:color="auto"/>
        <w:bottom w:val="none" w:sz="0" w:space="0" w:color="auto"/>
        <w:right w:val="none" w:sz="0" w:space="0" w:color="auto"/>
      </w:divBdr>
    </w:div>
    <w:div w:id="207122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https://www.acma.gov.au/spectrum-licence-technical-liaison-groups" TargetMode="External"/><Relationship Id="rId39" Type="http://schemas.openxmlformats.org/officeDocument/2006/relationships/hyperlink" Target="https://docdb.cept.org/download/61" TargetMode="External"/><Relationship Id="rId21" Type="http://schemas.openxmlformats.org/officeDocument/2006/relationships/footer" Target="footer4.xml"/><Relationship Id="rId34" Type="http://schemas.openxmlformats.org/officeDocument/2006/relationships/image" Target="media/image6.png"/><Relationship Id="rId42" Type="http://schemas.openxmlformats.org/officeDocument/2006/relationships/hyperlink" Target="https://www.legislation.gov.au/Details/F2015C00769" TargetMode="External"/><Relationship Id="rId47" Type="http://schemas.openxmlformats.org/officeDocument/2006/relationships/hyperlink" Target="https://docdb.cept.org/download/1387" TargetMode="External"/><Relationship Id="rId50" Type="http://schemas.openxmlformats.org/officeDocument/2006/relationships/hyperlink" Target="https://www.legislation.gov.au/Details/F2021C00641" TargetMode="External"/><Relationship Id="rId55" Type="http://schemas.openxmlformats.org/officeDocument/2006/relationships/hyperlink" Target="http://pid.geoscience.gov.au/dataset/ga/69888" TargetMode="External"/><Relationship Id="rId63" Type="http://schemas.openxmlformats.org/officeDocument/2006/relationships/footer" Target="foot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s://www.acma.gov.au/spectrum-licence-technical-liaison-groups" TargetMode="External"/><Relationship Id="rId41" Type="http://schemas.openxmlformats.org/officeDocument/2006/relationships/hyperlink" Target="https://www.legislation.gov.au/Details/F2015C00771" TargetMode="External"/><Relationship Id="rId54" Type="http://schemas.openxmlformats.org/officeDocument/2006/relationships/hyperlink" Target="https://data.gov.au/data/dataset/12e0731d-96dd-49cc-aa21-ebfd65a3f67a" TargetMode="External"/><Relationship Id="rId62"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acma.gov.au/five-year-spectrum-outlook" TargetMode="External"/><Relationship Id="rId32" Type="http://schemas.openxmlformats.org/officeDocument/2006/relationships/image" Target="media/image4.png"/><Relationship Id="rId37" Type="http://schemas.openxmlformats.org/officeDocument/2006/relationships/hyperlink" Target="https://docdb.cept.org/download/425" TargetMode="External"/><Relationship Id="rId40" Type="http://schemas.openxmlformats.org/officeDocument/2006/relationships/hyperlink" Target="https://docdb.cept.org/download/1387" TargetMode="External"/><Relationship Id="rId45" Type="http://schemas.openxmlformats.org/officeDocument/2006/relationships/hyperlink" Target="https://docdb.cept.org/download/425" TargetMode="External"/><Relationship Id="rId53" Type="http://schemas.openxmlformats.org/officeDocument/2006/relationships/hyperlink" Target="https://www.acma.gov.au/spectrum-licence-technical-liaison-groups" TargetMode="External"/><Relationship Id="rId58" Type="http://schemas.openxmlformats.org/officeDocument/2006/relationships/hyperlink" Target="https://www.acma.gov.au/publications/2019-08/publication/frequency-coordination-procedures-earth-station-protection-zones"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acma.gov.au/1800-mhz-technical-framework" TargetMode="External"/><Relationship Id="rId36" Type="http://schemas.openxmlformats.org/officeDocument/2006/relationships/hyperlink" Target="https://www.era.europa.eu/sites/default/files/activities/docs/study_on_architecture_on-board_radio_equipment_en.pdf" TargetMode="External"/><Relationship Id="rId49" Type="http://schemas.openxmlformats.org/officeDocument/2006/relationships/hyperlink" Target="https://www.acma.gov.au/publications/2019-09/publication/rali-ms31-notification-zones-around-radio-astronomy-facilities" TargetMode="External"/><Relationship Id="rId57" Type="http://schemas.openxmlformats.org/officeDocument/2006/relationships/hyperlink" Target="mailto:freqplan@acma.gov.au" TargetMode="External"/><Relationship Id="rId61"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https://docdb.cept.org/document/3360" TargetMode="External"/><Relationship Id="rId44" Type="http://schemas.openxmlformats.org/officeDocument/2006/relationships/hyperlink" Target="https://www.legislation.gov.au/Details/F2021C00645" TargetMode="External"/><Relationship Id="rId52" Type="http://schemas.openxmlformats.org/officeDocument/2006/relationships/hyperlink" Target="https://www.legislation.gov.au/Details/F2015C00768" TargetMode="External"/><Relationship Id="rId60" Type="http://schemas.openxmlformats.org/officeDocument/2006/relationships/hyperlink" Target="https://web.acma.gov.au/rrl/browse_licences.licence_list?pSV_ID=85&amp;pSS_ID=857"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www.acma.gov.au/publications/2012-12/guide/spectrum-licencees-know-your-obligations" TargetMode="External"/><Relationship Id="rId30" Type="http://schemas.openxmlformats.org/officeDocument/2006/relationships/hyperlink" Target="https://www.acma.gov.au/spectrum-licence-technical-liaison-groups" TargetMode="External"/><Relationship Id="rId35" Type="http://schemas.openxmlformats.org/officeDocument/2006/relationships/image" Target="media/image7.png"/><Relationship Id="rId43" Type="http://schemas.openxmlformats.org/officeDocument/2006/relationships/image" Target="media/image8.png"/><Relationship Id="rId48" Type="http://schemas.openxmlformats.org/officeDocument/2006/relationships/hyperlink" Target="https://www.legislation.gov.au/Details/F2021L00617" TargetMode="External"/><Relationship Id="rId56" Type="http://schemas.openxmlformats.org/officeDocument/2006/relationships/hyperlink" Target="http://intranet/resources-and-tools/communications-and-engagement/corporate-style-guide" TargetMode="Externa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www.legislation.gov.au/Series/F2015L01438"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acma.gov.au/spectrum-licence-technical-liaison-groups" TargetMode="External"/><Relationship Id="rId33" Type="http://schemas.openxmlformats.org/officeDocument/2006/relationships/image" Target="media/image5.png"/><Relationship Id="rId38" Type="http://schemas.openxmlformats.org/officeDocument/2006/relationships/hyperlink" Target="https://docdb.cept.org/download/584" TargetMode="External"/><Relationship Id="rId46" Type="http://schemas.openxmlformats.org/officeDocument/2006/relationships/hyperlink" Target="https://docdb.cept.org/download/61" TargetMode="External"/><Relationship Id="rId59" Type="http://schemas.openxmlformats.org/officeDocument/2006/relationships/hyperlink" Target="https://www.acma.gov.au/have-your-say"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qualcomm.com/5g/what-is-5g" TargetMode="External"/><Relationship Id="rId7" Type="http://schemas.openxmlformats.org/officeDocument/2006/relationships/hyperlink" Target="http://pid.geoscience.gov.au/dataset/ga/69888" TargetMode="External"/><Relationship Id="rId2" Type="http://schemas.openxmlformats.org/officeDocument/2006/relationships/hyperlink" Target="https://www.etsi.org/deliver/etsi_tr/103400_103499/103459/01.02.01_60/tr_103459v010201p.pdf" TargetMode="External"/><Relationship Id="rId1" Type="http://schemas.openxmlformats.org/officeDocument/2006/relationships/hyperlink" Target="https://www.etsi.org/technologies/rail-communications" TargetMode="External"/><Relationship Id="rId6" Type="http://schemas.openxmlformats.org/officeDocument/2006/relationships/hyperlink" Target="https://uic.org/IMG/pdf/eirene_srs_15.1.pdf" TargetMode="External"/><Relationship Id="rId5" Type="http://schemas.openxmlformats.org/officeDocument/2006/relationships/hyperlink" Target="https://portal.3gpp.org/desktopmodules/Specifications/SpecificationDetails.aspx?specificationId=3283" TargetMode="External"/><Relationship Id="rId4" Type="http://schemas.openxmlformats.org/officeDocument/2006/relationships/hyperlink" Target="https://portal.3gpp.org/desktopmodules/Specifications/SpecificationDetails.aspx?specificationId=320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430A2-25FB-491B-8F50-DFC50295E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9652</Words>
  <Characters>55021</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64544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2021-10-03T21:38:00Z</dcterms:created>
  <dcterms:modified xsi:type="dcterms:W3CDTF">2021-10-03T21:38:00Z</dcterms:modified>
  <cp:category/>
</cp:coreProperties>
</file>