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CF11E" w14:textId="12FC0446" w:rsidR="00F83B0F" w:rsidRDefault="00F83B0F" w:rsidP="0081023C">
      <w:pPr>
        <w:pStyle w:val="Reporttitle"/>
      </w:pPr>
      <w:bookmarkStart w:id="0" w:name="_Hlk85121099"/>
      <w:r>
        <w:t xml:space="preserve">Proposed </w:t>
      </w:r>
      <w:r w:rsidR="00D84B62">
        <w:t>u</w:t>
      </w:r>
      <w:r>
        <w:t xml:space="preserve">pdates to the </w:t>
      </w:r>
      <w:r w:rsidR="004F4742">
        <w:t>LIPD</w:t>
      </w:r>
      <w:r>
        <w:t xml:space="preserve"> </w:t>
      </w:r>
      <w:r w:rsidR="00843C55">
        <w:t>C</w:t>
      </w:r>
      <w:r>
        <w:t xml:space="preserve">lass </w:t>
      </w:r>
      <w:r w:rsidR="00843C55">
        <w:t>L</w:t>
      </w:r>
      <w:r>
        <w:t>icence</w:t>
      </w:r>
      <w:r w:rsidR="004F4742">
        <w:t xml:space="preserve"> for </w:t>
      </w:r>
      <w:r>
        <w:t>6 GHz RLANs</w:t>
      </w:r>
    </w:p>
    <w:bookmarkEnd w:id="0"/>
    <w:p w14:paraId="53D8BDE0" w14:textId="195AE1F4" w:rsidR="00F06E14" w:rsidRDefault="001014BC" w:rsidP="00F06E14">
      <w:pPr>
        <w:pStyle w:val="Reportsubtitle"/>
      </w:pPr>
      <w:r>
        <w:t>Consultation</w:t>
      </w:r>
      <w:r w:rsidR="00F83B0F">
        <w:t xml:space="preserve"> </w:t>
      </w:r>
      <w:r w:rsidR="00A37217">
        <w:t>paper</w:t>
      </w:r>
    </w:p>
    <w:p w14:paraId="3CF92A3E" w14:textId="11DB392D" w:rsidR="00C97736" w:rsidRPr="000D76E0" w:rsidRDefault="00A37217" w:rsidP="00EC2B68">
      <w:pPr>
        <w:pStyle w:val="Reportdate"/>
        <w:spacing w:after="720"/>
        <w:rPr>
          <w:rFonts w:cs="Arial"/>
        </w:rPr>
        <w:sectPr w:rsidR="00C97736" w:rsidRPr="000D76E0"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rsidRPr="004E47B9">
        <w:t>OCTOBER</w:t>
      </w:r>
      <w:r w:rsidR="00BD4421" w:rsidRPr="004E47B9">
        <w:t xml:space="preserve"> 20</w:t>
      </w:r>
      <w:r w:rsidR="008E0428" w:rsidRPr="004E47B9">
        <w:t>2</w:t>
      </w:r>
      <w:r w:rsidR="003253EE" w:rsidRPr="004E47B9">
        <w:t>1</w:t>
      </w:r>
    </w:p>
    <w:p w14:paraId="3DD66DA2" w14:textId="77777777" w:rsidR="0005011A" w:rsidRPr="00F44F3A" w:rsidRDefault="0005011A" w:rsidP="00FC07B9">
      <w:pPr>
        <w:pStyle w:val="ACMACorporateAddressHeader"/>
      </w:pPr>
      <w:r w:rsidRPr="00F44F3A">
        <w:lastRenderedPageBreak/>
        <w:t>Canberra</w:t>
      </w:r>
    </w:p>
    <w:p w14:paraId="6638A2E9"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25CEB44A" w14:textId="77777777" w:rsidR="0005011A" w:rsidRPr="00FC07B9" w:rsidRDefault="0005011A" w:rsidP="00FC07B9">
      <w:pPr>
        <w:pStyle w:val="ACMACorporateAddresses"/>
      </w:pPr>
      <w:r w:rsidRPr="00FC07B9">
        <w:t>PO Box 78</w:t>
      </w:r>
      <w:r w:rsidRPr="00FC07B9">
        <w:br/>
        <w:t>Belconnen ACT 2616</w:t>
      </w:r>
    </w:p>
    <w:p w14:paraId="05E74717"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149EE66B" w14:textId="77777777" w:rsidR="0005011A" w:rsidRPr="00F44F3A" w:rsidRDefault="0005011A" w:rsidP="00FC07B9">
      <w:pPr>
        <w:pStyle w:val="ACMACorporateAddressHeader"/>
      </w:pPr>
      <w:r w:rsidRPr="00F44F3A">
        <w:t>Melbourne</w:t>
      </w:r>
    </w:p>
    <w:p w14:paraId="2EFA5F07"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561C664F"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1A8DCB94"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4CC7AF4D" w14:textId="77777777" w:rsidR="0005011A" w:rsidRPr="00F44F3A" w:rsidRDefault="0005011A" w:rsidP="00FC07B9">
      <w:pPr>
        <w:pStyle w:val="ACMACorporateAddressHeader"/>
      </w:pPr>
      <w:r w:rsidRPr="00F44F3A">
        <w:t>Sydney</w:t>
      </w:r>
    </w:p>
    <w:p w14:paraId="239D0234"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596A4793"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5D48C591"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4BD02C7C" w14:textId="77777777" w:rsidR="00140318" w:rsidRPr="006D46E5" w:rsidRDefault="00140318" w:rsidP="00FC07B9">
      <w:pPr>
        <w:pStyle w:val="ACMACopyrightHeader"/>
      </w:pPr>
      <w:r w:rsidRPr="00140318">
        <w:t>Copyright notice</w:t>
      </w:r>
    </w:p>
    <w:p w14:paraId="0C475E9A" w14:textId="77777777" w:rsidR="00140318" w:rsidRPr="006D46E5" w:rsidRDefault="00623FF9" w:rsidP="00623FF9">
      <w:pPr>
        <w:pStyle w:val="ACMACClogo"/>
      </w:pPr>
      <w:r w:rsidRPr="00623FF9">
        <w:rPr>
          <w:noProof/>
        </w:rPr>
        <w:drawing>
          <wp:inline distT="0" distB="0" distL="0" distR="0" wp14:anchorId="6B6C26F4" wp14:editId="2F1F4166">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2904ED59" w14:textId="77777777" w:rsidR="00AA2DE5" w:rsidRDefault="00E80268" w:rsidP="00AA2DE5">
      <w:pPr>
        <w:pStyle w:val="ACMACorporateAddresses"/>
        <w:rPr>
          <w:rStyle w:val="Hyperlink"/>
        </w:rPr>
      </w:pPr>
      <w:hyperlink r:id="rId13" w:history="1">
        <w:r w:rsidR="00AA2DE5">
          <w:rPr>
            <w:rStyle w:val="Hyperlink"/>
          </w:rPr>
          <w:t>https://creativecommons.org/licenses/by/4.0/</w:t>
        </w:r>
      </w:hyperlink>
    </w:p>
    <w:p w14:paraId="3D123A09"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7F4948C7" w14:textId="77777777" w:rsidR="00AA2DE5" w:rsidRDefault="00AA2DE5" w:rsidP="00AA2DE5">
      <w:pPr>
        <w:pStyle w:val="ACMACorporateAddresses"/>
      </w:pPr>
      <w:r>
        <w:t>We request attribution as © Commonwealth of Australia (Australian Communications and Media Authority) 20</w:t>
      </w:r>
      <w:r w:rsidR="00C41F21">
        <w:t>2</w:t>
      </w:r>
      <w:r w:rsidR="00023A36">
        <w:t>1</w:t>
      </w:r>
      <w:r>
        <w:t>.</w:t>
      </w:r>
    </w:p>
    <w:p w14:paraId="3979EE82" w14:textId="77777777" w:rsidR="00AA2DE5" w:rsidRDefault="00AA2DE5" w:rsidP="00AA2DE5">
      <w:pPr>
        <w:pStyle w:val="ACMACorporateAddresses"/>
      </w:pPr>
      <w:r>
        <w:t>All other rights are reserved.</w:t>
      </w:r>
    </w:p>
    <w:p w14:paraId="15BFC094"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784BAEF3" w14:textId="77777777" w:rsidR="00AA2DE5" w:rsidRDefault="00AA2DE5" w:rsidP="00AA2DE5">
      <w:pPr>
        <w:pStyle w:val="ACMACorporateAddresses"/>
      </w:pPr>
      <w:r>
        <w:t>Written enquiries may be sent to:</w:t>
      </w:r>
    </w:p>
    <w:p w14:paraId="0A83A188"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76D89E9E" w14:textId="77777777" w:rsidR="00D16FE3" w:rsidRDefault="00D16FE3" w:rsidP="00D16FE3">
      <w:pPr>
        <w:pStyle w:val="ACMACorporateAddresses"/>
        <w:rPr>
          <w:rStyle w:val="Hyperlink"/>
        </w:rPr>
      </w:pPr>
    </w:p>
    <w:p w14:paraId="6F4A06C9"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43ED4DA2" w14:textId="5E200429" w:rsidR="00B43FD4" w:rsidRDefault="006A3ECF">
      <w:pPr>
        <w:pStyle w:val="TOC1"/>
        <w:rPr>
          <w:rFonts w:asciiTheme="minorHAnsi" w:eastAsiaTheme="minorEastAsia" w:hAnsiTheme="minorHAnsi" w:cstheme="minorBidi"/>
          <w:b w:val="0"/>
          <w:spacing w:val="0"/>
          <w:sz w:val="22"/>
          <w:szCs w:val="22"/>
        </w:rPr>
      </w:pPr>
      <w:r>
        <w:rPr>
          <w:rFonts w:cs="Arial"/>
        </w:rPr>
        <w:lastRenderedPageBreak/>
        <w:fldChar w:fldCharType="begin"/>
      </w:r>
      <w:r>
        <w:rPr>
          <w:rFonts w:cs="Arial"/>
        </w:rPr>
        <w:instrText xml:space="preserve"> TOC \o "1-2" \h \z \t "Exec summary heading,1" </w:instrText>
      </w:r>
      <w:r>
        <w:rPr>
          <w:rFonts w:cs="Arial"/>
        </w:rPr>
        <w:fldChar w:fldCharType="separate"/>
      </w:r>
      <w:hyperlink w:anchor="_Toc85119221" w:history="1">
        <w:r w:rsidR="00B43FD4" w:rsidRPr="00FC1B8A">
          <w:rPr>
            <w:rStyle w:val="Hyperlink"/>
          </w:rPr>
          <w:t>Executive summary</w:t>
        </w:r>
        <w:r w:rsidR="00B43FD4">
          <w:rPr>
            <w:webHidden/>
          </w:rPr>
          <w:tab/>
        </w:r>
        <w:r w:rsidR="00B43FD4">
          <w:rPr>
            <w:webHidden/>
          </w:rPr>
          <w:fldChar w:fldCharType="begin"/>
        </w:r>
        <w:r w:rsidR="00B43FD4">
          <w:rPr>
            <w:webHidden/>
          </w:rPr>
          <w:instrText xml:space="preserve"> PAGEREF _Toc85119221 \h </w:instrText>
        </w:r>
        <w:r w:rsidR="00B43FD4">
          <w:rPr>
            <w:webHidden/>
          </w:rPr>
        </w:r>
        <w:r w:rsidR="00B43FD4">
          <w:rPr>
            <w:webHidden/>
          </w:rPr>
          <w:fldChar w:fldCharType="separate"/>
        </w:r>
        <w:r w:rsidR="00B43FD4">
          <w:rPr>
            <w:webHidden/>
          </w:rPr>
          <w:t>1</w:t>
        </w:r>
        <w:r w:rsidR="00B43FD4">
          <w:rPr>
            <w:webHidden/>
          </w:rPr>
          <w:fldChar w:fldCharType="end"/>
        </w:r>
      </w:hyperlink>
    </w:p>
    <w:p w14:paraId="01C806F6" w14:textId="356D69D5" w:rsidR="00B43FD4" w:rsidRDefault="00E80268">
      <w:pPr>
        <w:pStyle w:val="TOC1"/>
        <w:rPr>
          <w:rFonts w:asciiTheme="minorHAnsi" w:eastAsiaTheme="minorEastAsia" w:hAnsiTheme="minorHAnsi" w:cstheme="minorBidi"/>
          <w:b w:val="0"/>
          <w:spacing w:val="0"/>
          <w:sz w:val="22"/>
          <w:szCs w:val="22"/>
        </w:rPr>
      </w:pPr>
      <w:hyperlink w:anchor="_Toc85119222" w:history="1">
        <w:r w:rsidR="00B43FD4" w:rsidRPr="00FC1B8A">
          <w:rPr>
            <w:rStyle w:val="Hyperlink"/>
          </w:rPr>
          <w:t>Issues for comment</w:t>
        </w:r>
        <w:r w:rsidR="00B43FD4">
          <w:rPr>
            <w:webHidden/>
          </w:rPr>
          <w:tab/>
        </w:r>
        <w:r w:rsidR="00B43FD4">
          <w:rPr>
            <w:webHidden/>
          </w:rPr>
          <w:fldChar w:fldCharType="begin"/>
        </w:r>
        <w:r w:rsidR="00B43FD4">
          <w:rPr>
            <w:webHidden/>
          </w:rPr>
          <w:instrText xml:space="preserve"> PAGEREF _Toc85119222 \h </w:instrText>
        </w:r>
        <w:r w:rsidR="00B43FD4">
          <w:rPr>
            <w:webHidden/>
          </w:rPr>
        </w:r>
        <w:r w:rsidR="00B43FD4">
          <w:rPr>
            <w:webHidden/>
          </w:rPr>
          <w:fldChar w:fldCharType="separate"/>
        </w:r>
        <w:r w:rsidR="00B43FD4">
          <w:rPr>
            <w:webHidden/>
          </w:rPr>
          <w:t>2</w:t>
        </w:r>
        <w:r w:rsidR="00B43FD4">
          <w:rPr>
            <w:webHidden/>
          </w:rPr>
          <w:fldChar w:fldCharType="end"/>
        </w:r>
      </w:hyperlink>
    </w:p>
    <w:p w14:paraId="71BFCD4D" w14:textId="5A899FFF" w:rsidR="00B43FD4" w:rsidRDefault="00E80268">
      <w:pPr>
        <w:pStyle w:val="TOC2"/>
        <w:rPr>
          <w:rFonts w:asciiTheme="minorHAnsi" w:eastAsiaTheme="minorEastAsia" w:hAnsiTheme="minorHAnsi" w:cstheme="minorBidi"/>
          <w:spacing w:val="0"/>
          <w:sz w:val="22"/>
          <w:szCs w:val="22"/>
        </w:rPr>
      </w:pPr>
      <w:hyperlink w:anchor="_Toc85119223" w:history="1">
        <w:r w:rsidR="00B43FD4" w:rsidRPr="00FC1B8A">
          <w:rPr>
            <w:rStyle w:val="Hyperlink"/>
          </w:rPr>
          <w:t>Lower 6 GHz band/proposed update to the LIPD Class Licence</w:t>
        </w:r>
        <w:r w:rsidR="00B43FD4">
          <w:rPr>
            <w:webHidden/>
          </w:rPr>
          <w:tab/>
        </w:r>
        <w:r w:rsidR="00B43FD4">
          <w:rPr>
            <w:webHidden/>
          </w:rPr>
          <w:fldChar w:fldCharType="begin"/>
        </w:r>
        <w:r w:rsidR="00B43FD4">
          <w:rPr>
            <w:webHidden/>
          </w:rPr>
          <w:instrText xml:space="preserve"> PAGEREF _Toc85119223 \h </w:instrText>
        </w:r>
        <w:r w:rsidR="00B43FD4">
          <w:rPr>
            <w:webHidden/>
          </w:rPr>
        </w:r>
        <w:r w:rsidR="00B43FD4">
          <w:rPr>
            <w:webHidden/>
          </w:rPr>
          <w:fldChar w:fldCharType="separate"/>
        </w:r>
        <w:r w:rsidR="00B43FD4">
          <w:rPr>
            <w:webHidden/>
          </w:rPr>
          <w:t>2</w:t>
        </w:r>
        <w:r w:rsidR="00B43FD4">
          <w:rPr>
            <w:webHidden/>
          </w:rPr>
          <w:fldChar w:fldCharType="end"/>
        </w:r>
      </w:hyperlink>
    </w:p>
    <w:p w14:paraId="6633FD2E" w14:textId="2CA8D799" w:rsidR="00B43FD4" w:rsidRDefault="00E80268">
      <w:pPr>
        <w:pStyle w:val="TOC2"/>
        <w:rPr>
          <w:rFonts w:asciiTheme="minorHAnsi" w:eastAsiaTheme="minorEastAsia" w:hAnsiTheme="minorHAnsi" w:cstheme="minorBidi"/>
          <w:spacing w:val="0"/>
          <w:sz w:val="22"/>
          <w:szCs w:val="22"/>
        </w:rPr>
      </w:pPr>
      <w:hyperlink w:anchor="_Toc85119224" w:history="1">
        <w:r w:rsidR="00B43FD4" w:rsidRPr="00FC1B8A">
          <w:rPr>
            <w:rStyle w:val="Hyperlink"/>
          </w:rPr>
          <w:t>Upper 6 GHz band/higher power RLAN devices</w:t>
        </w:r>
        <w:r w:rsidR="00B43FD4">
          <w:rPr>
            <w:webHidden/>
          </w:rPr>
          <w:tab/>
        </w:r>
        <w:r w:rsidR="00B43FD4">
          <w:rPr>
            <w:webHidden/>
          </w:rPr>
          <w:fldChar w:fldCharType="begin"/>
        </w:r>
        <w:r w:rsidR="00B43FD4">
          <w:rPr>
            <w:webHidden/>
          </w:rPr>
          <w:instrText xml:space="preserve"> PAGEREF _Toc85119224 \h </w:instrText>
        </w:r>
        <w:r w:rsidR="00B43FD4">
          <w:rPr>
            <w:webHidden/>
          </w:rPr>
        </w:r>
        <w:r w:rsidR="00B43FD4">
          <w:rPr>
            <w:webHidden/>
          </w:rPr>
          <w:fldChar w:fldCharType="separate"/>
        </w:r>
        <w:r w:rsidR="00B43FD4">
          <w:rPr>
            <w:webHidden/>
          </w:rPr>
          <w:t>2</w:t>
        </w:r>
        <w:r w:rsidR="00B43FD4">
          <w:rPr>
            <w:webHidden/>
          </w:rPr>
          <w:fldChar w:fldCharType="end"/>
        </w:r>
      </w:hyperlink>
    </w:p>
    <w:p w14:paraId="7384C85E" w14:textId="3DE15F0F" w:rsidR="00B43FD4" w:rsidRDefault="00E80268">
      <w:pPr>
        <w:pStyle w:val="TOC2"/>
        <w:rPr>
          <w:rFonts w:asciiTheme="minorHAnsi" w:eastAsiaTheme="minorEastAsia" w:hAnsiTheme="minorHAnsi" w:cstheme="minorBidi"/>
          <w:spacing w:val="0"/>
          <w:sz w:val="22"/>
          <w:szCs w:val="22"/>
        </w:rPr>
      </w:pPr>
      <w:hyperlink w:anchor="_Toc85119225" w:history="1">
        <w:r w:rsidR="00B43FD4" w:rsidRPr="00FC1B8A">
          <w:rPr>
            <w:rStyle w:val="Hyperlink"/>
          </w:rPr>
          <w:t>5 GHz band</w:t>
        </w:r>
        <w:r w:rsidR="00B43FD4">
          <w:rPr>
            <w:webHidden/>
          </w:rPr>
          <w:tab/>
        </w:r>
        <w:r w:rsidR="00B43FD4">
          <w:rPr>
            <w:webHidden/>
          </w:rPr>
          <w:fldChar w:fldCharType="begin"/>
        </w:r>
        <w:r w:rsidR="00B43FD4">
          <w:rPr>
            <w:webHidden/>
          </w:rPr>
          <w:instrText xml:space="preserve"> PAGEREF _Toc85119225 \h </w:instrText>
        </w:r>
        <w:r w:rsidR="00B43FD4">
          <w:rPr>
            <w:webHidden/>
          </w:rPr>
        </w:r>
        <w:r w:rsidR="00B43FD4">
          <w:rPr>
            <w:webHidden/>
          </w:rPr>
          <w:fldChar w:fldCharType="separate"/>
        </w:r>
        <w:r w:rsidR="00B43FD4">
          <w:rPr>
            <w:webHidden/>
          </w:rPr>
          <w:t>3</w:t>
        </w:r>
        <w:r w:rsidR="00B43FD4">
          <w:rPr>
            <w:webHidden/>
          </w:rPr>
          <w:fldChar w:fldCharType="end"/>
        </w:r>
      </w:hyperlink>
    </w:p>
    <w:p w14:paraId="4807A540" w14:textId="6BF0174B" w:rsidR="00B43FD4" w:rsidRDefault="00E80268">
      <w:pPr>
        <w:pStyle w:val="TOC1"/>
        <w:rPr>
          <w:rFonts w:asciiTheme="minorHAnsi" w:eastAsiaTheme="minorEastAsia" w:hAnsiTheme="minorHAnsi" w:cstheme="minorBidi"/>
          <w:b w:val="0"/>
          <w:spacing w:val="0"/>
          <w:sz w:val="22"/>
          <w:szCs w:val="22"/>
        </w:rPr>
      </w:pPr>
      <w:hyperlink w:anchor="_Toc85119226" w:history="1">
        <w:r w:rsidR="00B43FD4" w:rsidRPr="00FC1B8A">
          <w:rPr>
            <w:rStyle w:val="Hyperlink"/>
          </w:rPr>
          <w:t>Introduction</w:t>
        </w:r>
        <w:r w:rsidR="00B43FD4">
          <w:rPr>
            <w:webHidden/>
          </w:rPr>
          <w:tab/>
        </w:r>
        <w:r w:rsidR="00B43FD4">
          <w:rPr>
            <w:webHidden/>
          </w:rPr>
          <w:fldChar w:fldCharType="begin"/>
        </w:r>
        <w:r w:rsidR="00B43FD4">
          <w:rPr>
            <w:webHidden/>
          </w:rPr>
          <w:instrText xml:space="preserve"> PAGEREF _Toc85119226 \h </w:instrText>
        </w:r>
        <w:r w:rsidR="00B43FD4">
          <w:rPr>
            <w:webHidden/>
          </w:rPr>
        </w:r>
        <w:r w:rsidR="00B43FD4">
          <w:rPr>
            <w:webHidden/>
          </w:rPr>
          <w:fldChar w:fldCharType="separate"/>
        </w:r>
        <w:r w:rsidR="00B43FD4">
          <w:rPr>
            <w:webHidden/>
          </w:rPr>
          <w:t>4</w:t>
        </w:r>
        <w:r w:rsidR="00B43FD4">
          <w:rPr>
            <w:webHidden/>
          </w:rPr>
          <w:fldChar w:fldCharType="end"/>
        </w:r>
      </w:hyperlink>
    </w:p>
    <w:p w14:paraId="685B5FB0" w14:textId="1B703FC3" w:rsidR="00B43FD4" w:rsidRDefault="00E80268">
      <w:pPr>
        <w:pStyle w:val="TOC1"/>
        <w:rPr>
          <w:rFonts w:asciiTheme="minorHAnsi" w:eastAsiaTheme="minorEastAsia" w:hAnsiTheme="minorHAnsi" w:cstheme="minorBidi"/>
          <w:b w:val="0"/>
          <w:spacing w:val="0"/>
          <w:sz w:val="22"/>
          <w:szCs w:val="22"/>
        </w:rPr>
      </w:pPr>
      <w:hyperlink w:anchor="_Toc85119227" w:history="1">
        <w:r w:rsidR="00B43FD4" w:rsidRPr="00FC1B8A">
          <w:rPr>
            <w:rStyle w:val="Hyperlink"/>
          </w:rPr>
          <w:t>Previous consultation</w:t>
        </w:r>
        <w:r w:rsidR="00B43FD4">
          <w:rPr>
            <w:webHidden/>
          </w:rPr>
          <w:tab/>
        </w:r>
        <w:r w:rsidR="00B43FD4">
          <w:rPr>
            <w:webHidden/>
          </w:rPr>
          <w:fldChar w:fldCharType="begin"/>
        </w:r>
        <w:r w:rsidR="00B43FD4">
          <w:rPr>
            <w:webHidden/>
          </w:rPr>
          <w:instrText xml:space="preserve"> PAGEREF _Toc85119227 \h </w:instrText>
        </w:r>
        <w:r w:rsidR="00B43FD4">
          <w:rPr>
            <w:webHidden/>
          </w:rPr>
        </w:r>
        <w:r w:rsidR="00B43FD4">
          <w:rPr>
            <w:webHidden/>
          </w:rPr>
          <w:fldChar w:fldCharType="separate"/>
        </w:r>
        <w:r w:rsidR="00B43FD4">
          <w:rPr>
            <w:webHidden/>
          </w:rPr>
          <w:t>5</w:t>
        </w:r>
        <w:r w:rsidR="00B43FD4">
          <w:rPr>
            <w:webHidden/>
          </w:rPr>
          <w:fldChar w:fldCharType="end"/>
        </w:r>
      </w:hyperlink>
    </w:p>
    <w:p w14:paraId="1472E22B" w14:textId="2B4795FD" w:rsidR="00B43FD4" w:rsidRDefault="00E80268">
      <w:pPr>
        <w:pStyle w:val="TOC2"/>
        <w:rPr>
          <w:rFonts w:asciiTheme="minorHAnsi" w:eastAsiaTheme="minorEastAsia" w:hAnsiTheme="minorHAnsi" w:cstheme="minorBidi"/>
          <w:spacing w:val="0"/>
          <w:sz w:val="22"/>
          <w:szCs w:val="22"/>
        </w:rPr>
      </w:pPr>
      <w:hyperlink w:anchor="_Toc85119228" w:history="1">
        <w:r w:rsidR="00B43FD4" w:rsidRPr="00FC1B8A">
          <w:rPr>
            <w:rStyle w:val="Hyperlink"/>
          </w:rPr>
          <w:t>Summary of submissions</w:t>
        </w:r>
        <w:r w:rsidR="00B43FD4">
          <w:rPr>
            <w:webHidden/>
          </w:rPr>
          <w:tab/>
        </w:r>
        <w:r w:rsidR="00B43FD4">
          <w:rPr>
            <w:webHidden/>
          </w:rPr>
          <w:fldChar w:fldCharType="begin"/>
        </w:r>
        <w:r w:rsidR="00B43FD4">
          <w:rPr>
            <w:webHidden/>
          </w:rPr>
          <w:instrText xml:space="preserve"> PAGEREF _Toc85119228 \h </w:instrText>
        </w:r>
        <w:r w:rsidR="00B43FD4">
          <w:rPr>
            <w:webHidden/>
          </w:rPr>
        </w:r>
        <w:r w:rsidR="00B43FD4">
          <w:rPr>
            <w:webHidden/>
          </w:rPr>
          <w:fldChar w:fldCharType="separate"/>
        </w:r>
        <w:r w:rsidR="00B43FD4">
          <w:rPr>
            <w:webHidden/>
          </w:rPr>
          <w:t>5</w:t>
        </w:r>
        <w:r w:rsidR="00B43FD4">
          <w:rPr>
            <w:webHidden/>
          </w:rPr>
          <w:fldChar w:fldCharType="end"/>
        </w:r>
      </w:hyperlink>
    </w:p>
    <w:p w14:paraId="165B4F6F" w14:textId="045741F1" w:rsidR="00B43FD4" w:rsidRDefault="00E80268">
      <w:pPr>
        <w:pStyle w:val="TOC2"/>
        <w:rPr>
          <w:rFonts w:asciiTheme="minorHAnsi" w:eastAsiaTheme="minorEastAsia" w:hAnsiTheme="minorHAnsi" w:cstheme="minorBidi"/>
          <w:spacing w:val="0"/>
          <w:sz w:val="22"/>
          <w:szCs w:val="22"/>
        </w:rPr>
      </w:pPr>
      <w:hyperlink w:anchor="_Toc85119229" w:history="1">
        <w:r w:rsidR="00B43FD4" w:rsidRPr="00FC1B8A">
          <w:rPr>
            <w:rStyle w:val="Hyperlink"/>
          </w:rPr>
          <w:t>Case for action</w:t>
        </w:r>
        <w:r w:rsidR="00B43FD4">
          <w:rPr>
            <w:webHidden/>
          </w:rPr>
          <w:tab/>
        </w:r>
        <w:r w:rsidR="00B43FD4">
          <w:rPr>
            <w:webHidden/>
          </w:rPr>
          <w:fldChar w:fldCharType="begin"/>
        </w:r>
        <w:r w:rsidR="00B43FD4">
          <w:rPr>
            <w:webHidden/>
          </w:rPr>
          <w:instrText xml:space="preserve"> PAGEREF _Toc85119229 \h </w:instrText>
        </w:r>
        <w:r w:rsidR="00B43FD4">
          <w:rPr>
            <w:webHidden/>
          </w:rPr>
        </w:r>
        <w:r w:rsidR="00B43FD4">
          <w:rPr>
            <w:webHidden/>
          </w:rPr>
          <w:fldChar w:fldCharType="separate"/>
        </w:r>
        <w:r w:rsidR="00B43FD4">
          <w:rPr>
            <w:webHidden/>
          </w:rPr>
          <w:t>8</w:t>
        </w:r>
        <w:r w:rsidR="00B43FD4">
          <w:rPr>
            <w:webHidden/>
          </w:rPr>
          <w:fldChar w:fldCharType="end"/>
        </w:r>
      </w:hyperlink>
    </w:p>
    <w:p w14:paraId="48031790" w14:textId="7FB7EA98" w:rsidR="00B43FD4" w:rsidRDefault="00E80268">
      <w:pPr>
        <w:pStyle w:val="TOC1"/>
        <w:rPr>
          <w:rFonts w:asciiTheme="minorHAnsi" w:eastAsiaTheme="minorEastAsia" w:hAnsiTheme="minorHAnsi" w:cstheme="minorBidi"/>
          <w:b w:val="0"/>
          <w:spacing w:val="0"/>
          <w:sz w:val="22"/>
          <w:szCs w:val="22"/>
        </w:rPr>
      </w:pPr>
      <w:hyperlink w:anchor="_Toc85119230" w:history="1">
        <w:r w:rsidR="00B43FD4" w:rsidRPr="00FC1B8A">
          <w:rPr>
            <w:rStyle w:val="Hyperlink"/>
          </w:rPr>
          <w:t>Lower 6 GHz band</w:t>
        </w:r>
        <w:r w:rsidR="00B43FD4">
          <w:rPr>
            <w:webHidden/>
          </w:rPr>
          <w:tab/>
        </w:r>
        <w:r w:rsidR="00B43FD4">
          <w:rPr>
            <w:webHidden/>
          </w:rPr>
          <w:fldChar w:fldCharType="begin"/>
        </w:r>
        <w:r w:rsidR="00B43FD4">
          <w:rPr>
            <w:webHidden/>
          </w:rPr>
          <w:instrText xml:space="preserve"> PAGEREF _Toc85119230 \h </w:instrText>
        </w:r>
        <w:r w:rsidR="00B43FD4">
          <w:rPr>
            <w:webHidden/>
          </w:rPr>
        </w:r>
        <w:r w:rsidR="00B43FD4">
          <w:rPr>
            <w:webHidden/>
          </w:rPr>
          <w:fldChar w:fldCharType="separate"/>
        </w:r>
        <w:r w:rsidR="00B43FD4">
          <w:rPr>
            <w:webHidden/>
          </w:rPr>
          <w:t>9</w:t>
        </w:r>
        <w:r w:rsidR="00B43FD4">
          <w:rPr>
            <w:webHidden/>
          </w:rPr>
          <w:fldChar w:fldCharType="end"/>
        </w:r>
      </w:hyperlink>
    </w:p>
    <w:p w14:paraId="39ABB8AB" w14:textId="10C82E52" w:rsidR="00B43FD4" w:rsidRDefault="00E80268">
      <w:pPr>
        <w:pStyle w:val="TOC2"/>
        <w:rPr>
          <w:rFonts w:asciiTheme="minorHAnsi" w:eastAsiaTheme="minorEastAsia" w:hAnsiTheme="minorHAnsi" w:cstheme="minorBidi"/>
          <w:spacing w:val="0"/>
          <w:sz w:val="22"/>
          <w:szCs w:val="22"/>
        </w:rPr>
      </w:pPr>
      <w:hyperlink w:anchor="_Toc85119231" w:history="1">
        <w:r w:rsidR="00B43FD4" w:rsidRPr="00FC1B8A">
          <w:rPr>
            <w:rStyle w:val="Hyperlink"/>
          </w:rPr>
          <w:t>Initial proposal and responses</w:t>
        </w:r>
        <w:r w:rsidR="00B43FD4">
          <w:rPr>
            <w:webHidden/>
          </w:rPr>
          <w:tab/>
        </w:r>
        <w:r w:rsidR="00B43FD4">
          <w:rPr>
            <w:webHidden/>
          </w:rPr>
          <w:fldChar w:fldCharType="begin"/>
        </w:r>
        <w:r w:rsidR="00B43FD4">
          <w:rPr>
            <w:webHidden/>
          </w:rPr>
          <w:instrText xml:space="preserve"> PAGEREF _Toc85119231 \h </w:instrText>
        </w:r>
        <w:r w:rsidR="00B43FD4">
          <w:rPr>
            <w:webHidden/>
          </w:rPr>
        </w:r>
        <w:r w:rsidR="00B43FD4">
          <w:rPr>
            <w:webHidden/>
          </w:rPr>
          <w:fldChar w:fldCharType="separate"/>
        </w:r>
        <w:r w:rsidR="00B43FD4">
          <w:rPr>
            <w:webHidden/>
          </w:rPr>
          <w:t>9</w:t>
        </w:r>
        <w:r w:rsidR="00B43FD4">
          <w:rPr>
            <w:webHidden/>
          </w:rPr>
          <w:fldChar w:fldCharType="end"/>
        </w:r>
      </w:hyperlink>
    </w:p>
    <w:p w14:paraId="0BD84B4C" w14:textId="4B14F68D" w:rsidR="00B43FD4" w:rsidRDefault="00E80268">
      <w:pPr>
        <w:pStyle w:val="TOC2"/>
        <w:rPr>
          <w:rFonts w:asciiTheme="minorHAnsi" w:eastAsiaTheme="minorEastAsia" w:hAnsiTheme="minorHAnsi" w:cstheme="minorBidi"/>
          <w:spacing w:val="0"/>
          <w:sz w:val="22"/>
          <w:szCs w:val="22"/>
        </w:rPr>
      </w:pPr>
      <w:hyperlink w:anchor="_Toc85119232" w:history="1">
        <w:r w:rsidR="00B43FD4" w:rsidRPr="00FC1B8A">
          <w:rPr>
            <w:rStyle w:val="Hyperlink"/>
          </w:rPr>
          <w:t>Response to submissions</w:t>
        </w:r>
        <w:r w:rsidR="00B43FD4">
          <w:rPr>
            <w:webHidden/>
          </w:rPr>
          <w:tab/>
        </w:r>
        <w:r w:rsidR="00B43FD4">
          <w:rPr>
            <w:webHidden/>
          </w:rPr>
          <w:fldChar w:fldCharType="begin"/>
        </w:r>
        <w:r w:rsidR="00B43FD4">
          <w:rPr>
            <w:webHidden/>
          </w:rPr>
          <w:instrText xml:space="preserve"> PAGEREF _Toc85119232 \h </w:instrText>
        </w:r>
        <w:r w:rsidR="00B43FD4">
          <w:rPr>
            <w:webHidden/>
          </w:rPr>
        </w:r>
        <w:r w:rsidR="00B43FD4">
          <w:rPr>
            <w:webHidden/>
          </w:rPr>
          <w:fldChar w:fldCharType="separate"/>
        </w:r>
        <w:r w:rsidR="00B43FD4">
          <w:rPr>
            <w:webHidden/>
          </w:rPr>
          <w:t>9</w:t>
        </w:r>
        <w:r w:rsidR="00B43FD4">
          <w:rPr>
            <w:webHidden/>
          </w:rPr>
          <w:fldChar w:fldCharType="end"/>
        </w:r>
      </w:hyperlink>
    </w:p>
    <w:p w14:paraId="03CD478E" w14:textId="3A70BE52" w:rsidR="00B43FD4" w:rsidRDefault="00E80268">
      <w:pPr>
        <w:pStyle w:val="TOC2"/>
        <w:rPr>
          <w:rFonts w:asciiTheme="minorHAnsi" w:eastAsiaTheme="minorEastAsia" w:hAnsiTheme="minorHAnsi" w:cstheme="minorBidi"/>
          <w:spacing w:val="0"/>
          <w:sz w:val="22"/>
          <w:szCs w:val="22"/>
        </w:rPr>
      </w:pPr>
      <w:hyperlink w:anchor="_Toc85119233" w:history="1">
        <w:r w:rsidR="00B43FD4" w:rsidRPr="00FC1B8A">
          <w:rPr>
            <w:rStyle w:val="Hyperlink"/>
          </w:rPr>
          <w:t>Technologies other than wi-fi</w:t>
        </w:r>
        <w:r w:rsidR="00B43FD4">
          <w:rPr>
            <w:webHidden/>
          </w:rPr>
          <w:tab/>
        </w:r>
        <w:r w:rsidR="00B43FD4">
          <w:rPr>
            <w:webHidden/>
          </w:rPr>
          <w:fldChar w:fldCharType="begin"/>
        </w:r>
        <w:r w:rsidR="00B43FD4">
          <w:rPr>
            <w:webHidden/>
          </w:rPr>
          <w:instrText xml:space="preserve"> PAGEREF _Toc85119233 \h </w:instrText>
        </w:r>
        <w:r w:rsidR="00B43FD4">
          <w:rPr>
            <w:webHidden/>
          </w:rPr>
        </w:r>
        <w:r w:rsidR="00B43FD4">
          <w:rPr>
            <w:webHidden/>
          </w:rPr>
          <w:fldChar w:fldCharType="separate"/>
        </w:r>
        <w:r w:rsidR="00B43FD4">
          <w:rPr>
            <w:webHidden/>
          </w:rPr>
          <w:t>12</w:t>
        </w:r>
        <w:r w:rsidR="00B43FD4">
          <w:rPr>
            <w:webHidden/>
          </w:rPr>
          <w:fldChar w:fldCharType="end"/>
        </w:r>
      </w:hyperlink>
    </w:p>
    <w:p w14:paraId="753EB4C0" w14:textId="633D0E65" w:rsidR="00B43FD4" w:rsidRDefault="00E80268">
      <w:pPr>
        <w:pStyle w:val="TOC1"/>
        <w:rPr>
          <w:rFonts w:asciiTheme="minorHAnsi" w:eastAsiaTheme="minorEastAsia" w:hAnsiTheme="minorHAnsi" w:cstheme="minorBidi"/>
          <w:b w:val="0"/>
          <w:spacing w:val="0"/>
          <w:sz w:val="22"/>
          <w:szCs w:val="22"/>
        </w:rPr>
      </w:pPr>
      <w:hyperlink w:anchor="_Toc85119234" w:history="1">
        <w:r w:rsidR="00B43FD4" w:rsidRPr="00FC1B8A">
          <w:rPr>
            <w:rStyle w:val="Hyperlink"/>
          </w:rPr>
          <w:t>Proposed updates to the LIPD Class Licence</w:t>
        </w:r>
        <w:r w:rsidR="00B43FD4">
          <w:rPr>
            <w:webHidden/>
          </w:rPr>
          <w:tab/>
        </w:r>
        <w:r w:rsidR="00B43FD4">
          <w:rPr>
            <w:webHidden/>
          </w:rPr>
          <w:fldChar w:fldCharType="begin"/>
        </w:r>
        <w:r w:rsidR="00B43FD4">
          <w:rPr>
            <w:webHidden/>
          </w:rPr>
          <w:instrText xml:space="preserve"> PAGEREF _Toc85119234 \h </w:instrText>
        </w:r>
        <w:r w:rsidR="00B43FD4">
          <w:rPr>
            <w:webHidden/>
          </w:rPr>
        </w:r>
        <w:r w:rsidR="00B43FD4">
          <w:rPr>
            <w:webHidden/>
          </w:rPr>
          <w:fldChar w:fldCharType="separate"/>
        </w:r>
        <w:r w:rsidR="00B43FD4">
          <w:rPr>
            <w:webHidden/>
          </w:rPr>
          <w:t>14</w:t>
        </w:r>
        <w:r w:rsidR="00B43FD4">
          <w:rPr>
            <w:webHidden/>
          </w:rPr>
          <w:fldChar w:fldCharType="end"/>
        </w:r>
      </w:hyperlink>
    </w:p>
    <w:p w14:paraId="01A9235D" w14:textId="3936BF46" w:rsidR="00B43FD4" w:rsidRDefault="00E80268">
      <w:pPr>
        <w:pStyle w:val="TOC2"/>
        <w:rPr>
          <w:rFonts w:asciiTheme="minorHAnsi" w:eastAsiaTheme="minorEastAsia" w:hAnsiTheme="minorHAnsi" w:cstheme="minorBidi"/>
          <w:spacing w:val="0"/>
          <w:sz w:val="22"/>
          <w:szCs w:val="22"/>
        </w:rPr>
      </w:pPr>
      <w:hyperlink w:anchor="_Toc85119235" w:history="1">
        <w:r w:rsidR="00B43FD4" w:rsidRPr="00FC1B8A">
          <w:rPr>
            <w:rStyle w:val="Hyperlink"/>
          </w:rPr>
          <w:t>New items</w:t>
        </w:r>
        <w:r w:rsidR="00B43FD4">
          <w:rPr>
            <w:webHidden/>
          </w:rPr>
          <w:tab/>
        </w:r>
        <w:r w:rsidR="00B43FD4">
          <w:rPr>
            <w:webHidden/>
          </w:rPr>
          <w:fldChar w:fldCharType="begin"/>
        </w:r>
        <w:r w:rsidR="00B43FD4">
          <w:rPr>
            <w:webHidden/>
          </w:rPr>
          <w:instrText xml:space="preserve"> PAGEREF _Toc85119235 \h </w:instrText>
        </w:r>
        <w:r w:rsidR="00B43FD4">
          <w:rPr>
            <w:webHidden/>
          </w:rPr>
        </w:r>
        <w:r w:rsidR="00B43FD4">
          <w:rPr>
            <w:webHidden/>
          </w:rPr>
          <w:fldChar w:fldCharType="separate"/>
        </w:r>
        <w:r w:rsidR="00B43FD4">
          <w:rPr>
            <w:webHidden/>
          </w:rPr>
          <w:t>14</w:t>
        </w:r>
        <w:r w:rsidR="00B43FD4">
          <w:rPr>
            <w:webHidden/>
          </w:rPr>
          <w:fldChar w:fldCharType="end"/>
        </w:r>
      </w:hyperlink>
    </w:p>
    <w:p w14:paraId="50BE52C4" w14:textId="3648EC68" w:rsidR="00B43FD4" w:rsidRDefault="00E80268">
      <w:pPr>
        <w:pStyle w:val="TOC2"/>
        <w:rPr>
          <w:rFonts w:asciiTheme="minorHAnsi" w:eastAsiaTheme="minorEastAsia" w:hAnsiTheme="minorHAnsi" w:cstheme="minorBidi"/>
          <w:spacing w:val="0"/>
          <w:sz w:val="22"/>
          <w:szCs w:val="22"/>
        </w:rPr>
      </w:pPr>
      <w:hyperlink w:anchor="_Toc85119236" w:history="1">
        <w:r w:rsidR="00B43FD4" w:rsidRPr="00FC1B8A">
          <w:rPr>
            <w:rStyle w:val="Hyperlink"/>
          </w:rPr>
          <w:t>Updated items</w:t>
        </w:r>
        <w:r w:rsidR="00B43FD4">
          <w:rPr>
            <w:webHidden/>
          </w:rPr>
          <w:tab/>
        </w:r>
        <w:r w:rsidR="00B43FD4">
          <w:rPr>
            <w:webHidden/>
          </w:rPr>
          <w:fldChar w:fldCharType="begin"/>
        </w:r>
        <w:r w:rsidR="00B43FD4">
          <w:rPr>
            <w:webHidden/>
          </w:rPr>
          <w:instrText xml:space="preserve"> PAGEREF _Toc85119236 \h </w:instrText>
        </w:r>
        <w:r w:rsidR="00B43FD4">
          <w:rPr>
            <w:webHidden/>
          </w:rPr>
        </w:r>
        <w:r w:rsidR="00B43FD4">
          <w:rPr>
            <w:webHidden/>
          </w:rPr>
          <w:fldChar w:fldCharType="separate"/>
        </w:r>
        <w:r w:rsidR="00B43FD4">
          <w:rPr>
            <w:webHidden/>
          </w:rPr>
          <w:t>15</w:t>
        </w:r>
        <w:r w:rsidR="00B43FD4">
          <w:rPr>
            <w:webHidden/>
          </w:rPr>
          <w:fldChar w:fldCharType="end"/>
        </w:r>
      </w:hyperlink>
    </w:p>
    <w:p w14:paraId="307A1AF2" w14:textId="4F3E72D6" w:rsidR="00B43FD4" w:rsidRDefault="00E80268">
      <w:pPr>
        <w:pStyle w:val="TOC1"/>
        <w:rPr>
          <w:rFonts w:asciiTheme="minorHAnsi" w:eastAsiaTheme="minorEastAsia" w:hAnsiTheme="minorHAnsi" w:cstheme="minorBidi"/>
          <w:b w:val="0"/>
          <w:spacing w:val="0"/>
          <w:sz w:val="22"/>
          <w:szCs w:val="22"/>
        </w:rPr>
      </w:pPr>
      <w:hyperlink w:anchor="_Toc85119237" w:history="1">
        <w:r w:rsidR="00B43FD4" w:rsidRPr="00FC1B8A">
          <w:rPr>
            <w:rStyle w:val="Hyperlink"/>
          </w:rPr>
          <w:t>Further considerations for the upper 6 GHz band and higher power devices</w:t>
        </w:r>
        <w:r w:rsidR="00B43FD4">
          <w:rPr>
            <w:webHidden/>
          </w:rPr>
          <w:tab/>
        </w:r>
        <w:r w:rsidR="00B43FD4">
          <w:rPr>
            <w:webHidden/>
          </w:rPr>
          <w:fldChar w:fldCharType="begin"/>
        </w:r>
        <w:r w:rsidR="00B43FD4">
          <w:rPr>
            <w:webHidden/>
          </w:rPr>
          <w:instrText xml:space="preserve"> PAGEREF _Toc85119237 \h </w:instrText>
        </w:r>
        <w:r w:rsidR="00B43FD4">
          <w:rPr>
            <w:webHidden/>
          </w:rPr>
        </w:r>
        <w:r w:rsidR="00B43FD4">
          <w:rPr>
            <w:webHidden/>
          </w:rPr>
          <w:fldChar w:fldCharType="separate"/>
        </w:r>
        <w:r w:rsidR="00B43FD4">
          <w:rPr>
            <w:webHidden/>
          </w:rPr>
          <w:t>17</w:t>
        </w:r>
        <w:r w:rsidR="00B43FD4">
          <w:rPr>
            <w:webHidden/>
          </w:rPr>
          <w:fldChar w:fldCharType="end"/>
        </w:r>
      </w:hyperlink>
    </w:p>
    <w:p w14:paraId="576890E0" w14:textId="3F5366A0" w:rsidR="00B43FD4" w:rsidRDefault="00E80268">
      <w:pPr>
        <w:pStyle w:val="TOC2"/>
        <w:rPr>
          <w:rFonts w:asciiTheme="minorHAnsi" w:eastAsiaTheme="minorEastAsia" w:hAnsiTheme="minorHAnsi" w:cstheme="minorBidi"/>
          <w:spacing w:val="0"/>
          <w:sz w:val="22"/>
          <w:szCs w:val="22"/>
        </w:rPr>
      </w:pPr>
      <w:hyperlink w:anchor="_Toc85119238" w:history="1">
        <w:r w:rsidR="00B43FD4" w:rsidRPr="00FC1B8A">
          <w:rPr>
            <w:rStyle w:val="Hyperlink"/>
          </w:rPr>
          <w:t>IMT in the upper 6 GHz band</w:t>
        </w:r>
        <w:r w:rsidR="00B43FD4">
          <w:rPr>
            <w:webHidden/>
          </w:rPr>
          <w:tab/>
        </w:r>
        <w:r w:rsidR="00B43FD4">
          <w:rPr>
            <w:webHidden/>
          </w:rPr>
          <w:fldChar w:fldCharType="begin"/>
        </w:r>
        <w:r w:rsidR="00B43FD4">
          <w:rPr>
            <w:webHidden/>
          </w:rPr>
          <w:instrText xml:space="preserve"> PAGEREF _Toc85119238 \h </w:instrText>
        </w:r>
        <w:r w:rsidR="00B43FD4">
          <w:rPr>
            <w:webHidden/>
          </w:rPr>
        </w:r>
        <w:r w:rsidR="00B43FD4">
          <w:rPr>
            <w:webHidden/>
          </w:rPr>
          <w:fldChar w:fldCharType="separate"/>
        </w:r>
        <w:r w:rsidR="00B43FD4">
          <w:rPr>
            <w:webHidden/>
          </w:rPr>
          <w:t>17</w:t>
        </w:r>
        <w:r w:rsidR="00B43FD4">
          <w:rPr>
            <w:webHidden/>
          </w:rPr>
          <w:fldChar w:fldCharType="end"/>
        </w:r>
      </w:hyperlink>
    </w:p>
    <w:p w14:paraId="618ACED8" w14:textId="127DCC62" w:rsidR="00B43FD4" w:rsidRDefault="00E80268">
      <w:pPr>
        <w:pStyle w:val="TOC2"/>
        <w:rPr>
          <w:rFonts w:asciiTheme="minorHAnsi" w:eastAsiaTheme="minorEastAsia" w:hAnsiTheme="minorHAnsi" w:cstheme="minorBidi"/>
          <w:spacing w:val="0"/>
          <w:sz w:val="22"/>
          <w:szCs w:val="22"/>
        </w:rPr>
      </w:pPr>
      <w:hyperlink w:anchor="_Toc85119239" w:history="1">
        <w:r w:rsidR="00B43FD4" w:rsidRPr="00FC1B8A">
          <w:rPr>
            <w:rStyle w:val="Hyperlink"/>
          </w:rPr>
          <w:t>High power RLANs</w:t>
        </w:r>
        <w:r w:rsidR="00B43FD4">
          <w:rPr>
            <w:webHidden/>
          </w:rPr>
          <w:tab/>
        </w:r>
        <w:r w:rsidR="00B43FD4">
          <w:rPr>
            <w:webHidden/>
          </w:rPr>
          <w:fldChar w:fldCharType="begin"/>
        </w:r>
        <w:r w:rsidR="00B43FD4">
          <w:rPr>
            <w:webHidden/>
          </w:rPr>
          <w:instrText xml:space="preserve"> PAGEREF _Toc85119239 \h </w:instrText>
        </w:r>
        <w:r w:rsidR="00B43FD4">
          <w:rPr>
            <w:webHidden/>
          </w:rPr>
        </w:r>
        <w:r w:rsidR="00B43FD4">
          <w:rPr>
            <w:webHidden/>
          </w:rPr>
          <w:fldChar w:fldCharType="separate"/>
        </w:r>
        <w:r w:rsidR="00B43FD4">
          <w:rPr>
            <w:webHidden/>
          </w:rPr>
          <w:t>19</w:t>
        </w:r>
        <w:r w:rsidR="00B43FD4">
          <w:rPr>
            <w:webHidden/>
          </w:rPr>
          <w:fldChar w:fldCharType="end"/>
        </w:r>
      </w:hyperlink>
    </w:p>
    <w:p w14:paraId="252E1CC5" w14:textId="4C80E65E" w:rsidR="00B43FD4" w:rsidRDefault="00E80268">
      <w:pPr>
        <w:pStyle w:val="TOC2"/>
        <w:rPr>
          <w:rFonts w:asciiTheme="minorHAnsi" w:eastAsiaTheme="minorEastAsia" w:hAnsiTheme="minorHAnsi" w:cstheme="minorBidi"/>
          <w:spacing w:val="0"/>
          <w:sz w:val="22"/>
          <w:szCs w:val="22"/>
        </w:rPr>
      </w:pPr>
      <w:hyperlink w:anchor="_Toc85119240" w:history="1">
        <w:r w:rsidR="00B43FD4" w:rsidRPr="00FC1B8A">
          <w:rPr>
            <w:rStyle w:val="Hyperlink"/>
          </w:rPr>
          <w:t>Coexistence with incumbent services</w:t>
        </w:r>
        <w:r w:rsidR="00B43FD4">
          <w:rPr>
            <w:webHidden/>
          </w:rPr>
          <w:tab/>
        </w:r>
        <w:r w:rsidR="00B43FD4">
          <w:rPr>
            <w:webHidden/>
          </w:rPr>
          <w:fldChar w:fldCharType="begin"/>
        </w:r>
        <w:r w:rsidR="00B43FD4">
          <w:rPr>
            <w:webHidden/>
          </w:rPr>
          <w:instrText xml:space="preserve"> PAGEREF _Toc85119240 \h </w:instrText>
        </w:r>
        <w:r w:rsidR="00B43FD4">
          <w:rPr>
            <w:webHidden/>
          </w:rPr>
        </w:r>
        <w:r w:rsidR="00B43FD4">
          <w:rPr>
            <w:webHidden/>
          </w:rPr>
          <w:fldChar w:fldCharType="separate"/>
        </w:r>
        <w:r w:rsidR="00B43FD4">
          <w:rPr>
            <w:webHidden/>
          </w:rPr>
          <w:t>20</w:t>
        </w:r>
        <w:r w:rsidR="00B43FD4">
          <w:rPr>
            <w:webHidden/>
          </w:rPr>
          <w:fldChar w:fldCharType="end"/>
        </w:r>
      </w:hyperlink>
    </w:p>
    <w:p w14:paraId="75128569" w14:textId="4DF63B09" w:rsidR="00B43FD4" w:rsidRDefault="00E80268">
      <w:pPr>
        <w:pStyle w:val="TOC2"/>
        <w:rPr>
          <w:rFonts w:asciiTheme="minorHAnsi" w:eastAsiaTheme="minorEastAsia" w:hAnsiTheme="minorHAnsi" w:cstheme="minorBidi"/>
          <w:spacing w:val="0"/>
          <w:sz w:val="22"/>
          <w:szCs w:val="22"/>
        </w:rPr>
      </w:pPr>
      <w:hyperlink w:anchor="_Toc85119241" w:history="1">
        <w:r w:rsidR="00B43FD4" w:rsidRPr="00FC1B8A">
          <w:rPr>
            <w:rStyle w:val="Hyperlink"/>
          </w:rPr>
          <w:t>Issues for comment</w:t>
        </w:r>
        <w:r w:rsidR="00B43FD4">
          <w:rPr>
            <w:webHidden/>
          </w:rPr>
          <w:tab/>
        </w:r>
        <w:r w:rsidR="00B43FD4">
          <w:rPr>
            <w:webHidden/>
          </w:rPr>
          <w:fldChar w:fldCharType="begin"/>
        </w:r>
        <w:r w:rsidR="00B43FD4">
          <w:rPr>
            <w:webHidden/>
          </w:rPr>
          <w:instrText xml:space="preserve"> PAGEREF _Toc85119241 \h </w:instrText>
        </w:r>
        <w:r w:rsidR="00B43FD4">
          <w:rPr>
            <w:webHidden/>
          </w:rPr>
        </w:r>
        <w:r w:rsidR="00B43FD4">
          <w:rPr>
            <w:webHidden/>
          </w:rPr>
          <w:fldChar w:fldCharType="separate"/>
        </w:r>
        <w:r w:rsidR="00B43FD4">
          <w:rPr>
            <w:webHidden/>
          </w:rPr>
          <w:t>20</w:t>
        </w:r>
        <w:r w:rsidR="00B43FD4">
          <w:rPr>
            <w:webHidden/>
          </w:rPr>
          <w:fldChar w:fldCharType="end"/>
        </w:r>
      </w:hyperlink>
    </w:p>
    <w:p w14:paraId="6294F0CC" w14:textId="0D87770C" w:rsidR="00B43FD4" w:rsidRDefault="00E80268">
      <w:pPr>
        <w:pStyle w:val="TOC1"/>
        <w:rPr>
          <w:rFonts w:asciiTheme="minorHAnsi" w:eastAsiaTheme="minorEastAsia" w:hAnsiTheme="minorHAnsi" w:cstheme="minorBidi"/>
          <w:b w:val="0"/>
          <w:spacing w:val="0"/>
          <w:sz w:val="22"/>
          <w:szCs w:val="22"/>
        </w:rPr>
      </w:pPr>
      <w:hyperlink w:anchor="_Toc85119242" w:history="1">
        <w:r w:rsidR="00B43FD4" w:rsidRPr="00FC1B8A">
          <w:rPr>
            <w:rStyle w:val="Hyperlink"/>
          </w:rPr>
          <w:t>Further considerations for the 5 GHz band</w:t>
        </w:r>
        <w:r w:rsidR="00B43FD4">
          <w:rPr>
            <w:webHidden/>
          </w:rPr>
          <w:tab/>
        </w:r>
        <w:r w:rsidR="00B43FD4">
          <w:rPr>
            <w:webHidden/>
          </w:rPr>
          <w:fldChar w:fldCharType="begin"/>
        </w:r>
        <w:r w:rsidR="00B43FD4">
          <w:rPr>
            <w:webHidden/>
          </w:rPr>
          <w:instrText xml:space="preserve"> PAGEREF _Toc85119242 \h </w:instrText>
        </w:r>
        <w:r w:rsidR="00B43FD4">
          <w:rPr>
            <w:webHidden/>
          </w:rPr>
        </w:r>
        <w:r w:rsidR="00B43FD4">
          <w:rPr>
            <w:webHidden/>
          </w:rPr>
          <w:fldChar w:fldCharType="separate"/>
        </w:r>
        <w:r w:rsidR="00B43FD4">
          <w:rPr>
            <w:webHidden/>
          </w:rPr>
          <w:t>22</w:t>
        </w:r>
        <w:r w:rsidR="00B43FD4">
          <w:rPr>
            <w:webHidden/>
          </w:rPr>
          <w:fldChar w:fldCharType="end"/>
        </w:r>
      </w:hyperlink>
    </w:p>
    <w:p w14:paraId="06E6B26E" w14:textId="2932BCA0" w:rsidR="00B43FD4" w:rsidRDefault="00E80268">
      <w:pPr>
        <w:pStyle w:val="TOC1"/>
        <w:rPr>
          <w:rFonts w:asciiTheme="minorHAnsi" w:eastAsiaTheme="minorEastAsia" w:hAnsiTheme="minorHAnsi" w:cstheme="minorBidi"/>
          <w:b w:val="0"/>
          <w:spacing w:val="0"/>
          <w:sz w:val="22"/>
          <w:szCs w:val="22"/>
        </w:rPr>
      </w:pPr>
      <w:hyperlink w:anchor="_Toc85119243" w:history="1">
        <w:r w:rsidR="00B43FD4" w:rsidRPr="00FC1B8A">
          <w:rPr>
            <w:rStyle w:val="Hyperlink"/>
          </w:rPr>
          <w:t>Invitation to comment</w:t>
        </w:r>
        <w:r w:rsidR="00B43FD4">
          <w:rPr>
            <w:webHidden/>
          </w:rPr>
          <w:tab/>
        </w:r>
        <w:r w:rsidR="00B43FD4">
          <w:rPr>
            <w:webHidden/>
          </w:rPr>
          <w:fldChar w:fldCharType="begin"/>
        </w:r>
        <w:r w:rsidR="00B43FD4">
          <w:rPr>
            <w:webHidden/>
          </w:rPr>
          <w:instrText xml:space="preserve"> PAGEREF _Toc85119243 \h </w:instrText>
        </w:r>
        <w:r w:rsidR="00B43FD4">
          <w:rPr>
            <w:webHidden/>
          </w:rPr>
        </w:r>
        <w:r w:rsidR="00B43FD4">
          <w:rPr>
            <w:webHidden/>
          </w:rPr>
          <w:fldChar w:fldCharType="separate"/>
        </w:r>
        <w:r w:rsidR="00B43FD4">
          <w:rPr>
            <w:webHidden/>
          </w:rPr>
          <w:t>23</w:t>
        </w:r>
        <w:r w:rsidR="00B43FD4">
          <w:rPr>
            <w:webHidden/>
          </w:rPr>
          <w:fldChar w:fldCharType="end"/>
        </w:r>
      </w:hyperlink>
    </w:p>
    <w:p w14:paraId="5B57E426" w14:textId="235DD459" w:rsidR="00B43FD4" w:rsidRDefault="00E80268">
      <w:pPr>
        <w:pStyle w:val="TOC2"/>
        <w:rPr>
          <w:rFonts w:asciiTheme="minorHAnsi" w:eastAsiaTheme="minorEastAsia" w:hAnsiTheme="minorHAnsi" w:cstheme="minorBidi"/>
          <w:spacing w:val="0"/>
          <w:sz w:val="22"/>
          <w:szCs w:val="22"/>
        </w:rPr>
      </w:pPr>
      <w:hyperlink w:anchor="_Toc85119244" w:history="1">
        <w:r w:rsidR="00B43FD4" w:rsidRPr="00FC1B8A">
          <w:rPr>
            <w:rStyle w:val="Hyperlink"/>
          </w:rPr>
          <w:t>Making a submission</w:t>
        </w:r>
        <w:r w:rsidR="00B43FD4">
          <w:rPr>
            <w:webHidden/>
          </w:rPr>
          <w:tab/>
        </w:r>
        <w:r w:rsidR="00B43FD4">
          <w:rPr>
            <w:webHidden/>
          </w:rPr>
          <w:fldChar w:fldCharType="begin"/>
        </w:r>
        <w:r w:rsidR="00B43FD4">
          <w:rPr>
            <w:webHidden/>
          </w:rPr>
          <w:instrText xml:space="preserve"> PAGEREF _Toc85119244 \h </w:instrText>
        </w:r>
        <w:r w:rsidR="00B43FD4">
          <w:rPr>
            <w:webHidden/>
          </w:rPr>
        </w:r>
        <w:r w:rsidR="00B43FD4">
          <w:rPr>
            <w:webHidden/>
          </w:rPr>
          <w:fldChar w:fldCharType="separate"/>
        </w:r>
        <w:r w:rsidR="00B43FD4">
          <w:rPr>
            <w:webHidden/>
          </w:rPr>
          <w:t>23</w:t>
        </w:r>
        <w:r w:rsidR="00B43FD4">
          <w:rPr>
            <w:webHidden/>
          </w:rPr>
          <w:fldChar w:fldCharType="end"/>
        </w:r>
      </w:hyperlink>
    </w:p>
    <w:p w14:paraId="6A2BBAA4" w14:textId="55D87CDD" w:rsidR="004D56FF" w:rsidRPr="000D76E0" w:rsidRDefault="006A3ECF">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noProof/>
          <w:spacing w:val="-14"/>
          <w:sz w:val="28"/>
        </w:rPr>
        <w:fldChar w:fldCharType="end"/>
      </w:r>
    </w:p>
    <w:p w14:paraId="2AA41EF7" w14:textId="77777777" w:rsidR="009D6C71" w:rsidRPr="009174F3" w:rsidRDefault="009D6C71" w:rsidP="009174F3">
      <w:pPr>
        <w:pStyle w:val="Execsummaryheading"/>
      </w:pPr>
      <w:bookmarkStart w:id="1" w:name="_Toc85119221"/>
      <w:r w:rsidRPr="009174F3">
        <w:lastRenderedPageBreak/>
        <w:t>Executive summary</w:t>
      </w:r>
      <w:bookmarkEnd w:id="1"/>
    </w:p>
    <w:p w14:paraId="356620B6" w14:textId="49C0A558" w:rsidR="00F2318D" w:rsidRDefault="008A5B4D" w:rsidP="00C93571">
      <w:bookmarkStart w:id="2" w:name="_Toc433122125"/>
      <w:r>
        <w:t xml:space="preserve">Following a </w:t>
      </w:r>
      <w:hyperlink r:id="rId24" w:history="1">
        <w:r w:rsidR="00D84B62">
          <w:rPr>
            <w:rStyle w:val="Hyperlink"/>
          </w:rPr>
          <w:t>consultation</w:t>
        </w:r>
      </w:hyperlink>
      <w:r>
        <w:t xml:space="preserve"> </w:t>
      </w:r>
      <w:r w:rsidR="00F2318D">
        <w:t xml:space="preserve">by the ACMA in April 2021 (the April 2021 consultation paper) </w:t>
      </w:r>
      <w:r>
        <w:t xml:space="preserve">on the possible use of radio local area network (RLAN) devices in the </w:t>
      </w:r>
      <w:r w:rsidR="00C93571">
        <w:t>5925</w:t>
      </w:r>
      <w:r w:rsidR="00D84B62">
        <w:t>–</w:t>
      </w:r>
      <w:r w:rsidR="00C93571">
        <w:t xml:space="preserve">7125 MHz band (the </w:t>
      </w:r>
      <w:r>
        <w:t>6 GHz band</w:t>
      </w:r>
      <w:r w:rsidR="00C93571">
        <w:t>)</w:t>
      </w:r>
      <w:r>
        <w:t xml:space="preserve">, we are proposing to update the </w:t>
      </w:r>
      <w:r w:rsidR="004C3C95" w:rsidRPr="005C0C8C">
        <w:t>Radiocommunications (Low Interference Potential Devices) Class Licence 2015</w:t>
      </w:r>
      <w:r w:rsidR="004C3C95">
        <w:t xml:space="preserve"> (LIPD Class Licence) </w:t>
      </w:r>
      <w:r>
        <w:t xml:space="preserve">to </w:t>
      </w:r>
      <w:r w:rsidR="00C93571">
        <w:t xml:space="preserve">authorise </w:t>
      </w:r>
      <w:r>
        <w:t xml:space="preserve">use of </w:t>
      </w:r>
      <w:r w:rsidR="00C93571">
        <w:t>RLANs</w:t>
      </w:r>
      <w:r>
        <w:t xml:space="preserve"> in the range 5925–6425 MHz (the lower 6 GHz band)</w:t>
      </w:r>
      <w:r w:rsidR="00C93571">
        <w:t>.</w:t>
      </w:r>
      <w:r w:rsidDel="00C93571">
        <w:t xml:space="preserve"> </w:t>
      </w:r>
      <w:r>
        <w:t xml:space="preserve">These </w:t>
      </w:r>
      <w:r w:rsidR="00F2318D">
        <w:t xml:space="preserve">proposed </w:t>
      </w:r>
      <w:r w:rsidR="00C93571">
        <w:t>new</w:t>
      </w:r>
      <w:r w:rsidRPr="00597E37" w:rsidDel="00C93571">
        <w:t xml:space="preserve"> </w:t>
      </w:r>
      <w:r w:rsidR="00F2318D">
        <w:t xml:space="preserve">LIPD </w:t>
      </w:r>
      <w:r w:rsidR="002B2D3A">
        <w:t xml:space="preserve">Class Licence </w:t>
      </w:r>
      <w:r w:rsidR="00C93571">
        <w:t>arrangements</w:t>
      </w:r>
      <w:r w:rsidR="00C93571" w:rsidRPr="00597E37">
        <w:t xml:space="preserve"> </w:t>
      </w:r>
      <w:r w:rsidR="006C5135">
        <w:t xml:space="preserve">for low power indoor and very low power devices </w:t>
      </w:r>
      <w:r w:rsidRPr="00597E37">
        <w:t xml:space="preserve">were </w:t>
      </w:r>
      <w:r w:rsidR="0000355C">
        <w:t>set out</w:t>
      </w:r>
      <w:r w:rsidR="0000355C" w:rsidRPr="00597E37">
        <w:t xml:space="preserve"> </w:t>
      </w:r>
      <w:r w:rsidRPr="00597E37">
        <w:t xml:space="preserve">in </w:t>
      </w:r>
      <w:r w:rsidR="00F2318D">
        <w:t>the April 2021 consultation paper</w:t>
      </w:r>
      <w:r w:rsidRPr="00597E37">
        <w:t xml:space="preserve">, </w:t>
      </w:r>
      <w:r w:rsidR="00F2318D">
        <w:t>with industry</w:t>
      </w:r>
      <w:r w:rsidR="00F2318D" w:rsidRPr="00597E37">
        <w:t xml:space="preserve"> </w:t>
      </w:r>
      <w:r w:rsidRPr="00597E37">
        <w:t xml:space="preserve">responses </w:t>
      </w:r>
      <w:r w:rsidR="00C93571">
        <w:t>either support</w:t>
      </w:r>
      <w:r w:rsidR="00F2318D">
        <w:t>ing or not opposing</w:t>
      </w:r>
      <w:r w:rsidRPr="00597E37">
        <w:t xml:space="preserve"> the</w:t>
      </w:r>
      <w:r w:rsidR="00C93571">
        <w:t>m</w:t>
      </w:r>
      <w:r w:rsidRPr="00597E37">
        <w:t>.</w:t>
      </w:r>
      <w:r w:rsidR="00C93571" w:rsidRPr="00C93571">
        <w:t xml:space="preserve"> </w:t>
      </w:r>
    </w:p>
    <w:p w14:paraId="2C6C99B4" w14:textId="7C1BA273" w:rsidR="00C93571" w:rsidRDefault="00F2318D" w:rsidP="00C93571">
      <w:r>
        <w:t xml:space="preserve">If implemented, these changes to the LIPD </w:t>
      </w:r>
      <w:r w:rsidR="004C3C95">
        <w:t xml:space="preserve">Class </w:t>
      </w:r>
      <w:r w:rsidR="00B1643C">
        <w:t>L</w:t>
      </w:r>
      <w:r w:rsidR="004C3C95">
        <w:t xml:space="preserve">icence </w:t>
      </w:r>
      <w:r>
        <w:t>w</w:t>
      </w:r>
      <w:r w:rsidR="004F1428">
        <w:t>ill</w:t>
      </w:r>
      <w:r>
        <w:t xml:space="preserve"> make</w:t>
      </w:r>
      <w:r w:rsidR="00C93571" w:rsidRPr="00597E37">
        <w:t xml:space="preserve"> the 500 MHz </w:t>
      </w:r>
      <w:r>
        <w:t>of the lower 6</w:t>
      </w:r>
      <w:r w:rsidR="00F553C3">
        <w:t> </w:t>
      </w:r>
      <w:r>
        <w:t xml:space="preserve">GHz band </w:t>
      </w:r>
      <w:r w:rsidR="00C93571" w:rsidRPr="00597E37">
        <w:t>available for RLANs</w:t>
      </w:r>
      <w:r>
        <w:t xml:space="preserve"> in the near term</w:t>
      </w:r>
      <w:r w:rsidR="00CF4188">
        <w:t xml:space="preserve"> for low power indoors and very low power devices</w:t>
      </w:r>
      <w:r>
        <w:t>. This</w:t>
      </w:r>
      <w:r w:rsidR="00C93571" w:rsidRPr="00597E37">
        <w:t xml:space="preserve"> will provide significant benefits</w:t>
      </w:r>
      <w:r w:rsidR="00C93571">
        <w:t xml:space="preserve"> to consumers and industry alike by enabling access</w:t>
      </w:r>
      <w:r w:rsidR="00C93571" w:rsidRPr="00597E37">
        <w:t xml:space="preserve"> </w:t>
      </w:r>
      <w:r w:rsidR="00C93571">
        <w:t>to</w:t>
      </w:r>
      <w:r w:rsidR="00C93571" w:rsidRPr="00597E37">
        <w:t xml:space="preserve"> the latest technologies in the 6 GHz band</w:t>
      </w:r>
      <w:r w:rsidR="00C93571">
        <w:t xml:space="preserve">, including the </w:t>
      </w:r>
      <w:r w:rsidR="00D84B62">
        <w:t>‘</w:t>
      </w:r>
      <w:r w:rsidR="00C93571">
        <w:t>Wi-Fi 6</w:t>
      </w:r>
      <w:r w:rsidR="00F35F04">
        <w:t>e</w:t>
      </w:r>
      <w:r w:rsidR="00D84B62">
        <w:t>’</w:t>
      </w:r>
      <w:r w:rsidR="00C93571">
        <w:t xml:space="preserve"> suite of RLAN technolog</w:t>
      </w:r>
      <w:r w:rsidR="00CF4188">
        <w:t>ies.</w:t>
      </w:r>
      <w:r w:rsidR="00AE166E">
        <w:t xml:space="preserve"> These technologies will represent a step </w:t>
      </w:r>
      <w:r w:rsidR="0041658B">
        <w:t>up</w:t>
      </w:r>
      <w:r w:rsidR="00AE166E">
        <w:t xml:space="preserve"> in local wireless delivery through significant latency reduction</w:t>
      </w:r>
      <w:r w:rsidR="00F35F04">
        <w:t>, increased speed</w:t>
      </w:r>
      <w:r w:rsidR="00AE166E">
        <w:t xml:space="preserve"> and </w:t>
      </w:r>
      <w:r w:rsidR="00F35F04">
        <w:t>greater</w:t>
      </w:r>
      <w:r w:rsidR="00AE166E">
        <w:t xml:space="preserve"> capacity, which will partially or fully address the </w:t>
      </w:r>
      <w:r w:rsidR="00D84B62">
        <w:t>‘</w:t>
      </w:r>
      <w:r w:rsidR="00AE166E">
        <w:t>weakest link</w:t>
      </w:r>
      <w:r w:rsidR="00D84B62">
        <w:t>’</w:t>
      </w:r>
      <w:r w:rsidR="00AE166E">
        <w:t xml:space="preserve"> problem of terminal-end wi-fi choking the significant capacity that can be delivered by modern wired (</w:t>
      </w:r>
      <w:r w:rsidR="00D84B62">
        <w:t>for example</w:t>
      </w:r>
      <w:r w:rsidR="007B1F56">
        <w:t>,</w:t>
      </w:r>
      <w:r w:rsidR="00AE166E">
        <w:t xml:space="preserve"> fibre) broadband networks.</w:t>
      </w:r>
    </w:p>
    <w:p w14:paraId="63737CDC" w14:textId="2F916AC9" w:rsidR="00F2318D" w:rsidRDefault="00F2318D" w:rsidP="003253EE">
      <w:r>
        <w:t>R</w:t>
      </w:r>
      <w:r w:rsidR="008A5B4D" w:rsidRPr="00597E37">
        <w:t xml:space="preserve">esponses to </w:t>
      </w:r>
      <w:r w:rsidR="004F1428">
        <w:t xml:space="preserve">the </w:t>
      </w:r>
      <w:r>
        <w:t>April 2021 c</w:t>
      </w:r>
      <w:r w:rsidR="008A5B4D" w:rsidRPr="00597E37">
        <w:t>onsultation</w:t>
      </w:r>
      <w:r>
        <w:t xml:space="preserve"> paper</w:t>
      </w:r>
      <w:r w:rsidR="008A5B4D" w:rsidRPr="00597E37">
        <w:t xml:space="preserve"> </w:t>
      </w:r>
      <w:r>
        <w:t>provided</w:t>
      </w:r>
      <w:r w:rsidRPr="00597E37">
        <w:t xml:space="preserve"> </w:t>
      </w:r>
      <w:r w:rsidR="008A5B4D" w:rsidRPr="00597E37">
        <w:t xml:space="preserve">mixed </w:t>
      </w:r>
      <w:r w:rsidR="00C93571">
        <w:t>views</w:t>
      </w:r>
      <w:r w:rsidR="00C93571" w:rsidRPr="00597E37">
        <w:t xml:space="preserve"> </w:t>
      </w:r>
      <w:r w:rsidR="008A5B4D" w:rsidRPr="00597E37" w:rsidDel="00C93571">
        <w:t xml:space="preserve">on the use of the 6425–7125 MHz frequency range (the upper 6 GHz band). </w:t>
      </w:r>
      <w:r>
        <w:t xml:space="preserve">While the ACMA is </w:t>
      </w:r>
      <w:r w:rsidR="004F1428">
        <w:t>open to investi</w:t>
      </w:r>
      <w:r w:rsidR="00DB2F91">
        <w:t>gati</w:t>
      </w:r>
      <w:r w:rsidR="004F1428">
        <w:t xml:space="preserve">ng </w:t>
      </w:r>
      <w:r>
        <w:t>further opportunities for RLAN</w:t>
      </w:r>
      <w:r w:rsidR="004F1428">
        <w:t xml:space="preserve"> use </w:t>
      </w:r>
      <w:r>
        <w:t xml:space="preserve">in the upper 6 GHz band, we are not proposing changes to the LIPD </w:t>
      </w:r>
      <w:r w:rsidR="004C3C95">
        <w:t xml:space="preserve">Class Licence </w:t>
      </w:r>
      <w:r>
        <w:t>to support such use at this time. Rather</w:t>
      </w:r>
      <w:r w:rsidR="008807BE">
        <w:t>,</w:t>
      </w:r>
      <w:r>
        <w:t xml:space="preserve"> t</w:t>
      </w:r>
      <w:r w:rsidR="00597E37" w:rsidRPr="00597E37">
        <w:t xml:space="preserve">his paper </w:t>
      </w:r>
      <w:r w:rsidR="001D7990">
        <w:t xml:space="preserve">seeks </w:t>
      </w:r>
      <w:r w:rsidR="004F1428">
        <w:t xml:space="preserve">comment </w:t>
      </w:r>
      <w:r w:rsidR="001D7990">
        <w:t>on</w:t>
      </w:r>
      <w:r w:rsidR="00597E37" w:rsidRPr="00597E37">
        <w:t xml:space="preserve"> </w:t>
      </w:r>
      <w:r w:rsidR="004F1428">
        <w:t xml:space="preserve">a set of </w:t>
      </w:r>
      <w:r w:rsidR="00597E37" w:rsidRPr="00597E37">
        <w:t>more detail</w:t>
      </w:r>
      <w:r w:rsidR="00C93571">
        <w:t>ed options for</w:t>
      </w:r>
      <w:r w:rsidR="00597E37" w:rsidRPr="00597E37">
        <w:t xml:space="preserve"> </w:t>
      </w:r>
      <w:r w:rsidR="001D7990">
        <w:t xml:space="preserve">the </w:t>
      </w:r>
      <w:r w:rsidR="00597E37" w:rsidRPr="00597E37">
        <w:t xml:space="preserve">possible use of the </w:t>
      </w:r>
      <w:r w:rsidR="00C93571">
        <w:t xml:space="preserve">upper </w:t>
      </w:r>
      <w:r w:rsidR="00597E37" w:rsidRPr="00597E37">
        <w:t>6 GHz band</w:t>
      </w:r>
      <w:r w:rsidR="00AE166E">
        <w:t xml:space="preserve">, in terms of </w:t>
      </w:r>
      <w:bookmarkStart w:id="3" w:name="_Hlk85120122"/>
      <w:r w:rsidR="00AE166E">
        <w:t>potential services that might be accommodated</w:t>
      </w:r>
      <w:r w:rsidR="00D84B62">
        <w:t>,</w:t>
      </w:r>
      <w:r w:rsidR="00AE166E">
        <w:t xml:space="preserve"> and technical constraints or access management systems</w:t>
      </w:r>
      <w:bookmarkEnd w:id="3"/>
      <w:r w:rsidR="00AE166E">
        <w:t xml:space="preserve"> </w:t>
      </w:r>
      <w:r w:rsidR="004F1428">
        <w:t xml:space="preserve">that </w:t>
      </w:r>
      <w:r w:rsidR="00AE166E">
        <w:t>might be</w:t>
      </w:r>
      <w:r w:rsidR="004F1428">
        <w:t xml:space="preserve"> useful</w:t>
      </w:r>
      <w:r w:rsidR="00AE166E">
        <w:t xml:space="preserve">. </w:t>
      </w:r>
    </w:p>
    <w:p w14:paraId="09606D49" w14:textId="0A52F076" w:rsidR="006C5135" w:rsidRDefault="006C5135" w:rsidP="003253EE">
      <w:r>
        <w:t>Similarly, there was interest in arrangements to support higher power ‘standard power’ devices across the entire 6</w:t>
      </w:r>
      <w:r w:rsidR="004C3C95">
        <w:t> </w:t>
      </w:r>
      <w:r>
        <w:t>GHz band</w:t>
      </w:r>
      <w:r w:rsidR="00D84B62">
        <w:t>,</w:t>
      </w:r>
      <w:r w:rsidRPr="009A42F8">
        <w:t xml:space="preserve"> with some accompanying measures mandated to mitigate interference potential</w:t>
      </w:r>
      <w:r>
        <w:t xml:space="preserve">. </w:t>
      </w:r>
      <w:r w:rsidR="00F35F04">
        <w:t>Whi</w:t>
      </w:r>
      <w:r w:rsidR="004F1428">
        <w:t>le</w:t>
      </w:r>
      <w:r w:rsidR="00F35F04">
        <w:t xml:space="preserve"> not adopting arrangement</w:t>
      </w:r>
      <w:r w:rsidR="00B3313B">
        <w:t>s</w:t>
      </w:r>
      <w:r w:rsidR="00F35F04">
        <w:t xml:space="preserve"> supporting these devices now, </w:t>
      </w:r>
      <w:r w:rsidR="00404963">
        <w:t>we are</w:t>
      </w:r>
      <w:r w:rsidR="00F35F04">
        <w:t xml:space="preserve"> </w:t>
      </w:r>
      <w:r w:rsidR="004F1428">
        <w:t xml:space="preserve">seeking further comment to inform future consideration. </w:t>
      </w:r>
    </w:p>
    <w:p w14:paraId="2202FA0A" w14:textId="1521ACD1" w:rsidR="001D7990" w:rsidRDefault="00F2318D" w:rsidP="003253EE">
      <w:r>
        <w:t>The April 2021 consultation paper</w:t>
      </w:r>
      <w:r w:rsidR="00C93571">
        <w:t xml:space="preserve"> </w:t>
      </w:r>
      <w:r>
        <w:t xml:space="preserve">also discussed possible </w:t>
      </w:r>
      <w:r w:rsidR="001D7990">
        <w:t xml:space="preserve">updates to existing </w:t>
      </w:r>
      <w:r>
        <w:t xml:space="preserve">LIPD </w:t>
      </w:r>
      <w:r w:rsidR="001D7990">
        <w:t>arrangements</w:t>
      </w:r>
      <w:r>
        <w:t xml:space="preserve"> for RLANs</w:t>
      </w:r>
      <w:r w:rsidR="001D7990">
        <w:t xml:space="preserve"> in the 5</w:t>
      </w:r>
      <w:r w:rsidR="003267C7">
        <w:t>150–5250 MHz</w:t>
      </w:r>
      <w:r w:rsidR="00F553C3">
        <w:t xml:space="preserve"> </w:t>
      </w:r>
      <w:r w:rsidR="003267C7">
        <w:t>frequency band</w:t>
      </w:r>
      <w:r w:rsidR="00CF4188">
        <w:t xml:space="preserve"> to reflect outcomes of WRC-19</w:t>
      </w:r>
      <w:r>
        <w:t xml:space="preserve">. </w:t>
      </w:r>
      <w:r w:rsidR="007B1F56">
        <w:t>Just as with</w:t>
      </w:r>
      <w:r>
        <w:t xml:space="preserve"> the upper 6</w:t>
      </w:r>
      <w:r w:rsidR="00F553C3">
        <w:t> </w:t>
      </w:r>
      <w:r>
        <w:t xml:space="preserve">GHz band, </w:t>
      </w:r>
      <w:r w:rsidR="00CF4188">
        <w:t>we are</w:t>
      </w:r>
      <w:r w:rsidR="007B1F56">
        <w:t xml:space="preserve"> </w:t>
      </w:r>
      <w:r w:rsidR="00CF4188">
        <w:t xml:space="preserve">not proposing changes to the LIPD </w:t>
      </w:r>
      <w:r w:rsidR="00843C55">
        <w:t>C</w:t>
      </w:r>
      <w:r w:rsidR="004C3C95">
        <w:t xml:space="preserve">lass </w:t>
      </w:r>
      <w:r w:rsidR="00843C55">
        <w:t>L</w:t>
      </w:r>
      <w:r w:rsidR="004C3C95">
        <w:t xml:space="preserve">icence </w:t>
      </w:r>
      <w:r w:rsidR="00CF4188">
        <w:t xml:space="preserve">to support </w:t>
      </w:r>
      <w:r w:rsidR="00404963">
        <w:t xml:space="preserve">these </w:t>
      </w:r>
      <w:r w:rsidR="00CF4188">
        <w:t xml:space="preserve">changes at this time. </w:t>
      </w:r>
    </w:p>
    <w:p w14:paraId="247FC58C" w14:textId="27339BD5" w:rsidR="00F2318D" w:rsidRDefault="00404963" w:rsidP="003253EE">
      <w:r>
        <w:t xml:space="preserve">We are </w:t>
      </w:r>
      <w:r w:rsidR="00F2318D">
        <w:t xml:space="preserve">also taking the </w:t>
      </w:r>
      <w:r w:rsidR="00CF4188">
        <w:t>opportunity</w:t>
      </w:r>
      <w:r w:rsidR="00F2318D">
        <w:t xml:space="preserve"> to address </w:t>
      </w:r>
      <w:r>
        <w:t xml:space="preserve">2 </w:t>
      </w:r>
      <w:r w:rsidR="0035437E">
        <w:t xml:space="preserve">typographical </w:t>
      </w:r>
      <w:r w:rsidR="00F2318D">
        <w:t>error</w:t>
      </w:r>
      <w:r w:rsidR="00844BE4">
        <w:t>s</w:t>
      </w:r>
      <w:r w:rsidR="00F2318D">
        <w:t xml:space="preserve"> in the current LIPD </w:t>
      </w:r>
      <w:r w:rsidR="00844BE4">
        <w:t xml:space="preserve">Class Licence </w:t>
      </w:r>
      <w:r w:rsidR="00F2318D">
        <w:t xml:space="preserve">regarding the </w:t>
      </w:r>
      <w:r w:rsidR="00844BE4">
        <w:t xml:space="preserve">41–44 MHz and </w:t>
      </w:r>
      <w:r w:rsidR="00F2318D">
        <w:t>928</w:t>
      </w:r>
      <w:r>
        <w:t>–</w:t>
      </w:r>
      <w:r w:rsidR="00F2318D">
        <w:t>935</w:t>
      </w:r>
      <w:r w:rsidR="0079542A">
        <w:t> </w:t>
      </w:r>
      <w:r w:rsidR="00F2318D">
        <w:t>MHz band</w:t>
      </w:r>
      <w:r w:rsidR="00844BE4">
        <w:t>s</w:t>
      </w:r>
      <w:r w:rsidR="00F2318D">
        <w:t xml:space="preserve">. </w:t>
      </w:r>
    </w:p>
    <w:p w14:paraId="1E514CBA" w14:textId="0A42D3B6" w:rsidR="00DA314A" w:rsidRDefault="00F2318D" w:rsidP="003253EE">
      <w:r>
        <w:t xml:space="preserve">Released with this paper is </w:t>
      </w:r>
      <w:r w:rsidR="00CF4188">
        <w:t xml:space="preserve">a </w:t>
      </w:r>
      <w:r>
        <w:t>draft variation to the LIPD</w:t>
      </w:r>
      <w:r w:rsidR="00844BE4">
        <w:t xml:space="preserve"> Class Licence</w:t>
      </w:r>
      <w:r w:rsidR="00404963">
        <w:t>. This</w:t>
      </w:r>
      <w:r>
        <w:t xml:space="preserve"> </w:t>
      </w:r>
      <w:r w:rsidR="00404963">
        <w:t xml:space="preserve">reflects </w:t>
      </w:r>
      <w:r>
        <w:t>proposed change</w:t>
      </w:r>
      <w:r w:rsidR="00844BE4">
        <w:t>s</w:t>
      </w:r>
      <w:r>
        <w:t xml:space="preserve"> supporting </w:t>
      </w:r>
      <w:r w:rsidR="00844BE4">
        <w:t xml:space="preserve">the establishment of </w:t>
      </w:r>
      <w:r>
        <w:t>RLANs in the lower 6</w:t>
      </w:r>
      <w:r w:rsidR="00E2342F">
        <w:t> </w:t>
      </w:r>
      <w:r>
        <w:t xml:space="preserve">GHz band and </w:t>
      </w:r>
      <w:r w:rsidR="00404963">
        <w:t xml:space="preserve">addresses </w:t>
      </w:r>
      <w:r>
        <w:t xml:space="preserve">the </w:t>
      </w:r>
      <w:r w:rsidR="0035437E">
        <w:t xml:space="preserve">typographical </w:t>
      </w:r>
      <w:r>
        <w:t>error</w:t>
      </w:r>
      <w:r w:rsidR="00844BE4">
        <w:t>s</w:t>
      </w:r>
      <w:r>
        <w:t xml:space="preserve"> in </w:t>
      </w:r>
      <w:r w:rsidR="00844BE4">
        <w:t xml:space="preserve">the 41–44 MHz and </w:t>
      </w:r>
      <w:r w:rsidR="00CF4188">
        <w:t>928</w:t>
      </w:r>
      <w:r w:rsidR="00404963">
        <w:t>–</w:t>
      </w:r>
      <w:r w:rsidR="00CF4188">
        <w:t>935</w:t>
      </w:r>
      <w:r w:rsidR="00D12556">
        <w:t> </w:t>
      </w:r>
      <w:r w:rsidR="00CF4188">
        <w:t>MHz</w:t>
      </w:r>
      <w:r w:rsidR="00844BE4">
        <w:t xml:space="preserve"> bands</w:t>
      </w:r>
      <w:r w:rsidR="00CF4188">
        <w:t xml:space="preserve">. </w:t>
      </w:r>
      <w:r w:rsidR="00404963">
        <w:t xml:space="preserve">We will consult separately on any further updates to the LIPD </w:t>
      </w:r>
      <w:r w:rsidR="00843C55">
        <w:t>C</w:t>
      </w:r>
      <w:r w:rsidR="00404963">
        <w:t xml:space="preserve">lass </w:t>
      </w:r>
      <w:r w:rsidR="00843C55">
        <w:t>L</w:t>
      </w:r>
      <w:r w:rsidR="00404963">
        <w:t xml:space="preserve">icence, for example, </w:t>
      </w:r>
      <w:r w:rsidR="00CF4188">
        <w:t xml:space="preserve">arrangements in support </w:t>
      </w:r>
      <w:r w:rsidR="00844BE4">
        <w:t xml:space="preserve">of </w:t>
      </w:r>
      <w:r w:rsidR="00CF4188">
        <w:t>RLANs in the upper 6</w:t>
      </w:r>
      <w:r w:rsidR="00F553C3">
        <w:t> </w:t>
      </w:r>
      <w:r w:rsidR="00CF4188">
        <w:t>GHz band or 5</w:t>
      </w:r>
      <w:r w:rsidR="00F553C3">
        <w:t>1</w:t>
      </w:r>
      <w:r w:rsidR="00CF4188">
        <w:t>50</w:t>
      </w:r>
      <w:r w:rsidR="00404963">
        <w:t>–</w:t>
      </w:r>
      <w:r w:rsidR="00CF4188">
        <w:t>5250</w:t>
      </w:r>
      <w:r w:rsidR="00D12556">
        <w:t> </w:t>
      </w:r>
      <w:r w:rsidR="00CF4188">
        <w:t>MHz</w:t>
      </w:r>
      <w:r w:rsidR="00844BE4">
        <w:t xml:space="preserve"> band</w:t>
      </w:r>
      <w:r w:rsidR="00F025B3">
        <w:t>, and/or further changes to operating parameters in the lower 6</w:t>
      </w:r>
      <w:r w:rsidR="00844BE4">
        <w:t> </w:t>
      </w:r>
      <w:r w:rsidR="00F025B3">
        <w:t>GHz band</w:t>
      </w:r>
      <w:r w:rsidR="00404963">
        <w:t>.</w:t>
      </w:r>
      <w:r w:rsidR="00CF4188">
        <w:t xml:space="preserve"> </w:t>
      </w:r>
    </w:p>
    <w:p w14:paraId="6FBF6740" w14:textId="33FC35E0" w:rsidR="00715722" w:rsidRPr="00023A36" w:rsidRDefault="00715722" w:rsidP="00715722">
      <w:pPr>
        <w:pStyle w:val="Heading1"/>
      </w:pPr>
      <w:bookmarkStart w:id="4" w:name="_Toc85119222"/>
      <w:r>
        <w:lastRenderedPageBreak/>
        <w:t>Issue</w:t>
      </w:r>
      <w:r w:rsidRPr="003253EE">
        <w:t>s</w:t>
      </w:r>
      <w:r w:rsidRPr="00023A36">
        <w:t xml:space="preserve"> for comment</w:t>
      </w:r>
      <w:bookmarkEnd w:id="2"/>
      <w:bookmarkEnd w:id="4"/>
    </w:p>
    <w:p w14:paraId="2FA5E99E" w14:textId="6AEFD41B" w:rsidR="00715722" w:rsidRPr="004F5EA3" w:rsidRDefault="00715722" w:rsidP="009A021C">
      <w:pPr>
        <w:pStyle w:val="Paragraphbeforelist"/>
      </w:pPr>
      <w:r w:rsidRPr="004F5EA3">
        <w:t xml:space="preserve">The ACMA invites comments on the </w:t>
      </w:r>
      <w:r w:rsidR="004F5EA3">
        <w:t xml:space="preserve">following </w:t>
      </w:r>
      <w:r w:rsidRPr="004F5EA3">
        <w:t>issues set out in this paper:</w:t>
      </w:r>
    </w:p>
    <w:p w14:paraId="3E0879F2" w14:textId="63BB02EE" w:rsidR="00BE632F" w:rsidRPr="00D12556" w:rsidRDefault="00BE632F" w:rsidP="00D12556">
      <w:pPr>
        <w:pStyle w:val="Heading2"/>
      </w:pPr>
      <w:bookmarkStart w:id="5" w:name="_Toc85119223"/>
      <w:r w:rsidRPr="00D12556">
        <w:t xml:space="preserve">Lower 6 GHz band/proposed update to the LIPD </w:t>
      </w:r>
      <w:r w:rsidR="002B2D3A" w:rsidRPr="00D12556">
        <w:t>C</w:t>
      </w:r>
      <w:r w:rsidRPr="00D12556">
        <w:t xml:space="preserve">lass </w:t>
      </w:r>
      <w:r w:rsidR="002B2D3A" w:rsidRPr="00D12556">
        <w:t>L</w:t>
      </w:r>
      <w:r w:rsidRPr="00D12556">
        <w:t>icence</w:t>
      </w:r>
      <w:bookmarkEnd w:id="5"/>
    </w:p>
    <w:p w14:paraId="19014B4B" w14:textId="1683F15A" w:rsidR="00BE632F" w:rsidRDefault="00BE632F" w:rsidP="009A42F8">
      <w:pPr>
        <w:pStyle w:val="ListNumber"/>
      </w:pPr>
      <w:r>
        <w:t xml:space="preserve">Are the proposed out-of-band emission limits of </w:t>
      </w:r>
      <w:r w:rsidR="0032091D">
        <w:t>-</w:t>
      </w:r>
      <w:r>
        <w:t xml:space="preserve">37 dBm/MHz for </w:t>
      </w:r>
      <w:r w:rsidR="0032091D">
        <w:t>outdoor very low power (VLP) devices and -27 dBm/MHz for low power indoor devices suitable</w:t>
      </w:r>
      <w:r>
        <w:t xml:space="preserve">, both in terms of protecting </w:t>
      </w:r>
      <w:r w:rsidR="00DA314A">
        <w:t>intelligent transport systems (</w:t>
      </w:r>
      <w:r>
        <w:t>ITS</w:t>
      </w:r>
      <w:r w:rsidR="00DA314A">
        <w:t>)</w:t>
      </w:r>
      <w:r>
        <w:t xml:space="preserve"> services and </w:t>
      </w:r>
      <w:r w:rsidR="0032091D">
        <w:t>their</w:t>
      </w:r>
      <w:r>
        <w:t xml:space="preserve"> effect on the operation of RLAN devices near/adjacent to the 5925 MHz boundary</w:t>
      </w:r>
      <w:r w:rsidR="0032091D">
        <w:t>?</w:t>
      </w:r>
    </w:p>
    <w:p w14:paraId="2113541A" w14:textId="4C707FA2" w:rsidR="0032091D" w:rsidRPr="009A42F8" w:rsidRDefault="0032091D" w:rsidP="009A42F8">
      <w:pPr>
        <w:pStyle w:val="ListNumber"/>
      </w:pPr>
      <w:r>
        <w:t xml:space="preserve">Is the specification of contention management protocols in the LIPD </w:t>
      </w:r>
      <w:r w:rsidR="002B2D3A">
        <w:t>C</w:t>
      </w:r>
      <w:r>
        <w:t xml:space="preserve">lass </w:t>
      </w:r>
      <w:r w:rsidR="002B2D3A">
        <w:t>L</w:t>
      </w:r>
      <w:r>
        <w:t>icence necessary to enable equitable access between potentially competing technologies such as RLANs and 5G new radio-unlicenced (NR-U) services?</w:t>
      </w:r>
      <w:r w:rsidR="003E391E">
        <w:t xml:space="preserve"> If so, is the proposed condition, and the language used to express it, appropriate?</w:t>
      </w:r>
    </w:p>
    <w:p w14:paraId="3E3259C8" w14:textId="75FDA480" w:rsidR="00BE632F" w:rsidRDefault="0032091D" w:rsidP="009A42F8">
      <w:pPr>
        <w:pStyle w:val="ListNumber"/>
      </w:pPr>
      <w:r>
        <w:t xml:space="preserve">Are there any broader comments on the proposed update to the LIPD </w:t>
      </w:r>
      <w:r w:rsidR="002B2D3A">
        <w:t>C</w:t>
      </w:r>
      <w:r>
        <w:t xml:space="preserve">lass </w:t>
      </w:r>
      <w:r w:rsidR="002B2D3A">
        <w:t>L</w:t>
      </w:r>
      <w:r>
        <w:t>icence</w:t>
      </w:r>
      <w:r w:rsidR="007B1F56">
        <w:t>?</w:t>
      </w:r>
    </w:p>
    <w:p w14:paraId="196702A0" w14:textId="186C41F9" w:rsidR="00BE632F" w:rsidRPr="009A42F8" w:rsidRDefault="00BE632F" w:rsidP="00D12556">
      <w:pPr>
        <w:pStyle w:val="Heading2"/>
      </w:pPr>
      <w:bookmarkStart w:id="6" w:name="_Toc85119224"/>
      <w:r w:rsidRPr="009A42F8">
        <w:t>Upper 6 GHz band</w:t>
      </w:r>
      <w:r>
        <w:t>/higher power RLAN devices</w:t>
      </w:r>
      <w:bookmarkEnd w:id="6"/>
    </w:p>
    <w:p w14:paraId="1FDC7577" w14:textId="10DB768E" w:rsidR="00BE632F" w:rsidRDefault="00877D44" w:rsidP="00BE632F">
      <w:pPr>
        <w:pStyle w:val="ListNumber"/>
      </w:pPr>
      <w:r w:rsidRPr="00877D44">
        <w:t>Should the ACMA make arrangements that permit high-gain directional antennas (</w:t>
      </w:r>
      <w:r w:rsidR="00611CC0">
        <w:t>for example</w:t>
      </w:r>
      <w:r w:rsidRPr="00877D44">
        <w:t>, f</w:t>
      </w:r>
      <w:r w:rsidRPr="00B1643C">
        <w:t xml:space="preserve">or </w:t>
      </w:r>
      <w:r w:rsidR="00B1643C" w:rsidRPr="00D12556">
        <w:t>wireless internet service providers</w:t>
      </w:r>
      <w:r w:rsidRPr="00877D44">
        <w:t xml:space="preserve"> in remote areas) under a class licensing regime?</w:t>
      </w:r>
    </w:p>
    <w:p w14:paraId="679318B1" w14:textId="377E7E9E" w:rsidR="00BE632F" w:rsidRDefault="00877D44" w:rsidP="00BE632F">
      <w:pPr>
        <w:pStyle w:val="ListNumber"/>
      </w:pPr>
      <w:r w:rsidRPr="00877D44">
        <w:t xml:space="preserve">If </w:t>
      </w:r>
      <w:r w:rsidR="00611CC0">
        <w:t>‘</w:t>
      </w:r>
      <w:r w:rsidRPr="00877D44">
        <w:t>high power</w:t>
      </w:r>
      <w:r w:rsidR="00611CC0">
        <w:t>’</w:t>
      </w:r>
      <w:r w:rsidRPr="00877D44">
        <w:t xml:space="preserve"> class</w:t>
      </w:r>
      <w:r w:rsidR="00611CC0">
        <w:t>-</w:t>
      </w:r>
      <w:r w:rsidRPr="00877D44">
        <w:t>licensed devices were to be introduced under an AFC system, what aspects of the system would need to be considered in setting it up? Is there interest from industry in administering such a system?</w:t>
      </w:r>
    </w:p>
    <w:p w14:paraId="650F3B86" w14:textId="43BE96B8" w:rsidR="001B58A8" w:rsidRDefault="001B58A8" w:rsidP="001B58A8">
      <w:pPr>
        <w:pStyle w:val="ListNumber"/>
      </w:pPr>
      <w:r>
        <w:t xml:space="preserve">If </w:t>
      </w:r>
      <w:r w:rsidR="00611CC0">
        <w:t>‘</w:t>
      </w:r>
      <w:r>
        <w:t>high power</w:t>
      </w:r>
      <w:r w:rsidR="00611CC0">
        <w:t>’</w:t>
      </w:r>
      <w:r>
        <w:t xml:space="preserve"> class</w:t>
      </w:r>
      <w:r w:rsidR="00611CC0">
        <w:t>-</w:t>
      </w:r>
      <w:r>
        <w:t>licensed devices were to be introduced under an AFC system:</w:t>
      </w:r>
    </w:p>
    <w:p w14:paraId="029C4F86" w14:textId="77777777" w:rsidR="000C773D" w:rsidRDefault="000C773D" w:rsidP="000C773D">
      <w:pPr>
        <w:pStyle w:val="Bulletlevel2"/>
      </w:pPr>
      <w:r w:rsidRPr="005D0B7F">
        <w:t>Is there interest from industry in administering such a system?</w:t>
      </w:r>
    </w:p>
    <w:p w14:paraId="41A3747D" w14:textId="77777777" w:rsidR="000C773D" w:rsidRPr="00662C05" w:rsidRDefault="000C773D" w:rsidP="000C773D">
      <w:pPr>
        <w:pStyle w:val="Bulletlevel2"/>
      </w:pPr>
      <w:r w:rsidRPr="00662C05">
        <w:t>Are there any impediments to developing and/or operating a system in Australia? What could be done to help enable, or otherwise encourage, the development and/or operation of a system in Australia?</w:t>
      </w:r>
    </w:p>
    <w:p w14:paraId="36B8AAB7" w14:textId="77777777" w:rsidR="000C773D" w:rsidRPr="005879AE" w:rsidRDefault="000C773D" w:rsidP="000C773D">
      <w:pPr>
        <w:pStyle w:val="Bulletlevel2"/>
      </w:pPr>
      <w:r w:rsidRPr="005879AE">
        <w:t>To what extent would an Australian system need to be aligned with those to be implemented elsewhere? What scope could there be for customisation in an Australian system?</w:t>
      </w:r>
    </w:p>
    <w:p w14:paraId="657A0E03" w14:textId="77777777" w:rsidR="000C773D" w:rsidRPr="009D7612" w:rsidRDefault="000C773D" w:rsidP="000C773D">
      <w:pPr>
        <w:pStyle w:val="Bulletlevel2"/>
      </w:pPr>
      <w:r w:rsidRPr="009D7612">
        <w:t>What aspects of an AFC system would need to be considered in the design, establishment, and ongoing operation, of such a system, including:</w:t>
      </w:r>
    </w:p>
    <w:p w14:paraId="167879A3" w14:textId="77777777" w:rsidR="000C773D" w:rsidRPr="00AB4C56" w:rsidRDefault="000C773D" w:rsidP="000C773D">
      <w:pPr>
        <w:pStyle w:val="Bulletlevel2"/>
        <w:tabs>
          <w:tab w:val="clear" w:pos="845"/>
          <w:tab w:val="num" w:pos="1118"/>
        </w:tabs>
        <w:ind w:left="863"/>
      </w:pPr>
      <w:r>
        <w:t>r</w:t>
      </w:r>
      <w:r w:rsidRPr="00AB4C56">
        <w:t>egulator and industry commitments</w:t>
      </w:r>
    </w:p>
    <w:p w14:paraId="26DF0EF3" w14:textId="77777777" w:rsidR="000C773D" w:rsidRPr="006E5130" w:rsidRDefault="000C773D" w:rsidP="000C773D">
      <w:pPr>
        <w:pStyle w:val="Bulletlevel2"/>
        <w:tabs>
          <w:tab w:val="clear" w:pos="845"/>
          <w:tab w:val="num" w:pos="1118"/>
        </w:tabs>
        <w:ind w:left="863"/>
      </w:pPr>
      <w:r w:rsidRPr="006E5130">
        <w:t>technical spectrum coordination and coexistence rules – for example, a tiered hierarchy framework for spectrum uses</w:t>
      </w:r>
    </w:p>
    <w:p w14:paraId="564D449C" w14:textId="77777777" w:rsidR="000C773D" w:rsidRPr="00EF1DCA" w:rsidRDefault="000C773D" w:rsidP="000C773D">
      <w:pPr>
        <w:pStyle w:val="Bulletlevel2"/>
        <w:tabs>
          <w:tab w:val="clear" w:pos="845"/>
          <w:tab w:val="num" w:pos="1118"/>
        </w:tabs>
        <w:ind w:left="863"/>
      </w:pPr>
      <w:r w:rsidRPr="00EF1DCA">
        <w:t>IT infrastructure and system design, including security and system reliability issues</w:t>
      </w:r>
    </w:p>
    <w:p w14:paraId="6D4E07AF" w14:textId="77777777" w:rsidR="000C773D" w:rsidRPr="00672C2C" w:rsidRDefault="000C773D" w:rsidP="000C773D">
      <w:pPr>
        <w:pStyle w:val="Bulletlevel2"/>
        <w:tabs>
          <w:tab w:val="clear" w:pos="845"/>
          <w:tab w:val="num" w:pos="1118"/>
        </w:tabs>
        <w:ind w:left="863"/>
      </w:pPr>
      <w:r w:rsidRPr="00672C2C">
        <w:t>communication interfaces between an AFC system, the ACMA’s Register of Radiocommunications Licences (RRL) and devices</w:t>
      </w:r>
    </w:p>
    <w:p w14:paraId="6589BDCE" w14:textId="77777777" w:rsidR="000C773D" w:rsidRPr="005D0B7F" w:rsidRDefault="000C773D" w:rsidP="000C773D">
      <w:pPr>
        <w:pStyle w:val="Bulletlevel2"/>
        <w:tabs>
          <w:tab w:val="clear" w:pos="845"/>
          <w:tab w:val="num" w:pos="1118"/>
        </w:tabs>
        <w:ind w:left="863"/>
      </w:pPr>
      <w:r w:rsidRPr="003A2544">
        <w:t>ongoing interaction between the ACMA and system operators</w:t>
      </w:r>
    </w:p>
    <w:p w14:paraId="11271C90" w14:textId="34D8E09D" w:rsidR="00BE632F" w:rsidRDefault="00877D44" w:rsidP="00D12556">
      <w:pPr>
        <w:pStyle w:val="Numberlistlevel1"/>
      </w:pPr>
      <w:r w:rsidRPr="00877D44">
        <w:t xml:space="preserve">If </w:t>
      </w:r>
      <w:r w:rsidR="00611CC0">
        <w:t>‘</w:t>
      </w:r>
      <w:r w:rsidRPr="00877D44">
        <w:t>high power</w:t>
      </w:r>
      <w:r w:rsidR="00611CC0">
        <w:t>’</w:t>
      </w:r>
      <w:r w:rsidRPr="00877D44">
        <w:t xml:space="preserve"> devices were to be introduced under a manual registration process, what might those arrangements look like? Would the introduction of apparatus licensing for such devices </w:t>
      </w:r>
      <w:r w:rsidR="008807BE">
        <w:t xml:space="preserve">be </w:t>
      </w:r>
      <w:r w:rsidRPr="00877D44">
        <w:t>an appropriate option?</w:t>
      </w:r>
    </w:p>
    <w:p w14:paraId="247F871F" w14:textId="1CC479D9" w:rsidR="00BE632F" w:rsidRDefault="00877D44" w:rsidP="00BE632F">
      <w:pPr>
        <w:pStyle w:val="ListNumber"/>
      </w:pPr>
      <w:r w:rsidRPr="00877D44">
        <w:lastRenderedPageBreak/>
        <w:t xml:space="preserve">Would there be advantages </w:t>
      </w:r>
      <w:r w:rsidR="0082604A">
        <w:t>in</w:t>
      </w:r>
      <w:r w:rsidRPr="00877D44">
        <w:t xml:space="preserve"> implementing different licensing and/or access management arrangements in different geographic areas for the use of high power RLAN devices?</w:t>
      </w:r>
    </w:p>
    <w:p w14:paraId="4B6F7CB0" w14:textId="27F2AAEC" w:rsidR="00BE632F" w:rsidRDefault="00877D44" w:rsidP="00D12556">
      <w:pPr>
        <w:pStyle w:val="ListNumber"/>
        <w:spacing w:after="240"/>
      </w:pPr>
      <w:r w:rsidRPr="00877D44">
        <w:t>Are there additional sharing scenarios and/or studies relevant to this band that have not been identified in this paper?</w:t>
      </w:r>
    </w:p>
    <w:p w14:paraId="0F0F5045" w14:textId="0C2BBB50" w:rsidR="00BE632F" w:rsidRPr="009A42F8" w:rsidRDefault="00BE632F" w:rsidP="00D12556">
      <w:pPr>
        <w:pStyle w:val="Heading2"/>
      </w:pPr>
      <w:bookmarkStart w:id="7" w:name="_Toc85119225"/>
      <w:r w:rsidRPr="009A42F8">
        <w:t>5 GHz band</w:t>
      </w:r>
      <w:bookmarkEnd w:id="7"/>
    </w:p>
    <w:p w14:paraId="598722DC" w14:textId="38832ECF" w:rsidR="00BE632F" w:rsidRDefault="00877D44" w:rsidP="00BE632F">
      <w:pPr>
        <w:pStyle w:val="ListNumber"/>
      </w:pPr>
      <w:r w:rsidRPr="00877D44">
        <w:t>In addition to comments made to the April 2021 consultation</w:t>
      </w:r>
      <w:r w:rsidR="00E43117">
        <w:t xml:space="preserve"> paper</w:t>
      </w:r>
      <w:r w:rsidRPr="00877D44">
        <w:t xml:space="preserve">, do you have any comments on the other proposals for updates to the 5 GHz band listed </w:t>
      </w:r>
      <w:r>
        <w:t xml:space="preserve">in </w:t>
      </w:r>
      <w:r w:rsidR="00344661">
        <w:t>this paper</w:t>
      </w:r>
      <w:r w:rsidRPr="00877D44">
        <w:t>?</w:t>
      </w:r>
    </w:p>
    <w:p w14:paraId="305129D0" w14:textId="35DAD3A0" w:rsidR="00BE632F" w:rsidRDefault="00344661" w:rsidP="00BE632F">
      <w:pPr>
        <w:pStyle w:val="ListNumber"/>
      </w:pPr>
      <w:r w:rsidRPr="00344661">
        <w:t xml:space="preserve">If outdoor and/or higher power RLAN devices were authorised in parts of the </w:t>
      </w:r>
      <w:r w:rsidR="00470BFF" w:rsidRPr="00344661">
        <w:t>5</w:t>
      </w:r>
      <w:r w:rsidR="00470BFF">
        <w:t> </w:t>
      </w:r>
      <w:r w:rsidRPr="00344661">
        <w:t>GHz band (</w:t>
      </w:r>
      <w:r w:rsidR="00470BFF">
        <w:t>for example</w:t>
      </w:r>
      <w:r w:rsidRPr="00344661">
        <w:t>, 5150–5250 MHz), would it be appropriate to implement measures similar to those being considered for high power devices in the 6 GHz band (</w:t>
      </w:r>
      <w:r w:rsidR="00470BFF">
        <w:t>for example</w:t>
      </w:r>
      <w:r w:rsidR="007B1F56">
        <w:t>,</w:t>
      </w:r>
      <w:r w:rsidRPr="00344661">
        <w:t xml:space="preserve"> a registration system, or apparatus licensing)?</w:t>
      </w:r>
    </w:p>
    <w:p w14:paraId="34BDECE0" w14:textId="55610EC4" w:rsidR="00BE632F" w:rsidRDefault="00344661" w:rsidP="00BE632F">
      <w:pPr>
        <w:pStyle w:val="ListNumber"/>
      </w:pPr>
      <w:r w:rsidRPr="00344661">
        <w:t>If high power devices were to be authorised in both the 5 GHz and 6 GHz band, would it be appropriate to use the registration/authorisation method and system for both?</w:t>
      </w:r>
    </w:p>
    <w:p w14:paraId="0FD63984" w14:textId="5CEB129F" w:rsidR="00715722" w:rsidRPr="004F5EA3" w:rsidRDefault="00715722" w:rsidP="009A42F8">
      <w:pPr>
        <w:pStyle w:val="Numberlistlast"/>
        <w:numPr>
          <w:ilvl w:val="0"/>
          <w:numId w:val="0"/>
        </w:numPr>
        <w:ind w:left="357" w:hanging="357"/>
        <w:rPr>
          <w:color w:val="000000"/>
        </w:rPr>
      </w:pPr>
    </w:p>
    <w:p w14:paraId="1D0784E7" w14:textId="4F699CBA" w:rsidR="00665422" w:rsidRDefault="00674A1E" w:rsidP="002C0530">
      <w:pPr>
        <w:pStyle w:val="Heading1"/>
      </w:pPr>
      <w:bookmarkStart w:id="8" w:name="_Toc85119226"/>
      <w:r>
        <w:lastRenderedPageBreak/>
        <w:t>Introduction</w:t>
      </w:r>
      <w:bookmarkEnd w:id="8"/>
    </w:p>
    <w:p w14:paraId="26F630D9" w14:textId="32FB8BD1" w:rsidR="005E250B" w:rsidRDefault="00470182" w:rsidP="007E7C83">
      <w:r w:rsidRPr="00470182">
        <w:t>The 6</w:t>
      </w:r>
      <w:r w:rsidR="008A4CA9">
        <w:t> </w:t>
      </w:r>
      <w:r w:rsidRPr="00470182">
        <w:t xml:space="preserve">GHz band (5925–7125 MHz) is generating substantial interest internationally, with numerous countries opening up access to the band – or parts of it – for use by radio local area network (RLAN) systems, the most common of which are </w:t>
      </w:r>
      <w:r w:rsidR="002B2D3A">
        <w:t>w</w:t>
      </w:r>
      <w:r w:rsidRPr="00470182">
        <w:t>i-</w:t>
      </w:r>
      <w:r w:rsidR="002B2D3A">
        <w:t>f</w:t>
      </w:r>
      <w:r w:rsidRPr="00470182">
        <w:t>i networks and devices.</w:t>
      </w:r>
      <w:r w:rsidR="00AB75C7">
        <w:t xml:space="preserve"> </w:t>
      </w:r>
    </w:p>
    <w:p w14:paraId="0E1B083D" w14:textId="3F59DEE4" w:rsidR="00702C1C" w:rsidRDefault="0090328E" w:rsidP="00702C1C">
      <w:pPr>
        <w:pStyle w:val="Paragraph"/>
      </w:pPr>
      <w:r>
        <w:t>R</w:t>
      </w:r>
      <w:r w:rsidR="00702C1C" w:rsidRPr="00C5371B">
        <w:t xml:space="preserve">egulators </w:t>
      </w:r>
      <w:r w:rsidR="00F26283">
        <w:t>around the world</w:t>
      </w:r>
      <w:r w:rsidR="00702C1C" w:rsidRPr="00C5371B">
        <w:t xml:space="preserve"> </w:t>
      </w:r>
      <w:r w:rsidR="00451A12">
        <w:t xml:space="preserve">have </w:t>
      </w:r>
      <w:r w:rsidR="0090515B">
        <w:t xml:space="preserve">made </w:t>
      </w:r>
      <w:r w:rsidR="00702C1C" w:rsidRPr="00C5371B">
        <w:t>parts of the band available for unlicensed</w:t>
      </w:r>
      <w:r w:rsidR="008A4CA9">
        <w:t xml:space="preserve"> or equivalent</w:t>
      </w:r>
      <w:r w:rsidR="00903835">
        <w:rPr>
          <w:rStyle w:val="FootnoteReference"/>
        </w:rPr>
        <w:footnoteReference w:id="2"/>
      </w:r>
      <w:r w:rsidR="00702C1C" w:rsidRPr="00C5371B">
        <w:t xml:space="preserve"> use</w:t>
      </w:r>
      <w:r w:rsidR="0090515B">
        <w:t>, or have announced their intention to do so</w:t>
      </w:r>
      <w:r w:rsidR="00F22CFB">
        <w:t>, under a range of</w:t>
      </w:r>
      <w:r w:rsidR="00702C1C">
        <w:t xml:space="preserve"> </w:t>
      </w:r>
      <w:r w:rsidR="00DB3B5D">
        <w:t xml:space="preserve">different </w:t>
      </w:r>
      <w:r w:rsidR="00702C1C">
        <w:t>technical and regulatory arrangements</w:t>
      </w:r>
      <w:r w:rsidR="00E3283C">
        <w:t>.</w:t>
      </w:r>
      <w:r w:rsidR="00995B0D">
        <w:t xml:space="preserve"> </w:t>
      </w:r>
      <w:r w:rsidR="00E3283C">
        <w:t>M</w:t>
      </w:r>
      <w:r w:rsidR="000360AB">
        <w:t>any o</w:t>
      </w:r>
      <w:r w:rsidR="00702C1C">
        <w:t>ther countries</w:t>
      </w:r>
      <w:r w:rsidR="00702C1C" w:rsidRPr="00C5371B">
        <w:t xml:space="preserve"> </w:t>
      </w:r>
      <w:r w:rsidR="00995B0D">
        <w:t xml:space="preserve">are in the process of considering such arrangements. New arrangements in the UK have </w:t>
      </w:r>
      <w:r w:rsidR="00995B0D" w:rsidRPr="00C5371B">
        <w:t xml:space="preserve">mostly </w:t>
      </w:r>
      <w:r w:rsidR="00995B0D">
        <w:t xml:space="preserve">been </w:t>
      </w:r>
      <w:r w:rsidR="00995B0D" w:rsidRPr="00C5371B">
        <w:t xml:space="preserve">based on studies and recommendations </w:t>
      </w:r>
      <w:r w:rsidR="00995B0D">
        <w:t>undertaken by</w:t>
      </w:r>
      <w:r w:rsidR="00995B0D" w:rsidRPr="00C5371B">
        <w:t xml:space="preserve"> </w:t>
      </w:r>
      <w:r w:rsidR="00995B0D">
        <w:t>the European Conference of Postal and Telecommunications Administrations (</w:t>
      </w:r>
      <w:r w:rsidR="00995B0D" w:rsidRPr="00C5371B">
        <w:t>CEPT</w:t>
      </w:r>
      <w:r w:rsidR="00995B0D">
        <w:t>)</w:t>
      </w:r>
      <w:r w:rsidR="00995B0D" w:rsidRPr="00C5371B">
        <w:t>.</w:t>
      </w:r>
      <w:r w:rsidR="00995B0D">
        <w:t xml:space="preserve"> </w:t>
      </w:r>
      <w:r w:rsidR="00053836">
        <w:t xml:space="preserve">The map in </w:t>
      </w:r>
      <w:r w:rsidR="00037165">
        <w:t>Figure 1</w:t>
      </w:r>
      <w:r w:rsidR="00053836">
        <w:t xml:space="preserve"> shows all countries we are aware of that have either proposed or introduced arrangements </w:t>
      </w:r>
      <w:r w:rsidR="000246D6">
        <w:t xml:space="preserve">for </w:t>
      </w:r>
      <w:r w:rsidR="00470BFF">
        <w:t>‘</w:t>
      </w:r>
      <w:r w:rsidR="000246D6">
        <w:t>unlicensed</w:t>
      </w:r>
      <w:r w:rsidR="00470BFF">
        <w:t>’</w:t>
      </w:r>
      <w:r w:rsidR="000246D6">
        <w:t xml:space="preserve"> use of the 6 GHz band.</w:t>
      </w:r>
      <w:r w:rsidR="00285D38">
        <w:t xml:space="preserve"> This includes </w:t>
      </w:r>
      <w:r w:rsidR="00E3283C">
        <w:t xml:space="preserve">Australia with </w:t>
      </w:r>
      <w:r w:rsidR="00285D38">
        <w:t>the proposed addition of the lower 6</w:t>
      </w:r>
      <w:r w:rsidR="000D3C48">
        <w:t> </w:t>
      </w:r>
      <w:r w:rsidR="00285D38">
        <w:t xml:space="preserve">GHz band to the LIPD </w:t>
      </w:r>
      <w:r w:rsidR="00E3283C">
        <w:t>C</w:t>
      </w:r>
      <w:r w:rsidR="00285D38">
        <w:t xml:space="preserve">lass </w:t>
      </w:r>
      <w:r w:rsidR="00E3283C">
        <w:t>L</w:t>
      </w:r>
      <w:r w:rsidR="00285D38">
        <w:t>icence described in this paper.</w:t>
      </w:r>
    </w:p>
    <w:p w14:paraId="41C9BB52" w14:textId="4CBB3628" w:rsidR="003D21DD" w:rsidRDefault="00470BFF" w:rsidP="00234678">
      <w:pPr>
        <w:pStyle w:val="Figureheading"/>
      </w:pPr>
      <w:r w:rsidRPr="003D21DD">
        <w:t xml:space="preserve">The amount of spectrum proposed or made available </w:t>
      </w:r>
      <w:r>
        <w:t xml:space="preserve">for </w:t>
      </w:r>
      <w:r w:rsidRPr="003D21DD">
        <w:t xml:space="preserve">‘unlicensed’ </w:t>
      </w:r>
      <w:r>
        <w:t xml:space="preserve">(or equivalent) </w:t>
      </w:r>
      <w:r w:rsidRPr="003D21DD">
        <w:t>RLAN use in the 6</w:t>
      </w:r>
      <w:r>
        <w:t> </w:t>
      </w:r>
      <w:r w:rsidRPr="003D21DD">
        <w:t>GHz band across the world</w:t>
      </w:r>
    </w:p>
    <w:p w14:paraId="1D9A3E4A" w14:textId="21B755A5" w:rsidR="003D21DD" w:rsidRDefault="007B1F56" w:rsidP="00A337CD">
      <w:pPr>
        <w:pStyle w:val="Paragraph"/>
      </w:pPr>
      <w:r>
        <w:rPr>
          <w:noProof/>
        </w:rPr>
        <w:drawing>
          <wp:inline distT="0" distB="0" distL="0" distR="0" wp14:anchorId="6185E2AB" wp14:editId="3DFDC604">
            <wp:extent cx="4866005" cy="2465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66005" cy="2465070"/>
                    </a:xfrm>
                    <a:prstGeom prst="rect">
                      <a:avLst/>
                    </a:prstGeom>
                    <a:noFill/>
                    <a:ln>
                      <a:noFill/>
                    </a:ln>
                  </pic:spPr>
                </pic:pic>
              </a:graphicData>
            </a:graphic>
          </wp:inline>
        </w:drawing>
      </w:r>
    </w:p>
    <w:p w14:paraId="1C7FA165" w14:textId="659D859F" w:rsidR="00E412D3" w:rsidRDefault="00293735" w:rsidP="00A337CD">
      <w:pPr>
        <w:pStyle w:val="Paragraph"/>
      </w:pPr>
      <w:r>
        <w:t>T</w:t>
      </w:r>
      <w:r w:rsidR="00E412D3" w:rsidRPr="00C5371B">
        <w:t>h</w:t>
      </w:r>
      <w:r w:rsidR="00E412D3">
        <w:t>is</w:t>
      </w:r>
      <w:r w:rsidR="00E412D3" w:rsidRPr="00C5371B">
        <w:t xml:space="preserve"> </w:t>
      </w:r>
      <w:r>
        <w:t xml:space="preserve">international </w:t>
      </w:r>
      <w:r w:rsidR="00E412D3">
        <w:t xml:space="preserve">momentum, </w:t>
      </w:r>
      <w:r>
        <w:t xml:space="preserve">along with </w:t>
      </w:r>
      <w:r w:rsidR="00E412D3">
        <w:t>the important role RLANs play in the broader broadband connectivity ecosystem</w:t>
      </w:r>
      <w:r w:rsidR="00E412D3" w:rsidRPr="00C5371B">
        <w:t xml:space="preserve"> and interest indicated domestically through</w:t>
      </w:r>
      <w:r>
        <w:t xml:space="preserve"> </w:t>
      </w:r>
      <w:r w:rsidR="00E412D3">
        <w:t xml:space="preserve">the </w:t>
      </w:r>
      <w:r w:rsidR="00E412D3" w:rsidRPr="00C5371B">
        <w:t>ACMA’s</w:t>
      </w:r>
      <w:r w:rsidR="00E412D3" w:rsidRPr="00C5371B" w:rsidDel="00293735">
        <w:t xml:space="preserve"> </w:t>
      </w:r>
      <w:hyperlink r:id="rId26" w:history="1">
        <w:r w:rsidR="00E412D3">
          <w:rPr>
            <w:rStyle w:val="Hyperlink"/>
          </w:rPr>
          <w:t>f</w:t>
        </w:r>
        <w:r w:rsidR="00E412D3" w:rsidRPr="000808AC">
          <w:rPr>
            <w:rStyle w:val="Hyperlink"/>
          </w:rPr>
          <w:t xml:space="preserve">ive-year </w:t>
        </w:r>
        <w:r w:rsidR="00E412D3">
          <w:rPr>
            <w:rStyle w:val="Hyperlink"/>
          </w:rPr>
          <w:t>s</w:t>
        </w:r>
        <w:r w:rsidR="00E412D3" w:rsidRPr="000808AC">
          <w:rPr>
            <w:rStyle w:val="Hyperlink"/>
          </w:rPr>
          <w:t xml:space="preserve">pectrum </w:t>
        </w:r>
        <w:r w:rsidR="00E412D3">
          <w:rPr>
            <w:rStyle w:val="Hyperlink"/>
          </w:rPr>
          <w:t>o</w:t>
        </w:r>
        <w:r w:rsidR="00E412D3" w:rsidRPr="000808AC">
          <w:rPr>
            <w:rStyle w:val="Hyperlink"/>
          </w:rPr>
          <w:t>utlook</w:t>
        </w:r>
      </w:hyperlink>
      <w:r w:rsidR="00E412D3">
        <w:t xml:space="preserve"> (FYSO) process</w:t>
      </w:r>
      <w:r w:rsidR="00E412D3" w:rsidRPr="00C5371B">
        <w:t xml:space="preserve">, </w:t>
      </w:r>
      <w:r>
        <w:t xml:space="preserve">triggered a review </w:t>
      </w:r>
      <w:r w:rsidR="00281CE0">
        <w:t xml:space="preserve">by the ACMA </w:t>
      </w:r>
      <w:r>
        <w:t xml:space="preserve">of </w:t>
      </w:r>
      <w:r w:rsidR="00E2342F">
        <w:t xml:space="preserve">the </w:t>
      </w:r>
      <w:r w:rsidR="00D263C6">
        <w:t xml:space="preserve">6 GHz </w:t>
      </w:r>
      <w:r>
        <w:t>band for possible RLAN use in Australia.</w:t>
      </w:r>
    </w:p>
    <w:p w14:paraId="4BF8ADAA" w14:textId="77777777" w:rsidR="00CA2652" w:rsidRDefault="00CA2652" w:rsidP="00CA2652">
      <w:pPr>
        <w:pStyle w:val="Paragraph"/>
      </w:pPr>
    </w:p>
    <w:p w14:paraId="7D1744B6" w14:textId="77777777" w:rsidR="00AF063D" w:rsidRPr="006D3D34" w:rsidRDefault="00AF063D" w:rsidP="006D3D34">
      <w:pPr>
        <w:pStyle w:val="Paragraph"/>
      </w:pPr>
    </w:p>
    <w:p w14:paraId="06C13B1E" w14:textId="3D9D43D1" w:rsidR="004C0768" w:rsidRDefault="004C0768" w:rsidP="000B4664">
      <w:pPr>
        <w:pStyle w:val="Heading1"/>
      </w:pPr>
      <w:bookmarkStart w:id="9" w:name="_Toc85119227"/>
      <w:r>
        <w:lastRenderedPageBreak/>
        <w:t>Previous consultation</w:t>
      </w:r>
      <w:bookmarkEnd w:id="9"/>
    </w:p>
    <w:p w14:paraId="73F894A3" w14:textId="31D4BD93" w:rsidR="00A41A5D" w:rsidRDefault="00A41A5D" w:rsidP="00A41A5D">
      <w:pPr>
        <w:pStyle w:val="Paragraph"/>
      </w:pPr>
      <w:r>
        <w:t>On 7 April 2021,</w:t>
      </w:r>
      <w:r w:rsidDel="00293735">
        <w:t xml:space="preserve"> </w:t>
      </w:r>
      <w:r w:rsidR="00293735">
        <w:t xml:space="preserve">the ACMA </w:t>
      </w:r>
      <w:r>
        <w:t xml:space="preserve">released the consultation paper </w:t>
      </w:r>
      <w:hyperlink r:id="rId27" w:history="1">
        <w:r w:rsidRPr="00234678">
          <w:rPr>
            <w:rStyle w:val="Hyperlink"/>
            <w:i/>
            <w:iCs/>
          </w:rPr>
          <w:t>Exploring RLAN use in the 5 GHz and 6 GHz bands</w:t>
        </w:r>
      </w:hyperlink>
      <w:r>
        <w:t xml:space="preserve">. </w:t>
      </w:r>
      <w:r w:rsidR="00D21CA6">
        <w:t>In it, we</w:t>
      </w:r>
      <w:r>
        <w:t xml:space="preserve"> sought industry feedback on the potential introduction of arrangements for RLAN devices in the 6 GHz band (5925–7125 MHz) and updating existing arrangements in parts of the 5 GHz band</w:t>
      </w:r>
      <w:r w:rsidR="00805A37">
        <w:t xml:space="preserve"> (5150–5725 MHz)</w:t>
      </w:r>
      <w:r>
        <w:t>.</w:t>
      </w:r>
    </w:p>
    <w:p w14:paraId="226B15D8" w14:textId="03B88F2C" w:rsidR="00A41A5D" w:rsidRDefault="00A41A5D" w:rsidP="00A41A5D">
      <w:pPr>
        <w:pStyle w:val="Paragraph"/>
        <w:spacing w:after="120"/>
      </w:pPr>
      <w:r>
        <w:t xml:space="preserve">Specifically, </w:t>
      </w:r>
      <w:r w:rsidR="00AB74A2">
        <w:t xml:space="preserve">the ACMA </w:t>
      </w:r>
      <w:r w:rsidR="00293735">
        <w:t>indicated a preliminary disposition towards</w:t>
      </w:r>
      <w:r w:rsidDel="00293735">
        <w:t xml:space="preserve"> </w:t>
      </w:r>
      <w:r>
        <w:t>updat</w:t>
      </w:r>
      <w:r w:rsidR="00293735">
        <w:t>ing</w:t>
      </w:r>
      <w:r>
        <w:t xml:space="preserve"> the LIPD Class Licence to allow the following </w:t>
      </w:r>
      <w:r w:rsidR="001508B1">
        <w:t xml:space="preserve">2 </w:t>
      </w:r>
      <w:r>
        <w:t>classes of device</w:t>
      </w:r>
      <w:r w:rsidR="00AB74A2">
        <w:t>s</w:t>
      </w:r>
      <w:r>
        <w:t xml:space="preserve"> to operate in the lower part of the 6 GHz band (5925–6425 MHz)</w:t>
      </w:r>
      <w:r w:rsidR="00DA314A">
        <w:t xml:space="preserve">, with the follow restrictions, including </w:t>
      </w:r>
      <w:r w:rsidR="009D6082">
        <w:t xml:space="preserve">limits on maximum </w:t>
      </w:r>
      <w:r w:rsidR="00DA314A">
        <w:t xml:space="preserve">equivalent isotropic radiated power (EIRP) </w:t>
      </w:r>
      <w:r w:rsidR="009D6082">
        <w:t>and power spectral density (PSD)</w:t>
      </w:r>
      <w:r>
        <w:t>:</w:t>
      </w:r>
    </w:p>
    <w:p w14:paraId="0131D737" w14:textId="7A8C8C0C" w:rsidR="00A41A5D" w:rsidRDefault="00A41A5D" w:rsidP="005829FA">
      <w:pPr>
        <w:pStyle w:val="ListNumber"/>
        <w:numPr>
          <w:ilvl w:val="0"/>
          <w:numId w:val="37"/>
        </w:numPr>
      </w:pPr>
      <w:r>
        <w:t>Low power indoor (LPI) devices</w:t>
      </w:r>
      <w:r w:rsidR="00D21CA6">
        <w:t>:</w:t>
      </w:r>
    </w:p>
    <w:p w14:paraId="701A00FD" w14:textId="1963F46C" w:rsidR="00A41A5D" w:rsidRDefault="00D21CA6" w:rsidP="005829FA">
      <w:pPr>
        <w:pStyle w:val="Bulletlevel2"/>
      </w:pPr>
      <w:r>
        <w:t>m</w:t>
      </w:r>
      <w:r w:rsidR="00A41A5D">
        <w:t>aximum power</w:t>
      </w:r>
      <w:r w:rsidR="009D6082">
        <w:t>:</w:t>
      </w:r>
      <w:r w:rsidR="00A41A5D">
        <w:t xml:space="preserve"> 2</w:t>
      </w:r>
      <w:r w:rsidR="003D154E">
        <w:t>4</w:t>
      </w:r>
      <w:r w:rsidR="00A41A5D">
        <w:t> dBm</w:t>
      </w:r>
      <w:r w:rsidR="0081023C">
        <w:t xml:space="preserve"> EIRP</w:t>
      </w:r>
    </w:p>
    <w:p w14:paraId="30A4E9F7" w14:textId="2AA49207" w:rsidR="00A41A5D" w:rsidRDefault="00D21CA6" w:rsidP="005829FA">
      <w:pPr>
        <w:pStyle w:val="Bulletlevel2"/>
      </w:pPr>
      <w:r>
        <w:t>m</w:t>
      </w:r>
      <w:r w:rsidR="00A41A5D">
        <w:t xml:space="preserve">aximum </w:t>
      </w:r>
      <w:r w:rsidR="009D6082">
        <w:t xml:space="preserve">PSD: </w:t>
      </w:r>
      <w:r w:rsidR="003D154E">
        <w:t>1</w:t>
      </w:r>
      <w:r w:rsidR="007859F3">
        <w:t>4</w:t>
      </w:r>
      <w:r w:rsidR="003D154E">
        <w:t> dBm/MHz</w:t>
      </w:r>
      <w:r w:rsidR="0081023C">
        <w:t xml:space="preserve"> EIRP</w:t>
      </w:r>
    </w:p>
    <w:p w14:paraId="41B07814" w14:textId="0682D244" w:rsidR="00A41A5D" w:rsidRDefault="00D21CA6" w:rsidP="005829FA">
      <w:pPr>
        <w:pStyle w:val="Bulletlevel2"/>
      </w:pPr>
      <w:r>
        <w:t>m</w:t>
      </w:r>
      <w:r w:rsidR="00A41A5D">
        <w:t>ust operate indoors</w:t>
      </w:r>
      <w:r w:rsidR="001508B1">
        <w:t>.</w:t>
      </w:r>
    </w:p>
    <w:p w14:paraId="29FB7ED1" w14:textId="60877F16" w:rsidR="00A41A5D" w:rsidRDefault="00A41A5D" w:rsidP="005829FA">
      <w:pPr>
        <w:pStyle w:val="ListNumber"/>
        <w:numPr>
          <w:ilvl w:val="0"/>
          <w:numId w:val="37"/>
        </w:numPr>
      </w:pPr>
      <w:r>
        <w:t>Very low power (VLP) devices</w:t>
      </w:r>
      <w:r w:rsidR="001508B1">
        <w:t>:</w:t>
      </w:r>
    </w:p>
    <w:p w14:paraId="303CF2D1" w14:textId="63C92543" w:rsidR="00A41A5D" w:rsidRDefault="001508B1" w:rsidP="005829FA">
      <w:pPr>
        <w:pStyle w:val="Bulletlevel2"/>
      </w:pPr>
      <w:r>
        <w:t>m</w:t>
      </w:r>
      <w:r w:rsidR="00A41A5D">
        <w:t>aximum power</w:t>
      </w:r>
      <w:r w:rsidR="009D6082">
        <w:t xml:space="preserve">: </w:t>
      </w:r>
      <w:r w:rsidR="003D154E">
        <w:t>11</w:t>
      </w:r>
      <w:r w:rsidR="00A41A5D">
        <w:t> dBm</w:t>
      </w:r>
      <w:r w:rsidR="0081023C">
        <w:t xml:space="preserve"> EIRP</w:t>
      </w:r>
    </w:p>
    <w:p w14:paraId="2D3BFC11" w14:textId="36A75BC6" w:rsidR="00A41A5D" w:rsidRDefault="001508B1" w:rsidP="005829FA">
      <w:pPr>
        <w:pStyle w:val="Bulletlevel2"/>
      </w:pPr>
      <w:r>
        <w:t>m</w:t>
      </w:r>
      <w:r w:rsidR="00A41A5D">
        <w:t xml:space="preserve">aximum </w:t>
      </w:r>
      <w:r w:rsidR="009D6082">
        <w:t>PSD:</w:t>
      </w:r>
      <w:r w:rsidR="003D154E">
        <w:t xml:space="preserve"> 1 dBm/MHz</w:t>
      </w:r>
      <w:r w:rsidR="0081023C">
        <w:t xml:space="preserve"> EIRP</w:t>
      </w:r>
    </w:p>
    <w:p w14:paraId="7141DE3B" w14:textId="4D788C00" w:rsidR="00A41A5D" w:rsidRDefault="001508B1" w:rsidP="005829FA">
      <w:pPr>
        <w:pStyle w:val="Bulletlevel2last"/>
      </w:pPr>
      <w:r>
        <w:t>m</w:t>
      </w:r>
      <w:r w:rsidR="00A41A5D">
        <w:t>ay operate in any location</w:t>
      </w:r>
      <w:r w:rsidR="00281CE0">
        <w:t>.</w:t>
      </w:r>
    </w:p>
    <w:p w14:paraId="06F77745" w14:textId="21236758" w:rsidR="00A41A5D" w:rsidRDefault="001508B1" w:rsidP="00A41A5D">
      <w:pPr>
        <w:pStyle w:val="Paragraph"/>
        <w:spacing w:after="120"/>
      </w:pPr>
      <w:r>
        <w:t xml:space="preserve">We </w:t>
      </w:r>
      <w:r w:rsidR="00A41A5D">
        <w:t>also asked for feedback on the possibility of expanding the proposal to:</w:t>
      </w:r>
    </w:p>
    <w:p w14:paraId="5EA75307" w14:textId="664063B9" w:rsidR="00A41A5D" w:rsidRDefault="001508B1" w:rsidP="005829FA">
      <w:pPr>
        <w:pStyle w:val="Bulletlevel1"/>
      </w:pPr>
      <w:r>
        <w:t>i</w:t>
      </w:r>
      <w:r w:rsidR="00A41A5D">
        <w:t>nclud</w:t>
      </w:r>
      <w:r w:rsidR="00AB74A2">
        <w:t>e</w:t>
      </w:r>
      <w:r w:rsidR="00A41A5D">
        <w:t xml:space="preserve"> the entire 6 GHz band in the LIPD </w:t>
      </w:r>
      <w:r w:rsidR="00AB74A2">
        <w:t xml:space="preserve">Class Licence </w:t>
      </w:r>
      <w:r w:rsidR="00A41A5D">
        <w:t>for these devices</w:t>
      </w:r>
    </w:p>
    <w:p w14:paraId="54291FE3" w14:textId="4F3E985B" w:rsidR="00A41A5D" w:rsidRDefault="001508B1" w:rsidP="005829FA">
      <w:pPr>
        <w:pStyle w:val="Bulletlevel1last"/>
      </w:pPr>
      <w:r>
        <w:t>a</w:t>
      </w:r>
      <w:r w:rsidR="00A41A5D">
        <w:t>llow a third class of devices that could operate at higher power levels</w:t>
      </w:r>
      <w:r w:rsidR="00281CE0">
        <w:t>.</w:t>
      </w:r>
    </w:p>
    <w:p w14:paraId="477FE508" w14:textId="106FB4CA" w:rsidR="00293735" w:rsidRDefault="00AB74A2" w:rsidP="00521834">
      <w:pPr>
        <w:pStyle w:val="Paragraph"/>
      </w:pPr>
      <w:r>
        <w:t xml:space="preserve">The ACMA also considered </w:t>
      </w:r>
      <w:r w:rsidR="00293735">
        <w:t xml:space="preserve">possible updates to </w:t>
      </w:r>
      <w:r w:rsidR="00293735" w:rsidRPr="00C5371B">
        <w:t xml:space="preserve">the </w:t>
      </w:r>
      <w:r w:rsidR="00293735">
        <w:t xml:space="preserve">existing arrangements for RLAN devices in part of the </w:t>
      </w:r>
      <w:r w:rsidR="00293735" w:rsidRPr="00C5371B">
        <w:t>adjacent</w:t>
      </w:r>
      <w:r w:rsidR="00293735">
        <w:t xml:space="preserve"> 5 GHz (5150–5250 MHz) band</w:t>
      </w:r>
      <w:r>
        <w:t>.</w:t>
      </w:r>
      <w:r w:rsidR="00293735">
        <w:t xml:space="preserve"> </w:t>
      </w:r>
      <w:r>
        <w:t xml:space="preserve">This could </w:t>
      </w:r>
      <w:r w:rsidR="00293735">
        <w:t>includ</w:t>
      </w:r>
      <w:r>
        <w:t>e</w:t>
      </w:r>
      <w:r w:rsidR="00293735">
        <w:t xml:space="preserve"> potentially permitting outdoor use, t</w:t>
      </w:r>
      <w:r>
        <w:t>hus</w:t>
      </w:r>
      <w:r w:rsidR="00293735">
        <w:t xml:space="preserve"> reflect</w:t>
      </w:r>
      <w:r>
        <w:t>ing</w:t>
      </w:r>
      <w:r w:rsidR="00293735">
        <w:t xml:space="preserve"> updates to international regulations made at th</w:t>
      </w:r>
      <w:r w:rsidR="00E2342F">
        <w:t>e</w:t>
      </w:r>
      <w:r w:rsidR="00293735">
        <w:t xml:space="preserve"> International Telecommunication Union (ITU) </w:t>
      </w:r>
      <w:r w:rsidR="00A05279">
        <w:t xml:space="preserve">2019 </w:t>
      </w:r>
      <w:r w:rsidR="00293735">
        <w:t>World Radiocommunication Conference (WRC-19)</w:t>
      </w:r>
      <w:r w:rsidR="00293735" w:rsidRPr="00C5371B">
        <w:t>.</w:t>
      </w:r>
    </w:p>
    <w:p w14:paraId="553F8922" w14:textId="5D7146EB" w:rsidR="00521834" w:rsidRDefault="00D55A7E" w:rsidP="00D55A7E">
      <w:pPr>
        <w:pStyle w:val="Heading2"/>
      </w:pPr>
      <w:bookmarkStart w:id="10" w:name="_Toc85119228"/>
      <w:r>
        <w:t>Summary of submissions</w:t>
      </w:r>
      <w:bookmarkEnd w:id="10"/>
    </w:p>
    <w:p w14:paraId="17FE7D72" w14:textId="556E85F9" w:rsidR="00A41A5D" w:rsidRPr="004511C5" w:rsidRDefault="00A41A5D" w:rsidP="00A41A5D">
      <w:pPr>
        <w:pStyle w:val="Paragraph"/>
      </w:pPr>
      <w:r>
        <w:t>The ACMA received 21 submissions to the consultation from</w:t>
      </w:r>
      <w:r w:rsidR="001508B1">
        <w:t xml:space="preserve"> </w:t>
      </w:r>
      <w:r>
        <w:t xml:space="preserve">AMTA, Apple, Cisco, Communications Alliance Satellite Services Working Group (CASSWG), Dynamic Spectrum Alliance (DSA), </w:t>
      </w:r>
      <w:proofErr w:type="spellStart"/>
      <w:r>
        <w:t>Echostar</w:t>
      </w:r>
      <w:proofErr w:type="spellEnd"/>
      <w:r>
        <w:t xml:space="preserve">, Ericsson, HP, Intel, </w:t>
      </w:r>
      <w:proofErr w:type="spellStart"/>
      <w:r>
        <w:t>NodeOne</w:t>
      </w:r>
      <w:proofErr w:type="spellEnd"/>
      <w:r>
        <w:t xml:space="preserve">, Nokia, </w:t>
      </w:r>
      <w:proofErr w:type="spellStart"/>
      <w:r>
        <w:t>Omnispace</w:t>
      </w:r>
      <w:proofErr w:type="spellEnd"/>
      <w:r>
        <w:t xml:space="preserve">, Oppo, Optus, </w:t>
      </w:r>
      <w:proofErr w:type="spellStart"/>
      <w:r>
        <w:t>Pivotel</w:t>
      </w:r>
      <w:proofErr w:type="spellEnd"/>
      <w:r>
        <w:t>, Qualcomm, Swoop, Telstra, Wi-Fi Alliance, Wireless Broadband Alliance (WBA), and a joint submission from Apple, Broadcom, Cisco, Facebook, Google, HP, Intel, Microsoft and Qualcomm.</w:t>
      </w:r>
    </w:p>
    <w:p w14:paraId="191F2E26" w14:textId="1CD1FAE6" w:rsidR="00A41A5D" w:rsidRDefault="00A41A5D" w:rsidP="00A41A5D">
      <w:pPr>
        <w:pStyle w:val="ACMAInstructions"/>
        <w:spacing w:after="240"/>
        <w:rPr>
          <w:b w:val="0"/>
          <w:vanish w:val="0"/>
          <w:sz w:val="20"/>
          <w:szCs w:val="20"/>
        </w:rPr>
      </w:pPr>
      <w:r>
        <w:rPr>
          <w:b w:val="0"/>
          <w:vanish w:val="0"/>
          <w:sz w:val="20"/>
          <w:szCs w:val="20"/>
        </w:rPr>
        <w:t xml:space="preserve">The responses are all available on the </w:t>
      </w:r>
      <w:hyperlink r:id="rId28" w:history="1">
        <w:r w:rsidRPr="003C1944">
          <w:rPr>
            <w:rStyle w:val="Hyperlink"/>
            <w:b w:val="0"/>
            <w:vanish w:val="0"/>
            <w:sz w:val="20"/>
            <w:szCs w:val="20"/>
          </w:rPr>
          <w:t>consultation webpage</w:t>
        </w:r>
      </w:hyperlink>
      <w:r>
        <w:rPr>
          <w:b w:val="0"/>
          <w:vanish w:val="0"/>
          <w:sz w:val="20"/>
          <w:szCs w:val="20"/>
        </w:rPr>
        <w:t>.</w:t>
      </w:r>
    </w:p>
    <w:p w14:paraId="50473167" w14:textId="314DCE87" w:rsidR="00CC40BD" w:rsidRPr="00BC7DB0" w:rsidRDefault="00CC40BD" w:rsidP="00CC40BD">
      <w:pPr>
        <w:pStyle w:val="Paragraph"/>
        <w:rPr>
          <w:lang w:val="en-US"/>
        </w:rPr>
      </w:pPr>
      <w:r>
        <w:rPr>
          <w:lang w:val="en-US"/>
        </w:rPr>
        <w:t>Overall, submitters</w:t>
      </w:r>
      <w:r w:rsidRPr="00BC7DB0">
        <w:rPr>
          <w:lang w:val="en-US"/>
        </w:rPr>
        <w:t xml:space="preserve"> were </w:t>
      </w:r>
      <w:r>
        <w:rPr>
          <w:lang w:val="en-US"/>
        </w:rPr>
        <w:t>generally</w:t>
      </w:r>
      <w:r w:rsidRPr="00BC7DB0">
        <w:rPr>
          <w:lang w:val="en-US"/>
        </w:rPr>
        <w:t xml:space="preserve"> supportive of the proposals made in the </w:t>
      </w:r>
      <w:r w:rsidR="00981E13">
        <w:rPr>
          <w:lang w:val="en-US"/>
        </w:rPr>
        <w:t>consultation</w:t>
      </w:r>
      <w:r w:rsidRPr="00BC7DB0">
        <w:rPr>
          <w:lang w:val="en-US"/>
        </w:rPr>
        <w:t xml:space="preserve"> paper to introduce class</w:t>
      </w:r>
      <w:r w:rsidR="00611CC0">
        <w:rPr>
          <w:lang w:val="en-US"/>
        </w:rPr>
        <w:t>-</w:t>
      </w:r>
      <w:r w:rsidRPr="00BC7DB0">
        <w:rPr>
          <w:lang w:val="en-US"/>
        </w:rPr>
        <w:t xml:space="preserve">licensed arrangements for RLANs in the lower </w:t>
      </w:r>
      <w:r w:rsidR="001508B1" w:rsidRPr="00BC7DB0">
        <w:rPr>
          <w:lang w:val="en-US"/>
        </w:rPr>
        <w:t>6</w:t>
      </w:r>
      <w:r w:rsidR="001508B1">
        <w:rPr>
          <w:lang w:val="en-US"/>
        </w:rPr>
        <w:t> </w:t>
      </w:r>
      <w:r w:rsidRPr="00BC7DB0">
        <w:rPr>
          <w:lang w:val="en-US"/>
        </w:rPr>
        <w:t xml:space="preserve">GHz band with low power limits. No responses specifically opposed these </w:t>
      </w:r>
      <w:r w:rsidR="005C0835">
        <w:rPr>
          <w:lang w:val="en-US"/>
        </w:rPr>
        <w:t>measures</w:t>
      </w:r>
      <w:r>
        <w:rPr>
          <w:lang w:val="en-US"/>
        </w:rPr>
        <w:t>, and a</w:t>
      </w:r>
      <w:r w:rsidRPr="00BC7DB0">
        <w:rPr>
          <w:lang w:val="en-US"/>
        </w:rPr>
        <w:t xml:space="preserve">ll respondents </w:t>
      </w:r>
      <w:r w:rsidR="00D0236A">
        <w:rPr>
          <w:lang w:val="en-US"/>
        </w:rPr>
        <w:t xml:space="preserve">noted </w:t>
      </w:r>
      <w:r w:rsidRPr="00BC7DB0">
        <w:rPr>
          <w:lang w:val="en-US"/>
        </w:rPr>
        <w:t>there was a demand or a requirement for class-licensed spectrum in the 6</w:t>
      </w:r>
      <w:r w:rsidR="00E2342F">
        <w:rPr>
          <w:lang w:val="en-US"/>
        </w:rPr>
        <w:t> </w:t>
      </w:r>
      <w:r w:rsidRPr="00BC7DB0">
        <w:rPr>
          <w:lang w:val="en-US"/>
        </w:rPr>
        <w:t>GHz band.</w:t>
      </w:r>
    </w:p>
    <w:p w14:paraId="563F1F19" w14:textId="16F32C7E" w:rsidR="00CC40BD" w:rsidRPr="00BC7DB0" w:rsidRDefault="00CC40BD" w:rsidP="00CA7784">
      <w:pPr>
        <w:pStyle w:val="Paragraphbeforelist"/>
        <w:rPr>
          <w:lang w:val="en-US"/>
        </w:rPr>
      </w:pPr>
      <w:r w:rsidRPr="00BC7DB0">
        <w:rPr>
          <w:lang w:val="en-US"/>
        </w:rPr>
        <w:t>However</w:t>
      </w:r>
      <w:r>
        <w:rPr>
          <w:lang w:val="en-US"/>
        </w:rPr>
        <w:t>,</w:t>
      </w:r>
      <w:r w:rsidRPr="00BC7DB0">
        <w:rPr>
          <w:lang w:val="en-US"/>
        </w:rPr>
        <w:t xml:space="preserve"> there w</w:t>
      </w:r>
      <w:r>
        <w:rPr>
          <w:lang w:val="en-US"/>
        </w:rPr>
        <w:t>ere</w:t>
      </w:r>
      <w:r w:rsidRPr="00BC7DB0">
        <w:rPr>
          <w:lang w:val="en-US"/>
        </w:rPr>
        <w:t xml:space="preserve"> </w:t>
      </w:r>
      <w:r>
        <w:rPr>
          <w:lang w:val="en-US"/>
        </w:rPr>
        <w:t>differing</w:t>
      </w:r>
      <w:r w:rsidRPr="00BC7DB0">
        <w:rPr>
          <w:lang w:val="en-US"/>
        </w:rPr>
        <w:t xml:space="preserve"> </w:t>
      </w:r>
      <w:r>
        <w:rPr>
          <w:lang w:val="en-US"/>
        </w:rPr>
        <w:t xml:space="preserve">views </w:t>
      </w:r>
      <w:r w:rsidRPr="00BC7DB0">
        <w:rPr>
          <w:lang w:val="en-US"/>
        </w:rPr>
        <w:t xml:space="preserve">on the additional options discussed in the paper – </w:t>
      </w:r>
      <w:r>
        <w:rPr>
          <w:lang w:val="en-US"/>
        </w:rPr>
        <w:t xml:space="preserve">allowing the </w:t>
      </w:r>
      <w:r w:rsidRPr="00BC7DB0">
        <w:rPr>
          <w:lang w:val="en-US"/>
        </w:rPr>
        <w:t>use of the upper 6</w:t>
      </w:r>
      <w:r w:rsidR="00E2342F">
        <w:rPr>
          <w:lang w:val="en-US"/>
        </w:rPr>
        <w:t> </w:t>
      </w:r>
      <w:r w:rsidRPr="00BC7DB0">
        <w:rPr>
          <w:lang w:val="en-US"/>
        </w:rPr>
        <w:t xml:space="preserve">GHz band, and of higher power devices. Most submissions supported both additional options, but </w:t>
      </w:r>
      <w:r>
        <w:rPr>
          <w:lang w:val="en-US"/>
        </w:rPr>
        <w:t>there was</w:t>
      </w:r>
      <w:r w:rsidRPr="00BC7DB0">
        <w:rPr>
          <w:lang w:val="en-US"/>
        </w:rPr>
        <w:t xml:space="preserve"> explicit oppos</w:t>
      </w:r>
      <w:r>
        <w:rPr>
          <w:lang w:val="en-US"/>
        </w:rPr>
        <w:t>ition</w:t>
      </w:r>
      <w:r w:rsidRPr="00BC7DB0">
        <w:rPr>
          <w:lang w:val="en-US"/>
        </w:rPr>
        <w:t xml:space="preserve"> to </w:t>
      </w:r>
      <w:r w:rsidRPr="00BC7DB0">
        <w:rPr>
          <w:lang w:val="en-US"/>
        </w:rPr>
        <w:lastRenderedPageBreak/>
        <w:t>some, or all, of these extra scenarios</w:t>
      </w:r>
      <w:r>
        <w:rPr>
          <w:lang w:val="en-US"/>
        </w:rPr>
        <w:t>, mostly from operators of satellite and mobile networks</w:t>
      </w:r>
      <w:r w:rsidRPr="00BC7DB0">
        <w:rPr>
          <w:lang w:val="en-US"/>
        </w:rPr>
        <w:t>. The oppos</w:t>
      </w:r>
      <w:r>
        <w:rPr>
          <w:lang w:val="en-US"/>
        </w:rPr>
        <w:t>ition</w:t>
      </w:r>
      <w:r w:rsidRPr="00BC7DB0">
        <w:rPr>
          <w:lang w:val="en-US"/>
        </w:rPr>
        <w:t xml:space="preserve"> </w:t>
      </w:r>
      <w:r>
        <w:rPr>
          <w:lang w:val="en-US"/>
        </w:rPr>
        <w:t>was mainly due to either</w:t>
      </w:r>
      <w:r w:rsidRPr="00BC7DB0">
        <w:rPr>
          <w:lang w:val="en-US"/>
        </w:rPr>
        <w:t>:</w:t>
      </w:r>
    </w:p>
    <w:p w14:paraId="5A8424D9" w14:textId="7A8BD84B" w:rsidR="00293735" w:rsidRDefault="00CC40BD" w:rsidP="00CA7784">
      <w:pPr>
        <w:pStyle w:val="Bulletlevel1"/>
        <w:rPr>
          <w:lang w:val="en-US"/>
        </w:rPr>
      </w:pPr>
      <w:r>
        <w:rPr>
          <w:lang w:val="en-US"/>
        </w:rPr>
        <w:t>a</w:t>
      </w:r>
      <w:r w:rsidRPr="00BC7DB0">
        <w:rPr>
          <w:lang w:val="en-US"/>
        </w:rPr>
        <w:t xml:space="preserve"> preference for the upper band to be used for licensed </w:t>
      </w:r>
      <w:r w:rsidR="00AB74A2">
        <w:rPr>
          <w:lang w:val="en-US"/>
        </w:rPr>
        <w:t>I</w:t>
      </w:r>
      <w:r w:rsidR="000868EA">
        <w:rPr>
          <w:lang w:val="en-US"/>
        </w:rPr>
        <w:t xml:space="preserve">nternational </w:t>
      </w:r>
      <w:r w:rsidR="00AB74A2">
        <w:rPr>
          <w:lang w:val="en-US"/>
        </w:rPr>
        <w:t>M</w:t>
      </w:r>
      <w:r w:rsidR="000868EA">
        <w:rPr>
          <w:lang w:val="en-US"/>
        </w:rPr>
        <w:t xml:space="preserve">obile </w:t>
      </w:r>
      <w:r w:rsidR="00AB74A2">
        <w:rPr>
          <w:lang w:val="en-US"/>
        </w:rPr>
        <w:t>T</w:t>
      </w:r>
      <w:r w:rsidR="000868EA">
        <w:rPr>
          <w:lang w:val="en-US"/>
        </w:rPr>
        <w:t>elecommunication (</w:t>
      </w:r>
      <w:r w:rsidRPr="00BC7DB0">
        <w:rPr>
          <w:lang w:val="en-US"/>
        </w:rPr>
        <w:t>IMT</w:t>
      </w:r>
      <w:r w:rsidR="000868EA">
        <w:rPr>
          <w:lang w:val="en-US"/>
        </w:rPr>
        <w:t>)</w:t>
      </w:r>
      <w:r w:rsidRPr="00BC7DB0">
        <w:rPr>
          <w:lang w:val="en-US"/>
        </w:rPr>
        <w:t xml:space="preserve"> systems, or at least to</w:t>
      </w:r>
      <w:r>
        <w:rPr>
          <w:lang w:val="en-US"/>
        </w:rPr>
        <w:t xml:space="preserve"> </w:t>
      </w:r>
      <w:r w:rsidRPr="00BC7DB0">
        <w:rPr>
          <w:lang w:val="en-US"/>
        </w:rPr>
        <w:t>wait and see if this was a viable option for the future</w:t>
      </w:r>
      <w:r w:rsidR="005C0835">
        <w:rPr>
          <w:lang w:val="en-US"/>
        </w:rPr>
        <w:t xml:space="preserve"> (subject to WRC</w:t>
      </w:r>
      <w:r w:rsidR="00AB74A2">
        <w:rPr>
          <w:lang w:val="en-US"/>
        </w:rPr>
        <w:t>-23</w:t>
      </w:r>
      <w:r w:rsidR="005C0835">
        <w:rPr>
          <w:lang w:val="en-US"/>
        </w:rPr>
        <w:t xml:space="preserve"> deliberations and establishment of IMT equipment markets)</w:t>
      </w:r>
      <w:r w:rsidR="00293735">
        <w:rPr>
          <w:lang w:val="en-US"/>
        </w:rPr>
        <w:t>; or</w:t>
      </w:r>
    </w:p>
    <w:p w14:paraId="5A7E8FCB" w14:textId="61F5AE54" w:rsidR="00CC40BD" w:rsidRPr="00782130" w:rsidRDefault="00CC40BD" w:rsidP="00CA7784">
      <w:pPr>
        <w:pStyle w:val="Bulletlevel1last"/>
        <w:rPr>
          <w:lang w:val="en-US"/>
        </w:rPr>
      </w:pPr>
      <w:r w:rsidRPr="00293735">
        <w:rPr>
          <w:lang w:val="en-US"/>
        </w:rPr>
        <w:t>c</w:t>
      </w:r>
      <w:r w:rsidRPr="0032709C">
        <w:rPr>
          <w:lang w:val="en-US"/>
        </w:rPr>
        <w:t xml:space="preserve">oncerns about interference </w:t>
      </w:r>
      <w:r w:rsidR="005C0835">
        <w:rPr>
          <w:lang w:val="en-US"/>
        </w:rPr>
        <w:t xml:space="preserve">from RLANs </w:t>
      </w:r>
      <w:r w:rsidRPr="0032709C">
        <w:rPr>
          <w:lang w:val="en-US"/>
        </w:rPr>
        <w:t>to satellite systems</w:t>
      </w:r>
      <w:r w:rsidRPr="00695975">
        <w:rPr>
          <w:lang w:val="en-US"/>
        </w:rPr>
        <w:t xml:space="preserve"> operating</w:t>
      </w:r>
      <w:r w:rsidR="005C0835">
        <w:rPr>
          <w:lang w:val="en-US"/>
        </w:rPr>
        <w:t xml:space="preserve"> in</w:t>
      </w:r>
      <w:r w:rsidRPr="0032709C">
        <w:rPr>
          <w:lang w:val="en-US"/>
        </w:rPr>
        <w:t xml:space="preserve"> the upper band</w:t>
      </w:r>
      <w:r w:rsidRPr="00FA4BAA">
        <w:rPr>
          <w:lang w:val="en-US"/>
        </w:rPr>
        <w:t>. In these cases, the use of the upper band for IMT was also opposed</w:t>
      </w:r>
      <w:r w:rsidRPr="00DB4E72">
        <w:rPr>
          <w:lang w:val="en-US"/>
        </w:rPr>
        <w:t>.</w:t>
      </w:r>
    </w:p>
    <w:p w14:paraId="445F32D1" w14:textId="59B6A44B" w:rsidR="00CC40BD" w:rsidRDefault="00CC40BD" w:rsidP="00CC40BD">
      <w:pPr>
        <w:pStyle w:val="Paragraph"/>
        <w:rPr>
          <w:lang w:val="en-US"/>
        </w:rPr>
      </w:pPr>
      <w:r w:rsidRPr="00BC7DB0">
        <w:rPr>
          <w:lang w:val="en-US"/>
        </w:rPr>
        <w:t>Views</w:t>
      </w:r>
      <w:r w:rsidRPr="00BC7DB0" w:rsidDel="00293735">
        <w:rPr>
          <w:lang w:val="en-US"/>
        </w:rPr>
        <w:t xml:space="preserve"> </w:t>
      </w:r>
      <w:r w:rsidRPr="00BC7DB0">
        <w:rPr>
          <w:lang w:val="en-US"/>
        </w:rPr>
        <w:t>on the proposed changes to arrangements in the 5</w:t>
      </w:r>
      <w:r w:rsidR="00E2342F">
        <w:rPr>
          <w:lang w:val="en-US"/>
        </w:rPr>
        <w:t> </w:t>
      </w:r>
      <w:r w:rsidRPr="00BC7DB0">
        <w:rPr>
          <w:lang w:val="en-US"/>
        </w:rPr>
        <w:t>GHz band</w:t>
      </w:r>
      <w:r w:rsidR="00293735" w:rsidRPr="00293735">
        <w:rPr>
          <w:lang w:val="en-US"/>
        </w:rPr>
        <w:t xml:space="preserve"> </w:t>
      </w:r>
      <w:r w:rsidR="00293735" w:rsidRPr="00BC7DB0">
        <w:rPr>
          <w:lang w:val="en-US"/>
        </w:rPr>
        <w:t>were also mixed</w:t>
      </w:r>
      <w:r w:rsidRPr="00BC7DB0">
        <w:rPr>
          <w:lang w:val="en-US"/>
        </w:rPr>
        <w:t xml:space="preserve">. Again, most </w:t>
      </w:r>
      <w:r w:rsidR="00293735">
        <w:rPr>
          <w:lang w:val="en-US"/>
        </w:rPr>
        <w:t xml:space="preserve">respondents </w:t>
      </w:r>
      <w:r w:rsidRPr="00BC7DB0">
        <w:rPr>
          <w:lang w:val="en-US"/>
        </w:rPr>
        <w:t>supported changes</w:t>
      </w:r>
      <w:r>
        <w:rPr>
          <w:lang w:val="en-US"/>
        </w:rPr>
        <w:t xml:space="preserve"> </w:t>
      </w:r>
      <w:r w:rsidR="00293735">
        <w:rPr>
          <w:lang w:val="en-US"/>
        </w:rPr>
        <w:t xml:space="preserve">being made </w:t>
      </w:r>
      <w:r>
        <w:rPr>
          <w:lang w:val="en-US"/>
        </w:rPr>
        <w:t>–</w:t>
      </w:r>
      <w:r w:rsidRPr="00BC7DB0">
        <w:rPr>
          <w:lang w:val="en-US"/>
        </w:rPr>
        <w:t xml:space="preserve"> but with </w:t>
      </w:r>
      <w:r w:rsidR="00293735">
        <w:rPr>
          <w:lang w:val="en-US"/>
        </w:rPr>
        <w:t>varying views</w:t>
      </w:r>
      <w:r w:rsidRPr="00BC7DB0" w:rsidDel="00293735">
        <w:rPr>
          <w:lang w:val="en-US"/>
        </w:rPr>
        <w:t xml:space="preserve"> </w:t>
      </w:r>
      <w:r w:rsidR="00293735">
        <w:rPr>
          <w:lang w:val="en-US"/>
        </w:rPr>
        <w:t>on</w:t>
      </w:r>
      <w:r w:rsidRPr="00BC7DB0">
        <w:rPr>
          <w:lang w:val="en-US"/>
        </w:rPr>
        <w:t xml:space="preserve"> what th</w:t>
      </w:r>
      <w:r w:rsidR="00293735">
        <w:rPr>
          <w:lang w:val="en-US"/>
        </w:rPr>
        <w:t>os</w:t>
      </w:r>
      <w:r w:rsidRPr="00BC7DB0">
        <w:rPr>
          <w:lang w:val="en-US"/>
        </w:rPr>
        <w:t xml:space="preserve">e changes should be. </w:t>
      </w:r>
      <w:r w:rsidR="00190E48">
        <w:rPr>
          <w:lang w:val="en-US"/>
        </w:rPr>
        <w:t>T</w:t>
      </w:r>
      <w:r>
        <w:rPr>
          <w:lang w:val="en-US"/>
        </w:rPr>
        <w:t xml:space="preserve">wo </w:t>
      </w:r>
      <w:r w:rsidR="00293735">
        <w:rPr>
          <w:lang w:val="en-US"/>
        </w:rPr>
        <w:t>respondents opposed</w:t>
      </w:r>
      <w:r>
        <w:rPr>
          <w:lang w:val="en-US"/>
        </w:rPr>
        <w:t xml:space="preserve"> any changes in the 5 GHz band</w:t>
      </w:r>
      <w:r w:rsidRPr="00BC7DB0">
        <w:rPr>
          <w:lang w:val="en-US"/>
        </w:rPr>
        <w:t>.</w:t>
      </w:r>
    </w:p>
    <w:p w14:paraId="132D4E20" w14:textId="4EC9C070" w:rsidR="00CC40BD" w:rsidRPr="00BC7DB0" w:rsidRDefault="00CC40BD" w:rsidP="00CC40BD">
      <w:pPr>
        <w:pStyle w:val="Paragraph"/>
        <w:rPr>
          <w:lang w:val="en-US"/>
        </w:rPr>
      </w:pPr>
      <w:r w:rsidRPr="00B1643C">
        <w:rPr>
          <w:lang w:val="en-US"/>
        </w:rPr>
        <w:t xml:space="preserve">The following sections briefly </w:t>
      </w:r>
      <w:r w:rsidRPr="00B1643C">
        <w:t>summarise</w:t>
      </w:r>
      <w:r w:rsidRPr="00B1643C">
        <w:rPr>
          <w:lang w:val="en-US"/>
        </w:rPr>
        <w:t xml:space="preserve"> the responses </w:t>
      </w:r>
      <w:r w:rsidR="00981E13" w:rsidRPr="00B1643C">
        <w:rPr>
          <w:lang w:val="en-US"/>
        </w:rPr>
        <w:t>to</w:t>
      </w:r>
      <w:r w:rsidR="005C0835" w:rsidRPr="00B1643C">
        <w:rPr>
          <w:lang w:val="en-US"/>
        </w:rPr>
        <w:t xml:space="preserve"> specific issues</w:t>
      </w:r>
      <w:r w:rsidRPr="00B1643C">
        <w:rPr>
          <w:lang w:val="en-US"/>
        </w:rPr>
        <w:t xml:space="preserve"> raised in the consultation paper.</w:t>
      </w:r>
    </w:p>
    <w:p w14:paraId="2BD4F131" w14:textId="77777777" w:rsidR="00403191" w:rsidRPr="002824B7" w:rsidRDefault="00403191" w:rsidP="001508B1">
      <w:pPr>
        <w:pStyle w:val="Heading3"/>
        <w:rPr>
          <w:u w:val="none"/>
        </w:rPr>
      </w:pPr>
      <w:bookmarkStart w:id="11" w:name="_Toc76998057"/>
      <w:r w:rsidRPr="002824B7">
        <w:rPr>
          <w:u w:val="none"/>
        </w:rPr>
        <w:t>Demand for spectrum</w:t>
      </w:r>
      <w:bookmarkEnd w:id="11"/>
    </w:p>
    <w:p w14:paraId="2335ACCF" w14:textId="6095B5DD" w:rsidR="00403191" w:rsidRPr="003F1AFF" w:rsidRDefault="00403191" w:rsidP="00403191">
      <w:pPr>
        <w:pStyle w:val="Paragraph"/>
      </w:pPr>
      <w:r w:rsidRPr="00BC7DB0">
        <w:rPr>
          <w:lang w:val="en-US"/>
        </w:rPr>
        <w:t xml:space="preserve">Discussion on the demand for spectrum focused on the </w:t>
      </w:r>
      <w:r>
        <w:rPr>
          <w:lang w:val="en-US"/>
        </w:rPr>
        <w:t xml:space="preserve">perceived </w:t>
      </w:r>
      <w:r w:rsidRPr="00BC7DB0">
        <w:rPr>
          <w:lang w:val="en-US"/>
        </w:rPr>
        <w:t>demand or requirement</w:t>
      </w:r>
      <w:r>
        <w:rPr>
          <w:lang w:val="en-US"/>
        </w:rPr>
        <w:t>s</w:t>
      </w:r>
      <w:r w:rsidRPr="00BC7DB0">
        <w:rPr>
          <w:lang w:val="en-US"/>
        </w:rPr>
        <w:t xml:space="preserve"> for new spectrum for </w:t>
      </w:r>
      <w:r w:rsidR="005C0835">
        <w:rPr>
          <w:lang w:val="en-US"/>
        </w:rPr>
        <w:t>RLANs</w:t>
      </w:r>
      <w:r w:rsidRPr="00BC7DB0">
        <w:rPr>
          <w:lang w:val="en-US"/>
        </w:rPr>
        <w:t xml:space="preserve"> and/or IMT in the mid-band</w:t>
      </w:r>
      <w:r w:rsidR="00AB6604">
        <w:rPr>
          <w:rStyle w:val="FootnoteReference"/>
          <w:lang w:val="en-US"/>
        </w:rPr>
        <w:footnoteReference w:id="3"/>
      </w:r>
      <w:r w:rsidRPr="00BC7DB0">
        <w:rPr>
          <w:lang w:val="en-US"/>
        </w:rPr>
        <w:t xml:space="preserve"> in the medium </w:t>
      </w:r>
      <w:r w:rsidRPr="003F1AFF">
        <w:t xml:space="preserve">term. </w:t>
      </w:r>
      <w:r w:rsidR="00D0236A">
        <w:t>Comment</w:t>
      </w:r>
      <w:r w:rsidR="000868EA">
        <w:t>s</w:t>
      </w:r>
      <w:r w:rsidR="00D0236A">
        <w:t xml:space="preserve"> noted </w:t>
      </w:r>
      <w:r w:rsidRPr="003F1AFF">
        <w:t>that both licensed and unlicensed services will need more mid-band spectrum to support the growth of the services within the next 5 years.</w:t>
      </w:r>
    </w:p>
    <w:p w14:paraId="5D334A07" w14:textId="136EFC9D" w:rsidR="00403191" w:rsidRDefault="005C0835" w:rsidP="00403191">
      <w:pPr>
        <w:pStyle w:val="Paragraph"/>
      </w:pPr>
      <w:r>
        <w:t xml:space="preserve">RLAN proponents </w:t>
      </w:r>
      <w:r w:rsidR="00403191" w:rsidRPr="003F1AFF">
        <w:t xml:space="preserve">focused on the need for spectrum </w:t>
      </w:r>
      <w:r>
        <w:t xml:space="preserve">arrangements </w:t>
      </w:r>
      <w:r w:rsidR="00403191" w:rsidRPr="003F1AFF">
        <w:t xml:space="preserve">that </w:t>
      </w:r>
      <w:r>
        <w:t>would enable</w:t>
      </w:r>
      <w:r w:rsidR="00403191" w:rsidRPr="003F1AFF">
        <w:t xml:space="preserve"> </w:t>
      </w:r>
      <w:r>
        <w:t>signal</w:t>
      </w:r>
      <w:r w:rsidR="00403191" w:rsidRPr="003F1AFF">
        <w:t xml:space="preserve"> bandwidths wider than can be accommodated in existing spectrum, </w:t>
      </w:r>
      <w:r>
        <w:t xml:space="preserve">along with </w:t>
      </w:r>
      <w:r w:rsidR="00403191" w:rsidRPr="003F1AFF">
        <w:t>congestion in those existing bands.</w:t>
      </w:r>
    </w:p>
    <w:p w14:paraId="13ABDDAA" w14:textId="267CCB7B" w:rsidR="00403191" w:rsidRPr="009C2BDC" w:rsidRDefault="00403191" w:rsidP="00A14AAA">
      <w:pPr>
        <w:pStyle w:val="Heading3"/>
        <w:rPr>
          <w:u w:val="none"/>
        </w:rPr>
      </w:pPr>
      <w:bookmarkStart w:id="12" w:name="_Toc76998058"/>
      <w:r w:rsidRPr="009C2BDC">
        <w:rPr>
          <w:u w:val="none"/>
        </w:rPr>
        <w:t xml:space="preserve">Use of the lower </w:t>
      </w:r>
      <w:r w:rsidR="005C0835" w:rsidRPr="009C2BDC">
        <w:rPr>
          <w:u w:val="none"/>
        </w:rPr>
        <w:t xml:space="preserve">6 GHz </w:t>
      </w:r>
      <w:r w:rsidRPr="009C2BDC">
        <w:rPr>
          <w:u w:val="none"/>
        </w:rPr>
        <w:t>band</w:t>
      </w:r>
      <w:bookmarkEnd w:id="12"/>
    </w:p>
    <w:p w14:paraId="4363848C" w14:textId="057E48D2" w:rsidR="00403191" w:rsidRDefault="00403191" w:rsidP="00403191">
      <w:pPr>
        <w:pStyle w:val="Paragraph"/>
        <w:rPr>
          <w:lang w:val="en-US"/>
        </w:rPr>
      </w:pPr>
      <w:r w:rsidRPr="00BC7DB0">
        <w:rPr>
          <w:lang w:val="en-US"/>
        </w:rPr>
        <w:t>No submissions opposed the introduction of unlicensed RLAN use in the lower 6 GHz band</w:t>
      </w:r>
      <w:r>
        <w:rPr>
          <w:lang w:val="en-US"/>
        </w:rPr>
        <w:t>, although s</w:t>
      </w:r>
      <w:r w:rsidRPr="00BC7DB0">
        <w:rPr>
          <w:lang w:val="en-US"/>
        </w:rPr>
        <w:t xml:space="preserve">ome </w:t>
      </w:r>
      <w:r>
        <w:rPr>
          <w:lang w:val="en-US"/>
        </w:rPr>
        <w:t xml:space="preserve">noted they wanted to see sufficient </w:t>
      </w:r>
      <w:r w:rsidRPr="00BC7DB0">
        <w:rPr>
          <w:lang w:val="en-US"/>
        </w:rPr>
        <w:t>protecti</w:t>
      </w:r>
      <w:r>
        <w:rPr>
          <w:lang w:val="en-US"/>
        </w:rPr>
        <w:t xml:space="preserve">on </w:t>
      </w:r>
      <w:r w:rsidR="005C0835">
        <w:rPr>
          <w:lang w:val="en-US"/>
        </w:rPr>
        <w:t>for</w:t>
      </w:r>
      <w:r w:rsidDel="005C0835">
        <w:rPr>
          <w:lang w:val="en-US"/>
        </w:rPr>
        <w:t xml:space="preserve"> </w:t>
      </w:r>
      <w:r w:rsidR="005C0835">
        <w:rPr>
          <w:lang w:val="en-US"/>
        </w:rPr>
        <w:t xml:space="preserve">incumbent </w:t>
      </w:r>
      <w:r w:rsidRPr="00BC7DB0">
        <w:rPr>
          <w:lang w:val="en-US"/>
        </w:rPr>
        <w:t>services and technologies</w:t>
      </w:r>
      <w:r>
        <w:rPr>
          <w:lang w:val="en-US"/>
        </w:rPr>
        <w:t xml:space="preserve"> – </w:t>
      </w:r>
      <w:r w:rsidR="005C0835">
        <w:rPr>
          <w:lang w:val="en-US"/>
        </w:rPr>
        <w:t xml:space="preserve">such as adjacent-band </w:t>
      </w:r>
      <w:r>
        <w:rPr>
          <w:lang w:val="en-US"/>
        </w:rPr>
        <w:t xml:space="preserve">fixed links and </w:t>
      </w:r>
      <w:r w:rsidR="00AB6604">
        <w:rPr>
          <w:lang w:val="en-US"/>
        </w:rPr>
        <w:t>Cellular Vehicle-to-</w:t>
      </w:r>
      <w:r w:rsidR="00A14AAA">
        <w:rPr>
          <w:lang w:val="en-US"/>
        </w:rPr>
        <w:t>E</w:t>
      </w:r>
      <w:r w:rsidR="00AB6604">
        <w:rPr>
          <w:lang w:val="en-US"/>
        </w:rPr>
        <w:t>verything (</w:t>
      </w:r>
      <w:r>
        <w:rPr>
          <w:lang w:val="en-US"/>
        </w:rPr>
        <w:t>C-V2X</w:t>
      </w:r>
      <w:r w:rsidR="00AB6604">
        <w:rPr>
          <w:lang w:val="en-US"/>
        </w:rPr>
        <w:t>)</w:t>
      </w:r>
      <w:r>
        <w:rPr>
          <w:lang w:val="en-US"/>
        </w:rPr>
        <w:t xml:space="preserve">. Others wanted to ensure that support was given to other unlicensed technologies (such as </w:t>
      </w:r>
      <w:r w:rsidR="00AB6604">
        <w:rPr>
          <w:lang w:val="en-US"/>
        </w:rPr>
        <w:t>New Radio Unlicensed (</w:t>
      </w:r>
      <w:r>
        <w:rPr>
          <w:lang w:val="en-US"/>
        </w:rPr>
        <w:t>NR-U</w:t>
      </w:r>
      <w:r w:rsidR="00AB6604">
        <w:rPr>
          <w:lang w:val="en-US"/>
        </w:rPr>
        <w:t>)</w:t>
      </w:r>
      <w:r>
        <w:rPr>
          <w:lang w:val="en-US"/>
        </w:rPr>
        <w:t>) in the band.</w:t>
      </w:r>
    </w:p>
    <w:p w14:paraId="5BE0B4C4" w14:textId="7DE571B4" w:rsidR="00403191" w:rsidRPr="009C2BDC" w:rsidRDefault="00403191" w:rsidP="00403191">
      <w:pPr>
        <w:pStyle w:val="Heading3"/>
        <w:rPr>
          <w:u w:val="none"/>
          <w:lang w:val="en-US"/>
        </w:rPr>
      </w:pPr>
      <w:bookmarkStart w:id="13" w:name="_Toc76998059"/>
      <w:r w:rsidRPr="009C2BDC">
        <w:rPr>
          <w:u w:val="none"/>
          <w:lang w:val="en-US"/>
        </w:rPr>
        <w:t xml:space="preserve">Use of the upper </w:t>
      </w:r>
      <w:r w:rsidR="005C0835" w:rsidRPr="009C2BDC">
        <w:rPr>
          <w:u w:val="none"/>
          <w:lang w:val="en-US"/>
        </w:rPr>
        <w:t xml:space="preserve">6 GHz </w:t>
      </w:r>
      <w:r w:rsidRPr="009C2BDC">
        <w:rPr>
          <w:u w:val="none"/>
          <w:lang w:val="en-US"/>
        </w:rPr>
        <w:t>band</w:t>
      </w:r>
      <w:bookmarkEnd w:id="13"/>
    </w:p>
    <w:p w14:paraId="5683AF19" w14:textId="5A619F8D" w:rsidR="00403191" w:rsidRDefault="00403191" w:rsidP="00403191">
      <w:pPr>
        <w:pStyle w:val="Paragraph"/>
        <w:rPr>
          <w:lang w:val="en-US"/>
        </w:rPr>
      </w:pPr>
      <w:r w:rsidRPr="00BC7DB0">
        <w:rPr>
          <w:lang w:val="en-US"/>
        </w:rPr>
        <w:t xml:space="preserve">The question of whether the upper </w:t>
      </w:r>
      <w:r>
        <w:rPr>
          <w:lang w:val="en-US"/>
        </w:rPr>
        <w:t xml:space="preserve">700 MHz </w:t>
      </w:r>
      <w:r w:rsidRPr="00BC7DB0">
        <w:rPr>
          <w:lang w:val="en-US"/>
        </w:rPr>
        <w:t xml:space="preserve">should also be made available for class-licensed use was </w:t>
      </w:r>
      <w:r w:rsidR="00D11AEB">
        <w:rPr>
          <w:lang w:val="en-US"/>
        </w:rPr>
        <w:t>heavily contested</w:t>
      </w:r>
      <w:r w:rsidRPr="00BC7DB0">
        <w:rPr>
          <w:lang w:val="en-US"/>
        </w:rPr>
        <w:t xml:space="preserve">. Most respondents supported </w:t>
      </w:r>
      <w:r w:rsidR="00D11AEB">
        <w:rPr>
          <w:lang w:val="en-US"/>
        </w:rPr>
        <w:t>enabling</w:t>
      </w:r>
      <w:r w:rsidR="00D11AEB" w:rsidRPr="00BC7DB0">
        <w:rPr>
          <w:lang w:val="en-US"/>
        </w:rPr>
        <w:t xml:space="preserve"> </w:t>
      </w:r>
      <w:r w:rsidRPr="00BC7DB0">
        <w:rPr>
          <w:lang w:val="en-US"/>
        </w:rPr>
        <w:t>th</w:t>
      </w:r>
      <w:r>
        <w:rPr>
          <w:lang w:val="en-US"/>
        </w:rPr>
        <w:t>e upper band</w:t>
      </w:r>
      <w:r w:rsidRPr="00BC7DB0">
        <w:rPr>
          <w:lang w:val="en-US"/>
        </w:rPr>
        <w:t xml:space="preserve"> for unlicensed RLAN use, but there was </w:t>
      </w:r>
      <w:r w:rsidR="00D11AEB">
        <w:rPr>
          <w:lang w:val="en-US"/>
        </w:rPr>
        <w:t xml:space="preserve">some </w:t>
      </w:r>
      <w:r>
        <w:rPr>
          <w:lang w:val="en-US"/>
        </w:rPr>
        <w:t xml:space="preserve">explicit </w:t>
      </w:r>
      <w:r w:rsidRPr="00BC7DB0">
        <w:rPr>
          <w:lang w:val="en-US"/>
        </w:rPr>
        <w:t xml:space="preserve">opposition. Opponents mainly preferred to wait for other developments and/or further studies before deciding what the best use of the upper band may be. </w:t>
      </w:r>
    </w:p>
    <w:p w14:paraId="14E14181" w14:textId="2CE877CF" w:rsidR="00403191" w:rsidRDefault="00403191" w:rsidP="00403191">
      <w:pPr>
        <w:pStyle w:val="Paragraph"/>
        <w:rPr>
          <w:lang w:val="en-US"/>
        </w:rPr>
      </w:pPr>
      <w:r w:rsidRPr="00BC7DB0">
        <w:rPr>
          <w:lang w:val="en-US"/>
        </w:rPr>
        <w:t>Supporters of both unlicensed and licensed use in th</w:t>
      </w:r>
      <w:r w:rsidR="00E71A58">
        <w:rPr>
          <w:lang w:val="en-US"/>
        </w:rPr>
        <w:t xml:space="preserve">e upper 6 GHz </w:t>
      </w:r>
      <w:r w:rsidRPr="00BC7DB0">
        <w:rPr>
          <w:lang w:val="en-US"/>
        </w:rPr>
        <w:t xml:space="preserve">band cited </w:t>
      </w:r>
      <w:r w:rsidR="00E71A58">
        <w:rPr>
          <w:lang w:val="en-US"/>
        </w:rPr>
        <w:t xml:space="preserve">high </w:t>
      </w:r>
      <w:r w:rsidR="00D0236A">
        <w:rPr>
          <w:lang w:val="en-US"/>
        </w:rPr>
        <w:t xml:space="preserve">demand for </w:t>
      </w:r>
      <w:r w:rsidR="00E71A58">
        <w:rPr>
          <w:lang w:val="en-US"/>
        </w:rPr>
        <w:t xml:space="preserve">their preferred </w:t>
      </w:r>
      <w:r w:rsidR="00D0236A">
        <w:rPr>
          <w:lang w:val="en-US"/>
        </w:rPr>
        <w:t xml:space="preserve">use of </w:t>
      </w:r>
      <w:r w:rsidR="00E71A58">
        <w:rPr>
          <w:lang w:val="en-US"/>
        </w:rPr>
        <w:t xml:space="preserve">the spectrum, and </w:t>
      </w:r>
      <w:r w:rsidR="00981E13">
        <w:rPr>
          <w:lang w:val="en-US"/>
        </w:rPr>
        <w:t>the</w:t>
      </w:r>
      <w:r w:rsidR="00E71A58">
        <w:rPr>
          <w:lang w:val="en-US"/>
        </w:rPr>
        <w:t xml:space="preserve"> need for </w:t>
      </w:r>
      <w:r w:rsidRPr="00BC7DB0">
        <w:rPr>
          <w:lang w:val="en-US"/>
        </w:rPr>
        <w:t>more mid-band spectrum</w:t>
      </w:r>
      <w:r w:rsidR="00981E13">
        <w:rPr>
          <w:lang w:val="en-US"/>
        </w:rPr>
        <w:t xml:space="preserve"> for that use</w:t>
      </w:r>
      <w:r w:rsidRPr="00BC7DB0">
        <w:rPr>
          <w:lang w:val="en-US"/>
        </w:rPr>
        <w:t>.</w:t>
      </w:r>
    </w:p>
    <w:p w14:paraId="209AA92A" w14:textId="558FCAC0" w:rsidR="00403191" w:rsidRDefault="00403191" w:rsidP="00403191">
      <w:pPr>
        <w:pStyle w:val="Paragraph"/>
        <w:rPr>
          <w:lang w:val="en-US"/>
        </w:rPr>
      </w:pPr>
      <w:r>
        <w:rPr>
          <w:lang w:val="en-US"/>
        </w:rPr>
        <w:t xml:space="preserve">Satellite operators were the main </w:t>
      </w:r>
      <w:r w:rsidR="00D11AEB">
        <w:rPr>
          <w:lang w:val="en-US"/>
        </w:rPr>
        <w:t>opponents of</w:t>
      </w:r>
      <w:r>
        <w:rPr>
          <w:lang w:val="en-US"/>
        </w:rPr>
        <w:t xml:space="preserve"> unlicensed use of the upper band – or indeed</w:t>
      </w:r>
      <w:r w:rsidR="005D5FC6">
        <w:rPr>
          <w:lang w:val="en-US"/>
        </w:rPr>
        <w:t>,</w:t>
      </w:r>
      <w:r>
        <w:rPr>
          <w:lang w:val="en-US"/>
        </w:rPr>
        <w:t xml:space="preserve"> any changes in </w:t>
      </w:r>
      <w:r w:rsidR="00E71A58">
        <w:rPr>
          <w:lang w:val="en-US"/>
        </w:rPr>
        <w:t xml:space="preserve">the </w:t>
      </w:r>
      <w:r>
        <w:rPr>
          <w:lang w:val="en-US"/>
        </w:rPr>
        <w:t>use of th</w:t>
      </w:r>
      <w:r w:rsidR="00E71A58">
        <w:rPr>
          <w:lang w:val="en-US"/>
        </w:rPr>
        <w:t>is</w:t>
      </w:r>
      <w:r>
        <w:rPr>
          <w:lang w:val="en-US"/>
        </w:rPr>
        <w:t xml:space="preserve"> band. Mobile network operators mostly </w:t>
      </w:r>
      <w:r w:rsidR="009C2BDC">
        <w:rPr>
          <w:lang w:val="en-US"/>
        </w:rPr>
        <w:t>supported</w:t>
      </w:r>
      <w:r>
        <w:rPr>
          <w:lang w:val="en-US"/>
        </w:rPr>
        <w:t xml:space="preserve"> a wait</w:t>
      </w:r>
      <w:r w:rsidR="005D5FC6">
        <w:rPr>
          <w:lang w:val="en-US"/>
        </w:rPr>
        <w:t>-</w:t>
      </w:r>
      <w:r>
        <w:rPr>
          <w:lang w:val="en-US"/>
        </w:rPr>
        <w:t>and</w:t>
      </w:r>
      <w:r w:rsidR="005D5FC6">
        <w:rPr>
          <w:lang w:val="en-US"/>
        </w:rPr>
        <w:t>-</w:t>
      </w:r>
      <w:r>
        <w:rPr>
          <w:lang w:val="en-US"/>
        </w:rPr>
        <w:t xml:space="preserve">see approach, preferring to </w:t>
      </w:r>
      <w:r w:rsidR="0032709C">
        <w:rPr>
          <w:lang w:val="en-US"/>
        </w:rPr>
        <w:t>defer</w:t>
      </w:r>
      <w:r>
        <w:rPr>
          <w:lang w:val="en-US"/>
        </w:rPr>
        <w:t xml:space="preserve"> a decision on the upper band until WRC-23 had </w:t>
      </w:r>
      <w:r w:rsidR="005D5FC6">
        <w:rPr>
          <w:lang w:val="en-US"/>
        </w:rPr>
        <w:t>decided</w:t>
      </w:r>
      <w:r>
        <w:rPr>
          <w:lang w:val="en-US"/>
        </w:rPr>
        <w:t xml:space="preserve"> on agenda item 1.2, in </w:t>
      </w:r>
      <w:r w:rsidR="0032709C">
        <w:rPr>
          <w:lang w:val="en-US"/>
        </w:rPr>
        <w:t>anticipation of increasing</w:t>
      </w:r>
      <w:r>
        <w:rPr>
          <w:lang w:val="en-US"/>
        </w:rPr>
        <w:t xml:space="preserve"> </w:t>
      </w:r>
      <w:r w:rsidR="0032709C">
        <w:rPr>
          <w:lang w:val="en-US"/>
        </w:rPr>
        <w:t xml:space="preserve">international </w:t>
      </w:r>
      <w:r>
        <w:rPr>
          <w:lang w:val="en-US"/>
        </w:rPr>
        <w:t>momentum towards IMT in th</w:t>
      </w:r>
      <w:r w:rsidR="00E71A58">
        <w:rPr>
          <w:lang w:val="en-US"/>
        </w:rPr>
        <w:t>is</w:t>
      </w:r>
      <w:r>
        <w:rPr>
          <w:lang w:val="en-US"/>
        </w:rPr>
        <w:t xml:space="preserve"> band. </w:t>
      </w:r>
    </w:p>
    <w:p w14:paraId="685865AE" w14:textId="2FE29E2F" w:rsidR="00403191" w:rsidRDefault="00403191" w:rsidP="009C2BDC">
      <w:pPr>
        <w:pStyle w:val="Paragraphbeforelist"/>
        <w:keepNext/>
        <w:keepLines/>
        <w:rPr>
          <w:lang w:val="en-US"/>
        </w:rPr>
      </w:pPr>
      <w:r>
        <w:rPr>
          <w:lang w:val="en-US"/>
        </w:rPr>
        <w:lastRenderedPageBreak/>
        <w:t xml:space="preserve">Arguments </w:t>
      </w:r>
      <w:r w:rsidRPr="008B39CF">
        <w:t xml:space="preserve">in </w:t>
      </w:r>
      <w:r w:rsidR="00B455DF">
        <w:rPr>
          <w:lang w:val="en-US"/>
        </w:rPr>
        <w:t xml:space="preserve">support </w:t>
      </w:r>
      <w:r>
        <w:rPr>
          <w:lang w:val="en-US"/>
        </w:rPr>
        <w:t>of class</w:t>
      </w:r>
      <w:r w:rsidR="0032709C">
        <w:rPr>
          <w:lang w:val="en-US"/>
        </w:rPr>
        <w:t>-</w:t>
      </w:r>
      <w:r>
        <w:rPr>
          <w:lang w:val="en-US"/>
        </w:rPr>
        <w:t>licensing the upper band included:</w:t>
      </w:r>
    </w:p>
    <w:p w14:paraId="2241B19C" w14:textId="77777777" w:rsidR="00403191" w:rsidRDefault="00403191" w:rsidP="009C2BDC">
      <w:pPr>
        <w:pStyle w:val="Bulletlevel1"/>
        <w:keepNext/>
        <w:keepLines/>
        <w:rPr>
          <w:lang w:val="en-US"/>
        </w:rPr>
      </w:pPr>
      <w:r>
        <w:rPr>
          <w:lang w:val="en-US"/>
        </w:rPr>
        <w:t>alignment with other jurisdictions and economies of scale</w:t>
      </w:r>
    </w:p>
    <w:p w14:paraId="4D4768A4" w14:textId="1754F34F" w:rsidR="00403191" w:rsidRDefault="0032709C" w:rsidP="009C2BDC">
      <w:pPr>
        <w:pStyle w:val="Bulletlevel1"/>
        <w:keepNext/>
        <w:keepLines/>
        <w:rPr>
          <w:lang w:val="en-US"/>
        </w:rPr>
      </w:pPr>
      <w:r>
        <w:rPr>
          <w:lang w:val="en-US"/>
        </w:rPr>
        <w:t>current international studies demonstrating</w:t>
      </w:r>
      <w:r w:rsidR="00403191" w:rsidDel="0032709C">
        <w:rPr>
          <w:lang w:val="en-US"/>
        </w:rPr>
        <w:t xml:space="preserve"> </w:t>
      </w:r>
      <w:r w:rsidR="00403191">
        <w:rPr>
          <w:lang w:val="en-US"/>
        </w:rPr>
        <w:t xml:space="preserve">compatibility </w:t>
      </w:r>
      <w:r>
        <w:rPr>
          <w:lang w:val="en-US"/>
        </w:rPr>
        <w:t xml:space="preserve">between prospective and </w:t>
      </w:r>
      <w:r w:rsidR="00403191">
        <w:rPr>
          <w:lang w:val="en-US"/>
        </w:rPr>
        <w:t xml:space="preserve">incumbent </w:t>
      </w:r>
      <w:r>
        <w:rPr>
          <w:lang w:val="en-US"/>
        </w:rPr>
        <w:t>use</w:t>
      </w:r>
      <w:r w:rsidR="00981E13">
        <w:rPr>
          <w:lang w:val="en-US"/>
        </w:rPr>
        <w:t>s</w:t>
      </w:r>
      <w:r>
        <w:rPr>
          <w:lang w:val="en-US"/>
        </w:rPr>
        <w:t xml:space="preserve"> of</w:t>
      </w:r>
      <w:r w:rsidR="00403191">
        <w:rPr>
          <w:lang w:val="en-US"/>
        </w:rPr>
        <w:t xml:space="preserve"> the band</w:t>
      </w:r>
      <w:r>
        <w:rPr>
          <w:lang w:val="en-US"/>
        </w:rPr>
        <w:t xml:space="preserve"> (i</w:t>
      </w:r>
      <w:r w:rsidR="00403191">
        <w:rPr>
          <w:lang w:val="en-US"/>
        </w:rPr>
        <w:t>ncumben</w:t>
      </w:r>
      <w:r>
        <w:rPr>
          <w:lang w:val="en-US"/>
        </w:rPr>
        <w:t>cy</w:t>
      </w:r>
      <w:r w:rsidR="00403191">
        <w:rPr>
          <w:lang w:val="en-US"/>
        </w:rPr>
        <w:t xml:space="preserve"> in Australia </w:t>
      </w:r>
      <w:r>
        <w:rPr>
          <w:lang w:val="en-US"/>
        </w:rPr>
        <w:t>is the same as</w:t>
      </w:r>
      <w:r w:rsidR="00403191">
        <w:rPr>
          <w:lang w:val="en-US"/>
        </w:rPr>
        <w:t xml:space="preserve"> elsewhere</w:t>
      </w:r>
      <w:r>
        <w:rPr>
          <w:lang w:val="en-US"/>
        </w:rPr>
        <w:t>)</w:t>
      </w:r>
    </w:p>
    <w:p w14:paraId="4786338B" w14:textId="3106D380" w:rsidR="00403191" w:rsidRDefault="00981E13" w:rsidP="009C2BDC">
      <w:pPr>
        <w:pStyle w:val="Bulletlevel1"/>
        <w:keepNext/>
        <w:keepLines/>
        <w:rPr>
          <w:lang w:val="en-US"/>
        </w:rPr>
      </w:pPr>
      <w:r>
        <w:rPr>
          <w:lang w:val="en-US"/>
        </w:rPr>
        <w:t>h</w:t>
      </w:r>
      <w:r w:rsidR="00403191">
        <w:rPr>
          <w:lang w:val="en-US"/>
        </w:rPr>
        <w:t xml:space="preserve">igh demand for more </w:t>
      </w:r>
      <w:r w:rsidR="005E08FE">
        <w:rPr>
          <w:lang w:val="en-US"/>
        </w:rPr>
        <w:t>w</w:t>
      </w:r>
      <w:r w:rsidR="00403191">
        <w:rPr>
          <w:lang w:val="en-US"/>
        </w:rPr>
        <w:t>i-</w:t>
      </w:r>
      <w:r w:rsidR="005E08FE">
        <w:rPr>
          <w:lang w:val="en-US"/>
        </w:rPr>
        <w:t>f</w:t>
      </w:r>
      <w:r w:rsidR="00403191">
        <w:rPr>
          <w:lang w:val="en-US"/>
        </w:rPr>
        <w:t>i spectrum</w:t>
      </w:r>
    </w:p>
    <w:p w14:paraId="02743EC8" w14:textId="6DEC9902" w:rsidR="00403191" w:rsidRDefault="00981E13" w:rsidP="009C2BDC">
      <w:pPr>
        <w:pStyle w:val="Bulletlevel1last"/>
        <w:keepNext/>
        <w:keepLines/>
        <w:rPr>
          <w:lang w:val="en-US"/>
        </w:rPr>
      </w:pPr>
      <w:r>
        <w:rPr>
          <w:lang w:val="en-US"/>
        </w:rPr>
        <w:t>the a</w:t>
      </w:r>
      <w:r w:rsidR="00403191">
        <w:rPr>
          <w:lang w:val="en-US"/>
        </w:rPr>
        <w:t>bility of mobile operators to use other unlicensed technologies in the band, such as 5G NR-U, to complement their licensed networks.</w:t>
      </w:r>
    </w:p>
    <w:p w14:paraId="4099259F" w14:textId="50CC82BB" w:rsidR="00403191" w:rsidRDefault="00403191" w:rsidP="00403191">
      <w:pPr>
        <w:pStyle w:val="Paragraph"/>
        <w:rPr>
          <w:lang w:val="en-US"/>
        </w:rPr>
      </w:pPr>
      <w:r>
        <w:rPr>
          <w:lang w:val="en-US"/>
        </w:rPr>
        <w:t xml:space="preserve">Satellite </w:t>
      </w:r>
      <w:r w:rsidR="0032709C">
        <w:rPr>
          <w:lang w:val="en-US"/>
        </w:rPr>
        <w:t xml:space="preserve">industry respondents </w:t>
      </w:r>
      <w:r>
        <w:rPr>
          <w:lang w:val="en-US"/>
        </w:rPr>
        <w:t xml:space="preserve">were concerned about </w:t>
      </w:r>
      <w:r w:rsidR="0032709C">
        <w:rPr>
          <w:lang w:val="en-US"/>
        </w:rPr>
        <w:t xml:space="preserve">aggregate </w:t>
      </w:r>
      <w:r>
        <w:rPr>
          <w:lang w:val="en-US"/>
        </w:rPr>
        <w:t xml:space="preserve">interference to satellite receivers </w:t>
      </w:r>
      <w:r w:rsidDel="0032709C">
        <w:rPr>
          <w:lang w:val="en-US"/>
        </w:rPr>
        <w:t xml:space="preserve">from </w:t>
      </w:r>
      <w:r w:rsidR="0032709C">
        <w:rPr>
          <w:lang w:val="en-US"/>
        </w:rPr>
        <w:t xml:space="preserve">potentially </w:t>
      </w:r>
      <w:r>
        <w:rPr>
          <w:lang w:val="en-US"/>
        </w:rPr>
        <w:t xml:space="preserve">high numbers of </w:t>
      </w:r>
      <w:r w:rsidR="0032709C">
        <w:rPr>
          <w:lang w:val="en-US"/>
        </w:rPr>
        <w:t xml:space="preserve">terrestrial class-licensed </w:t>
      </w:r>
      <w:r>
        <w:rPr>
          <w:lang w:val="en-US"/>
        </w:rPr>
        <w:t>devices. IMT</w:t>
      </w:r>
      <w:r w:rsidDel="0032709C">
        <w:rPr>
          <w:lang w:val="en-US"/>
        </w:rPr>
        <w:t xml:space="preserve"> </w:t>
      </w:r>
      <w:r w:rsidR="0032709C">
        <w:rPr>
          <w:lang w:val="en-US"/>
        </w:rPr>
        <w:t xml:space="preserve">proponents </w:t>
      </w:r>
      <w:r>
        <w:rPr>
          <w:lang w:val="en-US"/>
        </w:rPr>
        <w:t>tended to support a wait</w:t>
      </w:r>
      <w:r w:rsidR="005D5FC6">
        <w:rPr>
          <w:lang w:val="en-US"/>
        </w:rPr>
        <w:t>-</w:t>
      </w:r>
      <w:r>
        <w:rPr>
          <w:lang w:val="en-US"/>
        </w:rPr>
        <w:t>and</w:t>
      </w:r>
      <w:r w:rsidR="005D5FC6">
        <w:rPr>
          <w:lang w:val="en-US"/>
        </w:rPr>
        <w:t>-</w:t>
      </w:r>
      <w:r>
        <w:rPr>
          <w:lang w:val="en-US"/>
        </w:rPr>
        <w:t xml:space="preserve">see approach, or </w:t>
      </w:r>
      <w:r w:rsidR="0032709C">
        <w:rPr>
          <w:lang w:val="en-US"/>
        </w:rPr>
        <w:t>suggested that</w:t>
      </w:r>
      <w:r w:rsidDel="0032709C">
        <w:rPr>
          <w:lang w:val="en-US"/>
        </w:rPr>
        <w:t xml:space="preserve"> </w:t>
      </w:r>
      <w:r w:rsidR="0032709C">
        <w:rPr>
          <w:lang w:val="en-US"/>
        </w:rPr>
        <w:t xml:space="preserve">further </w:t>
      </w:r>
      <w:r>
        <w:rPr>
          <w:lang w:val="en-US"/>
        </w:rPr>
        <w:t xml:space="preserve">studies </w:t>
      </w:r>
      <w:r w:rsidR="0032709C">
        <w:rPr>
          <w:lang w:val="en-US"/>
        </w:rPr>
        <w:t>are necessary</w:t>
      </w:r>
      <w:r>
        <w:rPr>
          <w:lang w:val="en-US"/>
        </w:rPr>
        <w:t xml:space="preserve">, rather than </w:t>
      </w:r>
      <w:r w:rsidR="0032709C">
        <w:rPr>
          <w:lang w:val="en-US"/>
        </w:rPr>
        <w:t xml:space="preserve">advancing </w:t>
      </w:r>
      <w:r>
        <w:rPr>
          <w:lang w:val="en-US"/>
        </w:rPr>
        <w:t>a clear case against RLAN use.</w:t>
      </w:r>
    </w:p>
    <w:p w14:paraId="4E45099F" w14:textId="77777777" w:rsidR="00403191" w:rsidRPr="009C2BDC" w:rsidRDefault="00403191" w:rsidP="005D5FC6">
      <w:pPr>
        <w:pStyle w:val="Heading3"/>
        <w:rPr>
          <w:u w:val="none"/>
        </w:rPr>
      </w:pPr>
      <w:bookmarkStart w:id="14" w:name="_Toc76998060"/>
      <w:r w:rsidRPr="009C2BDC">
        <w:rPr>
          <w:u w:val="none"/>
        </w:rPr>
        <w:t>Proposed low power limits</w:t>
      </w:r>
      <w:bookmarkEnd w:id="14"/>
    </w:p>
    <w:p w14:paraId="498F06D5" w14:textId="13104138" w:rsidR="00403191" w:rsidRDefault="00403191" w:rsidP="00403191">
      <w:pPr>
        <w:pStyle w:val="Paragraph"/>
      </w:pPr>
      <w:r w:rsidRPr="00D43586">
        <w:t>Many</w:t>
      </w:r>
      <w:r w:rsidRPr="00D43586" w:rsidDel="008D1C69">
        <w:t xml:space="preserve"> </w:t>
      </w:r>
      <w:r w:rsidR="008D1C69">
        <w:t>respondents</w:t>
      </w:r>
      <w:r w:rsidR="008D1C69" w:rsidRPr="00D43586">
        <w:t xml:space="preserve"> </w:t>
      </w:r>
      <w:r w:rsidR="00D0236A">
        <w:t xml:space="preserve">supported the </w:t>
      </w:r>
      <w:r>
        <w:t>power limits and</w:t>
      </w:r>
      <w:r w:rsidR="008D1C69">
        <w:t xml:space="preserve"> other operating</w:t>
      </w:r>
      <w:r>
        <w:t xml:space="preserve"> restrictions proposed in the consultation paper </w:t>
      </w:r>
      <w:r w:rsidRPr="00402460">
        <w:t>for VLP and LPI</w:t>
      </w:r>
      <w:r>
        <w:t xml:space="preserve"> devices and </w:t>
      </w:r>
      <w:r w:rsidR="005D5FC6">
        <w:t xml:space="preserve">endorsed </w:t>
      </w:r>
      <w:r>
        <w:t>the use of these types of devices.</w:t>
      </w:r>
      <w:r w:rsidRPr="00D43586">
        <w:t xml:space="preserve"> </w:t>
      </w:r>
      <w:r>
        <w:t xml:space="preserve">Several submissions requested an increase in </w:t>
      </w:r>
      <w:r w:rsidR="00695975">
        <w:t xml:space="preserve">operating </w:t>
      </w:r>
      <w:r>
        <w:t>power limits</w:t>
      </w:r>
      <w:r w:rsidR="00695975">
        <w:t>,</w:t>
      </w:r>
      <w:r w:rsidR="00D0236A">
        <w:t xml:space="preserve"> mainly </w:t>
      </w:r>
      <w:r w:rsidR="00695975">
        <w:t xml:space="preserve">on the basis </w:t>
      </w:r>
      <w:r>
        <w:t xml:space="preserve">that higher limits </w:t>
      </w:r>
      <w:r w:rsidR="00695975">
        <w:t xml:space="preserve">would be </w:t>
      </w:r>
      <w:r>
        <w:t xml:space="preserve">needed to support larger bandwidths that can be used under the new </w:t>
      </w:r>
      <w:r w:rsidR="005E08FE">
        <w:t>w</w:t>
      </w:r>
      <w:r>
        <w:t>i-</w:t>
      </w:r>
      <w:r w:rsidR="005E08FE">
        <w:t>f</w:t>
      </w:r>
      <w:r>
        <w:t>i standards</w:t>
      </w:r>
      <w:r w:rsidRPr="00D43586">
        <w:t>.</w:t>
      </w:r>
      <w:r>
        <w:t xml:space="preserve"> </w:t>
      </w:r>
      <w:r w:rsidR="00695975">
        <w:t xml:space="preserve">Alternative limits suggested in submissions </w:t>
      </w:r>
      <w:r>
        <w:t>were generally based on those used or proposed in other countries.</w:t>
      </w:r>
    </w:p>
    <w:p w14:paraId="0F05ECB4" w14:textId="77777777" w:rsidR="00403191" w:rsidRPr="00B54A97" w:rsidRDefault="00403191" w:rsidP="00403191">
      <w:pPr>
        <w:pStyle w:val="Heading3"/>
        <w:rPr>
          <w:u w:val="none"/>
          <w:lang w:val="en-US"/>
        </w:rPr>
      </w:pPr>
      <w:bookmarkStart w:id="15" w:name="_Toc76998061"/>
      <w:r w:rsidRPr="00B54A97">
        <w:rPr>
          <w:u w:val="none"/>
          <w:lang w:val="en-US"/>
        </w:rPr>
        <w:t>Higher power devices and AFC</w:t>
      </w:r>
      <w:bookmarkEnd w:id="15"/>
    </w:p>
    <w:p w14:paraId="71566844" w14:textId="3857A9A9" w:rsidR="00403191" w:rsidRDefault="00403191" w:rsidP="00403191">
      <w:pPr>
        <w:pStyle w:val="Paragraph"/>
      </w:pPr>
      <w:r w:rsidRPr="0029251A">
        <w:t xml:space="preserve">Interest in a </w:t>
      </w:r>
      <w:r w:rsidR="005D5FC6">
        <w:t>‘</w:t>
      </w:r>
      <w:r w:rsidRPr="0029251A">
        <w:t>standard power</w:t>
      </w:r>
      <w:r w:rsidR="005D5FC6">
        <w:t>’</w:t>
      </w:r>
      <w:r w:rsidR="00E71A58">
        <w:t xml:space="preserve"> (sometimes called </w:t>
      </w:r>
      <w:r w:rsidR="005D5FC6">
        <w:t>‘</w:t>
      </w:r>
      <w:r w:rsidR="00E71A58">
        <w:t>high power</w:t>
      </w:r>
      <w:r w:rsidR="005D5FC6">
        <w:t>’</w:t>
      </w:r>
      <w:r w:rsidR="00E71A58">
        <w:t>)</w:t>
      </w:r>
      <w:r w:rsidRPr="0029251A">
        <w:t xml:space="preserve"> category was mixed. </w:t>
      </w:r>
      <w:r>
        <w:t xml:space="preserve">Generally, supporters of </w:t>
      </w:r>
      <w:r w:rsidR="00B57134">
        <w:t>RLAN use</w:t>
      </w:r>
      <w:r>
        <w:t xml:space="preserve"> in the upper band </w:t>
      </w:r>
      <w:r w:rsidR="00E71A58">
        <w:t xml:space="preserve">also </w:t>
      </w:r>
      <w:r>
        <w:t xml:space="preserve">supported the use of high-power devices, </w:t>
      </w:r>
      <w:r w:rsidR="00B83DF5">
        <w:t>while others generally opposed both matters</w:t>
      </w:r>
      <w:r>
        <w:t>. CA SSWG and Telstra were the two exceptions, being in favour of class licensing in the upper band but against the use of high</w:t>
      </w:r>
      <w:r w:rsidR="00597E37">
        <w:t>-</w:t>
      </w:r>
      <w:r>
        <w:t>power devices (Telstra only oppose</w:t>
      </w:r>
      <w:r w:rsidRPr="00402460">
        <w:t>d high</w:t>
      </w:r>
      <w:r w:rsidR="005D5FC6" w:rsidRPr="00402460">
        <w:t>-</w:t>
      </w:r>
      <w:r w:rsidRPr="00402460">
        <w:t>power use i</w:t>
      </w:r>
      <w:r>
        <w:t>n the upper band).</w:t>
      </w:r>
    </w:p>
    <w:p w14:paraId="1AEADF5C" w14:textId="332A281E" w:rsidR="00403191" w:rsidRDefault="00403191" w:rsidP="00403191">
      <w:pPr>
        <w:pStyle w:val="Paragraph"/>
      </w:pPr>
      <w:r>
        <w:t>All supporters of high</w:t>
      </w:r>
      <w:r w:rsidR="00597E37">
        <w:t>-</w:t>
      </w:r>
      <w:r>
        <w:t>power devi</w:t>
      </w:r>
      <w:r w:rsidR="00B57134">
        <w:t>c</w:t>
      </w:r>
      <w:r>
        <w:t>e</w:t>
      </w:r>
      <w:r w:rsidR="00B57134">
        <w:t>s</w:t>
      </w:r>
      <w:r>
        <w:t xml:space="preserve"> agreed that the</w:t>
      </w:r>
      <w:r w:rsidR="00B57134">
        <w:t>se devices would</w:t>
      </w:r>
      <w:r>
        <w:t xml:space="preserve"> need to be </w:t>
      </w:r>
      <w:r w:rsidR="00B57134">
        <w:t xml:space="preserve">subject to additional </w:t>
      </w:r>
      <w:r>
        <w:t>regulat</w:t>
      </w:r>
      <w:r w:rsidR="00B57134">
        <w:t>ion</w:t>
      </w:r>
      <w:r>
        <w:t xml:space="preserve">, and most agreed that implementing an </w:t>
      </w:r>
      <w:r w:rsidR="00B83DF5">
        <w:t>Automatic Frequency Control (</w:t>
      </w:r>
      <w:r>
        <w:t>AFC</w:t>
      </w:r>
      <w:r w:rsidR="00B83DF5">
        <w:t>)</w:t>
      </w:r>
      <w:r>
        <w:t xml:space="preserve"> system </w:t>
      </w:r>
      <w:r w:rsidR="00B57134">
        <w:t xml:space="preserve">along the lines of </w:t>
      </w:r>
      <w:r>
        <w:t xml:space="preserve">similar systems being </w:t>
      </w:r>
      <w:r w:rsidR="00B57134">
        <w:t xml:space="preserve">considered </w:t>
      </w:r>
      <w:r>
        <w:t xml:space="preserve">overseas </w:t>
      </w:r>
      <w:r w:rsidR="00B57134">
        <w:t xml:space="preserve">would be </w:t>
      </w:r>
      <w:r>
        <w:t xml:space="preserve">the best option. Some suggested that an online database-based AFC system may be unnecessary for Australia, and that a </w:t>
      </w:r>
      <w:r w:rsidR="005D5FC6">
        <w:t>‘</w:t>
      </w:r>
      <w:r>
        <w:t>light licensing</w:t>
      </w:r>
      <w:r w:rsidR="005D5FC6">
        <w:t>’</w:t>
      </w:r>
      <w:r>
        <w:t xml:space="preserve"> or </w:t>
      </w:r>
      <w:r w:rsidR="005D5FC6">
        <w:t>‘</w:t>
      </w:r>
      <w:r>
        <w:t>simple registration</w:t>
      </w:r>
      <w:r w:rsidR="005D5FC6">
        <w:t>’</w:t>
      </w:r>
      <w:r>
        <w:t xml:space="preserve"> system may be sufficient.</w:t>
      </w:r>
    </w:p>
    <w:p w14:paraId="3F877A34" w14:textId="69BC819E" w:rsidR="00403191" w:rsidRDefault="00403191" w:rsidP="00403191">
      <w:pPr>
        <w:pStyle w:val="Paragraph"/>
      </w:pPr>
      <w:r>
        <w:t>Some opponents of high-power devices also claimed that AFC systems were unproven, too complex</w:t>
      </w:r>
      <w:r w:rsidR="008B39CF">
        <w:t>,</w:t>
      </w:r>
      <w:r>
        <w:t xml:space="preserve"> and difficult to manage.</w:t>
      </w:r>
    </w:p>
    <w:p w14:paraId="6E5756C4" w14:textId="77777777" w:rsidR="00403191" w:rsidRPr="00B54A97" w:rsidRDefault="00403191" w:rsidP="00403191">
      <w:pPr>
        <w:pStyle w:val="Heading3"/>
        <w:rPr>
          <w:u w:val="none"/>
          <w:lang w:val="en-US"/>
        </w:rPr>
      </w:pPr>
      <w:bookmarkStart w:id="16" w:name="_Toc76998062"/>
      <w:r w:rsidRPr="00B54A97">
        <w:rPr>
          <w:u w:val="none"/>
          <w:lang w:val="en-US"/>
        </w:rPr>
        <w:t>5 GHz band</w:t>
      </w:r>
      <w:bookmarkEnd w:id="16"/>
    </w:p>
    <w:p w14:paraId="27A89BAF" w14:textId="2057A8CB" w:rsidR="00403191" w:rsidRDefault="00403191" w:rsidP="00403191">
      <w:pPr>
        <w:pStyle w:val="Paragraph"/>
      </w:pPr>
      <w:r w:rsidRPr="00B066DB">
        <w:t xml:space="preserve">Most responses were supportive of making changes to existing 5 GHz arrangements, </w:t>
      </w:r>
      <w:r w:rsidR="00B83DF5">
        <w:t xml:space="preserve">which are </w:t>
      </w:r>
      <w:r>
        <w:t xml:space="preserve">broadly </w:t>
      </w:r>
      <w:r w:rsidRPr="00B066DB">
        <w:t>in line with those made to Resolution 229</w:t>
      </w:r>
      <w:r w:rsidR="00354543">
        <w:rPr>
          <w:rStyle w:val="FootnoteReference"/>
        </w:rPr>
        <w:footnoteReference w:id="4"/>
      </w:r>
      <w:r w:rsidRPr="00B066DB">
        <w:t xml:space="preserve"> at WRC-19</w:t>
      </w:r>
      <w:r w:rsidR="00354543">
        <w:t xml:space="preserve"> – that is, increased power limits and allowing outdoor use, with the introduction of restrictions on radiated powers at different elevation angles to protect satellite receivers</w:t>
      </w:r>
      <w:r>
        <w:t xml:space="preserve">. However, </w:t>
      </w:r>
      <w:r w:rsidRPr="00B066DB">
        <w:t>ther</w:t>
      </w:r>
      <w:r>
        <w:t xml:space="preserve">e </w:t>
      </w:r>
      <w:r w:rsidRPr="00B066DB">
        <w:t xml:space="preserve">were a range of different views on exactly what those changes should be, and </w:t>
      </w:r>
      <w:r>
        <w:t>several suggestions for</w:t>
      </w:r>
      <w:r w:rsidRPr="00B066DB">
        <w:t xml:space="preserve"> other </w:t>
      </w:r>
      <w:r>
        <w:t xml:space="preserve">unrelated </w:t>
      </w:r>
      <w:r w:rsidRPr="00B066DB">
        <w:t xml:space="preserve">changes </w:t>
      </w:r>
      <w:r>
        <w:t xml:space="preserve">that </w:t>
      </w:r>
      <w:r w:rsidR="001B2A71">
        <w:t xml:space="preserve">respondents thought might </w:t>
      </w:r>
      <w:r>
        <w:t xml:space="preserve">be </w:t>
      </w:r>
      <w:r w:rsidR="001B2A71">
        <w:t>considered</w:t>
      </w:r>
      <w:r>
        <w:t>.</w:t>
      </w:r>
    </w:p>
    <w:p w14:paraId="3C7373FB" w14:textId="4023CC0D" w:rsidR="00912C9D" w:rsidRPr="00B54A97" w:rsidRDefault="00912C9D" w:rsidP="0017220C">
      <w:pPr>
        <w:pStyle w:val="Heading3"/>
        <w:rPr>
          <w:u w:val="none"/>
        </w:rPr>
      </w:pPr>
      <w:r w:rsidRPr="00B54A97">
        <w:rPr>
          <w:u w:val="none"/>
        </w:rPr>
        <w:lastRenderedPageBreak/>
        <w:t>Other issues raised</w:t>
      </w:r>
    </w:p>
    <w:p w14:paraId="007F5093" w14:textId="26BC9A7E" w:rsidR="00912C9D" w:rsidRDefault="00912C9D" w:rsidP="00B00AF3">
      <w:pPr>
        <w:rPr>
          <w:lang w:val="en-US"/>
        </w:rPr>
      </w:pPr>
      <w:r>
        <w:rPr>
          <w:lang w:val="en-US"/>
        </w:rPr>
        <w:t>One response identified interest in making the 5600</w:t>
      </w:r>
      <w:r w:rsidR="0017220C">
        <w:rPr>
          <w:lang w:val="en-US"/>
        </w:rPr>
        <w:t>–</w:t>
      </w:r>
      <w:r>
        <w:rPr>
          <w:lang w:val="en-US"/>
        </w:rPr>
        <w:t>5650 MHz band available for RLANs. As noted in the submission</w:t>
      </w:r>
      <w:r w:rsidR="0017220C">
        <w:rPr>
          <w:lang w:val="en-US"/>
        </w:rPr>
        <w:t>,</w:t>
      </w:r>
      <w:r>
        <w:rPr>
          <w:lang w:val="en-US"/>
        </w:rPr>
        <w:t xml:space="preserve"> the existing apparatus</w:t>
      </w:r>
      <w:r w:rsidR="0017220C">
        <w:rPr>
          <w:lang w:val="en-US"/>
        </w:rPr>
        <w:t>-</w:t>
      </w:r>
      <w:r>
        <w:rPr>
          <w:lang w:val="en-US"/>
        </w:rPr>
        <w:t>licensed arrangements for point-</w:t>
      </w:r>
      <w:r w:rsidR="0017220C">
        <w:rPr>
          <w:lang w:val="en-US"/>
        </w:rPr>
        <w:t>to-</w:t>
      </w:r>
      <w:r>
        <w:rPr>
          <w:lang w:val="en-US"/>
        </w:rPr>
        <w:t>multipoint services were established to support possible alternatives for licensees affected by the reallocation of the 3.6 GHz band for spectrum licences. The ACMA also notes the use of the band by Bureau of Meteorology weather radars.</w:t>
      </w:r>
    </w:p>
    <w:p w14:paraId="52229381" w14:textId="0F69014A" w:rsidR="003C5192" w:rsidRDefault="003C5192" w:rsidP="00B00AF3">
      <w:pPr>
        <w:rPr>
          <w:lang w:val="en-US"/>
        </w:rPr>
      </w:pPr>
      <w:r>
        <w:rPr>
          <w:lang w:val="en-US"/>
        </w:rPr>
        <w:t>The existing point-</w:t>
      </w:r>
      <w:r w:rsidR="0017220C">
        <w:rPr>
          <w:lang w:val="en-US"/>
        </w:rPr>
        <w:t>to-</w:t>
      </w:r>
      <w:r>
        <w:rPr>
          <w:lang w:val="en-US"/>
        </w:rPr>
        <w:t>multipoint arrangements were</w:t>
      </w:r>
      <w:r w:rsidR="00D0236A">
        <w:rPr>
          <w:lang w:val="en-US"/>
        </w:rPr>
        <w:t xml:space="preserve"> established</w:t>
      </w:r>
      <w:r w:rsidR="000868EA">
        <w:rPr>
          <w:lang w:val="en-US"/>
        </w:rPr>
        <w:t xml:space="preserve"> </w:t>
      </w:r>
      <w:r>
        <w:rPr>
          <w:lang w:val="en-US"/>
        </w:rPr>
        <w:t xml:space="preserve">after extensive and careful consideration regarding coexistence with radar and as </w:t>
      </w:r>
      <w:r w:rsidR="00F97F92">
        <w:rPr>
          <w:lang w:val="en-US"/>
        </w:rPr>
        <w:t xml:space="preserve">an </w:t>
      </w:r>
      <w:r>
        <w:rPr>
          <w:lang w:val="en-US"/>
        </w:rPr>
        <w:t xml:space="preserve">alternative </w:t>
      </w:r>
      <w:r w:rsidR="009E04A9">
        <w:rPr>
          <w:lang w:val="en-US"/>
        </w:rPr>
        <w:t xml:space="preserve">in some cases </w:t>
      </w:r>
      <w:r>
        <w:rPr>
          <w:lang w:val="en-US"/>
        </w:rPr>
        <w:t>for 3.6 GHz licensees. Given the reallocation period for the 3.6 GHz apparatus licensees has no</w:t>
      </w:r>
      <w:r w:rsidR="009E04A9">
        <w:rPr>
          <w:lang w:val="en-US"/>
        </w:rPr>
        <w:t>t</w:t>
      </w:r>
      <w:r>
        <w:rPr>
          <w:lang w:val="en-US"/>
        </w:rPr>
        <w:t xml:space="preserve"> yet concluded and the existing point-</w:t>
      </w:r>
      <w:r w:rsidR="0017220C">
        <w:rPr>
          <w:lang w:val="en-US"/>
        </w:rPr>
        <w:t>to-</w:t>
      </w:r>
      <w:r>
        <w:rPr>
          <w:lang w:val="en-US"/>
        </w:rPr>
        <w:t>multipoint arrangements explicitly retain opportunities (where available) for these</w:t>
      </w:r>
      <w:r w:rsidR="009E04A9">
        <w:rPr>
          <w:lang w:val="en-US"/>
        </w:rPr>
        <w:t>,</w:t>
      </w:r>
      <w:r>
        <w:rPr>
          <w:lang w:val="en-US"/>
        </w:rPr>
        <w:t xml:space="preserve"> the ACMA does not consider it appropriate to potentially </w:t>
      </w:r>
      <w:r w:rsidR="009E04A9">
        <w:rPr>
          <w:lang w:val="en-US"/>
        </w:rPr>
        <w:t>impact</w:t>
      </w:r>
      <w:r>
        <w:rPr>
          <w:lang w:val="en-US"/>
        </w:rPr>
        <w:t xml:space="preserve"> these opportunities at this time. Furthermore, coexistence with </w:t>
      </w:r>
      <w:r w:rsidR="009E04A9">
        <w:rPr>
          <w:lang w:val="en-US"/>
        </w:rPr>
        <w:t>incumbent</w:t>
      </w:r>
      <w:r>
        <w:rPr>
          <w:lang w:val="en-US"/>
        </w:rPr>
        <w:t xml:space="preserve"> radar use of the band is non-trivial</w:t>
      </w:r>
      <w:r w:rsidR="0017220C">
        <w:rPr>
          <w:lang w:val="en-US"/>
        </w:rPr>
        <w:t>,</w:t>
      </w:r>
      <w:r>
        <w:rPr>
          <w:lang w:val="en-US"/>
        </w:rPr>
        <w:t xml:space="preserve"> with there being historically divergent views on the ability of RLANs and radars to successfully coex</w:t>
      </w:r>
      <w:r w:rsidR="009E04A9">
        <w:rPr>
          <w:lang w:val="en-US"/>
        </w:rPr>
        <w:t>ist</w:t>
      </w:r>
      <w:r>
        <w:rPr>
          <w:lang w:val="en-US"/>
        </w:rPr>
        <w:t>.</w:t>
      </w:r>
    </w:p>
    <w:p w14:paraId="1118F164" w14:textId="2894E6C4" w:rsidR="00B00AF3" w:rsidRPr="00B00AF3" w:rsidRDefault="003C5192" w:rsidP="00206D1C">
      <w:pPr>
        <w:rPr>
          <w:lang w:val="en-US"/>
        </w:rPr>
      </w:pPr>
      <w:r>
        <w:rPr>
          <w:lang w:val="en-US"/>
        </w:rPr>
        <w:t>Accordingly, w</w:t>
      </w:r>
      <w:r w:rsidR="008C2584">
        <w:rPr>
          <w:lang w:val="en-US"/>
        </w:rPr>
        <w:t xml:space="preserve">hile acknowledging the desirability for access to this band from an RLAN perspective, the ACMA does not </w:t>
      </w:r>
      <w:r w:rsidR="0017220C">
        <w:rPr>
          <w:lang w:val="en-US"/>
        </w:rPr>
        <w:t xml:space="preserve">currently </w:t>
      </w:r>
      <w:r w:rsidR="008C2584">
        <w:rPr>
          <w:lang w:val="en-US"/>
        </w:rPr>
        <w:t xml:space="preserve">intend to investigate this matter further </w:t>
      </w:r>
      <w:r>
        <w:rPr>
          <w:lang w:val="en-US"/>
        </w:rPr>
        <w:t xml:space="preserve">and instead sees other RLAN considerations elsewhere in the 5 GHz and </w:t>
      </w:r>
      <w:r w:rsidR="0017220C">
        <w:rPr>
          <w:lang w:val="en-US"/>
        </w:rPr>
        <w:t>6 </w:t>
      </w:r>
      <w:r>
        <w:rPr>
          <w:lang w:val="en-US"/>
        </w:rPr>
        <w:t xml:space="preserve">GHz bands as </w:t>
      </w:r>
      <w:r w:rsidR="009E04A9">
        <w:rPr>
          <w:lang w:val="en-US"/>
        </w:rPr>
        <w:t xml:space="preserve">higher relative </w:t>
      </w:r>
      <w:r>
        <w:rPr>
          <w:lang w:val="en-US"/>
        </w:rPr>
        <w:t>priorit</w:t>
      </w:r>
      <w:r w:rsidR="00F97F92">
        <w:rPr>
          <w:lang w:val="en-US"/>
        </w:rPr>
        <w:t>ies</w:t>
      </w:r>
      <w:r w:rsidR="008C2584">
        <w:rPr>
          <w:lang w:val="en-US"/>
        </w:rPr>
        <w:t xml:space="preserve">. </w:t>
      </w:r>
    </w:p>
    <w:p w14:paraId="5DBA81FB" w14:textId="2040C1C4" w:rsidR="00D55A7E" w:rsidRDefault="00190E48" w:rsidP="003B4470">
      <w:pPr>
        <w:pStyle w:val="Heading2"/>
      </w:pPr>
      <w:bookmarkStart w:id="17" w:name="_Toc85119229"/>
      <w:r>
        <w:t xml:space="preserve">Case for </w:t>
      </w:r>
      <w:r w:rsidR="008807BE">
        <w:t>a</w:t>
      </w:r>
      <w:r>
        <w:t>ction</w:t>
      </w:r>
      <w:bookmarkEnd w:id="17"/>
    </w:p>
    <w:p w14:paraId="1B5506EC" w14:textId="1E0B56CA" w:rsidR="007E0AC0" w:rsidRDefault="00FC2761" w:rsidP="00F81C4B">
      <w:pPr>
        <w:pStyle w:val="Paragraph"/>
      </w:pPr>
      <w:r>
        <w:t>T</w:t>
      </w:r>
      <w:r w:rsidR="007E0AC0">
        <w:t>he April 2021 consultation</w:t>
      </w:r>
      <w:r>
        <w:t xml:space="preserve"> </w:t>
      </w:r>
      <w:r w:rsidR="00F97F92">
        <w:t xml:space="preserve">paper </w:t>
      </w:r>
      <w:r w:rsidR="006F2857">
        <w:t>described</w:t>
      </w:r>
      <w:r w:rsidR="007E0AC0">
        <w:t xml:space="preserve"> </w:t>
      </w:r>
      <w:r>
        <w:t xml:space="preserve">a range of </w:t>
      </w:r>
      <w:r w:rsidR="006F2857">
        <w:t>benefits that might be realised by</w:t>
      </w:r>
      <w:r w:rsidR="008D3D81">
        <w:t xml:space="preserve"> making additional spectrum available for RLAN devices. These include</w:t>
      </w:r>
      <w:r w:rsidR="006F2857">
        <w:t>d</w:t>
      </w:r>
      <w:r w:rsidR="008D3D81">
        <w:t xml:space="preserve"> </w:t>
      </w:r>
      <w:r w:rsidR="00B83DF5">
        <w:t>catering for the growth in</w:t>
      </w:r>
      <w:r>
        <w:t xml:space="preserve"> </w:t>
      </w:r>
      <w:r w:rsidR="006F2857">
        <w:t>demand for</w:t>
      </w:r>
      <w:r>
        <w:t xml:space="preserve"> data </w:t>
      </w:r>
      <w:r w:rsidR="006F2857">
        <w:t xml:space="preserve">capacity </w:t>
      </w:r>
      <w:r w:rsidR="00B83DF5">
        <w:t>in</w:t>
      </w:r>
      <w:r w:rsidR="008D3D81">
        <w:t xml:space="preserve"> wi-fi networks, </w:t>
      </w:r>
      <w:r w:rsidR="006F2857">
        <w:t xml:space="preserve">an </w:t>
      </w:r>
      <w:r w:rsidR="007E0AC0">
        <w:t>expand</w:t>
      </w:r>
      <w:r w:rsidR="00B83DF5">
        <w:t>ed</w:t>
      </w:r>
      <w:r w:rsidR="007E0AC0">
        <w:t xml:space="preserve"> </w:t>
      </w:r>
      <w:r w:rsidR="008D3D81">
        <w:t>variety of</w:t>
      </w:r>
      <w:r>
        <w:t xml:space="preserve"> </w:t>
      </w:r>
      <w:r w:rsidR="007E0AC0">
        <w:t>use</w:t>
      </w:r>
      <w:r>
        <w:t>s</w:t>
      </w:r>
      <w:r w:rsidR="007E0AC0">
        <w:t xml:space="preserve"> </w:t>
      </w:r>
      <w:r>
        <w:t>for</w:t>
      </w:r>
      <w:r w:rsidR="007E0AC0">
        <w:t xml:space="preserve"> wi</w:t>
      </w:r>
      <w:r>
        <w:t>-</w:t>
      </w:r>
      <w:r w:rsidR="007E0AC0">
        <w:t>fi</w:t>
      </w:r>
      <w:r>
        <w:t xml:space="preserve"> </w:t>
      </w:r>
      <w:r w:rsidR="008D3D81">
        <w:t xml:space="preserve">devices, </w:t>
      </w:r>
      <w:r w:rsidR="007E0AC0">
        <w:t>the economic value and benefits</w:t>
      </w:r>
      <w:r w:rsidR="008D3D81">
        <w:t xml:space="preserve"> of </w:t>
      </w:r>
      <w:r w:rsidR="006F2857">
        <w:t xml:space="preserve">enabling </w:t>
      </w:r>
      <w:r w:rsidR="008D3D81">
        <w:t>the</w:t>
      </w:r>
      <w:r w:rsidR="006F2857">
        <w:t>se</w:t>
      </w:r>
      <w:r w:rsidR="008D3D81">
        <w:t xml:space="preserve"> technolog</w:t>
      </w:r>
      <w:r w:rsidR="006F2857">
        <w:t>ies</w:t>
      </w:r>
      <w:r w:rsidR="008D3D81">
        <w:t xml:space="preserve">, and the expectation from consumers that wi-fi performance will not </w:t>
      </w:r>
      <w:r w:rsidR="00B83DF5">
        <w:t xml:space="preserve">impede </w:t>
      </w:r>
      <w:r w:rsidR="008D3D81">
        <w:t xml:space="preserve">the performance of </w:t>
      </w:r>
      <w:r w:rsidR="006F2857">
        <w:t xml:space="preserve">increasingly fast </w:t>
      </w:r>
      <w:r w:rsidR="008D3D81">
        <w:t xml:space="preserve">home and business </w:t>
      </w:r>
      <w:r w:rsidR="0017220C">
        <w:t>fixed-</w:t>
      </w:r>
      <w:r w:rsidR="008D3D81">
        <w:t>broadband connections.</w:t>
      </w:r>
    </w:p>
    <w:p w14:paraId="4055E597" w14:textId="43803192" w:rsidR="007E0AC0" w:rsidRPr="00F81C4B" w:rsidRDefault="006F2857" w:rsidP="00F81C4B">
      <w:pPr>
        <w:pStyle w:val="Paragraph"/>
      </w:pPr>
      <w:r>
        <w:t>Enabling access to</w:t>
      </w:r>
      <w:r w:rsidR="007E0AC0">
        <w:t xml:space="preserve"> the lower </w:t>
      </w:r>
      <w:r>
        <w:t xml:space="preserve">6 GHz </w:t>
      </w:r>
      <w:r w:rsidR="007E0AC0">
        <w:t xml:space="preserve">band in the short term will </w:t>
      </w:r>
      <w:r>
        <w:t>pave the way for</w:t>
      </w:r>
      <w:r w:rsidR="007E0AC0">
        <w:t xml:space="preserve"> a significant </w:t>
      </w:r>
      <w:r w:rsidR="00420E8E">
        <w:t xml:space="preserve">increase in </w:t>
      </w:r>
      <w:r w:rsidR="007E0AC0">
        <w:t>wi</w:t>
      </w:r>
      <w:r w:rsidR="008D3D81">
        <w:t>-</w:t>
      </w:r>
      <w:r w:rsidR="007E0AC0">
        <w:t xml:space="preserve">fi capacity, </w:t>
      </w:r>
      <w:r>
        <w:t xml:space="preserve">through </w:t>
      </w:r>
      <w:r w:rsidR="00C67B25">
        <w:t xml:space="preserve">approximately doubling the amount of spectrum currently available </w:t>
      </w:r>
      <w:r w:rsidR="00B83DF5">
        <w:t xml:space="preserve">for wi-fi </w:t>
      </w:r>
      <w:r w:rsidR="00C67B25">
        <w:t>across the 2.4 and 5 GHz bands</w:t>
      </w:r>
      <w:r w:rsidR="00CB7000">
        <w:t xml:space="preserve">. This will </w:t>
      </w:r>
      <w:r w:rsidR="00CB7000" w:rsidRPr="00597E37">
        <w:t xml:space="preserve">provide </w:t>
      </w:r>
      <w:r>
        <w:t>tangible</w:t>
      </w:r>
      <w:r w:rsidR="00CB7000" w:rsidRPr="00597E37">
        <w:t xml:space="preserve"> benefits</w:t>
      </w:r>
      <w:r w:rsidR="00CB7000">
        <w:t xml:space="preserve"> to consumers and industry alike by enabling access</w:t>
      </w:r>
      <w:r w:rsidR="00CB7000" w:rsidRPr="00597E37">
        <w:t xml:space="preserve"> </w:t>
      </w:r>
      <w:r w:rsidR="00CB7000">
        <w:t>to</w:t>
      </w:r>
      <w:r w:rsidR="00CB7000" w:rsidRPr="00597E37">
        <w:t xml:space="preserve"> the latest technologies in the 6 GHz band</w:t>
      </w:r>
      <w:r w:rsidR="00CB7000">
        <w:t xml:space="preserve">, including </w:t>
      </w:r>
      <w:r w:rsidR="00B83DF5">
        <w:t xml:space="preserve">the </w:t>
      </w:r>
      <w:r w:rsidR="00CB7000">
        <w:t>suite of Wi-Fi 6</w:t>
      </w:r>
      <w:r w:rsidR="0017220C">
        <w:t>e</w:t>
      </w:r>
      <w:r w:rsidR="00CB7000">
        <w:t xml:space="preserve"> RLAN technologies, even whil</w:t>
      </w:r>
      <w:r w:rsidR="0017220C">
        <w:t>e</w:t>
      </w:r>
      <w:r w:rsidR="00CB7000">
        <w:t xml:space="preserve"> options for </w:t>
      </w:r>
      <w:r>
        <w:t>use of</w:t>
      </w:r>
      <w:r w:rsidR="00CB7000">
        <w:t xml:space="preserve"> the upper 6 GHz band remain under consideration.</w:t>
      </w:r>
    </w:p>
    <w:p w14:paraId="026C800C" w14:textId="6F564A6D" w:rsidR="000B4664" w:rsidRPr="00674A1E" w:rsidRDefault="00F97F92" w:rsidP="000B4664">
      <w:pPr>
        <w:pStyle w:val="Heading1"/>
      </w:pPr>
      <w:bookmarkStart w:id="18" w:name="_Toc85119230"/>
      <w:r>
        <w:lastRenderedPageBreak/>
        <w:t>Lo</w:t>
      </w:r>
      <w:r w:rsidR="00674A1E">
        <w:t>wer 6 GHz band</w:t>
      </w:r>
      <w:bookmarkEnd w:id="18"/>
    </w:p>
    <w:p w14:paraId="0F1044AA" w14:textId="5C7229B6" w:rsidR="00385211" w:rsidRDefault="006559EE" w:rsidP="006559EE">
      <w:pPr>
        <w:pStyle w:val="Paragraph"/>
      </w:pPr>
      <w:bookmarkStart w:id="19" w:name="_Toc298924672"/>
      <w:bookmarkStart w:id="20" w:name="_Toc300909555"/>
      <w:bookmarkStart w:id="21" w:name="_Toc348105636"/>
      <w:r>
        <w:t xml:space="preserve">Given the level of </w:t>
      </w:r>
      <w:r w:rsidR="001B2A71">
        <w:t xml:space="preserve">general </w:t>
      </w:r>
      <w:r>
        <w:t>support</w:t>
      </w:r>
      <w:r w:rsidR="00781CC9">
        <w:t xml:space="preserve"> for</w:t>
      </w:r>
      <w:r>
        <w:t>, and lack of explicit</w:t>
      </w:r>
      <w:r w:rsidR="00781CC9">
        <w:t xml:space="preserve"> opposition to</w:t>
      </w:r>
      <w:r>
        <w:t xml:space="preserve">, the preliminary </w:t>
      </w:r>
      <w:r w:rsidR="001B2A71">
        <w:t xml:space="preserve">proposal </w:t>
      </w:r>
      <w:r>
        <w:t xml:space="preserve">made in the original </w:t>
      </w:r>
      <w:r w:rsidR="00F97F92">
        <w:t>consultation</w:t>
      </w:r>
      <w:r>
        <w:t xml:space="preserve"> paper, we</w:t>
      </w:r>
      <w:r w:rsidR="006862EE">
        <w:t xml:space="preserve"> now</w:t>
      </w:r>
      <w:r w:rsidR="006862EE" w:rsidDel="001B2A71">
        <w:t xml:space="preserve"> </w:t>
      </w:r>
      <w:r w:rsidR="001B2A71">
        <w:t xml:space="preserve">intend </w:t>
      </w:r>
      <w:r w:rsidR="006862EE">
        <w:t xml:space="preserve">to </w:t>
      </w:r>
      <w:r>
        <w:t>proceed with</w:t>
      </w:r>
      <w:r w:rsidR="001B2A71">
        <w:t xml:space="preserve"> </w:t>
      </w:r>
      <w:r w:rsidR="009A6CBD">
        <w:t xml:space="preserve">consulting on </w:t>
      </w:r>
      <w:r>
        <w:t xml:space="preserve">an update to the LIPD Class Licence </w:t>
      </w:r>
      <w:r w:rsidR="001B2A71">
        <w:t xml:space="preserve">that will </w:t>
      </w:r>
      <w:r>
        <w:t xml:space="preserve">allow LPI and VLP RLAN devices </w:t>
      </w:r>
      <w:r w:rsidR="001B2A71">
        <w:t xml:space="preserve">to operate </w:t>
      </w:r>
      <w:r>
        <w:t>in the lower 6</w:t>
      </w:r>
      <w:r w:rsidR="00AE6604">
        <w:t> </w:t>
      </w:r>
      <w:r>
        <w:t>GHz band.</w:t>
      </w:r>
      <w:r w:rsidR="00464E23">
        <w:t xml:space="preserve"> </w:t>
      </w:r>
    </w:p>
    <w:p w14:paraId="757E6308" w14:textId="0E80B977" w:rsidR="003B4470" w:rsidRDefault="00A72879" w:rsidP="006559EE">
      <w:pPr>
        <w:pStyle w:val="Paragraph"/>
      </w:pPr>
      <w:r>
        <w:t xml:space="preserve">Some responses to the consultation suggested </w:t>
      </w:r>
      <w:r w:rsidR="00A351D2">
        <w:t xml:space="preserve">amending </w:t>
      </w:r>
      <w:r w:rsidR="00250765">
        <w:t xml:space="preserve">the power limits </w:t>
      </w:r>
      <w:r w:rsidR="00440E00">
        <w:t>or</w:t>
      </w:r>
      <w:r w:rsidR="00250765">
        <w:t xml:space="preserve"> other aspects of the </w:t>
      </w:r>
      <w:r w:rsidR="00440E00">
        <w:t>initial proposal.</w:t>
      </w:r>
      <w:r w:rsidR="00250765">
        <w:t xml:space="preserve"> </w:t>
      </w:r>
      <w:r w:rsidR="004770A6">
        <w:t xml:space="preserve">This section </w:t>
      </w:r>
      <w:r w:rsidR="00440E00">
        <w:t>discusses those</w:t>
      </w:r>
      <w:r w:rsidR="00DD5CE8">
        <w:t xml:space="preserve"> suggestions and </w:t>
      </w:r>
      <w:r w:rsidR="00A351D2">
        <w:t xml:space="preserve">provides </w:t>
      </w:r>
      <w:r w:rsidR="00335409">
        <w:t xml:space="preserve">details of the </w:t>
      </w:r>
      <w:r w:rsidR="00440E00">
        <w:t xml:space="preserve">LIPD </w:t>
      </w:r>
      <w:r w:rsidR="00645736">
        <w:t>C</w:t>
      </w:r>
      <w:r w:rsidR="00440E00">
        <w:t xml:space="preserve">lass </w:t>
      </w:r>
      <w:r w:rsidR="00645736">
        <w:t>L</w:t>
      </w:r>
      <w:r w:rsidR="00440E00">
        <w:t xml:space="preserve">icence </w:t>
      </w:r>
      <w:r w:rsidR="008D7226">
        <w:t xml:space="preserve">updates </w:t>
      </w:r>
      <w:r w:rsidR="00DD5CE8">
        <w:t>we propose</w:t>
      </w:r>
      <w:r w:rsidR="008D7226">
        <w:t xml:space="preserve"> ma</w:t>
      </w:r>
      <w:r w:rsidR="00DD5CE8">
        <w:t>king.</w:t>
      </w:r>
      <w:r w:rsidR="009A1A03">
        <w:t xml:space="preserve"> A</w:t>
      </w:r>
      <w:r w:rsidR="00116E9C">
        <w:t xml:space="preserve"> draft of the </w:t>
      </w:r>
      <w:r w:rsidR="008B39CF">
        <w:t xml:space="preserve">proposed legislative instrument to make variations to the </w:t>
      </w:r>
      <w:r w:rsidR="00116E9C">
        <w:t xml:space="preserve">class licence </w:t>
      </w:r>
      <w:r w:rsidR="008B39CF">
        <w:t>is</w:t>
      </w:r>
      <w:r w:rsidR="002327F7">
        <w:t xml:space="preserve"> </w:t>
      </w:r>
      <w:r w:rsidR="00740868">
        <w:t xml:space="preserve">available </w:t>
      </w:r>
      <w:r w:rsidR="0041658B">
        <w:t xml:space="preserve">alongside this paper </w:t>
      </w:r>
      <w:r w:rsidR="00740868">
        <w:t xml:space="preserve">on the </w:t>
      </w:r>
      <w:hyperlink r:id="rId29" w:history="1">
        <w:r w:rsidR="00740868" w:rsidRPr="0041658B">
          <w:rPr>
            <w:rStyle w:val="Hyperlink"/>
          </w:rPr>
          <w:t>ACMA website</w:t>
        </w:r>
      </w:hyperlink>
      <w:r w:rsidR="00F97F92">
        <w:t>.</w:t>
      </w:r>
    </w:p>
    <w:p w14:paraId="30D42C91" w14:textId="132D2FE6" w:rsidR="00EF1338" w:rsidRDefault="00EF1338" w:rsidP="00EF1338">
      <w:pPr>
        <w:pStyle w:val="Heading2"/>
      </w:pPr>
      <w:bookmarkStart w:id="22" w:name="_Toc85119231"/>
      <w:r>
        <w:t>Initial proposal and responses</w:t>
      </w:r>
      <w:bookmarkEnd w:id="22"/>
    </w:p>
    <w:p w14:paraId="60F81763" w14:textId="23301551" w:rsidR="00EF1338" w:rsidRDefault="006F6761" w:rsidP="006B6649">
      <w:pPr>
        <w:pStyle w:val="Paragraphbeforelist"/>
      </w:pPr>
      <w:r>
        <w:t xml:space="preserve">The </w:t>
      </w:r>
      <w:r w:rsidR="00190E48">
        <w:t xml:space="preserve">ACMA’s preliminary view </w:t>
      </w:r>
      <w:r>
        <w:t xml:space="preserve">in the </w:t>
      </w:r>
      <w:r w:rsidR="00B75553">
        <w:t xml:space="preserve">initial </w:t>
      </w:r>
      <w:r w:rsidR="00CD67F8">
        <w:t>consultati</w:t>
      </w:r>
      <w:r w:rsidR="00ED7C07">
        <w:t xml:space="preserve">on paper was to </w:t>
      </w:r>
      <w:r w:rsidR="00A351D2">
        <w:t xml:space="preserve">permit </w:t>
      </w:r>
      <w:r w:rsidR="00ED7C07">
        <w:t xml:space="preserve">devices </w:t>
      </w:r>
      <w:r w:rsidR="00A351D2">
        <w:t xml:space="preserve">to operate in the lower 6 GHz band (5925–6425 MHz) </w:t>
      </w:r>
      <w:r w:rsidR="00ED7C07">
        <w:t>with the following power limits</w:t>
      </w:r>
      <w:r w:rsidR="00A351D2">
        <w:t>:</w:t>
      </w:r>
      <w:r w:rsidR="00ED7C07">
        <w:t xml:space="preserve"> </w:t>
      </w:r>
    </w:p>
    <w:p w14:paraId="3ED97AD1" w14:textId="58329E61" w:rsidR="004E03CA" w:rsidRDefault="004E03CA" w:rsidP="006B6649">
      <w:pPr>
        <w:pStyle w:val="ListNumber"/>
        <w:numPr>
          <w:ilvl w:val="0"/>
          <w:numId w:val="39"/>
        </w:numPr>
      </w:pPr>
      <w:r>
        <w:t>Low power indoor (LPI) devices</w:t>
      </w:r>
      <w:r w:rsidR="0017220C">
        <w:t>:</w:t>
      </w:r>
    </w:p>
    <w:p w14:paraId="38498170" w14:textId="27FA91EC" w:rsidR="004E03CA" w:rsidRDefault="0017220C" w:rsidP="006B6649">
      <w:pPr>
        <w:pStyle w:val="Bulletlevel2"/>
      </w:pPr>
      <w:r>
        <w:t>m</w:t>
      </w:r>
      <w:r w:rsidR="004E03CA">
        <w:t>aximum power 24 dBm</w:t>
      </w:r>
      <w:r w:rsidR="0081023C">
        <w:t xml:space="preserve"> EIRP</w:t>
      </w:r>
    </w:p>
    <w:p w14:paraId="76F77389" w14:textId="52BCC314" w:rsidR="004E03CA" w:rsidRDefault="0017220C" w:rsidP="006B6649">
      <w:pPr>
        <w:pStyle w:val="Bulletlevel2"/>
      </w:pPr>
      <w:r>
        <w:t>m</w:t>
      </w:r>
      <w:r w:rsidR="004E03CA">
        <w:t>aximum power density 1</w:t>
      </w:r>
      <w:r w:rsidR="00A74C5E">
        <w:t>1</w:t>
      </w:r>
      <w:r w:rsidR="004E03CA">
        <w:t> dBm/MHz</w:t>
      </w:r>
      <w:r w:rsidR="0081023C">
        <w:t xml:space="preserve"> EIRP</w:t>
      </w:r>
    </w:p>
    <w:p w14:paraId="0E184469" w14:textId="2E94C6E2" w:rsidR="004E03CA" w:rsidRDefault="0017220C" w:rsidP="006B6649">
      <w:pPr>
        <w:pStyle w:val="Bulletlevel2"/>
      </w:pPr>
      <w:r>
        <w:t>m</w:t>
      </w:r>
      <w:r w:rsidR="004E03CA">
        <w:t>ust operate indoors</w:t>
      </w:r>
    </w:p>
    <w:p w14:paraId="54052A83" w14:textId="574C728A" w:rsidR="004E03CA" w:rsidRDefault="004E03CA" w:rsidP="006B6649">
      <w:pPr>
        <w:pStyle w:val="ListNumber"/>
        <w:numPr>
          <w:ilvl w:val="0"/>
          <w:numId w:val="39"/>
        </w:numPr>
      </w:pPr>
      <w:r>
        <w:t>Very low power (VLP) devices</w:t>
      </w:r>
      <w:r w:rsidR="0017220C">
        <w:t>:</w:t>
      </w:r>
    </w:p>
    <w:p w14:paraId="653CD089" w14:textId="1C9EA62B" w:rsidR="004E03CA" w:rsidRDefault="0017220C" w:rsidP="006B6649">
      <w:pPr>
        <w:pStyle w:val="Bulletlevel2"/>
      </w:pPr>
      <w:r>
        <w:t>m</w:t>
      </w:r>
      <w:r w:rsidR="004E03CA">
        <w:t>aximum power 1</w:t>
      </w:r>
      <w:r w:rsidR="00A74C5E">
        <w:t>4</w:t>
      </w:r>
      <w:r w:rsidR="004E03CA">
        <w:t> dBm</w:t>
      </w:r>
      <w:r w:rsidR="0081023C">
        <w:t xml:space="preserve"> EIRP</w:t>
      </w:r>
    </w:p>
    <w:p w14:paraId="6918F5A7" w14:textId="0D597FD7" w:rsidR="004E03CA" w:rsidRDefault="0017220C" w:rsidP="006B6649">
      <w:pPr>
        <w:pStyle w:val="Bulletlevel2"/>
      </w:pPr>
      <w:r>
        <w:t>m</w:t>
      </w:r>
      <w:r w:rsidR="004E03CA">
        <w:t>aximum power density 1 dBm/MHz</w:t>
      </w:r>
      <w:r w:rsidR="0081023C">
        <w:t xml:space="preserve"> EIRP</w:t>
      </w:r>
    </w:p>
    <w:p w14:paraId="7D94F85B" w14:textId="3D8A01C5" w:rsidR="004E03CA" w:rsidRDefault="0017220C" w:rsidP="006B6649">
      <w:pPr>
        <w:pStyle w:val="Bulletlevel2last"/>
      </w:pPr>
      <w:r>
        <w:t>m</w:t>
      </w:r>
      <w:r w:rsidR="004E03CA">
        <w:t>ay operate in any location</w:t>
      </w:r>
      <w:r w:rsidR="0055488A">
        <w:t>.</w:t>
      </w:r>
    </w:p>
    <w:p w14:paraId="7C089AC0" w14:textId="237CDBF1" w:rsidR="00DC6F7D" w:rsidRDefault="007F6A34" w:rsidP="00EF1338">
      <w:pPr>
        <w:pStyle w:val="Paragraph"/>
      </w:pPr>
      <w:r>
        <w:t>In addition to supporting</w:t>
      </w:r>
      <w:r w:rsidR="00A351D2">
        <w:t xml:space="preserve"> (</w:t>
      </w:r>
      <w:r>
        <w:t>or not opposing</w:t>
      </w:r>
      <w:r w:rsidR="00A351D2">
        <w:t>)</w:t>
      </w:r>
      <w:r>
        <w:t xml:space="preserve"> the </w:t>
      </w:r>
      <w:r w:rsidR="00744D2D">
        <w:t xml:space="preserve">use of these devices, a number of submissions suggested variations </w:t>
      </w:r>
      <w:r w:rsidR="007029B0">
        <w:t>of</w:t>
      </w:r>
      <w:r w:rsidR="00600E31">
        <w:t xml:space="preserve"> these restrictions </w:t>
      </w:r>
      <w:r w:rsidR="00744D2D">
        <w:t>or additional requirements</w:t>
      </w:r>
      <w:r w:rsidR="008D357C">
        <w:t xml:space="preserve"> for these devices.</w:t>
      </w:r>
      <w:r w:rsidR="00E15DF3">
        <w:t xml:space="preserve"> These </w:t>
      </w:r>
      <w:r w:rsidR="00EF4CFE">
        <w:t>details are discussed in detail in the following sections</w:t>
      </w:r>
      <w:r w:rsidR="00A95CE1">
        <w:t>.</w:t>
      </w:r>
    </w:p>
    <w:p w14:paraId="7D4EA886" w14:textId="25B0D7B1" w:rsidR="00EA36E6" w:rsidRDefault="003B73C9" w:rsidP="00EA36E6">
      <w:pPr>
        <w:pStyle w:val="Heading2"/>
      </w:pPr>
      <w:bookmarkStart w:id="23" w:name="_Toc85119232"/>
      <w:r>
        <w:t xml:space="preserve">Response to </w:t>
      </w:r>
      <w:r w:rsidR="005C519B">
        <w:t>submissions</w:t>
      </w:r>
      <w:bookmarkEnd w:id="23"/>
    </w:p>
    <w:p w14:paraId="2A6C679F" w14:textId="3DD27453" w:rsidR="00EA36E6" w:rsidRPr="006B6649" w:rsidRDefault="00EA36E6" w:rsidP="0017220C">
      <w:pPr>
        <w:pStyle w:val="Heading3"/>
        <w:rPr>
          <w:u w:val="none"/>
        </w:rPr>
      </w:pPr>
      <w:r w:rsidRPr="006B6649">
        <w:rPr>
          <w:u w:val="none"/>
        </w:rPr>
        <w:t>Choice of power level</w:t>
      </w:r>
      <w:r w:rsidR="001573E7" w:rsidRPr="006B6649">
        <w:rPr>
          <w:u w:val="none"/>
        </w:rPr>
        <w:t xml:space="preserve"> (LPI)</w:t>
      </w:r>
    </w:p>
    <w:p w14:paraId="1B47931D" w14:textId="669872F8" w:rsidR="00AA567A" w:rsidRDefault="005A197C" w:rsidP="00EA36E6">
      <w:r>
        <w:t xml:space="preserve">A number of submissions </w:t>
      </w:r>
      <w:r w:rsidR="001209BF">
        <w:t xml:space="preserve">from </w:t>
      </w:r>
      <w:r>
        <w:t xml:space="preserve">RLAN </w:t>
      </w:r>
      <w:r w:rsidR="001209BF">
        <w:t>proponents</w:t>
      </w:r>
      <w:r>
        <w:t xml:space="preserve"> </w:t>
      </w:r>
      <w:r w:rsidR="00040E50">
        <w:t xml:space="preserve">requested that </w:t>
      </w:r>
      <w:r w:rsidR="001209BF">
        <w:t xml:space="preserve">the proposed </w:t>
      </w:r>
      <w:r w:rsidR="00040E50">
        <w:t>power limit be increased</w:t>
      </w:r>
      <w:r w:rsidR="009D034B">
        <w:t xml:space="preserve"> – most commonly to 30 dBm</w:t>
      </w:r>
      <w:r w:rsidR="00645736">
        <w:t xml:space="preserve"> EIRP</w:t>
      </w:r>
      <w:r w:rsidR="009D034B">
        <w:t>.</w:t>
      </w:r>
      <w:r w:rsidR="009300AF">
        <w:t xml:space="preserve"> The </w:t>
      </w:r>
      <w:r w:rsidR="005D41A1">
        <w:t xml:space="preserve">main argument was </w:t>
      </w:r>
      <w:r w:rsidR="00AE6604">
        <w:t>to better support</w:t>
      </w:r>
      <w:r w:rsidR="0067469F">
        <w:t xml:space="preserve"> </w:t>
      </w:r>
      <w:r w:rsidR="001209BF">
        <w:t xml:space="preserve">wider </w:t>
      </w:r>
      <w:r w:rsidR="0067469F">
        <w:t>bandwidth devices</w:t>
      </w:r>
      <w:r w:rsidR="00AE6604">
        <w:t xml:space="preserve">, </w:t>
      </w:r>
      <w:r w:rsidR="00172EE6">
        <w:t xml:space="preserve">as higher total power limits would </w:t>
      </w:r>
      <w:r w:rsidR="00AE6604">
        <w:t>allow</w:t>
      </w:r>
      <w:r w:rsidR="00172EE6">
        <w:t xml:space="preserve"> devices with wider bandwidths</w:t>
      </w:r>
      <w:r w:rsidR="00AE6604">
        <w:t xml:space="preserve"> </w:t>
      </w:r>
      <w:r w:rsidR="00CC2411">
        <w:t xml:space="preserve">to </w:t>
      </w:r>
      <w:r w:rsidR="00172EE6">
        <w:t>maintain</w:t>
      </w:r>
      <w:r w:rsidR="00EA631D">
        <w:t xml:space="preserve"> high</w:t>
      </w:r>
      <w:r w:rsidR="00AE6604">
        <w:t>er</w:t>
      </w:r>
      <w:r w:rsidR="00EA631D">
        <w:t xml:space="preserve"> power densities.</w:t>
      </w:r>
    </w:p>
    <w:p w14:paraId="736FAFC0" w14:textId="321959FD" w:rsidR="005670C7" w:rsidRDefault="00342597" w:rsidP="00FC17E9">
      <w:r>
        <w:t>While there have been discussions within industry around a potential 320</w:t>
      </w:r>
      <w:r w:rsidR="00FC2761">
        <w:t> </w:t>
      </w:r>
      <w:r>
        <w:t>MHz channel bandwidth,</w:t>
      </w:r>
      <w:r w:rsidR="00FC17E9" w:rsidDel="00342597">
        <w:t xml:space="preserve"> </w:t>
      </w:r>
      <w:r w:rsidR="00FC17E9">
        <w:t xml:space="preserve">the 802.11ax standard </w:t>
      </w:r>
      <w:r>
        <w:t>currently only support</w:t>
      </w:r>
      <w:r w:rsidR="0055488A">
        <w:t>s</w:t>
      </w:r>
      <w:r w:rsidR="00FC17E9">
        <w:t xml:space="preserve"> channel </w:t>
      </w:r>
      <w:r>
        <w:t xml:space="preserve">bandwidths </w:t>
      </w:r>
      <w:r w:rsidR="00FC17E9">
        <w:t xml:space="preserve">up to 160 MHz. Requests to </w:t>
      </w:r>
      <w:r w:rsidR="00172EE6">
        <w:t>accommodate</w:t>
      </w:r>
      <w:r w:rsidR="00FC17E9">
        <w:t xml:space="preserve"> higher bandwidths were based on supporting future generation standards (</w:t>
      </w:r>
      <w:r w:rsidR="0017220C">
        <w:t>for example</w:t>
      </w:r>
      <w:r w:rsidR="000868EA">
        <w:t>,</w:t>
      </w:r>
      <w:r w:rsidR="00FC17E9">
        <w:t xml:space="preserve"> Wi-Fi 7)</w:t>
      </w:r>
      <w:r w:rsidR="0017220C">
        <w:t>,</w:t>
      </w:r>
      <w:r w:rsidR="00FC17E9">
        <w:t xml:space="preserve"> which are still some years away from being completed, </w:t>
      </w:r>
      <w:r w:rsidR="00AE6604">
        <w:t xml:space="preserve">so we </w:t>
      </w:r>
      <w:r>
        <w:t xml:space="preserve">are </w:t>
      </w:r>
      <w:r w:rsidR="00AE6604">
        <w:t xml:space="preserve">not considering </w:t>
      </w:r>
      <w:r>
        <w:t xml:space="preserve">these </w:t>
      </w:r>
      <w:r w:rsidR="00AE6604">
        <w:t>use</w:t>
      </w:r>
      <w:r>
        <w:t xml:space="preserve"> cases</w:t>
      </w:r>
      <w:r w:rsidR="00AE6604">
        <w:t xml:space="preserve"> at the moment</w:t>
      </w:r>
      <w:r w:rsidR="00FC17E9">
        <w:t>.</w:t>
      </w:r>
      <w:r>
        <w:t xml:space="preserve"> </w:t>
      </w:r>
      <w:r w:rsidR="00403FD9">
        <w:t>W</w:t>
      </w:r>
      <w:r w:rsidR="005670C7">
        <w:t>e are aware that future technolog</w:t>
      </w:r>
      <w:r w:rsidR="00403FD9">
        <w:t>ies</w:t>
      </w:r>
      <w:r w:rsidR="005670C7">
        <w:t xml:space="preserve"> may have requirements beyond those that </w:t>
      </w:r>
      <w:r w:rsidR="00403FD9">
        <w:t>would</w:t>
      </w:r>
      <w:r w:rsidR="005670C7">
        <w:t xml:space="preserve"> be accommodated by </w:t>
      </w:r>
      <w:r w:rsidR="00403FD9">
        <w:t>the</w:t>
      </w:r>
      <w:r w:rsidR="005670C7">
        <w:t xml:space="preserve"> current proposed </w:t>
      </w:r>
      <w:r w:rsidR="00403FD9">
        <w:t>arrangements</w:t>
      </w:r>
      <w:r w:rsidR="005670C7">
        <w:t xml:space="preserve"> – including higher PSD</w:t>
      </w:r>
      <w:r w:rsidR="00403FD9">
        <w:t>s</w:t>
      </w:r>
      <w:r w:rsidR="00461656">
        <w:t xml:space="preserve"> and a larger contiguous block of spectrum</w:t>
      </w:r>
      <w:r w:rsidR="00403FD9">
        <w:t xml:space="preserve"> (see above discussion regarding maximum 320 MHz channel sizes being considered under Wi-Fi 7)</w:t>
      </w:r>
      <w:r w:rsidR="00461656">
        <w:t>.</w:t>
      </w:r>
      <w:r w:rsidR="005670C7">
        <w:t xml:space="preserve"> This is a contributing factor to our </w:t>
      </w:r>
      <w:r w:rsidR="00461656">
        <w:t xml:space="preserve">current inclination </w:t>
      </w:r>
      <w:r w:rsidR="00403FD9">
        <w:t>that</w:t>
      </w:r>
      <w:r w:rsidR="00461656">
        <w:t xml:space="preserve"> the upper 6 GHz band </w:t>
      </w:r>
      <w:r w:rsidR="00403FD9">
        <w:t xml:space="preserve">might </w:t>
      </w:r>
      <w:r w:rsidR="00461656">
        <w:t xml:space="preserve">eventually </w:t>
      </w:r>
      <w:r w:rsidR="00403FD9">
        <w:t>be made available for</w:t>
      </w:r>
      <w:r w:rsidR="00461656">
        <w:t xml:space="preserve"> RLANs.</w:t>
      </w:r>
    </w:p>
    <w:p w14:paraId="0543B7B3" w14:textId="410BBE82" w:rsidR="00FC17E9" w:rsidRDefault="009F33FE" w:rsidP="00FC17E9">
      <w:r>
        <w:lastRenderedPageBreak/>
        <w:t>A</w:t>
      </w:r>
      <w:r w:rsidR="00342597">
        <w:t xml:space="preserve">mending operating conditions </w:t>
      </w:r>
      <w:r w:rsidR="005835D5">
        <w:t xml:space="preserve">to increase powers </w:t>
      </w:r>
      <w:r>
        <w:t xml:space="preserve">to accommodate future technologies or standards, </w:t>
      </w:r>
      <w:r w:rsidR="005835D5">
        <w:t>if appropriate</w:t>
      </w:r>
      <w:r>
        <w:t>,</w:t>
      </w:r>
      <w:r w:rsidR="005835D5">
        <w:t xml:space="preserve"> can be implemented though a future</w:t>
      </w:r>
      <w:r w:rsidR="00342597">
        <w:t xml:space="preserve"> update to the LIPD </w:t>
      </w:r>
      <w:r w:rsidR="0095107D">
        <w:t>C</w:t>
      </w:r>
      <w:r w:rsidR="00342597">
        <w:t xml:space="preserve">lass </w:t>
      </w:r>
      <w:r w:rsidR="0095107D">
        <w:t>L</w:t>
      </w:r>
      <w:r w:rsidR="00342597">
        <w:t>icence</w:t>
      </w:r>
      <w:r w:rsidR="00D32803">
        <w:t>.</w:t>
      </w:r>
    </w:p>
    <w:p w14:paraId="7FD2CD71" w14:textId="58BD16A4" w:rsidR="00703475" w:rsidRDefault="00785E17" w:rsidP="00EA36E6">
      <w:r w:rsidRPr="00785E17">
        <w:t xml:space="preserve">Table </w:t>
      </w:r>
      <w:r w:rsidR="00323AF1">
        <w:t>1</w:t>
      </w:r>
      <w:r w:rsidRPr="00785E17">
        <w:t xml:space="preserve"> shows</w:t>
      </w:r>
      <w:r>
        <w:t xml:space="preserve"> power </w:t>
      </w:r>
      <w:r w:rsidR="00480D4A">
        <w:t>spectral</w:t>
      </w:r>
      <w:r>
        <w:t xml:space="preserve"> densities </w:t>
      </w:r>
      <w:r w:rsidR="00403ECB">
        <w:t xml:space="preserve">for a range of </w:t>
      </w:r>
      <w:r w:rsidR="006903C0">
        <w:t xml:space="preserve">radiated </w:t>
      </w:r>
      <w:r w:rsidR="00403ECB">
        <w:t>power and operating bandwidth combinations</w:t>
      </w:r>
      <w:r>
        <w:t xml:space="preserve">. Values highlighted </w:t>
      </w:r>
      <w:r w:rsidR="0055488A">
        <w:t xml:space="preserve">in green </w:t>
      </w:r>
      <w:r>
        <w:t xml:space="preserve">are the combinations that would be available under </w:t>
      </w:r>
      <w:r w:rsidR="00403ECB">
        <w:t xml:space="preserve">the </w:t>
      </w:r>
      <w:r>
        <w:t xml:space="preserve">proposed </w:t>
      </w:r>
      <w:r w:rsidR="00403ECB">
        <w:t>limits</w:t>
      </w:r>
      <w:r>
        <w:t xml:space="preserve">. </w:t>
      </w:r>
      <w:r w:rsidR="00DB4886">
        <w:t xml:space="preserve">For systems operating at </w:t>
      </w:r>
      <w:r w:rsidR="00480D4A">
        <w:t>a</w:t>
      </w:r>
      <w:r w:rsidR="00DB4886">
        <w:t xml:space="preserve"> 160 MHz</w:t>
      </w:r>
      <w:r w:rsidR="006903C0">
        <w:t xml:space="preserve"> bandwidt</w:t>
      </w:r>
      <w:r w:rsidR="00480D4A">
        <w:t>h</w:t>
      </w:r>
      <w:r w:rsidR="00DB4886">
        <w:t>, a</w:t>
      </w:r>
      <w:r w:rsidR="0081023C">
        <w:t>n EIRP</w:t>
      </w:r>
      <w:r w:rsidR="00FC17E9">
        <w:t xml:space="preserve"> limit of 24 dBm </w:t>
      </w:r>
      <w:r w:rsidR="00403ECB">
        <w:t xml:space="preserve">would enable </w:t>
      </w:r>
      <w:r w:rsidR="004D49FD">
        <w:t>a</w:t>
      </w:r>
      <w:r w:rsidR="00DB4886">
        <w:t xml:space="preserve"> </w:t>
      </w:r>
      <w:r w:rsidR="004D49FD">
        <w:t>2 dBm/MHz power densit</w:t>
      </w:r>
      <w:r>
        <w:t>y</w:t>
      </w:r>
      <w:r w:rsidR="004D49FD">
        <w:t xml:space="preserve">, which </w:t>
      </w:r>
      <w:r w:rsidR="00820C05">
        <w:t>under normal</w:t>
      </w:r>
      <w:r w:rsidR="00754423">
        <w:t xml:space="preserve"> deployment conditions</w:t>
      </w:r>
      <w:r w:rsidR="00820C05">
        <w:t xml:space="preserve"> would not preclude operation at </w:t>
      </w:r>
      <w:r w:rsidR="00480D4A">
        <w:t>that</w:t>
      </w:r>
      <w:r w:rsidR="00820C05">
        <w:t xml:space="preserve"> </w:t>
      </w:r>
      <w:r w:rsidR="00FF1AC4">
        <w:t>bandwidth</w:t>
      </w:r>
      <w:r w:rsidR="004D49FD">
        <w:t>.</w:t>
      </w:r>
    </w:p>
    <w:p w14:paraId="3B29F68E" w14:textId="794CCAC9" w:rsidR="00AE6604" w:rsidRDefault="0017220C" w:rsidP="006B6649">
      <w:pPr>
        <w:pStyle w:val="Caption"/>
        <w:spacing w:after="160"/>
      </w:pPr>
      <w:r>
        <w:t>Power spectral densities produced by devices operating at various combinations of bandwidth and effective isotropic radiated power. Highlighted values are those allowed under our proposed limits</w:t>
      </w:r>
    </w:p>
    <w:tbl>
      <w:tblPr>
        <w:tblW w:w="7997" w:type="dxa"/>
        <w:tblLook w:val="04A0" w:firstRow="1" w:lastRow="0" w:firstColumn="1" w:lastColumn="0" w:noHBand="0" w:noVBand="1"/>
      </w:tblPr>
      <w:tblGrid>
        <w:gridCol w:w="1239"/>
        <w:gridCol w:w="551"/>
        <w:gridCol w:w="502"/>
        <w:gridCol w:w="440"/>
        <w:gridCol w:w="440"/>
        <w:gridCol w:w="440"/>
        <w:gridCol w:w="440"/>
        <w:gridCol w:w="440"/>
        <w:gridCol w:w="440"/>
        <w:gridCol w:w="440"/>
        <w:gridCol w:w="440"/>
        <w:gridCol w:w="449"/>
        <w:gridCol w:w="440"/>
        <w:gridCol w:w="440"/>
        <w:gridCol w:w="440"/>
        <w:gridCol w:w="440"/>
      </w:tblGrid>
      <w:tr w:rsidR="0043487C" w:rsidRPr="0017220C" w14:paraId="732C7519" w14:textId="77777777" w:rsidTr="00323AF1">
        <w:trPr>
          <w:trHeight w:val="300"/>
        </w:trPr>
        <w:tc>
          <w:tcPr>
            <w:tcW w:w="1215" w:type="dxa"/>
            <w:tcBorders>
              <w:top w:val="nil"/>
              <w:left w:val="nil"/>
              <w:bottom w:val="nil"/>
              <w:right w:val="nil"/>
            </w:tcBorders>
            <w:shd w:val="clear" w:color="auto" w:fill="auto"/>
            <w:noWrap/>
            <w:vAlign w:val="bottom"/>
            <w:hideMark/>
          </w:tcPr>
          <w:p w14:paraId="27463376" w14:textId="77777777" w:rsidR="0043487C" w:rsidRPr="006B6649" w:rsidRDefault="0043487C" w:rsidP="00292AF2">
            <w:pPr>
              <w:spacing w:after="0" w:line="240" w:lineRule="auto"/>
              <w:rPr>
                <w:rFonts w:cs="Arial"/>
                <w:szCs w:val="20"/>
              </w:rPr>
            </w:pPr>
          </w:p>
        </w:tc>
        <w:tc>
          <w:tcPr>
            <w:tcW w:w="551" w:type="dxa"/>
            <w:tcBorders>
              <w:top w:val="nil"/>
              <w:left w:val="nil"/>
              <w:bottom w:val="nil"/>
              <w:right w:val="nil"/>
            </w:tcBorders>
            <w:shd w:val="clear" w:color="auto" w:fill="auto"/>
            <w:noWrap/>
            <w:vAlign w:val="bottom"/>
            <w:hideMark/>
          </w:tcPr>
          <w:p w14:paraId="4B30F854" w14:textId="77777777" w:rsidR="0043487C" w:rsidRPr="006B6649" w:rsidRDefault="0043487C" w:rsidP="00292AF2">
            <w:pPr>
              <w:spacing w:after="0" w:line="240" w:lineRule="auto"/>
              <w:rPr>
                <w:rFonts w:cs="Arial"/>
                <w:szCs w:val="20"/>
              </w:rPr>
            </w:pPr>
          </w:p>
        </w:tc>
        <w:tc>
          <w:tcPr>
            <w:tcW w:w="6231" w:type="dxa"/>
            <w:gridSpan w:val="14"/>
            <w:tcBorders>
              <w:top w:val="nil"/>
              <w:left w:val="nil"/>
              <w:bottom w:val="single" w:sz="4" w:space="0" w:color="auto"/>
              <w:right w:val="nil"/>
            </w:tcBorders>
            <w:shd w:val="clear" w:color="auto" w:fill="A6A6A6" w:themeFill="background1" w:themeFillShade="A6"/>
            <w:noWrap/>
            <w:vAlign w:val="bottom"/>
            <w:hideMark/>
          </w:tcPr>
          <w:p w14:paraId="30B38CC7" w14:textId="20D7481C" w:rsidR="0043487C" w:rsidRPr="006B6649" w:rsidRDefault="0043487C" w:rsidP="00292AF2">
            <w:pPr>
              <w:spacing w:after="0" w:line="240" w:lineRule="auto"/>
              <w:rPr>
                <w:rFonts w:cs="Arial"/>
                <w:b/>
                <w:bCs/>
                <w:color w:val="000000"/>
                <w:szCs w:val="20"/>
              </w:rPr>
            </w:pPr>
            <w:r w:rsidRPr="006B6649">
              <w:rPr>
                <w:rFonts w:cs="Arial"/>
                <w:b/>
                <w:bCs/>
                <w:color w:val="000000"/>
                <w:szCs w:val="20"/>
              </w:rPr>
              <w:t>EIRP limit (dBm) </w:t>
            </w:r>
          </w:p>
        </w:tc>
      </w:tr>
      <w:tr w:rsidR="0043487C" w:rsidRPr="0017220C" w14:paraId="065A04D6" w14:textId="77777777" w:rsidTr="00323AF1">
        <w:trPr>
          <w:trHeight w:val="300"/>
        </w:trPr>
        <w:tc>
          <w:tcPr>
            <w:tcW w:w="1215" w:type="dxa"/>
            <w:tcBorders>
              <w:top w:val="nil"/>
              <w:left w:val="nil"/>
              <w:bottom w:val="nil"/>
              <w:right w:val="nil"/>
            </w:tcBorders>
            <w:shd w:val="clear" w:color="auto" w:fill="auto"/>
            <w:noWrap/>
            <w:vAlign w:val="bottom"/>
            <w:hideMark/>
          </w:tcPr>
          <w:p w14:paraId="0B9532E0" w14:textId="77777777" w:rsidR="0043487C" w:rsidRPr="006B6649" w:rsidRDefault="0043487C" w:rsidP="00292AF2">
            <w:pPr>
              <w:spacing w:after="0" w:line="240" w:lineRule="auto"/>
              <w:rPr>
                <w:rFonts w:cs="Arial"/>
                <w:color w:val="000000"/>
                <w:szCs w:val="20"/>
              </w:rPr>
            </w:pPr>
          </w:p>
        </w:tc>
        <w:tc>
          <w:tcPr>
            <w:tcW w:w="551" w:type="dxa"/>
            <w:tcBorders>
              <w:top w:val="nil"/>
              <w:left w:val="nil"/>
              <w:bottom w:val="single" w:sz="4" w:space="0" w:color="auto"/>
              <w:right w:val="single" w:sz="4" w:space="0" w:color="auto"/>
            </w:tcBorders>
            <w:shd w:val="clear" w:color="auto" w:fill="auto"/>
            <w:noWrap/>
            <w:vAlign w:val="bottom"/>
            <w:hideMark/>
          </w:tcPr>
          <w:p w14:paraId="75CD7956" w14:textId="77777777" w:rsidR="0043487C" w:rsidRPr="006B6649" w:rsidRDefault="0043487C" w:rsidP="00292AF2">
            <w:pPr>
              <w:spacing w:after="0" w:line="240" w:lineRule="auto"/>
              <w:rPr>
                <w:rFonts w:cs="Arial"/>
                <w:szCs w:val="20"/>
              </w:rPr>
            </w:pPr>
          </w:p>
        </w:tc>
        <w:tc>
          <w:tcPr>
            <w:tcW w:w="502"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6B4E0C2" w14:textId="27104B4F" w:rsidR="0043487C" w:rsidRPr="006B6649" w:rsidRDefault="0043487C" w:rsidP="00292AF2">
            <w:pPr>
              <w:spacing w:after="0" w:line="240" w:lineRule="auto"/>
              <w:jc w:val="right"/>
              <w:rPr>
                <w:rFonts w:cs="Arial"/>
                <w:b/>
                <w:bCs/>
                <w:color w:val="000000"/>
                <w:szCs w:val="20"/>
              </w:rPr>
            </w:pPr>
            <w:r w:rsidRPr="006B6649">
              <w:rPr>
                <w:rFonts w:cs="Arial"/>
                <w:b/>
                <w:bCs/>
                <w:color w:val="000000"/>
                <w:szCs w:val="20"/>
              </w:rPr>
              <w:t>17</w:t>
            </w:r>
          </w:p>
        </w:tc>
        <w:tc>
          <w:tcPr>
            <w:tcW w:w="44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41F70E1" w14:textId="710B5984" w:rsidR="0043487C" w:rsidRPr="006B6649" w:rsidRDefault="0043487C" w:rsidP="00292AF2">
            <w:pPr>
              <w:spacing w:after="0" w:line="240" w:lineRule="auto"/>
              <w:jc w:val="right"/>
              <w:rPr>
                <w:rFonts w:cs="Arial"/>
                <w:b/>
                <w:bCs/>
                <w:color w:val="000000"/>
                <w:szCs w:val="20"/>
              </w:rPr>
            </w:pPr>
            <w:r w:rsidRPr="006B6649">
              <w:rPr>
                <w:rFonts w:cs="Arial"/>
                <w:b/>
                <w:bCs/>
                <w:color w:val="000000"/>
                <w:szCs w:val="20"/>
              </w:rPr>
              <w:t>18</w:t>
            </w:r>
          </w:p>
        </w:tc>
        <w:tc>
          <w:tcPr>
            <w:tcW w:w="44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53A51FE" w14:textId="173EB897" w:rsidR="0043487C" w:rsidRPr="006B6649" w:rsidRDefault="0043487C" w:rsidP="00292AF2">
            <w:pPr>
              <w:spacing w:after="0" w:line="240" w:lineRule="auto"/>
              <w:jc w:val="right"/>
              <w:rPr>
                <w:rFonts w:cs="Arial"/>
                <w:b/>
                <w:bCs/>
                <w:color w:val="000000"/>
                <w:szCs w:val="20"/>
              </w:rPr>
            </w:pPr>
            <w:r w:rsidRPr="006B6649">
              <w:rPr>
                <w:rFonts w:cs="Arial"/>
                <w:b/>
                <w:bCs/>
                <w:color w:val="000000"/>
                <w:szCs w:val="20"/>
              </w:rPr>
              <w:t>19</w:t>
            </w:r>
          </w:p>
        </w:tc>
        <w:tc>
          <w:tcPr>
            <w:tcW w:w="44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968201E" w14:textId="0BC564C5" w:rsidR="0043487C" w:rsidRPr="006B6649" w:rsidRDefault="0043487C" w:rsidP="00292AF2">
            <w:pPr>
              <w:spacing w:after="0" w:line="240" w:lineRule="auto"/>
              <w:jc w:val="right"/>
              <w:rPr>
                <w:rFonts w:cs="Arial"/>
                <w:b/>
                <w:bCs/>
                <w:color w:val="000000"/>
                <w:szCs w:val="20"/>
              </w:rPr>
            </w:pPr>
            <w:r w:rsidRPr="006B6649">
              <w:rPr>
                <w:rFonts w:cs="Arial"/>
                <w:b/>
                <w:bCs/>
                <w:color w:val="000000"/>
                <w:szCs w:val="20"/>
              </w:rPr>
              <w:t>20</w:t>
            </w:r>
          </w:p>
        </w:tc>
        <w:tc>
          <w:tcPr>
            <w:tcW w:w="44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AA4E423" w14:textId="69377D40" w:rsidR="0043487C" w:rsidRPr="006B6649" w:rsidRDefault="0043487C" w:rsidP="00292AF2">
            <w:pPr>
              <w:spacing w:after="0" w:line="240" w:lineRule="auto"/>
              <w:jc w:val="right"/>
              <w:rPr>
                <w:rFonts w:cs="Arial"/>
                <w:b/>
                <w:bCs/>
                <w:color w:val="000000"/>
                <w:szCs w:val="20"/>
              </w:rPr>
            </w:pPr>
            <w:r w:rsidRPr="006B6649">
              <w:rPr>
                <w:rFonts w:cs="Arial"/>
                <w:b/>
                <w:bCs/>
                <w:color w:val="000000"/>
                <w:szCs w:val="20"/>
              </w:rPr>
              <w:t>21</w:t>
            </w:r>
          </w:p>
        </w:tc>
        <w:tc>
          <w:tcPr>
            <w:tcW w:w="44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2D0BFE6" w14:textId="4C0D4190" w:rsidR="0043487C" w:rsidRPr="006B6649" w:rsidRDefault="0043487C" w:rsidP="00292AF2">
            <w:pPr>
              <w:spacing w:after="0" w:line="240" w:lineRule="auto"/>
              <w:jc w:val="right"/>
              <w:rPr>
                <w:rFonts w:cs="Arial"/>
                <w:b/>
                <w:bCs/>
                <w:color w:val="000000"/>
                <w:szCs w:val="20"/>
              </w:rPr>
            </w:pPr>
            <w:r w:rsidRPr="006B6649">
              <w:rPr>
                <w:rFonts w:cs="Arial"/>
                <w:b/>
                <w:bCs/>
                <w:color w:val="000000"/>
                <w:szCs w:val="20"/>
              </w:rPr>
              <w:t>22</w:t>
            </w:r>
          </w:p>
        </w:tc>
        <w:tc>
          <w:tcPr>
            <w:tcW w:w="44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D5EA256" w14:textId="70E8A894" w:rsidR="0043487C" w:rsidRPr="006B6649" w:rsidRDefault="0043487C" w:rsidP="00292AF2">
            <w:pPr>
              <w:spacing w:after="0" w:line="240" w:lineRule="auto"/>
              <w:jc w:val="right"/>
              <w:rPr>
                <w:rFonts w:cs="Arial"/>
                <w:b/>
                <w:bCs/>
                <w:color w:val="000000"/>
                <w:szCs w:val="20"/>
              </w:rPr>
            </w:pPr>
            <w:r w:rsidRPr="006B6649">
              <w:rPr>
                <w:rFonts w:cs="Arial"/>
                <w:b/>
                <w:bCs/>
                <w:color w:val="000000"/>
                <w:szCs w:val="20"/>
              </w:rPr>
              <w:t>23</w:t>
            </w:r>
          </w:p>
        </w:tc>
        <w:tc>
          <w:tcPr>
            <w:tcW w:w="44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2869789" w14:textId="6EDC02CB" w:rsidR="0043487C" w:rsidRPr="006B6649" w:rsidRDefault="0043487C" w:rsidP="00292AF2">
            <w:pPr>
              <w:spacing w:after="0" w:line="240" w:lineRule="auto"/>
              <w:jc w:val="right"/>
              <w:rPr>
                <w:rFonts w:cs="Arial"/>
                <w:b/>
                <w:bCs/>
                <w:color w:val="000000"/>
                <w:szCs w:val="20"/>
              </w:rPr>
            </w:pPr>
            <w:r w:rsidRPr="006B6649">
              <w:rPr>
                <w:rFonts w:cs="Arial"/>
                <w:b/>
                <w:bCs/>
                <w:color w:val="000000"/>
                <w:szCs w:val="20"/>
              </w:rPr>
              <w:t>24</w:t>
            </w:r>
          </w:p>
        </w:tc>
        <w:tc>
          <w:tcPr>
            <w:tcW w:w="44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0701186" w14:textId="19ADB238" w:rsidR="0043487C" w:rsidRPr="006B6649" w:rsidRDefault="0043487C" w:rsidP="00292AF2">
            <w:pPr>
              <w:spacing w:after="0" w:line="240" w:lineRule="auto"/>
              <w:jc w:val="right"/>
              <w:rPr>
                <w:rFonts w:cs="Arial"/>
                <w:b/>
                <w:bCs/>
                <w:color w:val="000000"/>
                <w:szCs w:val="20"/>
              </w:rPr>
            </w:pPr>
            <w:r w:rsidRPr="006B6649">
              <w:rPr>
                <w:rFonts w:cs="Arial"/>
                <w:b/>
                <w:bCs/>
                <w:color w:val="000000"/>
                <w:szCs w:val="20"/>
              </w:rPr>
              <w:t>25</w:t>
            </w:r>
          </w:p>
        </w:tc>
        <w:tc>
          <w:tcPr>
            <w:tcW w:w="449"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65D28B4" w14:textId="1E449D2B" w:rsidR="0043487C" w:rsidRPr="006B6649" w:rsidRDefault="0043487C" w:rsidP="00292AF2">
            <w:pPr>
              <w:spacing w:after="0" w:line="240" w:lineRule="auto"/>
              <w:jc w:val="right"/>
              <w:rPr>
                <w:rFonts w:cs="Arial"/>
                <w:b/>
                <w:bCs/>
                <w:color w:val="000000"/>
                <w:szCs w:val="20"/>
              </w:rPr>
            </w:pPr>
            <w:r w:rsidRPr="006B6649">
              <w:rPr>
                <w:rFonts w:cs="Arial"/>
                <w:b/>
                <w:bCs/>
                <w:color w:val="000000"/>
                <w:szCs w:val="20"/>
              </w:rPr>
              <w:t>26</w:t>
            </w:r>
          </w:p>
        </w:tc>
        <w:tc>
          <w:tcPr>
            <w:tcW w:w="44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EEF7839" w14:textId="070B5081" w:rsidR="0043487C" w:rsidRPr="006B6649" w:rsidRDefault="0043487C" w:rsidP="00292AF2">
            <w:pPr>
              <w:spacing w:after="0" w:line="240" w:lineRule="auto"/>
              <w:jc w:val="right"/>
              <w:rPr>
                <w:rFonts w:cs="Arial"/>
                <w:b/>
                <w:bCs/>
                <w:color w:val="000000"/>
                <w:szCs w:val="20"/>
              </w:rPr>
            </w:pPr>
            <w:r w:rsidRPr="006B6649">
              <w:rPr>
                <w:rFonts w:cs="Arial"/>
                <w:b/>
                <w:bCs/>
                <w:color w:val="000000"/>
                <w:szCs w:val="20"/>
              </w:rPr>
              <w:t>27</w:t>
            </w:r>
          </w:p>
        </w:tc>
        <w:tc>
          <w:tcPr>
            <w:tcW w:w="44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3E42634" w14:textId="60610010" w:rsidR="0043487C" w:rsidRPr="006B6649" w:rsidRDefault="0043487C" w:rsidP="00292AF2">
            <w:pPr>
              <w:spacing w:after="0" w:line="240" w:lineRule="auto"/>
              <w:jc w:val="right"/>
              <w:rPr>
                <w:rFonts w:cs="Arial"/>
                <w:b/>
                <w:bCs/>
                <w:color w:val="000000"/>
                <w:szCs w:val="20"/>
              </w:rPr>
            </w:pPr>
            <w:r w:rsidRPr="006B6649">
              <w:rPr>
                <w:rFonts w:cs="Arial"/>
                <w:b/>
                <w:bCs/>
                <w:color w:val="000000"/>
                <w:szCs w:val="20"/>
              </w:rPr>
              <w:t>28</w:t>
            </w:r>
          </w:p>
        </w:tc>
        <w:tc>
          <w:tcPr>
            <w:tcW w:w="44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29A90B4" w14:textId="3CE07855" w:rsidR="0043487C" w:rsidRPr="006B6649" w:rsidRDefault="0043487C" w:rsidP="00292AF2">
            <w:pPr>
              <w:spacing w:after="0" w:line="240" w:lineRule="auto"/>
              <w:jc w:val="right"/>
              <w:rPr>
                <w:rFonts w:cs="Arial"/>
                <w:b/>
                <w:bCs/>
                <w:color w:val="000000"/>
                <w:szCs w:val="20"/>
              </w:rPr>
            </w:pPr>
            <w:r w:rsidRPr="006B6649">
              <w:rPr>
                <w:rFonts w:cs="Arial"/>
                <w:b/>
                <w:bCs/>
                <w:color w:val="000000"/>
                <w:szCs w:val="20"/>
              </w:rPr>
              <w:t>29</w:t>
            </w:r>
          </w:p>
        </w:tc>
        <w:tc>
          <w:tcPr>
            <w:tcW w:w="44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EAE0DF3" w14:textId="6AD079B8" w:rsidR="0043487C" w:rsidRPr="006B6649" w:rsidRDefault="0043487C" w:rsidP="00292AF2">
            <w:pPr>
              <w:spacing w:after="0" w:line="240" w:lineRule="auto"/>
              <w:jc w:val="right"/>
              <w:rPr>
                <w:rFonts w:cs="Arial"/>
                <w:b/>
                <w:bCs/>
                <w:color w:val="000000"/>
                <w:szCs w:val="20"/>
              </w:rPr>
            </w:pPr>
            <w:r w:rsidRPr="006B6649">
              <w:rPr>
                <w:rFonts w:cs="Arial"/>
                <w:b/>
                <w:bCs/>
                <w:color w:val="000000"/>
                <w:szCs w:val="20"/>
              </w:rPr>
              <w:t>30</w:t>
            </w:r>
          </w:p>
        </w:tc>
      </w:tr>
      <w:tr w:rsidR="0043487C" w:rsidRPr="0017220C" w14:paraId="000278E7" w14:textId="77777777" w:rsidTr="00323AF1">
        <w:trPr>
          <w:trHeight w:val="300"/>
        </w:trPr>
        <w:tc>
          <w:tcPr>
            <w:tcW w:w="1215" w:type="dxa"/>
            <w:tcBorders>
              <w:top w:val="nil"/>
              <w:left w:val="nil"/>
              <w:bottom w:val="nil"/>
              <w:right w:val="single" w:sz="4" w:space="0" w:color="auto"/>
            </w:tcBorders>
            <w:shd w:val="clear" w:color="auto" w:fill="A6A6A6" w:themeFill="background1" w:themeFillShade="A6"/>
            <w:noWrap/>
            <w:vAlign w:val="bottom"/>
            <w:hideMark/>
          </w:tcPr>
          <w:p w14:paraId="46784C40" w14:textId="77777777" w:rsidR="0043487C" w:rsidRPr="006B6649" w:rsidRDefault="0043487C" w:rsidP="00292AF2">
            <w:pPr>
              <w:spacing w:after="0" w:line="240" w:lineRule="auto"/>
              <w:rPr>
                <w:rFonts w:cs="Arial"/>
                <w:b/>
                <w:bCs/>
                <w:color w:val="000000"/>
                <w:szCs w:val="20"/>
              </w:rPr>
            </w:pPr>
            <w:r w:rsidRPr="006B6649">
              <w:rPr>
                <w:rFonts w:cs="Arial"/>
                <w:b/>
                <w:bCs/>
                <w:color w:val="000000"/>
                <w:szCs w:val="20"/>
              </w:rPr>
              <w:t>Bandwidth</w:t>
            </w:r>
          </w:p>
        </w:tc>
        <w:tc>
          <w:tcPr>
            <w:tcW w:w="55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0120A2C" w14:textId="77777777" w:rsidR="0043487C" w:rsidRPr="006B6649" w:rsidRDefault="0043487C" w:rsidP="00292AF2">
            <w:pPr>
              <w:spacing w:after="0" w:line="240" w:lineRule="auto"/>
              <w:jc w:val="right"/>
              <w:rPr>
                <w:rFonts w:cs="Arial"/>
                <w:b/>
                <w:bCs/>
                <w:color w:val="000000"/>
                <w:szCs w:val="20"/>
              </w:rPr>
            </w:pPr>
            <w:r w:rsidRPr="006B6649">
              <w:rPr>
                <w:rFonts w:cs="Arial"/>
                <w:b/>
                <w:bCs/>
                <w:color w:val="000000"/>
                <w:szCs w:val="20"/>
              </w:rPr>
              <w:t>20</w:t>
            </w:r>
          </w:p>
        </w:tc>
        <w:tc>
          <w:tcPr>
            <w:tcW w:w="502"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1F1CE213" w14:textId="0A158364" w:rsidR="0043487C" w:rsidRPr="006B6649" w:rsidRDefault="0043487C" w:rsidP="00292AF2">
            <w:pPr>
              <w:spacing w:after="0" w:line="240" w:lineRule="auto"/>
              <w:jc w:val="right"/>
              <w:rPr>
                <w:rFonts w:cs="Arial"/>
                <w:color w:val="000000"/>
                <w:szCs w:val="20"/>
              </w:rPr>
            </w:pPr>
            <w:r w:rsidRPr="006B6649">
              <w:rPr>
                <w:rFonts w:cs="Arial"/>
                <w:color w:val="000000"/>
                <w:szCs w:val="20"/>
              </w:rPr>
              <w:t>4</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3219AD33" w14:textId="1BF425CF" w:rsidR="0043487C" w:rsidRPr="006B6649" w:rsidRDefault="0043487C" w:rsidP="00292AF2">
            <w:pPr>
              <w:spacing w:after="0" w:line="240" w:lineRule="auto"/>
              <w:jc w:val="right"/>
              <w:rPr>
                <w:rFonts w:cs="Arial"/>
                <w:color w:val="000000"/>
                <w:szCs w:val="20"/>
              </w:rPr>
            </w:pPr>
            <w:r w:rsidRPr="006B6649">
              <w:rPr>
                <w:rFonts w:cs="Arial"/>
                <w:color w:val="000000"/>
                <w:szCs w:val="20"/>
              </w:rPr>
              <w:t>5</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1E163D25" w14:textId="47124439" w:rsidR="0043487C" w:rsidRPr="006B6649" w:rsidRDefault="0043487C" w:rsidP="00292AF2">
            <w:pPr>
              <w:spacing w:after="0" w:line="240" w:lineRule="auto"/>
              <w:jc w:val="right"/>
              <w:rPr>
                <w:rFonts w:cs="Arial"/>
                <w:color w:val="000000"/>
                <w:szCs w:val="20"/>
              </w:rPr>
            </w:pPr>
            <w:r w:rsidRPr="006B6649">
              <w:rPr>
                <w:rFonts w:cs="Arial"/>
                <w:color w:val="000000"/>
                <w:szCs w:val="20"/>
              </w:rPr>
              <w:t>6</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56347015" w14:textId="243F1370" w:rsidR="0043487C" w:rsidRPr="006B6649" w:rsidRDefault="0043487C" w:rsidP="00292AF2">
            <w:pPr>
              <w:spacing w:after="0" w:line="240" w:lineRule="auto"/>
              <w:jc w:val="right"/>
              <w:rPr>
                <w:rFonts w:cs="Arial"/>
                <w:color w:val="000000"/>
                <w:szCs w:val="20"/>
              </w:rPr>
            </w:pPr>
            <w:r w:rsidRPr="006B6649">
              <w:rPr>
                <w:rFonts w:cs="Arial"/>
                <w:color w:val="000000"/>
                <w:szCs w:val="20"/>
              </w:rPr>
              <w:t>7</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34BCC5F3" w14:textId="0A6D4089" w:rsidR="0043487C" w:rsidRPr="006B6649" w:rsidRDefault="0043487C" w:rsidP="00292AF2">
            <w:pPr>
              <w:spacing w:after="0" w:line="240" w:lineRule="auto"/>
              <w:jc w:val="right"/>
              <w:rPr>
                <w:rFonts w:cs="Arial"/>
                <w:color w:val="000000"/>
                <w:szCs w:val="20"/>
              </w:rPr>
            </w:pPr>
            <w:r w:rsidRPr="006B6649">
              <w:rPr>
                <w:rFonts w:cs="Arial"/>
                <w:color w:val="000000"/>
                <w:szCs w:val="20"/>
              </w:rPr>
              <w:t>8</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4902B978" w14:textId="7C39F9D5" w:rsidR="0043487C" w:rsidRPr="006B6649" w:rsidRDefault="0043487C" w:rsidP="00292AF2">
            <w:pPr>
              <w:spacing w:after="0" w:line="240" w:lineRule="auto"/>
              <w:jc w:val="right"/>
              <w:rPr>
                <w:rFonts w:cs="Arial"/>
                <w:color w:val="000000"/>
                <w:szCs w:val="20"/>
              </w:rPr>
            </w:pPr>
            <w:r w:rsidRPr="006B6649">
              <w:rPr>
                <w:rFonts w:cs="Arial"/>
                <w:color w:val="000000"/>
                <w:szCs w:val="20"/>
              </w:rPr>
              <w:t>9</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0892014C" w14:textId="4E9D4E63" w:rsidR="0043487C" w:rsidRPr="006B6649" w:rsidRDefault="0043487C" w:rsidP="00292AF2">
            <w:pPr>
              <w:spacing w:after="0" w:line="240" w:lineRule="auto"/>
              <w:jc w:val="right"/>
              <w:rPr>
                <w:rFonts w:cs="Arial"/>
                <w:color w:val="000000"/>
                <w:szCs w:val="20"/>
              </w:rPr>
            </w:pPr>
            <w:r w:rsidRPr="006B6649">
              <w:rPr>
                <w:rFonts w:cs="Arial"/>
                <w:color w:val="000000"/>
                <w:szCs w:val="20"/>
              </w:rPr>
              <w:t>10</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644865C6" w14:textId="4ADD56DD" w:rsidR="0043487C" w:rsidRPr="006B6649" w:rsidRDefault="0043487C" w:rsidP="00292AF2">
            <w:pPr>
              <w:spacing w:after="0" w:line="240" w:lineRule="auto"/>
              <w:jc w:val="right"/>
              <w:rPr>
                <w:rFonts w:cs="Arial"/>
                <w:color w:val="000000"/>
                <w:szCs w:val="20"/>
              </w:rPr>
            </w:pPr>
            <w:r w:rsidRPr="006B6649">
              <w:rPr>
                <w:rFonts w:cs="Arial"/>
                <w:color w:val="000000"/>
                <w:szCs w:val="20"/>
              </w:rPr>
              <w:t>11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53A5D" w14:textId="06AD1136" w:rsidR="0043487C" w:rsidRPr="006B6649" w:rsidRDefault="0043487C" w:rsidP="00292AF2">
            <w:pPr>
              <w:spacing w:after="0" w:line="240" w:lineRule="auto"/>
              <w:jc w:val="right"/>
              <w:rPr>
                <w:rFonts w:cs="Arial"/>
                <w:color w:val="000000"/>
                <w:szCs w:val="20"/>
              </w:rPr>
            </w:pPr>
            <w:r w:rsidRPr="006B6649">
              <w:rPr>
                <w:rFonts w:cs="Arial"/>
                <w:color w:val="000000"/>
                <w:szCs w:val="20"/>
              </w:rPr>
              <w:t>12</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CEF08" w14:textId="791C24AE" w:rsidR="0043487C" w:rsidRPr="006B6649" w:rsidRDefault="0043487C" w:rsidP="00292AF2">
            <w:pPr>
              <w:spacing w:after="0" w:line="240" w:lineRule="auto"/>
              <w:jc w:val="right"/>
              <w:rPr>
                <w:rFonts w:cs="Arial"/>
                <w:color w:val="000000"/>
                <w:szCs w:val="20"/>
              </w:rPr>
            </w:pPr>
            <w:r w:rsidRPr="006B6649">
              <w:rPr>
                <w:rFonts w:cs="Arial"/>
                <w:color w:val="000000"/>
                <w:szCs w:val="20"/>
              </w:rPr>
              <w:t>13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AD94E" w14:textId="400C94A3" w:rsidR="0043487C" w:rsidRPr="006B6649" w:rsidRDefault="0043487C" w:rsidP="00292AF2">
            <w:pPr>
              <w:spacing w:after="0" w:line="240" w:lineRule="auto"/>
              <w:jc w:val="right"/>
              <w:rPr>
                <w:rFonts w:cs="Arial"/>
                <w:color w:val="000000"/>
                <w:szCs w:val="20"/>
              </w:rPr>
            </w:pPr>
            <w:r w:rsidRPr="006B6649">
              <w:rPr>
                <w:rFonts w:cs="Arial"/>
                <w:color w:val="000000"/>
                <w:szCs w:val="20"/>
              </w:rPr>
              <w:t>14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F3F2E" w14:textId="2078F29E" w:rsidR="0043487C" w:rsidRPr="006B6649" w:rsidRDefault="0043487C" w:rsidP="00292AF2">
            <w:pPr>
              <w:spacing w:after="0" w:line="240" w:lineRule="auto"/>
              <w:jc w:val="right"/>
              <w:rPr>
                <w:rFonts w:cs="Arial"/>
                <w:color w:val="000000"/>
                <w:szCs w:val="20"/>
              </w:rPr>
            </w:pPr>
            <w:r w:rsidRPr="006B6649">
              <w:rPr>
                <w:rFonts w:cs="Arial"/>
                <w:color w:val="000000"/>
                <w:szCs w:val="20"/>
              </w:rPr>
              <w:t>15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7AA3D" w14:textId="7DEDB45A" w:rsidR="0043487C" w:rsidRPr="006B6649" w:rsidRDefault="0043487C" w:rsidP="00292AF2">
            <w:pPr>
              <w:spacing w:after="0" w:line="240" w:lineRule="auto"/>
              <w:jc w:val="right"/>
              <w:rPr>
                <w:rFonts w:cs="Arial"/>
                <w:color w:val="000000"/>
                <w:szCs w:val="20"/>
              </w:rPr>
            </w:pPr>
            <w:r w:rsidRPr="006B6649">
              <w:rPr>
                <w:rFonts w:cs="Arial"/>
                <w:color w:val="000000"/>
                <w:szCs w:val="20"/>
              </w:rPr>
              <w:t>16</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AE0E4" w14:textId="36F02E1D" w:rsidR="0043487C" w:rsidRPr="006B6649" w:rsidRDefault="0043487C" w:rsidP="00292AF2">
            <w:pPr>
              <w:spacing w:after="0" w:line="240" w:lineRule="auto"/>
              <w:jc w:val="right"/>
              <w:rPr>
                <w:rFonts w:cs="Arial"/>
                <w:color w:val="000000"/>
                <w:szCs w:val="20"/>
              </w:rPr>
            </w:pPr>
            <w:r w:rsidRPr="006B6649">
              <w:rPr>
                <w:rFonts w:cs="Arial"/>
                <w:color w:val="000000"/>
                <w:szCs w:val="20"/>
              </w:rPr>
              <w:t>17</w:t>
            </w:r>
          </w:p>
        </w:tc>
      </w:tr>
      <w:tr w:rsidR="0043487C" w:rsidRPr="0017220C" w14:paraId="351A7DF3" w14:textId="77777777" w:rsidTr="00323AF1">
        <w:trPr>
          <w:trHeight w:val="300"/>
        </w:trPr>
        <w:tc>
          <w:tcPr>
            <w:tcW w:w="1215" w:type="dxa"/>
            <w:tcBorders>
              <w:top w:val="nil"/>
              <w:left w:val="nil"/>
              <w:bottom w:val="nil"/>
              <w:right w:val="single" w:sz="4" w:space="0" w:color="auto"/>
            </w:tcBorders>
            <w:shd w:val="clear" w:color="auto" w:fill="A6A6A6" w:themeFill="background1" w:themeFillShade="A6"/>
            <w:noWrap/>
            <w:vAlign w:val="bottom"/>
            <w:hideMark/>
          </w:tcPr>
          <w:p w14:paraId="79E4E2DF" w14:textId="77777777" w:rsidR="0043487C" w:rsidRPr="006B6649" w:rsidRDefault="0043487C" w:rsidP="00292AF2">
            <w:pPr>
              <w:spacing w:after="0" w:line="240" w:lineRule="auto"/>
              <w:rPr>
                <w:rFonts w:cs="Arial"/>
                <w:b/>
                <w:bCs/>
                <w:color w:val="000000"/>
                <w:szCs w:val="20"/>
              </w:rPr>
            </w:pPr>
            <w:r w:rsidRPr="006B6649">
              <w:rPr>
                <w:rFonts w:cs="Arial"/>
                <w:b/>
                <w:bCs/>
                <w:color w:val="000000"/>
                <w:szCs w:val="20"/>
              </w:rPr>
              <w:t> (MHz)</w:t>
            </w:r>
          </w:p>
        </w:tc>
        <w:tc>
          <w:tcPr>
            <w:tcW w:w="55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CE0849D" w14:textId="77777777" w:rsidR="0043487C" w:rsidRPr="006B6649" w:rsidRDefault="0043487C" w:rsidP="00292AF2">
            <w:pPr>
              <w:spacing w:after="0" w:line="240" w:lineRule="auto"/>
              <w:jc w:val="right"/>
              <w:rPr>
                <w:rFonts w:cs="Arial"/>
                <w:b/>
                <w:bCs/>
                <w:color w:val="000000"/>
                <w:szCs w:val="20"/>
              </w:rPr>
            </w:pPr>
            <w:r w:rsidRPr="006B6649">
              <w:rPr>
                <w:rFonts w:cs="Arial"/>
                <w:b/>
                <w:bCs/>
                <w:color w:val="000000"/>
                <w:szCs w:val="20"/>
              </w:rPr>
              <w:t>40</w:t>
            </w:r>
          </w:p>
        </w:tc>
        <w:tc>
          <w:tcPr>
            <w:tcW w:w="502"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2C4C6F8D" w14:textId="41AFDACF" w:rsidR="0043487C" w:rsidRPr="006B6649" w:rsidRDefault="0043487C" w:rsidP="00292AF2">
            <w:pPr>
              <w:spacing w:after="0" w:line="240" w:lineRule="auto"/>
              <w:jc w:val="right"/>
              <w:rPr>
                <w:rFonts w:cs="Arial"/>
                <w:color w:val="000000"/>
                <w:szCs w:val="20"/>
              </w:rPr>
            </w:pPr>
            <w:r w:rsidRPr="006B6649">
              <w:rPr>
                <w:rFonts w:cs="Arial"/>
                <w:color w:val="000000"/>
                <w:szCs w:val="20"/>
              </w:rPr>
              <w:t>1</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0B603903" w14:textId="0AD47608" w:rsidR="0043487C" w:rsidRPr="006B6649" w:rsidRDefault="0043487C" w:rsidP="00292AF2">
            <w:pPr>
              <w:spacing w:after="0" w:line="240" w:lineRule="auto"/>
              <w:jc w:val="right"/>
              <w:rPr>
                <w:rFonts w:cs="Arial"/>
                <w:color w:val="000000"/>
                <w:szCs w:val="20"/>
              </w:rPr>
            </w:pPr>
            <w:r w:rsidRPr="006B6649">
              <w:rPr>
                <w:rFonts w:cs="Arial"/>
                <w:color w:val="000000"/>
                <w:szCs w:val="20"/>
              </w:rPr>
              <w:t>2</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0577D1D4" w14:textId="65E16DC5" w:rsidR="0043487C" w:rsidRPr="006B6649" w:rsidRDefault="0043487C" w:rsidP="00292AF2">
            <w:pPr>
              <w:spacing w:after="0" w:line="240" w:lineRule="auto"/>
              <w:jc w:val="right"/>
              <w:rPr>
                <w:rFonts w:cs="Arial"/>
                <w:color w:val="000000"/>
                <w:szCs w:val="20"/>
              </w:rPr>
            </w:pPr>
            <w:r w:rsidRPr="006B6649">
              <w:rPr>
                <w:rFonts w:cs="Arial"/>
                <w:color w:val="000000"/>
                <w:szCs w:val="20"/>
              </w:rPr>
              <w:t>3</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60B96C29" w14:textId="066DCD47" w:rsidR="0043487C" w:rsidRPr="006B6649" w:rsidRDefault="0043487C" w:rsidP="00292AF2">
            <w:pPr>
              <w:spacing w:after="0" w:line="240" w:lineRule="auto"/>
              <w:jc w:val="right"/>
              <w:rPr>
                <w:rFonts w:cs="Arial"/>
                <w:color w:val="000000"/>
                <w:szCs w:val="20"/>
              </w:rPr>
            </w:pPr>
            <w:r w:rsidRPr="006B6649">
              <w:rPr>
                <w:rFonts w:cs="Arial"/>
                <w:color w:val="000000"/>
                <w:szCs w:val="20"/>
              </w:rPr>
              <w:t>4</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447738EF" w14:textId="7AD0E44D" w:rsidR="0043487C" w:rsidRPr="006B6649" w:rsidRDefault="0043487C" w:rsidP="00292AF2">
            <w:pPr>
              <w:spacing w:after="0" w:line="240" w:lineRule="auto"/>
              <w:jc w:val="right"/>
              <w:rPr>
                <w:rFonts w:cs="Arial"/>
                <w:color w:val="000000"/>
                <w:szCs w:val="20"/>
              </w:rPr>
            </w:pPr>
            <w:r w:rsidRPr="006B6649">
              <w:rPr>
                <w:rFonts w:cs="Arial"/>
                <w:color w:val="000000"/>
                <w:szCs w:val="20"/>
              </w:rPr>
              <w:t>5</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2CD01313" w14:textId="59E7B50F" w:rsidR="0043487C" w:rsidRPr="006B6649" w:rsidRDefault="0043487C" w:rsidP="00292AF2">
            <w:pPr>
              <w:spacing w:after="0" w:line="240" w:lineRule="auto"/>
              <w:jc w:val="right"/>
              <w:rPr>
                <w:rFonts w:cs="Arial"/>
                <w:color w:val="000000"/>
                <w:szCs w:val="20"/>
              </w:rPr>
            </w:pPr>
            <w:r w:rsidRPr="006B6649">
              <w:rPr>
                <w:rFonts w:cs="Arial"/>
                <w:color w:val="000000"/>
                <w:szCs w:val="20"/>
              </w:rPr>
              <w:t>6</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4578891B" w14:textId="61A125FD" w:rsidR="0043487C" w:rsidRPr="006B6649" w:rsidRDefault="0043487C" w:rsidP="00292AF2">
            <w:pPr>
              <w:spacing w:after="0" w:line="240" w:lineRule="auto"/>
              <w:jc w:val="right"/>
              <w:rPr>
                <w:rFonts w:cs="Arial"/>
                <w:color w:val="000000"/>
                <w:szCs w:val="20"/>
              </w:rPr>
            </w:pPr>
            <w:r w:rsidRPr="006B6649">
              <w:rPr>
                <w:rFonts w:cs="Arial"/>
                <w:color w:val="000000"/>
                <w:szCs w:val="20"/>
              </w:rPr>
              <w:t>7</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3C30BC68" w14:textId="459C1F49" w:rsidR="0043487C" w:rsidRPr="006B6649" w:rsidRDefault="0043487C" w:rsidP="00292AF2">
            <w:pPr>
              <w:spacing w:after="0" w:line="240" w:lineRule="auto"/>
              <w:jc w:val="right"/>
              <w:rPr>
                <w:rFonts w:cs="Arial"/>
                <w:color w:val="000000"/>
                <w:szCs w:val="20"/>
              </w:rPr>
            </w:pPr>
            <w:r w:rsidRPr="006B6649">
              <w:rPr>
                <w:rFonts w:cs="Arial"/>
                <w:color w:val="000000"/>
                <w:szCs w:val="20"/>
              </w:rPr>
              <w:t>8</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8B554" w14:textId="066BD183" w:rsidR="0043487C" w:rsidRPr="006B6649" w:rsidRDefault="0043487C" w:rsidP="00292AF2">
            <w:pPr>
              <w:spacing w:after="0" w:line="240" w:lineRule="auto"/>
              <w:jc w:val="right"/>
              <w:rPr>
                <w:rFonts w:cs="Arial"/>
                <w:color w:val="000000"/>
                <w:szCs w:val="20"/>
              </w:rPr>
            </w:pPr>
            <w:r w:rsidRPr="006B6649">
              <w:rPr>
                <w:rFonts w:cs="Arial"/>
                <w:color w:val="000000"/>
                <w:szCs w:val="20"/>
              </w:rPr>
              <w:t>9</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11F4C" w14:textId="7B0DED90" w:rsidR="0043487C" w:rsidRPr="006B6649" w:rsidRDefault="0043487C" w:rsidP="00292AF2">
            <w:pPr>
              <w:spacing w:after="0" w:line="240" w:lineRule="auto"/>
              <w:jc w:val="right"/>
              <w:rPr>
                <w:rFonts w:cs="Arial"/>
                <w:color w:val="000000"/>
                <w:szCs w:val="20"/>
              </w:rPr>
            </w:pPr>
            <w:r w:rsidRPr="006B6649">
              <w:rPr>
                <w:rFonts w:cs="Arial"/>
                <w:color w:val="000000"/>
                <w:szCs w:val="20"/>
              </w:rPr>
              <w:t>10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A80E7" w14:textId="2E0991D0" w:rsidR="0043487C" w:rsidRPr="006B6649" w:rsidRDefault="0043487C" w:rsidP="00292AF2">
            <w:pPr>
              <w:spacing w:after="0" w:line="240" w:lineRule="auto"/>
              <w:jc w:val="right"/>
              <w:rPr>
                <w:rFonts w:cs="Arial"/>
                <w:color w:val="000000"/>
                <w:szCs w:val="20"/>
              </w:rPr>
            </w:pPr>
            <w:r w:rsidRPr="006B6649">
              <w:rPr>
                <w:rFonts w:cs="Arial"/>
                <w:color w:val="000000"/>
                <w:szCs w:val="20"/>
              </w:rPr>
              <w:t>11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FCCAD" w14:textId="4BD96BE7" w:rsidR="0043487C" w:rsidRPr="006B6649" w:rsidRDefault="0043487C" w:rsidP="00292AF2">
            <w:pPr>
              <w:spacing w:after="0" w:line="240" w:lineRule="auto"/>
              <w:jc w:val="right"/>
              <w:rPr>
                <w:rFonts w:cs="Arial"/>
                <w:color w:val="000000"/>
                <w:szCs w:val="20"/>
              </w:rPr>
            </w:pPr>
            <w:r w:rsidRPr="006B6649">
              <w:rPr>
                <w:rFonts w:cs="Arial"/>
                <w:color w:val="000000"/>
                <w:szCs w:val="20"/>
              </w:rPr>
              <w:t>12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BC982" w14:textId="20388E01" w:rsidR="0043487C" w:rsidRPr="006B6649" w:rsidRDefault="0043487C" w:rsidP="00292AF2">
            <w:pPr>
              <w:spacing w:after="0" w:line="240" w:lineRule="auto"/>
              <w:jc w:val="right"/>
              <w:rPr>
                <w:rFonts w:cs="Arial"/>
                <w:color w:val="000000"/>
                <w:szCs w:val="20"/>
              </w:rPr>
            </w:pPr>
            <w:r w:rsidRPr="006B6649">
              <w:rPr>
                <w:rFonts w:cs="Arial"/>
                <w:color w:val="000000"/>
                <w:szCs w:val="20"/>
              </w:rPr>
              <w:t>13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E770F" w14:textId="11DDF00B" w:rsidR="0043487C" w:rsidRPr="006B6649" w:rsidRDefault="0043487C" w:rsidP="00292AF2">
            <w:pPr>
              <w:spacing w:after="0" w:line="240" w:lineRule="auto"/>
              <w:jc w:val="right"/>
              <w:rPr>
                <w:rFonts w:cs="Arial"/>
                <w:color w:val="000000"/>
                <w:szCs w:val="20"/>
              </w:rPr>
            </w:pPr>
            <w:r w:rsidRPr="006B6649">
              <w:rPr>
                <w:rFonts w:cs="Arial"/>
                <w:color w:val="000000"/>
                <w:szCs w:val="20"/>
              </w:rPr>
              <w:t>14</w:t>
            </w:r>
          </w:p>
        </w:tc>
      </w:tr>
      <w:tr w:rsidR="0043487C" w:rsidRPr="0017220C" w14:paraId="00A983C7" w14:textId="77777777" w:rsidTr="00323AF1">
        <w:trPr>
          <w:trHeight w:val="300"/>
        </w:trPr>
        <w:tc>
          <w:tcPr>
            <w:tcW w:w="1215" w:type="dxa"/>
            <w:tcBorders>
              <w:top w:val="nil"/>
              <w:left w:val="nil"/>
              <w:bottom w:val="nil"/>
              <w:right w:val="single" w:sz="4" w:space="0" w:color="auto"/>
            </w:tcBorders>
            <w:shd w:val="clear" w:color="auto" w:fill="A6A6A6" w:themeFill="background1" w:themeFillShade="A6"/>
            <w:noWrap/>
            <w:vAlign w:val="bottom"/>
            <w:hideMark/>
          </w:tcPr>
          <w:p w14:paraId="545EA4B9" w14:textId="77777777" w:rsidR="0043487C" w:rsidRPr="006B6649" w:rsidRDefault="0043487C" w:rsidP="00292AF2">
            <w:pPr>
              <w:spacing w:after="0" w:line="240" w:lineRule="auto"/>
              <w:rPr>
                <w:rFonts w:cs="Arial"/>
                <w:color w:val="000000"/>
                <w:szCs w:val="20"/>
              </w:rPr>
            </w:pPr>
            <w:r w:rsidRPr="006B6649">
              <w:rPr>
                <w:rFonts w:cs="Arial"/>
                <w:color w:val="000000"/>
                <w:szCs w:val="20"/>
              </w:rPr>
              <w:t> </w:t>
            </w:r>
          </w:p>
        </w:tc>
        <w:tc>
          <w:tcPr>
            <w:tcW w:w="55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DE2380E" w14:textId="77777777" w:rsidR="0043487C" w:rsidRPr="006B6649" w:rsidRDefault="0043487C" w:rsidP="00292AF2">
            <w:pPr>
              <w:spacing w:after="0" w:line="240" w:lineRule="auto"/>
              <w:jc w:val="right"/>
              <w:rPr>
                <w:rFonts w:cs="Arial"/>
                <w:b/>
                <w:bCs/>
                <w:color w:val="000000"/>
                <w:szCs w:val="20"/>
              </w:rPr>
            </w:pPr>
            <w:r w:rsidRPr="006B6649">
              <w:rPr>
                <w:rFonts w:cs="Arial"/>
                <w:b/>
                <w:bCs/>
                <w:color w:val="000000"/>
                <w:szCs w:val="20"/>
              </w:rPr>
              <w:t>80</w:t>
            </w:r>
          </w:p>
        </w:tc>
        <w:tc>
          <w:tcPr>
            <w:tcW w:w="502"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7A8D4BAC" w14:textId="107C968D" w:rsidR="0043487C" w:rsidRPr="006B6649" w:rsidRDefault="0043487C" w:rsidP="00292AF2">
            <w:pPr>
              <w:spacing w:after="0" w:line="240" w:lineRule="auto"/>
              <w:jc w:val="right"/>
              <w:rPr>
                <w:rFonts w:cs="Arial"/>
                <w:color w:val="000000"/>
                <w:szCs w:val="20"/>
              </w:rPr>
            </w:pPr>
            <w:r w:rsidRPr="006B6649">
              <w:rPr>
                <w:rFonts w:cs="Arial"/>
                <w:color w:val="000000"/>
                <w:szCs w:val="20"/>
              </w:rPr>
              <w:t>-2</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199CF67B" w14:textId="7F9F60E0" w:rsidR="0043487C" w:rsidRPr="006B6649" w:rsidRDefault="0043487C" w:rsidP="00292AF2">
            <w:pPr>
              <w:spacing w:after="0" w:line="240" w:lineRule="auto"/>
              <w:jc w:val="right"/>
              <w:rPr>
                <w:rFonts w:cs="Arial"/>
                <w:color w:val="000000"/>
                <w:szCs w:val="20"/>
              </w:rPr>
            </w:pPr>
            <w:r w:rsidRPr="006B6649">
              <w:rPr>
                <w:rFonts w:cs="Arial"/>
                <w:color w:val="000000"/>
                <w:szCs w:val="20"/>
              </w:rPr>
              <w:t>-1</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35A87CDD" w14:textId="63D51E3B" w:rsidR="0043487C" w:rsidRPr="006B6649" w:rsidRDefault="0043487C" w:rsidP="00292AF2">
            <w:pPr>
              <w:spacing w:after="0" w:line="240" w:lineRule="auto"/>
              <w:jc w:val="right"/>
              <w:rPr>
                <w:rFonts w:cs="Arial"/>
                <w:color w:val="000000"/>
                <w:szCs w:val="20"/>
              </w:rPr>
            </w:pPr>
            <w:r w:rsidRPr="006B6649">
              <w:rPr>
                <w:rFonts w:cs="Arial"/>
                <w:color w:val="000000"/>
                <w:szCs w:val="20"/>
              </w:rPr>
              <w:t>0</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1BCAFC42" w14:textId="482EADC7" w:rsidR="0043487C" w:rsidRPr="006B6649" w:rsidRDefault="0043487C" w:rsidP="00292AF2">
            <w:pPr>
              <w:spacing w:after="0" w:line="240" w:lineRule="auto"/>
              <w:jc w:val="right"/>
              <w:rPr>
                <w:rFonts w:cs="Arial"/>
                <w:color w:val="000000"/>
                <w:szCs w:val="20"/>
              </w:rPr>
            </w:pPr>
            <w:r w:rsidRPr="006B6649">
              <w:rPr>
                <w:rFonts w:cs="Arial"/>
                <w:color w:val="000000"/>
                <w:szCs w:val="20"/>
              </w:rPr>
              <w:t>1</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553C3EE0" w14:textId="07229361" w:rsidR="0043487C" w:rsidRPr="006B6649" w:rsidRDefault="0043487C" w:rsidP="00292AF2">
            <w:pPr>
              <w:spacing w:after="0" w:line="240" w:lineRule="auto"/>
              <w:jc w:val="right"/>
              <w:rPr>
                <w:rFonts w:cs="Arial"/>
                <w:color w:val="000000"/>
                <w:szCs w:val="20"/>
              </w:rPr>
            </w:pPr>
            <w:r w:rsidRPr="006B6649">
              <w:rPr>
                <w:rFonts w:cs="Arial"/>
                <w:color w:val="000000"/>
                <w:szCs w:val="20"/>
              </w:rPr>
              <w:t>2</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0344FB7C" w14:textId="4E50A1C1" w:rsidR="0043487C" w:rsidRPr="006B6649" w:rsidRDefault="0043487C" w:rsidP="00292AF2">
            <w:pPr>
              <w:spacing w:after="0" w:line="240" w:lineRule="auto"/>
              <w:jc w:val="right"/>
              <w:rPr>
                <w:rFonts w:cs="Arial"/>
                <w:color w:val="000000"/>
                <w:szCs w:val="20"/>
              </w:rPr>
            </w:pPr>
            <w:r w:rsidRPr="006B6649">
              <w:rPr>
                <w:rFonts w:cs="Arial"/>
                <w:color w:val="000000"/>
                <w:szCs w:val="20"/>
              </w:rPr>
              <w:t>3</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08706AF0" w14:textId="4F0F6497" w:rsidR="0043487C" w:rsidRPr="006B6649" w:rsidRDefault="0043487C" w:rsidP="00292AF2">
            <w:pPr>
              <w:spacing w:after="0" w:line="240" w:lineRule="auto"/>
              <w:jc w:val="right"/>
              <w:rPr>
                <w:rFonts w:cs="Arial"/>
                <w:color w:val="000000"/>
                <w:szCs w:val="20"/>
              </w:rPr>
            </w:pPr>
            <w:r w:rsidRPr="006B6649">
              <w:rPr>
                <w:rFonts w:cs="Arial"/>
                <w:color w:val="000000"/>
                <w:szCs w:val="20"/>
              </w:rPr>
              <w:t>4</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5BC33714" w14:textId="46471D63" w:rsidR="0043487C" w:rsidRPr="006B6649" w:rsidRDefault="0043487C" w:rsidP="00292AF2">
            <w:pPr>
              <w:spacing w:after="0" w:line="240" w:lineRule="auto"/>
              <w:jc w:val="right"/>
              <w:rPr>
                <w:rFonts w:cs="Arial"/>
                <w:color w:val="000000"/>
                <w:szCs w:val="20"/>
              </w:rPr>
            </w:pPr>
            <w:r w:rsidRPr="006B6649">
              <w:rPr>
                <w:rFonts w:cs="Arial"/>
                <w:color w:val="000000"/>
                <w:szCs w:val="2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4EC72" w14:textId="645E66E2" w:rsidR="0043487C" w:rsidRPr="006B6649" w:rsidRDefault="0043487C" w:rsidP="00292AF2">
            <w:pPr>
              <w:spacing w:after="0" w:line="240" w:lineRule="auto"/>
              <w:jc w:val="right"/>
              <w:rPr>
                <w:rFonts w:cs="Arial"/>
                <w:color w:val="000000"/>
                <w:szCs w:val="20"/>
              </w:rPr>
            </w:pPr>
            <w:r w:rsidRPr="006B6649">
              <w:rPr>
                <w:rFonts w:cs="Arial"/>
                <w:color w:val="000000"/>
                <w:szCs w:val="20"/>
              </w:rPr>
              <w:t>6</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FBB71" w14:textId="0415BC59" w:rsidR="0043487C" w:rsidRPr="006B6649" w:rsidRDefault="0043487C" w:rsidP="00292AF2">
            <w:pPr>
              <w:spacing w:after="0" w:line="240" w:lineRule="auto"/>
              <w:jc w:val="right"/>
              <w:rPr>
                <w:rFonts w:cs="Arial"/>
                <w:color w:val="000000"/>
                <w:szCs w:val="20"/>
              </w:rPr>
            </w:pPr>
            <w:r w:rsidRPr="006B6649">
              <w:rPr>
                <w:rFonts w:cs="Arial"/>
                <w:color w:val="000000"/>
                <w:szCs w:val="20"/>
              </w:rPr>
              <w:t>7</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6926D" w14:textId="547AC764" w:rsidR="0043487C" w:rsidRPr="006B6649" w:rsidRDefault="0043487C" w:rsidP="00292AF2">
            <w:pPr>
              <w:spacing w:after="0" w:line="240" w:lineRule="auto"/>
              <w:jc w:val="right"/>
              <w:rPr>
                <w:rFonts w:cs="Arial"/>
                <w:color w:val="000000"/>
                <w:szCs w:val="20"/>
              </w:rPr>
            </w:pPr>
            <w:r w:rsidRPr="006B6649">
              <w:rPr>
                <w:rFonts w:cs="Arial"/>
                <w:color w:val="000000"/>
                <w:szCs w:val="20"/>
              </w:rPr>
              <w:t>8</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C3829" w14:textId="07930851" w:rsidR="0043487C" w:rsidRPr="006B6649" w:rsidRDefault="0043487C" w:rsidP="00292AF2">
            <w:pPr>
              <w:spacing w:after="0" w:line="240" w:lineRule="auto"/>
              <w:jc w:val="right"/>
              <w:rPr>
                <w:rFonts w:cs="Arial"/>
                <w:color w:val="000000"/>
                <w:szCs w:val="20"/>
              </w:rPr>
            </w:pPr>
            <w:r w:rsidRPr="006B6649">
              <w:rPr>
                <w:rFonts w:cs="Arial"/>
                <w:color w:val="000000"/>
                <w:szCs w:val="20"/>
              </w:rPr>
              <w:t>9</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38891" w14:textId="5EF386ED" w:rsidR="0043487C" w:rsidRPr="006B6649" w:rsidRDefault="0043487C" w:rsidP="00292AF2">
            <w:pPr>
              <w:spacing w:after="0" w:line="240" w:lineRule="auto"/>
              <w:jc w:val="right"/>
              <w:rPr>
                <w:rFonts w:cs="Arial"/>
                <w:color w:val="000000"/>
                <w:szCs w:val="20"/>
              </w:rPr>
            </w:pPr>
            <w:r w:rsidRPr="006B6649">
              <w:rPr>
                <w:rFonts w:cs="Arial"/>
                <w:color w:val="000000"/>
                <w:szCs w:val="20"/>
              </w:rPr>
              <w:t>10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AC5F8" w14:textId="5D2349B3" w:rsidR="0043487C" w:rsidRPr="006B6649" w:rsidRDefault="0043487C" w:rsidP="00292AF2">
            <w:pPr>
              <w:spacing w:after="0" w:line="240" w:lineRule="auto"/>
              <w:jc w:val="right"/>
              <w:rPr>
                <w:rFonts w:cs="Arial"/>
                <w:color w:val="000000"/>
                <w:szCs w:val="20"/>
              </w:rPr>
            </w:pPr>
            <w:r w:rsidRPr="006B6649">
              <w:rPr>
                <w:rFonts w:cs="Arial"/>
                <w:color w:val="000000"/>
                <w:szCs w:val="20"/>
              </w:rPr>
              <w:t>11</w:t>
            </w:r>
          </w:p>
        </w:tc>
      </w:tr>
      <w:tr w:rsidR="0043487C" w:rsidRPr="0017220C" w14:paraId="4E137F46" w14:textId="77777777" w:rsidTr="00323AF1">
        <w:trPr>
          <w:trHeight w:val="300"/>
        </w:trPr>
        <w:tc>
          <w:tcPr>
            <w:tcW w:w="1215" w:type="dxa"/>
            <w:tcBorders>
              <w:top w:val="nil"/>
              <w:left w:val="nil"/>
              <w:bottom w:val="nil"/>
              <w:right w:val="single" w:sz="4" w:space="0" w:color="auto"/>
            </w:tcBorders>
            <w:shd w:val="clear" w:color="auto" w:fill="A6A6A6" w:themeFill="background1" w:themeFillShade="A6"/>
            <w:noWrap/>
            <w:vAlign w:val="bottom"/>
            <w:hideMark/>
          </w:tcPr>
          <w:p w14:paraId="0231241E" w14:textId="77777777" w:rsidR="0043487C" w:rsidRPr="006B6649" w:rsidRDefault="0043487C" w:rsidP="00292AF2">
            <w:pPr>
              <w:spacing w:after="0" w:line="240" w:lineRule="auto"/>
              <w:rPr>
                <w:rFonts w:cs="Arial"/>
                <w:color w:val="000000"/>
                <w:szCs w:val="20"/>
              </w:rPr>
            </w:pPr>
            <w:r w:rsidRPr="006B6649">
              <w:rPr>
                <w:rFonts w:cs="Arial"/>
                <w:color w:val="000000"/>
                <w:szCs w:val="20"/>
              </w:rPr>
              <w:t> </w:t>
            </w:r>
          </w:p>
        </w:tc>
        <w:tc>
          <w:tcPr>
            <w:tcW w:w="55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2433691" w14:textId="77777777" w:rsidR="0043487C" w:rsidRPr="006B6649" w:rsidRDefault="0043487C" w:rsidP="00292AF2">
            <w:pPr>
              <w:spacing w:after="0" w:line="240" w:lineRule="auto"/>
              <w:jc w:val="right"/>
              <w:rPr>
                <w:rFonts w:cs="Arial"/>
                <w:b/>
                <w:bCs/>
                <w:color w:val="000000"/>
                <w:szCs w:val="20"/>
              </w:rPr>
            </w:pPr>
            <w:r w:rsidRPr="006B6649">
              <w:rPr>
                <w:rFonts w:cs="Arial"/>
                <w:b/>
                <w:bCs/>
                <w:color w:val="000000"/>
                <w:szCs w:val="20"/>
              </w:rPr>
              <w:t>160</w:t>
            </w:r>
          </w:p>
        </w:tc>
        <w:tc>
          <w:tcPr>
            <w:tcW w:w="502"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57912955" w14:textId="3011FBE0" w:rsidR="0043487C" w:rsidRPr="006B6649" w:rsidRDefault="0043487C" w:rsidP="00292AF2">
            <w:pPr>
              <w:spacing w:after="0" w:line="240" w:lineRule="auto"/>
              <w:jc w:val="right"/>
              <w:rPr>
                <w:rFonts w:cs="Arial"/>
                <w:color w:val="000000"/>
                <w:szCs w:val="20"/>
              </w:rPr>
            </w:pPr>
            <w:r w:rsidRPr="006B6649">
              <w:rPr>
                <w:rFonts w:cs="Arial"/>
                <w:color w:val="000000"/>
                <w:szCs w:val="20"/>
              </w:rPr>
              <w:t>-5</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76EB8C76" w14:textId="669FF0BD" w:rsidR="0043487C" w:rsidRPr="006B6649" w:rsidRDefault="0043487C" w:rsidP="00292AF2">
            <w:pPr>
              <w:spacing w:after="0" w:line="240" w:lineRule="auto"/>
              <w:jc w:val="right"/>
              <w:rPr>
                <w:rFonts w:cs="Arial"/>
                <w:color w:val="000000"/>
                <w:szCs w:val="20"/>
              </w:rPr>
            </w:pPr>
            <w:r w:rsidRPr="006B6649">
              <w:rPr>
                <w:rFonts w:cs="Arial"/>
                <w:color w:val="000000"/>
                <w:szCs w:val="20"/>
              </w:rPr>
              <w:t>-4</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457886A6" w14:textId="2483D615" w:rsidR="0043487C" w:rsidRPr="006B6649" w:rsidRDefault="0043487C" w:rsidP="00292AF2">
            <w:pPr>
              <w:spacing w:after="0" w:line="240" w:lineRule="auto"/>
              <w:jc w:val="right"/>
              <w:rPr>
                <w:rFonts w:cs="Arial"/>
                <w:color w:val="000000"/>
                <w:szCs w:val="20"/>
              </w:rPr>
            </w:pPr>
            <w:r w:rsidRPr="006B6649">
              <w:rPr>
                <w:rFonts w:cs="Arial"/>
                <w:color w:val="000000"/>
                <w:szCs w:val="20"/>
              </w:rPr>
              <w:t>-3</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3BD26AD7" w14:textId="30BACE8E" w:rsidR="0043487C" w:rsidRPr="006B6649" w:rsidRDefault="0043487C" w:rsidP="00292AF2">
            <w:pPr>
              <w:spacing w:after="0" w:line="240" w:lineRule="auto"/>
              <w:jc w:val="right"/>
              <w:rPr>
                <w:rFonts w:cs="Arial"/>
                <w:color w:val="000000"/>
                <w:szCs w:val="20"/>
              </w:rPr>
            </w:pPr>
            <w:r w:rsidRPr="006B6649">
              <w:rPr>
                <w:rFonts w:cs="Arial"/>
                <w:color w:val="000000"/>
                <w:szCs w:val="20"/>
              </w:rPr>
              <w:t>-2</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1259A076" w14:textId="20B2A7A2" w:rsidR="0043487C" w:rsidRPr="006B6649" w:rsidRDefault="0043487C" w:rsidP="00292AF2">
            <w:pPr>
              <w:spacing w:after="0" w:line="240" w:lineRule="auto"/>
              <w:jc w:val="right"/>
              <w:rPr>
                <w:rFonts w:cs="Arial"/>
                <w:color w:val="000000"/>
                <w:szCs w:val="20"/>
              </w:rPr>
            </w:pPr>
            <w:r w:rsidRPr="006B6649">
              <w:rPr>
                <w:rFonts w:cs="Arial"/>
                <w:color w:val="000000"/>
                <w:szCs w:val="20"/>
              </w:rPr>
              <w:t>-1</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136D86FE" w14:textId="215F203B" w:rsidR="0043487C" w:rsidRPr="006B6649" w:rsidRDefault="0043487C" w:rsidP="00292AF2">
            <w:pPr>
              <w:spacing w:after="0" w:line="240" w:lineRule="auto"/>
              <w:jc w:val="right"/>
              <w:rPr>
                <w:rFonts w:cs="Arial"/>
                <w:color w:val="000000"/>
                <w:szCs w:val="20"/>
              </w:rPr>
            </w:pPr>
            <w:r w:rsidRPr="006B6649">
              <w:rPr>
                <w:rFonts w:cs="Arial"/>
                <w:color w:val="000000"/>
                <w:szCs w:val="20"/>
              </w:rPr>
              <w:t>0</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6BE0739F" w14:textId="744798E0" w:rsidR="0043487C" w:rsidRPr="006B6649" w:rsidRDefault="0043487C" w:rsidP="00292AF2">
            <w:pPr>
              <w:spacing w:after="0" w:line="240" w:lineRule="auto"/>
              <w:jc w:val="right"/>
              <w:rPr>
                <w:rFonts w:cs="Arial"/>
                <w:color w:val="000000"/>
                <w:szCs w:val="20"/>
              </w:rPr>
            </w:pPr>
            <w:r w:rsidRPr="006B6649">
              <w:rPr>
                <w:rFonts w:cs="Arial"/>
                <w:color w:val="000000"/>
                <w:szCs w:val="20"/>
              </w:rPr>
              <w:t>1</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1CC08131" w14:textId="6FFA12DD" w:rsidR="0043487C" w:rsidRPr="006B6649" w:rsidRDefault="0043487C" w:rsidP="00292AF2">
            <w:pPr>
              <w:spacing w:after="0" w:line="240" w:lineRule="auto"/>
              <w:jc w:val="right"/>
              <w:rPr>
                <w:rFonts w:cs="Arial"/>
                <w:color w:val="000000"/>
                <w:szCs w:val="20"/>
              </w:rPr>
            </w:pPr>
            <w:r w:rsidRPr="006B6649">
              <w:rPr>
                <w:rFonts w:cs="Arial"/>
                <w:color w:val="000000"/>
                <w:szCs w:val="2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8F3F8" w14:textId="496732A5" w:rsidR="0043487C" w:rsidRPr="006B6649" w:rsidRDefault="0043487C" w:rsidP="00292AF2">
            <w:pPr>
              <w:spacing w:after="0" w:line="240" w:lineRule="auto"/>
              <w:jc w:val="right"/>
              <w:rPr>
                <w:rFonts w:cs="Arial"/>
                <w:color w:val="000000"/>
                <w:szCs w:val="20"/>
              </w:rPr>
            </w:pPr>
            <w:r w:rsidRPr="006B6649">
              <w:rPr>
                <w:rFonts w:cs="Arial"/>
                <w:color w:val="000000"/>
                <w:szCs w:val="20"/>
              </w:rPr>
              <w:t>3</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4294A" w14:textId="29A229B4" w:rsidR="0043487C" w:rsidRPr="006B6649" w:rsidRDefault="0043487C" w:rsidP="00292AF2">
            <w:pPr>
              <w:spacing w:after="0" w:line="240" w:lineRule="auto"/>
              <w:jc w:val="right"/>
              <w:rPr>
                <w:rFonts w:cs="Arial"/>
                <w:color w:val="000000"/>
                <w:szCs w:val="20"/>
              </w:rPr>
            </w:pPr>
            <w:r w:rsidRPr="006B6649">
              <w:rPr>
                <w:rFonts w:cs="Arial"/>
                <w:color w:val="000000"/>
                <w:szCs w:val="2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0DE91" w14:textId="5F00FD6D" w:rsidR="0043487C" w:rsidRPr="006B6649" w:rsidRDefault="0043487C" w:rsidP="00292AF2">
            <w:pPr>
              <w:spacing w:after="0" w:line="240" w:lineRule="auto"/>
              <w:jc w:val="right"/>
              <w:rPr>
                <w:rFonts w:cs="Arial"/>
                <w:color w:val="000000"/>
                <w:szCs w:val="20"/>
              </w:rPr>
            </w:pPr>
            <w:r w:rsidRPr="006B6649">
              <w:rPr>
                <w:rFonts w:cs="Arial"/>
                <w:color w:val="000000"/>
                <w:szCs w:val="2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71C9F" w14:textId="62355058" w:rsidR="0043487C" w:rsidRPr="006B6649" w:rsidRDefault="0043487C" w:rsidP="00292AF2">
            <w:pPr>
              <w:spacing w:after="0" w:line="240" w:lineRule="auto"/>
              <w:jc w:val="right"/>
              <w:rPr>
                <w:rFonts w:cs="Arial"/>
                <w:color w:val="000000"/>
                <w:szCs w:val="20"/>
              </w:rPr>
            </w:pPr>
            <w:r w:rsidRPr="006B6649">
              <w:rPr>
                <w:rFonts w:cs="Arial"/>
                <w:color w:val="000000"/>
                <w:szCs w:val="20"/>
              </w:rPr>
              <w:t>6</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1BF3A" w14:textId="7D1E9B1D" w:rsidR="0043487C" w:rsidRPr="006B6649" w:rsidRDefault="0043487C" w:rsidP="00292AF2">
            <w:pPr>
              <w:spacing w:after="0" w:line="240" w:lineRule="auto"/>
              <w:jc w:val="right"/>
              <w:rPr>
                <w:rFonts w:cs="Arial"/>
                <w:color w:val="000000"/>
                <w:szCs w:val="20"/>
              </w:rPr>
            </w:pPr>
            <w:r w:rsidRPr="006B6649">
              <w:rPr>
                <w:rFonts w:cs="Arial"/>
                <w:color w:val="000000"/>
                <w:szCs w:val="20"/>
              </w:rPr>
              <w:t>7</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1E824" w14:textId="7B0E913C" w:rsidR="0043487C" w:rsidRPr="006B6649" w:rsidRDefault="0043487C" w:rsidP="00292AF2">
            <w:pPr>
              <w:spacing w:after="0" w:line="240" w:lineRule="auto"/>
              <w:jc w:val="right"/>
              <w:rPr>
                <w:rFonts w:cs="Arial"/>
                <w:color w:val="000000"/>
                <w:szCs w:val="20"/>
              </w:rPr>
            </w:pPr>
            <w:r w:rsidRPr="006B6649">
              <w:rPr>
                <w:rFonts w:cs="Arial"/>
                <w:color w:val="000000"/>
                <w:szCs w:val="20"/>
              </w:rPr>
              <w:t>8</w:t>
            </w:r>
          </w:p>
        </w:tc>
      </w:tr>
      <w:tr w:rsidR="0043487C" w:rsidRPr="0017220C" w14:paraId="6AD22FB6" w14:textId="77777777" w:rsidTr="00323AF1">
        <w:trPr>
          <w:trHeight w:val="300"/>
        </w:trPr>
        <w:tc>
          <w:tcPr>
            <w:tcW w:w="1215" w:type="dxa"/>
            <w:tcBorders>
              <w:top w:val="nil"/>
              <w:left w:val="nil"/>
              <w:bottom w:val="nil"/>
              <w:right w:val="single" w:sz="4" w:space="0" w:color="auto"/>
            </w:tcBorders>
            <w:shd w:val="clear" w:color="auto" w:fill="A6A6A6" w:themeFill="background1" w:themeFillShade="A6"/>
            <w:noWrap/>
            <w:vAlign w:val="bottom"/>
            <w:hideMark/>
          </w:tcPr>
          <w:p w14:paraId="5D06843C" w14:textId="77777777" w:rsidR="0043487C" w:rsidRPr="006B6649" w:rsidRDefault="0043487C" w:rsidP="00292AF2">
            <w:pPr>
              <w:spacing w:after="0" w:line="240" w:lineRule="auto"/>
              <w:rPr>
                <w:rFonts w:cs="Arial"/>
                <w:color w:val="000000"/>
                <w:szCs w:val="20"/>
              </w:rPr>
            </w:pPr>
            <w:r w:rsidRPr="006B6649">
              <w:rPr>
                <w:rFonts w:cs="Arial"/>
                <w:color w:val="000000"/>
                <w:szCs w:val="20"/>
              </w:rPr>
              <w:t> </w:t>
            </w:r>
          </w:p>
        </w:tc>
        <w:tc>
          <w:tcPr>
            <w:tcW w:w="55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E0BC989" w14:textId="77777777" w:rsidR="0043487C" w:rsidRPr="006B6649" w:rsidRDefault="0043487C" w:rsidP="00292AF2">
            <w:pPr>
              <w:spacing w:after="0" w:line="240" w:lineRule="auto"/>
              <w:jc w:val="right"/>
              <w:rPr>
                <w:rFonts w:cs="Arial"/>
                <w:b/>
                <w:bCs/>
                <w:color w:val="000000"/>
                <w:szCs w:val="20"/>
              </w:rPr>
            </w:pPr>
            <w:r w:rsidRPr="006B6649">
              <w:rPr>
                <w:rFonts w:cs="Arial"/>
                <w:b/>
                <w:bCs/>
                <w:color w:val="000000"/>
                <w:szCs w:val="20"/>
              </w:rPr>
              <w:t>320</w:t>
            </w:r>
          </w:p>
        </w:tc>
        <w:tc>
          <w:tcPr>
            <w:tcW w:w="502"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053F8183" w14:textId="501E17E9" w:rsidR="0043487C" w:rsidRPr="006B6649" w:rsidRDefault="0043487C" w:rsidP="00292AF2">
            <w:pPr>
              <w:spacing w:after="0" w:line="240" w:lineRule="auto"/>
              <w:jc w:val="right"/>
              <w:rPr>
                <w:rFonts w:cs="Arial"/>
                <w:color w:val="000000"/>
                <w:szCs w:val="20"/>
              </w:rPr>
            </w:pPr>
            <w:r w:rsidRPr="006B6649">
              <w:rPr>
                <w:rFonts w:cs="Arial"/>
                <w:color w:val="000000"/>
                <w:szCs w:val="20"/>
              </w:rPr>
              <w:t>-8</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705831EA" w14:textId="7602753A" w:rsidR="0043487C" w:rsidRPr="006B6649" w:rsidRDefault="0043487C" w:rsidP="00292AF2">
            <w:pPr>
              <w:spacing w:after="0" w:line="240" w:lineRule="auto"/>
              <w:jc w:val="right"/>
              <w:rPr>
                <w:rFonts w:cs="Arial"/>
                <w:color w:val="000000"/>
                <w:szCs w:val="20"/>
              </w:rPr>
            </w:pPr>
            <w:r w:rsidRPr="006B6649">
              <w:rPr>
                <w:rFonts w:cs="Arial"/>
                <w:color w:val="000000"/>
                <w:szCs w:val="20"/>
              </w:rPr>
              <w:t>-7</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027FC81C" w14:textId="52065293" w:rsidR="0043487C" w:rsidRPr="006B6649" w:rsidRDefault="0043487C" w:rsidP="00292AF2">
            <w:pPr>
              <w:spacing w:after="0" w:line="240" w:lineRule="auto"/>
              <w:jc w:val="right"/>
              <w:rPr>
                <w:rFonts w:cs="Arial"/>
                <w:color w:val="000000"/>
                <w:szCs w:val="20"/>
              </w:rPr>
            </w:pPr>
            <w:r w:rsidRPr="006B6649">
              <w:rPr>
                <w:rFonts w:cs="Arial"/>
                <w:color w:val="000000"/>
                <w:szCs w:val="20"/>
              </w:rPr>
              <w:t>-6</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7B2C9570" w14:textId="5D5C07AF" w:rsidR="0043487C" w:rsidRPr="006B6649" w:rsidRDefault="0043487C" w:rsidP="00292AF2">
            <w:pPr>
              <w:spacing w:after="0" w:line="240" w:lineRule="auto"/>
              <w:jc w:val="right"/>
              <w:rPr>
                <w:rFonts w:cs="Arial"/>
                <w:color w:val="000000"/>
                <w:szCs w:val="20"/>
              </w:rPr>
            </w:pPr>
            <w:r w:rsidRPr="006B6649">
              <w:rPr>
                <w:rFonts w:cs="Arial"/>
                <w:color w:val="000000"/>
                <w:szCs w:val="20"/>
              </w:rPr>
              <w:t>-5</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786DDD87" w14:textId="25C590AE" w:rsidR="0043487C" w:rsidRPr="006B6649" w:rsidRDefault="0043487C" w:rsidP="00292AF2">
            <w:pPr>
              <w:spacing w:after="0" w:line="240" w:lineRule="auto"/>
              <w:jc w:val="right"/>
              <w:rPr>
                <w:rFonts w:cs="Arial"/>
                <w:color w:val="000000"/>
                <w:szCs w:val="20"/>
              </w:rPr>
            </w:pPr>
            <w:r w:rsidRPr="006B6649">
              <w:rPr>
                <w:rFonts w:cs="Arial"/>
                <w:color w:val="000000"/>
                <w:szCs w:val="20"/>
              </w:rPr>
              <w:t>-4</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29D86DEB" w14:textId="02B4DAED" w:rsidR="0043487C" w:rsidRPr="006B6649" w:rsidRDefault="0043487C" w:rsidP="00292AF2">
            <w:pPr>
              <w:spacing w:after="0" w:line="240" w:lineRule="auto"/>
              <w:jc w:val="right"/>
              <w:rPr>
                <w:rFonts w:cs="Arial"/>
                <w:color w:val="000000"/>
                <w:szCs w:val="20"/>
              </w:rPr>
            </w:pPr>
            <w:r w:rsidRPr="006B6649">
              <w:rPr>
                <w:rFonts w:cs="Arial"/>
                <w:color w:val="000000"/>
                <w:szCs w:val="20"/>
              </w:rPr>
              <w:t>-3</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6EFD9D2C" w14:textId="13A89777" w:rsidR="0043487C" w:rsidRPr="006B6649" w:rsidRDefault="0043487C" w:rsidP="00292AF2">
            <w:pPr>
              <w:spacing w:after="0" w:line="240" w:lineRule="auto"/>
              <w:jc w:val="right"/>
              <w:rPr>
                <w:rFonts w:cs="Arial"/>
                <w:color w:val="000000"/>
                <w:szCs w:val="20"/>
              </w:rPr>
            </w:pPr>
            <w:r w:rsidRPr="006B6649">
              <w:rPr>
                <w:rFonts w:cs="Arial"/>
                <w:color w:val="000000"/>
                <w:szCs w:val="20"/>
              </w:rPr>
              <w:t>-2</w:t>
            </w:r>
          </w:p>
        </w:tc>
        <w:tc>
          <w:tcPr>
            <w:tcW w:w="44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128381CB" w14:textId="1726EFF0" w:rsidR="0043487C" w:rsidRPr="006B6649" w:rsidRDefault="0043487C" w:rsidP="00292AF2">
            <w:pPr>
              <w:spacing w:after="0" w:line="240" w:lineRule="auto"/>
              <w:jc w:val="right"/>
              <w:rPr>
                <w:rFonts w:cs="Arial"/>
                <w:color w:val="000000"/>
                <w:szCs w:val="20"/>
              </w:rPr>
            </w:pPr>
            <w:r w:rsidRPr="006B6649">
              <w:rPr>
                <w:rFonts w:cs="Arial"/>
                <w:color w:val="000000"/>
                <w:szCs w:val="2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7164C" w14:textId="74C97542" w:rsidR="0043487C" w:rsidRPr="006B6649" w:rsidRDefault="0043487C" w:rsidP="00292AF2">
            <w:pPr>
              <w:spacing w:after="0" w:line="240" w:lineRule="auto"/>
              <w:jc w:val="right"/>
              <w:rPr>
                <w:rFonts w:cs="Arial"/>
                <w:color w:val="000000"/>
                <w:szCs w:val="20"/>
              </w:rPr>
            </w:pPr>
            <w:r w:rsidRPr="006B6649">
              <w:rPr>
                <w:rFonts w:cs="Arial"/>
                <w:color w:val="000000"/>
                <w:szCs w:val="20"/>
              </w:rPr>
              <w:t>0</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F3B60" w14:textId="115D00F1" w:rsidR="0043487C" w:rsidRPr="006B6649" w:rsidRDefault="0043487C" w:rsidP="00292AF2">
            <w:pPr>
              <w:spacing w:after="0" w:line="240" w:lineRule="auto"/>
              <w:jc w:val="right"/>
              <w:rPr>
                <w:rFonts w:cs="Arial"/>
                <w:color w:val="000000"/>
                <w:szCs w:val="20"/>
              </w:rPr>
            </w:pPr>
            <w:r w:rsidRPr="006B6649">
              <w:rPr>
                <w:rFonts w:cs="Arial"/>
                <w:color w:val="000000"/>
                <w:szCs w:val="2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59C94" w14:textId="051CD37F" w:rsidR="0043487C" w:rsidRPr="006B6649" w:rsidRDefault="0043487C" w:rsidP="00292AF2">
            <w:pPr>
              <w:spacing w:after="0" w:line="240" w:lineRule="auto"/>
              <w:jc w:val="right"/>
              <w:rPr>
                <w:rFonts w:cs="Arial"/>
                <w:color w:val="000000"/>
                <w:szCs w:val="20"/>
              </w:rPr>
            </w:pPr>
            <w:r w:rsidRPr="006B6649">
              <w:rPr>
                <w:rFonts w:cs="Arial"/>
                <w:color w:val="000000"/>
                <w:szCs w:val="2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4B747" w14:textId="630CBBC2" w:rsidR="0043487C" w:rsidRPr="006B6649" w:rsidRDefault="0043487C" w:rsidP="00292AF2">
            <w:pPr>
              <w:spacing w:after="0" w:line="240" w:lineRule="auto"/>
              <w:jc w:val="right"/>
              <w:rPr>
                <w:rFonts w:cs="Arial"/>
                <w:color w:val="000000"/>
                <w:szCs w:val="20"/>
              </w:rPr>
            </w:pPr>
            <w:r w:rsidRPr="006B6649">
              <w:rPr>
                <w:rFonts w:cs="Arial"/>
                <w:color w:val="000000"/>
                <w:szCs w:val="2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7ECA4" w14:textId="6554E279" w:rsidR="0043487C" w:rsidRPr="006B6649" w:rsidRDefault="0043487C" w:rsidP="00292AF2">
            <w:pPr>
              <w:spacing w:after="0" w:line="240" w:lineRule="auto"/>
              <w:jc w:val="right"/>
              <w:rPr>
                <w:rFonts w:cs="Arial"/>
                <w:color w:val="000000"/>
                <w:szCs w:val="20"/>
              </w:rPr>
            </w:pPr>
            <w:r w:rsidRPr="006B6649">
              <w:rPr>
                <w:rFonts w:cs="Arial"/>
                <w:color w:val="000000"/>
                <w:szCs w:val="2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E4536" w14:textId="023688C2" w:rsidR="0043487C" w:rsidRPr="006B6649" w:rsidRDefault="0043487C" w:rsidP="00292AF2">
            <w:pPr>
              <w:spacing w:after="0" w:line="240" w:lineRule="auto"/>
              <w:jc w:val="right"/>
              <w:rPr>
                <w:rFonts w:cs="Arial"/>
                <w:color w:val="000000"/>
                <w:szCs w:val="20"/>
              </w:rPr>
            </w:pPr>
            <w:r w:rsidRPr="006B6649">
              <w:rPr>
                <w:rFonts w:cs="Arial"/>
                <w:color w:val="000000"/>
                <w:szCs w:val="20"/>
              </w:rPr>
              <w:t>5</w:t>
            </w:r>
          </w:p>
        </w:tc>
      </w:tr>
    </w:tbl>
    <w:p w14:paraId="170798C7" w14:textId="77777777" w:rsidR="000F41EC" w:rsidRDefault="000F41EC" w:rsidP="00785E17"/>
    <w:p w14:paraId="04EB619C" w14:textId="170F275D" w:rsidR="00844853" w:rsidRDefault="00785E17" w:rsidP="00844853">
      <w:r>
        <w:t>Internationally, EIRP limits for LPI devices have been proposed or set at values in the range 23–30 dBm, and the power density limits in the range 5–14 dBm</w:t>
      </w:r>
      <w:r w:rsidR="00AE6604">
        <w:t xml:space="preserve"> (other than </w:t>
      </w:r>
      <w:r w:rsidR="00FE15C4">
        <w:t xml:space="preserve">South </w:t>
      </w:r>
      <w:r>
        <w:t>Korea</w:t>
      </w:r>
      <w:r w:rsidR="00AE6604">
        <w:t>,</w:t>
      </w:r>
      <w:r>
        <w:t xml:space="preserve"> </w:t>
      </w:r>
      <w:r w:rsidR="00844853">
        <w:t xml:space="preserve">where </w:t>
      </w:r>
      <w:r w:rsidR="00AE6604">
        <w:t xml:space="preserve">the </w:t>
      </w:r>
      <w:r w:rsidR="00AB125B">
        <w:t>maximum is</w:t>
      </w:r>
      <w:r>
        <w:t xml:space="preserve"> 11</w:t>
      </w:r>
      <w:r w:rsidR="00AB125B">
        <w:t> </w:t>
      </w:r>
      <w:r>
        <w:t>dBm</w:t>
      </w:r>
      <w:r w:rsidR="00AB125B">
        <w:t>/MHz)</w:t>
      </w:r>
      <w:r>
        <w:t xml:space="preserve">. </w:t>
      </w:r>
      <w:r w:rsidR="00844853">
        <w:t>The proposed 24 dBm power limit closely aligns with a large number of other jurisdictions, including the EU</w:t>
      </w:r>
      <w:r w:rsidR="0081023C">
        <w:t xml:space="preserve"> and UK</w:t>
      </w:r>
      <w:r w:rsidR="00844853">
        <w:t>, allowing the Australian market to take advantage of worldwide economies of scale.</w:t>
      </w:r>
    </w:p>
    <w:p w14:paraId="5927EED5" w14:textId="7677B996" w:rsidR="00785E17" w:rsidRDefault="00844853" w:rsidP="00785E17">
      <w:r>
        <w:t xml:space="preserve">It is acknowledged that this limit </w:t>
      </w:r>
      <w:r w:rsidR="00785E17" w:rsidDel="00844853">
        <w:t xml:space="preserve">is </w:t>
      </w:r>
      <w:r w:rsidR="0055488A">
        <w:t>at</w:t>
      </w:r>
      <w:r w:rsidR="00785E17">
        <w:t xml:space="preserve"> the low</w:t>
      </w:r>
      <w:r w:rsidR="009D6082">
        <w:t>er</w:t>
      </w:r>
      <w:r w:rsidR="00785E17">
        <w:t xml:space="preserve"> end of EIRP </w:t>
      </w:r>
      <w:r>
        <w:t>allowances internationally</w:t>
      </w:r>
      <w:r w:rsidR="00785E17">
        <w:t>, but this value could be revisited</w:t>
      </w:r>
      <w:r w:rsidR="00785E17" w:rsidDel="00844853">
        <w:t xml:space="preserve"> </w:t>
      </w:r>
      <w:r>
        <w:t>(</w:t>
      </w:r>
      <w:r w:rsidR="00785E17">
        <w:t>potentially increased</w:t>
      </w:r>
      <w:r>
        <w:t>)</w:t>
      </w:r>
      <w:r w:rsidR="00785E17" w:rsidDel="00844853">
        <w:t xml:space="preserve"> </w:t>
      </w:r>
      <w:r w:rsidR="00AB125B">
        <w:t xml:space="preserve">in </w:t>
      </w:r>
      <w:r w:rsidR="005835D5">
        <w:t xml:space="preserve">a possible </w:t>
      </w:r>
      <w:r w:rsidR="00AB125B">
        <w:t>future</w:t>
      </w:r>
      <w:r>
        <w:t xml:space="preserve"> update to the LIPD </w:t>
      </w:r>
      <w:r w:rsidR="00FE15C4">
        <w:t>C</w:t>
      </w:r>
      <w:r>
        <w:t xml:space="preserve">lass </w:t>
      </w:r>
      <w:r w:rsidR="00FE15C4">
        <w:t>L</w:t>
      </w:r>
      <w:r>
        <w:t xml:space="preserve">icence </w:t>
      </w:r>
      <w:r w:rsidR="005835D5">
        <w:t xml:space="preserve">if a case </w:t>
      </w:r>
      <w:r w:rsidR="009F33FE">
        <w:t>is</w:t>
      </w:r>
      <w:r w:rsidR="005835D5">
        <w:t xml:space="preserve"> established to </w:t>
      </w:r>
      <w:r w:rsidR="009F33FE">
        <w:t>d</w:t>
      </w:r>
      <w:r w:rsidR="005835D5">
        <w:t>o so</w:t>
      </w:r>
      <w:r>
        <w:t xml:space="preserve">. Conversely, </w:t>
      </w:r>
      <w:r w:rsidR="00785E17">
        <w:t xml:space="preserve">it would be </w:t>
      </w:r>
      <w:r w:rsidR="005835D5">
        <w:t xml:space="preserve">difficult and </w:t>
      </w:r>
      <w:r w:rsidR="00785E17">
        <w:t xml:space="preserve">impractical to </w:t>
      </w:r>
      <w:r w:rsidR="005835D5">
        <w:t xml:space="preserve">subsequently reduce </w:t>
      </w:r>
      <w:r>
        <w:t xml:space="preserve">power </w:t>
      </w:r>
      <w:r w:rsidR="00402460">
        <w:t>limits and</w:t>
      </w:r>
      <w:r>
        <w:t xml:space="preserve"> </w:t>
      </w:r>
      <w:r w:rsidR="00785E17">
        <w:t xml:space="preserve">enforce </w:t>
      </w:r>
      <w:r>
        <w:t>those reduced</w:t>
      </w:r>
      <w:r w:rsidR="00785E17">
        <w:t xml:space="preserve"> </w:t>
      </w:r>
      <w:r w:rsidR="0017220C">
        <w:t>limits once</w:t>
      </w:r>
      <w:r w:rsidR="00785E17">
        <w:t xml:space="preserve"> class</w:t>
      </w:r>
      <w:r w:rsidR="00611CC0">
        <w:t>-</w:t>
      </w:r>
      <w:r w:rsidR="00785E17">
        <w:t xml:space="preserve">licensed devices have </w:t>
      </w:r>
      <w:r w:rsidR="0023001D">
        <w:t xml:space="preserve">already </w:t>
      </w:r>
      <w:r w:rsidR="00785E17">
        <w:t>been deployed</w:t>
      </w:r>
      <w:r w:rsidR="005835D5">
        <w:t>. Accordingly, the ACMA considers it</w:t>
      </w:r>
      <w:r>
        <w:t xml:space="preserve"> prudent to permit lower power devices in the first instance and observe </w:t>
      </w:r>
      <w:r w:rsidR="005835D5">
        <w:t xml:space="preserve">domestic and international developments over time to see if there is </w:t>
      </w:r>
      <w:r w:rsidR="0055488A">
        <w:t xml:space="preserve">a </w:t>
      </w:r>
      <w:r w:rsidR="005835D5">
        <w:t>case and possibility</w:t>
      </w:r>
      <w:r>
        <w:t xml:space="preserve"> for allowing higher power devices.</w:t>
      </w:r>
    </w:p>
    <w:p w14:paraId="576ACF31" w14:textId="77777777" w:rsidR="009C5727" w:rsidRPr="006B6649" w:rsidRDefault="009C5727" w:rsidP="009C5727">
      <w:pPr>
        <w:pStyle w:val="Heading3"/>
        <w:rPr>
          <w:u w:val="none"/>
        </w:rPr>
      </w:pPr>
      <w:r w:rsidRPr="006B6649">
        <w:rPr>
          <w:u w:val="none"/>
        </w:rPr>
        <w:t>Choice of power level (VLP)</w:t>
      </w:r>
    </w:p>
    <w:p w14:paraId="379B6AEF" w14:textId="6A1793AB" w:rsidR="009C5727" w:rsidRPr="001573E7" w:rsidRDefault="009C5727" w:rsidP="009C5727">
      <w:r>
        <w:t>Some submissions requested that</w:t>
      </w:r>
      <w:r w:rsidDel="00FF1141">
        <w:t xml:space="preserve"> </w:t>
      </w:r>
      <w:r>
        <w:t xml:space="preserve">the proposed </w:t>
      </w:r>
      <w:r w:rsidR="0081023C">
        <w:t xml:space="preserve">EIRP </w:t>
      </w:r>
      <w:r>
        <w:t>limit for VLP devices</w:t>
      </w:r>
      <w:r w:rsidR="00FF1141">
        <w:t xml:space="preserve"> be increased</w:t>
      </w:r>
      <w:r>
        <w:t xml:space="preserve"> from 14 dBm to 17 dBm, as is the case in some other countries. These VLP devices are intended only for short-range personal networks and direct communications, and would be allowed to operate in all locations, both indoor</w:t>
      </w:r>
      <w:r w:rsidR="0055488A">
        <w:t>s</w:t>
      </w:r>
      <w:r>
        <w:t xml:space="preserve"> and outdoor</w:t>
      </w:r>
      <w:r w:rsidR="0055488A">
        <w:t>s</w:t>
      </w:r>
      <w:r>
        <w:t xml:space="preserve">. The vast majority of international arrangements/proposals are set at a 14 dBm </w:t>
      </w:r>
      <w:r w:rsidR="00CB7000">
        <w:t xml:space="preserve">EIRP </w:t>
      </w:r>
      <w:r>
        <w:t>limit</w:t>
      </w:r>
      <w:r w:rsidR="00CB7000">
        <w:t xml:space="preserve">, </w:t>
      </w:r>
      <w:r w:rsidR="00CD423A">
        <w:t xml:space="preserve">and even </w:t>
      </w:r>
      <w:r w:rsidR="00513EAB">
        <w:t xml:space="preserve">in </w:t>
      </w:r>
      <w:r w:rsidR="00CD423A">
        <w:t xml:space="preserve">the few </w:t>
      </w:r>
      <w:r w:rsidR="00513EAB">
        <w:t>jurisdictions allowing</w:t>
      </w:r>
      <w:r w:rsidR="00CD423A">
        <w:t xml:space="preserve"> higher total EIRP limits</w:t>
      </w:r>
      <w:r w:rsidR="00513EAB">
        <w:t xml:space="preserve">, </w:t>
      </w:r>
      <w:r w:rsidR="00CD423A">
        <w:t xml:space="preserve">power density limits above 1 dBm/MHz </w:t>
      </w:r>
      <w:r w:rsidR="00513EAB">
        <w:t>(that 14 dBm will allow for a 20 MHz channel) are not permitted</w:t>
      </w:r>
      <w:r w:rsidR="00CD423A">
        <w:t>.</w:t>
      </w:r>
      <w:r w:rsidR="00CD423A" w:rsidDel="00CB7000">
        <w:t xml:space="preserve"> </w:t>
      </w:r>
      <w:r w:rsidR="005E3C6A">
        <w:t>In the interests of coexistence with other spectrum uses</w:t>
      </w:r>
      <w:r w:rsidR="00B17AFE">
        <w:t>,</w:t>
      </w:r>
      <w:r w:rsidR="005E3C6A">
        <w:t xml:space="preserve"> and noting that this can be revisited in the future, t</w:t>
      </w:r>
      <w:r w:rsidR="00FF1141">
        <w:t>he ACMA is of the view</w:t>
      </w:r>
      <w:r>
        <w:t xml:space="preserve"> that 14 dBm </w:t>
      </w:r>
      <w:r w:rsidR="00FF1141">
        <w:t xml:space="preserve">remains </w:t>
      </w:r>
      <w:r>
        <w:t>appropriate for VLP</w:t>
      </w:r>
      <w:r w:rsidDel="00403ECB">
        <w:t xml:space="preserve"> </w:t>
      </w:r>
      <w:r>
        <w:t>devices</w:t>
      </w:r>
      <w:r w:rsidR="005E3C6A">
        <w:t xml:space="preserve"> at this time</w:t>
      </w:r>
      <w:r>
        <w:t>.</w:t>
      </w:r>
    </w:p>
    <w:p w14:paraId="4CAE3560" w14:textId="2A98BDDE" w:rsidR="0007505E" w:rsidRPr="006B6649" w:rsidRDefault="0007505E" w:rsidP="00173E66">
      <w:pPr>
        <w:pStyle w:val="Heading3"/>
        <w:rPr>
          <w:u w:val="none"/>
        </w:rPr>
      </w:pPr>
      <w:r w:rsidRPr="006B6649">
        <w:rPr>
          <w:u w:val="none"/>
        </w:rPr>
        <w:t>Separate power levels for access points and client devices</w:t>
      </w:r>
      <w:r w:rsidR="00AF5F00" w:rsidRPr="006B6649">
        <w:rPr>
          <w:u w:val="none"/>
        </w:rPr>
        <w:t xml:space="preserve"> (LPI)</w:t>
      </w:r>
    </w:p>
    <w:p w14:paraId="52428BF3" w14:textId="7BB3DB84" w:rsidR="0007505E" w:rsidRDefault="00F42541" w:rsidP="00945BA2">
      <w:pPr>
        <w:pStyle w:val="Paragraph"/>
      </w:pPr>
      <w:r>
        <w:t>S</w:t>
      </w:r>
      <w:r w:rsidR="000F41EC">
        <w:t>everal submissions</w:t>
      </w:r>
      <w:r w:rsidR="00782130">
        <w:t xml:space="preserve"> </w:t>
      </w:r>
      <w:r w:rsidR="000F41EC">
        <w:t>requested</w:t>
      </w:r>
      <w:r w:rsidR="00782130">
        <w:t xml:space="preserve"> </w:t>
      </w:r>
      <w:r w:rsidR="00945BA2">
        <w:t>rais</w:t>
      </w:r>
      <w:r>
        <w:t>ing</w:t>
      </w:r>
      <w:r w:rsidR="00945BA2">
        <w:t xml:space="preserve"> the power </w:t>
      </w:r>
      <w:r w:rsidR="000F41EC">
        <w:t xml:space="preserve">limit </w:t>
      </w:r>
      <w:r w:rsidR="00945BA2">
        <w:t>for access points</w:t>
      </w:r>
      <w:r w:rsidR="000F41EC">
        <w:t>, with c</w:t>
      </w:r>
      <w:r w:rsidR="00F87B23">
        <w:t xml:space="preserve">lient devices </w:t>
      </w:r>
      <w:r w:rsidR="000F41EC">
        <w:t xml:space="preserve">to </w:t>
      </w:r>
      <w:r w:rsidR="00F87B23">
        <w:t xml:space="preserve">remain at </w:t>
      </w:r>
      <w:r w:rsidR="00782130">
        <w:t xml:space="preserve">the </w:t>
      </w:r>
      <w:r w:rsidR="00F87B23">
        <w:t>proposed value of 24 dBm</w:t>
      </w:r>
      <w:r w:rsidR="0081023C">
        <w:t xml:space="preserve"> EIRP</w:t>
      </w:r>
      <w:r w:rsidR="00035452">
        <w:t xml:space="preserve">. </w:t>
      </w:r>
      <w:r>
        <w:t>I</w:t>
      </w:r>
      <w:r w:rsidR="002C6CBA">
        <w:t xml:space="preserve">t </w:t>
      </w:r>
      <w:r w:rsidR="00782130">
        <w:t xml:space="preserve">is </w:t>
      </w:r>
      <w:r w:rsidR="00AF5F00">
        <w:t xml:space="preserve">proposed </w:t>
      </w:r>
      <w:r w:rsidR="00782130">
        <w:t>that</w:t>
      </w:r>
      <w:r w:rsidR="00035452">
        <w:t xml:space="preserve"> all devices </w:t>
      </w:r>
      <w:r w:rsidR="00782130">
        <w:t xml:space="preserve">be limited </w:t>
      </w:r>
      <w:r w:rsidR="00035452">
        <w:t xml:space="preserve">to 24 dBm, </w:t>
      </w:r>
      <w:r w:rsidR="00782130">
        <w:t xml:space="preserve">so </w:t>
      </w:r>
      <w:r w:rsidR="00CB2EE3">
        <w:t xml:space="preserve">we </w:t>
      </w:r>
      <w:r w:rsidR="00782130">
        <w:t>are not contemplating separate device-specific power limits at this time</w:t>
      </w:r>
      <w:r w:rsidR="00CB2EE3">
        <w:t>.</w:t>
      </w:r>
    </w:p>
    <w:p w14:paraId="5DFFCE94" w14:textId="2C8C0BDC" w:rsidR="0007505E" w:rsidRPr="006B6649" w:rsidRDefault="0007505E" w:rsidP="00537BB7">
      <w:pPr>
        <w:pStyle w:val="Heading3"/>
        <w:rPr>
          <w:u w:val="none"/>
        </w:rPr>
      </w:pPr>
      <w:r w:rsidRPr="006B6649">
        <w:rPr>
          <w:u w:val="none"/>
        </w:rPr>
        <w:lastRenderedPageBreak/>
        <w:t>Client-to-client communication</w:t>
      </w:r>
    </w:p>
    <w:p w14:paraId="25A22207" w14:textId="258901C8" w:rsidR="002838F4" w:rsidRDefault="00537BB7" w:rsidP="00782130">
      <w:r>
        <w:t xml:space="preserve">As </w:t>
      </w:r>
      <w:r w:rsidR="00782130">
        <w:t>the proposed arrangements do</w:t>
      </w:r>
      <w:r>
        <w:t xml:space="preserve"> not distinguish between </w:t>
      </w:r>
      <w:r w:rsidR="00322CC7">
        <w:t xml:space="preserve">client devices and </w:t>
      </w:r>
      <w:r w:rsidR="00521625">
        <w:t xml:space="preserve">access points, there is no need to </w:t>
      </w:r>
      <w:r w:rsidR="00782130">
        <w:t>make explicit arrangements for</w:t>
      </w:r>
      <w:r w:rsidR="00521625">
        <w:t xml:space="preserve"> client-to-client communication</w:t>
      </w:r>
      <w:r w:rsidR="002C5FD0">
        <w:t>. Any devices</w:t>
      </w:r>
      <w:r w:rsidR="002C5FD0" w:rsidDel="00782130">
        <w:t xml:space="preserve"> </w:t>
      </w:r>
      <w:r w:rsidR="00782130">
        <w:t xml:space="preserve">that meet </w:t>
      </w:r>
      <w:r w:rsidR="002C5FD0">
        <w:t xml:space="preserve">the requirements </w:t>
      </w:r>
      <w:r w:rsidR="00A875E9">
        <w:t xml:space="preserve">that </w:t>
      </w:r>
      <w:r w:rsidR="002C6CBA">
        <w:t>are proposed</w:t>
      </w:r>
      <w:r w:rsidR="00A875E9">
        <w:t xml:space="preserve"> </w:t>
      </w:r>
      <w:r w:rsidR="002C6CBA">
        <w:t xml:space="preserve">to </w:t>
      </w:r>
      <w:r w:rsidR="00A875E9">
        <w:t>be</w:t>
      </w:r>
      <w:r w:rsidR="002C5FD0">
        <w:t xml:space="preserve"> </w:t>
      </w:r>
      <w:r w:rsidR="00A875E9">
        <w:t>listed</w:t>
      </w:r>
      <w:r w:rsidR="002C5FD0">
        <w:t xml:space="preserve"> the LIPD </w:t>
      </w:r>
      <w:r w:rsidR="00610D0F">
        <w:t>C</w:t>
      </w:r>
      <w:r w:rsidR="002C5FD0">
        <w:t xml:space="preserve">lass </w:t>
      </w:r>
      <w:r w:rsidR="00610D0F">
        <w:t>L</w:t>
      </w:r>
      <w:r w:rsidR="002C5FD0">
        <w:t xml:space="preserve">icence </w:t>
      </w:r>
      <w:r w:rsidR="00E4671B">
        <w:t>will be able to operate, irrespective of the type of communication</w:t>
      </w:r>
      <w:r w:rsidR="00782130">
        <w:t xml:space="preserve"> or device</w:t>
      </w:r>
      <w:r w:rsidR="002838F4">
        <w:t>.</w:t>
      </w:r>
      <w:r w:rsidR="00782130">
        <w:t xml:space="preserve"> </w:t>
      </w:r>
    </w:p>
    <w:p w14:paraId="22444AAC" w14:textId="2E65F822" w:rsidR="00EA36E6" w:rsidRPr="006B6649" w:rsidRDefault="00EA36E6" w:rsidP="00EA36E6">
      <w:pPr>
        <w:pStyle w:val="Heading3"/>
        <w:rPr>
          <w:u w:val="none"/>
        </w:rPr>
      </w:pPr>
      <w:r w:rsidRPr="006B6649">
        <w:rPr>
          <w:u w:val="none"/>
        </w:rPr>
        <w:t xml:space="preserve">Definition of </w:t>
      </w:r>
      <w:r w:rsidR="00B17AFE" w:rsidRPr="006B6649">
        <w:rPr>
          <w:u w:val="none"/>
        </w:rPr>
        <w:t>‘</w:t>
      </w:r>
      <w:r w:rsidRPr="006B6649">
        <w:rPr>
          <w:u w:val="none"/>
        </w:rPr>
        <w:t>indoor</w:t>
      </w:r>
      <w:r w:rsidR="00B17AFE" w:rsidRPr="006B6649">
        <w:rPr>
          <w:u w:val="none"/>
        </w:rPr>
        <w:t>’</w:t>
      </w:r>
    </w:p>
    <w:p w14:paraId="42FF8674" w14:textId="18ED0938" w:rsidR="00EA36E6" w:rsidRDefault="00EA36E6" w:rsidP="00EA36E6">
      <w:pPr>
        <w:pStyle w:val="Paragraph"/>
      </w:pPr>
      <w:r>
        <w:t>Other</w:t>
      </w:r>
      <w:r w:rsidDel="00CE1529">
        <w:t xml:space="preserve"> </w:t>
      </w:r>
      <w:r w:rsidR="00CE1529">
        <w:t xml:space="preserve">international jurisdictions </w:t>
      </w:r>
      <w:r w:rsidR="000E6B05">
        <w:t xml:space="preserve">have implemented specific </w:t>
      </w:r>
      <w:r>
        <w:t xml:space="preserve">restrictions </w:t>
      </w:r>
      <w:r w:rsidR="00CE1529">
        <w:t>to preclude outdoor operation</w:t>
      </w:r>
      <w:r w:rsidR="00747CB4">
        <w:t xml:space="preserve">. For example, the US </w:t>
      </w:r>
      <w:r w:rsidR="00CE1529">
        <w:t xml:space="preserve">and some other jurisdictions </w:t>
      </w:r>
      <w:r w:rsidR="008A410E">
        <w:t>ha</w:t>
      </w:r>
      <w:r w:rsidR="0055488A">
        <w:t>ve</w:t>
      </w:r>
      <w:r w:rsidR="008A410E">
        <w:t xml:space="preserve"> </w:t>
      </w:r>
      <w:r w:rsidR="00CE1529">
        <w:t xml:space="preserve">prescribed </w:t>
      </w:r>
      <w:r w:rsidR="008A410E">
        <w:t xml:space="preserve">a </w:t>
      </w:r>
      <w:r w:rsidR="00CE1529">
        <w:t xml:space="preserve">set </w:t>
      </w:r>
      <w:r w:rsidR="008A410E">
        <w:t xml:space="preserve">of </w:t>
      </w:r>
      <w:r w:rsidR="00BC05B1">
        <w:t>require</w:t>
      </w:r>
      <w:r w:rsidR="008A410E">
        <w:t>ments</w:t>
      </w:r>
      <w:r w:rsidR="00CE1529">
        <w:t xml:space="preserve"> to this effect,</w:t>
      </w:r>
      <w:r w:rsidR="00BC05B1">
        <w:t xml:space="preserve"> </w:t>
      </w:r>
      <w:r w:rsidR="008A410E">
        <w:t>such as devices</w:t>
      </w:r>
      <w:r w:rsidR="00BC05B1">
        <w:t xml:space="preserve"> not be</w:t>
      </w:r>
      <w:r w:rsidR="008A410E">
        <w:t>ing</w:t>
      </w:r>
      <w:r w:rsidR="00BC05B1">
        <w:t xml:space="preserve"> able to</w:t>
      </w:r>
      <w:r>
        <w:t xml:space="preserve"> operate on battery power</w:t>
      </w:r>
      <w:r w:rsidR="00BC05B1">
        <w:t xml:space="preserve"> and </w:t>
      </w:r>
      <w:r>
        <w:t>not be</w:t>
      </w:r>
      <w:r w:rsidR="008A410E">
        <w:t>ing</w:t>
      </w:r>
      <w:r>
        <w:t xml:space="preserve"> weather</w:t>
      </w:r>
      <w:r w:rsidR="00C55F2D">
        <w:t>-</w:t>
      </w:r>
      <w:r>
        <w:t>proof</w:t>
      </w:r>
      <w:r w:rsidR="00BC05B1">
        <w:t>.</w:t>
      </w:r>
      <w:r w:rsidR="008A410E">
        <w:t xml:space="preserve"> </w:t>
      </w:r>
    </w:p>
    <w:p w14:paraId="1B93B8EA" w14:textId="6A61C1A2" w:rsidR="00EA36E6" w:rsidRDefault="00C566F8" w:rsidP="00EA36E6">
      <w:pPr>
        <w:pStyle w:val="Paragraph"/>
      </w:pPr>
      <w:r>
        <w:t xml:space="preserve">The ACMA’s view is that such prescriptive rules </w:t>
      </w:r>
      <w:r w:rsidR="00190E48">
        <w:t>are not necessary</w:t>
      </w:r>
      <w:r>
        <w:t xml:space="preserve"> in the Australian environment</w:t>
      </w:r>
      <w:r w:rsidR="00190E48">
        <w:t xml:space="preserve"> and would likely result in unnecessary </w:t>
      </w:r>
      <w:r w:rsidR="005835D5">
        <w:t>regulation</w:t>
      </w:r>
      <w:r>
        <w:t xml:space="preserve">. </w:t>
      </w:r>
      <w:r w:rsidR="008A410E">
        <w:t>T</w:t>
      </w:r>
      <w:r w:rsidR="00B959C7">
        <w:t xml:space="preserve">he </w:t>
      </w:r>
      <w:r>
        <w:t xml:space="preserve">restriction </w:t>
      </w:r>
      <w:r w:rsidR="00B959C7">
        <w:t xml:space="preserve">of devices </w:t>
      </w:r>
      <w:r>
        <w:t xml:space="preserve">to </w:t>
      </w:r>
      <w:r w:rsidR="00B959C7">
        <w:t>i</w:t>
      </w:r>
      <w:r w:rsidR="00EA36E6">
        <w:t>ndoor</w:t>
      </w:r>
      <w:r>
        <w:t xml:space="preserve"> use</w:t>
      </w:r>
      <w:r w:rsidR="00EA36E6">
        <w:t xml:space="preserve"> already </w:t>
      </w:r>
      <w:r>
        <w:t xml:space="preserve">exists </w:t>
      </w:r>
      <w:r w:rsidR="00EA36E6">
        <w:t xml:space="preserve">in other ACMA </w:t>
      </w:r>
      <w:r w:rsidR="00B01CC5">
        <w:t>regulations</w:t>
      </w:r>
      <w:r w:rsidR="00D32B04">
        <w:t xml:space="preserve"> (including RLAN use in some 5 GHz band ranges</w:t>
      </w:r>
      <w:r w:rsidR="00F6309B">
        <w:t xml:space="preserve"> in the LIPD </w:t>
      </w:r>
      <w:r w:rsidR="00954E9C">
        <w:t>C</w:t>
      </w:r>
      <w:r w:rsidR="00F6309B">
        <w:t xml:space="preserve">lass </w:t>
      </w:r>
      <w:r w:rsidR="00954E9C">
        <w:t>L</w:t>
      </w:r>
      <w:r w:rsidR="00F6309B">
        <w:t>icence</w:t>
      </w:r>
      <w:r w:rsidR="00D32B04">
        <w:t>)</w:t>
      </w:r>
      <w:r w:rsidR="00EA36E6">
        <w:t xml:space="preserve">. </w:t>
      </w:r>
      <w:r>
        <w:t>T</w:t>
      </w:r>
      <w:r w:rsidR="00D34476">
        <w:t xml:space="preserve">here is </w:t>
      </w:r>
      <w:r>
        <w:t>no</w:t>
      </w:r>
      <w:r w:rsidR="00D34476">
        <w:t xml:space="preserve"> need to impose </w:t>
      </w:r>
      <w:r w:rsidR="00682DE7">
        <w:t xml:space="preserve">additional </w:t>
      </w:r>
      <w:r w:rsidR="00820473">
        <w:t xml:space="preserve">specific </w:t>
      </w:r>
      <w:r w:rsidR="00FD2C08">
        <w:t xml:space="preserve">restrictions or definitions </w:t>
      </w:r>
      <w:r w:rsidR="00820473">
        <w:t>to</w:t>
      </w:r>
      <w:r w:rsidR="00820473" w:rsidDel="00C566F8">
        <w:t xml:space="preserve"> </w:t>
      </w:r>
      <w:r>
        <w:t xml:space="preserve">ensure </w:t>
      </w:r>
      <w:r w:rsidR="00E23E6D">
        <w:t>indoor use</w:t>
      </w:r>
      <w:r w:rsidR="00682DE7">
        <w:t xml:space="preserve"> </w:t>
      </w:r>
      <w:r>
        <w:t xml:space="preserve">rules are adhered to </w:t>
      </w:r>
      <w:r w:rsidR="00954E9C">
        <w:t xml:space="preserve">in the </w:t>
      </w:r>
      <w:r w:rsidR="00954E9C" w:rsidRPr="00954E9C">
        <w:t>6</w:t>
      </w:r>
      <w:r w:rsidR="00954E9C">
        <w:t xml:space="preserve"> GHz band </w:t>
      </w:r>
      <w:r w:rsidR="00682DE7" w:rsidRPr="00954E9C">
        <w:t>in</w:t>
      </w:r>
      <w:r w:rsidR="00682DE7">
        <w:t xml:space="preserve"> </w:t>
      </w:r>
      <w:r w:rsidR="008A410E">
        <w:t>Australia.</w:t>
      </w:r>
      <w:r w:rsidR="000D6F4D">
        <w:t xml:space="preserve"> In practice, it is also likely that the regulations in place </w:t>
      </w:r>
      <w:r w:rsidR="00954E9C">
        <w:t xml:space="preserve">in other jurisdictions </w:t>
      </w:r>
      <w:r w:rsidR="000D6F4D">
        <w:t xml:space="preserve">will </w:t>
      </w:r>
      <w:r w:rsidR="00513EAB">
        <w:t>result in some</w:t>
      </w:r>
      <w:r w:rsidR="000D6F4D">
        <w:t xml:space="preserve"> devices </w:t>
      </w:r>
      <w:r w:rsidR="00513EAB">
        <w:t>supplied to the</w:t>
      </w:r>
      <w:r w:rsidR="000D6F4D">
        <w:t xml:space="preserve"> Australia</w:t>
      </w:r>
      <w:r w:rsidR="00513EAB">
        <w:t>n market</w:t>
      </w:r>
      <w:r w:rsidR="000D6F4D">
        <w:t xml:space="preserve"> </w:t>
      </w:r>
      <w:r w:rsidR="00513EAB">
        <w:t>already incorporat</w:t>
      </w:r>
      <w:r w:rsidR="0055488A">
        <w:t>ing</w:t>
      </w:r>
      <w:r w:rsidR="000D6F4D">
        <w:t xml:space="preserve"> these additional restrictions.</w:t>
      </w:r>
    </w:p>
    <w:p w14:paraId="611F3F65" w14:textId="58876D27" w:rsidR="00C554DD" w:rsidRPr="006B6649" w:rsidRDefault="00EE5CAB" w:rsidP="00710256">
      <w:pPr>
        <w:pStyle w:val="Heading3"/>
        <w:rPr>
          <w:u w:val="none"/>
        </w:rPr>
      </w:pPr>
      <w:r w:rsidRPr="006B6649">
        <w:rPr>
          <w:u w:val="none"/>
        </w:rPr>
        <w:t>High</w:t>
      </w:r>
      <w:r w:rsidR="00AA058A">
        <w:rPr>
          <w:u w:val="none"/>
        </w:rPr>
        <w:t>-</w:t>
      </w:r>
      <w:r w:rsidR="009F33FE" w:rsidRPr="006B6649">
        <w:rPr>
          <w:u w:val="none"/>
        </w:rPr>
        <w:t xml:space="preserve">gain </w:t>
      </w:r>
      <w:r w:rsidR="00C554DD" w:rsidRPr="006B6649">
        <w:rPr>
          <w:u w:val="none"/>
        </w:rPr>
        <w:t xml:space="preserve">directional </w:t>
      </w:r>
      <w:r w:rsidR="00710256" w:rsidRPr="006B6649">
        <w:rPr>
          <w:u w:val="none"/>
        </w:rPr>
        <w:t>links</w:t>
      </w:r>
    </w:p>
    <w:p w14:paraId="1F996814" w14:textId="14D605F8" w:rsidR="00710256" w:rsidRDefault="00256D80" w:rsidP="00710256">
      <w:r>
        <w:t xml:space="preserve">Several submissions to the consultation </w:t>
      </w:r>
      <w:r w:rsidR="008018AE">
        <w:t xml:space="preserve">recommended allowing </w:t>
      </w:r>
      <w:r w:rsidR="00D812EC">
        <w:t>6 GHz devices with fixed location</w:t>
      </w:r>
      <w:r w:rsidR="00EE5CAB">
        <w:t>s</w:t>
      </w:r>
      <w:r w:rsidR="00D812EC">
        <w:t xml:space="preserve"> to use </w:t>
      </w:r>
      <w:r w:rsidR="00A95924">
        <w:t>high-gain directional antennas</w:t>
      </w:r>
      <w:r w:rsidR="00D812EC">
        <w:t xml:space="preserve">. </w:t>
      </w:r>
      <w:r w:rsidR="00DF566A">
        <w:t xml:space="preserve">This would </w:t>
      </w:r>
      <w:r w:rsidR="00190E48">
        <w:t>further assist</w:t>
      </w:r>
      <w:r w:rsidR="00DF566A">
        <w:t xml:space="preserve">, for example, </w:t>
      </w:r>
      <w:r w:rsidR="00081FE3">
        <w:t xml:space="preserve">fixed wireless access </w:t>
      </w:r>
      <w:r w:rsidR="00F93FED">
        <w:t xml:space="preserve">to be </w:t>
      </w:r>
      <w:r w:rsidR="00753BA4">
        <w:t xml:space="preserve">deployed in </w:t>
      </w:r>
      <w:r w:rsidR="00954E9C">
        <w:t xml:space="preserve">some or all of </w:t>
      </w:r>
      <w:r w:rsidR="00753BA4">
        <w:t xml:space="preserve">the </w:t>
      </w:r>
      <w:r w:rsidR="00954E9C">
        <w:t xml:space="preserve">6 GHz </w:t>
      </w:r>
      <w:r w:rsidR="00753BA4">
        <w:t>band</w:t>
      </w:r>
      <w:r w:rsidR="00230E57">
        <w:t xml:space="preserve"> by</w:t>
      </w:r>
      <w:r w:rsidR="004D3135">
        <w:t xml:space="preserve"> </w:t>
      </w:r>
      <w:r w:rsidR="004D3135" w:rsidRPr="00402460">
        <w:t>wireless internet service providers (</w:t>
      </w:r>
      <w:r w:rsidR="00E40F0A" w:rsidRPr="00402460">
        <w:t>WISPs</w:t>
      </w:r>
      <w:r w:rsidR="004D3135" w:rsidRPr="00402460">
        <w:t>)</w:t>
      </w:r>
      <w:r w:rsidR="00E40F0A" w:rsidRPr="00402460">
        <w:t xml:space="preserve"> i</w:t>
      </w:r>
      <w:r w:rsidR="00E40F0A">
        <w:t xml:space="preserve">n </w:t>
      </w:r>
      <w:r w:rsidR="00230E57">
        <w:t>regional and remote locations.</w:t>
      </w:r>
    </w:p>
    <w:p w14:paraId="1BA0CF4A" w14:textId="035CEB70" w:rsidR="00230E57" w:rsidRDefault="00FD1E8B" w:rsidP="00710256">
      <w:r>
        <w:t xml:space="preserve">If this type of use were to be enabled, it would </w:t>
      </w:r>
      <w:r w:rsidR="007A12C9">
        <w:t xml:space="preserve">fall </w:t>
      </w:r>
      <w:r w:rsidR="002A2B63">
        <w:t xml:space="preserve">under a separate category of device alongside </w:t>
      </w:r>
      <w:r w:rsidR="00AA058A">
        <w:t>‘</w:t>
      </w:r>
      <w:r w:rsidR="002A2B63">
        <w:t>high</w:t>
      </w:r>
      <w:r w:rsidR="00AA058A">
        <w:t xml:space="preserve">’ </w:t>
      </w:r>
      <w:r w:rsidR="002A2B63">
        <w:t xml:space="preserve">or </w:t>
      </w:r>
      <w:r w:rsidR="00AA058A">
        <w:t>‘</w:t>
      </w:r>
      <w:r w:rsidR="002A2B63">
        <w:t>standard</w:t>
      </w:r>
      <w:r w:rsidR="00AA058A">
        <w:t>’</w:t>
      </w:r>
      <w:r w:rsidR="002A2B63">
        <w:t xml:space="preserve"> power </w:t>
      </w:r>
      <w:r w:rsidR="002A2B63" w:rsidDel="00EE5CAB">
        <w:t>devices</w:t>
      </w:r>
      <w:r w:rsidR="007A22BB" w:rsidDel="00EE5CAB">
        <w:t xml:space="preserve">, </w:t>
      </w:r>
      <w:r w:rsidR="00EE5CAB">
        <w:t>which</w:t>
      </w:r>
      <w:r w:rsidR="007A22BB" w:rsidDel="00EE5CAB">
        <w:t xml:space="preserve"> </w:t>
      </w:r>
      <w:r w:rsidR="007A22BB">
        <w:t xml:space="preserve">would </w:t>
      </w:r>
      <w:r w:rsidR="00474676">
        <w:t xml:space="preserve">be </w:t>
      </w:r>
      <w:r w:rsidR="007A22BB">
        <w:t>implemented</w:t>
      </w:r>
      <w:r w:rsidR="00474676">
        <w:t xml:space="preserve"> </w:t>
      </w:r>
      <w:r w:rsidR="000700D4">
        <w:t xml:space="preserve">under </w:t>
      </w:r>
      <w:r w:rsidR="002C37A6">
        <w:t xml:space="preserve">some </w:t>
      </w:r>
      <w:r w:rsidR="00EE5CAB">
        <w:t xml:space="preserve">form </w:t>
      </w:r>
      <w:r w:rsidR="002C37A6">
        <w:t xml:space="preserve">of coordination or registration </w:t>
      </w:r>
      <w:r w:rsidR="002C37A6" w:rsidRPr="00D858CF">
        <w:t>system</w:t>
      </w:r>
      <w:r w:rsidR="00732485" w:rsidRPr="00D858CF">
        <w:t>.</w:t>
      </w:r>
      <w:r w:rsidR="007A22BB" w:rsidRPr="00D858CF">
        <w:t xml:space="preserve"> </w:t>
      </w:r>
      <w:r w:rsidR="00D858CF" w:rsidRPr="00D858CF">
        <w:t xml:space="preserve">See the discussion </w:t>
      </w:r>
      <w:r w:rsidR="00DB552C" w:rsidRPr="00D858CF">
        <w:t>later</w:t>
      </w:r>
      <w:r w:rsidR="00D858CF" w:rsidRPr="00D858CF">
        <w:t xml:space="preserve"> in this paper</w:t>
      </w:r>
      <w:r w:rsidR="00DB552C" w:rsidRPr="00D858CF">
        <w:t xml:space="preserve"> on high power</w:t>
      </w:r>
      <w:r w:rsidR="00D858CF" w:rsidRPr="00D858CF">
        <w:t xml:space="preserve"> devices and </w:t>
      </w:r>
      <w:r w:rsidR="00DB552C" w:rsidRPr="00D858CF">
        <w:t>AFC</w:t>
      </w:r>
      <w:r w:rsidR="008A410E" w:rsidRPr="00D858CF">
        <w:t>.</w:t>
      </w:r>
    </w:p>
    <w:p w14:paraId="0CC6187D" w14:textId="48D268ED" w:rsidR="008A410E" w:rsidRPr="00710256" w:rsidRDefault="00EE5CAB" w:rsidP="00710256">
      <w:r>
        <w:t>The ACMA does not propose to make</w:t>
      </w:r>
      <w:r w:rsidR="008A410E" w:rsidDel="00EE5CAB">
        <w:t xml:space="preserve"> </w:t>
      </w:r>
      <w:r w:rsidR="008A410E">
        <w:t xml:space="preserve">provision for </w:t>
      </w:r>
      <w:r>
        <w:t xml:space="preserve">this </w:t>
      </w:r>
      <w:r w:rsidR="008A410E">
        <w:t xml:space="preserve">type of </w:t>
      </w:r>
      <w:r>
        <w:t xml:space="preserve">operation </w:t>
      </w:r>
      <w:r w:rsidR="008A410E">
        <w:t xml:space="preserve">in </w:t>
      </w:r>
      <w:r>
        <w:t xml:space="preserve">the current </w:t>
      </w:r>
      <w:r w:rsidR="008A410E">
        <w:t xml:space="preserve">update to the LIPD </w:t>
      </w:r>
      <w:r w:rsidR="00954E9C">
        <w:t>C</w:t>
      </w:r>
      <w:r w:rsidR="008A410E">
        <w:t xml:space="preserve">lass </w:t>
      </w:r>
      <w:r w:rsidR="00954E9C">
        <w:t>L</w:t>
      </w:r>
      <w:r w:rsidR="008A410E">
        <w:t>icence</w:t>
      </w:r>
      <w:r>
        <w:t>, however</w:t>
      </w:r>
      <w:r w:rsidR="009C5727">
        <w:t xml:space="preserve"> </w:t>
      </w:r>
      <w:r w:rsidR="000868EA">
        <w:t>we</w:t>
      </w:r>
      <w:r w:rsidR="00F42541">
        <w:t xml:space="preserve"> </w:t>
      </w:r>
      <w:r w:rsidR="008A410E">
        <w:t xml:space="preserve">may consider it further in </w:t>
      </w:r>
      <w:r>
        <w:t xml:space="preserve">a </w:t>
      </w:r>
      <w:r w:rsidR="008A410E">
        <w:t>future</w:t>
      </w:r>
      <w:r>
        <w:t xml:space="preserve"> update</w:t>
      </w:r>
      <w:r w:rsidR="008A410E">
        <w:t>.</w:t>
      </w:r>
    </w:p>
    <w:p w14:paraId="0FD883FD" w14:textId="2A041710" w:rsidR="00EA36E6" w:rsidRPr="00C609E3" w:rsidRDefault="00C55F2D" w:rsidP="00C55F2D">
      <w:pPr>
        <w:pStyle w:val="Heading3"/>
        <w:rPr>
          <w:u w:val="none"/>
        </w:rPr>
      </w:pPr>
      <w:r w:rsidRPr="00C609E3">
        <w:rPr>
          <w:u w:val="none"/>
        </w:rPr>
        <w:t>Protection of adjacent</w:t>
      </w:r>
      <w:r w:rsidR="00EE5CAB" w:rsidRPr="00C609E3">
        <w:rPr>
          <w:u w:val="none"/>
        </w:rPr>
        <w:t>-band</w:t>
      </w:r>
      <w:r w:rsidRPr="00C609E3">
        <w:rPr>
          <w:u w:val="none"/>
        </w:rPr>
        <w:t xml:space="preserve"> </w:t>
      </w:r>
      <w:r w:rsidR="00EE5CAB" w:rsidRPr="00C609E3">
        <w:rPr>
          <w:u w:val="none"/>
        </w:rPr>
        <w:t>Intelligent Transport Systems (</w:t>
      </w:r>
      <w:r w:rsidR="00C65BDD" w:rsidRPr="00C609E3">
        <w:rPr>
          <w:u w:val="none"/>
        </w:rPr>
        <w:t>ITS</w:t>
      </w:r>
      <w:r w:rsidR="00EE5CAB" w:rsidRPr="00C609E3">
        <w:rPr>
          <w:u w:val="none"/>
        </w:rPr>
        <w:t>)</w:t>
      </w:r>
      <w:r w:rsidR="00C65BDD" w:rsidRPr="00C609E3">
        <w:rPr>
          <w:u w:val="none"/>
        </w:rPr>
        <w:t xml:space="preserve"> </w:t>
      </w:r>
    </w:p>
    <w:p w14:paraId="706B60B7" w14:textId="681A86A0" w:rsidR="0038722F" w:rsidRDefault="00EE5CAB" w:rsidP="00C55F2D">
      <w:r>
        <w:t>Interference p</w:t>
      </w:r>
      <w:r w:rsidR="002A1C5C" w:rsidRPr="002A1C5C">
        <w:t>rotection</w:t>
      </w:r>
      <w:r w:rsidR="002A1C5C" w:rsidRPr="002A1C5C" w:rsidDel="00EE5CAB">
        <w:t xml:space="preserve"> </w:t>
      </w:r>
      <w:r>
        <w:t>for</w:t>
      </w:r>
      <w:r w:rsidRPr="002A1C5C">
        <w:t xml:space="preserve"> </w:t>
      </w:r>
      <w:r w:rsidR="00F54DF5">
        <w:t>intelligent transport systems (ITS) operating in the adjacent 5</w:t>
      </w:r>
      <w:r w:rsidR="00597E37">
        <w:t>850</w:t>
      </w:r>
      <w:r w:rsidR="00F54DF5">
        <w:t>–5925 MHz band</w:t>
      </w:r>
      <w:r w:rsidR="00435AF9">
        <w:t xml:space="preserve"> was also mentioned in </w:t>
      </w:r>
      <w:r w:rsidR="00A22067">
        <w:t>responses</w:t>
      </w:r>
      <w:r w:rsidR="001B40B7">
        <w:t xml:space="preserve"> </w:t>
      </w:r>
      <w:r w:rsidR="00807951">
        <w:t>to consultation</w:t>
      </w:r>
      <w:r w:rsidR="001B40B7">
        <w:t xml:space="preserve"> and ha</w:t>
      </w:r>
      <w:r w:rsidR="0055488A">
        <w:t>s</w:t>
      </w:r>
      <w:r w:rsidR="001B40B7">
        <w:t xml:space="preserve"> been considered in European recommendations for the 6 GHz band. </w:t>
      </w:r>
      <w:r w:rsidR="00FC475D">
        <w:t>CEPT propose</w:t>
      </w:r>
      <w:r w:rsidR="0038722F">
        <w:rPr>
          <w:rStyle w:val="FootnoteReference"/>
        </w:rPr>
        <w:footnoteReference w:id="5"/>
      </w:r>
      <w:r w:rsidR="00FC475D">
        <w:t xml:space="preserve"> to constrain RLAN operation to above 5945 MHz</w:t>
      </w:r>
      <w:r w:rsidR="00AA058A">
        <w:t>,</w:t>
      </w:r>
      <w:r w:rsidR="00FC475D">
        <w:t xml:space="preserve"> which will essentially provide a 10 MHz guard band above lower-adjacent urban rail ITS</w:t>
      </w:r>
      <w:r w:rsidR="00FC475D" w:rsidRPr="00FC475D">
        <w:t xml:space="preserve"> </w:t>
      </w:r>
      <w:r w:rsidR="00FC475D">
        <w:t>(noting that in Europe</w:t>
      </w:r>
      <w:r w:rsidR="00AA058A">
        <w:t>,</w:t>
      </w:r>
      <w:r w:rsidR="00FC475D">
        <w:t xml:space="preserve"> </w:t>
      </w:r>
      <w:r w:rsidR="00BF5EA6">
        <w:t>communication</w:t>
      </w:r>
      <w:r w:rsidR="00070A37">
        <w:t>-</w:t>
      </w:r>
      <w:r w:rsidR="00BF5EA6">
        <w:t xml:space="preserve">based train control </w:t>
      </w:r>
      <w:r w:rsidR="00AA058A">
        <w:t>(</w:t>
      </w:r>
      <w:r w:rsidR="00BF5EA6">
        <w:t>or CBTC systems</w:t>
      </w:r>
      <w:r w:rsidR="00AA058A">
        <w:t>)</w:t>
      </w:r>
      <w:r w:rsidR="00FC475D">
        <w:t xml:space="preserve"> are operated up to 5935 MHz</w:t>
      </w:r>
      <w:r w:rsidR="00BF5EA6">
        <w:t xml:space="preserve"> in some countries</w:t>
      </w:r>
      <w:r w:rsidR="00FC475D">
        <w:t xml:space="preserve">). </w:t>
      </w:r>
      <w:r w:rsidR="0038722F">
        <w:t>Note that in the UK, spectrum for RLANs is being made available down to 5925 MHz.</w:t>
      </w:r>
    </w:p>
    <w:p w14:paraId="4E4C5AF3" w14:textId="497F0E77" w:rsidR="00500172" w:rsidRDefault="001B40B7" w:rsidP="00C55F2D">
      <w:r>
        <w:t xml:space="preserve">CEPT </w:t>
      </w:r>
      <w:r w:rsidR="00807951">
        <w:t>ha</w:t>
      </w:r>
      <w:r w:rsidR="0055488A">
        <w:t>s</w:t>
      </w:r>
      <w:r w:rsidR="00807951">
        <w:t xml:space="preserve"> </w:t>
      </w:r>
      <w:r w:rsidR="00FC475D">
        <w:t xml:space="preserve">also </w:t>
      </w:r>
      <w:r>
        <w:t>recommend</w:t>
      </w:r>
      <w:r w:rsidR="00807951">
        <w:t>ed</w:t>
      </w:r>
      <w:r>
        <w:t xml:space="preserve"> out-of-band (OOB)</w:t>
      </w:r>
      <w:r w:rsidR="00F7108E">
        <w:t xml:space="preserve"> </w:t>
      </w:r>
      <w:r w:rsidR="00807951">
        <w:t xml:space="preserve">emission </w:t>
      </w:r>
      <w:r w:rsidR="00F7108E">
        <w:t>limit</w:t>
      </w:r>
      <w:r w:rsidR="007707F0">
        <w:t>s</w:t>
      </w:r>
      <w:r w:rsidR="00F7108E">
        <w:t xml:space="preserve"> of -45 dBm/MHz </w:t>
      </w:r>
      <w:r w:rsidR="007707F0">
        <w:t xml:space="preserve">and 22 dBm/MHz </w:t>
      </w:r>
      <w:r w:rsidR="007038C5">
        <w:t xml:space="preserve">below 5935 MHz </w:t>
      </w:r>
      <w:r w:rsidR="00F7108E">
        <w:t>for</w:t>
      </w:r>
      <w:r w:rsidR="007707F0">
        <w:t xml:space="preserve"> </w:t>
      </w:r>
      <w:r w:rsidR="007038C5">
        <w:t xml:space="preserve">VLP </w:t>
      </w:r>
      <w:r w:rsidR="00500172">
        <w:t>outdoor and</w:t>
      </w:r>
      <w:r w:rsidR="007707F0">
        <w:t xml:space="preserve"> </w:t>
      </w:r>
      <w:r w:rsidR="007038C5">
        <w:t>LPI</w:t>
      </w:r>
      <w:r w:rsidR="007707F0">
        <w:t xml:space="preserve"> devices</w:t>
      </w:r>
      <w:r w:rsidR="00AA058A">
        <w:t>,</w:t>
      </w:r>
      <w:r w:rsidR="00500172">
        <w:t xml:space="preserve"> respectively</w:t>
      </w:r>
      <w:r w:rsidR="00FC475D">
        <w:t>.</w:t>
      </w:r>
      <w:r w:rsidR="00500172">
        <w:t xml:space="preserve"> The</w:t>
      </w:r>
      <w:r w:rsidR="000E72B6">
        <w:t xml:space="preserve"> </w:t>
      </w:r>
      <w:r w:rsidR="00DE3E32">
        <w:rPr>
          <w:rFonts w:ascii="Cambria Math" w:hAnsi="Cambria Math" w:cs="Cambria Math"/>
        </w:rPr>
        <w:t>-</w:t>
      </w:r>
      <w:r w:rsidR="00500172">
        <w:t>45</w:t>
      </w:r>
      <w:r w:rsidR="00DE3E32">
        <w:t xml:space="preserve"> </w:t>
      </w:r>
      <w:r w:rsidR="00500172">
        <w:t xml:space="preserve">dBm/MHz permitted for </w:t>
      </w:r>
      <w:r w:rsidR="00FC475D">
        <w:t xml:space="preserve">VLP outdoor devices is expected to enable rollout of VLP devices in the short term but will be revised to -37 dBm/MHz at the end of 2024, unless </w:t>
      </w:r>
      <w:r w:rsidR="007038C5">
        <w:t xml:space="preserve">further </w:t>
      </w:r>
      <w:r w:rsidR="00FC475D">
        <w:t xml:space="preserve">studies in the intervening period result in a different value being recommended. </w:t>
      </w:r>
    </w:p>
    <w:p w14:paraId="06E5878C" w14:textId="6B97C559" w:rsidR="00615999" w:rsidRDefault="00500172" w:rsidP="00C55F2D">
      <w:r>
        <w:lastRenderedPageBreak/>
        <w:t>In</w:t>
      </w:r>
      <w:r w:rsidR="00F7108E">
        <w:t xml:space="preserve"> other jurisdictions such as </w:t>
      </w:r>
      <w:r w:rsidR="002F57BC">
        <w:t xml:space="preserve">the US, </w:t>
      </w:r>
      <w:r w:rsidR="00F7108E">
        <w:t xml:space="preserve">Brazil and Mexico, </w:t>
      </w:r>
      <w:r w:rsidR="007E3EA4">
        <w:t xml:space="preserve">an OOB limit of </w:t>
      </w:r>
      <w:r w:rsidR="004D3135">
        <w:noBreakHyphen/>
      </w:r>
      <w:r w:rsidR="00F7108E">
        <w:t>27</w:t>
      </w:r>
      <w:r w:rsidR="007E3EA4">
        <w:t> dBm/MHz</w:t>
      </w:r>
      <w:r w:rsidR="007707F0">
        <w:t xml:space="preserve"> </w:t>
      </w:r>
      <w:r>
        <w:t>has been prescribed for</w:t>
      </w:r>
      <w:r w:rsidR="007707F0">
        <w:t xml:space="preserve"> all devices</w:t>
      </w:r>
      <w:r w:rsidR="007E3EA4">
        <w:t>.</w:t>
      </w:r>
      <w:r w:rsidR="008E2AAF">
        <w:t xml:space="preserve"> </w:t>
      </w:r>
      <w:r w:rsidR="00615999">
        <w:t>A submission to the April 2021 consultation paper discussed this issue</w:t>
      </w:r>
      <w:r w:rsidR="004D3135">
        <w:t xml:space="preserve">, </w:t>
      </w:r>
      <w:r w:rsidR="00615999">
        <w:t>noting the matter has been jointly considered by various other parties</w:t>
      </w:r>
      <w:r w:rsidR="00AA058A">
        <w:t>,</w:t>
      </w:r>
      <w:r w:rsidR="004D3135">
        <w:t xml:space="preserve"> </w:t>
      </w:r>
      <w:r w:rsidR="00615999">
        <w:t xml:space="preserve">and proposed both an </w:t>
      </w:r>
      <w:r w:rsidR="005816BC">
        <w:t>OOB</w:t>
      </w:r>
      <w:r w:rsidR="00E669B2">
        <w:t xml:space="preserve"> </w:t>
      </w:r>
      <w:r w:rsidR="00615999">
        <w:t xml:space="preserve">limit below 5925 of </w:t>
      </w:r>
      <w:r w:rsidR="004D3135">
        <w:noBreakHyphen/>
      </w:r>
      <w:r w:rsidR="00615999">
        <w:t>37 dBm/MHz for VLP devices and that VLP devices should prioritise use of channels above 6000 MHz. The submission also recommend</w:t>
      </w:r>
      <w:r w:rsidR="00E353A2">
        <w:t>ed</w:t>
      </w:r>
      <w:r w:rsidR="00615999">
        <w:t xml:space="preserve"> a value of </w:t>
      </w:r>
      <w:r w:rsidR="004D3135">
        <w:noBreakHyphen/>
      </w:r>
      <w:r w:rsidR="00615999">
        <w:t xml:space="preserve">27 dBm/MHz for LPI (and standard power) </w:t>
      </w:r>
      <w:r w:rsidR="008E03F0">
        <w:t>device</w:t>
      </w:r>
      <w:r w:rsidR="00E353A2">
        <w:t>s</w:t>
      </w:r>
      <w:r w:rsidR="00615999">
        <w:t xml:space="preserve">. </w:t>
      </w:r>
    </w:p>
    <w:p w14:paraId="1B6F96F2" w14:textId="1EB9A1CF" w:rsidR="00615999" w:rsidRDefault="00615999" w:rsidP="00394821">
      <w:pPr>
        <w:pStyle w:val="Paragraphbeforelist"/>
      </w:pPr>
      <w:r>
        <w:t xml:space="preserve">We are of the view that some measures are prudent to support </w:t>
      </w:r>
      <w:r w:rsidR="005500CE">
        <w:t>coexistence</w:t>
      </w:r>
      <w:r w:rsidR="00C002CE">
        <w:t xml:space="preserve"> </w:t>
      </w:r>
      <w:r w:rsidR="008E03F0">
        <w:t xml:space="preserve">with </w:t>
      </w:r>
      <w:r w:rsidR="00C002CE">
        <w:t>ITS</w:t>
      </w:r>
      <w:r w:rsidR="007038C5">
        <w:t xml:space="preserve"> in Australia. N</w:t>
      </w:r>
      <w:r>
        <w:t>oting the variety of approaches adopted globally, w</w:t>
      </w:r>
      <w:r w:rsidR="001B40B7">
        <w:t xml:space="preserve">e are proposing the inclusion of </w:t>
      </w:r>
      <w:r w:rsidR="008E03F0">
        <w:t xml:space="preserve">the following </w:t>
      </w:r>
      <w:r w:rsidR="001B40B7">
        <w:t>OOB emission limit</w:t>
      </w:r>
      <w:r w:rsidR="007038C5">
        <w:t>s</w:t>
      </w:r>
      <w:r w:rsidR="001B40B7">
        <w:t xml:space="preserve"> below 5925 MHz</w:t>
      </w:r>
      <w:r>
        <w:t>:</w:t>
      </w:r>
    </w:p>
    <w:p w14:paraId="157BDEBB" w14:textId="5DB1E888" w:rsidR="00615999" w:rsidRDefault="00BF16CA" w:rsidP="00394821">
      <w:pPr>
        <w:pStyle w:val="Bulletlevel1"/>
      </w:pPr>
      <w:r>
        <w:t>-</w:t>
      </w:r>
      <w:r w:rsidR="00615999">
        <w:t>3</w:t>
      </w:r>
      <w:r w:rsidR="00C002CE">
        <w:t>7</w:t>
      </w:r>
      <w:r w:rsidR="00F7108E">
        <w:t xml:space="preserve"> </w:t>
      </w:r>
      <w:r w:rsidR="00B47CF9">
        <w:t xml:space="preserve">dBm/MHz for </w:t>
      </w:r>
      <w:r w:rsidR="00615999">
        <w:t>VLP devices</w:t>
      </w:r>
    </w:p>
    <w:p w14:paraId="5AC89313" w14:textId="0D32A45E" w:rsidR="00615999" w:rsidRDefault="00615999" w:rsidP="00394821">
      <w:pPr>
        <w:pStyle w:val="Bulletlevel1last"/>
      </w:pPr>
      <w:r>
        <w:t xml:space="preserve">-27 dBm/MHz for LPI devices </w:t>
      </w:r>
    </w:p>
    <w:p w14:paraId="3804F5E4" w14:textId="2D2DF897" w:rsidR="008E03F0" w:rsidRDefault="00615999" w:rsidP="003F677E">
      <w:r>
        <w:t>The</w:t>
      </w:r>
      <w:r w:rsidR="007038C5">
        <w:t xml:space="preserve"> LPI limit </w:t>
      </w:r>
      <w:r>
        <w:t>align</w:t>
      </w:r>
      <w:r w:rsidR="007038C5">
        <w:t>s</w:t>
      </w:r>
      <w:r>
        <w:t xml:space="preserve"> with</w:t>
      </w:r>
      <w:r w:rsidR="007038C5">
        <w:t xml:space="preserve"> </w:t>
      </w:r>
      <w:r w:rsidR="00414A49">
        <w:t>FCC regulations</w:t>
      </w:r>
      <w:r>
        <w:t xml:space="preserve"> for </w:t>
      </w:r>
      <w:r w:rsidR="007038C5">
        <w:t>these</w:t>
      </w:r>
      <w:r>
        <w:t xml:space="preserve"> devices</w:t>
      </w:r>
      <w:r w:rsidR="00414A49">
        <w:t xml:space="preserve">, </w:t>
      </w:r>
      <w:r w:rsidR="00BF5EA6">
        <w:t>noting</w:t>
      </w:r>
      <w:r w:rsidR="00414A49">
        <w:t xml:space="preserve"> that ITS use in the U</w:t>
      </w:r>
      <w:r w:rsidR="00A7716D">
        <w:t>S</w:t>
      </w:r>
      <w:r w:rsidR="00414A49">
        <w:t xml:space="preserve"> is </w:t>
      </w:r>
      <w:r w:rsidR="00E353A2">
        <w:t xml:space="preserve">more </w:t>
      </w:r>
      <w:r w:rsidR="00414A49">
        <w:t xml:space="preserve">closely aligned with Australian </w:t>
      </w:r>
      <w:r w:rsidR="00BF5EA6">
        <w:t xml:space="preserve">than </w:t>
      </w:r>
      <w:r w:rsidR="00E353A2">
        <w:t xml:space="preserve">with </w:t>
      </w:r>
      <w:r w:rsidR="00BF5EA6">
        <w:t xml:space="preserve">European </w:t>
      </w:r>
      <w:r w:rsidR="00414A49">
        <w:t>arrangements.</w:t>
      </w:r>
      <w:r w:rsidR="00E94899">
        <w:t xml:space="preserve"> </w:t>
      </w:r>
      <w:r w:rsidR="007038C5">
        <w:t>This will</w:t>
      </w:r>
      <w:r w:rsidR="00E94899">
        <w:t xml:space="preserve"> ensure that </w:t>
      </w:r>
      <w:r w:rsidR="00BF5EA6">
        <w:t xml:space="preserve">RLAN </w:t>
      </w:r>
      <w:r w:rsidR="00E94899">
        <w:t xml:space="preserve">access point devices designed for use in the </w:t>
      </w:r>
      <w:r w:rsidR="00A7716D">
        <w:t>US</w:t>
      </w:r>
      <w:r w:rsidR="00E94899">
        <w:t xml:space="preserve"> and brought into Australia – which is </w:t>
      </w:r>
      <w:r w:rsidR="00BF5EA6">
        <w:t xml:space="preserve">a </w:t>
      </w:r>
      <w:r w:rsidR="00E94899">
        <w:t xml:space="preserve">likely </w:t>
      </w:r>
      <w:r w:rsidR="00BF5EA6">
        <w:t>scenario</w:t>
      </w:r>
      <w:r w:rsidR="00E94899">
        <w:t xml:space="preserve"> – will meet the</w:t>
      </w:r>
      <w:r w:rsidR="00BF5EA6">
        <w:t xml:space="preserve"> prescribed</w:t>
      </w:r>
      <w:r w:rsidR="00E94899">
        <w:t xml:space="preserve"> criteria</w:t>
      </w:r>
      <w:r w:rsidR="007038C5">
        <w:t xml:space="preserve"> for indoor use. </w:t>
      </w:r>
      <w:r w:rsidR="007B1F9F">
        <w:t xml:space="preserve">Adoption of the post-2024 CEPT limit for VLP devices is proposed to </w:t>
      </w:r>
      <w:r w:rsidR="008E03F0">
        <w:t>manage</w:t>
      </w:r>
      <w:r w:rsidR="007B1F9F">
        <w:t xml:space="preserve"> interference potential into Australian ITS systems in the longer term</w:t>
      </w:r>
      <w:r w:rsidR="008E03F0">
        <w:t>. We have not</w:t>
      </w:r>
      <w:r w:rsidR="00E353A2">
        <w:t>,</w:t>
      </w:r>
      <w:r w:rsidR="008E03F0">
        <w:t xml:space="preserve"> however</w:t>
      </w:r>
      <w:r w:rsidR="00E353A2">
        <w:t>,</w:t>
      </w:r>
      <w:r w:rsidR="008E03F0">
        <w:t xml:space="preserve"> proposed </w:t>
      </w:r>
      <w:r w:rsidR="00E353A2">
        <w:t>any</w:t>
      </w:r>
      <w:r w:rsidR="008E03F0">
        <w:t xml:space="preserve"> additional constraint regarding operation of VLP above </w:t>
      </w:r>
      <w:r w:rsidR="00A7716D">
        <w:t>6000 </w:t>
      </w:r>
      <w:r w:rsidR="008E03F0">
        <w:t xml:space="preserve">MHz. We </w:t>
      </w:r>
      <w:r w:rsidR="00F42541">
        <w:t>consider</w:t>
      </w:r>
      <w:r w:rsidR="008E03F0">
        <w:t xml:space="preserve"> the use of OOB limits is adequate and may</w:t>
      </w:r>
      <w:r w:rsidR="00A7716D">
        <w:t>,</w:t>
      </w:r>
      <w:r w:rsidR="008E03F0">
        <w:t xml:space="preserve"> b</w:t>
      </w:r>
      <w:r w:rsidR="00E353A2">
        <w:t>y</w:t>
      </w:r>
      <w:r w:rsidR="008E03F0">
        <w:t xml:space="preserve"> default</w:t>
      </w:r>
      <w:r w:rsidR="00A7716D">
        <w:t>,</w:t>
      </w:r>
      <w:r w:rsidR="008E03F0">
        <w:t xml:space="preserve"> require operation away from the 5925 MHz boundary in any event. </w:t>
      </w:r>
    </w:p>
    <w:p w14:paraId="7416C0E4" w14:textId="2B663102" w:rsidR="00F7108E" w:rsidRPr="002C061A" w:rsidRDefault="008E03F0" w:rsidP="00C55F2D">
      <w:pPr>
        <w:rPr>
          <w:b/>
          <w:bCs/>
        </w:rPr>
      </w:pPr>
      <w:r>
        <w:t>W</w:t>
      </w:r>
      <w:r w:rsidR="007707F0">
        <w:t xml:space="preserve">e </w:t>
      </w:r>
      <w:r w:rsidR="008E2AAF">
        <w:t>seek</w:t>
      </w:r>
      <w:r w:rsidR="00F7108E">
        <w:t xml:space="preserve"> feedback on the suitability of </w:t>
      </w:r>
      <w:r w:rsidR="007B1F9F">
        <w:t>these values</w:t>
      </w:r>
      <w:r w:rsidR="00F7108E">
        <w:t xml:space="preserve">, both in terms of protecting ITS services and </w:t>
      </w:r>
      <w:r w:rsidR="00F977DC">
        <w:t>their</w:t>
      </w:r>
      <w:r w:rsidR="008E2AAF">
        <w:t xml:space="preserve"> effect </w:t>
      </w:r>
      <w:r w:rsidR="00F7108E">
        <w:t>on the operation of RLAN devices near</w:t>
      </w:r>
      <w:r w:rsidR="008E2AAF">
        <w:t>/adjacent to</w:t>
      </w:r>
      <w:r w:rsidR="00F7108E">
        <w:t xml:space="preserve"> the 5925 MHz boundary</w:t>
      </w:r>
      <w:r w:rsidR="00736F14">
        <w:t>.</w:t>
      </w:r>
    </w:p>
    <w:p w14:paraId="20196266" w14:textId="19799327" w:rsidR="00917627" w:rsidRDefault="00065826" w:rsidP="00917627">
      <w:pPr>
        <w:pStyle w:val="Heading2"/>
      </w:pPr>
      <w:bookmarkStart w:id="24" w:name="_Toc85119233"/>
      <w:r>
        <w:t>Technolog</w:t>
      </w:r>
      <w:r w:rsidR="00EE5CAB">
        <w:t>ies</w:t>
      </w:r>
      <w:r>
        <w:t xml:space="preserve"> other than </w:t>
      </w:r>
      <w:r w:rsidR="005E08FE">
        <w:t>w</w:t>
      </w:r>
      <w:r>
        <w:t>i</w:t>
      </w:r>
      <w:r w:rsidR="00917627">
        <w:t>-</w:t>
      </w:r>
      <w:r w:rsidR="005E08FE">
        <w:t>f</w:t>
      </w:r>
      <w:r w:rsidR="00917627">
        <w:t>i</w:t>
      </w:r>
      <w:bookmarkEnd w:id="24"/>
    </w:p>
    <w:p w14:paraId="2F5F9E83" w14:textId="2C0BCBB3" w:rsidR="00917627" w:rsidRDefault="00917627" w:rsidP="00917627">
      <w:pPr>
        <w:pStyle w:val="Paragraph"/>
      </w:pPr>
      <w:r>
        <w:t xml:space="preserve">In our initial consultation, we focused on wi-fi </w:t>
      </w:r>
      <w:r w:rsidR="001A3A63">
        <w:t>technologies</w:t>
      </w:r>
      <w:r w:rsidR="00A7716D">
        <w:t>,</w:t>
      </w:r>
      <w:r w:rsidR="001A3A63">
        <w:t xml:space="preserve"> </w:t>
      </w:r>
      <w:r>
        <w:t>as</w:t>
      </w:r>
      <w:r w:rsidR="008A410E">
        <w:t xml:space="preserve"> </w:t>
      </w:r>
      <w:r w:rsidR="005A214E">
        <w:t xml:space="preserve">it is </w:t>
      </w:r>
      <w:r>
        <w:t xml:space="preserve">expected </w:t>
      </w:r>
      <w:r w:rsidR="005A214E">
        <w:t>they would</w:t>
      </w:r>
      <w:r w:rsidR="008A410E">
        <w:t xml:space="preserve"> </w:t>
      </w:r>
      <w:r w:rsidR="001A3A63">
        <w:t xml:space="preserve">constitute </w:t>
      </w:r>
      <w:r w:rsidR="008A410E">
        <w:t xml:space="preserve">the </w:t>
      </w:r>
      <w:r w:rsidR="001A3A63">
        <w:t xml:space="preserve">main </w:t>
      </w:r>
      <w:r>
        <w:t xml:space="preserve">use of the 6 GHz band under class licensing. However, </w:t>
      </w:r>
      <w:r w:rsidR="005A214E">
        <w:t xml:space="preserve">it </w:t>
      </w:r>
      <w:r w:rsidR="001A3A63">
        <w:t>is</w:t>
      </w:r>
      <w:r>
        <w:t xml:space="preserve"> not intend</w:t>
      </w:r>
      <w:r w:rsidR="001A3A63">
        <w:t>ed</w:t>
      </w:r>
      <w:r>
        <w:t xml:space="preserve"> to restrict use of the band </w:t>
      </w:r>
      <w:r w:rsidR="001A3A63">
        <w:t xml:space="preserve">solely </w:t>
      </w:r>
      <w:r w:rsidR="005A214E">
        <w:t>to</w:t>
      </w:r>
      <w:r>
        <w:t xml:space="preserve"> wi-fi devices</w:t>
      </w:r>
      <w:r w:rsidR="001A3A63">
        <w:t xml:space="preserve"> </w:t>
      </w:r>
      <w:r w:rsidR="005A214E">
        <w:t>–</w:t>
      </w:r>
      <w:r>
        <w:t xml:space="preserve"> any </w:t>
      </w:r>
      <w:r w:rsidR="001A3A63">
        <w:t xml:space="preserve">other </w:t>
      </w:r>
      <w:r>
        <w:t>device</w:t>
      </w:r>
      <w:r w:rsidR="008A410E">
        <w:t>s</w:t>
      </w:r>
      <w:r>
        <w:t xml:space="preserve"> which meet </w:t>
      </w:r>
      <w:r w:rsidR="001A3A63">
        <w:t>the prescribed</w:t>
      </w:r>
      <w:r w:rsidDel="001A3A63">
        <w:t xml:space="preserve"> </w:t>
      </w:r>
      <w:r>
        <w:t xml:space="preserve">requirements </w:t>
      </w:r>
      <w:r w:rsidR="001A3A63">
        <w:t>will also be authorised</w:t>
      </w:r>
      <w:r>
        <w:t>.</w:t>
      </w:r>
      <w:r w:rsidR="005A214E">
        <w:t xml:space="preserve"> </w:t>
      </w:r>
      <w:r w:rsidR="00E353A2">
        <w:t>T</w:t>
      </w:r>
      <w:r w:rsidR="005A214E">
        <w:t>he ACMA proposes to</w:t>
      </w:r>
      <w:r w:rsidR="002C6CBA">
        <w:t xml:space="preserve"> </w:t>
      </w:r>
      <w:r>
        <w:t>includ</w:t>
      </w:r>
      <w:r w:rsidR="002C6CBA">
        <w:t>e</w:t>
      </w:r>
      <w:r>
        <w:t xml:space="preserve"> conditions to ensure </w:t>
      </w:r>
      <w:r w:rsidR="005A214E">
        <w:t xml:space="preserve">that </w:t>
      </w:r>
      <w:r>
        <w:t xml:space="preserve">any devices operating in the band are able </w:t>
      </w:r>
      <w:r w:rsidR="00190E48">
        <w:t>to coexist</w:t>
      </w:r>
      <w:r>
        <w:t>.</w:t>
      </w:r>
    </w:p>
    <w:p w14:paraId="698FF55C" w14:textId="6741D06C" w:rsidR="00190E48" w:rsidRDefault="00917627" w:rsidP="00917627">
      <w:pPr>
        <w:pStyle w:val="Paragraph"/>
      </w:pPr>
      <w:r>
        <w:t xml:space="preserve">The other </w:t>
      </w:r>
      <w:r w:rsidR="001A3A63">
        <w:t xml:space="preserve">main </w:t>
      </w:r>
      <w:r>
        <w:t xml:space="preserve">technology </w:t>
      </w:r>
      <w:r w:rsidR="001A3A63">
        <w:t>that is</w:t>
      </w:r>
      <w:r w:rsidR="00EB49C9">
        <w:t xml:space="preserve"> currently expected</w:t>
      </w:r>
      <w:r w:rsidR="001A3A63">
        <w:t xml:space="preserve"> </w:t>
      </w:r>
      <w:r>
        <w:t xml:space="preserve">to make use of the 6 GHz band under class licensing is </w:t>
      </w:r>
      <w:r w:rsidR="008A410E">
        <w:t>5G</w:t>
      </w:r>
      <w:r w:rsidR="009F50C1">
        <w:t xml:space="preserve"> </w:t>
      </w:r>
      <w:r>
        <w:t>NR-U</w:t>
      </w:r>
      <w:r w:rsidR="009F50C1">
        <w:t xml:space="preserve"> – a </w:t>
      </w:r>
      <w:r w:rsidR="00A23038">
        <w:t>feature of</w:t>
      </w:r>
      <w:r w:rsidR="009F50C1">
        <w:t xml:space="preserve"> 5G standards </w:t>
      </w:r>
      <w:r w:rsidR="00A23038">
        <w:t>that allows</w:t>
      </w:r>
      <w:r w:rsidR="009F50C1">
        <w:t xml:space="preserve"> </w:t>
      </w:r>
      <w:r w:rsidR="00A23038">
        <w:t>ad hoc localised</w:t>
      </w:r>
      <w:r w:rsidR="009F50C1">
        <w:t xml:space="preserve"> networks to be </w:t>
      </w:r>
      <w:r w:rsidR="00A23038">
        <w:t>deployed in</w:t>
      </w:r>
      <w:r w:rsidR="009F50C1">
        <w:t xml:space="preserve"> unlicensed (class</w:t>
      </w:r>
      <w:r w:rsidR="00611CC0">
        <w:t>-</w:t>
      </w:r>
      <w:r w:rsidR="009F50C1">
        <w:t>licensed) spectrum</w:t>
      </w:r>
      <w:r>
        <w:t xml:space="preserve">. </w:t>
      </w:r>
      <w:r w:rsidR="007E5F68">
        <w:t>The s</w:t>
      </w:r>
      <w:r>
        <w:t>tandard</w:t>
      </w:r>
      <w:r w:rsidR="00EA21E2">
        <w:t xml:space="preserve">s </w:t>
      </w:r>
      <w:r w:rsidR="007E5F68">
        <w:t xml:space="preserve">defining </w:t>
      </w:r>
      <w:r w:rsidR="00EA21E2">
        <w:t xml:space="preserve">that </w:t>
      </w:r>
      <w:r>
        <w:t>technology</w:t>
      </w:r>
      <w:r w:rsidDel="00EA21E2">
        <w:t xml:space="preserve"> </w:t>
      </w:r>
      <w:r w:rsidR="00D61AB0">
        <w:t xml:space="preserve">have been developed with </w:t>
      </w:r>
      <w:r>
        <w:t xml:space="preserve">the ability to </w:t>
      </w:r>
      <w:r w:rsidRPr="008150CF">
        <w:t>seamlessly share spectrum with wi-fi networks as an important feature.</w:t>
      </w:r>
    </w:p>
    <w:p w14:paraId="0250E0E9" w14:textId="20A6779D" w:rsidR="00917627" w:rsidRDefault="00917627" w:rsidP="00917627">
      <w:pPr>
        <w:pStyle w:val="Paragraph"/>
      </w:pPr>
      <w:r w:rsidRPr="008150CF">
        <w:t>Both</w:t>
      </w:r>
      <w:r w:rsidR="00EA21E2">
        <w:t xml:space="preserve"> wi-fi and NR-U</w:t>
      </w:r>
      <w:r w:rsidRPr="008150CF">
        <w:t xml:space="preserve"> technologies </w:t>
      </w:r>
      <w:r w:rsidR="00EA21E2">
        <w:t>incorporate</w:t>
      </w:r>
      <w:r w:rsidR="00EA21E2" w:rsidRPr="008150CF">
        <w:t xml:space="preserve"> </w:t>
      </w:r>
      <w:r w:rsidRPr="008150CF">
        <w:t>listen-before-talk</w:t>
      </w:r>
      <w:r w:rsidR="00EA21E2">
        <w:t xml:space="preserve">/collision avoidance (CA) </w:t>
      </w:r>
      <w:r w:rsidRPr="008150CF">
        <w:t xml:space="preserve">protocols for channel access. These </w:t>
      </w:r>
      <w:r w:rsidR="00F45B40">
        <w:t>contention</w:t>
      </w:r>
      <w:r w:rsidR="00F42541">
        <w:t>-</w:t>
      </w:r>
      <w:r w:rsidR="00F45B40">
        <w:t xml:space="preserve">based </w:t>
      </w:r>
      <w:r w:rsidRPr="008150CF">
        <w:t xml:space="preserve">protocols </w:t>
      </w:r>
      <w:r w:rsidR="00F45B40">
        <w:t>allow multiple users to share spectrum by providing a reasonable opportunity for the different users to transmit.</w:t>
      </w:r>
      <w:r w:rsidRPr="008150CF">
        <w:t xml:space="preserve"> In the absence of conditions on sharing spectrum</w:t>
      </w:r>
      <w:r>
        <w:t xml:space="preserve">, any device </w:t>
      </w:r>
      <w:r w:rsidR="00A7716D">
        <w:t xml:space="preserve">that </w:t>
      </w:r>
      <w:r w:rsidR="00EA21E2">
        <w:t xml:space="preserve">does </w:t>
      </w:r>
      <w:r>
        <w:t xml:space="preserve">not implement similar </w:t>
      </w:r>
      <w:r w:rsidR="004A661E">
        <w:t xml:space="preserve">protocols </w:t>
      </w:r>
      <w:r>
        <w:t xml:space="preserve">could effectively block, or significantly </w:t>
      </w:r>
      <w:r w:rsidR="007E5F68">
        <w:t>hinder</w:t>
      </w:r>
      <w:r w:rsidR="00A7716D">
        <w:t>,</w:t>
      </w:r>
      <w:r w:rsidR="007E5F68">
        <w:t xml:space="preserve"> </w:t>
      </w:r>
      <w:r>
        <w:t xml:space="preserve">the ability </w:t>
      </w:r>
      <w:r w:rsidR="007E5F68">
        <w:t xml:space="preserve">of other devices </w:t>
      </w:r>
      <w:r>
        <w:t>to access a channel by transmitting indiscriminately.</w:t>
      </w:r>
    </w:p>
    <w:p w14:paraId="73D0EB89" w14:textId="3260E13B" w:rsidR="00917627" w:rsidRDefault="00917627" w:rsidP="00917627">
      <w:pPr>
        <w:pStyle w:val="Paragraph"/>
      </w:pPr>
      <w:r>
        <w:t xml:space="preserve">In order to </w:t>
      </w:r>
      <w:r w:rsidR="00190E48">
        <w:t>enable coexistence for these technologies in</w:t>
      </w:r>
      <w:r>
        <w:t xml:space="preserve"> the 6 GHz band, we </w:t>
      </w:r>
      <w:r w:rsidR="005B1BC6">
        <w:t xml:space="preserve">propose </w:t>
      </w:r>
      <w:r w:rsidR="00190E48">
        <w:t xml:space="preserve">to </w:t>
      </w:r>
      <w:r w:rsidR="003C6FD7">
        <w:t>include</w:t>
      </w:r>
      <w:r>
        <w:t xml:space="preserve"> a condition</w:t>
      </w:r>
      <w:r w:rsidR="00EA21E2">
        <w:t xml:space="preserve"> that requires implementation of </w:t>
      </w:r>
      <w:r w:rsidR="00F45B40">
        <w:t>contention</w:t>
      </w:r>
      <w:r w:rsidR="00F42541">
        <w:t>-</w:t>
      </w:r>
      <w:r w:rsidR="00F45B40">
        <w:t>based protocols</w:t>
      </w:r>
      <w:r w:rsidR="00F84471">
        <w:t xml:space="preserve"> </w:t>
      </w:r>
      <w:r w:rsidR="00EA21E2">
        <w:t>(</w:t>
      </w:r>
      <w:r w:rsidR="00A7716D">
        <w:t>for example</w:t>
      </w:r>
      <w:r w:rsidR="008C638C">
        <w:t>,</w:t>
      </w:r>
      <w:r w:rsidR="00EA21E2">
        <w:t xml:space="preserve"> </w:t>
      </w:r>
      <w:r w:rsidR="00F84471">
        <w:t xml:space="preserve">CA type </w:t>
      </w:r>
      <w:r w:rsidR="00EA21E2">
        <w:t xml:space="preserve">multiple access collision avoidance (MACA), carrier sense multiple access (CSMA) or similar). Devices that do not include </w:t>
      </w:r>
      <w:r w:rsidR="00CC6E2E">
        <w:t>provisions to invoke these types of protocols</w:t>
      </w:r>
      <w:r w:rsidR="00EA21E2">
        <w:t xml:space="preserve"> will therefore not be permitted to operate.</w:t>
      </w:r>
    </w:p>
    <w:p w14:paraId="088F0A74" w14:textId="37CF829F" w:rsidR="003C6FD7" w:rsidRDefault="008C6470" w:rsidP="00917627">
      <w:pPr>
        <w:pStyle w:val="Paragraph"/>
      </w:pPr>
      <w:r>
        <w:lastRenderedPageBreak/>
        <w:t xml:space="preserve">While all aspects of the proposed LIPD </w:t>
      </w:r>
      <w:r w:rsidR="007E5F68">
        <w:t xml:space="preserve">Class Licence </w:t>
      </w:r>
      <w:r>
        <w:t>variation are open for comments, t</w:t>
      </w:r>
      <w:r w:rsidR="003C6FD7">
        <w:t xml:space="preserve">he ACMA is </w:t>
      </w:r>
      <w:r>
        <w:t xml:space="preserve">especially </w:t>
      </w:r>
      <w:r w:rsidR="003C6FD7">
        <w:t>interested in industry views on the need for such a condition and</w:t>
      </w:r>
      <w:r w:rsidR="00A7716D">
        <w:t>,</w:t>
      </w:r>
      <w:r w:rsidR="003C6FD7">
        <w:t xml:space="preserve"> if so</w:t>
      </w:r>
      <w:r w:rsidR="00A7716D">
        <w:t>,</w:t>
      </w:r>
      <w:r w:rsidR="003C6FD7">
        <w:t xml:space="preserve"> the nature</w:t>
      </w:r>
      <w:r>
        <w:t xml:space="preserve"> of the requirement and language used to describe it</w:t>
      </w:r>
      <w:r w:rsidR="003C6FD7">
        <w:t xml:space="preserve">. </w:t>
      </w:r>
    </w:p>
    <w:p w14:paraId="704C30CD" w14:textId="509B2553" w:rsidR="002F32E5" w:rsidRDefault="002F32E5" w:rsidP="009F33FE">
      <w:pPr>
        <w:pStyle w:val="Heading1"/>
      </w:pPr>
      <w:bookmarkStart w:id="25" w:name="_Toc85119234"/>
      <w:r>
        <w:lastRenderedPageBreak/>
        <w:t>Proposed update</w:t>
      </w:r>
      <w:r w:rsidR="00A7716D">
        <w:t>s</w:t>
      </w:r>
      <w:r>
        <w:t xml:space="preserve"> to </w:t>
      </w:r>
      <w:r w:rsidR="00A7716D">
        <w:t xml:space="preserve">the </w:t>
      </w:r>
      <w:r>
        <w:t>LIPD Class Licence</w:t>
      </w:r>
      <w:bookmarkEnd w:id="25"/>
    </w:p>
    <w:p w14:paraId="052C8D3D" w14:textId="78F6B622" w:rsidR="00F971B1" w:rsidRDefault="00F971B1" w:rsidP="002F32E5">
      <w:pPr>
        <w:pStyle w:val="Paragraph"/>
      </w:pPr>
      <w:r w:rsidRPr="008150CF">
        <w:t xml:space="preserve">Considering </w:t>
      </w:r>
      <w:r w:rsidR="004A3053">
        <w:t>th</w:t>
      </w:r>
      <w:r w:rsidR="009B046F">
        <w:t>e</w:t>
      </w:r>
      <w:r w:rsidRPr="008150CF">
        <w:t xml:space="preserve"> issues</w:t>
      </w:r>
      <w:r w:rsidR="000F5C49">
        <w:t xml:space="preserve"> relating to the lower 6 GHz band</w:t>
      </w:r>
      <w:r w:rsidR="004A3053">
        <w:t xml:space="preserve"> discussed in the </w:t>
      </w:r>
      <w:r w:rsidR="008C6470">
        <w:t>preceding</w:t>
      </w:r>
      <w:r w:rsidR="004A3053">
        <w:t xml:space="preserve"> chapter</w:t>
      </w:r>
      <w:r w:rsidRPr="008150CF">
        <w:t>,</w:t>
      </w:r>
      <w:r w:rsidR="008150CF">
        <w:t xml:space="preserve"> and our responses, </w:t>
      </w:r>
      <w:r w:rsidR="000F5C49">
        <w:t xml:space="preserve">we propose adding </w:t>
      </w:r>
      <w:r w:rsidR="00A7716D">
        <w:t xml:space="preserve">2 </w:t>
      </w:r>
      <w:r w:rsidR="000F5C49">
        <w:t>new item</w:t>
      </w:r>
      <w:r w:rsidR="00B36F9A">
        <w:t>s</w:t>
      </w:r>
      <w:r w:rsidR="000F5C49">
        <w:t xml:space="preserve"> to the LIPD </w:t>
      </w:r>
      <w:r w:rsidR="00D335B2">
        <w:t>C</w:t>
      </w:r>
      <w:r w:rsidR="000F5C49">
        <w:t xml:space="preserve">lass </w:t>
      </w:r>
      <w:r w:rsidR="00D335B2">
        <w:t>L</w:t>
      </w:r>
      <w:r w:rsidR="000F5C49">
        <w:t>icence</w:t>
      </w:r>
      <w:r w:rsidR="00AC6BD2">
        <w:t xml:space="preserve"> to enable the use of the band for </w:t>
      </w:r>
      <w:r w:rsidR="00B36F9A">
        <w:t>low power RLAN devices</w:t>
      </w:r>
      <w:r w:rsidR="00D72020">
        <w:t>.</w:t>
      </w:r>
    </w:p>
    <w:p w14:paraId="19EF7175" w14:textId="286A6652" w:rsidR="00BE00C8" w:rsidRPr="00E320B3" w:rsidRDefault="00A7716D" w:rsidP="00BE00C8">
      <w:pPr>
        <w:pStyle w:val="Paragraph"/>
      </w:pPr>
      <w:r>
        <w:t>We are</w:t>
      </w:r>
      <w:r w:rsidR="00BE00C8">
        <w:t xml:space="preserve"> also taking the opportunity to propose </w:t>
      </w:r>
      <w:r>
        <w:t xml:space="preserve">2 </w:t>
      </w:r>
      <w:r w:rsidR="00BE00C8">
        <w:t>minor edit</w:t>
      </w:r>
      <w:r w:rsidR="00DB2F91">
        <w:t>s</w:t>
      </w:r>
      <w:r w:rsidR="00BE00C8">
        <w:t xml:space="preserve"> to current provisions in the LIPD </w:t>
      </w:r>
      <w:r w:rsidR="000E5FCA">
        <w:t>C</w:t>
      </w:r>
      <w:r w:rsidR="00BE00C8">
        <w:t xml:space="preserve">lass </w:t>
      </w:r>
      <w:r w:rsidR="000E5FCA">
        <w:t>L</w:t>
      </w:r>
      <w:r w:rsidR="00BE00C8">
        <w:t>icence</w:t>
      </w:r>
      <w:r>
        <w:t xml:space="preserve"> to </w:t>
      </w:r>
      <w:r w:rsidR="00BE00C8">
        <w:t>correct typographical error</w:t>
      </w:r>
      <w:r w:rsidR="00DB2F91">
        <w:t>s</w:t>
      </w:r>
      <w:r w:rsidR="00F610D2">
        <w:t xml:space="preserve"> –</w:t>
      </w:r>
      <w:r>
        <w:t xml:space="preserve"> </w:t>
      </w:r>
      <w:r w:rsidR="00F610D2">
        <w:t xml:space="preserve">a </w:t>
      </w:r>
      <w:r w:rsidR="00877D9F">
        <w:t>misspelling</w:t>
      </w:r>
      <w:r w:rsidR="00F610D2">
        <w:t xml:space="preserve"> of the word </w:t>
      </w:r>
      <w:r>
        <w:t>‘</w:t>
      </w:r>
      <w:r w:rsidR="00F610D2">
        <w:t>transmitters</w:t>
      </w:r>
      <w:r>
        <w:t>’</w:t>
      </w:r>
      <w:r w:rsidR="00F610D2">
        <w:t xml:space="preserve"> in item 39C of the table in Schedule 1</w:t>
      </w:r>
      <w:r w:rsidR="00DB2F91">
        <w:t>, and a numbering error in item 25(b)</w:t>
      </w:r>
      <w:r w:rsidR="00E30FA7">
        <w:t>.</w:t>
      </w:r>
    </w:p>
    <w:p w14:paraId="7B40C3F4" w14:textId="156D028F" w:rsidR="00D72020" w:rsidRDefault="00D72020" w:rsidP="002F32E5">
      <w:pPr>
        <w:pStyle w:val="Paragraph"/>
      </w:pPr>
      <w:r>
        <w:t xml:space="preserve">The details of the new items </w:t>
      </w:r>
      <w:r w:rsidR="00D335B2">
        <w:t>for RLANs</w:t>
      </w:r>
      <w:r w:rsidR="00C962FB">
        <w:t xml:space="preserve"> </w:t>
      </w:r>
      <w:r>
        <w:t xml:space="preserve">are shown below, and a draft </w:t>
      </w:r>
      <w:r w:rsidR="00DE43DD">
        <w:t xml:space="preserve">instrument </w:t>
      </w:r>
      <w:r w:rsidR="005623C9">
        <w:t xml:space="preserve">to make these variations to the </w:t>
      </w:r>
      <w:r w:rsidR="00D335B2">
        <w:t>LIPD C</w:t>
      </w:r>
      <w:r w:rsidR="005623C9">
        <w:t xml:space="preserve">lass </w:t>
      </w:r>
      <w:r w:rsidR="00D335B2">
        <w:t>L</w:t>
      </w:r>
      <w:r w:rsidR="005623C9">
        <w:t xml:space="preserve">icence </w:t>
      </w:r>
      <w:r w:rsidR="004672A3">
        <w:t xml:space="preserve">is </w:t>
      </w:r>
      <w:r w:rsidR="008709F4">
        <w:t xml:space="preserve">available </w:t>
      </w:r>
      <w:r w:rsidR="0041658B">
        <w:t xml:space="preserve">alongside this paper on the </w:t>
      </w:r>
      <w:r w:rsidR="008709F4">
        <w:t xml:space="preserve">on the </w:t>
      </w:r>
      <w:hyperlink r:id="rId30" w:history="1">
        <w:r w:rsidR="008709F4" w:rsidRPr="0041658B">
          <w:rPr>
            <w:rStyle w:val="Hyperlink"/>
          </w:rPr>
          <w:t>ACMA website</w:t>
        </w:r>
      </w:hyperlink>
      <w:r w:rsidR="005623C9">
        <w:t>.</w:t>
      </w:r>
    </w:p>
    <w:p w14:paraId="6D9806FF" w14:textId="73307556" w:rsidR="00F610D2" w:rsidRDefault="00F610D2" w:rsidP="00D61AB0">
      <w:pPr>
        <w:pStyle w:val="Heading2"/>
      </w:pPr>
      <w:bookmarkStart w:id="26" w:name="_Toc85119235"/>
      <w:r>
        <w:t>New items</w:t>
      </w:r>
      <w:bookmarkEnd w:id="26"/>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6"/>
        <w:gridCol w:w="2185"/>
        <w:gridCol w:w="2214"/>
        <w:gridCol w:w="1689"/>
        <w:gridCol w:w="1997"/>
      </w:tblGrid>
      <w:tr w:rsidR="00E971CA" w14:paraId="28EC9348" w14:textId="77777777" w:rsidTr="00C962FB">
        <w:trPr>
          <w:cantSplit/>
          <w:tblHeader/>
        </w:trPr>
        <w:tc>
          <w:tcPr>
            <w:tcW w:w="846" w:type="dxa"/>
            <w:tcMar>
              <w:top w:w="0" w:type="dxa"/>
              <w:left w:w="108" w:type="dxa"/>
              <w:bottom w:w="0" w:type="dxa"/>
              <w:right w:w="108" w:type="dxa"/>
            </w:tcMar>
            <w:hideMark/>
          </w:tcPr>
          <w:p w14:paraId="4CB83AAA" w14:textId="5FA1C9DB" w:rsidR="00A3157E" w:rsidRPr="00EB0368" w:rsidRDefault="00EB0368" w:rsidP="00843C55">
            <w:pPr>
              <w:spacing w:before="122" w:after="120"/>
              <w:rPr>
                <w:rFonts w:cs="Arial"/>
                <w:b/>
                <w:bCs/>
                <w:szCs w:val="20"/>
                <w:lang w:eastAsia="en-US"/>
              </w:rPr>
            </w:pPr>
            <w:r w:rsidRPr="00EB0368">
              <w:rPr>
                <w:rFonts w:cs="Arial"/>
                <w:b/>
                <w:bCs/>
                <w:szCs w:val="20"/>
                <w:lang w:eastAsia="en-US"/>
              </w:rPr>
              <w:t>Item #</w:t>
            </w:r>
          </w:p>
        </w:tc>
        <w:tc>
          <w:tcPr>
            <w:tcW w:w="2185" w:type="dxa"/>
            <w:tcMar>
              <w:top w:w="0" w:type="dxa"/>
              <w:left w:w="108" w:type="dxa"/>
              <w:bottom w:w="0" w:type="dxa"/>
              <w:right w:w="108" w:type="dxa"/>
            </w:tcMar>
            <w:hideMark/>
          </w:tcPr>
          <w:p w14:paraId="52AF7182" w14:textId="4DC6C15C" w:rsidR="00A3157E" w:rsidRPr="00AF16DD" w:rsidRDefault="004E320A" w:rsidP="00843C55">
            <w:pPr>
              <w:spacing w:before="122" w:after="120"/>
              <w:rPr>
                <w:b/>
                <w:bCs/>
                <w:szCs w:val="20"/>
                <w:lang w:eastAsia="en-US"/>
              </w:rPr>
            </w:pPr>
            <w:r w:rsidRPr="00AF16DD">
              <w:rPr>
                <w:b/>
                <w:bCs/>
                <w:szCs w:val="20"/>
                <w:lang w:eastAsia="en-US"/>
              </w:rPr>
              <w:t>Class of transmitter</w:t>
            </w:r>
          </w:p>
        </w:tc>
        <w:tc>
          <w:tcPr>
            <w:tcW w:w="2214" w:type="dxa"/>
            <w:tcMar>
              <w:top w:w="0" w:type="dxa"/>
              <w:left w:w="108" w:type="dxa"/>
              <w:bottom w:w="0" w:type="dxa"/>
              <w:right w:w="108" w:type="dxa"/>
            </w:tcMar>
            <w:hideMark/>
          </w:tcPr>
          <w:p w14:paraId="2FA27BB1" w14:textId="6DB1451D" w:rsidR="00A3157E" w:rsidRPr="00AF16DD" w:rsidRDefault="005C2730" w:rsidP="00843C55">
            <w:pPr>
              <w:spacing w:before="122" w:after="120"/>
              <w:rPr>
                <w:b/>
                <w:bCs/>
                <w:szCs w:val="20"/>
                <w:lang w:eastAsia="en-US"/>
              </w:rPr>
            </w:pPr>
            <w:r w:rsidRPr="00AF16DD">
              <w:rPr>
                <w:b/>
                <w:bCs/>
                <w:szCs w:val="20"/>
                <w:lang w:eastAsia="en-US"/>
              </w:rPr>
              <w:t>Permitted operating frequency band (MHz)</w:t>
            </w:r>
          </w:p>
        </w:tc>
        <w:tc>
          <w:tcPr>
            <w:tcW w:w="1689" w:type="dxa"/>
            <w:tcMar>
              <w:top w:w="0" w:type="dxa"/>
              <w:left w:w="108" w:type="dxa"/>
              <w:bottom w:w="0" w:type="dxa"/>
              <w:right w:w="108" w:type="dxa"/>
            </w:tcMar>
            <w:hideMark/>
          </w:tcPr>
          <w:p w14:paraId="07700B9F" w14:textId="50EBDB6D" w:rsidR="00A3157E" w:rsidRPr="00AF16DD" w:rsidRDefault="005C2730" w:rsidP="00843C55">
            <w:pPr>
              <w:spacing w:before="122" w:after="120"/>
              <w:ind w:left="-260" w:firstLine="260"/>
              <w:rPr>
                <w:b/>
                <w:bCs/>
                <w:szCs w:val="20"/>
                <w:lang w:eastAsia="en-US"/>
              </w:rPr>
            </w:pPr>
            <w:r w:rsidRPr="00AF16DD">
              <w:rPr>
                <w:b/>
                <w:bCs/>
                <w:szCs w:val="20"/>
                <w:lang w:eastAsia="en-US"/>
              </w:rPr>
              <w:t>Maximum EIRP</w:t>
            </w:r>
          </w:p>
        </w:tc>
        <w:tc>
          <w:tcPr>
            <w:tcW w:w="1997" w:type="dxa"/>
            <w:tcMar>
              <w:top w:w="0" w:type="dxa"/>
              <w:left w:w="108" w:type="dxa"/>
              <w:bottom w:w="0" w:type="dxa"/>
              <w:right w:w="108" w:type="dxa"/>
            </w:tcMar>
            <w:hideMark/>
          </w:tcPr>
          <w:p w14:paraId="707A8FD3" w14:textId="11A199A1" w:rsidR="00A3157E" w:rsidRPr="00AF16DD" w:rsidRDefault="005C2730" w:rsidP="00843C55">
            <w:pPr>
              <w:spacing w:before="122" w:after="120"/>
              <w:ind w:left="53" w:hanging="15"/>
              <w:rPr>
                <w:b/>
                <w:bCs/>
                <w:szCs w:val="20"/>
                <w:lang w:eastAsia="en-US"/>
              </w:rPr>
            </w:pPr>
            <w:r w:rsidRPr="00AF16DD">
              <w:rPr>
                <w:b/>
                <w:bCs/>
                <w:szCs w:val="20"/>
                <w:lang w:eastAsia="en-US"/>
              </w:rPr>
              <w:t>Limitations</w:t>
            </w:r>
          </w:p>
        </w:tc>
      </w:tr>
      <w:tr w:rsidR="00A3157E" w14:paraId="14062FEA" w14:textId="77777777" w:rsidTr="00C962FB">
        <w:trPr>
          <w:cantSplit/>
          <w:trHeight w:val="546"/>
        </w:trPr>
        <w:tc>
          <w:tcPr>
            <w:tcW w:w="846" w:type="dxa"/>
            <w:tcMar>
              <w:top w:w="0" w:type="dxa"/>
              <w:left w:w="108" w:type="dxa"/>
              <w:bottom w:w="0" w:type="dxa"/>
              <w:right w:w="108" w:type="dxa"/>
            </w:tcMar>
          </w:tcPr>
          <w:p w14:paraId="4884C053" w14:textId="2093DF33" w:rsidR="00A3157E" w:rsidRPr="00E971CA" w:rsidRDefault="00E320B3" w:rsidP="00843C55">
            <w:pPr>
              <w:spacing w:before="122"/>
              <w:rPr>
                <w:szCs w:val="20"/>
                <w:highlight w:val="yellow"/>
                <w:lang w:eastAsia="en-US"/>
              </w:rPr>
            </w:pPr>
            <w:r w:rsidRPr="00344661">
              <w:rPr>
                <w:szCs w:val="20"/>
                <w:lang w:eastAsia="en-US"/>
              </w:rPr>
              <w:t>63</w:t>
            </w:r>
            <w:r w:rsidR="00344661">
              <w:rPr>
                <w:szCs w:val="20"/>
                <w:lang w:eastAsia="en-US"/>
              </w:rPr>
              <w:t>A</w:t>
            </w:r>
            <w:r w:rsidR="00344661">
              <w:rPr>
                <w:lang w:eastAsia="en-US"/>
              </w:rPr>
              <w:t>A</w:t>
            </w:r>
          </w:p>
        </w:tc>
        <w:tc>
          <w:tcPr>
            <w:tcW w:w="2185" w:type="dxa"/>
            <w:tcMar>
              <w:top w:w="0" w:type="dxa"/>
              <w:left w:w="108" w:type="dxa"/>
              <w:bottom w:w="0" w:type="dxa"/>
              <w:right w:w="108" w:type="dxa"/>
            </w:tcMar>
          </w:tcPr>
          <w:p w14:paraId="27D31861" w14:textId="148CB255" w:rsidR="00A3157E" w:rsidRPr="00A3157E" w:rsidRDefault="009B1F70" w:rsidP="00843C55">
            <w:pPr>
              <w:spacing w:before="122"/>
              <w:rPr>
                <w:szCs w:val="20"/>
                <w:lang w:eastAsia="en-US"/>
              </w:rPr>
            </w:pPr>
            <w:r>
              <w:rPr>
                <w:szCs w:val="20"/>
                <w:lang w:eastAsia="en-US"/>
              </w:rPr>
              <w:t>Radio Local Area Network transmitter</w:t>
            </w:r>
          </w:p>
        </w:tc>
        <w:tc>
          <w:tcPr>
            <w:tcW w:w="2214" w:type="dxa"/>
            <w:tcMar>
              <w:top w:w="0" w:type="dxa"/>
              <w:left w:w="108" w:type="dxa"/>
              <w:bottom w:w="0" w:type="dxa"/>
              <w:right w:w="108" w:type="dxa"/>
            </w:tcMar>
          </w:tcPr>
          <w:p w14:paraId="685B0E1D" w14:textId="24B63A71" w:rsidR="00A3157E" w:rsidRPr="00A3157E" w:rsidRDefault="00AF16DD" w:rsidP="00843C55">
            <w:pPr>
              <w:spacing w:before="122"/>
              <w:rPr>
                <w:szCs w:val="20"/>
                <w:lang w:eastAsia="en-US"/>
              </w:rPr>
            </w:pPr>
            <w:r>
              <w:rPr>
                <w:szCs w:val="20"/>
                <w:lang w:eastAsia="en-US"/>
              </w:rPr>
              <w:t>5925–6425</w:t>
            </w:r>
          </w:p>
        </w:tc>
        <w:tc>
          <w:tcPr>
            <w:tcW w:w="1689" w:type="dxa"/>
            <w:tcMar>
              <w:top w:w="0" w:type="dxa"/>
              <w:left w:w="108" w:type="dxa"/>
              <w:bottom w:w="0" w:type="dxa"/>
              <w:right w:w="108" w:type="dxa"/>
            </w:tcMar>
          </w:tcPr>
          <w:p w14:paraId="08395651" w14:textId="057C2516" w:rsidR="00A3157E" w:rsidRPr="00A3157E" w:rsidRDefault="008F0A43" w:rsidP="00843C55">
            <w:pPr>
              <w:spacing w:before="122"/>
              <w:ind w:left="-260" w:firstLine="260"/>
              <w:rPr>
                <w:szCs w:val="20"/>
                <w:lang w:eastAsia="en-US"/>
              </w:rPr>
            </w:pPr>
            <w:r>
              <w:rPr>
                <w:szCs w:val="20"/>
                <w:lang w:eastAsia="en-US"/>
              </w:rPr>
              <w:t>2</w:t>
            </w:r>
            <w:r w:rsidR="00A94B69">
              <w:rPr>
                <w:szCs w:val="20"/>
                <w:lang w:eastAsia="en-US"/>
              </w:rPr>
              <w:t>50 mW</w:t>
            </w:r>
          </w:p>
        </w:tc>
        <w:tc>
          <w:tcPr>
            <w:tcW w:w="1997" w:type="dxa"/>
            <w:tcMar>
              <w:top w:w="0" w:type="dxa"/>
              <w:left w:w="108" w:type="dxa"/>
              <w:bottom w:w="0" w:type="dxa"/>
              <w:right w:w="108" w:type="dxa"/>
            </w:tcMar>
          </w:tcPr>
          <w:p w14:paraId="070485EA" w14:textId="77777777" w:rsidR="00A3157E" w:rsidRDefault="00096DCA" w:rsidP="00843C55">
            <w:pPr>
              <w:spacing w:before="122"/>
              <w:ind w:left="53" w:hanging="15"/>
              <w:rPr>
                <w:szCs w:val="20"/>
                <w:lang w:eastAsia="en-US"/>
              </w:rPr>
            </w:pPr>
            <w:r>
              <w:rPr>
                <w:szCs w:val="20"/>
                <w:lang w:eastAsia="en-US"/>
              </w:rPr>
              <w:t>(a) The transmitter must only be used indoors.</w:t>
            </w:r>
          </w:p>
          <w:p w14:paraId="6F7437A1" w14:textId="0C5EF233" w:rsidR="00096DCA" w:rsidRDefault="00096DCA" w:rsidP="00843C55">
            <w:pPr>
              <w:spacing w:before="122"/>
              <w:ind w:left="53" w:hanging="15"/>
              <w:rPr>
                <w:szCs w:val="20"/>
                <w:lang w:eastAsia="en-US"/>
              </w:rPr>
            </w:pPr>
            <w:r>
              <w:rPr>
                <w:szCs w:val="20"/>
                <w:lang w:eastAsia="en-US"/>
              </w:rPr>
              <w:t>(b) The power spectr</w:t>
            </w:r>
            <w:r w:rsidR="00C962FB">
              <w:rPr>
                <w:szCs w:val="20"/>
                <w:lang w:eastAsia="en-US"/>
              </w:rPr>
              <w:t>al</w:t>
            </w:r>
            <w:r>
              <w:rPr>
                <w:szCs w:val="20"/>
                <w:lang w:eastAsia="en-US"/>
              </w:rPr>
              <w:t xml:space="preserve"> density of a transmitter </w:t>
            </w:r>
            <w:r w:rsidR="00C26F87">
              <w:rPr>
                <w:szCs w:val="20"/>
                <w:lang w:eastAsia="en-US"/>
              </w:rPr>
              <w:t>must not exceed 12.5 mW</w:t>
            </w:r>
            <w:r w:rsidR="00F2209B">
              <w:rPr>
                <w:szCs w:val="20"/>
                <w:lang w:eastAsia="en-US"/>
              </w:rPr>
              <w:t xml:space="preserve"> EIRP per MHz.</w:t>
            </w:r>
          </w:p>
          <w:p w14:paraId="1AB1047F" w14:textId="4D1ED84B" w:rsidR="00F2209B" w:rsidRPr="00A3157E" w:rsidRDefault="00F2209B" w:rsidP="00843C55">
            <w:pPr>
              <w:spacing w:before="122"/>
              <w:ind w:left="53" w:hanging="15"/>
              <w:rPr>
                <w:szCs w:val="20"/>
                <w:lang w:eastAsia="en-US"/>
              </w:rPr>
            </w:pPr>
            <w:r>
              <w:rPr>
                <w:szCs w:val="20"/>
                <w:lang w:eastAsia="en-US"/>
              </w:rPr>
              <w:t>(c)</w:t>
            </w:r>
            <w:r w:rsidR="003D5ADA">
              <w:rPr>
                <w:szCs w:val="22"/>
              </w:rPr>
              <w:t xml:space="preserve"> </w:t>
            </w:r>
            <w:r w:rsidR="008B5096">
              <w:rPr>
                <w:szCs w:val="22"/>
              </w:rPr>
              <w:t>Contention-based</w:t>
            </w:r>
            <w:r w:rsidR="003D5ADA">
              <w:rPr>
                <w:szCs w:val="22"/>
              </w:rPr>
              <w:t xml:space="preserve"> protocols for multiple access such as Carrier Sense Multiple Access (CSMA) or Multiple Access Collision Avoidance (MACA) must be implemented.</w:t>
            </w:r>
          </w:p>
        </w:tc>
      </w:tr>
      <w:tr w:rsidR="00AF16DD" w14:paraId="138ED150" w14:textId="77777777" w:rsidTr="00C962FB">
        <w:trPr>
          <w:cantSplit/>
        </w:trPr>
        <w:tc>
          <w:tcPr>
            <w:tcW w:w="846" w:type="dxa"/>
            <w:tcMar>
              <w:top w:w="0" w:type="dxa"/>
              <w:left w:w="108" w:type="dxa"/>
              <w:bottom w:w="0" w:type="dxa"/>
              <w:right w:w="108" w:type="dxa"/>
            </w:tcMar>
          </w:tcPr>
          <w:p w14:paraId="6C013F31" w14:textId="3EFF2AF4" w:rsidR="00AF16DD" w:rsidRPr="00E971CA" w:rsidRDefault="00E320B3" w:rsidP="00843C55">
            <w:pPr>
              <w:spacing w:before="122"/>
              <w:rPr>
                <w:szCs w:val="20"/>
                <w:highlight w:val="yellow"/>
                <w:lang w:eastAsia="en-US"/>
              </w:rPr>
            </w:pPr>
            <w:r w:rsidRPr="00344661">
              <w:rPr>
                <w:szCs w:val="20"/>
                <w:lang w:eastAsia="en-US"/>
              </w:rPr>
              <w:lastRenderedPageBreak/>
              <w:t>63</w:t>
            </w:r>
            <w:r w:rsidR="00344661">
              <w:rPr>
                <w:szCs w:val="20"/>
                <w:lang w:eastAsia="en-US"/>
              </w:rPr>
              <w:t>A</w:t>
            </w:r>
            <w:r w:rsidR="00344661">
              <w:rPr>
                <w:lang w:eastAsia="en-US"/>
              </w:rPr>
              <w:t>B</w:t>
            </w:r>
          </w:p>
        </w:tc>
        <w:tc>
          <w:tcPr>
            <w:tcW w:w="2185" w:type="dxa"/>
            <w:tcMar>
              <w:top w:w="0" w:type="dxa"/>
              <w:left w:w="108" w:type="dxa"/>
              <w:bottom w:w="0" w:type="dxa"/>
              <w:right w:w="108" w:type="dxa"/>
            </w:tcMar>
          </w:tcPr>
          <w:p w14:paraId="06E23BFB" w14:textId="1DFD8B64" w:rsidR="00AF16DD" w:rsidRPr="00A3157E" w:rsidRDefault="00AF16DD" w:rsidP="00843C55">
            <w:pPr>
              <w:spacing w:before="122"/>
              <w:rPr>
                <w:szCs w:val="20"/>
                <w:lang w:eastAsia="en-US"/>
              </w:rPr>
            </w:pPr>
            <w:r>
              <w:rPr>
                <w:szCs w:val="20"/>
                <w:lang w:eastAsia="en-US"/>
              </w:rPr>
              <w:t>Radio Local Area Network transmitter</w:t>
            </w:r>
          </w:p>
        </w:tc>
        <w:tc>
          <w:tcPr>
            <w:tcW w:w="2214" w:type="dxa"/>
            <w:tcMar>
              <w:top w:w="0" w:type="dxa"/>
              <w:left w:w="108" w:type="dxa"/>
              <w:bottom w:w="0" w:type="dxa"/>
              <w:right w:w="108" w:type="dxa"/>
            </w:tcMar>
          </w:tcPr>
          <w:p w14:paraId="3023C55B" w14:textId="4E53F410" w:rsidR="00AF16DD" w:rsidRPr="00A3157E" w:rsidRDefault="00AF16DD" w:rsidP="00843C55">
            <w:pPr>
              <w:spacing w:before="122"/>
              <w:rPr>
                <w:szCs w:val="20"/>
                <w:lang w:eastAsia="en-US"/>
              </w:rPr>
            </w:pPr>
            <w:r>
              <w:rPr>
                <w:szCs w:val="20"/>
                <w:lang w:eastAsia="en-US"/>
              </w:rPr>
              <w:t>5925–6425</w:t>
            </w:r>
          </w:p>
        </w:tc>
        <w:tc>
          <w:tcPr>
            <w:tcW w:w="1689" w:type="dxa"/>
            <w:tcMar>
              <w:top w:w="0" w:type="dxa"/>
              <w:left w:w="108" w:type="dxa"/>
              <w:bottom w:w="0" w:type="dxa"/>
              <w:right w:w="108" w:type="dxa"/>
            </w:tcMar>
          </w:tcPr>
          <w:p w14:paraId="6756FE3C" w14:textId="69D74CBE" w:rsidR="00AF16DD" w:rsidRPr="00A3157E" w:rsidRDefault="00A94B69" w:rsidP="00843C55">
            <w:pPr>
              <w:spacing w:before="122"/>
              <w:ind w:left="-260" w:firstLine="260"/>
              <w:rPr>
                <w:szCs w:val="20"/>
                <w:lang w:eastAsia="en-US"/>
              </w:rPr>
            </w:pPr>
            <w:r>
              <w:rPr>
                <w:szCs w:val="20"/>
                <w:lang w:eastAsia="en-US"/>
              </w:rPr>
              <w:t>25 mW</w:t>
            </w:r>
          </w:p>
        </w:tc>
        <w:tc>
          <w:tcPr>
            <w:tcW w:w="1997" w:type="dxa"/>
            <w:tcMar>
              <w:top w:w="0" w:type="dxa"/>
              <w:left w:w="108" w:type="dxa"/>
              <w:bottom w:w="0" w:type="dxa"/>
              <w:right w:w="108" w:type="dxa"/>
            </w:tcMar>
          </w:tcPr>
          <w:p w14:paraId="2656254B" w14:textId="53E7CFD6" w:rsidR="00F2209B" w:rsidRDefault="00F2209B" w:rsidP="00843C55">
            <w:pPr>
              <w:spacing w:before="122"/>
              <w:ind w:left="53" w:hanging="15"/>
              <w:rPr>
                <w:szCs w:val="20"/>
                <w:lang w:eastAsia="en-US"/>
              </w:rPr>
            </w:pPr>
            <w:r>
              <w:rPr>
                <w:szCs w:val="20"/>
                <w:lang w:eastAsia="en-US"/>
              </w:rPr>
              <w:t>(</w:t>
            </w:r>
            <w:r w:rsidR="00C962FB">
              <w:rPr>
                <w:szCs w:val="20"/>
                <w:lang w:eastAsia="en-US"/>
              </w:rPr>
              <w:t>a</w:t>
            </w:r>
            <w:r>
              <w:rPr>
                <w:szCs w:val="20"/>
                <w:lang w:eastAsia="en-US"/>
              </w:rPr>
              <w:t>) The power spectr</w:t>
            </w:r>
            <w:r w:rsidR="00C962FB">
              <w:rPr>
                <w:szCs w:val="20"/>
                <w:lang w:eastAsia="en-US"/>
              </w:rPr>
              <w:t>al</w:t>
            </w:r>
            <w:r>
              <w:rPr>
                <w:szCs w:val="20"/>
                <w:lang w:eastAsia="en-US"/>
              </w:rPr>
              <w:t xml:space="preserve"> density of a transmitter must not exceed 1.25 mW EIRP per MHz.</w:t>
            </w:r>
          </w:p>
          <w:p w14:paraId="0F643D42" w14:textId="6A47320F" w:rsidR="00AF16DD" w:rsidRPr="00A3157E" w:rsidRDefault="00F2209B" w:rsidP="00843C55">
            <w:pPr>
              <w:spacing w:before="122"/>
              <w:ind w:left="53" w:hanging="15"/>
              <w:rPr>
                <w:szCs w:val="20"/>
                <w:lang w:eastAsia="en-US"/>
              </w:rPr>
            </w:pPr>
            <w:r>
              <w:rPr>
                <w:szCs w:val="20"/>
                <w:lang w:eastAsia="en-US"/>
              </w:rPr>
              <w:t>(</w:t>
            </w:r>
            <w:r w:rsidR="00C962FB">
              <w:rPr>
                <w:szCs w:val="20"/>
                <w:lang w:eastAsia="en-US"/>
              </w:rPr>
              <w:t>b</w:t>
            </w:r>
            <w:r>
              <w:rPr>
                <w:szCs w:val="20"/>
                <w:lang w:eastAsia="en-US"/>
              </w:rPr>
              <w:t xml:space="preserve">) </w:t>
            </w:r>
            <w:r w:rsidR="003D5ADA">
              <w:rPr>
                <w:szCs w:val="22"/>
              </w:rPr>
              <w:t>C</w:t>
            </w:r>
            <w:r w:rsidR="008B5096">
              <w:rPr>
                <w:szCs w:val="22"/>
              </w:rPr>
              <w:t>ontention-based</w:t>
            </w:r>
            <w:r w:rsidR="003D5ADA">
              <w:rPr>
                <w:szCs w:val="22"/>
              </w:rPr>
              <w:t xml:space="preserve"> protocols for multiple access such as Carrier Sense Multiple Access (CSMA) or Multiple Access Collision Avoidance (MACA) must be implemented.</w:t>
            </w:r>
          </w:p>
        </w:tc>
      </w:tr>
    </w:tbl>
    <w:p w14:paraId="4C38CA21" w14:textId="36A777A7" w:rsidR="004672A3" w:rsidRDefault="004672A3" w:rsidP="00843C55">
      <w:pPr>
        <w:pStyle w:val="Paragraph"/>
        <w:rPr>
          <w:highlight w:val="yellow"/>
        </w:rPr>
      </w:pPr>
    </w:p>
    <w:p w14:paraId="51A6167C" w14:textId="01FBA184" w:rsidR="00F610D2" w:rsidRDefault="00F610D2" w:rsidP="00843C55">
      <w:pPr>
        <w:pStyle w:val="Heading2"/>
      </w:pPr>
      <w:bookmarkStart w:id="27" w:name="_Toc85119236"/>
      <w:r w:rsidRPr="00F610D2">
        <w:t>Updated item</w:t>
      </w:r>
      <w:r w:rsidR="00DB2F91">
        <w:t>s</w:t>
      </w:r>
      <w:bookmarkEnd w:id="27"/>
    </w:p>
    <w:p w14:paraId="2D6FFE0D" w14:textId="1207EEAF" w:rsidR="00C962FB" w:rsidRPr="00C962FB" w:rsidRDefault="00C962FB" w:rsidP="00843C55">
      <w:pPr>
        <w:pStyle w:val="Paragraph"/>
      </w:pPr>
      <w:r>
        <w:t xml:space="preserve">The items being modified to correct </w:t>
      </w:r>
      <w:r w:rsidR="0035437E">
        <w:t xml:space="preserve">typographical </w:t>
      </w:r>
      <w:r>
        <w:t xml:space="preserve">errors are shown below. The changes are illustrated with </w:t>
      </w:r>
      <w:r w:rsidR="00DA6FED">
        <w:t>bold</w:t>
      </w:r>
      <w:r w:rsidR="00A7716D">
        <w:t>, underlined</w:t>
      </w:r>
      <w:r w:rsidR="00DA6FED">
        <w:t xml:space="preserve"> </w:t>
      </w:r>
      <w:r>
        <w:t>text.</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6"/>
        <w:gridCol w:w="2185"/>
        <w:gridCol w:w="2214"/>
        <w:gridCol w:w="1689"/>
        <w:gridCol w:w="1997"/>
      </w:tblGrid>
      <w:tr w:rsidR="00F610D2" w14:paraId="0E92B1CA" w14:textId="77777777" w:rsidTr="00070A37">
        <w:trPr>
          <w:cantSplit/>
          <w:tblHeader/>
        </w:trPr>
        <w:tc>
          <w:tcPr>
            <w:tcW w:w="846" w:type="dxa"/>
            <w:tcMar>
              <w:top w:w="0" w:type="dxa"/>
              <w:left w:w="108" w:type="dxa"/>
              <w:bottom w:w="0" w:type="dxa"/>
              <w:right w:w="108" w:type="dxa"/>
            </w:tcMar>
            <w:hideMark/>
          </w:tcPr>
          <w:p w14:paraId="6C75C512" w14:textId="77777777" w:rsidR="00F610D2" w:rsidRPr="00EB0368" w:rsidRDefault="00F610D2" w:rsidP="00843C55">
            <w:pPr>
              <w:spacing w:before="122" w:after="120"/>
              <w:rPr>
                <w:rFonts w:cs="Arial"/>
                <w:b/>
                <w:bCs/>
                <w:szCs w:val="20"/>
                <w:lang w:eastAsia="en-US"/>
              </w:rPr>
            </w:pPr>
            <w:r w:rsidRPr="00EB0368">
              <w:rPr>
                <w:rFonts w:cs="Arial"/>
                <w:b/>
                <w:bCs/>
                <w:szCs w:val="20"/>
                <w:lang w:eastAsia="en-US"/>
              </w:rPr>
              <w:t>Item #</w:t>
            </w:r>
          </w:p>
        </w:tc>
        <w:tc>
          <w:tcPr>
            <w:tcW w:w="2185" w:type="dxa"/>
            <w:tcMar>
              <w:top w:w="0" w:type="dxa"/>
              <w:left w:w="108" w:type="dxa"/>
              <w:bottom w:w="0" w:type="dxa"/>
              <w:right w:w="108" w:type="dxa"/>
            </w:tcMar>
            <w:hideMark/>
          </w:tcPr>
          <w:p w14:paraId="7D164769" w14:textId="77777777" w:rsidR="00F610D2" w:rsidRPr="00AF16DD" w:rsidRDefault="00F610D2" w:rsidP="00843C55">
            <w:pPr>
              <w:spacing w:before="122" w:after="120"/>
              <w:rPr>
                <w:b/>
                <w:bCs/>
                <w:szCs w:val="20"/>
                <w:lang w:eastAsia="en-US"/>
              </w:rPr>
            </w:pPr>
            <w:r w:rsidRPr="00AF16DD">
              <w:rPr>
                <w:b/>
                <w:bCs/>
                <w:szCs w:val="20"/>
                <w:lang w:eastAsia="en-US"/>
              </w:rPr>
              <w:t>Class of transmitter</w:t>
            </w:r>
          </w:p>
        </w:tc>
        <w:tc>
          <w:tcPr>
            <w:tcW w:w="2214" w:type="dxa"/>
            <w:tcMar>
              <w:top w:w="0" w:type="dxa"/>
              <w:left w:w="108" w:type="dxa"/>
              <w:bottom w:w="0" w:type="dxa"/>
              <w:right w:w="108" w:type="dxa"/>
            </w:tcMar>
            <w:hideMark/>
          </w:tcPr>
          <w:p w14:paraId="5ABE7B5B" w14:textId="77777777" w:rsidR="00F610D2" w:rsidRPr="00AF16DD" w:rsidRDefault="00F610D2" w:rsidP="00843C55">
            <w:pPr>
              <w:spacing w:before="122" w:after="120"/>
              <w:rPr>
                <w:b/>
                <w:bCs/>
                <w:szCs w:val="20"/>
                <w:lang w:eastAsia="en-US"/>
              </w:rPr>
            </w:pPr>
            <w:r w:rsidRPr="00AF16DD">
              <w:rPr>
                <w:b/>
                <w:bCs/>
                <w:szCs w:val="20"/>
                <w:lang w:eastAsia="en-US"/>
              </w:rPr>
              <w:t>Permitted operating frequency band (MHz)</w:t>
            </w:r>
          </w:p>
        </w:tc>
        <w:tc>
          <w:tcPr>
            <w:tcW w:w="1689" w:type="dxa"/>
            <w:tcMar>
              <w:top w:w="0" w:type="dxa"/>
              <w:left w:w="108" w:type="dxa"/>
              <w:bottom w:w="0" w:type="dxa"/>
              <w:right w:w="108" w:type="dxa"/>
            </w:tcMar>
            <w:hideMark/>
          </w:tcPr>
          <w:p w14:paraId="588F47C5" w14:textId="77777777" w:rsidR="00F610D2" w:rsidRPr="00AF16DD" w:rsidRDefault="00F610D2" w:rsidP="00843C55">
            <w:pPr>
              <w:spacing w:before="122" w:after="120"/>
              <w:rPr>
                <w:b/>
                <w:bCs/>
                <w:szCs w:val="20"/>
                <w:lang w:eastAsia="en-US"/>
              </w:rPr>
            </w:pPr>
            <w:r w:rsidRPr="00AF16DD">
              <w:rPr>
                <w:b/>
                <w:bCs/>
                <w:szCs w:val="20"/>
                <w:lang w:eastAsia="en-US"/>
              </w:rPr>
              <w:t>Maximum EIRP</w:t>
            </w:r>
          </w:p>
        </w:tc>
        <w:tc>
          <w:tcPr>
            <w:tcW w:w="1997" w:type="dxa"/>
            <w:tcMar>
              <w:top w:w="0" w:type="dxa"/>
              <w:left w:w="108" w:type="dxa"/>
              <w:bottom w:w="0" w:type="dxa"/>
              <w:right w:w="108" w:type="dxa"/>
            </w:tcMar>
            <w:hideMark/>
          </w:tcPr>
          <w:p w14:paraId="0BC1381F" w14:textId="77777777" w:rsidR="00F610D2" w:rsidRPr="00AF16DD" w:rsidRDefault="00F610D2" w:rsidP="00843C55">
            <w:pPr>
              <w:spacing w:before="122" w:after="120"/>
              <w:ind w:left="53" w:hanging="15"/>
              <w:rPr>
                <w:b/>
                <w:bCs/>
                <w:szCs w:val="20"/>
                <w:lang w:eastAsia="en-US"/>
              </w:rPr>
            </w:pPr>
            <w:r w:rsidRPr="00AF16DD">
              <w:rPr>
                <w:b/>
                <w:bCs/>
                <w:szCs w:val="20"/>
                <w:lang w:eastAsia="en-US"/>
              </w:rPr>
              <w:t>Limitations</w:t>
            </w:r>
          </w:p>
        </w:tc>
      </w:tr>
      <w:tr w:rsidR="00DB2F91" w14:paraId="5F0716D3" w14:textId="77777777" w:rsidTr="00070A37">
        <w:trPr>
          <w:cantSplit/>
        </w:trPr>
        <w:tc>
          <w:tcPr>
            <w:tcW w:w="846" w:type="dxa"/>
            <w:tcMar>
              <w:top w:w="0" w:type="dxa"/>
              <w:left w:w="108" w:type="dxa"/>
              <w:bottom w:w="0" w:type="dxa"/>
              <w:right w:w="108" w:type="dxa"/>
            </w:tcMar>
          </w:tcPr>
          <w:p w14:paraId="378BC73C" w14:textId="6773DD17" w:rsidR="00DB2F91" w:rsidRPr="00070A37" w:rsidRDefault="00DB2F91" w:rsidP="00843C55">
            <w:pPr>
              <w:spacing w:before="122"/>
              <w:rPr>
                <w:rFonts w:cs="Arial"/>
                <w:szCs w:val="20"/>
                <w:lang w:eastAsia="en-US"/>
              </w:rPr>
            </w:pPr>
            <w:r w:rsidRPr="00070A37">
              <w:rPr>
                <w:rFonts w:cs="Arial"/>
                <w:szCs w:val="20"/>
                <w:lang w:eastAsia="en-US"/>
              </w:rPr>
              <w:t>25</w:t>
            </w:r>
          </w:p>
        </w:tc>
        <w:tc>
          <w:tcPr>
            <w:tcW w:w="2185" w:type="dxa"/>
            <w:tcMar>
              <w:top w:w="0" w:type="dxa"/>
              <w:left w:w="108" w:type="dxa"/>
              <w:bottom w:w="0" w:type="dxa"/>
              <w:right w:w="108" w:type="dxa"/>
            </w:tcMar>
          </w:tcPr>
          <w:p w14:paraId="086729C2" w14:textId="312DC68D" w:rsidR="00DB2F91" w:rsidRPr="00070A37" w:rsidRDefault="00DB2F91" w:rsidP="00843C55">
            <w:pPr>
              <w:spacing w:before="122"/>
              <w:rPr>
                <w:szCs w:val="20"/>
                <w:lang w:eastAsia="en-US"/>
              </w:rPr>
            </w:pPr>
            <w:r w:rsidRPr="00070A37">
              <w:rPr>
                <w:szCs w:val="20"/>
                <w:lang w:eastAsia="en-US"/>
              </w:rPr>
              <w:t>Auditory assistance transmitters</w:t>
            </w:r>
          </w:p>
        </w:tc>
        <w:tc>
          <w:tcPr>
            <w:tcW w:w="2214" w:type="dxa"/>
            <w:tcMar>
              <w:top w:w="0" w:type="dxa"/>
              <w:left w:w="108" w:type="dxa"/>
              <w:bottom w:w="0" w:type="dxa"/>
              <w:right w:w="108" w:type="dxa"/>
            </w:tcMar>
          </w:tcPr>
          <w:p w14:paraId="37F036F6" w14:textId="0C99D7CA" w:rsidR="00DB2F91" w:rsidRPr="00070A37" w:rsidRDefault="00DB2F91" w:rsidP="00843C55">
            <w:pPr>
              <w:spacing w:before="122"/>
              <w:rPr>
                <w:szCs w:val="20"/>
                <w:lang w:eastAsia="en-US"/>
              </w:rPr>
            </w:pPr>
            <w:r w:rsidRPr="00070A37">
              <w:rPr>
                <w:szCs w:val="20"/>
                <w:lang w:eastAsia="en-US"/>
              </w:rPr>
              <w:t>(a) 41–42, with a carrier frequency of:</w:t>
            </w:r>
            <w:r w:rsidRPr="00070A37">
              <w:rPr>
                <w:szCs w:val="20"/>
                <w:lang w:eastAsia="en-US"/>
              </w:rPr>
              <w:br/>
              <w:t xml:space="preserve">  (</w:t>
            </w:r>
            <w:proofErr w:type="spellStart"/>
            <w:r w:rsidRPr="00070A37">
              <w:rPr>
                <w:szCs w:val="20"/>
                <w:lang w:eastAsia="en-US"/>
              </w:rPr>
              <w:t>i</w:t>
            </w:r>
            <w:proofErr w:type="spellEnd"/>
            <w:r w:rsidRPr="00070A37">
              <w:rPr>
                <w:szCs w:val="20"/>
                <w:lang w:eastAsia="en-US"/>
              </w:rPr>
              <w:t>)   41.55</w:t>
            </w:r>
            <w:r w:rsidRPr="00070A37">
              <w:rPr>
                <w:szCs w:val="20"/>
                <w:lang w:eastAsia="en-US"/>
              </w:rPr>
              <w:br/>
              <w:t xml:space="preserve">  (ii)  41.65</w:t>
            </w:r>
            <w:r w:rsidRPr="00070A37">
              <w:rPr>
                <w:szCs w:val="20"/>
                <w:lang w:eastAsia="en-US"/>
              </w:rPr>
              <w:br/>
              <w:t xml:space="preserve">  (iii) 41.75</w:t>
            </w:r>
            <w:r w:rsidRPr="00070A37">
              <w:rPr>
                <w:szCs w:val="20"/>
                <w:lang w:eastAsia="en-US"/>
              </w:rPr>
              <w:br/>
              <w:t xml:space="preserve">  (iv) 41.85; or</w:t>
            </w:r>
            <w:r w:rsidRPr="00070A37">
              <w:rPr>
                <w:szCs w:val="20"/>
                <w:lang w:eastAsia="en-US"/>
              </w:rPr>
              <w:br/>
              <w:t xml:space="preserve">  (v)  41.95</w:t>
            </w:r>
          </w:p>
          <w:p w14:paraId="18725625" w14:textId="3A29E192" w:rsidR="00DB2F91" w:rsidRPr="00DA6FED" w:rsidRDefault="00DB2F91" w:rsidP="00843C55">
            <w:pPr>
              <w:spacing w:before="122"/>
              <w:rPr>
                <w:b/>
                <w:bCs/>
                <w:szCs w:val="20"/>
                <w:lang w:eastAsia="en-US"/>
              </w:rPr>
            </w:pPr>
            <w:r w:rsidRPr="00070A37">
              <w:rPr>
                <w:szCs w:val="20"/>
                <w:lang w:eastAsia="en-US"/>
              </w:rPr>
              <w:t>(b) 43–44, with a carrier frequency of:</w:t>
            </w:r>
            <w:r w:rsidRPr="00070A37">
              <w:rPr>
                <w:szCs w:val="20"/>
                <w:lang w:eastAsia="en-US"/>
              </w:rPr>
              <w:br/>
              <w:t xml:space="preserve">  (</w:t>
            </w:r>
            <w:proofErr w:type="spellStart"/>
            <w:r w:rsidRPr="00070A37">
              <w:rPr>
                <w:szCs w:val="20"/>
                <w:lang w:eastAsia="en-US"/>
              </w:rPr>
              <w:t>i</w:t>
            </w:r>
            <w:proofErr w:type="spellEnd"/>
            <w:r w:rsidRPr="00070A37">
              <w:rPr>
                <w:szCs w:val="20"/>
                <w:lang w:eastAsia="en-US"/>
              </w:rPr>
              <w:t>)   43.05</w:t>
            </w:r>
            <w:r w:rsidRPr="00070A37">
              <w:rPr>
                <w:szCs w:val="20"/>
                <w:lang w:eastAsia="en-US"/>
              </w:rPr>
              <w:br/>
              <w:t xml:space="preserve">  (ii)  43.15</w:t>
            </w:r>
            <w:r w:rsidRPr="00070A37">
              <w:rPr>
                <w:szCs w:val="20"/>
                <w:lang w:eastAsia="en-US"/>
              </w:rPr>
              <w:br/>
              <w:t xml:space="preserve">  (iii) 43.25</w:t>
            </w:r>
            <w:r w:rsidRPr="00DA6FED">
              <w:rPr>
                <w:b/>
                <w:bCs/>
                <w:strike/>
                <w:szCs w:val="20"/>
                <w:lang w:eastAsia="en-US"/>
              </w:rPr>
              <w:t>; or</w:t>
            </w:r>
            <w:r w:rsidRPr="00DA6FED">
              <w:rPr>
                <w:szCs w:val="20"/>
                <w:lang w:eastAsia="en-US"/>
              </w:rPr>
              <w:br/>
              <w:t xml:space="preserve">  (iv) 43.35</w:t>
            </w:r>
            <w:r w:rsidRPr="00DA6FED">
              <w:rPr>
                <w:b/>
                <w:bCs/>
                <w:szCs w:val="20"/>
                <w:u w:val="single"/>
                <w:lang w:eastAsia="en-US"/>
              </w:rPr>
              <w:t>; or</w:t>
            </w:r>
            <w:r w:rsidRPr="00DA6FED">
              <w:rPr>
                <w:b/>
                <w:bCs/>
                <w:szCs w:val="20"/>
                <w:u w:val="single"/>
                <w:lang w:eastAsia="en-US"/>
              </w:rPr>
              <w:br/>
            </w:r>
            <w:r w:rsidR="00765892" w:rsidRPr="00DA6FED">
              <w:rPr>
                <w:b/>
                <w:bCs/>
                <w:szCs w:val="20"/>
                <w:u w:val="single"/>
                <w:lang w:eastAsia="en-US"/>
              </w:rPr>
              <w:t xml:space="preserve">  (v)  43.45</w:t>
            </w:r>
          </w:p>
          <w:p w14:paraId="78B9AC99" w14:textId="79529BD6" w:rsidR="00DB2F91" w:rsidRPr="00070A37" w:rsidRDefault="00DB2F91" w:rsidP="00843C55">
            <w:pPr>
              <w:spacing w:before="122"/>
              <w:rPr>
                <w:b/>
                <w:bCs/>
                <w:strike/>
                <w:szCs w:val="20"/>
                <w:lang w:eastAsia="en-US"/>
              </w:rPr>
            </w:pPr>
            <w:r w:rsidRPr="00DA6FED">
              <w:rPr>
                <w:b/>
                <w:bCs/>
                <w:strike/>
                <w:szCs w:val="20"/>
                <w:lang w:eastAsia="en-US"/>
              </w:rPr>
              <w:t>(c) 43.45</w:t>
            </w:r>
          </w:p>
        </w:tc>
        <w:tc>
          <w:tcPr>
            <w:tcW w:w="1689" w:type="dxa"/>
            <w:tcMar>
              <w:top w:w="0" w:type="dxa"/>
              <w:left w:w="108" w:type="dxa"/>
              <w:bottom w:w="0" w:type="dxa"/>
              <w:right w:w="108" w:type="dxa"/>
            </w:tcMar>
          </w:tcPr>
          <w:p w14:paraId="061F6179" w14:textId="77777777" w:rsidR="00DB2F91" w:rsidRPr="00AF16DD" w:rsidRDefault="00DB2F91" w:rsidP="00843C55">
            <w:pPr>
              <w:spacing w:before="122"/>
              <w:ind w:left="-260" w:firstLine="260"/>
              <w:rPr>
                <w:b/>
                <w:bCs/>
                <w:szCs w:val="20"/>
                <w:lang w:eastAsia="en-US"/>
              </w:rPr>
            </w:pPr>
          </w:p>
        </w:tc>
        <w:tc>
          <w:tcPr>
            <w:tcW w:w="1997" w:type="dxa"/>
            <w:tcMar>
              <w:top w:w="0" w:type="dxa"/>
              <w:left w:w="108" w:type="dxa"/>
              <w:bottom w:w="0" w:type="dxa"/>
              <w:right w:w="108" w:type="dxa"/>
            </w:tcMar>
          </w:tcPr>
          <w:p w14:paraId="7CEB040B" w14:textId="77777777" w:rsidR="00DB2F91" w:rsidRPr="00AF16DD" w:rsidRDefault="00DB2F91" w:rsidP="00843C55">
            <w:pPr>
              <w:spacing w:before="122"/>
              <w:ind w:left="53" w:hanging="15"/>
              <w:rPr>
                <w:b/>
                <w:bCs/>
                <w:szCs w:val="20"/>
                <w:lang w:eastAsia="en-US"/>
              </w:rPr>
            </w:pPr>
          </w:p>
        </w:tc>
      </w:tr>
      <w:tr w:rsidR="00F610D2" w14:paraId="0A8144BD" w14:textId="77777777" w:rsidTr="00070A37">
        <w:trPr>
          <w:cantSplit/>
          <w:trHeight w:val="546"/>
        </w:trPr>
        <w:tc>
          <w:tcPr>
            <w:tcW w:w="846" w:type="dxa"/>
            <w:tcMar>
              <w:top w:w="0" w:type="dxa"/>
              <w:left w:w="108" w:type="dxa"/>
              <w:bottom w:w="0" w:type="dxa"/>
              <w:right w:w="108" w:type="dxa"/>
            </w:tcMar>
          </w:tcPr>
          <w:p w14:paraId="2CBB5286" w14:textId="2571D3F4" w:rsidR="00F610D2" w:rsidRPr="00E971CA" w:rsidRDefault="00F610D2" w:rsidP="00843C55">
            <w:pPr>
              <w:spacing w:before="122"/>
              <w:rPr>
                <w:szCs w:val="20"/>
                <w:highlight w:val="yellow"/>
                <w:lang w:eastAsia="en-US"/>
              </w:rPr>
            </w:pPr>
            <w:r w:rsidRPr="00DB2F91">
              <w:rPr>
                <w:szCs w:val="20"/>
                <w:lang w:eastAsia="en-US"/>
              </w:rPr>
              <w:lastRenderedPageBreak/>
              <w:t>39C</w:t>
            </w:r>
          </w:p>
        </w:tc>
        <w:tc>
          <w:tcPr>
            <w:tcW w:w="2185" w:type="dxa"/>
            <w:tcMar>
              <w:top w:w="0" w:type="dxa"/>
              <w:left w:w="108" w:type="dxa"/>
              <w:bottom w:w="0" w:type="dxa"/>
              <w:right w:w="108" w:type="dxa"/>
            </w:tcMar>
          </w:tcPr>
          <w:p w14:paraId="2959A4BD" w14:textId="60D06CEA" w:rsidR="00F610D2" w:rsidRPr="00A3157E" w:rsidRDefault="00F610D2" w:rsidP="00843C55">
            <w:pPr>
              <w:spacing w:before="122"/>
              <w:rPr>
                <w:szCs w:val="20"/>
                <w:lang w:eastAsia="en-US"/>
              </w:rPr>
            </w:pPr>
            <w:r>
              <w:rPr>
                <w:szCs w:val="20"/>
                <w:lang w:eastAsia="en-US"/>
              </w:rPr>
              <w:t xml:space="preserve">Fixed telecommand or telemetry </w:t>
            </w:r>
            <w:proofErr w:type="spellStart"/>
            <w:r w:rsidRPr="00DA6FED">
              <w:rPr>
                <w:b/>
                <w:bCs/>
                <w:strike/>
                <w:szCs w:val="20"/>
                <w:lang w:eastAsia="en-US"/>
              </w:rPr>
              <w:t>trasmistters</w:t>
            </w:r>
            <w:proofErr w:type="spellEnd"/>
            <w:r w:rsidR="00070A37" w:rsidRPr="00DA6FED">
              <w:rPr>
                <w:b/>
                <w:bCs/>
                <w:strike/>
                <w:szCs w:val="20"/>
                <w:lang w:eastAsia="en-US"/>
              </w:rPr>
              <w:t xml:space="preserve"> </w:t>
            </w:r>
            <w:r w:rsidR="00070A37" w:rsidRPr="00DA6FED">
              <w:rPr>
                <w:b/>
                <w:bCs/>
                <w:szCs w:val="20"/>
                <w:u w:val="single"/>
                <w:lang w:eastAsia="en-US"/>
              </w:rPr>
              <w:t>transmitters</w:t>
            </w:r>
          </w:p>
        </w:tc>
        <w:tc>
          <w:tcPr>
            <w:tcW w:w="2214" w:type="dxa"/>
            <w:tcMar>
              <w:top w:w="0" w:type="dxa"/>
              <w:left w:w="108" w:type="dxa"/>
              <w:bottom w:w="0" w:type="dxa"/>
              <w:right w:w="108" w:type="dxa"/>
            </w:tcMar>
          </w:tcPr>
          <w:p w14:paraId="6F11BA21" w14:textId="7C7BDBBC" w:rsidR="00F610D2" w:rsidRPr="00A3157E" w:rsidRDefault="00F610D2" w:rsidP="00843C55">
            <w:pPr>
              <w:spacing w:before="122"/>
              <w:rPr>
                <w:szCs w:val="20"/>
                <w:lang w:eastAsia="en-US"/>
              </w:rPr>
            </w:pPr>
            <w:r>
              <w:rPr>
                <w:szCs w:val="20"/>
                <w:lang w:eastAsia="en-US"/>
              </w:rPr>
              <w:t>928–925</w:t>
            </w:r>
          </w:p>
        </w:tc>
        <w:tc>
          <w:tcPr>
            <w:tcW w:w="1689" w:type="dxa"/>
            <w:tcMar>
              <w:top w:w="0" w:type="dxa"/>
              <w:left w:w="108" w:type="dxa"/>
              <w:bottom w:w="0" w:type="dxa"/>
              <w:right w:w="108" w:type="dxa"/>
            </w:tcMar>
          </w:tcPr>
          <w:p w14:paraId="161E6B2B" w14:textId="741AB8C0" w:rsidR="00F610D2" w:rsidRPr="00A3157E" w:rsidRDefault="00F610D2" w:rsidP="00843C55">
            <w:pPr>
              <w:spacing w:before="122"/>
              <w:ind w:left="-260" w:firstLine="260"/>
              <w:rPr>
                <w:szCs w:val="20"/>
                <w:lang w:eastAsia="en-US"/>
              </w:rPr>
            </w:pPr>
            <w:r>
              <w:rPr>
                <w:szCs w:val="20"/>
                <w:lang w:eastAsia="en-US"/>
              </w:rPr>
              <w:t>25 mW</w:t>
            </w:r>
          </w:p>
        </w:tc>
        <w:tc>
          <w:tcPr>
            <w:tcW w:w="1997" w:type="dxa"/>
            <w:tcMar>
              <w:top w:w="0" w:type="dxa"/>
              <w:left w:w="108" w:type="dxa"/>
              <w:bottom w:w="0" w:type="dxa"/>
              <w:right w:w="108" w:type="dxa"/>
            </w:tcMar>
          </w:tcPr>
          <w:p w14:paraId="23AAA2CC" w14:textId="44D99E25" w:rsidR="00F610D2" w:rsidRPr="00F610D2" w:rsidRDefault="00F610D2" w:rsidP="00843C55">
            <w:pPr>
              <w:spacing w:before="122"/>
              <w:ind w:left="53" w:hanging="15"/>
              <w:rPr>
                <w:szCs w:val="20"/>
                <w:lang w:eastAsia="en-US"/>
              </w:rPr>
            </w:pPr>
            <w:r w:rsidRPr="00F610D2">
              <w:rPr>
                <w:szCs w:val="20"/>
                <w:lang w:eastAsia="en-US"/>
              </w:rPr>
              <w:t xml:space="preserve">(a) The maximum radiated power spectral density must not exceed </w:t>
            </w:r>
            <w:r w:rsidR="00A7716D">
              <w:rPr>
                <w:szCs w:val="20"/>
                <w:lang w:eastAsia="en-US"/>
              </w:rPr>
              <w:noBreakHyphen/>
            </w:r>
            <w:r w:rsidRPr="00F610D2">
              <w:rPr>
                <w:szCs w:val="20"/>
                <w:lang w:eastAsia="en-US"/>
              </w:rPr>
              <w:t>14.5 dBm/kHz.</w:t>
            </w:r>
          </w:p>
          <w:p w14:paraId="7D24DEB8" w14:textId="643437DC" w:rsidR="00F610D2" w:rsidRPr="00A3157E" w:rsidRDefault="00F610D2" w:rsidP="00843C55">
            <w:pPr>
              <w:spacing w:before="122"/>
              <w:ind w:left="53" w:hanging="15"/>
              <w:rPr>
                <w:szCs w:val="20"/>
                <w:lang w:eastAsia="en-US"/>
              </w:rPr>
            </w:pPr>
            <w:r w:rsidRPr="00F610D2">
              <w:rPr>
                <w:szCs w:val="20"/>
                <w:lang w:eastAsia="en-US"/>
              </w:rPr>
              <w:t>(b) The maximum duty cycle must not exceed 0.1% averaged over one hour on any given frequency.</w:t>
            </w:r>
          </w:p>
        </w:tc>
      </w:tr>
    </w:tbl>
    <w:p w14:paraId="641A9FEA" w14:textId="77777777" w:rsidR="00F610D2" w:rsidRPr="00F610D2" w:rsidRDefault="00F610D2" w:rsidP="00F610D2">
      <w:pPr>
        <w:pStyle w:val="Paragraph"/>
        <w:rPr>
          <w:highlight w:val="yellow"/>
        </w:rPr>
      </w:pPr>
    </w:p>
    <w:p w14:paraId="3194B319" w14:textId="4DA518EE" w:rsidR="007F22BC" w:rsidRDefault="004A3053" w:rsidP="007F22BC">
      <w:pPr>
        <w:pStyle w:val="Heading1"/>
      </w:pPr>
      <w:bookmarkStart w:id="28" w:name="_Toc85119237"/>
      <w:r>
        <w:lastRenderedPageBreak/>
        <w:t>Further considerations for the u</w:t>
      </w:r>
      <w:r w:rsidR="007F22BC">
        <w:t>pper 6 GHz band</w:t>
      </w:r>
      <w:r w:rsidR="007A31C3">
        <w:t xml:space="preserve"> and higher power devices</w:t>
      </w:r>
      <w:bookmarkEnd w:id="28"/>
    </w:p>
    <w:p w14:paraId="6F66EE8B" w14:textId="4A3A1F84" w:rsidR="009B046F" w:rsidRDefault="00C907CF" w:rsidP="00745264">
      <w:pPr>
        <w:spacing w:before="240"/>
      </w:pPr>
      <w:r>
        <w:t xml:space="preserve">In the short term, making the lower 500 MHz </w:t>
      </w:r>
      <w:r w:rsidR="000A1CDB">
        <w:t xml:space="preserve">of the 6 GHz band </w:t>
      </w:r>
      <w:r>
        <w:t xml:space="preserve">available for RLANs will provide significant benefits and allow Australian </w:t>
      </w:r>
      <w:r w:rsidR="00113950">
        <w:t xml:space="preserve">consumers and industry </w:t>
      </w:r>
      <w:r>
        <w:t>to use the latest technologies</w:t>
      </w:r>
      <w:r w:rsidR="00113950">
        <w:t xml:space="preserve"> available</w:t>
      </w:r>
      <w:r>
        <w:t xml:space="preserve"> in the 6 GHz band. </w:t>
      </w:r>
    </w:p>
    <w:p w14:paraId="0BBEFC1B" w14:textId="22DC3DC6" w:rsidR="00B57349" w:rsidRDefault="001C79C7" w:rsidP="00745264">
      <w:pPr>
        <w:spacing w:before="240"/>
      </w:pPr>
      <w:r>
        <w:t>The next</w:t>
      </w:r>
      <w:r w:rsidR="003E5ADF" w:rsidDel="00113950">
        <w:t xml:space="preserve"> </w:t>
      </w:r>
      <w:r w:rsidR="00113950">
        <w:t xml:space="preserve">key </w:t>
      </w:r>
      <w:r w:rsidR="003E5ADF">
        <w:t>decision to be made regarding use of the 6 GHz band is wh</w:t>
      </w:r>
      <w:r w:rsidR="006B2C2F">
        <w:t xml:space="preserve">at (if any) changes </w:t>
      </w:r>
      <w:r w:rsidR="00745264">
        <w:t>should be made to arrangements in the upper 6 GHz band (6425–7125</w:t>
      </w:r>
      <w:r w:rsidR="000A1CDB">
        <w:t> MHz</w:t>
      </w:r>
      <w:r w:rsidR="00745264">
        <w:t xml:space="preserve">). </w:t>
      </w:r>
    </w:p>
    <w:p w14:paraId="2A8C7230" w14:textId="722FB8BD" w:rsidR="00A56044" w:rsidRPr="0081745C" w:rsidRDefault="00113950" w:rsidP="00A56044">
      <w:pPr>
        <w:pStyle w:val="Paragraph"/>
      </w:pPr>
      <w:r>
        <w:t>Potential u</w:t>
      </w:r>
      <w:r w:rsidR="00C907CF">
        <w:t xml:space="preserve">se of the upper </w:t>
      </w:r>
      <w:r w:rsidR="000A1CDB">
        <w:t xml:space="preserve">6 GHz </w:t>
      </w:r>
      <w:r w:rsidR="00C907CF">
        <w:t xml:space="preserve">band </w:t>
      </w:r>
      <w:r w:rsidR="00B57349">
        <w:t xml:space="preserve">for RLANs </w:t>
      </w:r>
      <w:r w:rsidR="00973F45">
        <w:t>was discussed in our previous consultation</w:t>
      </w:r>
      <w:r w:rsidR="000A1CDB">
        <w:t>.</w:t>
      </w:r>
      <w:r w:rsidR="00973F45">
        <w:t xml:space="preserve"> </w:t>
      </w:r>
      <w:r w:rsidR="000A1CDB">
        <w:t>H</w:t>
      </w:r>
      <w:r>
        <w:t>owever</w:t>
      </w:r>
      <w:r w:rsidR="000A1CDB">
        <w:t>,</w:t>
      </w:r>
      <w:r>
        <w:t xml:space="preserve"> this part of the band </w:t>
      </w:r>
      <w:r w:rsidR="00B57349">
        <w:t>was subject to more diverse views</w:t>
      </w:r>
      <w:r w:rsidR="000A1CDB">
        <w:t>,</w:t>
      </w:r>
      <w:r w:rsidR="00B57349">
        <w:t xml:space="preserve"> </w:t>
      </w:r>
      <w:r>
        <w:t>is far more contestable</w:t>
      </w:r>
      <w:r w:rsidR="000A1CDB">
        <w:t>,</w:t>
      </w:r>
      <w:r>
        <w:t xml:space="preserve"> and further consultation will be necessary before </w:t>
      </w:r>
      <w:r w:rsidR="007F34E3">
        <w:t xml:space="preserve">making any </w:t>
      </w:r>
      <w:r>
        <w:t>new arrangements</w:t>
      </w:r>
      <w:r w:rsidR="00973F45">
        <w:t xml:space="preserve">. </w:t>
      </w:r>
      <w:r w:rsidR="00E77815">
        <w:t xml:space="preserve">Given the lack of other </w:t>
      </w:r>
      <w:r w:rsidR="00877D9F">
        <w:t>clear</w:t>
      </w:r>
      <w:r w:rsidR="00E77815">
        <w:t xml:space="preserve"> options for </w:t>
      </w:r>
      <w:r w:rsidR="00877D9F">
        <w:t>new RLAN</w:t>
      </w:r>
      <w:r w:rsidR="00E77815">
        <w:t xml:space="preserve"> spectrum </w:t>
      </w:r>
      <w:r w:rsidR="00903655">
        <w:t xml:space="preserve">and </w:t>
      </w:r>
      <w:r w:rsidR="00E77815">
        <w:t>t</w:t>
      </w:r>
      <w:r w:rsidR="00A56044">
        <w:t xml:space="preserve">he </w:t>
      </w:r>
      <w:r w:rsidR="00E77815">
        <w:t>current</w:t>
      </w:r>
      <w:r w:rsidR="00903655">
        <w:t xml:space="preserve"> </w:t>
      </w:r>
      <w:r w:rsidR="00877D9F">
        <w:t>(</w:t>
      </w:r>
      <w:r w:rsidR="00E77815">
        <w:t xml:space="preserve">and </w:t>
      </w:r>
      <w:r w:rsidR="00877D9F">
        <w:t>continuing)</w:t>
      </w:r>
      <w:r w:rsidR="00903655">
        <w:t xml:space="preserve"> </w:t>
      </w:r>
      <w:r w:rsidR="00877D9F">
        <w:t xml:space="preserve">international </w:t>
      </w:r>
      <w:r w:rsidR="00903655">
        <w:t>momentum towards releasing the entire 6 GHz band</w:t>
      </w:r>
      <w:r w:rsidR="00877D9F">
        <w:t xml:space="preserve"> for RLAN use</w:t>
      </w:r>
      <w:r w:rsidR="00903655">
        <w:t xml:space="preserve">, </w:t>
      </w:r>
      <w:bookmarkStart w:id="29" w:name="_Hlk83718861"/>
      <w:r w:rsidR="00903655">
        <w:t xml:space="preserve">the </w:t>
      </w:r>
      <w:r w:rsidR="00A56044">
        <w:t xml:space="preserve">ACMA is </w:t>
      </w:r>
      <w:r w:rsidR="00F51D47">
        <w:t>keen to explore</w:t>
      </w:r>
      <w:r w:rsidR="00A56044" w:rsidDel="009B046F">
        <w:t xml:space="preserve"> </w:t>
      </w:r>
      <w:r w:rsidR="00A56044">
        <w:t>further opportunities for RLANs in the upper 6 GHz band</w:t>
      </w:r>
      <w:bookmarkEnd w:id="29"/>
      <w:r w:rsidR="00903655">
        <w:t xml:space="preserve">. However, </w:t>
      </w:r>
      <w:r w:rsidR="00A56044">
        <w:t xml:space="preserve">we are not proposing changes to the LIPD </w:t>
      </w:r>
      <w:r w:rsidR="000A1CDB">
        <w:t xml:space="preserve">Class Licence </w:t>
      </w:r>
      <w:r w:rsidR="00A56044">
        <w:t>to support such use at this time.</w:t>
      </w:r>
    </w:p>
    <w:p w14:paraId="46C70EB2" w14:textId="7E4EDAFC" w:rsidR="007F22BC" w:rsidRDefault="00973F45" w:rsidP="00745264">
      <w:pPr>
        <w:spacing w:before="240"/>
      </w:pPr>
      <w:r>
        <w:t>In this section</w:t>
      </w:r>
      <w:r w:rsidR="00C907CF">
        <w:t>,</w:t>
      </w:r>
      <w:r>
        <w:t xml:space="preserve"> we discuss </w:t>
      </w:r>
      <w:r w:rsidR="00C907CF">
        <w:t xml:space="preserve">potential use of the upper </w:t>
      </w:r>
      <w:r w:rsidR="000A1CDB">
        <w:t xml:space="preserve">6 GHz </w:t>
      </w:r>
      <w:r w:rsidR="00C907CF">
        <w:t xml:space="preserve">band in </w:t>
      </w:r>
      <w:r>
        <w:t>more detail</w:t>
      </w:r>
      <w:r w:rsidR="00C907CF">
        <w:t>.</w:t>
      </w:r>
    </w:p>
    <w:p w14:paraId="44D38E54" w14:textId="643E7E29" w:rsidR="00AF5F00" w:rsidRPr="00AF5F00" w:rsidRDefault="00D01946">
      <w:pPr>
        <w:pStyle w:val="Paragraph"/>
      </w:pPr>
      <w:r w:rsidRPr="0081023C">
        <w:t xml:space="preserve">Internationally, there </w:t>
      </w:r>
      <w:r w:rsidR="00A56044" w:rsidRPr="00F610D2">
        <w:rPr>
          <w:rFonts w:cs="Times New Roman"/>
        </w:rPr>
        <w:t>are</w:t>
      </w:r>
      <w:r w:rsidR="00113950" w:rsidRPr="00F610D2">
        <w:rPr>
          <w:rFonts w:cs="Times New Roman"/>
        </w:rPr>
        <w:t xml:space="preserve"> different approaches being taken by national</w:t>
      </w:r>
      <w:r w:rsidRPr="00F610D2">
        <w:rPr>
          <w:rFonts w:cs="Times New Roman"/>
        </w:rPr>
        <w:t xml:space="preserve"> regulators </w:t>
      </w:r>
      <w:r w:rsidR="00113950" w:rsidRPr="00F610D2">
        <w:rPr>
          <w:rFonts w:cs="Times New Roman"/>
        </w:rPr>
        <w:t xml:space="preserve">in terms of whether they </w:t>
      </w:r>
      <w:r w:rsidR="000A1CDB">
        <w:rPr>
          <w:rFonts w:cs="Times New Roman"/>
        </w:rPr>
        <w:t xml:space="preserve">are </w:t>
      </w:r>
      <w:r w:rsidRPr="00F610D2">
        <w:rPr>
          <w:rFonts w:cs="Times New Roman"/>
        </w:rPr>
        <w:t>proposing</w:t>
      </w:r>
      <w:r w:rsidR="00113950" w:rsidRPr="00F610D2">
        <w:rPr>
          <w:rFonts w:cs="Times New Roman"/>
        </w:rPr>
        <w:t>/</w:t>
      </w:r>
      <w:r w:rsidRPr="00F610D2">
        <w:rPr>
          <w:rFonts w:cs="Times New Roman"/>
        </w:rPr>
        <w:t xml:space="preserve">introducing RLAN </w:t>
      </w:r>
      <w:r w:rsidR="00113950" w:rsidRPr="00F610D2">
        <w:rPr>
          <w:rFonts w:cs="Times New Roman"/>
        </w:rPr>
        <w:t xml:space="preserve">access </w:t>
      </w:r>
      <w:r w:rsidRPr="00F610D2">
        <w:rPr>
          <w:rFonts w:cs="Times New Roman"/>
        </w:rPr>
        <w:t>across the entire</w:t>
      </w:r>
      <w:r w:rsidR="00113950" w:rsidRPr="00F610D2">
        <w:rPr>
          <w:rFonts w:cs="Times New Roman"/>
        </w:rPr>
        <w:t xml:space="preserve"> 6 GHz</w:t>
      </w:r>
      <w:r w:rsidRPr="00F610D2">
        <w:rPr>
          <w:rFonts w:cs="Times New Roman"/>
        </w:rPr>
        <w:t xml:space="preserve"> band, or just the lower </w:t>
      </w:r>
      <w:r w:rsidR="000A1CDB">
        <w:rPr>
          <w:rFonts w:cs="Times New Roman"/>
        </w:rPr>
        <w:t xml:space="preserve">part of the </w:t>
      </w:r>
      <w:r w:rsidRPr="00F610D2">
        <w:rPr>
          <w:rFonts w:cs="Times New Roman"/>
        </w:rPr>
        <w:t xml:space="preserve">band. The </w:t>
      </w:r>
      <w:r w:rsidR="00D2397D">
        <w:rPr>
          <w:rFonts w:cs="Times New Roman"/>
        </w:rPr>
        <w:t>US</w:t>
      </w:r>
      <w:r w:rsidRPr="00F610D2">
        <w:rPr>
          <w:rFonts w:cs="Times New Roman"/>
        </w:rPr>
        <w:t xml:space="preserve"> </w:t>
      </w:r>
      <w:r w:rsidR="00A56044" w:rsidRPr="00F610D2">
        <w:rPr>
          <w:rFonts w:cs="Times New Roman"/>
        </w:rPr>
        <w:t xml:space="preserve">is </w:t>
      </w:r>
      <w:r w:rsidRPr="00F610D2">
        <w:rPr>
          <w:rFonts w:cs="Times New Roman"/>
        </w:rPr>
        <w:t xml:space="preserve">the most </w:t>
      </w:r>
      <w:r w:rsidR="00113950" w:rsidRPr="00F610D2">
        <w:rPr>
          <w:rFonts w:cs="Times New Roman"/>
        </w:rPr>
        <w:t>notable administration</w:t>
      </w:r>
      <w:r w:rsidRPr="00F610D2">
        <w:rPr>
          <w:rFonts w:cs="Times New Roman"/>
        </w:rPr>
        <w:t xml:space="preserve"> to have </w:t>
      </w:r>
      <w:proofErr w:type="gramStart"/>
      <w:r w:rsidR="00113950" w:rsidRPr="00F610D2">
        <w:rPr>
          <w:rFonts w:cs="Times New Roman"/>
        </w:rPr>
        <w:t>made arrangements</w:t>
      </w:r>
      <w:proofErr w:type="gramEnd"/>
      <w:r w:rsidR="00113950" w:rsidRPr="00F610D2">
        <w:rPr>
          <w:rFonts w:cs="Times New Roman"/>
        </w:rPr>
        <w:t xml:space="preserve"> for access to </w:t>
      </w:r>
      <w:r w:rsidRPr="00F610D2">
        <w:rPr>
          <w:rFonts w:cs="Times New Roman"/>
        </w:rPr>
        <w:t xml:space="preserve">the entire </w:t>
      </w:r>
      <w:r w:rsidR="000A1CDB">
        <w:rPr>
          <w:rFonts w:cs="Times New Roman"/>
        </w:rPr>
        <w:t xml:space="preserve">6 GHz </w:t>
      </w:r>
      <w:r w:rsidRPr="00F610D2">
        <w:rPr>
          <w:rFonts w:cs="Times New Roman"/>
        </w:rPr>
        <w:t xml:space="preserve">band, while </w:t>
      </w:r>
      <w:r w:rsidR="0046403C" w:rsidRPr="00F610D2">
        <w:rPr>
          <w:rFonts w:cs="Times New Roman"/>
        </w:rPr>
        <w:t xml:space="preserve">the </w:t>
      </w:r>
      <w:r w:rsidRPr="00F610D2">
        <w:rPr>
          <w:rFonts w:cs="Times New Roman"/>
        </w:rPr>
        <w:t>Europe</w:t>
      </w:r>
      <w:r w:rsidR="0046403C" w:rsidRPr="00F610D2">
        <w:rPr>
          <w:rFonts w:cs="Times New Roman"/>
        </w:rPr>
        <w:t>an block</w:t>
      </w:r>
      <w:r w:rsidRPr="00F610D2">
        <w:rPr>
          <w:rFonts w:cs="Times New Roman"/>
        </w:rPr>
        <w:t xml:space="preserve"> </w:t>
      </w:r>
      <w:r w:rsidR="00E30FA7">
        <w:rPr>
          <w:rFonts w:cs="Times New Roman"/>
        </w:rPr>
        <w:t>is</w:t>
      </w:r>
      <w:r w:rsidRPr="00F610D2">
        <w:rPr>
          <w:rFonts w:cs="Times New Roman"/>
        </w:rPr>
        <w:t xml:space="preserve"> </w:t>
      </w:r>
      <w:r w:rsidR="0046403C" w:rsidRPr="00F610D2">
        <w:rPr>
          <w:rFonts w:cs="Times New Roman"/>
        </w:rPr>
        <w:t>the most significant entity that</w:t>
      </w:r>
      <w:r w:rsidRPr="00F610D2" w:rsidDel="0046403C">
        <w:rPr>
          <w:rFonts w:cs="Times New Roman"/>
        </w:rPr>
        <w:t xml:space="preserve"> </w:t>
      </w:r>
      <w:r w:rsidR="00E30FA7">
        <w:rPr>
          <w:rFonts w:cs="Times New Roman"/>
        </w:rPr>
        <w:t>is</w:t>
      </w:r>
      <w:r w:rsidRPr="00F610D2">
        <w:rPr>
          <w:rFonts w:cs="Times New Roman"/>
        </w:rPr>
        <w:t xml:space="preserve"> only opting for the lower band at this stage.</w:t>
      </w:r>
      <w:r w:rsidRPr="00F610D2" w:rsidDel="0046403C">
        <w:rPr>
          <w:rFonts w:cs="Times New Roman"/>
        </w:rPr>
        <w:t xml:space="preserve"> </w:t>
      </w:r>
      <w:r w:rsidR="00E30FA7">
        <w:rPr>
          <w:rFonts w:cs="Times New Roman"/>
        </w:rPr>
        <w:t>T</w:t>
      </w:r>
      <w:r w:rsidRPr="00F610D2">
        <w:rPr>
          <w:rFonts w:cs="Times New Roman"/>
        </w:rPr>
        <w:t xml:space="preserve">here </w:t>
      </w:r>
      <w:r w:rsidR="0046403C" w:rsidRPr="00F610D2">
        <w:rPr>
          <w:rFonts w:cs="Times New Roman"/>
        </w:rPr>
        <w:t xml:space="preserve">seems to be </w:t>
      </w:r>
      <w:r w:rsidR="00C907CF" w:rsidRPr="00F610D2">
        <w:rPr>
          <w:rFonts w:cs="Times New Roman"/>
        </w:rPr>
        <w:t xml:space="preserve">a fairly even split between those </w:t>
      </w:r>
      <w:r w:rsidR="0046403C" w:rsidRPr="00F610D2">
        <w:rPr>
          <w:rFonts w:cs="Times New Roman"/>
        </w:rPr>
        <w:t xml:space="preserve">considering/authorising </w:t>
      </w:r>
      <w:r w:rsidR="00C907CF" w:rsidRPr="00F610D2">
        <w:rPr>
          <w:rFonts w:cs="Times New Roman"/>
        </w:rPr>
        <w:t xml:space="preserve">the </w:t>
      </w:r>
      <w:r w:rsidR="0046403C" w:rsidRPr="00F610D2">
        <w:rPr>
          <w:rFonts w:cs="Times New Roman"/>
        </w:rPr>
        <w:t xml:space="preserve">entire </w:t>
      </w:r>
      <w:r w:rsidR="00C907CF" w:rsidRPr="00F610D2">
        <w:rPr>
          <w:rFonts w:cs="Times New Roman"/>
        </w:rPr>
        <w:t xml:space="preserve">band, and those </w:t>
      </w:r>
      <w:r w:rsidR="0046403C" w:rsidRPr="00F610D2">
        <w:rPr>
          <w:rFonts w:cs="Times New Roman"/>
        </w:rPr>
        <w:t xml:space="preserve">opting </w:t>
      </w:r>
      <w:r w:rsidR="00C907CF" w:rsidRPr="00F610D2">
        <w:rPr>
          <w:rFonts w:cs="Times New Roman"/>
        </w:rPr>
        <w:t>only</w:t>
      </w:r>
      <w:r w:rsidR="0046403C" w:rsidRPr="00F610D2">
        <w:rPr>
          <w:rFonts w:cs="Times New Roman"/>
        </w:rPr>
        <w:t xml:space="preserve"> for</w:t>
      </w:r>
      <w:r w:rsidR="00C907CF" w:rsidRPr="00F610D2">
        <w:rPr>
          <w:rFonts w:cs="Times New Roman"/>
        </w:rPr>
        <w:t xml:space="preserve"> the lower band</w:t>
      </w:r>
      <w:r w:rsidRPr="00F610D2">
        <w:rPr>
          <w:rFonts w:cs="Times New Roman"/>
        </w:rPr>
        <w:t>.</w:t>
      </w:r>
    </w:p>
    <w:p w14:paraId="24080976" w14:textId="53083000" w:rsidR="007F22BC" w:rsidRDefault="00342052" w:rsidP="00342052">
      <w:pPr>
        <w:pStyle w:val="Heading2"/>
      </w:pPr>
      <w:bookmarkStart w:id="30" w:name="_Toc85119238"/>
      <w:r>
        <w:t xml:space="preserve">IMT in </w:t>
      </w:r>
      <w:r w:rsidR="0046403C">
        <w:t xml:space="preserve">the </w:t>
      </w:r>
      <w:r>
        <w:t xml:space="preserve">upper </w:t>
      </w:r>
      <w:r w:rsidR="0046403C">
        <w:t xml:space="preserve">6 GHz </w:t>
      </w:r>
      <w:r>
        <w:t>band</w:t>
      </w:r>
      <w:bookmarkEnd w:id="30"/>
    </w:p>
    <w:p w14:paraId="31E700C1" w14:textId="480C885B" w:rsidR="00FF09AC" w:rsidRPr="007A214C" w:rsidRDefault="00A742E6" w:rsidP="00D2397D">
      <w:pPr>
        <w:pStyle w:val="Heading3"/>
        <w:rPr>
          <w:u w:val="none"/>
        </w:rPr>
      </w:pPr>
      <w:r w:rsidRPr="007A214C">
        <w:rPr>
          <w:u w:val="none"/>
        </w:rPr>
        <w:t>WRC-23 A</w:t>
      </w:r>
      <w:r w:rsidR="00FF09AC" w:rsidRPr="007A214C">
        <w:rPr>
          <w:u w:val="none"/>
        </w:rPr>
        <w:t>genda item</w:t>
      </w:r>
      <w:r w:rsidRPr="007A214C">
        <w:rPr>
          <w:u w:val="none"/>
        </w:rPr>
        <w:t xml:space="preserve"> 1.2</w:t>
      </w:r>
    </w:p>
    <w:p w14:paraId="7D73D943" w14:textId="7EEF2D42" w:rsidR="00831EA2" w:rsidRDefault="007A21ED" w:rsidP="00FF09AC">
      <w:r>
        <w:t>Agenda item 1.2</w:t>
      </w:r>
      <w:r w:rsidR="003C54C6">
        <w:t xml:space="preserve"> for WRC-23 </w:t>
      </w:r>
      <w:r w:rsidR="00861364">
        <w:t xml:space="preserve">is looking at possible </w:t>
      </w:r>
      <w:r w:rsidR="008A75F5">
        <w:t>identification</w:t>
      </w:r>
      <w:r w:rsidR="001E446A">
        <w:t>s</w:t>
      </w:r>
      <w:r w:rsidR="008A75F5">
        <w:t xml:space="preserve"> </w:t>
      </w:r>
      <w:r w:rsidR="001E446A">
        <w:t xml:space="preserve">for IMT in </w:t>
      </w:r>
      <w:r w:rsidR="008A75F5">
        <w:t xml:space="preserve">additional bands, including </w:t>
      </w:r>
      <w:r w:rsidR="00861364">
        <w:t xml:space="preserve">the </w:t>
      </w:r>
      <w:r w:rsidR="00896239">
        <w:t xml:space="preserve">entire upper </w:t>
      </w:r>
      <w:r w:rsidR="008A75F5">
        <w:t xml:space="preserve">6 GHz </w:t>
      </w:r>
      <w:r w:rsidR="00896239">
        <w:t>band (</w:t>
      </w:r>
      <w:r w:rsidR="001E446A">
        <w:t xml:space="preserve">in </w:t>
      </w:r>
      <w:r w:rsidR="00896239">
        <w:t xml:space="preserve">ITU Region 1) </w:t>
      </w:r>
      <w:r w:rsidR="00F43E69">
        <w:t xml:space="preserve">and for the </w:t>
      </w:r>
      <w:r w:rsidR="001E446A">
        <w:t>upper</w:t>
      </w:r>
      <w:r w:rsidR="00903655">
        <w:t xml:space="preserve"> 100</w:t>
      </w:r>
      <w:r w:rsidR="001E446A">
        <w:t> </w:t>
      </w:r>
      <w:r w:rsidR="00F43E69">
        <w:t>MHz</w:t>
      </w:r>
      <w:r w:rsidR="009D38B0">
        <w:t xml:space="preserve"> </w:t>
      </w:r>
      <w:r w:rsidR="008A75F5">
        <w:t xml:space="preserve">of the band </w:t>
      </w:r>
      <w:r w:rsidR="009D38B0">
        <w:t>(</w:t>
      </w:r>
      <w:r w:rsidR="001E446A">
        <w:t>all regions</w:t>
      </w:r>
      <w:r w:rsidR="009D38B0">
        <w:t xml:space="preserve">). </w:t>
      </w:r>
      <w:r w:rsidR="005C1F30">
        <w:t>W</w:t>
      </w:r>
      <w:r w:rsidR="009D38B0">
        <w:t xml:space="preserve">hile </w:t>
      </w:r>
      <w:r w:rsidR="004D3135">
        <w:t>the</w:t>
      </w:r>
      <w:r w:rsidR="000C4671">
        <w:t xml:space="preserve"> more significant part of this agenda item is</w:t>
      </w:r>
      <w:r w:rsidR="004D3135">
        <w:t xml:space="preserve"> </w:t>
      </w:r>
      <w:r w:rsidR="009D38B0">
        <w:t xml:space="preserve">not </w:t>
      </w:r>
      <w:r w:rsidR="005C1F30">
        <w:t xml:space="preserve">directly applicable </w:t>
      </w:r>
      <w:r w:rsidR="00A73B3C">
        <w:t>to Australia (</w:t>
      </w:r>
      <w:r w:rsidR="0045484C">
        <w:t xml:space="preserve">being in </w:t>
      </w:r>
      <w:r w:rsidR="00A73B3C">
        <w:t>Region 3</w:t>
      </w:r>
      <w:r w:rsidR="004D3135">
        <w:t>)</w:t>
      </w:r>
      <w:r w:rsidR="00831EA2">
        <w:t xml:space="preserve">, </w:t>
      </w:r>
      <w:r w:rsidR="000C4671">
        <w:t xml:space="preserve">the </w:t>
      </w:r>
      <w:r w:rsidR="005C1F30">
        <w:t>outcomes could lead to</w:t>
      </w:r>
      <w:r w:rsidR="00831EA2">
        <w:t xml:space="preserve"> future </w:t>
      </w:r>
      <w:r w:rsidR="00A56044">
        <w:t xml:space="preserve">interest </w:t>
      </w:r>
      <w:r w:rsidR="00E30FA7">
        <w:t>in</w:t>
      </w:r>
      <w:r w:rsidR="00831EA2">
        <w:t xml:space="preserve"> IMT </w:t>
      </w:r>
      <w:r w:rsidR="005C1F30">
        <w:t>use</w:t>
      </w:r>
      <w:r w:rsidR="00831EA2">
        <w:t xml:space="preserve"> in the upper band</w:t>
      </w:r>
      <w:r w:rsidR="005C1F30">
        <w:t>, including development of economies of scale for 5G equipment</w:t>
      </w:r>
      <w:r w:rsidR="00831EA2" w:rsidDel="005C1F30">
        <w:t>.</w:t>
      </w:r>
    </w:p>
    <w:p w14:paraId="093257CA" w14:textId="12E26BB6" w:rsidR="00BF213C" w:rsidRDefault="00707740" w:rsidP="007A214C">
      <w:pPr>
        <w:pStyle w:val="Paragraphbeforelist"/>
      </w:pPr>
      <w:r>
        <w:t xml:space="preserve">The </w:t>
      </w:r>
      <w:r w:rsidR="004A4F31">
        <w:t xml:space="preserve">ongoing nature </w:t>
      </w:r>
      <w:r>
        <w:t xml:space="preserve">of </w:t>
      </w:r>
      <w:r w:rsidR="004A4F31">
        <w:t xml:space="preserve">studies under </w:t>
      </w:r>
      <w:r>
        <w:t>this agenda item</w:t>
      </w:r>
      <w:r w:rsidR="004A4F31">
        <w:t xml:space="preserve"> and lack of </w:t>
      </w:r>
      <w:r w:rsidR="00E30FA7">
        <w:t xml:space="preserve">a </w:t>
      </w:r>
      <w:r w:rsidR="004A4F31">
        <w:t xml:space="preserve">formal resolution until WRC-23 </w:t>
      </w:r>
      <w:r w:rsidR="00E30FA7">
        <w:t>are</w:t>
      </w:r>
      <w:r w:rsidR="00486A24">
        <w:t xml:space="preserve">, arguably, reasons </w:t>
      </w:r>
      <w:r>
        <w:t xml:space="preserve">for holding off on making </w:t>
      </w:r>
      <w:r w:rsidR="004A4F31">
        <w:t xml:space="preserve">any </w:t>
      </w:r>
      <w:r w:rsidR="002602D4">
        <w:t>decisions</w:t>
      </w:r>
      <w:r>
        <w:t xml:space="preserve"> on </w:t>
      </w:r>
      <w:r w:rsidR="004A4F31">
        <w:t xml:space="preserve">the </w:t>
      </w:r>
      <w:r>
        <w:t xml:space="preserve">future use of the upper 6 GHz band. </w:t>
      </w:r>
      <w:r w:rsidR="008A235B">
        <w:t xml:space="preserve">However, it should be noted that </w:t>
      </w:r>
      <w:r w:rsidR="00E50555">
        <w:t>an</w:t>
      </w:r>
      <w:r w:rsidR="002245A6">
        <w:t>y</w:t>
      </w:r>
      <w:r w:rsidR="00E50555">
        <w:t xml:space="preserve"> </w:t>
      </w:r>
      <w:r w:rsidR="008A75F5">
        <w:t xml:space="preserve">identification under this </w:t>
      </w:r>
      <w:r w:rsidR="00C61415">
        <w:t>item:</w:t>
      </w:r>
    </w:p>
    <w:p w14:paraId="7CAD8495" w14:textId="14831EA7" w:rsidR="00C61415" w:rsidRDefault="00C61415" w:rsidP="007A214C">
      <w:pPr>
        <w:pStyle w:val="Bulletlevel1"/>
      </w:pPr>
      <w:r>
        <w:t>is not guaranteed</w:t>
      </w:r>
    </w:p>
    <w:p w14:paraId="56C73358" w14:textId="3C82293F" w:rsidR="00C61415" w:rsidRDefault="00C61415" w:rsidP="007A214C">
      <w:pPr>
        <w:pStyle w:val="Bulletlevel1"/>
      </w:pPr>
      <w:r>
        <w:t xml:space="preserve">is </w:t>
      </w:r>
      <w:r w:rsidR="00F27A31">
        <w:t xml:space="preserve">only directly relevant to Australia (Region 3) </w:t>
      </w:r>
      <w:r w:rsidR="004A4F31">
        <w:t xml:space="preserve">in </w:t>
      </w:r>
      <w:r w:rsidR="00F27A31">
        <w:t xml:space="preserve">the </w:t>
      </w:r>
      <w:r w:rsidR="004A4F31">
        <w:t xml:space="preserve">upper </w:t>
      </w:r>
      <w:r w:rsidR="00F27A31">
        <w:t>100 MHz</w:t>
      </w:r>
      <w:r w:rsidR="004A4F31">
        <w:t xml:space="preserve"> of the band</w:t>
      </w:r>
    </w:p>
    <w:p w14:paraId="791A633F" w14:textId="4BD8FD0E" w:rsidR="00F27A31" w:rsidRDefault="002245A6" w:rsidP="007A214C">
      <w:pPr>
        <w:pStyle w:val="Bulletlevel1"/>
      </w:pPr>
      <w:r>
        <w:t>would not occur for several years</w:t>
      </w:r>
    </w:p>
    <w:p w14:paraId="389887E1" w14:textId="0EA79D30" w:rsidR="002245A6" w:rsidRDefault="002245A6" w:rsidP="007A214C">
      <w:pPr>
        <w:pStyle w:val="Bulletlevel1"/>
      </w:pPr>
      <w:r>
        <w:t>does no</w:t>
      </w:r>
      <w:r w:rsidR="003B420C">
        <w:t>t guar</w:t>
      </w:r>
      <w:r w:rsidR="0081496E">
        <w:t>antee that the band would be</w:t>
      </w:r>
      <w:r w:rsidR="00A67C29">
        <w:t xml:space="preserve"> </w:t>
      </w:r>
      <w:r w:rsidR="00FE65A6">
        <w:t xml:space="preserve">widely </w:t>
      </w:r>
      <w:r w:rsidR="0081496E">
        <w:t>allocated to IMT</w:t>
      </w:r>
      <w:r w:rsidR="00FE65A6">
        <w:t>, even within Region 1</w:t>
      </w:r>
    </w:p>
    <w:p w14:paraId="5ABCDA63" w14:textId="134AE748" w:rsidR="00A56044" w:rsidRDefault="00486A24" w:rsidP="007A214C">
      <w:pPr>
        <w:pStyle w:val="Bulletlevel1last"/>
      </w:pPr>
      <w:r>
        <w:lastRenderedPageBreak/>
        <w:t xml:space="preserve">would not oblige Australia to follow, </w:t>
      </w:r>
      <w:r w:rsidR="00A56044">
        <w:t>even if the band becomes used for IMT on a significant scale</w:t>
      </w:r>
      <w:r>
        <w:t>.</w:t>
      </w:r>
      <w:r w:rsidR="00A56044">
        <w:t xml:space="preserve"> </w:t>
      </w:r>
    </w:p>
    <w:p w14:paraId="4D56CBB0" w14:textId="1D84E345" w:rsidR="00FE65A6" w:rsidRPr="00FF09AC" w:rsidRDefault="007B67E0" w:rsidP="00FE65A6">
      <w:r>
        <w:t>We do</w:t>
      </w:r>
      <w:r w:rsidR="00794A53">
        <w:t xml:space="preserve"> not consider </w:t>
      </w:r>
      <w:r w:rsidR="00FE65A6">
        <w:t xml:space="preserve">that </w:t>
      </w:r>
      <w:r w:rsidR="00B455DF">
        <w:t>WRC-23 agenda item 1.2</w:t>
      </w:r>
      <w:r w:rsidR="00306BD7">
        <w:t xml:space="preserve"> is a </w:t>
      </w:r>
      <w:r w:rsidR="00B455DF">
        <w:t xml:space="preserve">sufficient </w:t>
      </w:r>
      <w:r w:rsidR="00306BD7">
        <w:t xml:space="preserve">reason </w:t>
      </w:r>
      <w:r w:rsidR="00B455DF">
        <w:t>to delay</w:t>
      </w:r>
      <w:r w:rsidR="000E1C55">
        <w:t xml:space="preserve"> a decision on </w:t>
      </w:r>
      <w:r w:rsidR="00306BD7">
        <w:t>the</w:t>
      </w:r>
      <w:r w:rsidR="00794A53">
        <w:t xml:space="preserve"> upper</w:t>
      </w:r>
      <w:r w:rsidR="00306BD7">
        <w:t xml:space="preserve"> 6 GHz band</w:t>
      </w:r>
      <w:r w:rsidR="00B455DF">
        <w:t xml:space="preserve"> – indeed</w:t>
      </w:r>
      <w:r w:rsidR="00D2397D">
        <w:t>,</w:t>
      </w:r>
      <w:r w:rsidR="00B455DF">
        <w:t xml:space="preserve"> how other major international jurisdictions choose to use the band will provide a better gauge than studies under/outcomes of that agenda item</w:t>
      </w:r>
      <w:r w:rsidR="00041309">
        <w:t xml:space="preserve">. </w:t>
      </w:r>
      <w:r w:rsidR="00903655">
        <w:t>A</w:t>
      </w:r>
      <w:r w:rsidR="00B455DF">
        <w:t xml:space="preserve">lthough further consideration </w:t>
      </w:r>
      <w:r w:rsidR="009B046F">
        <w:t xml:space="preserve">will be given </w:t>
      </w:r>
      <w:r w:rsidR="00B455DF">
        <w:t xml:space="preserve">before making any decisions on the upper band, we do not </w:t>
      </w:r>
      <w:r w:rsidR="00A56044">
        <w:t xml:space="preserve">currently </w:t>
      </w:r>
      <w:r w:rsidR="00B455DF">
        <w:t>intend to wait for WRC-23 outcomes</w:t>
      </w:r>
      <w:r w:rsidR="00A56044">
        <w:t xml:space="preserve"> and any subsequent global adoption</w:t>
      </w:r>
      <w:r w:rsidR="00B455DF">
        <w:t>.</w:t>
      </w:r>
      <w:r w:rsidR="00B455DF" w:rsidDel="00B455DF">
        <w:t xml:space="preserve"> </w:t>
      </w:r>
    </w:p>
    <w:p w14:paraId="7CEECE29" w14:textId="77777777" w:rsidR="003D4744" w:rsidRPr="007A214C" w:rsidRDefault="003D4744" w:rsidP="003D4744">
      <w:pPr>
        <w:pStyle w:val="Heading3"/>
        <w:rPr>
          <w:u w:val="none"/>
        </w:rPr>
      </w:pPr>
      <w:r w:rsidRPr="007A214C">
        <w:rPr>
          <w:u w:val="none"/>
        </w:rPr>
        <w:t>IMT sharing with other services</w:t>
      </w:r>
    </w:p>
    <w:p w14:paraId="09E0C087" w14:textId="4C03B64E" w:rsidR="002504BB" w:rsidRDefault="00B455DF" w:rsidP="003D4744">
      <w:r>
        <w:t xml:space="preserve">An </w:t>
      </w:r>
      <w:r w:rsidR="009E41E4">
        <w:t>introduction of IMT</w:t>
      </w:r>
      <w:r>
        <w:t xml:space="preserve"> services</w:t>
      </w:r>
      <w:r w:rsidR="009E41E4">
        <w:t xml:space="preserve"> into the upper band would require IMT to share with</w:t>
      </w:r>
      <w:r w:rsidR="00DC4A59">
        <w:t xml:space="preserve"> incumbent services</w:t>
      </w:r>
      <w:r w:rsidR="00AA3A7D">
        <w:t xml:space="preserve">. </w:t>
      </w:r>
      <w:r>
        <w:t xml:space="preserve">In </w:t>
      </w:r>
      <w:r w:rsidR="003156B6">
        <w:t>t</w:t>
      </w:r>
      <w:r w:rsidR="009B2F9F">
        <w:t>he</w:t>
      </w:r>
      <w:r w:rsidR="009E41E4">
        <w:t xml:space="preserve"> </w:t>
      </w:r>
      <w:r w:rsidR="006D1BC8">
        <w:t>US</w:t>
      </w:r>
      <w:r>
        <w:t>, it was</w:t>
      </w:r>
      <w:r w:rsidR="00A85330">
        <w:t xml:space="preserve"> decided </w:t>
      </w:r>
      <w:r>
        <w:t>that</w:t>
      </w:r>
      <w:r w:rsidR="008269DA">
        <w:t xml:space="preserve"> the upper band </w:t>
      </w:r>
      <w:r>
        <w:t xml:space="preserve">would not be made available </w:t>
      </w:r>
      <w:r w:rsidR="008269DA">
        <w:t xml:space="preserve">for IMT as it would require </w:t>
      </w:r>
      <w:r w:rsidR="005A49E0">
        <w:t>the band to be cleared of incumbent fixed services</w:t>
      </w:r>
      <w:r w:rsidR="00A058A7">
        <w:t>.</w:t>
      </w:r>
      <w:r w:rsidR="005A49E0">
        <w:t xml:space="preserve"> </w:t>
      </w:r>
      <w:r w:rsidR="00C22D7B">
        <w:t xml:space="preserve">Responses </w:t>
      </w:r>
      <w:r w:rsidR="002504BB">
        <w:t xml:space="preserve">to our previous consultation </w:t>
      </w:r>
      <w:r w:rsidR="00C22D7B">
        <w:t xml:space="preserve">from the satellite industry indicated that </w:t>
      </w:r>
      <w:r w:rsidR="009F3A47">
        <w:t>although they have some opposition to RLAN</w:t>
      </w:r>
      <w:r>
        <w:t>s</w:t>
      </w:r>
      <w:r w:rsidR="009F3A47">
        <w:t xml:space="preserve"> in the upper band, </w:t>
      </w:r>
      <w:r w:rsidR="002504BB">
        <w:t xml:space="preserve">the use of </w:t>
      </w:r>
      <w:r w:rsidR="009F3A47">
        <w:t xml:space="preserve">IMT in that band would be more </w:t>
      </w:r>
      <w:r>
        <w:t xml:space="preserve">strongly opposed, noting that some </w:t>
      </w:r>
      <w:r w:rsidR="006E33B9">
        <w:t>ITU studies</w:t>
      </w:r>
      <w:r w:rsidR="00E320B3">
        <w:rPr>
          <w:rStyle w:val="FootnoteReference"/>
        </w:rPr>
        <w:footnoteReference w:id="6"/>
      </w:r>
      <w:r w:rsidR="006E33B9">
        <w:t xml:space="preserve"> indicate </w:t>
      </w:r>
      <w:r w:rsidR="00E320B3">
        <w:t>that in frequency bands close to 6 GHz</w:t>
      </w:r>
      <w:r w:rsidR="006D1BC8">
        <w:t>,</w:t>
      </w:r>
      <w:r w:rsidR="00E320B3">
        <w:t xml:space="preserve"> </w:t>
      </w:r>
      <w:r w:rsidR="000A1CDB">
        <w:t xml:space="preserve">there is </w:t>
      </w:r>
      <w:r w:rsidR="006E33B9">
        <w:t>likely difficulty in sharing between satellite and IMT services.</w:t>
      </w:r>
    </w:p>
    <w:p w14:paraId="0E359BE8" w14:textId="3D16227D" w:rsidR="00AF14B6" w:rsidRPr="007859E7" w:rsidRDefault="00B455DF" w:rsidP="003D4744">
      <w:r>
        <w:t>R</w:t>
      </w:r>
      <w:r w:rsidR="00AF14B6">
        <w:t xml:space="preserve">elevant </w:t>
      </w:r>
      <w:r w:rsidR="000A1CDB">
        <w:t xml:space="preserve">ITU </w:t>
      </w:r>
      <w:r w:rsidR="00AF14B6">
        <w:t xml:space="preserve">sharing studies regarding IMT in the upper band, </w:t>
      </w:r>
      <w:r>
        <w:t>including</w:t>
      </w:r>
      <w:r w:rsidR="00AF14B6">
        <w:t xml:space="preserve"> those that come out of agenda item 1.2,</w:t>
      </w:r>
      <w:r>
        <w:t xml:space="preserve"> will be considered in determining whether spectrum in the upper band might be made available for</w:t>
      </w:r>
      <w:r w:rsidR="00AF14B6" w:rsidDel="00B455DF">
        <w:t xml:space="preserve"> </w:t>
      </w:r>
      <w:r w:rsidR="00AF14B6">
        <w:t>IMT use.</w:t>
      </w:r>
    </w:p>
    <w:p w14:paraId="28730EF1" w14:textId="2D6B994E" w:rsidR="00342052" w:rsidRPr="0015630D" w:rsidRDefault="00342052" w:rsidP="00342052">
      <w:pPr>
        <w:pStyle w:val="Heading3"/>
        <w:rPr>
          <w:u w:val="none"/>
        </w:rPr>
      </w:pPr>
      <w:r w:rsidRPr="0015630D">
        <w:rPr>
          <w:u w:val="none"/>
        </w:rPr>
        <w:t>IMT sharing with RLAN</w:t>
      </w:r>
    </w:p>
    <w:p w14:paraId="62FC24AA" w14:textId="651BC4B8" w:rsidR="00043581" w:rsidRDefault="00957D04" w:rsidP="00342052">
      <w:r>
        <w:t>One consultation response suggested</w:t>
      </w:r>
      <w:r w:rsidR="005E09E1">
        <w:t xml:space="preserve"> that b</w:t>
      </w:r>
      <w:r w:rsidR="0081745C">
        <w:t xml:space="preserve">y </w:t>
      </w:r>
      <w:r>
        <w:t xml:space="preserve">allowing </w:t>
      </w:r>
      <w:r w:rsidR="0081745C">
        <w:t xml:space="preserve">only lower power </w:t>
      </w:r>
      <w:r w:rsidR="00FB0B5E">
        <w:t xml:space="preserve">RLAN </w:t>
      </w:r>
      <w:r w:rsidR="0081745C">
        <w:t>devices in the upper band</w:t>
      </w:r>
      <w:r>
        <w:t xml:space="preserve">, in conjunction with specification of </w:t>
      </w:r>
      <w:r w:rsidR="0081745C">
        <w:t xml:space="preserve">an appropriate </w:t>
      </w:r>
      <w:r w:rsidR="001D10F2">
        <w:t>co</w:t>
      </w:r>
      <w:r w:rsidR="00A3270F">
        <w:t>ordination</w:t>
      </w:r>
      <w:r w:rsidR="0081745C">
        <w:t xml:space="preserve"> system, </w:t>
      </w:r>
      <w:r w:rsidR="005E09E1">
        <w:t xml:space="preserve">the upper band </w:t>
      </w:r>
      <w:r w:rsidR="00963456">
        <w:t xml:space="preserve">– or part of it – </w:t>
      </w:r>
      <w:r w:rsidR="005E09E1">
        <w:t xml:space="preserve">could be </w:t>
      </w:r>
      <w:r w:rsidR="00FB0B5E">
        <w:t>used for both RLAN and IMT services.</w:t>
      </w:r>
      <w:r w:rsidR="00DF274B">
        <w:t xml:space="preserve"> </w:t>
      </w:r>
    </w:p>
    <w:p w14:paraId="5294D672" w14:textId="7E7831F8" w:rsidR="00603B44" w:rsidRDefault="00843491" w:rsidP="00603B44">
      <w:r>
        <w:t>Whil</w:t>
      </w:r>
      <w:r w:rsidR="0002532D">
        <w:t xml:space="preserve">e </w:t>
      </w:r>
      <w:r w:rsidR="00893489">
        <w:t xml:space="preserve">it may be possible to implement sharing models that would enable the co-existence – to some extent – of RLAN, IMT, and all existing services in the upper band, </w:t>
      </w:r>
      <w:r w:rsidR="009873DB">
        <w:t>the</w:t>
      </w:r>
      <w:r w:rsidR="00893489">
        <w:t>re has not been sufficient work done at this stage to understand exactly how such a model would work</w:t>
      </w:r>
      <w:r w:rsidR="00603B44">
        <w:t>, if indeed it could</w:t>
      </w:r>
      <w:r w:rsidR="00893489">
        <w:t>.</w:t>
      </w:r>
      <w:r w:rsidR="0012331E">
        <w:t xml:space="preserve"> </w:t>
      </w:r>
      <w:r w:rsidR="00893489">
        <w:t>I</w:t>
      </w:r>
      <w:r w:rsidR="009873DB">
        <w:t xml:space="preserve">t is not intended that </w:t>
      </w:r>
      <w:r w:rsidR="0012331E">
        <w:t>operation of any service</w:t>
      </w:r>
      <w:r w:rsidR="00AA4B16">
        <w:t xml:space="preserve"> in the upper band </w:t>
      </w:r>
      <w:r w:rsidR="003D11CF">
        <w:t xml:space="preserve">would </w:t>
      </w:r>
      <w:r w:rsidR="009873DB">
        <w:t xml:space="preserve">be restricted on a contingency basis for possible future </w:t>
      </w:r>
      <w:r w:rsidR="00AA4B16">
        <w:t>s</w:t>
      </w:r>
      <w:r w:rsidR="00C36A85">
        <w:t xml:space="preserve">haring with </w:t>
      </w:r>
      <w:r w:rsidR="0078578A">
        <w:t>other services</w:t>
      </w:r>
      <w:r w:rsidR="00025F71">
        <w:t xml:space="preserve"> </w:t>
      </w:r>
      <w:r w:rsidR="009873DB">
        <w:t>that</w:t>
      </w:r>
      <w:r w:rsidR="0078578A">
        <w:t xml:space="preserve"> ma</w:t>
      </w:r>
      <w:r w:rsidR="00025F71">
        <w:t xml:space="preserve">y or may not </w:t>
      </w:r>
      <w:r w:rsidR="00AA4B16">
        <w:t>be introduced</w:t>
      </w:r>
      <w:r w:rsidR="00DC1E8E">
        <w:t xml:space="preserve">. </w:t>
      </w:r>
      <w:r w:rsidR="00A92163">
        <w:t xml:space="preserve">In making any decision to accommodate multiple services on a shared basis, </w:t>
      </w:r>
      <w:r w:rsidR="00F773AF">
        <w:t xml:space="preserve">the ACMA </w:t>
      </w:r>
      <w:r w:rsidR="0078578A">
        <w:t xml:space="preserve">would </w:t>
      </w:r>
      <w:r w:rsidR="00A92163">
        <w:t xml:space="preserve">closely examine </w:t>
      </w:r>
      <w:r w:rsidR="00F773AF">
        <w:t>how</w:t>
      </w:r>
      <w:r w:rsidR="008F1682">
        <w:t xml:space="preserve"> </w:t>
      </w:r>
      <w:r w:rsidR="00893489">
        <w:t>the overall</w:t>
      </w:r>
      <w:r w:rsidR="008F1682">
        <w:t xml:space="preserve"> </w:t>
      </w:r>
      <w:r w:rsidR="00181F6F">
        <w:t>shared</w:t>
      </w:r>
      <w:r w:rsidR="009B38A3">
        <w:t xml:space="preserve"> </w:t>
      </w:r>
      <w:r w:rsidR="00181F6F">
        <w:t>arrangement would look (</w:t>
      </w:r>
      <w:r w:rsidR="006D1BC8">
        <w:t>for example</w:t>
      </w:r>
      <w:r w:rsidR="003156B6">
        <w:t>,</w:t>
      </w:r>
      <w:r w:rsidR="00487CD8">
        <w:t xml:space="preserve"> b</w:t>
      </w:r>
      <w:r w:rsidR="00067476">
        <w:t>y</w:t>
      </w:r>
      <w:r w:rsidR="00487CD8">
        <w:t xml:space="preserve"> referring to</w:t>
      </w:r>
      <w:r w:rsidR="00181F6F">
        <w:t xml:space="preserve"> </w:t>
      </w:r>
      <w:r w:rsidR="007D4F6B">
        <w:t>international proposals</w:t>
      </w:r>
      <w:r w:rsidR="00487CD8">
        <w:t>/examples and/</w:t>
      </w:r>
      <w:r w:rsidR="00756677">
        <w:t>or sharing studies</w:t>
      </w:r>
      <w:r w:rsidR="00487CD8">
        <w:t xml:space="preserve"> carried out elsewhere or by the ACMA</w:t>
      </w:r>
      <w:r w:rsidR="00756677">
        <w:t>)</w:t>
      </w:r>
      <w:r w:rsidR="00487CD8">
        <w:t>.</w:t>
      </w:r>
      <w:r w:rsidR="009B046F">
        <w:t xml:space="preserve"> </w:t>
      </w:r>
      <w:r w:rsidR="008F2C87">
        <w:t>S</w:t>
      </w:r>
      <w:r w:rsidR="00603B44">
        <w:t>uch arrangement</w:t>
      </w:r>
      <w:r w:rsidR="008F2C87">
        <w:t>s</w:t>
      </w:r>
      <w:r w:rsidR="00603B44">
        <w:t xml:space="preserve"> </w:t>
      </w:r>
      <w:r w:rsidR="008F2C87">
        <w:t xml:space="preserve">may </w:t>
      </w:r>
      <w:r w:rsidR="00603B44">
        <w:t xml:space="preserve">also </w:t>
      </w:r>
      <w:r w:rsidR="008F2C87">
        <w:t xml:space="preserve">make use </w:t>
      </w:r>
      <w:r w:rsidR="00603B44">
        <w:t xml:space="preserve">of </w:t>
      </w:r>
      <w:r w:rsidR="008F2C87">
        <w:t xml:space="preserve">a </w:t>
      </w:r>
      <w:r w:rsidR="00603B44">
        <w:t>system-level coordination process – for example, something similar to an automatic frequency control (AFC) system (discussed later).</w:t>
      </w:r>
    </w:p>
    <w:p w14:paraId="052F65BF" w14:textId="6421E8E8" w:rsidR="00D11757" w:rsidRDefault="009B046F" w:rsidP="00342052">
      <w:r>
        <w:t>T</w:t>
      </w:r>
      <w:r w:rsidR="00D11757">
        <w:t>he ACMA notes that in the past</w:t>
      </w:r>
      <w:r w:rsidR="00486A24">
        <w:t>,</w:t>
      </w:r>
      <w:r w:rsidR="00D11757">
        <w:t xml:space="preserve"> wireless broadband operators, especially those authorised by spectrum licences, have </w:t>
      </w:r>
      <w:r>
        <w:t>expressed</w:t>
      </w:r>
      <w:r w:rsidR="00D11757">
        <w:t xml:space="preserve"> reservations about sharing spectrum with class</w:t>
      </w:r>
      <w:r w:rsidR="00611CC0">
        <w:t>-</w:t>
      </w:r>
      <w:r w:rsidR="00D11757">
        <w:t xml:space="preserve">licensed devices. </w:t>
      </w:r>
      <w:r w:rsidR="00603B44">
        <w:t>I</w:t>
      </w:r>
      <w:r w:rsidR="00D11757">
        <w:t>n some case</w:t>
      </w:r>
      <w:r w:rsidR="00603B44">
        <w:t>s</w:t>
      </w:r>
      <w:r w:rsidR="008C638C">
        <w:t>,</w:t>
      </w:r>
      <w:r w:rsidR="00D11757">
        <w:t xml:space="preserve"> the ACMA has made decisions along these lines on the basis that coexistence was achievable</w:t>
      </w:r>
      <w:r w:rsidR="00603B44">
        <w:t xml:space="preserve">. Sharing </w:t>
      </w:r>
      <w:r w:rsidR="009A3703">
        <w:t>between</w:t>
      </w:r>
      <w:r w:rsidR="00603B44">
        <w:t xml:space="preserve"> RLAN</w:t>
      </w:r>
      <w:r w:rsidR="009A3703">
        <w:t xml:space="preserve"> (</w:t>
      </w:r>
      <w:r w:rsidR="00963456">
        <w:t>or similar</w:t>
      </w:r>
      <w:r w:rsidR="009A3703">
        <w:t>)</w:t>
      </w:r>
      <w:r w:rsidR="00603B44">
        <w:t xml:space="preserve"> systems </w:t>
      </w:r>
      <w:r w:rsidR="009A3703">
        <w:t>and</w:t>
      </w:r>
      <w:r w:rsidR="00603B44">
        <w:t xml:space="preserve"> </w:t>
      </w:r>
      <w:r w:rsidR="009A3703">
        <w:t xml:space="preserve">wide-area </w:t>
      </w:r>
      <w:r w:rsidR="00603B44">
        <w:t>wireless broadband services, regardless of the technical model</w:t>
      </w:r>
      <w:r w:rsidR="009A3703">
        <w:t>,</w:t>
      </w:r>
      <w:r w:rsidR="00603B44">
        <w:t xml:space="preserve"> could create new precedents and opportunities in other circumstances (</w:t>
      </w:r>
      <w:r w:rsidR="009A3703">
        <w:t>although we would</w:t>
      </w:r>
      <w:r w:rsidR="00603B44">
        <w:t xml:space="preserve"> of course need to carefully consider</w:t>
      </w:r>
      <w:r w:rsidR="009A3703">
        <w:t xml:space="preserve"> such opportunities</w:t>
      </w:r>
      <w:r w:rsidR="00603B44">
        <w:t xml:space="preserve"> on a case</w:t>
      </w:r>
      <w:r w:rsidR="00963456">
        <w:t>-</w:t>
      </w:r>
      <w:r w:rsidR="00603B44">
        <w:t>by</w:t>
      </w:r>
      <w:r w:rsidR="00963456">
        <w:t>-</w:t>
      </w:r>
      <w:r w:rsidR="00603B44">
        <w:t>case basis).</w:t>
      </w:r>
    </w:p>
    <w:p w14:paraId="5A2252EE" w14:textId="2CB8B30C" w:rsidR="00B37734" w:rsidRDefault="008F2C87" w:rsidP="0015630D">
      <w:pPr>
        <w:pStyle w:val="Heading2"/>
      </w:pPr>
      <w:bookmarkStart w:id="31" w:name="_Toc85119239"/>
      <w:r w:rsidRPr="00402460">
        <w:lastRenderedPageBreak/>
        <w:t xml:space="preserve">High power </w:t>
      </w:r>
      <w:r w:rsidR="00D11757" w:rsidRPr="00402460">
        <w:t>R</w:t>
      </w:r>
      <w:r w:rsidR="00D11757" w:rsidRPr="006D1BC8">
        <w:t>LANs</w:t>
      </w:r>
      <w:bookmarkEnd w:id="31"/>
    </w:p>
    <w:p w14:paraId="719B32DC" w14:textId="40E2C198" w:rsidR="00D87D0C" w:rsidRPr="0015630D" w:rsidRDefault="00AD2935" w:rsidP="00410F41">
      <w:pPr>
        <w:pStyle w:val="Heading3"/>
        <w:rPr>
          <w:u w:val="none"/>
        </w:rPr>
      </w:pPr>
      <w:r w:rsidRPr="0015630D">
        <w:rPr>
          <w:u w:val="none"/>
        </w:rPr>
        <w:t>Class</w:t>
      </w:r>
      <w:r w:rsidR="008F2C87" w:rsidRPr="0015630D">
        <w:rPr>
          <w:u w:val="none"/>
        </w:rPr>
        <w:t xml:space="preserve"> licensing</w:t>
      </w:r>
    </w:p>
    <w:p w14:paraId="3E64E4A1" w14:textId="1E1AD7A8" w:rsidR="00410F41" w:rsidRDefault="008E4B6A" w:rsidP="00410F41">
      <w:r>
        <w:t xml:space="preserve">If the upper </w:t>
      </w:r>
      <w:r w:rsidR="00F773AF">
        <w:t xml:space="preserve">band </w:t>
      </w:r>
      <w:r w:rsidR="003D11CF">
        <w:t>were to be made available</w:t>
      </w:r>
      <w:r w:rsidR="00D57163">
        <w:t xml:space="preserve"> for RLAN</w:t>
      </w:r>
      <w:r w:rsidR="003D11CF">
        <w:t xml:space="preserve"> use</w:t>
      </w:r>
      <w:r w:rsidR="00D57163">
        <w:t xml:space="preserve">, </w:t>
      </w:r>
      <w:r w:rsidR="003D11CF">
        <w:t xml:space="preserve">a </w:t>
      </w:r>
      <w:r w:rsidR="00D57163">
        <w:t xml:space="preserve">starting point </w:t>
      </w:r>
      <w:r w:rsidR="003D11CF">
        <w:t xml:space="preserve">for device operating requirements </w:t>
      </w:r>
      <w:r w:rsidR="00D57163">
        <w:t xml:space="preserve">would be </w:t>
      </w:r>
      <w:r w:rsidR="003D11CF">
        <w:t xml:space="preserve">simply </w:t>
      </w:r>
      <w:r w:rsidR="00AD2935">
        <w:t xml:space="preserve">extending the frequency range </w:t>
      </w:r>
      <w:r w:rsidR="003D11CF">
        <w:t xml:space="preserve">upwards </w:t>
      </w:r>
      <w:r w:rsidR="00F773AF">
        <w:t xml:space="preserve">for </w:t>
      </w:r>
      <w:r w:rsidR="00AD2935">
        <w:t>existing LPI and VLP devices</w:t>
      </w:r>
      <w:r w:rsidR="00D57163">
        <w:t>.</w:t>
      </w:r>
    </w:p>
    <w:p w14:paraId="768A25F0" w14:textId="44B9911A" w:rsidR="002104B8" w:rsidRDefault="00FE7E5A" w:rsidP="00601823">
      <w:r>
        <w:t xml:space="preserve">There was agreement </w:t>
      </w:r>
      <w:r w:rsidR="00AD2935">
        <w:t xml:space="preserve">among </w:t>
      </w:r>
      <w:r w:rsidR="003D11CF">
        <w:t>respondents to the</w:t>
      </w:r>
      <w:r w:rsidR="00AD2935">
        <w:t xml:space="preserve"> consultation </w:t>
      </w:r>
      <w:r w:rsidR="00486A24">
        <w:t xml:space="preserve">paper </w:t>
      </w:r>
      <w:r>
        <w:t>that i</w:t>
      </w:r>
      <w:r w:rsidR="002104B8">
        <w:t xml:space="preserve">f higher power devices were to be allowed (in either or both parts of the </w:t>
      </w:r>
      <w:r w:rsidR="00F773AF">
        <w:t xml:space="preserve">6 GHz </w:t>
      </w:r>
      <w:r w:rsidR="002104B8">
        <w:t>band)</w:t>
      </w:r>
      <w:r>
        <w:t xml:space="preserve">, that some form of coordination or registration </w:t>
      </w:r>
      <w:r w:rsidR="00B83D86">
        <w:t>of these devices</w:t>
      </w:r>
      <w:r w:rsidR="00AD2935">
        <w:t xml:space="preserve"> would be required</w:t>
      </w:r>
      <w:r w:rsidR="00B83D86">
        <w:t>. That is, they should not be a</w:t>
      </w:r>
      <w:r w:rsidR="00D67CD1">
        <w:t xml:space="preserve">llowed to be deployed </w:t>
      </w:r>
      <w:r w:rsidR="00AD2935">
        <w:t xml:space="preserve">on a </w:t>
      </w:r>
      <w:r w:rsidR="003D11CF">
        <w:t xml:space="preserve">solely </w:t>
      </w:r>
      <w:r w:rsidR="00EA2864">
        <w:t>ad-hoc</w:t>
      </w:r>
      <w:r w:rsidR="003D11CF">
        <w:t xml:space="preserve"> contention-limited basis</w:t>
      </w:r>
      <w:r w:rsidR="00EA2864">
        <w:t>, as is usual</w:t>
      </w:r>
      <w:r w:rsidR="003D11CF">
        <w:t>ly</w:t>
      </w:r>
      <w:r w:rsidR="00EA2864">
        <w:t xml:space="preserve"> </w:t>
      </w:r>
      <w:r w:rsidR="00F773AF">
        <w:t xml:space="preserve">the </w:t>
      </w:r>
      <w:r w:rsidR="00EA2864">
        <w:t>case with class</w:t>
      </w:r>
      <w:r w:rsidR="00611CC0">
        <w:t>-</w:t>
      </w:r>
      <w:r w:rsidR="00EA2864">
        <w:t>licensed devices.</w:t>
      </w:r>
    </w:p>
    <w:p w14:paraId="155023E6" w14:textId="1E005FB3" w:rsidR="00EA2864" w:rsidRDefault="006E5956" w:rsidP="00601823">
      <w:r>
        <w:t xml:space="preserve">The </w:t>
      </w:r>
      <w:r w:rsidR="003D11CF">
        <w:t xml:space="preserve">previous </w:t>
      </w:r>
      <w:r>
        <w:t>consultation discussed the use of AFC systems</w:t>
      </w:r>
      <w:r w:rsidR="00AD2935">
        <w:t xml:space="preserve">. In the </w:t>
      </w:r>
      <w:r w:rsidR="003D11CF">
        <w:t xml:space="preserve">small number of jurisdictions where </w:t>
      </w:r>
      <w:r w:rsidR="00AD2935">
        <w:t xml:space="preserve">these </w:t>
      </w:r>
      <w:r w:rsidR="003D11CF">
        <w:t xml:space="preserve">systems </w:t>
      </w:r>
      <w:r w:rsidR="00AD2935">
        <w:t xml:space="preserve">are already used or planned, </w:t>
      </w:r>
      <w:r w:rsidR="003D11CF">
        <w:t>operation under the AFC requires that device users need to connect to</w:t>
      </w:r>
      <w:r w:rsidR="0077384E">
        <w:t xml:space="preserve"> an online service </w:t>
      </w:r>
      <w:r w:rsidR="00F9565C">
        <w:t xml:space="preserve">to determine </w:t>
      </w:r>
      <w:r w:rsidR="003D11CF">
        <w:t>which</w:t>
      </w:r>
      <w:r w:rsidR="00F9565C">
        <w:t xml:space="preserve"> channels and power levels</w:t>
      </w:r>
      <w:r w:rsidR="003D11CF">
        <w:t xml:space="preserve"> can be used</w:t>
      </w:r>
      <w:r w:rsidR="00AD2935">
        <w:t xml:space="preserve">, </w:t>
      </w:r>
      <w:r w:rsidR="003D11CF">
        <w:t xml:space="preserve">according to </w:t>
      </w:r>
      <w:r w:rsidR="00F773AF">
        <w:t xml:space="preserve">the </w:t>
      </w:r>
      <w:r w:rsidR="003D11CF">
        <w:t>device’s</w:t>
      </w:r>
      <w:r w:rsidR="00AD2935">
        <w:t xml:space="preserve"> geographic location</w:t>
      </w:r>
      <w:r w:rsidR="00F9565C">
        <w:t>.</w:t>
      </w:r>
      <w:r w:rsidR="0079761E">
        <w:t xml:space="preserve"> </w:t>
      </w:r>
      <w:r w:rsidR="003D11CF">
        <w:t xml:space="preserve">AFC </w:t>
      </w:r>
      <w:r w:rsidR="0079761E">
        <w:t xml:space="preserve">systems are proposed for use in </w:t>
      </w:r>
      <w:r w:rsidR="00AD2935">
        <w:t>the 6</w:t>
      </w:r>
      <w:r w:rsidR="000B1193">
        <w:t> </w:t>
      </w:r>
      <w:r w:rsidR="00AD2935">
        <w:t xml:space="preserve">GHz band in </w:t>
      </w:r>
      <w:r w:rsidR="003D11CF">
        <w:t xml:space="preserve">a number of </w:t>
      </w:r>
      <w:r w:rsidR="0079761E">
        <w:t xml:space="preserve">countries, including the US, Canada and </w:t>
      </w:r>
      <w:r w:rsidR="00F773AF">
        <w:t xml:space="preserve">South </w:t>
      </w:r>
      <w:r w:rsidR="0079761E">
        <w:t>Korea.</w:t>
      </w:r>
    </w:p>
    <w:p w14:paraId="2EB1E40A" w14:textId="555DB4CB" w:rsidR="00623044" w:rsidRDefault="003741DA" w:rsidP="00601823">
      <w:r>
        <w:t xml:space="preserve">While there was </w:t>
      </w:r>
      <w:r w:rsidR="00745195">
        <w:t xml:space="preserve">some </w:t>
      </w:r>
      <w:r>
        <w:t>support</w:t>
      </w:r>
      <w:r w:rsidR="00745195">
        <w:t xml:space="preserve"> in submissions to </w:t>
      </w:r>
      <w:r w:rsidR="00F773AF">
        <w:t xml:space="preserve">the </w:t>
      </w:r>
      <w:r w:rsidR="00745195">
        <w:t>consultation for implementing this type of</w:t>
      </w:r>
      <w:r>
        <w:t xml:space="preserve"> system in Australia, no</w:t>
      </w:r>
      <w:r w:rsidR="007D6ED6">
        <w:t xml:space="preserve"> </w:t>
      </w:r>
      <w:r w:rsidR="00745195">
        <w:t>respondents indicated any</w:t>
      </w:r>
      <w:r w:rsidR="007D6ED6">
        <w:t xml:space="preserve"> interest in </w:t>
      </w:r>
      <w:r w:rsidR="00745195">
        <w:t xml:space="preserve">deploying, </w:t>
      </w:r>
      <w:r w:rsidR="006054DF">
        <w:t>operating</w:t>
      </w:r>
      <w:r w:rsidR="00B35919">
        <w:t xml:space="preserve"> and</w:t>
      </w:r>
      <w:r w:rsidR="00745195">
        <w:t>/or</w:t>
      </w:r>
      <w:r w:rsidR="00B35919">
        <w:t xml:space="preserve"> administering</w:t>
      </w:r>
      <w:r w:rsidR="00E92AAD">
        <w:t xml:space="preserve"> </w:t>
      </w:r>
      <w:r w:rsidR="003F2FE1">
        <w:t>it.</w:t>
      </w:r>
      <w:r w:rsidR="00E92AAD">
        <w:t xml:space="preserve"> </w:t>
      </w:r>
      <w:r w:rsidR="009B046F">
        <w:t>T</w:t>
      </w:r>
      <w:r w:rsidR="00745195">
        <w:t>he</w:t>
      </w:r>
      <w:r w:rsidR="00AD2935">
        <w:t xml:space="preserve"> ACMA</w:t>
      </w:r>
      <w:r w:rsidR="00745195">
        <w:t xml:space="preserve"> sees this type of third-party management arrangement as being industry, rather than</w:t>
      </w:r>
      <w:r w:rsidR="00AD2935">
        <w:t xml:space="preserve"> government</w:t>
      </w:r>
      <w:r w:rsidR="00F773AF">
        <w:t>,</w:t>
      </w:r>
      <w:r w:rsidR="008C638C">
        <w:t xml:space="preserve"> </w:t>
      </w:r>
      <w:r w:rsidR="00745195">
        <w:t>led</w:t>
      </w:r>
      <w:r w:rsidR="002915A7">
        <w:t xml:space="preserve"> </w:t>
      </w:r>
      <w:r w:rsidR="002915A7">
        <w:softHyphen/>
        <w:t xml:space="preserve">– although we acknowledge that ACMA would be required to have some involvement, particularly in the initial process of setting up an AFC system. </w:t>
      </w:r>
      <w:r w:rsidR="00C148F2">
        <w:t xml:space="preserve">In particular, the ACMA is seeking to facilitate any industry interest in supporting AFC type systems being developed for Australian spectrum management arrangements. </w:t>
      </w:r>
      <w:r w:rsidR="0050651E">
        <w:t>Accordingly, we have include</w:t>
      </w:r>
      <w:r w:rsidR="00A109A0">
        <w:t>d</w:t>
      </w:r>
      <w:r w:rsidR="0050651E">
        <w:t xml:space="preserve"> a set of questions on this issue below to further encourage industry considerations</w:t>
      </w:r>
      <w:r w:rsidR="00C36A40">
        <w:t>.</w:t>
      </w:r>
      <w:r w:rsidR="00745195" w:rsidDel="002915A7">
        <w:t xml:space="preserve"> </w:t>
      </w:r>
      <w:r w:rsidR="00745195">
        <w:t>We expect more industry interest in this type of arrangement to emerge as AFC-type systems roll out internationally.</w:t>
      </w:r>
    </w:p>
    <w:p w14:paraId="4F460D4C" w14:textId="03A6E1B4" w:rsidR="008F2C87" w:rsidRPr="0015630D" w:rsidRDefault="008F2C87" w:rsidP="008F2C87">
      <w:pPr>
        <w:pStyle w:val="Heading3"/>
        <w:rPr>
          <w:u w:val="none"/>
        </w:rPr>
      </w:pPr>
      <w:r w:rsidRPr="0015630D">
        <w:rPr>
          <w:u w:val="none"/>
        </w:rPr>
        <w:t>Apparatus licensing</w:t>
      </w:r>
    </w:p>
    <w:p w14:paraId="092B28B0" w14:textId="0D5CF990" w:rsidR="009B046F" w:rsidRDefault="003A03BD" w:rsidP="00601823">
      <w:r>
        <w:t xml:space="preserve">Other </w:t>
      </w:r>
      <w:r w:rsidR="00FD09E0">
        <w:t xml:space="preserve">responses suggested </w:t>
      </w:r>
      <w:r w:rsidR="00745195">
        <w:t xml:space="preserve">potential </w:t>
      </w:r>
      <w:r w:rsidR="00FD09E0">
        <w:t xml:space="preserve">alternative ways to </w:t>
      </w:r>
      <w:r w:rsidR="0081151B">
        <w:t>manage</w:t>
      </w:r>
      <w:r w:rsidR="00FD09E0">
        <w:t xml:space="preserve"> </w:t>
      </w:r>
      <w:r w:rsidR="00745195">
        <w:t xml:space="preserve">access by </w:t>
      </w:r>
      <w:r w:rsidR="00FD09E0">
        <w:t>higher power devices</w:t>
      </w:r>
      <w:r w:rsidR="0081151B">
        <w:t xml:space="preserve">, through </w:t>
      </w:r>
      <w:r w:rsidR="00745195">
        <w:t xml:space="preserve">a </w:t>
      </w:r>
      <w:r w:rsidR="0060469A">
        <w:t xml:space="preserve">form of manual registration </w:t>
      </w:r>
      <w:r w:rsidR="005D62FC">
        <w:t xml:space="preserve">(under class licensing for visibility) </w:t>
      </w:r>
      <w:r w:rsidR="0060469A">
        <w:t xml:space="preserve">or </w:t>
      </w:r>
      <w:r w:rsidR="00486A24">
        <w:t xml:space="preserve">a </w:t>
      </w:r>
      <w:r w:rsidR="006D1BC8">
        <w:t>‘</w:t>
      </w:r>
      <w:r w:rsidR="002F1A9A">
        <w:t>light</w:t>
      </w:r>
      <w:r w:rsidR="0060469A">
        <w:t>-licensing</w:t>
      </w:r>
      <w:r w:rsidR="006D1BC8">
        <w:t>’</w:t>
      </w:r>
      <w:r w:rsidR="0060469A">
        <w:t xml:space="preserve"> process</w:t>
      </w:r>
      <w:r w:rsidR="005D62FC">
        <w:t xml:space="preserve"> under apparatus licensing</w:t>
      </w:r>
      <w:r w:rsidR="0060469A">
        <w:t>.</w:t>
      </w:r>
      <w:r w:rsidR="00FF1AC4">
        <w:t xml:space="preserve"> </w:t>
      </w:r>
    </w:p>
    <w:p w14:paraId="694C99F1" w14:textId="42DEBEF6" w:rsidR="008F2C87" w:rsidRDefault="00FF1AC4" w:rsidP="00601823">
      <w:r>
        <w:t>Both of these approaches would provide visibility of device locations if there were any interference issues.</w:t>
      </w:r>
      <w:r w:rsidR="008F2C87">
        <w:t xml:space="preserve"> </w:t>
      </w:r>
      <w:r>
        <w:t>In addition, depending on the circumstances</w:t>
      </w:r>
      <w:r w:rsidR="009A3703">
        <w:t>,</w:t>
      </w:r>
      <w:r>
        <w:t xml:space="preserve"> it may </w:t>
      </w:r>
      <w:r w:rsidR="009A3703">
        <w:t xml:space="preserve">be </w:t>
      </w:r>
      <w:r>
        <w:t>possible to include some form of point</w:t>
      </w:r>
      <w:r w:rsidR="006D1BC8">
        <w:t>-</w:t>
      </w:r>
      <w:r>
        <w:t>in</w:t>
      </w:r>
      <w:r w:rsidR="009A3703">
        <w:t>-</w:t>
      </w:r>
      <w:r>
        <w:t xml:space="preserve">time coordination to manage coexistence issues with existing incumbents. However, this approach </w:t>
      </w:r>
      <w:r w:rsidR="009B046F">
        <w:t xml:space="preserve">is </w:t>
      </w:r>
      <w:r>
        <w:t>not dynamic and</w:t>
      </w:r>
      <w:r w:rsidR="006D1BC8">
        <w:t>,</w:t>
      </w:r>
      <w:r>
        <w:t xml:space="preserve"> therefore</w:t>
      </w:r>
      <w:r w:rsidR="006D1BC8">
        <w:t>,</w:t>
      </w:r>
      <w:r>
        <w:t xml:space="preserve"> unable </w:t>
      </w:r>
      <w:r w:rsidR="009B046F">
        <w:t xml:space="preserve">to </w:t>
      </w:r>
      <w:r>
        <w:t xml:space="preserve">coordinate </w:t>
      </w:r>
      <w:r w:rsidR="009A3703">
        <w:t>prospective</w:t>
      </w:r>
      <w:r>
        <w:t xml:space="preserve"> </w:t>
      </w:r>
      <w:r w:rsidR="009A3703">
        <w:t xml:space="preserve">and </w:t>
      </w:r>
      <w:r>
        <w:t xml:space="preserve">incumbent </w:t>
      </w:r>
      <w:r w:rsidR="009A3703">
        <w:t>services</w:t>
      </w:r>
      <w:r>
        <w:t xml:space="preserve"> in the same way as an AFC would. </w:t>
      </w:r>
      <w:r w:rsidR="009A3703">
        <w:t>T</w:t>
      </w:r>
      <w:r>
        <w:t>he implication</w:t>
      </w:r>
      <w:r w:rsidR="009A3703">
        <w:t>s</w:t>
      </w:r>
      <w:r>
        <w:t xml:space="preserve"> of this limitation </w:t>
      </w:r>
      <w:r w:rsidR="009A3703">
        <w:t xml:space="preserve">are not clear and </w:t>
      </w:r>
      <w:r>
        <w:t>would likely depend on the geography and demand from other services</w:t>
      </w:r>
      <w:r w:rsidR="009A3703">
        <w:t>, and the degree to which it might be a problem would depend on the demand for/concentration of new standard/high power RLANs.</w:t>
      </w:r>
    </w:p>
    <w:p w14:paraId="3A26F34B" w14:textId="12C7E84F" w:rsidR="00D437C2" w:rsidRDefault="00D437C2" w:rsidP="00601823">
      <w:r>
        <w:t xml:space="preserve">Under an apparatus licensing regime, it </w:t>
      </w:r>
      <w:r w:rsidR="00FF1AC4">
        <w:t>may</w:t>
      </w:r>
      <w:r>
        <w:t xml:space="preserve"> be possible to implement different approaches for different geographic areas – for example</w:t>
      </w:r>
      <w:r w:rsidR="006D1BC8">
        <w:t>,</w:t>
      </w:r>
      <w:r>
        <w:t xml:space="preserve"> </w:t>
      </w:r>
      <w:r w:rsidR="00E55C51">
        <w:t xml:space="preserve">enabling </w:t>
      </w:r>
      <w:r>
        <w:t xml:space="preserve">a </w:t>
      </w:r>
      <w:r w:rsidR="006D1BC8">
        <w:t>‘</w:t>
      </w:r>
      <w:r>
        <w:t>lighter</w:t>
      </w:r>
      <w:r w:rsidR="006D1BC8">
        <w:t>’</w:t>
      </w:r>
      <w:r>
        <w:t xml:space="preserve"> licensing regime in regional and remote areas where demand and co-existence issues are likely to be more manageable. </w:t>
      </w:r>
    </w:p>
    <w:p w14:paraId="01D5FC83" w14:textId="31DBFCDC" w:rsidR="00C24B1C" w:rsidRPr="00601823" w:rsidRDefault="00D437C2" w:rsidP="00601823">
      <w:r>
        <w:t xml:space="preserve">The ACMA </w:t>
      </w:r>
      <w:r w:rsidR="00FF1AC4">
        <w:t>has</w:t>
      </w:r>
      <w:r>
        <w:t xml:space="preserve"> no preferred approach regarding </w:t>
      </w:r>
      <w:r w:rsidRPr="00402460">
        <w:t>high power RLANs at this time</w:t>
      </w:r>
      <w:r w:rsidR="00300D79" w:rsidRPr="00402460">
        <w:t>.</w:t>
      </w:r>
      <w:r w:rsidRPr="00402460">
        <w:t xml:space="preserve"> </w:t>
      </w:r>
      <w:r w:rsidR="00300D79" w:rsidRPr="00402460">
        <w:t>W</w:t>
      </w:r>
      <w:r w:rsidRPr="00402460">
        <w:t xml:space="preserve">e are seeking comments on whether </w:t>
      </w:r>
      <w:r w:rsidR="003D0D69" w:rsidRPr="00402460">
        <w:t xml:space="preserve">consideration of </w:t>
      </w:r>
      <w:r w:rsidRPr="00402460">
        <w:t>apparatus licensing for high</w:t>
      </w:r>
      <w:r w:rsidR="00F773AF" w:rsidRPr="00402460">
        <w:t>er</w:t>
      </w:r>
      <w:r w:rsidRPr="00402460">
        <w:t xml:space="preserve"> power</w:t>
      </w:r>
      <w:r w:rsidR="003D0D69" w:rsidRPr="00402460">
        <w:t xml:space="preserve">, </w:t>
      </w:r>
      <w:r w:rsidR="00300D79" w:rsidRPr="00402460">
        <w:t>‘</w:t>
      </w:r>
      <w:r w:rsidR="003D0D69" w:rsidRPr="00402460">
        <w:t>standard power</w:t>
      </w:r>
      <w:r w:rsidR="00300D79" w:rsidRPr="00402460">
        <w:t>’</w:t>
      </w:r>
      <w:r w:rsidRPr="00402460">
        <w:t xml:space="preserve"> (indoor and outdoor) RLAN devices is </w:t>
      </w:r>
      <w:r w:rsidR="003D0D69" w:rsidRPr="00402460">
        <w:t>worth</w:t>
      </w:r>
      <w:r w:rsidR="003D0D69">
        <w:t xml:space="preserve">y of further consideration, including if there are any opportunities to take advantage of geographic considerations. </w:t>
      </w:r>
    </w:p>
    <w:p w14:paraId="2E6C3D47" w14:textId="77777777" w:rsidR="00D437C2" w:rsidRDefault="007614DE" w:rsidP="007614DE">
      <w:pPr>
        <w:pStyle w:val="Heading2"/>
      </w:pPr>
      <w:bookmarkStart w:id="32" w:name="_Toc85119240"/>
      <w:r>
        <w:lastRenderedPageBreak/>
        <w:t xml:space="preserve">Coexistence with </w:t>
      </w:r>
      <w:r w:rsidR="00D437C2">
        <w:t>incumbent services</w:t>
      </w:r>
      <w:bookmarkEnd w:id="32"/>
    </w:p>
    <w:p w14:paraId="2FBA71DD" w14:textId="604E8B1F" w:rsidR="007614DE" w:rsidRPr="0015630D" w:rsidRDefault="00D437C2" w:rsidP="00300D79">
      <w:pPr>
        <w:pStyle w:val="Heading3"/>
        <w:rPr>
          <w:u w:val="none"/>
        </w:rPr>
      </w:pPr>
      <w:r w:rsidRPr="0015630D">
        <w:rPr>
          <w:u w:val="none"/>
        </w:rPr>
        <w:t>S</w:t>
      </w:r>
      <w:r w:rsidR="007614DE" w:rsidRPr="0015630D">
        <w:rPr>
          <w:u w:val="none"/>
        </w:rPr>
        <w:t>atellite services</w:t>
      </w:r>
    </w:p>
    <w:p w14:paraId="1EAF04AD" w14:textId="168F5D2F" w:rsidR="007614DE" w:rsidRDefault="007614DE" w:rsidP="007614DE">
      <w:r>
        <w:t xml:space="preserve">The </w:t>
      </w:r>
      <w:r w:rsidR="009B046F">
        <w:t xml:space="preserve">key </w:t>
      </w:r>
      <w:r>
        <w:t xml:space="preserve">coexistence issue in the upper </w:t>
      </w:r>
      <w:r w:rsidR="00C04019">
        <w:t xml:space="preserve">6 GHz </w:t>
      </w:r>
      <w:r>
        <w:t xml:space="preserve">band is potential interference from </w:t>
      </w:r>
      <w:r w:rsidR="00C32E99">
        <w:t>new services</w:t>
      </w:r>
      <w:r>
        <w:t xml:space="preserve"> into satellite services – particularly due to aggregate interference into satellite receivers. This would be the case if either (or both) RLAN and IMT services were to be accommodated in the upper band. Submissions to the consultation from the satellite sector contained mixed views on the potential introduction of RLAN services but were universally opposed to the introduction of IMT.</w:t>
      </w:r>
    </w:p>
    <w:p w14:paraId="3B532F13" w14:textId="6E515362" w:rsidR="007614DE" w:rsidRDefault="007614DE" w:rsidP="007614DE">
      <w:r>
        <w:t xml:space="preserve">We will continue to consider coexistence aspects of the upper band, as </w:t>
      </w:r>
      <w:r w:rsidR="00F773AF">
        <w:t>they</w:t>
      </w:r>
      <w:r>
        <w:t xml:space="preserve"> relate to the various types of satellite services that are present in the band. Existing studies indicate that sharing between RLAN and satellite services is possible, given appropriate conditions on RLAN devices. However, studies</w:t>
      </w:r>
      <w:r w:rsidR="00FA3941">
        <w:rPr>
          <w:rStyle w:val="FootnoteReference"/>
        </w:rPr>
        <w:footnoteReference w:id="7"/>
      </w:r>
      <w:r>
        <w:t xml:space="preserve"> regarding IMT coexistence with satellite </w:t>
      </w:r>
      <w:r w:rsidR="00F773AF">
        <w:t xml:space="preserve">services </w:t>
      </w:r>
      <w:r>
        <w:t xml:space="preserve">indicate sharing is significantly more difficult. </w:t>
      </w:r>
    </w:p>
    <w:p w14:paraId="5B85653A" w14:textId="23EB3EE1" w:rsidR="00C43B5E" w:rsidRDefault="00D11757" w:rsidP="00C43B5E">
      <w:r>
        <w:t xml:space="preserve">This gives support </w:t>
      </w:r>
      <w:r w:rsidR="0082604A">
        <w:t>to</w:t>
      </w:r>
      <w:r>
        <w:t xml:space="preserve"> focusing on possible RLAN, as opposed to IMT, use of the</w:t>
      </w:r>
      <w:r w:rsidR="00C04019">
        <w:t xml:space="preserve"> upper</w:t>
      </w:r>
      <w:r>
        <w:t xml:space="preserve"> </w:t>
      </w:r>
      <w:r w:rsidR="00F773AF">
        <w:t xml:space="preserve">6 GHz </w:t>
      </w:r>
      <w:r>
        <w:t xml:space="preserve">band. </w:t>
      </w:r>
    </w:p>
    <w:p w14:paraId="6EA51BED" w14:textId="310BC248" w:rsidR="00C32E99" w:rsidRPr="0015630D" w:rsidRDefault="00C32E99" w:rsidP="00C32E99">
      <w:pPr>
        <w:pStyle w:val="Heading3"/>
        <w:rPr>
          <w:u w:val="none"/>
        </w:rPr>
      </w:pPr>
      <w:r w:rsidRPr="0015630D">
        <w:rPr>
          <w:u w:val="none"/>
        </w:rPr>
        <w:t>Fixed services</w:t>
      </w:r>
    </w:p>
    <w:p w14:paraId="2B291F58" w14:textId="724ECB55" w:rsidR="00C32E99" w:rsidRPr="00C32E99" w:rsidRDefault="00C04019" w:rsidP="00C32E99">
      <w:r>
        <w:t>Noting</w:t>
      </w:r>
      <w:r w:rsidR="006B2442">
        <w:t xml:space="preserve"> the </w:t>
      </w:r>
      <w:r>
        <w:t xml:space="preserve">outcomes of </w:t>
      </w:r>
      <w:r w:rsidR="006B2442">
        <w:t xml:space="preserve">previous studies conducted in jurisdictions </w:t>
      </w:r>
      <w:r>
        <w:t>where arrangements</w:t>
      </w:r>
      <w:r w:rsidR="006B2442">
        <w:t xml:space="preserve"> for RLANs in the 6 GHz band</w:t>
      </w:r>
      <w:r>
        <w:t xml:space="preserve"> have been made</w:t>
      </w:r>
      <w:r w:rsidR="006B2442">
        <w:t xml:space="preserve">, </w:t>
      </w:r>
      <w:r>
        <w:t xml:space="preserve">along with a </w:t>
      </w:r>
      <w:r w:rsidR="006B2442">
        <w:t xml:space="preserve">lack of </w:t>
      </w:r>
      <w:r>
        <w:t>feedback</w:t>
      </w:r>
      <w:r w:rsidR="00A154C5">
        <w:t xml:space="preserve"> in submissions to the April 2021 consultation</w:t>
      </w:r>
      <w:r>
        <w:rPr>
          <w:rStyle w:val="FootnoteReference"/>
        </w:rPr>
        <w:footnoteReference w:id="8"/>
      </w:r>
      <w:r w:rsidR="00A154C5">
        <w:t xml:space="preserve">, we are comfortable that </w:t>
      </w:r>
      <w:r w:rsidR="0082604A">
        <w:t xml:space="preserve">the </w:t>
      </w:r>
      <w:r w:rsidR="00A154C5">
        <w:t xml:space="preserve">LPI and VLP devices proposed can co-exist with existing and future fixed point-to-links in the band. </w:t>
      </w:r>
    </w:p>
    <w:p w14:paraId="0B64CACE" w14:textId="6DB87EDE" w:rsidR="00926452" w:rsidRDefault="00926452" w:rsidP="00926452">
      <w:pPr>
        <w:pStyle w:val="Heading2"/>
      </w:pPr>
      <w:bookmarkStart w:id="33" w:name="_Toc85119241"/>
      <w:r>
        <w:t>Issues for comment</w:t>
      </w:r>
      <w:bookmarkEnd w:id="33"/>
      <w:r>
        <w:t xml:space="preserve"> </w:t>
      </w:r>
    </w:p>
    <w:p w14:paraId="34C4FD87" w14:textId="5F80457C" w:rsidR="00926452" w:rsidRDefault="00926452" w:rsidP="00926452">
      <w:pPr>
        <w:pStyle w:val="Paragraph"/>
      </w:pPr>
      <w:r>
        <w:t xml:space="preserve">The previous consultation paper discussed and elicited responses on general issues </w:t>
      </w:r>
      <w:r w:rsidR="00300D79">
        <w:t>regarding</w:t>
      </w:r>
      <w:r>
        <w:t xml:space="preserve"> the use of the </w:t>
      </w:r>
      <w:r w:rsidR="00F773AF">
        <w:t xml:space="preserve">entire </w:t>
      </w:r>
      <w:r>
        <w:t>6 GHz band – which parts of the band might be used for RLAN and/or IMT, and what power levels should be included in class licensing arrangements. We are still considering whether some or all of the upper part of the band should be made available for RLAN services, and now seek views on more detailed aspects of arrangements for access to the band that could be considered if further changes were to be made.</w:t>
      </w:r>
    </w:p>
    <w:p w14:paraId="043F02D5" w14:textId="49361D67" w:rsidR="00926452" w:rsidRDefault="00926452" w:rsidP="00926452">
      <w:pPr>
        <w:pStyle w:val="Paragraph"/>
      </w:pPr>
      <w:r>
        <w:t xml:space="preserve">We are also still considering possibilities for enabling higher power levels for LPI operation </w:t>
      </w:r>
      <w:r w:rsidR="00E65F54">
        <w:t>(</w:t>
      </w:r>
      <w:r>
        <w:t xml:space="preserve">in both the lower </w:t>
      </w:r>
      <w:r w:rsidR="0082604A">
        <w:t xml:space="preserve">band </w:t>
      </w:r>
      <w:r>
        <w:t>and</w:t>
      </w:r>
      <w:r w:rsidR="0082604A">
        <w:t>,</w:t>
      </w:r>
      <w:r>
        <w:t xml:space="preserve"> </w:t>
      </w:r>
      <w:r w:rsidR="00E65F54">
        <w:t>potentially</w:t>
      </w:r>
      <w:r w:rsidR="0082604A">
        <w:t>,</w:t>
      </w:r>
      <w:r w:rsidR="00E65F54">
        <w:t xml:space="preserve"> the </w:t>
      </w:r>
      <w:r>
        <w:t>upper band</w:t>
      </w:r>
      <w:r w:rsidR="00E65F54">
        <w:t xml:space="preserve">), as was discussed by a number of submissions to the April 2021 consultation, and for </w:t>
      </w:r>
      <w:r>
        <w:t xml:space="preserve">potentially allowing a separate </w:t>
      </w:r>
      <w:r w:rsidR="00300D79">
        <w:t>‘</w:t>
      </w:r>
      <w:r>
        <w:t>high power</w:t>
      </w:r>
      <w:r w:rsidR="00300D79">
        <w:t>’</w:t>
      </w:r>
      <w:r>
        <w:t xml:space="preserve"> class of device.</w:t>
      </w:r>
    </w:p>
    <w:p w14:paraId="10BFADCD" w14:textId="282B48D9" w:rsidR="00BE632F" w:rsidRDefault="00300D79" w:rsidP="0015630D">
      <w:pPr>
        <w:pStyle w:val="Paragraphbeforelist"/>
      </w:pPr>
      <w:r>
        <w:t>W</w:t>
      </w:r>
      <w:r w:rsidR="00BE632F">
        <w:t xml:space="preserve">e are seeking responses </w:t>
      </w:r>
      <w:r>
        <w:t>to</w:t>
      </w:r>
      <w:r w:rsidR="00BE632F">
        <w:t>:</w:t>
      </w:r>
    </w:p>
    <w:p w14:paraId="0B7C1ED5" w14:textId="15C167B7" w:rsidR="00FB7C74" w:rsidRDefault="00FB7C74" w:rsidP="00071830">
      <w:pPr>
        <w:pStyle w:val="Bulletlevel1"/>
      </w:pPr>
      <w:r>
        <w:t>Should the ACMA make arrangements that permit high-gain directional antennas (</w:t>
      </w:r>
      <w:r w:rsidR="00300D79">
        <w:t>for example</w:t>
      </w:r>
      <w:r>
        <w:t>, for WISPs in remote areas) unde</w:t>
      </w:r>
      <w:r w:rsidRPr="00300D79">
        <w:t>r a class licensing regi</w:t>
      </w:r>
      <w:r>
        <w:t>me?</w:t>
      </w:r>
    </w:p>
    <w:p w14:paraId="7CBA7697" w14:textId="79BC0827" w:rsidR="00BF2BAF" w:rsidRDefault="00FB7C74" w:rsidP="00071830">
      <w:pPr>
        <w:pStyle w:val="Bulletlevel1"/>
      </w:pPr>
      <w:r>
        <w:t xml:space="preserve">If </w:t>
      </w:r>
      <w:r w:rsidR="00300D79">
        <w:t>‘</w:t>
      </w:r>
      <w:r>
        <w:t>high power</w:t>
      </w:r>
      <w:r w:rsidR="00300D79">
        <w:t>’</w:t>
      </w:r>
      <w:r>
        <w:t xml:space="preserve"> class</w:t>
      </w:r>
      <w:r w:rsidR="00611CC0">
        <w:t>-</w:t>
      </w:r>
      <w:r>
        <w:t>licensed devices were to be introduced under an AFC system</w:t>
      </w:r>
      <w:r w:rsidR="00BF2BAF">
        <w:t>:</w:t>
      </w:r>
    </w:p>
    <w:p w14:paraId="77155E62" w14:textId="7BF97F4D" w:rsidR="005D0B7F" w:rsidRDefault="005D0B7F" w:rsidP="005D0B7F">
      <w:pPr>
        <w:pStyle w:val="Bulletlevel2"/>
      </w:pPr>
      <w:r w:rsidRPr="005D0B7F">
        <w:t>Is there interest from industry in administering such a system?</w:t>
      </w:r>
    </w:p>
    <w:p w14:paraId="668B60C6" w14:textId="77777777" w:rsidR="00662C05" w:rsidRPr="00662C05" w:rsidRDefault="00662C05" w:rsidP="00662C05">
      <w:pPr>
        <w:pStyle w:val="Bulletlevel2"/>
      </w:pPr>
      <w:r w:rsidRPr="00662C05">
        <w:t>Are there any impediments to developing and/or operating a system in Australia? What could be done to help enable, or otherwise encourage, the development and/or operation of a system in Australia?</w:t>
      </w:r>
    </w:p>
    <w:p w14:paraId="61DA0A3D" w14:textId="77777777" w:rsidR="005879AE" w:rsidRPr="005879AE" w:rsidRDefault="005879AE" w:rsidP="005879AE">
      <w:pPr>
        <w:pStyle w:val="Bulletlevel2"/>
      </w:pPr>
      <w:r w:rsidRPr="005879AE">
        <w:lastRenderedPageBreak/>
        <w:t>To what extent would an Australian system need to be aligned with those to be implemented elsewhere? What scope could there be for customisation in an Australian system?</w:t>
      </w:r>
    </w:p>
    <w:p w14:paraId="2571CD5F" w14:textId="77777777" w:rsidR="009D7612" w:rsidRPr="009D7612" w:rsidRDefault="009D7612" w:rsidP="009D7612">
      <w:pPr>
        <w:pStyle w:val="Bulletlevel2"/>
      </w:pPr>
      <w:r w:rsidRPr="009D7612">
        <w:t>What aspects of an AFC system would need to be considered in the design, establishment, and ongoing operation, of such a system, including:</w:t>
      </w:r>
    </w:p>
    <w:p w14:paraId="02D29F3C" w14:textId="10234962" w:rsidR="00AB4C56" w:rsidRPr="00AB4C56" w:rsidRDefault="00C05508" w:rsidP="003A2544">
      <w:pPr>
        <w:pStyle w:val="Bulletlevel2"/>
        <w:tabs>
          <w:tab w:val="clear" w:pos="845"/>
          <w:tab w:val="num" w:pos="1118"/>
        </w:tabs>
        <w:ind w:left="863"/>
      </w:pPr>
      <w:r>
        <w:t>r</w:t>
      </w:r>
      <w:r w:rsidR="00AB4C56" w:rsidRPr="00AB4C56">
        <w:t>egulator and industry commitments</w:t>
      </w:r>
    </w:p>
    <w:p w14:paraId="095AE02B" w14:textId="77777777" w:rsidR="006E5130" w:rsidRPr="006E5130" w:rsidRDefault="006E5130" w:rsidP="003A2544">
      <w:pPr>
        <w:pStyle w:val="Bulletlevel2"/>
        <w:tabs>
          <w:tab w:val="clear" w:pos="845"/>
          <w:tab w:val="num" w:pos="1118"/>
        </w:tabs>
        <w:ind w:left="863"/>
      </w:pPr>
      <w:r w:rsidRPr="006E5130">
        <w:t>technical spectrum coordination and coexistence rules – for example, a tiered hierarchy framework for spectrum uses</w:t>
      </w:r>
    </w:p>
    <w:p w14:paraId="407107B5" w14:textId="77777777" w:rsidR="00EF1DCA" w:rsidRPr="00EF1DCA" w:rsidRDefault="00EF1DCA" w:rsidP="003A2544">
      <w:pPr>
        <w:pStyle w:val="Bulletlevel2"/>
        <w:tabs>
          <w:tab w:val="clear" w:pos="845"/>
          <w:tab w:val="num" w:pos="1118"/>
        </w:tabs>
        <w:ind w:left="863"/>
      </w:pPr>
      <w:r w:rsidRPr="00EF1DCA">
        <w:t>IT infrastructure and system design, including security and system reliability issues</w:t>
      </w:r>
    </w:p>
    <w:p w14:paraId="140A1ED2" w14:textId="77777777" w:rsidR="00672C2C" w:rsidRPr="00672C2C" w:rsidRDefault="00672C2C" w:rsidP="003A2544">
      <w:pPr>
        <w:pStyle w:val="Bulletlevel2"/>
        <w:tabs>
          <w:tab w:val="clear" w:pos="845"/>
          <w:tab w:val="num" w:pos="1118"/>
        </w:tabs>
        <w:ind w:left="863"/>
      </w:pPr>
      <w:r w:rsidRPr="00672C2C">
        <w:t>communication interfaces between an AFC system, the ACMA’s Register of Radiocommunications Licences (RRL) and devices</w:t>
      </w:r>
    </w:p>
    <w:p w14:paraId="2D95A66F" w14:textId="305F3FC4" w:rsidR="00662C05" w:rsidRPr="005D0B7F" w:rsidRDefault="003A2544" w:rsidP="003A2544">
      <w:pPr>
        <w:pStyle w:val="Bulletlevel2"/>
        <w:tabs>
          <w:tab w:val="clear" w:pos="845"/>
          <w:tab w:val="num" w:pos="1118"/>
        </w:tabs>
        <w:ind w:left="863"/>
      </w:pPr>
      <w:r w:rsidRPr="003A2544">
        <w:t>ongoing interaction between the ACMA and system operators</w:t>
      </w:r>
    </w:p>
    <w:p w14:paraId="20A1CC0E" w14:textId="637D6E9F" w:rsidR="00FB7C74" w:rsidRDefault="00FB7C74" w:rsidP="00071830">
      <w:pPr>
        <w:pStyle w:val="Bulletlevel1"/>
      </w:pPr>
      <w:r>
        <w:t xml:space="preserve">If </w:t>
      </w:r>
      <w:r w:rsidR="00B1643C">
        <w:t>‘</w:t>
      </w:r>
      <w:r>
        <w:t>high power</w:t>
      </w:r>
      <w:r w:rsidR="00B1643C">
        <w:t>’</w:t>
      </w:r>
      <w:r>
        <w:t xml:space="preserve"> devices were to be introduced under a </w:t>
      </w:r>
      <w:r w:rsidR="00B1643C">
        <w:t>‘</w:t>
      </w:r>
      <w:r>
        <w:t>manual</w:t>
      </w:r>
      <w:r w:rsidR="00B1643C">
        <w:t>’</w:t>
      </w:r>
      <w:r>
        <w:t xml:space="preserve"> registration process</w:t>
      </w:r>
      <w:r w:rsidR="000A6180">
        <w:t>, what might th</w:t>
      </w:r>
      <w:r w:rsidR="00244385">
        <w:t>o</w:t>
      </w:r>
      <w:r w:rsidR="000A6180">
        <w:t>s</w:t>
      </w:r>
      <w:r w:rsidR="00244385">
        <w:t>e</w:t>
      </w:r>
      <w:r w:rsidR="000A6180">
        <w:t xml:space="preserve"> </w:t>
      </w:r>
      <w:r w:rsidR="00244385">
        <w:t>arrangements</w:t>
      </w:r>
      <w:r w:rsidR="000A6180">
        <w:t xml:space="preserve"> look like</w:t>
      </w:r>
      <w:r w:rsidR="00FB4EAF">
        <w:t>?</w:t>
      </w:r>
      <w:r w:rsidR="00E65F54">
        <w:t xml:space="preserve"> </w:t>
      </w:r>
      <w:r w:rsidR="009F3757">
        <w:t>Would</w:t>
      </w:r>
      <w:r w:rsidR="00E65F54">
        <w:t xml:space="preserve"> the introduction of apparatus licensing for such devices </w:t>
      </w:r>
      <w:r w:rsidR="0082604A">
        <w:t xml:space="preserve">be </w:t>
      </w:r>
      <w:r w:rsidR="00E65F54">
        <w:t>an appropriate option?</w:t>
      </w:r>
    </w:p>
    <w:p w14:paraId="741DE268" w14:textId="73CA02DF" w:rsidR="00DB6291" w:rsidRDefault="00DB6291" w:rsidP="00071830">
      <w:pPr>
        <w:pStyle w:val="Bulletlevel1"/>
      </w:pPr>
      <w:r>
        <w:t xml:space="preserve">Would there be advantages </w:t>
      </w:r>
      <w:r w:rsidR="0082604A">
        <w:t>in</w:t>
      </w:r>
      <w:r>
        <w:t xml:space="preserve"> implementing different </w:t>
      </w:r>
      <w:r w:rsidR="009F3757">
        <w:t>licensing and/or access management arrangements</w:t>
      </w:r>
      <w:r>
        <w:t xml:space="preserve"> in different geographic areas for the use of high power RLAN devices?</w:t>
      </w:r>
    </w:p>
    <w:p w14:paraId="7A1DF36C" w14:textId="58E275FB" w:rsidR="00FB7C74" w:rsidRDefault="00FB7C74" w:rsidP="00071830">
      <w:pPr>
        <w:pStyle w:val="Bulletlevel1"/>
      </w:pPr>
      <w:r>
        <w:t>Are there additional sharing scenarios and/or studies relevant to this band that have not been identified in this paper?</w:t>
      </w:r>
    </w:p>
    <w:p w14:paraId="10630DB5" w14:textId="77777777" w:rsidR="00BE632F" w:rsidRDefault="00BE632F" w:rsidP="009A42F8"/>
    <w:p w14:paraId="31F65205" w14:textId="2BF419B3" w:rsidR="004128E7" w:rsidRDefault="004A3053" w:rsidP="004128E7">
      <w:pPr>
        <w:pStyle w:val="Heading1"/>
      </w:pPr>
      <w:bookmarkStart w:id="34" w:name="_Toc85119242"/>
      <w:r>
        <w:lastRenderedPageBreak/>
        <w:t xml:space="preserve">Further considerations for the </w:t>
      </w:r>
      <w:r w:rsidR="004128E7">
        <w:t>5 GHz band</w:t>
      </w:r>
      <w:bookmarkEnd w:id="34"/>
    </w:p>
    <w:p w14:paraId="751CEEB9" w14:textId="4DB02C09" w:rsidR="00862263" w:rsidRDefault="005C05B3" w:rsidP="00862263">
      <w:r>
        <w:t xml:space="preserve">In the </w:t>
      </w:r>
      <w:r w:rsidR="009C2EED">
        <w:t xml:space="preserve">April </w:t>
      </w:r>
      <w:r w:rsidR="00E37AFE">
        <w:t xml:space="preserve">2021 consultation </w:t>
      </w:r>
      <w:r w:rsidR="00E43117">
        <w:t>paper</w:t>
      </w:r>
      <w:r w:rsidR="00B1643C">
        <w:t>,</w:t>
      </w:r>
      <w:r w:rsidR="00E43117">
        <w:t xml:space="preserve"> </w:t>
      </w:r>
      <w:r>
        <w:t xml:space="preserve">we asked about </w:t>
      </w:r>
      <w:r w:rsidR="00F06C43">
        <w:t xml:space="preserve">making updates to </w:t>
      </w:r>
      <w:r w:rsidR="0070716D">
        <w:t>parts of the 5 GHz band</w:t>
      </w:r>
      <w:r w:rsidR="000475A1">
        <w:t xml:space="preserve"> – specifically 5150–5250 MHz</w:t>
      </w:r>
      <w:r w:rsidR="00FD3E4A">
        <w:t xml:space="preserve">. There </w:t>
      </w:r>
      <w:r w:rsidR="00B31CE0">
        <w:t>w</w:t>
      </w:r>
      <w:r w:rsidR="003878FE">
        <w:t xml:space="preserve">as general support for some </w:t>
      </w:r>
      <w:r w:rsidR="00381D14">
        <w:t>degree</w:t>
      </w:r>
      <w:r w:rsidR="003878FE">
        <w:t xml:space="preserve"> of change to RLAN use in th</w:t>
      </w:r>
      <w:r w:rsidR="00F773AF">
        <w:t>e 5 GHz</w:t>
      </w:r>
      <w:r w:rsidR="003878FE">
        <w:t xml:space="preserve"> band, but </w:t>
      </w:r>
      <w:r w:rsidR="007432E4">
        <w:t>view</w:t>
      </w:r>
      <w:r w:rsidR="00B31CE0">
        <w:t xml:space="preserve">s </w:t>
      </w:r>
      <w:r w:rsidR="003878FE">
        <w:t xml:space="preserve">were mixed </w:t>
      </w:r>
      <w:r w:rsidR="00B31CE0">
        <w:t xml:space="preserve">on exactly </w:t>
      </w:r>
      <w:r w:rsidR="00E43117">
        <w:t xml:space="preserve">what </w:t>
      </w:r>
      <w:r w:rsidR="003878FE">
        <w:t>those</w:t>
      </w:r>
      <w:r w:rsidR="00B31CE0">
        <w:t xml:space="preserve"> changes should be.</w:t>
      </w:r>
    </w:p>
    <w:p w14:paraId="0624333D" w14:textId="1B5F19E5" w:rsidR="001756B8" w:rsidRDefault="000475A1" w:rsidP="00862263">
      <w:r>
        <w:t xml:space="preserve">The specific proposal in the April 2021 consultation </w:t>
      </w:r>
      <w:r w:rsidR="00E43117">
        <w:t xml:space="preserve">paper </w:t>
      </w:r>
      <w:r>
        <w:t xml:space="preserve">was to implement changes made to the ITU Radio Regulations at WRC-19 in the 5150–5250 MHz range. That is, allowing devices to operate outdoors in this frequency range, and allowing higher power (up to 1 W) if an appropriate </w:t>
      </w:r>
      <w:r w:rsidR="009F3757">
        <w:t xml:space="preserve">emission </w:t>
      </w:r>
      <w:r>
        <w:t>mask was applied to the power transmitted at a range of elevation angles.</w:t>
      </w:r>
    </w:p>
    <w:p w14:paraId="4FE9C52E" w14:textId="5F66ADF1" w:rsidR="003C4218" w:rsidRDefault="007D21D0" w:rsidP="00862263">
      <w:r>
        <w:t>Currently</w:t>
      </w:r>
      <w:r w:rsidR="00E43117">
        <w:t>,</w:t>
      </w:r>
      <w:r>
        <w:t xml:space="preserve"> </w:t>
      </w:r>
      <w:r w:rsidR="003C4218">
        <w:t xml:space="preserve">we </w:t>
      </w:r>
      <w:r w:rsidR="002B6D0B">
        <w:t xml:space="preserve">do not consider making changes in this band as a high priority and are interested in further exploring the different views and options for this band expressed in the April consultation. As such, we </w:t>
      </w:r>
      <w:r w:rsidR="003C4218">
        <w:t xml:space="preserve">are not </w:t>
      </w:r>
      <w:r w:rsidR="002B6D0B">
        <w:t xml:space="preserve">yet </w:t>
      </w:r>
      <w:r w:rsidR="003C4218">
        <w:t xml:space="preserve">proposing any updates to the LIPD </w:t>
      </w:r>
      <w:r w:rsidR="004B2AD3">
        <w:t>C</w:t>
      </w:r>
      <w:r w:rsidR="003C4218">
        <w:t xml:space="preserve">lass </w:t>
      </w:r>
      <w:r w:rsidR="004B2AD3">
        <w:t>L</w:t>
      </w:r>
      <w:r w:rsidR="003C4218">
        <w:t xml:space="preserve">icence </w:t>
      </w:r>
      <w:r w:rsidR="00B1643C">
        <w:t>for</w:t>
      </w:r>
      <w:r w:rsidR="003C4218">
        <w:t xml:space="preserve"> </w:t>
      </w:r>
      <w:r w:rsidR="00EE7D39">
        <w:t xml:space="preserve">any part of </w:t>
      </w:r>
      <w:r w:rsidR="003C4218">
        <w:t xml:space="preserve">the 5 GHz band. We will consider the matter further and may propose updates to the LIPD </w:t>
      </w:r>
      <w:r w:rsidR="00DA7986">
        <w:t>C</w:t>
      </w:r>
      <w:r w:rsidR="003C4218">
        <w:t xml:space="preserve">lass </w:t>
      </w:r>
      <w:r w:rsidR="00DA7986">
        <w:t>L</w:t>
      </w:r>
      <w:r w:rsidR="003C4218">
        <w:t xml:space="preserve">icence in </w:t>
      </w:r>
      <w:r w:rsidR="000C4671">
        <w:t xml:space="preserve">the </w:t>
      </w:r>
      <w:r w:rsidR="003C4218">
        <w:t>future</w:t>
      </w:r>
      <w:r w:rsidR="000C4671">
        <w:t>,</w:t>
      </w:r>
      <w:r w:rsidR="003C4218">
        <w:t xml:space="preserve"> which will be based on the updates to the </w:t>
      </w:r>
      <w:r w:rsidR="00EE7D39">
        <w:t xml:space="preserve">ITU </w:t>
      </w:r>
      <w:r w:rsidR="003C4218">
        <w:t>Radio Regulations made at WRC-19</w:t>
      </w:r>
      <w:r w:rsidR="000C4671">
        <w:t xml:space="preserve">, and </w:t>
      </w:r>
      <w:r w:rsidR="003C4218">
        <w:t xml:space="preserve">the </w:t>
      </w:r>
      <w:r w:rsidR="000C4671">
        <w:t>r</w:t>
      </w:r>
      <w:r w:rsidR="003C4218">
        <w:t>e</w:t>
      </w:r>
      <w:r w:rsidR="00EE7D39">
        <w:t>s</w:t>
      </w:r>
      <w:r w:rsidR="003C4218">
        <w:t>ponses received to the April 2021 consultation paper and to this paper.</w:t>
      </w:r>
    </w:p>
    <w:p w14:paraId="6EB9B808" w14:textId="012BD916" w:rsidR="000475A1" w:rsidRDefault="00877D44" w:rsidP="00653E10">
      <w:pPr>
        <w:pStyle w:val="Paragraphbeforelist"/>
      </w:pPr>
      <w:r>
        <w:t>Other preferences for updates to the 5 GHz band expressed</w:t>
      </w:r>
      <w:r w:rsidR="00805A37">
        <w:t xml:space="preserve"> during the consultation </w:t>
      </w:r>
      <w:r w:rsidR="00B1643C">
        <w:t xml:space="preserve">for </w:t>
      </w:r>
      <w:r w:rsidR="00805A37">
        <w:t>this band included</w:t>
      </w:r>
      <w:r w:rsidR="000475A1">
        <w:t>:</w:t>
      </w:r>
    </w:p>
    <w:p w14:paraId="3B818411" w14:textId="0A33CF00" w:rsidR="000475A1" w:rsidRPr="00805A37" w:rsidRDefault="00805A37" w:rsidP="00653E10">
      <w:pPr>
        <w:pStyle w:val="Bulletlevel1"/>
      </w:pPr>
      <w:r>
        <w:t>f</w:t>
      </w:r>
      <w:r w:rsidR="00E95CC8" w:rsidRPr="00E95CC8">
        <w:t xml:space="preserve">ollowing the regulations in place in the US, which allow a maximum power </w:t>
      </w:r>
      <w:r>
        <w:t xml:space="preserve">in 5150–5250 MHz </w:t>
      </w:r>
      <w:r w:rsidR="00E95CC8" w:rsidRPr="00E95CC8">
        <w:t>of 4</w:t>
      </w:r>
      <w:r w:rsidR="00E95CC8" w:rsidRPr="00805A37">
        <w:t> W</w:t>
      </w:r>
      <w:r>
        <w:t xml:space="preserve"> EIRP (rather than 1 W)</w:t>
      </w:r>
    </w:p>
    <w:p w14:paraId="047BB20D" w14:textId="26C43052" w:rsidR="00E95CC8" w:rsidRDefault="00805A37" w:rsidP="00653E10">
      <w:pPr>
        <w:pStyle w:val="Bulletlevel1"/>
      </w:pPr>
      <w:r>
        <w:t>a</w:t>
      </w:r>
      <w:r w:rsidR="00E95CC8" w:rsidRPr="00805A37">
        <w:t>llowing out</w:t>
      </w:r>
      <w:r w:rsidR="00E95CC8">
        <w:t xml:space="preserve">door operation in </w:t>
      </w:r>
      <w:r w:rsidR="00E43117">
        <w:t xml:space="preserve">the </w:t>
      </w:r>
      <w:r w:rsidR="00E95CC8">
        <w:t>existing indoor-only 5250–5350 MHz range</w:t>
      </w:r>
    </w:p>
    <w:p w14:paraId="237A74E7" w14:textId="4F7E81F2" w:rsidR="003C4218" w:rsidRPr="00E95CC8" w:rsidRDefault="00805A37" w:rsidP="00653E10">
      <w:pPr>
        <w:pStyle w:val="Bulletlevel1last"/>
      </w:pPr>
      <w:r>
        <w:t>i</w:t>
      </w:r>
      <w:r w:rsidR="00E95CC8">
        <w:t xml:space="preserve">ncreasing PSD limits in </w:t>
      </w:r>
      <w:r>
        <w:t>5150–5350 MHz</w:t>
      </w:r>
      <w:r w:rsidR="00E95CC8">
        <w:t xml:space="preserve"> from 10 dBm to 11 dBm</w:t>
      </w:r>
      <w:r w:rsidR="00E43117">
        <w:t>.</w:t>
      </w:r>
    </w:p>
    <w:p w14:paraId="47D6637E" w14:textId="447BB7EC" w:rsidR="00B31CE0" w:rsidRDefault="000475A1" w:rsidP="00224B76">
      <w:pPr>
        <w:pStyle w:val="Paragraphbeforelist"/>
      </w:pPr>
      <w:r>
        <w:t xml:space="preserve">Specifically, we are now seeking views on </w:t>
      </w:r>
      <w:r w:rsidR="009F3757">
        <w:t>some follow</w:t>
      </w:r>
      <w:r w:rsidR="00B1643C">
        <w:t>-</w:t>
      </w:r>
      <w:r w:rsidR="009F3757">
        <w:t>up</w:t>
      </w:r>
      <w:r>
        <w:t xml:space="preserve"> questions:</w:t>
      </w:r>
    </w:p>
    <w:p w14:paraId="22E2EF54" w14:textId="054A5B17" w:rsidR="00805A37" w:rsidRDefault="003C4218" w:rsidP="00224B76">
      <w:pPr>
        <w:pStyle w:val="Bulletlevel1"/>
      </w:pPr>
      <w:r>
        <w:t>In addition to comments made to the April 2021 consultation</w:t>
      </w:r>
      <w:r w:rsidR="00E43117">
        <w:t xml:space="preserve"> paper</w:t>
      </w:r>
      <w:r>
        <w:t>, do you have any comments on the</w:t>
      </w:r>
      <w:r w:rsidR="007060D9">
        <w:t xml:space="preserve"> other</w:t>
      </w:r>
      <w:r>
        <w:t xml:space="preserve"> proposals for updates to the 5 GHz band listed above?</w:t>
      </w:r>
    </w:p>
    <w:p w14:paraId="55CAD3E9" w14:textId="461779B5" w:rsidR="003C4218" w:rsidRPr="00402460" w:rsidRDefault="003C4218" w:rsidP="00224B76">
      <w:pPr>
        <w:pStyle w:val="Bulletlevel1"/>
      </w:pPr>
      <w:r>
        <w:t>If outdoor and/or higher power RLAN devices were authorised in parts of the 5 GHz band</w:t>
      </w:r>
      <w:r w:rsidR="00E35C19">
        <w:t xml:space="preserve"> (</w:t>
      </w:r>
      <w:r w:rsidR="00B1643C">
        <w:t>for example</w:t>
      </w:r>
      <w:r w:rsidR="00E35C19">
        <w:t>, 5150–5250 MHz)</w:t>
      </w:r>
      <w:r>
        <w:t xml:space="preserve">, would </w:t>
      </w:r>
      <w:r w:rsidR="00982A77">
        <w:t xml:space="preserve">it be </w:t>
      </w:r>
      <w:r w:rsidR="00982A77" w:rsidRPr="00402460">
        <w:t>appropriate to implement measures similar to those being considered for high power devices in the 6 GHz band (</w:t>
      </w:r>
      <w:r w:rsidR="00B1643C" w:rsidRPr="00402460">
        <w:t>for example</w:t>
      </w:r>
      <w:r w:rsidR="00070A37" w:rsidRPr="00402460">
        <w:t>,</w:t>
      </w:r>
      <w:r w:rsidR="00982A77" w:rsidRPr="00402460">
        <w:t xml:space="preserve"> a registration system, or apparatus licensing)</w:t>
      </w:r>
      <w:r w:rsidR="007060D9" w:rsidRPr="00402460">
        <w:t>?</w:t>
      </w:r>
    </w:p>
    <w:p w14:paraId="596CFE10" w14:textId="540ABCC4" w:rsidR="007D2AE1" w:rsidRDefault="007D2AE1" w:rsidP="00224B76">
      <w:pPr>
        <w:pStyle w:val="Bulletlevel1last"/>
      </w:pPr>
      <w:r w:rsidRPr="00402460">
        <w:t>If high power devices were</w:t>
      </w:r>
      <w:r>
        <w:t xml:space="preserve"> to be </w:t>
      </w:r>
      <w:r w:rsidR="00E35C19">
        <w:t>authorised in both the 5 GHz and 6 GHz band, would it be appropriate to use the registration/authorisation method and system for both?</w:t>
      </w:r>
    </w:p>
    <w:p w14:paraId="5CFB49A1" w14:textId="77777777" w:rsidR="007060D9" w:rsidRDefault="007060D9" w:rsidP="00862263">
      <w:pPr>
        <w:rPr>
          <w:lang w:val="en-US"/>
        </w:rPr>
      </w:pPr>
    </w:p>
    <w:p w14:paraId="758640D1" w14:textId="77777777" w:rsidR="006C1631" w:rsidRDefault="006C1631" w:rsidP="006C1631">
      <w:pPr>
        <w:pStyle w:val="Heading1"/>
      </w:pPr>
      <w:bookmarkStart w:id="35" w:name="_Toc85119243"/>
      <w:bookmarkEnd w:id="19"/>
      <w:bookmarkEnd w:id="20"/>
      <w:bookmarkEnd w:id="21"/>
      <w:r>
        <w:lastRenderedPageBreak/>
        <w:t>Invitation to comment</w:t>
      </w:r>
      <w:bookmarkEnd w:id="35"/>
    </w:p>
    <w:p w14:paraId="3A71981F" w14:textId="77777777" w:rsidR="006C1631" w:rsidRDefault="006C1631" w:rsidP="006C1631">
      <w:pPr>
        <w:pStyle w:val="Heading2"/>
      </w:pPr>
      <w:bookmarkStart w:id="36" w:name="_Toc433122131"/>
      <w:bookmarkStart w:id="37" w:name="_Toc348105637"/>
      <w:bookmarkStart w:id="38" w:name="_Toc300909556"/>
      <w:bookmarkStart w:id="39" w:name="_Toc298924673"/>
      <w:bookmarkStart w:id="40" w:name="_Toc85119244"/>
      <w:bookmarkStart w:id="41" w:name="_Toc348105638"/>
      <w:bookmarkStart w:id="42" w:name="_Toc300909557"/>
      <w:bookmarkStart w:id="43" w:name="_Toc298924674"/>
      <w:bookmarkStart w:id="44" w:name="_Toc274296357"/>
      <w:r>
        <w:t>Making a submission</w:t>
      </w:r>
      <w:bookmarkEnd w:id="36"/>
      <w:bookmarkEnd w:id="37"/>
      <w:bookmarkEnd w:id="38"/>
      <w:bookmarkEnd w:id="39"/>
      <w:bookmarkEnd w:id="40"/>
    </w:p>
    <w:p w14:paraId="32E5C364" w14:textId="109530CA" w:rsidR="006C1631" w:rsidRDefault="006C5FD4" w:rsidP="006C1631">
      <w:r>
        <w:t>We</w:t>
      </w:r>
      <w:r w:rsidR="006C1631">
        <w:t xml:space="preserve"> invite comments on the issues set out in this </w:t>
      </w:r>
      <w:r w:rsidR="00E43117">
        <w:t>consultation</w:t>
      </w:r>
      <w:r w:rsidR="006C1631">
        <w:t xml:space="preserve"> paper. </w:t>
      </w:r>
    </w:p>
    <w:p w14:paraId="33859CE9" w14:textId="6277206F" w:rsidR="0070133D" w:rsidRDefault="00E80268" w:rsidP="0070133D">
      <w:pPr>
        <w:pStyle w:val="Bulletlevel1"/>
      </w:pPr>
      <w:hyperlink r:id="rId31" w:history="1">
        <w:r w:rsidR="0070133D">
          <w:rPr>
            <w:rStyle w:val="Hyperlink"/>
          </w:rPr>
          <w:t>Online submissions</w:t>
        </w:r>
      </w:hyperlink>
      <w:r w:rsidR="0070133D">
        <w:t xml:space="preserve"> can be made by </w:t>
      </w:r>
      <w:r w:rsidR="0070133D" w:rsidRPr="0070133D">
        <w:t>uploading</w:t>
      </w:r>
      <w:r w:rsidR="0070133D">
        <w:t xml:space="preserve"> a document</w:t>
      </w:r>
      <w:r w:rsidR="00424146">
        <w:t xml:space="preserve"> on the ACMA website</w:t>
      </w:r>
      <w:r w:rsidR="0070133D">
        <w:t>. Submissions in</w:t>
      </w:r>
      <w:r w:rsidR="00396DC2">
        <w:t xml:space="preserve"> PDF, </w:t>
      </w:r>
      <w:r w:rsidR="0070133D">
        <w:t>Microsoft Word or Rich Text Format are preferred.</w:t>
      </w:r>
    </w:p>
    <w:p w14:paraId="27E1585C" w14:textId="77777777" w:rsidR="006C1631" w:rsidRDefault="006C1631" w:rsidP="0070133D">
      <w:pPr>
        <w:pStyle w:val="Bulletlevel1"/>
      </w:pPr>
      <w:r>
        <w:t xml:space="preserve">Submissions by post can be sent to: </w:t>
      </w:r>
    </w:p>
    <w:p w14:paraId="0B07805D" w14:textId="77777777" w:rsidR="006C1631" w:rsidRPr="00344661" w:rsidRDefault="006C1631" w:rsidP="006C1631">
      <w:pPr>
        <w:tabs>
          <w:tab w:val="num" w:pos="295"/>
        </w:tabs>
        <w:spacing w:after="0"/>
        <w:ind w:left="295"/>
        <w:rPr>
          <w:szCs w:val="20"/>
        </w:rPr>
      </w:pPr>
      <w:r w:rsidRPr="00344661">
        <w:rPr>
          <w:szCs w:val="20"/>
        </w:rPr>
        <w:t>The Manager</w:t>
      </w:r>
    </w:p>
    <w:p w14:paraId="39D43971" w14:textId="49B7C665" w:rsidR="006C1631" w:rsidRPr="00344661" w:rsidRDefault="006C1631" w:rsidP="006C1631">
      <w:pPr>
        <w:spacing w:after="0"/>
        <w:ind w:left="295"/>
        <w:rPr>
          <w:szCs w:val="20"/>
        </w:rPr>
      </w:pPr>
      <w:r w:rsidRPr="00344661">
        <w:rPr>
          <w:szCs w:val="20"/>
        </w:rPr>
        <w:t>S</w:t>
      </w:r>
      <w:r w:rsidR="00344661" w:rsidRPr="00344661">
        <w:rPr>
          <w:szCs w:val="20"/>
        </w:rPr>
        <w:t>pectrum Planning Section</w:t>
      </w:r>
    </w:p>
    <w:p w14:paraId="1DAC6CBC" w14:textId="77777777" w:rsidR="006C1631" w:rsidRPr="00344661" w:rsidRDefault="006C1631" w:rsidP="006C1631">
      <w:pPr>
        <w:spacing w:after="0"/>
        <w:ind w:left="295"/>
        <w:rPr>
          <w:szCs w:val="20"/>
        </w:rPr>
      </w:pPr>
      <w:r w:rsidRPr="00344661">
        <w:rPr>
          <w:szCs w:val="20"/>
        </w:rPr>
        <w:t>Australian Communications and Media Authority</w:t>
      </w:r>
    </w:p>
    <w:p w14:paraId="7AD4231D" w14:textId="77777777" w:rsidR="006C1631" w:rsidRPr="00344661" w:rsidRDefault="006C1631" w:rsidP="006C1631">
      <w:pPr>
        <w:spacing w:after="0"/>
        <w:ind w:left="295"/>
        <w:rPr>
          <w:szCs w:val="20"/>
        </w:rPr>
      </w:pPr>
      <w:r w:rsidRPr="00344661">
        <w:rPr>
          <w:szCs w:val="20"/>
        </w:rPr>
        <w:t>PO Box 78</w:t>
      </w:r>
    </w:p>
    <w:p w14:paraId="3753FFEE" w14:textId="77777777" w:rsidR="006C1631" w:rsidRDefault="006C1631" w:rsidP="006C1631">
      <w:pPr>
        <w:ind w:left="295"/>
        <w:rPr>
          <w:szCs w:val="20"/>
        </w:rPr>
      </w:pPr>
      <w:r w:rsidRPr="00344661">
        <w:rPr>
          <w:szCs w:val="20"/>
        </w:rPr>
        <w:t>Belconnen ACT 2616</w:t>
      </w:r>
    </w:p>
    <w:p w14:paraId="2C8E129F" w14:textId="14E4500C" w:rsidR="006C1631" w:rsidRPr="0037127E" w:rsidRDefault="006C1631" w:rsidP="006C1631">
      <w:pPr>
        <w:rPr>
          <w:b/>
          <w:bCs/>
        </w:rPr>
      </w:pPr>
      <w:r>
        <w:t xml:space="preserve">The closing date for submissions is COB, </w:t>
      </w:r>
      <w:r w:rsidR="009F6F23">
        <w:rPr>
          <w:b/>
          <w:bCs/>
        </w:rPr>
        <w:t>Friday</w:t>
      </w:r>
      <w:r w:rsidRPr="00F8545E">
        <w:rPr>
          <w:b/>
          <w:bCs/>
        </w:rPr>
        <w:t xml:space="preserve"> </w:t>
      </w:r>
      <w:r w:rsidR="00956444">
        <w:rPr>
          <w:b/>
          <w:bCs/>
        </w:rPr>
        <w:t>1</w:t>
      </w:r>
      <w:r w:rsidR="009F6F23">
        <w:rPr>
          <w:b/>
          <w:bCs/>
        </w:rPr>
        <w:t>9</w:t>
      </w:r>
      <w:r w:rsidRPr="00F8545E">
        <w:rPr>
          <w:b/>
          <w:bCs/>
        </w:rPr>
        <w:t xml:space="preserve"> </w:t>
      </w:r>
      <w:r w:rsidR="00F8545E" w:rsidRPr="00F8545E">
        <w:rPr>
          <w:b/>
          <w:bCs/>
        </w:rPr>
        <w:t>November</w:t>
      </w:r>
      <w:r w:rsidRPr="00F8545E">
        <w:rPr>
          <w:b/>
          <w:bCs/>
        </w:rPr>
        <w:t xml:space="preserve"> 20</w:t>
      </w:r>
      <w:r w:rsidR="00F8545E" w:rsidRPr="00F8545E">
        <w:rPr>
          <w:b/>
          <w:bCs/>
        </w:rPr>
        <w:t>21</w:t>
      </w:r>
      <w:r>
        <w:t>.</w:t>
      </w:r>
    </w:p>
    <w:p w14:paraId="616D2A56" w14:textId="2B57F074" w:rsidR="006C1631" w:rsidRDefault="006C1631" w:rsidP="006C1631">
      <w:pPr>
        <w:rPr>
          <w:szCs w:val="20"/>
        </w:rPr>
      </w:pPr>
      <w:r w:rsidRPr="00344661">
        <w:t xml:space="preserve">Consultation enquiries can be emailed </w:t>
      </w:r>
      <w:r w:rsidRPr="00344661">
        <w:rPr>
          <w:szCs w:val="20"/>
        </w:rPr>
        <w:t xml:space="preserve">to </w:t>
      </w:r>
      <w:hyperlink r:id="rId32" w:history="1">
        <w:r w:rsidR="00344661" w:rsidRPr="00344661">
          <w:rPr>
            <w:rStyle w:val="Hyperlink"/>
            <w:szCs w:val="20"/>
          </w:rPr>
          <w:t>xavier.halliwell@acma.gov.au</w:t>
        </w:r>
      </w:hyperlink>
      <w:r w:rsidRPr="00344661">
        <w:rPr>
          <w:szCs w:val="20"/>
        </w:rPr>
        <w:t>.</w:t>
      </w:r>
    </w:p>
    <w:p w14:paraId="33FE1782" w14:textId="77777777" w:rsidR="006C1631" w:rsidRDefault="006C1631" w:rsidP="005B2F0D">
      <w:pPr>
        <w:pStyle w:val="Heading4"/>
      </w:pPr>
      <w:bookmarkStart w:id="45" w:name="_Toc348105639"/>
      <w:bookmarkStart w:id="46" w:name="_Toc300909558"/>
      <w:bookmarkStart w:id="47" w:name="_Hlk59627494"/>
      <w:bookmarkEnd w:id="41"/>
      <w:bookmarkEnd w:id="42"/>
      <w:r>
        <w:t xml:space="preserve">Publication of </w:t>
      </w:r>
      <w:r w:rsidRPr="005B2F0D">
        <w:t>submissions</w:t>
      </w:r>
      <w:bookmarkEnd w:id="43"/>
      <w:bookmarkEnd w:id="44"/>
      <w:bookmarkEnd w:id="45"/>
      <w:bookmarkEnd w:id="46"/>
    </w:p>
    <w:p w14:paraId="35D8B024" w14:textId="77777777" w:rsidR="006C1631" w:rsidRDefault="006C5FD4" w:rsidP="006C1631">
      <w:bookmarkStart w:id="48" w:name="_Toc348105640"/>
      <w:bookmarkStart w:id="49" w:name="_Toc300909559"/>
      <w:bookmarkStart w:id="50" w:name="_Toc265246234"/>
      <w:r>
        <w:t>We</w:t>
      </w:r>
      <w:r w:rsidR="006C1631">
        <w:t xml:space="preserve"> publish submissions on our website</w:t>
      </w:r>
      <w:r w:rsidR="006C1631">
        <w:rPr>
          <w:rFonts w:cs="Arial"/>
        </w:rPr>
        <w:t>, including personal information (such as names and contact details)</w:t>
      </w:r>
      <w:r w:rsidR="006C1631">
        <w:t xml:space="preserve">, except for information that you have claimed (and we have accepted) is confidential. </w:t>
      </w:r>
    </w:p>
    <w:p w14:paraId="54EA2DB8" w14:textId="77777777" w:rsidR="006C1631" w:rsidRDefault="006C1631" w:rsidP="006C1631">
      <w:r>
        <w:t>Confidential information will not be published or otherwise released unless required or authorised by law.</w:t>
      </w:r>
    </w:p>
    <w:p w14:paraId="36E8C11D" w14:textId="77777777" w:rsidR="006C1631" w:rsidRDefault="006C1631" w:rsidP="005B2F0D">
      <w:pPr>
        <w:pStyle w:val="Heading4"/>
      </w:pPr>
      <w:r>
        <w:t>Privacy</w:t>
      </w:r>
    </w:p>
    <w:p w14:paraId="1A454423" w14:textId="77777777" w:rsidR="006C1631" w:rsidRDefault="00E21056" w:rsidP="005B2F0D">
      <w:pPr>
        <w:pStyle w:val="Paragraph"/>
      </w:pPr>
      <w:r>
        <w:t>View</w:t>
      </w:r>
      <w:r w:rsidR="006C1631">
        <w:t xml:space="preserve"> information about </w:t>
      </w:r>
      <w:r>
        <w:t xml:space="preserve">our policy on the </w:t>
      </w:r>
      <w:hyperlink r:id="rId33" w:history="1">
        <w:r>
          <w:rPr>
            <w:rStyle w:val="Hyperlink"/>
          </w:rPr>
          <w:t>p</w:t>
        </w:r>
        <w:r w:rsidRPr="00E21056">
          <w:rPr>
            <w:rStyle w:val="Hyperlink"/>
          </w:rPr>
          <w:t>ublication of submissions</w:t>
        </w:r>
      </w:hyperlink>
      <w:r>
        <w:t xml:space="preserve">, including </w:t>
      </w:r>
      <w:r w:rsidR="006C1631">
        <w:t>collection of personal information during consultation and how we handle that information</w:t>
      </w:r>
      <w:r>
        <w:t>.</w:t>
      </w:r>
    </w:p>
    <w:bookmarkEnd w:id="48"/>
    <w:bookmarkEnd w:id="49"/>
    <w:bookmarkEnd w:id="50"/>
    <w:p w14:paraId="6E53BAF1" w14:textId="77777777" w:rsidR="00A4193E" w:rsidRPr="0041233F" w:rsidRDefault="006C1631" w:rsidP="005B2F0D">
      <w:pPr>
        <w:pStyle w:val="Paragraph"/>
      </w:pPr>
      <w:r>
        <w:t xml:space="preserve">Information on the </w:t>
      </w:r>
      <w:r>
        <w:rPr>
          <w:i/>
        </w:rPr>
        <w:t>Privacy Act 1988</w:t>
      </w:r>
      <w:r w:rsidR="006A4CCA">
        <w:rPr>
          <w:i/>
        </w:rPr>
        <w:t xml:space="preserve">, </w:t>
      </w:r>
      <w:r>
        <w:t xml:space="preserve">how to access or correct personal information, how to make a privacy complaint and how we will deal with </w:t>
      </w:r>
      <w:r w:rsidR="006C5FD4">
        <w:t xml:space="preserve">any </w:t>
      </w:r>
      <w:r>
        <w:t>complaint</w:t>
      </w:r>
      <w:r w:rsidR="006C5FD4">
        <w:t>s</w:t>
      </w:r>
      <w:r w:rsidR="00BB6335">
        <w:t>,</w:t>
      </w:r>
      <w:r w:rsidR="00CF0BFE">
        <w:t xml:space="preserve"> </w:t>
      </w:r>
      <w:r>
        <w:t xml:space="preserve">is available </w:t>
      </w:r>
      <w:r w:rsidR="00E21056">
        <w:t xml:space="preserve">in our </w:t>
      </w:r>
      <w:hyperlink r:id="rId34" w:history="1">
        <w:r w:rsidR="00E21056" w:rsidRPr="00E21056">
          <w:rPr>
            <w:rStyle w:val="Hyperlink"/>
          </w:rPr>
          <w:t>privacy policy</w:t>
        </w:r>
      </w:hyperlink>
      <w:r>
        <w:t>.</w:t>
      </w:r>
      <w:r w:rsidR="00A4193E">
        <w:t xml:space="preserve"> </w:t>
      </w:r>
    </w:p>
    <w:bookmarkEnd w:id="47"/>
    <w:p w14:paraId="2F9E6A98" w14:textId="5E2BDB36" w:rsidR="00FF3C69" w:rsidRDefault="00FF3C69" w:rsidP="00851F3F"/>
    <w:sectPr w:rsidR="00FF3C69" w:rsidSect="00C77380">
      <w:headerReference w:type="even" r:id="rId35"/>
      <w:headerReference w:type="default" r:id="rId36"/>
      <w:footerReference w:type="even" r:id="rId37"/>
      <w:footerReference w:type="default" r:id="rId38"/>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02C54" w14:textId="77777777" w:rsidR="000F681A" w:rsidRDefault="000F681A">
      <w:r>
        <w:separator/>
      </w:r>
    </w:p>
  </w:endnote>
  <w:endnote w:type="continuationSeparator" w:id="0">
    <w:p w14:paraId="13F25FFA" w14:textId="77777777" w:rsidR="000F681A" w:rsidRDefault="000F681A">
      <w:r>
        <w:continuationSeparator/>
      </w:r>
    </w:p>
  </w:endnote>
  <w:endnote w:type="continuationNotice" w:id="1">
    <w:p w14:paraId="6BCE8DD1" w14:textId="77777777" w:rsidR="000F681A" w:rsidRDefault="000F68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038E" w14:textId="77777777" w:rsidR="0081023C" w:rsidRDefault="0081023C" w:rsidP="005E250B">
    <w:pPr>
      <w:pStyle w:val="Footer"/>
      <w:jc w:val="right"/>
    </w:pPr>
    <w:r w:rsidRPr="005E250B">
      <w:rPr>
        <w:noProof/>
        <w:vertAlign w:val="subscript"/>
      </w:rPr>
      <w:drawing>
        <wp:inline distT="0" distB="0" distL="0" distR="0" wp14:anchorId="4A9DBBD0" wp14:editId="203AFB26">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BF95" w14:textId="77777777" w:rsidR="0081023C" w:rsidRDefault="00810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88C0" w14:textId="77777777" w:rsidR="0081023C" w:rsidRDefault="008102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D83E" w14:textId="77777777" w:rsidR="0081023C" w:rsidRPr="00622A3B" w:rsidRDefault="0081023C"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0D648AD5" w14:textId="77777777" w:rsidR="0081023C" w:rsidRPr="00A5474E" w:rsidRDefault="0081023C"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307A" w14:textId="77777777" w:rsidR="0081023C" w:rsidRPr="00622A3B" w:rsidRDefault="0081023C"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6C32A1F8" w14:textId="77777777" w:rsidR="0081023C" w:rsidRPr="00A5474E" w:rsidRDefault="0081023C"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DB12" w14:textId="77777777" w:rsidR="0081023C" w:rsidRPr="00622A3B" w:rsidRDefault="0081023C"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110E1922" w14:textId="77777777" w:rsidR="0081023C" w:rsidRPr="00A5474E" w:rsidRDefault="0081023C"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DFF4" w14:textId="77777777" w:rsidR="0081023C" w:rsidRPr="00622A3B" w:rsidRDefault="0081023C"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767B818F" w14:textId="77777777" w:rsidR="0081023C" w:rsidRPr="00A5474E" w:rsidRDefault="0081023C"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2C4D" w14:textId="77777777" w:rsidR="0081023C" w:rsidRPr="00622A3B" w:rsidRDefault="0081023C"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08692D2A" w14:textId="77777777" w:rsidR="0081023C" w:rsidRPr="00A5474E" w:rsidRDefault="0081023C"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84D11" w14:textId="77777777" w:rsidR="000F681A" w:rsidRDefault="000F681A" w:rsidP="00EA0969">
      <w:pPr>
        <w:spacing w:after="0"/>
      </w:pPr>
      <w:r>
        <w:separator/>
      </w:r>
    </w:p>
  </w:footnote>
  <w:footnote w:type="continuationSeparator" w:id="0">
    <w:p w14:paraId="2B2500F0" w14:textId="77777777" w:rsidR="000F681A" w:rsidRDefault="000F681A">
      <w:r>
        <w:continuationSeparator/>
      </w:r>
    </w:p>
  </w:footnote>
  <w:footnote w:type="continuationNotice" w:id="1">
    <w:p w14:paraId="69674789" w14:textId="77777777" w:rsidR="000F681A" w:rsidRDefault="000F681A">
      <w:pPr>
        <w:spacing w:after="0" w:line="240" w:lineRule="auto"/>
      </w:pPr>
    </w:p>
  </w:footnote>
  <w:footnote w:id="2">
    <w:p w14:paraId="4F195394" w14:textId="50416999" w:rsidR="0081023C" w:rsidRDefault="0081023C">
      <w:pPr>
        <w:pStyle w:val="FootnoteText"/>
      </w:pPr>
      <w:r>
        <w:rPr>
          <w:rStyle w:val="FootnoteReference"/>
        </w:rPr>
        <w:footnoteRef/>
      </w:r>
      <w:r>
        <w:t xml:space="preserve"> In Australia</w:t>
      </w:r>
      <w:r w:rsidR="00470BFF">
        <w:t>,</w:t>
      </w:r>
      <w:r>
        <w:t xml:space="preserve"> operation </w:t>
      </w:r>
      <w:r w:rsidR="00C06CE7">
        <w:t xml:space="preserve">of a radiocommunications device </w:t>
      </w:r>
      <w:r>
        <w:t xml:space="preserve">without </w:t>
      </w:r>
      <w:r w:rsidR="00C06CE7">
        <w:t xml:space="preserve">a </w:t>
      </w:r>
      <w:r>
        <w:t xml:space="preserve">licence is illegal, however standing authorisations such as the LIPD </w:t>
      </w:r>
      <w:r w:rsidR="00843C55">
        <w:t>C</w:t>
      </w:r>
      <w:r>
        <w:t xml:space="preserve">lass </w:t>
      </w:r>
      <w:r w:rsidR="00843C55">
        <w:t>L</w:t>
      </w:r>
      <w:r>
        <w:t>icence capture devices that might be permitted on an unlicenced basis elsewhere.</w:t>
      </w:r>
    </w:p>
  </w:footnote>
  <w:footnote w:id="3">
    <w:p w14:paraId="4510FCFF" w14:textId="308BD0E9" w:rsidR="00AB6604" w:rsidRDefault="00AB6604">
      <w:pPr>
        <w:pStyle w:val="FootnoteText"/>
      </w:pPr>
      <w:r>
        <w:rPr>
          <w:rStyle w:val="FootnoteReference"/>
        </w:rPr>
        <w:footnoteRef/>
      </w:r>
      <w:r>
        <w:t xml:space="preserve"> Mid-band is generally considered to be spectrum between approximately 1 GHz and 6 GHz.</w:t>
      </w:r>
    </w:p>
  </w:footnote>
  <w:footnote w:id="4">
    <w:p w14:paraId="339145E6" w14:textId="309BA894" w:rsidR="00354543" w:rsidRDefault="00354543" w:rsidP="00354543">
      <w:pPr>
        <w:pStyle w:val="FootnoteText"/>
      </w:pPr>
      <w:r>
        <w:rPr>
          <w:rStyle w:val="FootnoteReference"/>
        </w:rPr>
        <w:footnoteRef/>
      </w:r>
      <w:r>
        <w:t xml:space="preserve"> </w:t>
      </w:r>
      <w:r w:rsidR="0017220C" w:rsidRPr="0017220C">
        <w:t>‘</w:t>
      </w:r>
      <w:r w:rsidRPr="00B54A97">
        <w:t>Use of the frequency bands 5150–5250 MHz, 5250–5350 MHz and 5470–5725 MHz by the mobile service for the implementation of wireless access systems including radio local area networks</w:t>
      </w:r>
      <w:r w:rsidR="0017220C" w:rsidRPr="0017220C">
        <w:t>’.</w:t>
      </w:r>
    </w:p>
  </w:footnote>
  <w:footnote w:id="5">
    <w:p w14:paraId="110ACEEA" w14:textId="5F9E0EEA" w:rsidR="0038722F" w:rsidRDefault="0038722F" w:rsidP="0038722F">
      <w:pPr>
        <w:pStyle w:val="FootnoteText"/>
      </w:pPr>
      <w:r>
        <w:rPr>
          <w:rStyle w:val="FootnoteReference"/>
        </w:rPr>
        <w:footnoteRef/>
      </w:r>
      <w:r>
        <w:t xml:space="preserve"> </w:t>
      </w:r>
      <w:hyperlink r:id="rId1" w:history="1">
        <w:r w:rsidRPr="007E3EA4">
          <w:rPr>
            <w:rStyle w:val="Hyperlink"/>
          </w:rPr>
          <w:t>CEPT Report 75</w:t>
        </w:r>
      </w:hyperlink>
      <w:r w:rsidR="00AA058A" w:rsidRPr="00B0115E">
        <w:rPr>
          <w:rStyle w:val="Hyperlink"/>
          <w:color w:val="auto"/>
          <w:u w:val="none"/>
        </w:rPr>
        <w:t>.</w:t>
      </w:r>
    </w:p>
  </w:footnote>
  <w:footnote w:id="6">
    <w:p w14:paraId="73C0ECB8" w14:textId="1FC16AC9" w:rsidR="0081023C" w:rsidRDefault="0081023C">
      <w:pPr>
        <w:pStyle w:val="FootnoteText"/>
      </w:pPr>
      <w:r>
        <w:rPr>
          <w:rStyle w:val="FootnoteReference"/>
        </w:rPr>
        <w:footnoteRef/>
      </w:r>
      <w:r>
        <w:t xml:space="preserve"> See, for example, Reports </w:t>
      </w:r>
      <w:hyperlink r:id="rId2" w:history="1">
        <w:r w:rsidRPr="003156B6">
          <w:rPr>
            <w:rStyle w:val="Hyperlink"/>
          </w:rPr>
          <w:t>ITU-R S.23</w:t>
        </w:r>
        <w:r>
          <w:rPr>
            <w:rStyle w:val="Hyperlink"/>
          </w:rPr>
          <w:t>6</w:t>
        </w:r>
        <w:r w:rsidRPr="003156B6">
          <w:rPr>
            <w:rStyle w:val="Hyperlink"/>
          </w:rPr>
          <w:t>7</w:t>
        </w:r>
      </w:hyperlink>
      <w:r w:rsidRPr="00E320B3">
        <w:t xml:space="preserve"> and </w:t>
      </w:r>
      <w:hyperlink r:id="rId3" w:history="1">
        <w:r w:rsidRPr="003156B6">
          <w:rPr>
            <w:rStyle w:val="Hyperlink"/>
          </w:rPr>
          <w:t>ITU-R S.2368</w:t>
        </w:r>
      </w:hyperlink>
      <w:r w:rsidRPr="00E320B3">
        <w:t>.</w:t>
      </w:r>
    </w:p>
  </w:footnote>
  <w:footnote w:id="7">
    <w:p w14:paraId="38D3AB15" w14:textId="6AC44465" w:rsidR="00FA3941" w:rsidRDefault="00FA3941">
      <w:pPr>
        <w:pStyle w:val="FootnoteText"/>
      </w:pPr>
      <w:r>
        <w:rPr>
          <w:rStyle w:val="FootnoteReference"/>
        </w:rPr>
        <w:footnoteRef/>
      </w:r>
      <w:r>
        <w:t xml:space="preserve"> See, for example, ITU Reports </w:t>
      </w:r>
      <w:hyperlink r:id="rId4" w:history="1">
        <w:r w:rsidRPr="003156B6">
          <w:rPr>
            <w:rStyle w:val="Hyperlink"/>
          </w:rPr>
          <w:t>ITU-R S.23</w:t>
        </w:r>
        <w:r>
          <w:rPr>
            <w:rStyle w:val="Hyperlink"/>
          </w:rPr>
          <w:t>6</w:t>
        </w:r>
        <w:r w:rsidRPr="003156B6">
          <w:rPr>
            <w:rStyle w:val="Hyperlink"/>
          </w:rPr>
          <w:t>7</w:t>
        </w:r>
      </w:hyperlink>
      <w:r w:rsidRPr="00E320B3">
        <w:t xml:space="preserve"> and </w:t>
      </w:r>
      <w:hyperlink r:id="rId5" w:history="1">
        <w:r w:rsidRPr="003156B6">
          <w:rPr>
            <w:rStyle w:val="Hyperlink"/>
          </w:rPr>
          <w:t>ITU-R S.2368</w:t>
        </w:r>
      </w:hyperlink>
      <w:r w:rsidR="00300D79" w:rsidRPr="00B0115E">
        <w:rPr>
          <w:rStyle w:val="Hyperlink"/>
          <w:color w:val="auto"/>
          <w:u w:val="none"/>
        </w:rPr>
        <w:t>.</w:t>
      </w:r>
    </w:p>
  </w:footnote>
  <w:footnote w:id="8">
    <w:p w14:paraId="0AC964C3" w14:textId="467D6809" w:rsidR="00C04019" w:rsidRDefault="00C04019">
      <w:pPr>
        <w:pStyle w:val="FootnoteText"/>
      </w:pPr>
      <w:r>
        <w:rPr>
          <w:rStyle w:val="FootnoteReference"/>
        </w:rPr>
        <w:footnoteRef/>
      </w:r>
      <w:r>
        <w:t xml:space="preserve"> The only material discussion on this issue in consultation responses was </w:t>
      </w:r>
      <w:r w:rsidR="00E43117">
        <w:t>from Telstra</w:t>
      </w:r>
      <w:r>
        <w:t xml:space="preserve"> (in its capacity as a fixed link operator), who agreed that fixed links would be suitably protected, even from higher indoor RLAN devices.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ACE5" w14:textId="77777777" w:rsidR="0081023C" w:rsidRPr="00A5474E" w:rsidRDefault="0081023C" w:rsidP="00A5474E">
    <w:pPr>
      <w:pStyle w:val="Header"/>
    </w:pPr>
    <w:r>
      <w:rPr>
        <w:noProof/>
      </w:rPr>
      <w:drawing>
        <wp:inline distT="0" distB="0" distL="0" distR="0" wp14:anchorId="5602D197" wp14:editId="452F8212">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E19D" w14:textId="77777777" w:rsidR="0081023C" w:rsidRPr="00A5474E" w:rsidRDefault="0081023C"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C5B5" w14:textId="77777777" w:rsidR="0081023C" w:rsidRDefault="008102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2B10" w14:textId="77777777" w:rsidR="0081023C" w:rsidRDefault="008102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81023C" w14:paraId="74A2F8BF" w14:textId="77777777" w:rsidTr="00D12F2D">
      <w:trPr>
        <w:trHeight w:hRule="exact" w:val="988"/>
      </w:trPr>
      <w:tc>
        <w:tcPr>
          <w:tcW w:w="7678" w:type="dxa"/>
          <w:shd w:val="clear" w:color="auto" w:fill="auto"/>
        </w:tcPr>
        <w:p w14:paraId="10BE6E87" w14:textId="77777777" w:rsidR="0081023C" w:rsidRDefault="0081023C" w:rsidP="00971914">
          <w:pPr>
            <w:pStyle w:val="Header"/>
          </w:pPr>
        </w:p>
      </w:tc>
    </w:tr>
    <w:tr w:rsidR="0081023C" w14:paraId="12EED8C8" w14:textId="77777777" w:rsidTr="00D12F2D">
      <w:tc>
        <w:tcPr>
          <w:tcW w:w="7678" w:type="dxa"/>
          <w:shd w:val="clear" w:color="auto" w:fill="auto"/>
        </w:tcPr>
        <w:p w14:paraId="2B2DB112" w14:textId="77777777" w:rsidR="0081023C" w:rsidRDefault="0081023C" w:rsidP="00971914">
          <w:pPr>
            <w:pStyle w:val="GridTable31"/>
          </w:pPr>
          <w:r>
            <w:t xml:space="preserve">Contents </w:t>
          </w:r>
          <w:r w:rsidRPr="00915B1C">
            <w:rPr>
              <w:b w:val="0"/>
              <w:spacing w:val="0"/>
              <w:sz w:val="28"/>
              <w:szCs w:val="28"/>
            </w:rPr>
            <w:t>(Continued)</w:t>
          </w:r>
        </w:p>
      </w:tc>
    </w:tr>
    <w:tr w:rsidR="0081023C" w14:paraId="2C0587E9" w14:textId="77777777" w:rsidTr="00D12F2D">
      <w:trPr>
        <w:trHeight w:val="1220"/>
      </w:trPr>
      <w:tc>
        <w:tcPr>
          <w:tcW w:w="7678" w:type="dxa"/>
          <w:shd w:val="clear" w:color="auto" w:fill="auto"/>
        </w:tcPr>
        <w:p w14:paraId="6FFF30F1" w14:textId="77777777" w:rsidR="0081023C" w:rsidRDefault="0081023C" w:rsidP="00971914"/>
      </w:tc>
    </w:tr>
  </w:tbl>
  <w:p w14:paraId="6B3BC0F2" w14:textId="77777777" w:rsidR="0081023C" w:rsidRDefault="0081023C"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81023C" w14:paraId="7BD061C2" w14:textId="77777777" w:rsidTr="00D12F2D">
      <w:trPr>
        <w:trHeight w:hRule="exact" w:val="988"/>
      </w:trPr>
      <w:tc>
        <w:tcPr>
          <w:tcW w:w="7678" w:type="dxa"/>
          <w:shd w:val="clear" w:color="auto" w:fill="auto"/>
        </w:tcPr>
        <w:p w14:paraId="5820C272" w14:textId="77777777" w:rsidR="0081023C" w:rsidRDefault="0081023C" w:rsidP="00971914">
          <w:pPr>
            <w:pStyle w:val="Header"/>
          </w:pPr>
        </w:p>
      </w:tc>
    </w:tr>
    <w:tr w:rsidR="0081023C" w14:paraId="2329D0FF" w14:textId="77777777" w:rsidTr="00D12F2D">
      <w:tc>
        <w:tcPr>
          <w:tcW w:w="7678" w:type="dxa"/>
          <w:shd w:val="clear" w:color="auto" w:fill="auto"/>
        </w:tcPr>
        <w:p w14:paraId="04434139" w14:textId="77777777" w:rsidR="0081023C" w:rsidRDefault="0081023C" w:rsidP="00971914">
          <w:pPr>
            <w:pStyle w:val="GridTable31"/>
          </w:pPr>
          <w:r>
            <w:t xml:space="preserve">Contents </w:t>
          </w:r>
          <w:r w:rsidRPr="00915B1C">
            <w:rPr>
              <w:b w:val="0"/>
              <w:spacing w:val="0"/>
              <w:sz w:val="28"/>
              <w:szCs w:val="28"/>
            </w:rPr>
            <w:t>(Continued)</w:t>
          </w:r>
        </w:p>
      </w:tc>
    </w:tr>
    <w:tr w:rsidR="0081023C" w14:paraId="362C16A6" w14:textId="77777777" w:rsidTr="00D12F2D">
      <w:trPr>
        <w:trHeight w:val="1220"/>
      </w:trPr>
      <w:tc>
        <w:tcPr>
          <w:tcW w:w="7678" w:type="dxa"/>
          <w:shd w:val="clear" w:color="auto" w:fill="auto"/>
        </w:tcPr>
        <w:p w14:paraId="16437D56" w14:textId="77777777" w:rsidR="0081023C" w:rsidRDefault="0081023C" w:rsidP="00971914"/>
      </w:tc>
    </w:tr>
  </w:tbl>
  <w:p w14:paraId="546D9FF1" w14:textId="77777777" w:rsidR="0081023C" w:rsidRPr="00A5474E" w:rsidRDefault="0081023C"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4051" w14:textId="77777777" w:rsidR="0081023C" w:rsidRDefault="0081023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72D2" w14:textId="77777777" w:rsidR="0081023C" w:rsidRDefault="00810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2702"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D59A1"/>
    <w:multiLevelType w:val="hybridMultilevel"/>
    <w:tmpl w:val="9DE87418"/>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0DC178D"/>
    <w:multiLevelType w:val="hybridMultilevel"/>
    <w:tmpl w:val="64582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665620"/>
    <w:multiLevelType w:val="hybridMultilevel"/>
    <w:tmpl w:val="C6EAA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1E56E5"/>
    <w:multiLevelType w:val="hybridMultilevel"/>
    <w:tmpl w:val="D1146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8E4F10"/>
    <w:multiLevelType w:val="hybridMultilevel"/>
    <w:tmpl w:val="C4DE06C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AE12E8"/>
    <w:multiLevelType w:val="hybridMultilevel"/>
    <w:tmpl w:val="29F62E80"/>
    <w:lvl w:ilvl="0" w:tplc="0C090001">
      <w:start w:val="1"/>
      <w:numFmt w:val="bullet"/>
      <w:lvlText w:val=""/>
      <w:lvlJc w:val="left"/>
      <w:pPr>
        <w:ind w:left="644" w:hanging="360"/>
      </w:pPr>
      <w:rPr>
        <w:rFonts w:ascii="Symbol" w:hAnsi="Symbol" w:hint="default"/>
      </w:rPr>
    </w:lvl>
    <w:lvl w:ilvl="1" w:tplc="0C090005">
      <w:start w:val="1"/>
      <w:numFmt w:val="bullet"/>
      <w:lvlText w:val=""/>
      <w:lvlJc w:val="left"/>
      <w:pPr>
        <w:ind w:left="1364" w:hanging="360"/>
      </w:pPr>
      <w:rPr>
        <w:rFonts w:ascii="Wingdings" w:hAnsi="Wingdings"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4B967602"/>
    <w:multiLevelType w:val="hybridMultilevel"/>
    <w:tmpl w:val="1DDE3A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1B7930"/>
    <w:multiLevelType w:val="hybridMultilevel"/>
    <w:tmpl w:val="EBBAF07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515978DF"/>
    <w:multiLevelType w:val="hybridMultilevel"/>
    <w:tmpl w:val="A8320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B0265F"/>
    <w:multiLevelType w:val="hybridMultilevel"/>
    <w:tmpl w:val="78D647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EC319F"/>
    <w:multiLevelType w:val="hybridMultilevel"/>
    <w:tmpl w:val="CC9C3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75138B"/>
    <w:multiLevelType w:val="hybridMultilevel"/>
    <w:tmpl w:val="BFC0A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E6741B"/>
    <w:multiLevelType w:val="hybridMultilevel"/>
    <w:tmpl w:val="1EB0A0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244EFD"/>
    <w:multiLevelType w:val="hybridMultilevel"/>
    <w:tmpl w:val="E550D8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7B0725"/>
    <w:multiLevelType w:val="hybridMultilevel"/>
    <w:tmpl w:val="796A3D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E21630"/>
    <w:multiLevelType w:val="hybridMultilevel"/>
    <w:tmpl w:val="603C74D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7E7CFDF8">
      <w:start w:val="4"/>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5602C2"/>
    <w:multiLevelType w:val="hybridMultilevel"/>
    <w:tmpl w:val="58BECAE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7"/>
  </w:num>
  <w:num w:numId="6">
    <w:abstractNumId w:val="21"/>
  </w:num>
  <w:num w:numId="7">
    <w:abstractNumId w:val="18"/>
  </w:num>
  <w:num w:numId="8">
    <w:abstractNumId w:val="20"/>
  </w:num>
  <w:num w:numId="9">
    <w:abstractNumId w:val="24"/>
  </w:num>
  <w:num w:numId="10">
    <w:abstractNumId w:val="5"/>
  </w:num>
  <w:num w:numId="11">
    <w:abstractNumId w:val="4"/>
  </w:num>
  <w:num w:numId="12">
    <w:abstractNumId w:val="3"/>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8"/>
  </w:num>
  <w:num w:numId="17">
    <w:abstractNumId w:val="2"/>
    <w:lvlOverride w:ilvl="0">
      <w:startOverride w:val="1"/>
    </w:lvlOverride>
  </w:num>
  <w:num w:numId="18">
    <w:abstractNumId w:val="26"/>
  </w:num>
  <w:num w:numId="19">
    <w:abstractNumId w:val="23"/>
  </w:num>
  <w:num w:numId="20">
    <w:abstractNumId w:val="27"/>
  </w:num>
  <w:num w:numId="21">
    <w:abstractNumId w:val="11"/>
  </w:num>
  <w:num w:numId="22">
    <w:abstractNumId w:val="9"/>
  </w:num>
  <w:num w:numId="23">
    <w:abstractNumId w:val="28"/>
  </w:num>
  <w:num w:numId="24">
    <w:abstractNumId w:val="25"/>
  </w:num>
  <w:num w:numId="25">
    <w:abstractNumId w:val="16"/>
  </w:num>
  <w:num w:numId="26">
    <w:abstractNumId w:val="10"/>
  </w:num>
  <w:num w:numId="27">
    <w:abstractNumId w:val="19"/>
  </w:num>
  <w:num w:numId="28">
    <w:abstractNumId w:val="12"/>
  </w:num>
  <w:num w:numId="29">
    <w:abstractNumId w:val="22"/>
  </w:num>
  <w:num w:numId="30">
    <w:abstractNumId w:val="14"/>
  </w:num>
  <w:num w:numId="31">
    <w:abstractNumId w:val="17"/>
  </w:num>
  <w:num w:numId="32">
    <w:abstractNumId w:val="15"/>
  </w:num>
  <w:num w:numId="33">
    <w:abstractNumId w:val="2"/>
  </w:num>
  <w:num w:numId="34">
    <w:abstractNumId w:val="2"/>
  </w:num>
  <w:num w:numId="35">
    <w:abstractNumId w:val="6"/>
  </w:num>
  <w:num w:numId="36">
    <w:abstractNumId w:val="13"/>
  </w:num>
  <w:num w:numId="37">
    <w:abstractNumId w:val="2"/>
    <w:lvlOverride w:ilvl="0">
      <w:startOverride w:val="1"/>
    </w:lvlOverride>
  </w:num>
  <w:num w:numId="38">
    <w:abstractNumId w:val="2"/>
  </w:num>
  <w:num w:numId="39">
    <w:abstractNumId w:val="2"/>
    <w:lvlOverride w:ilvl="0">
      <w:startOverride w:val="1"/>
    </w:lvlOverride>
  </w:num>
  <w:num w:numId="4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12289">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17"/>
    <w:rsid w:val="00000961"/>
    <w:rsid w:val="0000355C"/>
    <w:rsid w:val="00006CE0"/>
    <w:rsid w:val="0000796F"/>
    <w:rsid w:val="0001008F"/>
    <w:rsid w:val="00010667"/>
    <w:rsid w:val="000110D6"/>
    <w:rsid w:val="000129D5"/>
    <w:rsid w:val="00014F89"/>
    <w:rsid w:val="0001579A"/>
    <w:rsid w:val="00015AE7"/>
    <w:rsid w:val="00016E21"/>
    <w:rsid w:val="0001719C"/>
    <w:rsid w:val="00017377"/>
    <w:rsid w:val="000177FC"/>
    <w:rsid w:val="0002224E"/>
    <w:rsid w:val="00023A36"/>
    <w:rsid w:val="000245E5"/>
    <w:rsid w:val="000246D6"/>
    <w:rsid w:val="0002532D"/>
    <w:rsid w:val="00025F71"/>
    <w:rsid w:val="00026F91"/>
    <w:rsid w:val="00030013"/>
    <w:rsid w:val="00032621"/>
    <w:rsid w:val="000347A1"/>
    <w:rsid w:val="00034C55"/>
    <w:rsid w:val="00035348"/>
    <w:rsid w:val="00035452"/>
    <w:rsid w:val="000360AB"/>
    <w:rsid w:val="00037165"/>
    <w:rsid w:val="00037E20"/>
    <w:rsid w:val="00040E50"/>
    <w:rsid w:val="0004116F"/>
    <w:rsid w:val="00041309"/>
    <w:rsid w:val="00042431"/>
    <w:rsid w:val="00043581"/>
    <w:rsid w:val="000475A1"/>
    <w:rsid w:val="0004764C"/>
    <w:rsid w:val="0005011A"/>
    <w:rsid w:val="0005045A"/>
    <w:rsid w:val="0005163B"/>
    <w:rsid w:val="00051C1E"/>
    <w:rsid w:val="00051D1B"/>
    <w:rsid w:val="00052DEF"/>
    <w:rsid w:val="00053836"/>
    <w:rsid w:val="000539F9"/>
    <w:rsid w:val="00054586"/>
    <w:rsid w:val="00054C27"/>
    <w:rsid w:val="00055EC3"/>
    <w:rsid w:val="000563CE"/>
    <w:rsid w:val="00063BF0"/>
    <w:rsid w:val="00065056"/>
    <w:rsid w:val="00065826"/>
    <w:rsid w:val="000659B6"/>
    <w:rsid w:val="0006686F"/>
    <w:rsid w:val="0006722A"/>
    <w:rsid w:val="00067476"/>
    <w:rsid w:val="000700D4"/>
    <w:rsid w:val="00070A37"/>
    <w:rsid w:val="00071830"/>
    <w:rsid w:val="000720E0"/>
    <w:rsid w:val="000732CF"/>
    <w:rsid w:val="000734DF"/>
    <w:rsid w:val="00073DB1"/>
    <w:rsid w:val="0007505E"/>
    <w:rsid w:val="00075B96"/>
    <w:rsid w:val="00075C4A"/>
    <w:rsid w:val="00077C49"/>
    <w:rsid w:val="00080168"/>
    <w:rsid w:val="0008196A"/>
    <w:rsid w:val="00081FE3"/>
    <w:rsid w:val="00085B55"/>
    <w:rsid w:val="000868EA"/>
    <w:rsid w:val="000915ED"/>
    <w:rsid w:val="0009209D"/>
    <w:rsid w:val="0009210C"/>
    <w:rsid w:val="00093287"/>
    <w:rsid w:val="0009463C"/>
    <w:rsid w:val="000969BD"/>
    <w:rsid w:val="000969BF"/>
    <w:rsid w:val="00096A86"/>
    <w:rsid w:val="00096DCA"/>
    <w:rsid w:val="00097077"/>
    <w:rsid w:val="000A0557"/>
    <w:rsid w:val="000A0C22"/>
    <w:rsid w:val="000A1400"/>
    <w:rsid w:val="000A1CDB"/>
    <w:rsid w:val="000A1F60"/>
    <w:rsid w:val="000A3C43"/>
    <w:rsid w:val="000A3F2A"/>
    <w:rsid w:val="000A4A51"/>
    <w:rsid w:val="000A4EB5"/>
    <w:rsid w:val="000A56B0"/>
    <w:rsid w:val="000A5D2B"/>
    <w:rsid w:val="000A6180"/>
    <w:rsid w:val="000A654D"/>
    <w:rsid w:val="000A7ED9"/>
    <w:rsid w:val="000B0158"/>
    <w:rsid w:val="000B0806"/>
    <w:rsid w:val="000B09A9"/>
    <w:rsid w:val="000B0FEF"/>
    <w:rsid w:val="000B1193"/>
    <w:rsid w:val="000B3A80"/>
    <w:rsid w:val="000B4664"/>
    <w:rsid w:val="000B5279"/>
    <w:rsid w:val="000B5DE3"/>
    <w:rsid w:val="000B68D2"/>
    <w:rsid w:val="000C0A57"/>
    <w:rsid w:val="000C121B"/>
    <w:rsid w:val="000C230C"/>
    <w:rsid w:val="000C4671"/>
    <w:rsid w:val="000C56DB"/>
    <w:rsid w:val="000C6430"/>
    <w:rsid w:val="000C6AB4"/>
    <w:rsid w:val="000C773D"/>
    <w:rsid w:val="000D327D"/>
    <w:rsid w:val="000D3C48"/>
    <w:rsid w:val="000D5AA3"/>
    <w:rsid w:val="000D5F32"/>
    <w:rsid w:val="000D6F4D"/>
    <w:rsid w:val="000D71D9"/>
    <w:rsid w:val="000D76E0"/>
    <w:rsid w:val="000D7E8B"/>
    <w:rsid w:val="000E1C55"/>
    <w:rsid w:val="000E2F4D"/>
    <w:rsid w:val="000E4449"/>
    <w:rsid w:val="000E5FCA"/>
    <w:rsid w:val="000E6097"/>
    <w:rsid w:val="000E60F6"/>
    <w:rsid w:val="000E6B05"/>
    <w:rsid w:val="000E6E31"/>
    <w:rsid w:val="000E72B6"/>
    <w:rsid w:val="000F1026"/>
    <w:rsid w:val="000F3966"/>
    <w:rsid w:val="000F41EC"/>
    <w:rsid w:val="000F4EFD"/>
    <w:rsid w:val="000F5C49"/>
    <w:rsid w:val="000F681A"/>
    <w:rsid w:val="000F7AA6"/>
    <w:rsid w:val="00100EFD"/>
    <w:rsid w:val="001014BC"/>
    <w:rsid w:val="00103829"/>
    <w:rsid w:val="00104463"/>
    <w:rsid w:val="00104970"/>
    <w:rsid w:val="001065B4"/>
    <w:rsid w:val="00107289"/>
    <w:rsid w:val="00111FCE"/>
    <w:rsid w:val="00113950"/>
    <w:rsid w:val="0011437B"/>
    <w:rsid w:val="00116E9C"/>
    <w:rsid w:val="001209BF"/>
    <w:rsid w:val="00120F30"/>
    <w:rsid w:val="001229A5"/>
    <w:rsid w:val="00122DD9"/>
    <w:rsid w:val="0012331E"/>
    <w:rsid w:val="0012460C"/>
    <w:rsid w:val="0012489B"/>
    <w:rsid w:val="00130017"/>
    <w:rsid w:val="00130F91"/>
    <w:rsid w:val="00131286"/>
    <w:rsid w:val="001349ED"/>
    <w:rsid w:val="00137424"/>
    <w:rsid w:val="00140318"/>
    <w:rsid w:val="00141AD9"/>
    <w:rsid w:val="001452E1"/>
    <w:rsid w:val="00145EB0"/>
    <w:rsid w:val="00146CE6"/>
    <w:rsid w:val="001476BB"/>
    <w:rsid w:val="001508B1"/>
    <w:rsid w:val="00152903"/>
    <w:rsid w:val="0015291B"/>
    <w:rsid w:val="00153630"/>
    <w:rsid w:val="001536D1"/>
    <w:rsid w:val="00153FD5"/>
    <w:rsid w:val="00154759"/>
    <w:rsid w:val="00155BAB"/>
    <w:rsid w:val="0015614F"/>
    <w:rsid w:val="0015630D"/>
    <w:rsid w:val="001573E7"/>
    <w:rsid w:val="001577C2"/>
    <w:rsid w:val="001633C4"/>
    <w:rsid w:val="00164CE9"/>
    <w:rsid w:val="00166C89"/>
    <w:rsid w:val="001704D5"/>
    <w:rsid w:val="00170801"/>
    <w:rsid w:val="00170868"/>
    <w:rsid w:val="00170906"/>
    <w:rsid w:val="00171591"/>
    <w:rsid w:val="0017220C"/>
    <w:rsid w:val="00172EE6"/>
    <w:rsid w:val="00173981"/>
    <w:rsid w:val="00173E66"/>
    <w:rsid w:val="00173F0C"/>
    <w:rsid w:val="001756B8"/>
    <w:rsid w:val="0017719D"/>
    <w:rsid w:val="00181F6F"/>
    <w:rsid w:val="00183FD7"/>
    <w:rsid w:val="00185CAB"/>
    <w:rsid w:val="001875B7"/>
    <w:rsid w:val="00187CB3"/>
    <w:rsid w:val="0019050A"/>
    <w:rsid w:val="00190E48"/>
    <w:rsid w:val="001910D4"/>
    <w:rsid w:val="00192408"/>
    <w:rsid w:val="0019329D"/>
    <w:rsid w:val="00195488"/>
    <w:rsid w:val="00196D69"/>
    <w:rsid w:val="001976E3"/>
    <w:rsid w:val="001A15A2"/>
    <w:rsid w:val="001A2315"/>
    <w:rsid w:val="001A2F39"/>
    <w:rsid w:val="001A3A63"/>
    <w:rsid w:val="001A44EC"/>
    <w:rsid w:val="001A73B0"/>
    <w:rsid w:val="001B11CC"/>
    <w:rsid w:val="001B2A71"/>
    <w:rsid w:val="001B3874"/>
    <w:rsid w:val="001B40B7"/>
    <w:rsid w:val="001B58A8"/>
    <w:rsid w:val="001B58AA"/>
    <w:rsid w:val="001B73AB"/>
    <w:rsid w:val="001B7DB6"/>
    <w:rsid w:val="001B7E48"/>
    <w:rsid w:val="001C17CE"/>
    <w:rsid w:val="001C36CA"/>
    <w:rsid w:val="001C44D1"/>
    <w:rsid w:val="001C525C"/>
    <w:rsid w:val="001C6589"/>
    <w:rsid w:val="001C6AEE"/>
    <w:rsid w:val="001C7630"/>
    <w:rsid w:val="001C79C7"/>
    <w:rsid w:val="001D10F2"/>
    <w:rsid w:val="001D6D15"/>
    <w:rsid w:val="001D7990"/>
    <w:rsid w:val="001E0939"/>
    <w:rsid w:val="001E446A"/>
    <w:rsid w:val="001E6F49"/>
    <w:rsid w:val="001F4812"/>
    <w:rsid w:val="001F4F1B"/>
    <w:rsid w:val="001F50F7"/>
    <w:rsid w:val="001F7558"/>
    <w:rsid w:val="002009CF"/>
    <w:rsid w:val="00201EE2"/>
    <w:rsid w:val="00204CCB"/>
    <w:rsid w:val="00205B57"/>
    <w:rsid w:val="00206277"/>
    <w:rsid w:val="00206D1C"/>
    <w:rsid w:val="002104B8"/>
    <w:rsid w:val="0021075F"/>
    <w:rsid w:val="0021426C"/>
    <w:rsid w:val="0021459A"/>
    <w:rsid w:val="002157E0"/>
    <w:rsid w:val="002162E3"/>
    <w:rsid w:val="00216A57"/>
    <w:rsid w:val="00217448"/>
    <w:rsid w:val="0021752D"/>
    <w:rsid w:val="00221B34"/>
    <w:rsid w:val="00221B52"/>
    <w:rsid w:val="002223C1"/>
    <w:rsid w:val="0022334F"/>
    <w:rsid w:val="002245A6"/>
    <w:rsid w:val="00224B76"/>
    <w:rsid w:val="00225BFD"/>
    <w:rsid w:val="00226819"/>
    <w:rsid w:val="002270C6"/>
    <w:rsid w:val="0023001D"/>
    <w:rsid w:val="00230E57"/>
    <w:rsid w:val="002327F7"/>
    <w:rsid w:val="002328F6"/>
    <w:rsid w:val="00233101"/>
    <w:rsid w:val="00233817"/>
    <w:rsid w:val="00234678"/>
    <w:rsid w:val="002367FF"/>
    <w:rsid w:val="00236A7E"/>
    <w:rsid w:val="0023731E"/>
    <w:rsid w:val="00237DA9"/>
    <w:rsid w:val="00240CE9"/>
    <w:rsid w:val="00242E6F"/>
    <w:rsid w:val="0024330B"/>
    <w:rsid w:val="002434BA"/>
    <w:rsid w:val="00244385"/>
    <w:rsid w:val="00244644"/>
    <w:rsid w:val="002447C5"/>
    <w:rsid w:val="00246089"/>
    <w:rsid w:val="00246093"/>
    <w:rsid w:val="00246702"/>
    <w:rsid w:val="00247C59"/>
    <w:rsid w:val="00247F2E"/>
    <w:rsid w:val="002504BB"/>
    <w:rsid w:val="00250765"/>
    <w:rsid w:val="00250ADC"/>
    <w:rsid w:val="00250B07"/>
    <w:rsid w:val="00252C7A"/>
    <w:rsid w:val="00253AEA"/>
    <w:rsid w:val="00256D80"/>
    <w:rsid w:val="00257553"/>
    <w:rsid w:val="002602D4"/>
    <w:rsid w:val="00260FB2"/>
    <w:rsid w:val="00262128"/>
    <w:rsid w:val="0026496F"/>
    <w:rsid w:val="0027165D"/>
    <w:rsid w:val="00273CEB"/>
    <w:rsid w:val="00281C89"/>
    <w:rsid w:val="00281CE0"/>
    <w:rsid w:val="002824B7"/>
    <w:rsid w:val="0028282F"/>
    <w:rsid w:val="00282857"/>
    <w:rsid w:val="002838F4"/>
    <w:rsid w:val="00283D4A"/>
    <w:rsid w:val="00285D38"/>
    <w:rsid w:val="002862C2"/>
    <w:rsid w:val="002915A7"/>
    <w:rsid w:val="00292AF2"/>
    <w:rsid w:val="00293735"/>
    <w:rsid w:val="00293B13"/>
    <w:rsid w:val="00294763"/>
    <w:rsid w:val="0029593B"/>
    <w:rsid w:val="002968DB"/>
    <w:rsid w:val="002978C1"/>
    <w:rsid w:val="00297FC5"/>
    <w:rsid w:val="002A0417"/>
    <w:rsid w:val="002A0B04"/>
    <w:rsid w:val="002A1600"/>
    <w:rsid w:val="002A16D8"/>
    <w:rsid w:val="002A1BC8"/>
    <w:rsid w:val="002A1C5C"/>
    <w:rsid w:val="002A1D68"/>
    <w:rsid w:val="002A2B63"/>
    <w:rsid w:val="002A3EF2"/>
    <w:rsid w:val="002A3FA8"/>
    <w:rsid w:val="002A4D4F"/>
    <w:rsid w:val="002B0118"/>
    <w:rsid w:val="002B04A6"/>
    <w:rsid w:val="002B0DED"/>
    <w:rsid w:val="002B19A2"/>
    <w:rsid w:val="002B2533"/>
    <w:rsid w:val="002B2D3A"/>
    <w:rsid w:val="002B381A"/>
    <w:rsid w:val="002B4131"/>
    <w:rsid w:val="002B480E"/>
    <w:rsid w:val="002B4FCC"/>
    <w:rsid w:val="002B6D0B"/>
    <w:rsid w:val="002B7408"/>
    <w:rsid w:val="002B79C3"/>
    <w:rsid w:val="002B7CFD"/>
    <w:rsid w:val="002C0530"/>
    <w:rsid w:val="002C061A"/>
    <w:rsid w:val="002C210F"/>
    <w:rsid w:val="002C3545"/>
    <w:rsid w:val="002C37A6"/>
    <w:rsid w:val="002C5D2E"/>
    <w:rsid w:val="002C5FD0"/>
    <w:rsid w:val="002C6CBA"/>
    <w:rsid w:val="002D0DD3"/>
    <w:rsid w:val="002D3600"/>
    <w:rsid w:val="002D38FF"/>
    <w:rsid w:val="002D5A98"/>
    <w:rsid w:val="002E04DD"/>
    <w:rsid w:val="002E2BB3"/>
    <w:rsid w:val="002E4DDC"/>
    <w:rsid w:val="002E5741"/>
    <w:rsid w:val="002E79D4"/>
    <w:rsid w:val="002F1A9A"/>
    <w:rsid w:val="002F32E5"/>
    <w:rsid w:val="002F57BC"/>
    <w:rsid w:val="002F6C96"/>
    <w:rsid w:val="00300D79"/>
    <w:rsid w:val="00302480"/>
    <w:rsid w:val="00302758"/>
    <w:rsid w:val="003028B7"/>
    <w:rsid w:val="00302C57"/>
    <w:rsid w:val="003044D2"/>
    <w:rsid w:val="00305958"/>
    <w:rsid w:val="00306BD7"/>
    <w:rsid w:val="00307231"/>
    <w:rsid w:val="00310FDA"/>
    <w:rsid w:val="0031164B"/>
    <w:rsid w:val="0031382E"/>
    <w:rsid w:val="00313F30"/>
    <w:rsid w:val="003156B6"/>
    <w:rsid w:val="00315D5A"/>
    <w:rsid w:val="003165E6"/>
    <w:rsid w:val="0032091D"/>
    <w:rsid w:val="0032129F"/>
    <w:rsid w:val="003215B5"/>
    <w:rsid w:val="00322078"/>
    <w:rsid w:val="003221CF"/>
    <w:rsid w:val="00322CC7"/>
    <w:rsid w:val="003233ED"/>
    <w:rsid w:val="00323AF1"/>
    <w:rsid w:val="00324D9F"/>
    <w:rsid w:val="003253EE"/>
    <w:rsid w:val="003267C7"/>
    <w:rsid w:val="0032709C"/>
    <w:rsid w:val="00327948"/>
    <w:rsid w:val="0033000F"/>
    <w:rsid w:val="00332011"/>
    <w:rsid w:val="00332518"/>
    <w:rsid w:val="00332925"/>
    <w:rsid w:val="00332CFF"/>
    <w:rsid w:val="00332E3F"/>
    <w:rsid w:val="003332ED"/>
    <w:rsid w:val="00333972"/>
    <w:rsid w:val="00335409"/>
    <w:rsid w:val="003368DC"/>
    <w:rsid w:val="00342052"/>
    <w:rsid w:val="00342597"/>
    <w:rsid w:val="00344661"/>
    <w:rsid w:val="003446DF"/>
    <w:rsid w:val="0034490B"/>
    <w:rsid w:val="00345927"/>
    <w:rsid w:val="00345A5A"/>
    <w:rsid w:val="00350584"/>
    <w:rsid w:val="00351857"/>
    <w:rsid w:val="0035437E"/>
    <w:rsid w:val="00354543"/>
    <w:rsid w:val="003545DF"/>
    <w:rsid w:val="003545E8"/>
    <w:rsid w:val="003573D8"/>
    <w:rsid w:val="003602C6"/>
    <w:rsid w:val="0036059C"/>
    <w:rsid w:val="003610E1"/>
    <w:rsid w:val="003612D4"/>
    <w:rsid w:val="00363F1D"/>
    <w:rsid w:val="003671BE"/>
    <w:rsid w:val="003708D1"/>
    <w:rsid w:val="0037127E"/>
    <w:rsid w:val="00371BB2"/>
    <w:rsid w:val="00372485"/>
    <w:rsid w:val="00372575"/>
    <w:rsid w:val="00372663"/>
    <w:rsid w:val="00373200"/>
    <w:rsid w:val="003741DA"/>
    <w:rsid w:val="00375EF5"/>
    <w:rsid w:val="003767A5"/>
    <w:rsid w:val="003771A9"/>
    <w:rsid w:val="00377C12"/>
    <w:rsid w:val="00381D14"/>
    <w:rsid w:val="00381D15"/>
    <w:rsid w:val="0038238D"/>
    <w:rsid w:val="00383728"/>
    <w:rsid w:val="00385211"/>
    <w:rsid w:val="00385254"/>
    <w:rsid w:val="003858CE"/>
    <w:rsid w:val="00385D47"/>
    <w:rsid w:val="0038722F"/>
    <w:rsid w:val="003878FE"/>
    <w:rsid w:val="00390849"/>
    <w:rsid w:val="00390D91"/>
    <w:rsid w:val="003933E8"/>
    <w:rsid w:val="00394031"/>
    <w:rsid w:val="00394821"/>
    <w:rsid w:val="00396324"/>
    <w:rsid w:val="00396DC2"/>
    <w:rsid w:val="003A01C5"/>
    <w:rsid w:val="003A03BD"/>
    <w:rsid w:val="003A04DB"/>
    <w:rsid w:val="003A16EA"/>
    <w:rsid w:val="003A2544"/>
    <w:rsid w:val="003A2634"/>
    <w:rsid w:val="003A5F5B"/>
    <w:rsid w:val="003A789A"/>
    <w:rsid w:val="003A7CE3"/>
    <w:rsid w:val="003A7E53"/>
    <w:rsid w:val="003B12EC"/>
    <w:rsid w:val="003B2AC2"/>
    <w:rsid w:val="003B3AEF"/>
    <w:rsid w:val="003B4106"/>
    <w:rsid w:val="003B420C"/>
    <w:rsid w:val="003B4470"/>
    <w:rsid w:val="003B73C9"/>
    <w:rsid w:val="003C03B8"/>
    <w:rsid w:val="003C4218"/>
    <w:rsid w:val="003C4441"/>
    <w:rsid w:val="003C4EF9"/>
    <w:rsid w:val="003C5192"/>
    <w:rsid w:val="003C54C6"/>
    <w:rsid w:val="003C6EE2"/>
    <w:rsid w:val="003C6FD7"/>
    <w:rsid w:val="003C77E0"/>
    <w:rsid w:val="003C7C65"/>
    <w:rsid w:val="003D095E"/>
    <w:rsid w:val="003D0D69"/>
    <w:rsid w:val="003D11CF"/>
    <w:rsid w:val="003D154E"/>
    <w:rsid w:val="003D17D7"/>
    <w:rsid w:val="003D21DD"/>
    <w:rsid w:val="003D2678"/>
    <w:rsid w:val="003D4744"/>
    <w:rsid w:val="003D5ADA"/>
    <w:rsid w:val="003D71A3"/>
    <w:rsid w:val="003D7A43"/>
    <w:rsid w:val="003E119F"/>
    <w:rsid w:val="003E2B8A"/>
    <w:rsid w:val="003E391E"/>
    <w:rsid w:val="003E5ADF"/>
    <w:rsid w:val="003F00EA"/>
    <w:rsid w:val="003F10EE"/>
    <w:rsid w:val="003F1256"/>
    <w:rsid w:val="003F16F6"/>
    <w:rsid w:val="003F2FE1"/>
    <w:rsid w:val="003F4DC7"/>
    <w:rsid w:val="003F5235"/>
    <w:rsid w:val="003F677E"/>
    <w:rsid w:val="0040052E"/>
    <w:rsid w:val="00402460"/>
    <w:rsid w:val="004027E4"/>
    <w:rsid w:val="00403191"/>
    <w:rsid w:val="00403ECB"/>
    <w:rsid w:val="00403FD9"/>
    <w:rsid w:val="004042FB"/>
    <w:rsid w:val="00404963"/>
    <w:rsid w:val="00406D2C"/>
    <w:rsid w:val="0041071D"/>
    <w:rsid w:val="00410F41"/>
    <w:rsid w:val="00412264"/>
    <w:rsid w:val="004128E7"/>
    <w:rsid w:val="00412FD8"/>
    <w:rsid w:val="00414A49"/>
    <w:rsid w:val="00414AFC"/>
    <w:rsid w:val="004151A7"/>
    <w:rsid w:val="00415310"/>
    <w:rsid w:val="004162CA"/>
    <w:rsid w:val="0041658B"/>
    <w:rsid w:val="004201A5"/>
    <w:rsid w:val="00420926"/>
    <w:rsid w:val="00420E8E"/>
    <w:rsid w:val="00421709"/>
    <w:rsid w:val="00422AAA"/>
    <w:rsid w:val="00423519"/>
    <w:rsid w:val="00423763"/>
    <w:rsid w:val="004237EA"/>
    <w:rsid w:val="00424146"/>
    <w:rsid w:val="00426E1B"/>
    <w:rsid w:val="0042758D"/>
    <w:rsid w:val="0042762F"/>
    <w:rsid w:val="00427DC7"/>
    <w:rsid w:val="00431613"/>
    <w:rsid w:val="00431792"/>
    <w:rsid w:val="0043297A"/>
    <w:rsid w:val="00432EB2"/>
    <w:rsid w:val="00432EFA"/>
    <w:rsid w:val="00434396"/>
    <w:rsid w:val="0043487C"/>
    <w:rsid w:val="00435AF9"/>
    <w:rsid w:val="0043714F"/>
    <w:rsid w:val="00440E00"/>
    <w:rsid w:val="00441FA5"/>
    <w:rsid w:val="004438B5"/>
    <w:rsid w:val="00447037"/>
    <w:rsid w:val="00450123"/>
    <w:rsid w:val="00451070"/>
    <w:rsid w:val="0045124D"/>
    <w:rsid w:val="00451A12"/>
    <w:rsid w:val="00453C41"/>
    <w:rsid w:val="00454596"/>
    <w:rsid w:val="0045484C"/>
    <w:rsid w:val="00455551"/>
    <w:rsid w:val="0045605D"/>
    <w:rsid w:val="0046135B"/>
    <w:rsid w:val="00461656"/>
    <w:rsid w:val="00461D47"/>
    <w:rsid w:val="00461F69"/>
    <w:rsid w:val="00462D25"/>
    <w:rsid w:val="0046403C"/>
    <w:rsid w:val="00464E23"/>
    <w:rsid w:val="0046507E"/>
    <w:rsid w:val="00465688"/>
    <w:rsid w:val="004672A3"/>
    <w:rsid w:val="00467976"/>
    <w:rsid w:val="00467E3E"/>
    <w:rsid w:val="00470182"/>
    <w:rsid w:val="00470970"/>
    <w:rsid w:val="00470BFF"/>
    <w:rsid w:val="004718CC"/>
    <w:rsid w:val="0047297B"/>
    <w:rsid w:val="00473041"/>
    <w:rsid w:val="00474676"/>
    <w:rsid w:val="00475970"/>
    <w:rsid w:val="004770A6"/>
    <w:rsid w:val="00480D4A"/>
    <w:rsid w:val="00481695"/>
    <w:rsid w:val="00481BED"/>
    <w:rsid w:val="00482AC9"/>
    <w:rsid w:val="004848D8"/>
    <w:rsid w:val="00484E19"/>
    <w:rsid w:val="004852D4"/>
    <w:rsid w:val="00485A7F"/>
    <w:rsid w:val="00486A24"/>
    <w:rsid w:val="0048769C"/>
    <w:rsid w:val="00487CD8"/>
    <w:rsid w:val="00494F72"/>
    <w:rsid w:val="00495A96"/>
    <w:rsid w:val="00495BB3"/>
    <w:rsid w:val="004A1AB2"/>
    <w:rsid w:val="004A3053"/>
    <w:rsid w:val="004A4C0F"/>
    <w:rsid w:val="004A4F31"/>
    <w:rsid w:val="004A56BB"/>
    <w:rsid w:val="004A661E"/>
    <w:rsid w:val="004A70D6"/>
    <w:rsid w:val="004A7170"/>
    <w:rsid w:val="004A796F"/>
    <w:rsid w:val="004B050B"/>
    <w:rsid w:val="004B1751"/>
    <w:rsid w:val="004B2AD3"/>
    <w:rsid w:val="004B38B1"/>
    <w:rsid w:val="004B68D8"/>
    <w:rsid w:val="004C0253"/>
    <w:rsid w:val="004C0768"/>
    <w:rsid w:val="004C148F"/>
    <w:rsid w:val="004C1A6F"/>
    <w:rsid w:val="004C2CCC"/>
    <w:rsid w:val="004C37EE"/>
    <w:rsid w:val="004C3C95"/>
    <w:rsid w:val="004C4BA1"/>
    <w:rsid w:val="004C5263"/>
    <w:rsid w:val="004C60F7"/>
    <w:rsid w:val="004C63A5"/>
    <w:rsid w:val="004C79A1"/>
    <w:rsid w:val="004D0ECC"/>
    <w:rsid w:val="004D3135"/>
    <w:rsid w:val="004D3D1B"/>
    <w:rsid w:val="004D49FD"/>
    <w:rsid w:val="004D56FF"/>
    <w:rsid w:val="004D7E18"/>
    <w:rsid w:val="004E03CA"/>
    <w:rsid w:val="004E0E62"/>
    <w:rsid w:val="004E1F65"/>
    <w:rsid w:val="004E320A"/>
    <w:rsid w:val="004E39D3"/>
    <w:rsid w:val="004E441E"/>
    <w:rsid w:val="004E47B9"/>
    <w:rsid w:val="004E508A"/>
    <w:rsid w:val="004E5B62"/>
    <w:rsid w:val="004E616D"/>
    <w:rsid w:val="004E65B5"/>
    <w:rsid w:val="004F13ED"/>
    <w:rsid w:val="004F1428"/>
    <w:rsid w:val="004F1BDE"/>
    <w:rsid w:val="004F2CEE"/>
    <w:rsid w:val="004F4742"/>
    <w:rsid w:val="004F5057"/>
    <w:rsid w:val="004F556E"/>
    <w:rsid w:val="004F5748"/>
    <w:rsid w:val="004F591C"/>
    <w:rsid w:val="004F5EA3"/>
    <w:rsid w:val="004F6C67"/>
    <w:rsid w:val="004F6DE5"/>
    <w:rsid w:val="004F7F44"/>
    <w:rsid w:val="00500172"/>
    <w:rsid w:val="00500481"/>
    <w:rsid w:val="00502990"/>
    <w:rsid w:val="005037B4"/>
    <w:rsid w:val="00504B8B"/>
    <w:rsid w:val="0050651E"/>
    <w:rsid w:val="005079BF"/>
    <w:rsid w:val="005100F4"/>
    <w:rsid w:val="0051269A"/>
    <w:rsid w:val="005128B8"/>
    <w:rsid w:val="00512CF9"/>
    <w:rsid w:val="00513D6F"/>
    <w:rsid w:val="00513EAB"/>
    <w:rsid w:val="00515D0E"/>
    <w:rsid w:val="00516EB0"/>
    <w:rsid w:val="00520C70"/>
    <w:rsid w:val="005212CA"/>
    <w:rsid w:val="00521625"/>
    <w:rsid w:val="00521834"/>
    <w:rsid w:val="005219E7"/>
    <w:rsid w:val="00526CE1"/>
    <w:rsid w:val="005302BF"/>
    <w:rsid w:val="00530323"/>
    <w:rsid w:val="00531B9A"/>
    <w:rsid w:val="00531D15"/>
    <w:rsid w:val="00531D26"/>
    <w:rsid w:val="00536E41"/>
    <w:rsid w:val="00537604"/>
    <w:rsid w:val="00537BB7"/>
    <w:rsid w:val="00540172"/>
    <w:rsid w:val="00541D74"/>
    <w:rsid w:val="00542377"/>
    <w:rsid w:val="00546447"/>
    <w:rsid w:val="00546598"/>
    <w:rsid w:val="0054689F"/>
    <w:rsid w:val="005476EB"/>
    <w:rsid w:val="005500CE"/>
    <w:rsid w:val="00551782"/>
    <w:rsid w:val="005528CA"/>
    <w:rsid w:val="00553520"/>
    <w:rsid w:val="0055488A"/>
    <w:rsid w:val="005550EA"/>
    <w:rsid w:val="00556752"/>
    <w:rsid w:val="00556D73"/>
    <w:rsid w:val="00557097"/>
    <w:rsid w:val="00560362"/>
    <w:rsid w:val="005623C9"/>
    <w:rsid w:val="00563538"/>
    <w:rsid w:val="00563EF1"/>
    <w:rsid w:val="00566AB4"/>
    <w:rsid w:val="005670C7"/>
    <w:rsid w:val="00573812"/>
    <w:rsid w:val="00574D8E"/>
    <w:rsid w:val="00575AC5"/>
    <w:rsid w:val="0057605D"/>
    <w:rsid w:val="00576910"/>
    <w:rsid w:val="00581347"/>
    <w:rsid w:val="005816BC"/>
    <w:rsid w:val="00581AC9"/>
    <w:rsid w:val="005829FA"/>
    <w:rsid w:val="005835D5"/>
    <w:rsid w:val="005845AB"/>
    <w:rsid w:val="005849F8"/>
    <w:rsid w:val="005866B7"/>
    <w:rsid w:val="005879AE"/>
    <w:rsid w:val="005938DF"/>
    <w:rsid w:val="00594E6E"/>
    <w:rsid w:val="00594E9C"/>
    <w:rsid w:val="00597449"/>
    <w:rsid w:val="00597E37"/>
    <w:rsid w:val="005A099B"/>
    <w:rsid w:val="005A197C"/>
    <w:rsid w:val="005A214E"/>
    <w:rsid w:val="005A2D9C"/>
    <w:rsid w:val="005A49E0"/>
    <w:rsid w:val="005A55FE"/>
    <w:rsid w:val="005A5F58"/>
    <w:rsid w:val="005A6A11"/>
    <w:rsid w:val="005A7030"/>
    <w:rsid w:val="005A7357"/>
    <w:rsid w:val="005A73E9"/>
    <w:rsid w:val="005B1BC6"/>
    <w:rsid w:val="005B2F0D"/>
    <w:rsid w:val="005B4AED"/>
    <w:rsid w:val="005C05B3"/>
    <w:rsid w:val="005C0835"/>
    <w:rsid w:val="005C0C8C"/>
    <w:rsid w:val="005C184D"/>
    <w:rsid w:val="005C195E"/>
    <w:rsid w:val="005C1F30"/>
    <w:rsid w:val="005C2730"/>
    <w:rsid w:val="005C34EF"/>
    <w:rsid w:val="005C3539"/>
    <w:rsid w:val="005C519B"/>
    <w:rsid w:val="005C567D"/>
    <w:rsid w:val="005D0B7F"/>
    <w:rsid w:val="005D2502"/>
    <w:rsid w:val="005D40BB"/>
    <w:rsid w:val="005D415C"/>
    <w:rsid w:val="005D41A1"/>
    <w:rsid w:val="005D47F3"/>
    <w:rsid w:val="005D49BF"/>
    <w:rsid w:val="005D4AA5"/>
    <w:rsid w:val="005D5FC6"/>
    <w:rsid w:val="005D62FC"/>
    <w:rsid w:val="005D6F4E"/>
    <w:rsid w:val="005D7C73"/>
    <w:rsid w:val="005E08FE"/>
    <w:rsid w:val="005E09E1"/>
    <w:rsid w:val="005E250B"/>
    <w:rsid w:val="005E3ACD"/>
    <w:rsid w:val="005E3C6A"/>
    <w:rsid w:val="005E4BB2"/>
    <w:rsid w:val="005E673F"/>
    <w:rsid w:val="005E6D60"/>
    <w:rsid w:val="005E7226"/>
    <w:rsid w:val="005E7A57"/>
    <w:rsid w:val="005F1C1F"/>
    <w:rsid w:val="005F200A"/>
    <w:rsid w:val="005F23AC"/>
    <w:rsid w:val="005F24B0"/>
    <w:rsid w:val="005F3867"/>
    <w:rsid w:val="005F76D5"/>
    <w:rsid w:val="006006E7"/>
    <w:rsid w:val="00600E31"/>
    <w:rsid w:val="00601685"/>
    <w:rsid w:val="00601823"/>
    <w:rsid w:val="00603B44"/>
    <w:rsid w:val="006042CD"/>
    <w:rsid w:val="00604315"/>
    <w:rsid w:val="0060445C"/>
    <w:rsid w:val="0060469A"/>
    <w:rsid w:val="00604E26"/>
    <w:rsid w:val="0060523F"/>
    <w:rsid w:val="006052CF"/>
    <w:rsid w:val="006054DF"/>
    <w:rsid w:val="00607B8D"/>
    <w:rsid w:val="006106FB"/>
    <w:rsid w:val="00610D0F"/>
    <w:rsid w:val="00611CC0"/>
    <w:rsid w:val="00611F5C"/>
    <w:rsid w:val="006123BD"/>
    <w:rsid w:val="00612A08"/>
    <w:rsid w:val="0061342F"/>
    <w:rsid w:val="00615906"/>
    <w:rsid w:val="00615999"/>
    <w:rsid w:val="00616E09"/>
    <w:rsid w:val="00621EE7"/>
    <w:rsid w:val="00622A3B"/>
    <w:rsid w:val="00622EEA"/>
    <w:rsid w:val="00623044"/>
    <w:rsid w:val="0062396C"/>
    <w:rsid w:val="00623FF9"/>
    <w:rsid w:val="0062437D"/>
    <w:rsid w:val="00624E12"/>
    <w:rsid w:val="00626E88"/>
    <w:rsid w:val="00627D4E"/>
    <w:rsid w:val="006305A1"/>
    <w:rsid w:val="00632B89"/>
    <w:rsid w:val="0063346D"/>
    <w:rsid w:val="00634478"/>
    <w:rsid w:val="0063542A"/>
    <w:rsid w:val="00637C0E"/>
    <w:rsid w:val="00642843"/>
    <w:rsid w:val="006435CC"/>
    <w:rsid w:val="00644373"/>
    <w:rsid w:val="00645247"/>
    <w:rsid w:val="00645736"/>
    <w:rsid w:val="00645915"/>
    <w:rsid w:val="00646CC4"/>
    <w:rsid w:val="00647327"/>
    <w:rsid w:val="006510BC"/>
    <w:rsid w:val="006519C3"/>
    <w:rsid w:val="00652B30"/>
    <w:rsid w:val="006531B5"/>
    <w:rsid w:val="00653E10"/>
    <w:rsid w:val="006559EE"/>
    <w:rsid w:val="00655BB7"/>
    <w:rsid w:val="00656345"/>
    <w:rsid w:val="00656821"/>
    <w:rsid w:val="00656DC6"/>
    <w:rsid w:val="00660EC6"/>
    <w:rsid w:val="00662C05"/>
    <w:rsid w:val="00664110"/>
    <w:rsid w:val="00664D17"/>
    <w:rsid w:val="00665422"/>
    <w:rsid w:val="00665C45"/>
    <w:rsid w:val="00666520"/>
    <w:rsid w:val="00667B07"/>
    <w:rsid w:val="00667C5B"/>
    <w:rsid w:val="00672C2C"/>
    <w:rsid w:val="0067469F"/>
    <w:rsid w:val="00674A1E"/>
    <w:rsid w:val="00676433"/>
    <w:rsid w:val="006811EE"/>
    <w:rsid w:val="00682DE7"/>
    <w:rsid w:val="00685460"/>
    <w:rsid w:val="006862EE"/>
    <w:rsid w:val="006903C0"/>
    <w:rsid w:val="00691EB8"/>
    <w:rsid w:val="006921C9"/>
    <w:rsid w:val="00692CDE"/>
    <w:rsid w:val="00693073"/>
    <w:rsid w:val="00695975"/>
    <w:rsid w:val="006977FF"/>
    <w:rsid w:val="006A01FA"/>
    <w:rsid w:val="006A0E9E"/>
    <w:rsid w:val="006A24A5"/>
    <w:rsid w:val="006A25C7"/>
    <w:rsid w:val="006A2DB5"/>
    <w:rsid w:val="006A3ECF"/>
    <w:rsid w:val="006A4AAD"/>
    <w:rsid w:val="006A4CCA"/>
    <w:rsid w:val="006A6DA2"/>
    <w:rsid w:val="006A7AB2"/>
    <w:rsid w:val="006B0533"/>
    <w:rsid w:val="006B0765"/>
    <w:rsid w:val="006B1B0F"/>
    <w:rsid w:val="006B2442"/>
    <w:rsid w:val="006B2C2F"/>
    <w:rsid w:val="006B52DE"/>
    <w:rsid w:val="006B5717"/>
    <w:rsid w:val="006B582F"/>
    <w:rsid w:val="006B5AFE"/>
    <w:rsid w:val="006B5EB2"/>
    <w:rsid w:val="006B6216"/>
    <w:rsid w:val="006B6649"/>
    <w:rsid w:val="006B6C08"/>
    <w:rsid w:val="006B7259"/>
    <w:rsid w:val="006C0CEB"/>
    <w:rsid w:val="006C1631"/>
    <w:rsid w:val="006C3B1E"/>
    <w:rsid w:val="006C47FD"/>
    <w:rsid w:val="006C5135"/>
    <w:rsid w:val="006C5C19"/>
    <w:rsid w:val="006C5FD4"/>
    <w:rsid w:val="006C70A0"/>
    <w:rsid w:val="006D0CB0"/>
    <w:rsid w:val="006D1BC8"/>
    <w:rsid w:val="006D27CB"/>
    <w:rsid w:val="006D2F08"/>
    <w:rsid w:val="006D3D34"/>
    <w:rsid w:val="006D576C"/>
    <w:rsid w:val="006D5865"/>
    <w:rsid w:val="006D6B19"/>
    <w:rsid w:val="006E33B9"/>
    <w:rsid w:val="006E4B1B"/>
    <w:rsid w:val="006E5130"/>
    <w:rsid w:val="006E5445"/>
    <w:rsid w:val="006E5956"/>
    <w:rsid w:val="006E7D93"/>
    <w:rsid w:val="006F14E4"/>
    <w:rsid w:val="006F2857"/>
    <w:rsid w:val="006F3B37"/>
    <w:rsid w:val="006F6761"/>
    <w:rsid w:val="0070133D"/>
    <w:rsid w:val="00701ACD"/>
    <w:rsid w:val="007029A3"/>
    <w:rsid w:val="007029B0"/>
    <w:rsid w:val="00702C1C"/>
    <w:rsid w:val="00703475"/>
    <w:rsid w:val="007038C5"/>
    <w:rsid w:val="00704CC9"/>
    <w:rsid w:val="007060D9"/>
    <w:rsid w:val="00706E4E"/>
    <w:rsid w:val="0070716D"/>
    <w:rsid w:val="00707740"/>
    <w:rsid w:val="0070791C"/>
    <w:rsid w:val="00710256"/>
    <w:rsid w:val="00711624"/>
    <w:rsid w:val="00712FD4"/>
    <w:rsid w:val="0071383C"/>
    <w:rsid w:val="007141A7"/>
    <w:rsid w:val="00715289"/>
    <w:rsid w:val="00715722"/>
    <w:rsid w:val="00715BAF"/>
    <w:rsid w:val="0071607E"/>
    <w:rsid w:val="0071625C"/>
    <w:rsid w:val="00721032"/>
    <w:rsid w:val="00721B55"/>
    <w:rsid w:val="00726CE4"/>
    <w:rsid w:val="00732485"/>
    <w:rsid w:val="00734143"/>
    <w:rsid w:val="00736F14"/>
    <w:rsid w:val="0073724B"/>
    <w:rsid w:val="00737E47"/>
    <w:rsid w:val="00740868"/>
    <w:rsid w:val="00740EAC"/>
    <w:rsid w:val="007432E4"/>
    <w:rsid w:val="007438DC"/>
    <w:rsid w:val="00744956"/>
    <w:rsid w:val="00744D2D"/>
    <w:rsid w:val="00745195"/>
    <w:rsid w:val="00745264"/>
    <w:rsid w:val="00745A5C"/>
    <w:rsid w:val="0074605F"/>
    <w:rsid w:val="00746470"/>
    <w:rsid w:val="007473D4"/>
    <w:rsid w:val="00747CB4"/>
    <w:rsid w:val="00747E94"/>
    <w:rsid w:val="00753036"/>
    <w:rsid w:val="00753BA4"/>
    <w:rsid w:val="00754423"/>
    <w:rsid w:val="00754C83"/>
    <w:rsid w:val="00756677"/>
    <w:rsid w:val="0076030E"/>
    <w:rsid w:val="007610BD"/>
    <w:rsid w:val="007614DE"/>
    <w:rsid w:val="00761E5C"/>
    <w:rsid w:val="00762266"/>
    <w:rsid w:val="0076459E"/>
    <w:rsid w:val="00765892"/>
    <w:rsid w:val="00765DF8"/>
    <w:rsid w:val="00766749"/>
    <w:rsid w:val="00767C1B"/>
    <w:rsid w:val="007707F0"/>
    <w:rsid w:val="00770B3F"/>
    <w:rsid w:val="007714A9"/>
    <w:rsid w:val="0077384E"/>
    <w:rsid w:val="00774F88"/>
    <w:rsid w:val="00774FDB"/>
    <w:rsid w:val="00777BA2"/>
    <w:rsid w:val="00780E7F"/>
    <w:rsid w:val="00781408"/>
    <w:rsid w:val="00781886"/>
    <w:rsid w:val="00781CC9"/>
    <w:rsid w:val="00782130"/>
    <w:rsid w:val="007835C4"/>
    <w:rsid w:val="00783C74"/>
    <w:rsid w:val="0078474F"/>
    <w:rsid w:val="00784F7F"/>
    <w:rsid w:val="0078578A"/>
    <w:rsid w:val="007859E7"/>
    <w:rsid w:val="007859F3"/>
    <w:rsid w:val="00785A8F"/>
    <w:rsid w:val="00785E17"/>
    <w:rsid w:val="00786621"/>
    <w:rsid w:val="007878BD"/>
    <w:rsid w:val="00790530"/>
    <w:rsid w:val="007908AC"/>
    <w:rsid w:val="00790DD9"/>
    <w:rsid w:val="0079104C"/>
    <w:rsid w:val="007912DC"/>
    <w:rsid w:val="007915DD"/>
    <w:rsid w:val="007930F2"/>
    <w:rsid w:val="007935A5"/>
    <w:rsid w:val="007937D8"/>
    <w:rsid w:val="00794A53"/>
    <w:rsid w:val="00794A90"/>
    <w:rsid w:val="0079542A"/>
    <w:rsid w:val="00796812"/>
    <w:rsid w:val="00796F25"/>
    <w:rsid w:val="0079761E"/>
    <w:rsid w:val="007A12C9"/>
    <w:rsid w:val="007A214C"/>
    <w:rsid w:val="007A21ED"/>
    <w:rsid w:val="007A22A9"/>
    <w:rsid w:val="007A22BB"/>
    <w:rsid w:val="007A2E98"/>
    <w:rsid w:val="007A31C3"/>
    <w:rsid w:val="007A3BA3"/>
    <w:rsid w:val="007A6CC0"/>
    <w:rsid w:val="007A7FEC"/>
    <w:rsid w:val="007B01D5"/>
    <w:rsid w:val="007B1499"/>
    <w:rsid w:val="007B1A60"/>
    <w:rsid w:val="007B1BBF"/>
    <w:rsid w:val="007B1F56"/>
    <w:rsid w:val="007B1F9F"/>
    <w:rsid w:val="007B2960"/>
    <w:rsid w:val="007B355D"/>
    <w:rsid w:val="007B3BF6"/>
    <w:rsid w:val="007B67E0"/>
    <w:rsid w:val="007B7980"/>
    <w:rsid w:val="007B7DA7"/>
    <w:rsid w:val="007C0453"/>
    <w:rsid w:val="007C0DEF"/>
    <w:rsid w:val="007C5D5A"/>
    <w:rsid w:val="007C607F"/>
    <w:rsid w:val="007C79DD"/>
    <w:rsid w:val="007C7FBB"/>
    <w:rsid w:val="007D1A97"/>
    <w:rsid w:val="007D21D0"/>
    <w:rsid w:val="007D2346"/>
    <w:rsid w:val="007D2984"/>
    <w:rsid w:val="007D2AE1"/>
    <w:rsid w:val="007D2CD6"/>
    <w:rsid w:val="007D3063"/>
    <w:rsid w:val="007D3CEB"/>
    <w:rsid w:val="007D4CEE"/>
    <w:rsid w:val="007D4F6B"/>
    <w:rsid w:val="007D6563"/>
    <w:rsid w:val="007D6ED6"/>
    <w:rsid w:val="007E0AC0"/>
    <w:rsid w:val="007E3154"/>
    <w:rsid w:val="007E36DB"/>
    <w:rsid w:val="007E3EA4"/>
    <w:rsid w:val="007E50B2"/>
    <w:rsid w:val="007E5F68"/>
    <w:rsid w:val="007E7683"/>
    <w:rsid w:val="007E7C83"/>
    <w:rsid w:val="007F22BC"/>
    <w:rsid w:val="007F28CA"/>
    <w:rsid w:val="007F34E3"/>
    <w:rsid w:val="007F49FA"/>
    <w:rsid w:val="007F54C4"/>
    <w:rsid w:val="007F68D0"/>
    <w:rsid w:val="007F6A34"/>
    <w:rsid w:val="007F6E9A"/>
    <w:rsid w:val="00800CCD"/>
    <w:rsid w:val="008018AE"/>
    <w:rsid w:val="00801B48"/>
    <w:rsid w:val="00801FEB"/>
    <w:rsid w:val="008044D4"/>
    <w:rsid w:val="00805A37"/>
    <w:rsid w:val="00807951"/>
    <w:rsid w:val="0081023C"/>
    <w:rsid w:val="00810AB4"/>
    <w:rsid w:val="0081151B"/>
    <w:rsid w:val="0081496E"/>
    <w:rsid w:val="008150CF"/>
    <w:rsid w:val="0081745C"/>
    <w:rsid w:val="00817B56"/>
    <w:rsid w:val="00820473"/>
    <w:rsid w:val="00820C05"/>
    <w:rsid w:val="0082133C"/>
    <w:rsid w:val="00821A88"/>
    <w:rsid w:val="0082322E"/>
    <w:rsid w:val="0082495D"/>
    <w:rsid w:val="0082604A"/>
    <w:rsid w:val="00826484"/>
    <w:rsid w:val="008269DA"/>
    <w:rsid w:val="008273FD"/>
    <w:rsid w:val="00827F12"/>
    <w:rsid w:val="00831AC3"/>
    <w:rsid w:val="00831EA2"/>
    <w:rsid w:val="00832D54"/>
    <w:rsid w:val="00834A56"/>
    <w:rsid w:val="00835426"/>
    <w:rsid w:val="00835582"/>
    <w:rsid w:val="0083602C"/>
    <w:rsid w:val="00836FCE"/>
    <w:rsid w:val="008370F1"/>
    <w:rsid w:val="008408FF"/>
    <w:rsid w:val="00841062"/>
    <w:rsid w:val="00842D1E"/>
    <w:rsid w:val="00843491"/>
    <w:rsid w:val="00843C55"/>
    <w:rsid w:val="00844853"/>
    <w:rsid w:val="00844BE4"/>
    <w:rsid w:val="00847EF0"/>
    <w:rsid w:val="00851F3F"/>
    <w:rsid w:val="008561DE"/>
    <w:rsid w:val="00856D25"/>
    <w:rsid w:val="00856EDC"/>
    <w:rsid w:val="00861364"/>
    <w:rsid w:val="008619EA"/>
    <w:rsid w:val="00862263"/>
    <w:rsid w:val="008623B5"/>
    <w:rsid w:val="008639F5"/>
    <w:rsid w:val="00865083"/>
    <w:rsid w:val="008663FE"/>
    <w:rsid w:val="008709F4"/>
    <w:rsid w:val="00870ABA"/>
    <w:rsid w:val="008710E1"/>
    <w:rsid w:val="008716E5"/>
    <w:rsid w:val="00874150"/>
    <w:rsid w:val="00877D44"/>
    <w:rsid w:val="00877D9F"/>
    <w:rsid w:val="008807BE"/>
    <w:rsid w:val="00881CA9"/>
    <w:rsid w:val="00883628"/>
    <w:rsid w:val="00885544"/>
    <w:rsid w:val="00885759"/>
    <w:rsid w:val="0088634E"/>
    <w:rsid w:val="00886B72"/>
    <w:rsid w:val="00891453"/>
    <w:rsid w:val="00891550"/>
    <w:rsid w:val="00892657"/>
    <w:rsid w:val="00893489"/>
    <w:rsid w:val="00893AB8"/>
    <w:rsid w:val="008942EE"/>
    <w:rsid w:val="00896239"/>
    <w:rsid w:val="008971E9"/>
    <w:rsid w:val="008A04C8"/>
    <w:rsid w:val="008A086B"/>
    <w:rsid w:val="008A235B"/>
    <w:rsid w:val="008A2B85"/>
    <w:rsid w:val="008A3AA9"/>
    <w:rsid w:val="008A4066"/>
    <w:rsid w:val="008A410E"/>
    <w:rsid w:val="008A4CA9"/>
    <w:rsid w:val="008A5B4D"/>
    <w:rsid w:val="008A6913"/>
    <w:rsid w:val="008A6BC5"/>
    <w:rsid w:val="008A75F5"/>
    <w:rsid w:val="008B39CF"/>
    <w:rsid w:val="008B5096"/>
    <w:rsid w:val="008B70F3"/>
    <w:rsid w:val="008B71C4"/>
    <w:rsid w:val="008B76DF"/>
    <w:rsid w:val="008C10F4"/>
    <w:rsid w:val="008C2318"/>
    <w:rsid w:val="008C2584"/>
    <w:rsid w:val="008C2D71"/>
    <w:rsid w:val="008C60C6"/>
    <w:rsid w:val="008C638C"/>
    <w:rsid w:val="008C6470"/>
    <w:rsid w:val="008C65F7"/>
    <w:rsid w:val="008C7D1A"/>
    <w:rsid w:val="008D138A"/>
    <w:rsid w:val="008D1C69"/>
    <w:rsid w:val="008D357C"/>
    <w:rsid w:val="008D3D81"/>
    <w:rsid w:val="008D4101"/>
    <w:rsid w:val="008D446A"/>
    <w:rsid w:val="008D4998"/>
    <w:rsid w:val="008D670B"/>
    <w:rsid w:val="008D7187"/>
    <w:rsid w:val="008D7193"/>
    <w:rsid w:val="008D7226"/>
    <w:rsid w:val="008D7BDA"/>
    <w:rsid w:val="008E03F0"/>
    <w:rsid w:val="008E0428"/>
    <w:rsid w:val="008E2AAF"/>
    <w:rsid w:val="008E4767"/>
    <w:rsid w:val="008E4B6A"/>
    <w:rsid w:val="008E7A8C"/>
    <w:rsid w:val="008F0A43"/>
    <w:rsid w:val="008F1682"/>
    <w:rsid w:val="008F2C87"/>
    <w:rsid w:val="008F5F32"/>
    <w:rsid w:val="0090203B"/>
    <w:rsid w:val="00903285"/>
    <w:rsid w:val="0090328E"/>
    <w:rsid w:val="00903655"/>
    <w:rsid w:val="00903835"/>
    <w:rsid w:val="009048EB"/>
    <w:rsid w:val="0090515B"/>
    <w:rsid w:val="00906F40"/>
    <w:rsid w:val="0090731E"/>
    <w:rsid w:val="009075E1"/>
    <w:rsid w:val="00912C9D"/>
    <w:rsid w:val="009148C8"/>
    <w:rsid w:val="00915B1C"/>
    <w:rsid w:val="009174F3"/>
    <w:rsid w:val="00917627"/>
    <w:rsid w:val="0091797D"/>
    <w:rsid w:val="00921E0B"/>
    <w:rsid w:val="00922CD2"/>
    <w:rsid w:val="00923CBA"/>
    <w:rsid w:val="00926452"/>
    <w:rsid w:val="00926703"/>
    <w:rsid w:val="00926F9D"/>
    <w:rsid w:val="00927691"/>
    <w:rsid w:val="00927A5F"/>
    <w:rsid w:val="009300AF"/>
    <w:rsid w:val="00930510"/>
    <w:rsid w:val="00931CB7"/>
    <w:rsid w:val="00932073"/>
    <w:rsid w:val="00933900"/>
    <w:rsid w:val="00933A42"/>
    <w:rsid w:val="00935B63"/>
    <w:rsid w:val="009360C9"/>
    <w:rsid w:val="00936421"/>
    <w:rsid w:val="00936E95"/>
    <w:rsid w:val="009371F7"/>
    <w:rsid w:val="0094078F"/>
    <w:rsid w:val="00940FA3"/>
    <w:rsid w:val="00941FB0"/>
    <w:rsid w:val="009426D4"/>
    <w:rsid w:val="00942E1E"/>
    <w:rsid w:val="00945BA2"/>
    <w:rsid w:val="00946BB1"/>
    <w:rsid w:val="00947F25"/>
    <w:rsid w:val="00950159"/>
    <w:rsid w:val="00950AF4"/>
    <w:rsid w:val="0095107D"/>
    <w:rsid w:val="00952D6D"/>
    <w:rsid w:val="0095419E"/>
    <w:rsid w:val="0095490B"/>
    <w:rsid w:val="00954E9C"/>
    <w:rsid w:val="00956444"/>
    <w:rsid w:val="009571DB"/>
    <w:rsid w:val="00957D04"/>
    <w:rsid w:val="00960A33"/>
    <w:rsid w:val="00960F9D"/>
    <w:rsid w:val="00961BCB"/>
    <w:rsid w:val="00963456"/>
    <w:rsid w:val="009643B5"/>
    <w:rsid w:val="00970724"/>
    <w:rsid w:val="00971242"/>
    <w:rsid w:val="00971914"/>
    <w:rsid w:val="00973F45"/>
    <w:rsid w:val="00974363"/>
    <w:rsid w:val="00974B00"/>
    <w:rsid w:val="00977EEA"/>
    <w:rsid w:val="0098153D"/>
    <w:rsid w:val="00981898"/>
    <w:rsid w:val="00981956"/>
    <w:rsid w:val="00981E13"/>
    <w:rsid w:val="00982A77"/>
    <w:rsid w:val="00984683"/>
    <w:rsid w:val="009873DB"/>
    <w:rsid w:val="009900B6"/>
    <w:rsid w:val="00990E32"/>
    <w:rsid w:val="00991178"/>
    <w:rsid w:val="0099176D"/>
    <w:rsid w:val="00992436"/>
    <w:rsid w:val="0099577C"/>
    <w:rsid w:val="00995B0D"/>
    <w:rsid w:val="00996191"/>
    <w:rsid w:val="00997DD5"/>
    <w:rsid w:val="009A021C"/>
    <w:rsid w:val="009A1A03"/>
    <w:rsid w:val="009A25CC"/>
    <w:rsid w:val="009A3703"/>
    <w:rsid w:val="009A3B33"/>
    <w:rsid w:val="009A3D9A"/>
    <w:rsid w:val="009A42F8"/>
    <w:rsid w:val="009A4618"/>
    <w:rsid w:val="009A5DAF"/>
    <w:rsid w:val="009A6CBD"/>
    <w:rsid w:val="009A7852"/>
    <w:rsid w:val="009B0453"/>
    <w:rsid w:val="009B046F"/>
    <w:rsid w:val="009B139D"/>
    <w:rsid w:val="009B154B"/>
    <w:rsid w:val="009B1969"/>
    <w:rsid w:val="009B1F70"/>
    <w:rsid w:val="009B24A5"/>
    <w:rsid w:val="009B2601"/>
    <w:rsid w:val="009B2F9F"/>
    <w:rsid w:val="009B38A3"/>
    <w:rsid w:val="009B3FD3"/>
    <w:rsid w:val="009B4E9E"/>
    <w:rsid w:val="009B50E0"/>
    <w:rsid w:val="009B51AE"/>
    <w:rsid w:val="009B72D5"/>
    <w:rsid w:val="009B7C0E"/>
    <w:rsid w:val="009C1690"/>
    <w:rsid w:val="009C2BDC"/>
    <w:rsid w:val="009C2EED"/>
    <w:rsid w:val="009C5727"/>
    <w:rsid w:val="009C6881"/>
    <w:rsid w:val="009C6B1B"/>
    <w:rsid w:val="009C7759"/>
    <w:rsid w:val="009C7DDC"/>
    <w:rsid w:val="009D034B"/>
    <w:rsid w:val="009D043D"/>
    <w:rsid w:val="009D049D"/>
    <w:rsid w:val="009D07C8"/>
    <w:rsid w:val="009D0EB5"/>
    <w:rsid w:val="009D38B0"/>
    <w:rsid w:val="009D3FC7"/>
    <w:rsid w:val="009D4C85"/>
    <w:rsid w:val="009D4D8D"/>
    <w:rsid w:val="009D6082"/>
    <w:rsid w:val="009D6C71"/>
    <w:rsid w:val="009D72B7"/>
    <w:rsid w:val="009D7612"/>
    <w:rsid w:val="009E04A9"/>
    <w:rsid w:val="009E0631"/>
    <w:rsid w:val="009E081C"/>
    <w:rsid w:val="009E16D0"/>
    <w:rsid w:val="009E2051"/>
    <w:rsid w:val="009E38FD"/>
    <w:rsid w:val="009E41E4"/>
    <w:rsid w:val="009F13D6"/>
    <w:rsid w:val="009F31FB"/>
    <w:rsid w:val="009F33FE"/>
    <w:rsid w:val="009F3453"/>
    <w:rsid w:val="009F3757"/>
    <w:rsid w:val="009F3A47"/>
    <w:rsid w:val="009F4C6B"/>
    <w:rsid w:val="009F50C1"/>
    <w:rsid w:val="009F6F23"/>
    <w:rsid w:val="009F78A8"/>
    <w:rsid w:val="00A00C24"/>
    <w:rsid w:val="00A01556"/>
    <w:rsid w:val="00A017E0"/>
    <w:rsid w:val="00A0204B"/>
    <w:rsid w:val="00A02AD6"/>
    <w:rsid w:val="00A05279"/>
    <w:rsid w:val="00A058A7"/>
    <w:rsid w:val="00A07096"/>
    <w:rsid w:val="00A07318"/>
    <w:rsid w:val="00A1030B"/>
    <w:rsid w:val="00A109A0"/>
    <w:rsid w:val="00A11370"/>
    <w:rsid w:val="00A120FA"/>
    <w:rsid w:val="00A12B1D"/>
    <w:rsid w:val="00A14AAA"/>
    <w:rsid w:val="00A154C5"/>
    <w:rsid w:val="00A16CAF"/>
    <w:rsid w:val="00A1717A"/>
    <w:rsid w:val="00A1746E"/>
    <w:rsid w:val="00A22067"/>
    <w:rsid w:val="00A224CE"/>
    <w:rsid w:val="00A22522"/>
    <w:rsid w:val="00A23038"/>
    <w:rsid w:val="00A24AFD"/>
    <w:rsid w:val="00A24F5C"/>
    <w:rsid w:val="00A2622A"/>
    <w:rsid w:val="00A27A8C"/>
    <w:rsid w:val="00A3082C"/>
    <w:rsid w:val="00A3157E"/>
    <w:rsid w:val="00A3270F"/>
    <w:rsid w:val="00A32F96"/>
    <w:rsid w:val="00A32FC3"/>
    <w:rsid w:val="00A337CD"/>
    <w:rsid w:val="00A33BD2"/>
    <w:rsid w:val="00A3444B"/>
    <w:rsid w:val="00A351D2"/>
    <w:rsid w:val="00A37217"/>
    <w:rsid w:val="00A40871"/>
    <w:rsid w:val="00A412AB"/>
    <w:rsid w:val="00A4193E"/>
    <w:rsid w:val="00A41A5D"/>
    <w:rsid w:val="00A422CA"/>
    <w:rsid w:val="00A440E0"/>
    <w:rsid w:val="00A44153"/>
    <w:rsid w:val="00A442EF"/>
    <w:rsid w:val="00A453B3"/>
    <w:rsid w:val="00A47DC6"/>
    <w:rsid w:val="00A51D1A"/>
    <w:rsid w:val="00A5229B"/>
    <w:rsid w:val="00A5418D"/>
    <w:rsid w:val="00A5474E"/>
    <w:rsid w:val="00A553D2"/>
    <w:rsid w:val="00A56044"/>
    <w:rsid w:val="00A61BFF"/>
    <w:rsid w:val="00A63639"/>
    <w:rsid w:val="00A64234"/>
    <w:rsid w:val="00A6621F"/>
    <w:rsid w:val="00A67C29"/>
    <w:rsid w:val="00A70ADF"/>
    <w:rsid w:val="00A71466"/>
    <w:rsid w:val="00A71B6A"/>
    <w:rsid w:val="00A72879"/>
    <w:rsid w:val="00A73B3C"/>
    <w:rsid w:val="00A742E6"/>
    <w:rsid w:val="00A74B5E"/>
    <w:rsid w:val="00A74C5E"/>
    <w:rsid w:val="00A75124"/>
    <w:rsid w:val="00A7716D"/>
    <w:rsid w:val="00A77552"/>
    <w:rsid w:val="00A81935"/>
    <w:rsid w:val="00A81BED"/>
    <w:rsid w:val="00A81EC4"/>
    <w:rsid w:val="00A824E8"/>
    <w:rsid w:val="00A82661"/>
    <w:rsid w:val="00A83B38"/>
    <w:rsid w:val="00A84956"/>
    <w:rsid w:val="00A85330"/>
    <w:rsid w:val="00A86C8B"/>
    <w:rsid w:val="00A87491"/>
    <w:rsid w:val="00A875E9"/>
    <w:rsid w:val="00A92163"/>
    <w:rsid w:val="00A94B69"/>
    <w:rsid w:val="00A954CA"/>
    <w:rsid w:val="00A95924"/>
    <w:rsid w:val="00A95CE1"/>
    <w:rsid w:val="00A967FD"/>
    <w:rsid w:val="00AA0543"/>
    <w:rsid w:val="00AA058A"/>
    <w:rsid w:val="00AA2C23"/>
    <w:rsid w:val="00AA2DE5"/>
    <w:rsid w:val="00AA3A7D"/>
    <w:rsid w:val="00AA4725"/>
    <w:rsid w:val="00AA4B16"/>
    <w:rsid w:val="00AA567A"/>
    <w:rsid w:val="00AA5D4A"/>
    <w:rsid w:val="00AA6CBE"/>
    <w:rsid w:val="00AB125B"/>
    <w:rsid w:val="00AB156C"/>
    <w:rsid w:val="00AB4C56"/>
    <w:rsid w:val="00AB6604"/>
    <w:rsid w:val="00AB673C"/>
    <w:rsid w:val="00AB6814"/>
    <w:rsid w:val="00AB74A2"/>
    <w:rsid w:val="00AB75C7"/>
    <w:rsid w:val="00AB7E35"/>
    <w:rsid w:val="00AC04BA"/>
    <w:rsid w:val="00AC0E39"/>
    <w:rsid w:val="00AC45FD"/>
    <w:rsid w:val="00AC59E2"/>
    <w:rsid w:val="00AC5A0A"/>
    <w:rsid w:val="00AC667A"/>
    <w:rsid w:val="00AC6BD2"/>
    <w:rsid w:val="00AC7794"/>
    <w:rsid w:val="00AD0525"/>
    <w:rsid w:val="00AD215D"/>
    <w:rsid w:val="00AD2935"/>
    <w:rsid w:val="00AD3082"/>
    <w:rsid w:val="00AD32B4"/>
    <w:rsid w:val="00AD4AD0"/>
    <w:rsid w:val="00AD51D5"/>
    <w:rsid w:val="00AD5436"/>
    <w:rsid w:val="00AD5700"/>
    <w:rsid w:val="00AD60CD"/>
    <w:rsid w:val="00AD6C8C"/>
    <w:rsid w:val="00AD7147"/>
    <w:rsid w:val="00AE091D"/>
    <w:rsid w:val="00AE166E"/>
    <w:rsid w:val="00AE3980"/>
    <w:rsid w:val="00AE3B60"/>
    <w:rsid w:val="00AE432F"/>
    <w:rsid w:val="00AE4A53"/>
    <w:rsid w:val="00AE5162"/>
    <w:rsid w:val="00AE53A1"/>
    <w:rsid w:val="00AE6604"/>
    <w:rsid w:val="00AF063D"/>
    <w:rsid w:val="00AF12DD"/>
    <w:rsid w:val="00AF14B6"/>
    <w:rsid w:val="00AF16DD"/>
    <w:rsid w:val="00AF2484"/>
    <w:rsid w:val="00AF5F00"/>
    <w:rsid w:val="00AF63E7"/>
    <w:rsid w:val="00AF64FA"/>
    <w:rsid w:val="00AF6E17"/>
    <w:rsid w:val="00B00AF3"/>
    <w:rsid w:val="00B0115E"/>
    <w:rsid w:val="00B0165D"/>
    <w:rsid w:val="00B016E3"/>
    <w:rsid w:val="00B01B60"/>
    <w:rsid w:val="00B01CC5"/>
    <w:rsid w:val="00B031F3"/>
    <w:rsid w:val="00B03797"/>
    <w:rsid w:val="00B052A4"/>
    <w:rsid w:val="00B125DE"/>
    <w:rsid w:val="00B129A4"/>
    <w:rsid w:val="00B12A64"/>
    <w:rsid w:val="00B13FDD"/>
    <w:rsid w:val="00B14B21"/>
    <w:rsid w:val="00B1576C"/>
    <w:rsid w:val="00B15F6E"/>
    <w:rsid w:val="00B1643C"/>
    <w:rsid w:val="00B17AFE"/>
    <w:rsid w:val="00B21C69"/>
    <w:rsid w:val="00B22EB2"/>
    <w:rsid w:val="00B24DCE"/>
    <w:rsid w:val="00B27442"/>
    <w:rsid w:val="00B27968"/>
    <w:rsid w:val="00B3041F"/>
    <w:rsid w:val="00B31167"/>
    <w:rsid w:val="00B31CE0"/>
    <w:rsid w:val="00B329D8"/>
    <w:rsid w:val="00B32BB9"/>
    <w:rsid w:val="00B3313B"/>
    <w:rsid w:val="00B33AE1"/>
    <w:rsid w:val="00B3548A"/>
    <w:rsid w:val="00B35919"/>
    <w:rsid w:val="00B36F9A"/>
    <w:rsid w:val="00B370BF"/>
    <w:rsid w:val="00B37734"/>
    <w:rsid w:val="00B37C38"/>
    <w:rsid w:val="00B4288C"/>
    <w:rsid w:val="00B43262"/>
    <w:rsid w:val="00B43FD4"/>
    <w:rsid w:val="00B44100"/>
    <w:rsid w:val="00B455DF"/>
    <w:rsid w:val="00B46AC1"/>
    <w:rsid w:val="00B46CBA"/>
    <w:rsid w:val="00B46F94"/>
    <w:rsid w:val="00B46FA1"/>
    <w:rsid w:val="00B47CF9"/>
    <w:rsid w:val="00B5281A"/>
    <w:rsid w:val="00B54528"/>
    <w:rsid w:val="00B54A97"/>
    <w:rsid w:val="00B56B68"/>
    <w:rsid w:val="00B57134"/>
    <w:rsid w:val="00B57349"/>
    <w:rsid w:val="00B6003C"/>
    <w:rsid w:val="00B61F03"/>
    <w:rsid w:val="00B626E4"/>
    <w:rsid w:val="00B63553"/>
    <w:rsid w:val="00B72F4A"/>
    <w:rsid w:val="00B74FF1"/>
    <w:rsid w:val="00B75553"/>
    <w:rsid w:val="00B82B96"/>
    <w:rsid w:val="00B83C27"/>
    <w:rsid w:val="00B83D86"/>
    <w:rsid w:val="00B83DF5"/>
    <w:rsid w:val="00B84BC3"/>
    <w:rsid w:val="00B84BDD"/>
    <w:rsid w:val="00B85986"/>
    <w:rsid w:val="00B92812"/>
    <w:rsid w:val="00B92FA6"/>
    <w:rsid w:val="00B93181"/>
    <w:rsid w:val="00B9593E"/>
    <w:rsid w:val="00B959C7"/>
    <w:rsid w:val="00B96717"/>
    <w:rsid w:val="00B9780B"/>
    <w:rsid w:val="00BA0B5E"/>
    <w:rsid w:val="00BA3207"/>
    <w:rsid w:val="00BA37A3"/>
    <w:rsid w:val="00BB06C8"/>
    <w:rsid w:val="00BB32ED"/>
    <w:rsid w:val="00BB45A1"/>
    <w:rsid w:val="00BB6335"/>
    <w:rsid w:val="00BB66B5"/>
    <w:rsid w:val="00BB7686"/>
    <w:rsid w:val="00BB7802"/>
    <w:rsid w:val="00BC05B1"/>
    <w:rsid w:val="00BC19AA"/>
    <w:rsid w:val="00BC1E1D"/>
    <w:rsid w:val="00BC23F9"/>
    <w:rsid w:val="00BC3421"/>
    <w:rsid w:val="00BC732C"/>
    <w:rsid w:val="00BD066F"/>
    <w:rsid w:val="00BD14D5"/>
    <w:rsid w:val="00BD1BAB"/>
    <w:rsid w:val="00BD4421"/>
    <w:rsid w:val="00BD477C"/>
    <w:rsid w:val="00BD4845"/>
    <w:rsid w:val="00BD686F"/>
    <w:rsid w:val="00BD6DDC"/>
    <w:rsid w:val="00BE00C8"/>
    <w:rsid w:val="00BE2580"/>
    <w:rsid w:val="00BE266D"/>
    <w:rsid w:val="00BE3721"/>
    <w:rsid w:val="00BE3938"/>
    <w:rsid w:val="00BE4C11"/>
    <w:rsid w:val="00BE507B"/>
    <w:rsid w:val="00BE55F2"/>
    <w:rsid w:val="00BE632F"/>
    <w:rsid w:val="00BE71C0"/>
    <w:rsid w:val="00BF16CA"/>
    <w:rsid w:val="00BF1C4A"/>
    <w:rsid w:val="00BF213C"/>
    <w:rsid w:val="00BF2221"/>
    <w:rsid w:val="00BF2BAF"/>
    <w:rsid w:val="00BF4395"/>
    <w:rsid w:val="00BF4F50"/>
    <w:rsid w:val="00BF5A6D"/>
    <w:rsid w:val="00BF5EA6"/>
    <w:rsid w:val="00BF610C"/>
    <w:rsid w:val="00C002CE"/>
    <w:rsid w:val="00C0060B"/>
    <w:rsid w:val="00C01A6C"/>
    <w:rsid w:val="00C0277D"/>
    <w:rsid w:val="00C02F26"/>
    <w:rsid w:val="00C04019"/>
    <w:rsid w:val="00C053A1"/>
    <w:rsid w:val="00C05508"/>
    <w:rsid w:val="00C06CE7"/>
    <w:rsid w:val="00C10F37"/>
    <w:rsid w:val="00C148F2"/>
    <w:rsid w:val="00C1501D"/>
    <w:rsid w:val="00C15BD8"/>
    <w:rsid w:val="00C16198"/>
    <w:rsid w:val="00C2083D"/>
    <w:rsid w:val="00C21948"/>
    <w:rsid w:val="00C22821"/>
    <w:rsid w:val="00C22D7B"/>
    <w:rsid w:val="00C238C9"/>
    <w:rsid w:val="00C24A53"/>
    <w:rsid w:val="00C24B1C"/>
    <w:rsid w:val="00C26F87"/>
    <w:rsid w:val="00C30253"/>
    <w:rsid w:val="00C32E99"/>
    <w:rsid w:val="00C33253"/>
    <w:rsid w:val="00C34A05"/>
    <w:rsid w:val="00C35CCE"/>
    <w:rsid w:val="00C36A40"/>
    <w:rsid w:val="00C36A85"/>
    <w:rsid w:val="00C36B16"/>
    <w:rsid w:val="00C4032F"/>
    <w:rsid w:val="00C41F21"/>
    <w:rsid w:val="00C436B9"/>
    <w:rsid w:val="00C43B5E"/>
    <w:rsid w:val="00C44047"/>
    <w:rsid w:val="00C45155"/>
    <w:rsid w:val="00C51B09"/>
    <w:rsid w:val="00C5498F"/>
    <w:rsid w:val="00C55235"/>
    <w:rsid w:val="00C554DD"/>
    <w:rsid w:val="00C55F2D"/>
    <w:rsid w:val="00C566F8"/>
    <w:rsid w:val="00C56FD8"/>
    <w:rsid w:val="00C57B06"/>
    <w:rsid w:val="00C609E3"/>
    <w:rsid w:val="00C61415"/>
    <w:rsid w:val="00C64ACB"/>
    <w:rsid w:val="00C64CD0"/>
    <w:rsid w:val="00C65BDD"/>
    <w:rsid w:val="00C65F61"/>
    <w:rsid w:val="00C6668A"/>
    <w:rsid w:val="00C6684F"/>
    <w:rsid w:val="00C66D11"/>
    <w:rsid w:val="00C67B25"/>
    <w:rsid w:val="00C70E70"/>
    <w:rsid w:val="00C7206B"/>
    <w:rsid w:val="00C73730"/>
    <w:rsid w:val="00C75F8D"/>
    <w:rsid w:val="00C77380"/>
    <w:rsid w:val="00C80B5E"/>
    <w:rsid w:val="00C818B7"/>
    <w:rsid w:val="00C859DE"/>
    <w:rsid w:val="00C87DE2"/>
    <w:rsid w:val="00C87E8A"/>
    <w:rsid w:val="00C907CF"/>
    <w:rsid w:val="00C913D6"/>
    <w:rsid w:val="00C92330"/>
    <w:rsid w:val="00C93571"/>
    <w:rsid w:val="00C95187"/>
    <w:rsid w:val="00C962FB"/>
    <w:rsid w:val="00C97611"/>
    <w:rsid w:val="00C97736"/>
    <w:rsid w:val="00CA2652"/>
    <w:rsid w:val="00CA345A"/>
    <w:rsid w:val="00CA3470"/>
    <w:rsid w:val="00CA5904"/>
    <w:rsid w:val="00CA6C2E"/>
    <w:rsid w:val="00CA7025"/>
    <w:rsid w:val="00CA72D8"/>
    <w:rsid w:val="00CA7784"/>
    <w:rsid w:val="00CB1E82"/>
    <w:rsid w:val="00CB2EE3"/>
    <w:rsid w:val="00CB4A0C"/>
    <w:rsid w:val="00CB4BA8"/>
    <w:rsid w:val="00CB52D7"/>
    <w:rsid w:val="00CB7000"/>
    <w:rsid w:val="00CB7E18"/>
    <w:rsid w:val="00CC071D"/>
    <w:rsid w:val="00CC2411"/>
    <w:rsid w:val="00CC40BD"/>
    <w:rsid w:val="00CC6732"/>
    <w:rsid w:val="00CC6833"/>
    <w:rsid w:val="00CC6E2E"/>
    <w:rsid w:val="00CD1EEF"/>
    <w:rsid w:val="00CD1F4A"/>
    <w:rsid w:val="00CD316D"/>
    <w:rsid w:val="00CD423A"/>
    <w:rsid w:val="00CD449B"/>
    <w:rsid w:val="00CD4CCA"/>
    <w:rsid w:val="00CD4DD1"/>
    <w:rsid w:val="00CD4F62"/>
    <w:rsid w:val="00CD67F8"/>
    <w:rsid w:val="00CD6ACF"/>
    <w:rsid w:val="00CE018F"/>
    <w:rsid w:val="00CE11E1"/>
    <w:rsid w:val="00CE1529"/>
    <w:rsid w:val="00CE183E"/>
    <w:rsid w:val="00CE3C96"/>
    <w:rsid w:val="00CE51A8"/>
    <w:rsid w:val="00CE677F"/>
    <w:rsid w:val="00CE6907"/>
    <w:rsid w:val="00CE6F2C"/>
    <w:rsid w:val="00CE7567"/>
    <w:rsid w:val="00CF0BFE"/>
    <w:rsid w:val="00CF369B"/>
    <w:rsid w:val="00CF4188"/>
    <w:rsid w:val="00CF703B"/>
    <w:rsid w:val="00D00E28"/>
    <w:rsid w:val="00D01448"/>
    <w:rsid w:val="00D01946"/>
    <w:rsid w:val="00D0207A"/>
    <w:rsid w:val="00D0236A"/>
    <w:rsid w:val="00D02444"/>
    <w:rsid w:val="00D0269E"/>
    <w:rsid w:val="00D04BFE"/>
    <w:rsid w:val="00D04C99"/>
    <w:rsid w:val="00D05D6C"/>
    <w:rsid w:val="00D10502"/>
    <w:rsid w:val="00D1147C"/>
    <w:rsid w:val="00D11757"/>
    <w:rsid w:val="00D11AEB"/>
    <w:rsid w:val="00D1202F"/>
    <w:rsid w:val="00D12556"/>
    <w:rsid w:val="00D12F2D"/>
    <w:rsid w:val="00D13E26"/>
    <w:rsid w:val="00D145DB"/>
    <w:rsid w:val="00D14F09"/>
    <w:rsid w:val="00D15810"/>
    <w:rsid w:val="00D16D4E"/>
    <w:rsid w:val="00D16FE3"/>
    <w:rsid w:val="00D20FF5"/>
    <w:rsid w:val="00D21CA6"/>
    <w:rsid w:val="00D22363"/>
    <w:rsid w:val="00D2397D"/>
    <w:rsid w:val="00D263C6"/>
    <w:rsid w:val="00D27F41"/>
    <w:rsid w:val="00D31413"/>
    <w:rsid w:val="00D32801"/>
    <w:rsid w:val="00D32803"/>
    <w:rsid w:val="00D32B04"/>
    <w:rsid w:val="00D335B2"/>
    <w:rsid w:val="00D34476"/>
    <w:rsid w:val="00D3562A"/>
    <w:rsid w:val="00D36441"/>
    <w:rsid w:val="00D37F54"/>
    <w:rsid w:val="00D4064E"/>
    <w:rsid w:val="00D40710"/>
    <w:rsid w:val="00D409B2"/>
    <w:rsid w:val="00D41FFF"/>
    <w:rsid w:val="00D437C2"/>
    <w:rsid w:val="00D43AA0"/>
    <w:rsid w:val="00D43B47"/>
    <w:rsid w:val="00D44E9B"/>
    <w:rsid w:val="00D45F71"/>
    <w:rsid w:val="00D47AEB"/>
    <w:rsid w:val="00D503C6"/>
    <w:rsid w:val="00D50DB9"/>
    <w:rsid w:val="00D51302"/>
    <w:rsid w:val="00D52C43"/>
    <w:rsid w:val="00D5383C"/>
    <w:rsid w:val="00D55A7E"/>
    <w:rsid w:val="00D568BB"/>
    <w:rsid w:val="00D57163"/>
    <w:rsid w:val="00D579B9"/>
    <w:rsid w:val="00D61243"/>
    <w:rsid w:val="00D61AB0"/>
    <w:rsid w:val="00D62772"/>
    <w:rsid w:val="00D630E1"/>
    <w:rsid w:val="00D63D2A"/>
    <w:rsid w:val="00D6507F"/>
    <w:rsid w:val="00D6578D"/>
    <w:rsid w:val="00D67CD1"/>
    <w:rsid w:val="00D71F16"/>
    <w:rsid w:val="00D72020"/>
    <w:rsid w:val="00D7249C"/>
    <w:rsid w:val="00D730BC"/>
    <w:rsid w:val="00D73912"/>
    <w:rsid w:val="00D812EC"/>
    <w:rsid w:val="00D82A39"/>
    <w:rsid w:val="00D8327C"/>
    <w:rsid w:val="00D84B62"/>
    <w:rsid w:val="00D85226"/>
    <w:rsid w:val="00D858CF"/>
    <w:rsid w:val="00D87B94"/>
    <w:rsid w:val="00D87D0C"/>
    <w:rsid w:val="00D90956"/>
    <w:rsid w:val="00D91DD9"/>
    <w:rsid w:val="00D92D49"/>
    <w:rsid w:val="00D92EC1"/>
    <w:rsid w:val="00D95BBC"/>
    <w:rsid w:val="00D95D6C"/>
    <w:rsid w:val="00D96DEA"/>
    <w:rsid w:val="00DA314A"/>
    <w:rsid w:val="00DA3428"/>
    <w:rsid w:val="00DA4E41"/>
    <w:rsid w:val="00DA6C10"/>
    <w:rsid w:val="00DA6FED"/>
    <w:rsid w:val="00DA7986"/>
    <w:rsid w:val="00DA7997"/>
    <w:rsid w:val="00DB117A"/>
    <w:rsid w:val="00DB1BEF"/>
    <w:rsid w:val="00DB2371"/>
    <w:rsid w:val="00DB2F91"/>
    <w:rsid w:val="00DB3AFC"/>
    <w:rsid w:val="00DB3B5D"/>
    <w:rsid w:val="00DB3BF4"/>
    <w:rsid w:val="00DB3FDB"/>
    <w:rsid w:val="00DB4886"/>
    <w:rsid w:val="00DB4E72"/>
    <w:rsid w:val="00DB5173"/>
    <w:rsid w:val="00DB552C"/>
    <w:rsid w:val="00DB6291"/>
    <w:rsid w:val="00DB6E36"/>
    <w:rsid w:val="00DB7873"/>
    <w:rsid w:val="00DB7FDD"/>
    <w:rsid w:val="00DC187B"/>
    <w:rsid w:val="00DC1E8E"/>
    <w:rsid w:val="00DC4A59"/>
    <w:rsid w:val="00DC5F3F"/>
    <w:rsid w:val="00DC613B"/>
    <w:rsid w:val="00DC6F7D"/>
    <w:rsid w:val="00DC74C1"/>
    <w:rsid w:val="00DD02D2"/>
    <w:rsid w:val="00DD1A43"/>
    <w:rsid w:val="00DD38E2"/>
    <w:rsid w:val="00DD5CE8"/>
    <w:rsid w:val="00DD73C2"/>
    <w:rsid w:val="00DE319B"/>
    <w:rsid w:val="00DE3E32"/>
    <w:rsid w:val="00DE3F7B"/>
    <w:rsid w:val="00DE43C2"/>
    <w:rsid w:val="00DE43DD"/>
    <w:rsid w:val="00DE473F"/>
    <w:rsid w:val="00DE5E8B"/>
    <w:rsid w:val="00DF274B"/>
    <w:rsid w:val="00DF34FE"/>
    <w:rsid w:val="00DF566A"/>
    <w:rsid w:val="00DF56AA"/>
    <w:rsid w:val="00DF56AF"/>
    <w:rsid w:val="00DF5C68"/>
    <w:rsid w:val="00DF6100"/>
    <w:rsid w:val="00DF6A02"/>
    <w:rsid w:val="00DF752A"/>
    <w:rsid w:val="00DF78E7"/>
    <w:rsid w:val="00E044B3"/>
    <w:rsid w:val="00E110E0"/>
    <w:rsid w:val="00E132C5"/>
    <w:rsid w:val="00E15371"/>
    <w:rsid w:val="00E15DF3"/>
    <w:rsid w:val="00E15F03"/>
    <w:rsid w:val="00E2042B"/>
    <w:rsid w:val="00E21056"/>
    <w:rsid w:val="00E2342F"/>
    <w:rsid w:val="00E23E6D"/>
    <w:rsid w:val="00E24104"/>
    <w:rsid w:val="00E302D0"/>
    <w:rsid w:val="00E30FA7"/>
    <w:rsid w:val="00E31CA4"/>
    <w:rsid w:val="00E320B3"/>
    <w:rsid w:val="00E3283C"/>
    <w:rsid w:val="00E32945"/>
    <w:rsid w:val="00E33A7E"/>
    <w:rsid w:val="00E353A2"/>
    <w:rsid w:val="00E35707"/>
    <w:rsid w:val="00E35C19"/>
    <w:rsid w:val="00E36AA1"/>
    <w:rsid w:val="00E37AFE"/>
    <w:rsid w:val="00E4064A"/>
    <w:rsid w:val="00E40F0A"/>
    <w:rsid w:val="00E412D3"/>
    <w:rsid w:val="00E41ECB"/>
    <w:rsid w:val="00E41F8D"/>
    <w:rsid w:val="00E42676"/>
    <w:rsid w:val="00E43117"/>
    <w:rsid w:val="00E43DDC"/>
    <w:rsid w:val="00E4671B"/>
    <w:rsid w:val="00E50536"/>
    <w:rsid w:val="00E50555"/>
    <w:rsid w:val="00E50BEE"/>
    <w:rsid w:val="00E54FDB"/>
    <w:rsid w:val="00E55C51"/>
    <w:rsid w:val="00E5617D"/>
    <w:rsid w:val="00E563D7"/>
    <w:rsid w:val="00E60592"/>
    <w:rsid w:val="00E65F54"/>
    <w:rsid w:val="00E66347"/>
    <w:rsid w:val="00E663F4"/>
    <w:rsid w:val="00E666F2"/>
    <w:rsid w:val="00E669B2"/>
    <w:rsid w:val="00E66DD4"/>
    <w:rsid w:val="00E66E9E"/>
    <w:rsid w:val="00E67ACB"/>
    <w:rsid w:val="00E71872"/>
    <w:rsid w:val="00E71A58"/>
    <w:rsid w:val="00E748CC"/>
    <w:rsid w:val="00E74F15"/>
    <w:rsid w:val="00E75415"/>
    <w:rsid w:val="00E76000"/>
    <w:rsid w:val="00E76A10"/>
    <w:rsid w:val="00E775B1"/>
    <w:rsid w:val="00E77815"/>
    <w:rsid w:val="00E80268"/>
    <w:rsid w:val="00E80308"/>
    <w:rsid w:val="00E810A7"/>
    <w:rsid w:val="00E812D8"/>
    <w:rsid w:val="00E8152A"/>
    <w:rsid w:val="00E85501"/>
    <w:rsid w:val="00E90A53"/>
    <w:rsid w:val="00E92AAD"/>
    <w:rsid w:val="00E93629"/>
    <w:rsid w:val="00E93B5C"/>
    <w:rsid w:val="00E94899"/>
    <w:rsid w:val="00E94CEC"/>
    <w:rsid w:val="00E95CC8"/>
    <w:rsid w:val="00E96D97"/>
    <w:rsid w:val="00E971CA"/>
    <w:rsid w:val="00EA04EF"/>
    <w:rsid w:val="00EA0969"/>
    <w:rsid w:val="00EA0F24"/>
    <w:rsid w:val="00EA21E2"/>
    <w:rsid w:val="00EA2864"/>
    <w:rsid w:val="00EA36E6"/>
    <w:rsid w:val="00EA631D"/>
    <w:rsid w:val="00EA6C79"/>
    <w:rsid w:val="00EA6F19"/>
    <w:rsid w:val="00EA72B1"/>
    <w:rsid w:val="00EB0368"/>
    <w:rsid w:val="00EB2D68"/>
    <w:rsid w:val="00EB3971"/>
    <w:rsid w:val="00EB49C9"/>
    <w:rsid w:val="00EB549A"/>
    <w:rsid w:val="00EB7090"/>
    <w:rsid w:val="00EB7E57"/>
    <w:rsid w:val="00EC1BBE"/>
    <w:rsid w:val="00EC27A8"/>
    <w:rsid w:val="00EC2B68"/>
    <w:rsid w:val="00EC3AEF"/>
    <w:rsid w:val="00EC5B34"/>
    <w:rsid w:val="00EC5CD7"/>
    <w:rsid w:val="00EC6C5D"/>
    <w:rsid w:val="00ED4035"/>
    <w:rsid w:val="00ED6891"/>
    <w:rsid w:val="00ED715B"/>
    <w:rsid w:val="00ED78D0"/>
    <w:rsid w:val="00ED7C07"/>
    <w:rsid w:val="00EE5CAB"/>
    <w:rsid w:val="00EE5FB3"/>
    <w:rsid w:val="00EE6667"/>
    <w:rsid w:val="00EE7297"/>
    <w:rsid w:val="00EE7B6B"/>
    <w:rsid w:val="00EE7D39"/>
    <w:rsid w:val="00EE7F79"/>
    <w:rsid w:val="00EF1338"/>
    <w:rsid w:val="00EF1DCA"/>
    <w:rsid w:val="00EF4A15"/>
    <w:rsid w:val="00EF4CFE"/>
    <w:rsid w:val="00EF5AA5"/>
    <w:rsid w:val="00EF6481"/>
    <w:rsid w:val="00EF6A76"/>
    <w:rsid w:val="00EF715A"/>
    <w:rsid w:val="00F025B3"/>
    <w:rsid w:val="00F04AAC"/>
    <w:rsid w:val="00F0696F"/>
    <w:rsid w:val="00F069B8"/>
    <w:rsid w:val="00F06C43"/>
    <w:rsid w:val="00F06E14"/>
    <w:rsid w:val="00F10D3F"/>
    <w:rsid w:val="00F179D4"/>
    <w:rsid w:val="00F21671"/>
    <w:rsid w:val="00F2209B"/>
    <w:rsid w:val="00F22622"/>
    <w:rsid w:val="00F22A23"/>
    <w:rsid w:val="00F22CFB"/>
    <w:rsid w:val="00F2318D"/>
    <w:rsid w:val="00F23F1F"/>
    <w:rsid w:val="00F24247"/>
    <w:rsid w:val="00F24D09"/>
    <w:rsid w:val="00F25F3D"/>
    <w:rsid w:val="00F26283"/>
    <w:rsid w:val="00F27A31"/>
    <w:rsid w:val="00F31FD6"/>
    <w:rsid w:val="00F33C56"/>
    <w:rsid w:val="00F347C7"/>
    <w:rsid w:val="00F34848"/>
    <w:rsid w:val="00F35F04"/>
    <w:rsid w:val="00F361D7"/>
    <w:rsid w:val="00F4038B"/>
    <w:rsid w:val="00F40939"/>
    <w:rsid w:val="00F42541"/>
    <w:rsid w:val="00F42D46"/>
    <w:rsid w:val="00F43E69"/>
    <w:rsid w:val="00F44634"/>
    <w:rsid w:val="00F4496C"/>
    <w:rsid w:val="00F44F3A"/>
    <w:rsid w:val="00F45B40"/>
    <w:rsid w:val="00F51383"/>
    <w:rsid w:val="00F51814"/>
    <w:rsid w:val="00F51D47"/>
    <w:rsid w:val="00F51F10"/>
    <w:rsid w:val="00F529A5"/>
    <w:rsid w:val="00F5310D"/>
    <w:rsid w:val="00F54DF5"/>
    <w:rsid w:val="00F553C3"/>
    <w:rsid w:val="00F56CCE"/>
    <w:rsid w:val="00F60F00"/>
    <w:rsid w:val="00F610D2"/>
    <w:rsid w:val="00F614C0"/>
    <w:rsid w:val="00F61C4B"/>
    <w:rsid w:val="00F62B9F"/>
    <w:rsid w:val="00F6303C"/>
    <w:rsid w:val="00F6309B"/>
    <w:rsid w:val="00F64AA5"/>
    <w:rsid w:val="00F65A46"/>
    <w:rsid w:val="00F65ACB"/>
    <w:rsid w:val="00F7108E"/>
    <w:rsid w:val="00F718D6"/>
    <w:rsid w:val="00F7223F"/>
    <w:rsid w:val="00F72E89"/>
    <w:rsid w:val="00F773AF"/>
    <w:rsid w:val="00F8005B"/>
    <w:rsid w:val="00F81C4B"/>
    <w:rsid w:val="00F8374B"/>
    <w:rsid w:val="00F83848"/>
    <w:rsid w:val="00F83B0F"/>
    <w:rsid w:val="00F84471"/>
    <w:rsid w:val="00F8545E"/>
    <w:rsid w:val="00F855DB"/>
    <w:rsid w:val="00F86769"/>
    <w:rsid w:val="00F87B23"/>
    <w:rsid w:val="00F91819"/>
    <w:rsid w:val="00F93CDF"/>
    <w:rsid w:val="00F93FED"/>
    <w:rsid w:val="00F9565C"/>
    <w:rsid w:val="00F971B1"/>
    <w:rsid w:val="00F975E9"/>
    <w:rsid w:val="00F9764E"/>
    <w:rsid w:val="00F977DC"/>
    <w:rsid w:val="00F97F92"/>
    <w:rsid w:val="00FA1A05"/>
    <w:rsid w:val="00FA1B7D"/>
    <w:rsid w:val="00FA3941"/>
    <w:rsid w:val="00FA4BAA"/>
    <w:rsid w:val="00FA4F2A"/>
    <w:rsid w:val="00FA7FB6"/>
    <w:rsid w:val="00FB0B5E"/>
    <w:rsid w:val="00FB0F8C"/>
    <w:rsid w:val="00FB4EAF"/>
    <w:rsid w:val="00FB7AF1"/>
    <w:rsid w:val="00FB7C74"/>
    <w:rsid w:val="00FB7EE6"/>
    <w:rsid w:val="00FC07B9"/>
    <w:rsid w:val="00FC17E9"/>
    <w:rsid w:val="00FC1DBA"/>
    <w:rsid w:val="00FC2761"/>
    <w:rsid w:val="00FC4652"/>
    <w:rsid w:val="00FC475D"/>
    <w:rsid w:val="00FC48AB"/>
    <w:rsid w:val="00FC4E21"/>
    <w:rsid w:val="00FC5F6D"/>
    <w:rsid w:val="00FD0107"/>
    <w:rsid w:val="00FD043C"/>
    <w:rsid w:val="00FD09E0"/>
    <w:rsid w:val="00FD1E8B"/>
    <w:rsid w:val="00FD25C6"/>
    <w:rsid w:val="00FD2C08"/>
    <w:rsid w:val="00FD2C2F"/>
    <w:rsid w:val="00FD3B31"/>
    <w:rsid w:val="00FD3E4A"/>
    <w:rsid w:val="00FE15C4"/>
    <w:rsid w:val="00FE1823"/>
    <w:rsid w:val="00FE233F"/>
    <w:rsid w:val="00FE487A"/>
    <w:rsid w:val="00FE65A6"/>
    <w:rsid w:val="00FE79AB"/>
    <w:rsid w:val="00FE7E5A"/>
    <w:rsid w:val="00FF002A"/>
    <w:rsid w:val="00FF0329"/>
    <w:rsid w:val="00FF0569"/>
    <w:rsid w:val="00FF09AC"/>
    <w:rsid w:val="00FF0D35"/>
    <w:rsid w:val="00FF1141"/>
    <w:rsid w:val="00FF1AC4"/>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ru v:ext="edit" colors="red,#4d4d4f"/>
    </o:shapedefaults>
    <o:shapelayout v:ext="edit">
      <o:idmap v:ext="edit" data="1"/>
    </o:shapelayout>
  </w:shapeDefaults>
  <w:decimalSymbol w:val="."/>
  <w:listSeparator w:val=","/>
  <w14:docId w14:val="65B6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D87D0C"/>
    <w:pPr>
      <w:keepNext/>
      <w:spacing w:before="60" w:after="60"/>
      <w:outlineLvl w:val="2"/>
    </w:pPr>
    <w:rPr>
      <w:rFonts w:cs="Arial"/>
      <w:b/>
      <w:bCs/>
      <w:szCs w:val="26"/>
      <w:u w:val="single"/>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uiPriority w:val="23"/>
    <w:rsid w:val="00D61243"/>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D87D0C"/>
    <w:rPr>
      <w:rFonts w:ascii="Arial" w:hAnsi="Arial" w:cs="Arial"/>
      <w:b/>
      <w:bCs/>
      <w:sz w:val="20"/>
      <w:szCs w:val="26"/>
      <w:u w:val="single"/>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F361D7"/>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paragraph" w:styleId="ListParagraph">
    <w:name w:val="List Paragraph"/>
    <w:basedOn w:val="Normal"/>
    <w:rsid w:val="00926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62444">
      <w:bodyDiv w:val="1"/>
      <w:marLeft w:val="0"/>
      <w:marRight w:val="0"/>
      <w:marTop w:val="0"/>
      <w:marBottom w:val="0"/>
      <w:divBdr>
        <w:top w:val="none" w:sz="0" w:space="0" w:color="auto"/>
        <w:left w:val="none" w:sz="0" w:space="0" w:color="auto"/>
        <w:bottom w:val="none" w:sz="0" w:space="0" w:color="auto"/>
        <w:right w:val="none" w:sz="0" w:space="0" w:color="auto"/>
      </w:divBdr>
    </w:div>
    <w:div w:id="256671704">
      <w:bodyDiv w:val="1"/>
      <w:marLeft w:val="0"/>
      <w:marRight w:val="0"/>
      <w:marTop w:val="0"/>
      <w:marBottom w:val="0"/>
      <w:divBdr>
        <w:top w:val="none" w:sz="0" w:space="0" w:color="auto"/>
        <w:left w:val="none" w:sz="0" w:space="0" w:color="auto"/>
        <w:bottom w:val="none" w:sz="0" w:space="0" w:color="auto"/>
        <w:right w:val="none" w:sz="0" w:space="0" w:color="auto"/>
      </w:divBdr>
    </w:div>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749081094">
      <w:bodyDiv w:val="1"/>
      <w:marLeft w:val="0"/>
      <w:marRight w:val="0"/>
      <w:marTop w:val="0"/>
      <w:marBottom w:val="0"/>
      <w:divBdr>
        <w:top w:val="none" w:sz="0" w:space="0" w:color="auto"/>
        <w:left w:val="none" w:sz="0" w:space="0" w:color="auto"/>
        <w:bottom w:val="none" w:sz="0" w:space="0" w:color="auto"/>
        <w:right w:val="none" w:sz="0" w:space="0" w:color="auto"/>
      </w:divBdr>
    </w:div>
    <w:div w:id="1023674556">
      <w:bodyDiv w:val="1"/>
      <w:marLeft w:val="0"/>
      <w:marRight w:val="0"/>
      <w:marTop w:val="0"/>
      <w:marBottom w:val="0"/>
      <w:divBdr>
        <w:top w:val="none" w:sz="0" w:space="0" w:color="auto"/>
        <w:left w:val="none" w:sz="0" w:space="0" w:color="auto"/>
        <w:bottom w:val="none" w:sz="0" w:space="0" w:color="auto"/>
        <w:right w:val="none" w:sz="0" w:space="0" w:color="auto"/>
      </w:divBdr>
    </w:div>
    <w:div w:id="1381830382">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five-year-spectrum-outloo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s://www.acma.gov.au/privacy-policy"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hyperlink" Target="https://www.acma.gov.au/publication-submissions" TargetMode="Externa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acma.gov.au/have-your-sa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acma.gov.au/consultations/2021-04/rlan-use-5-ghz-and-6-ghz-bands-consultation-122021" TargetMode="External"/><Relationship Id="rId32" Type="http://schemas.openxmlformats.org/officeDocument/2006/relationships/hyperlink" Target="mailto:xavier.halliwell@acma.gov.au" TargetMode="External"/><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acma.gov.au/consultations/2021-04/rlan-use-5-ghz-and-6-ghz-bands-consultation-122021" TargetMode="External"/><Relationship Id="rId36"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www.acma.gov.au/have-your-sa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consultations/2021-04/rlan-use-5-ghz-and-6-ghz-bands-consultation-122021" TargetMode="External"/><Relationship Id="rId30" Type="http://schemas.openxmlformats.org/officeDocument/2006/relationships/hyperlink" Target="https://www.acma.gov.au/have-your-say" TargetMode="External"/><Relationship Id="rId35" Type="http://schemas.openxmlformats.org/officeDocument/2006/relationships/header" Target="header7.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pub/R-REP-S.2368-2015" TargetMode="External"/><Relationship Id="rId2" Type="http://schemas.openxmlformats.org/officeDocument/2006/relationships/hyperlink" Target="https://www.itu.int/pub/R-REP-S.2367-2015" TargetMode="External"/><Relationship Id="rId1" Type="http://schemas.openxmlformats.org/officeDocument/2006/relationships/hyperlink" Target="https://docdb.cept.org/download/135" TargetMode="External"/><Relationship Id="rId5" Type="http://schemas.openxmlformats.org/officeDocument/2006/relationships/hyperlink" Target="https://www.itu.int/pub/R-REP-S.2368-2015" TargetMode="External"/><Relationship Id="rId4" Type="http://schemas.openxmlformats.org/officeDocument/2006/relationships/hyperlink" Target="https://www.itu.int/pub/R-REP-S.2367-20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8252</Words>
  <Characters>47037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2021-10-15T04:37:00Z</dcterms:created>
  <dcterms:modified xsi:type="dcterms:W3CDTF">2021-10-15T04:37:00Z</dcterms:modified>
  <cp:category/>
</cp:coreProperties>
</file>