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96986" w14:textId="13FC0B98" w:rsidR="00590E11" w:rsidRDefault="00590E11" w:rsidP="00590E11">
      <w:pPr>
        <w:pStyle w:val="Reportsubtitle"/>
      </w:pPr>
      <w:bookmarkStart w:id="0" w:name="_Hlk31296722"/>
      <w:r w:rsidRPr="00590E11">
        <w:rPr>
          <w:b/>
          <w:color w:val="auto"/>
        </w:rPr>
        <w:t>Price-based allocation of high</w:t>
      </w:r>
      <w:r w:rsidR="00B87481">
        <w:rPr>
          <w:b/>
          <w:color w:val="auto"/>
        </w:rPr>
        <w:t>-</w:t>
      </w:r>
      <w:r w:rsidRPr="00590E11">
        <w:rPr>
          <w:b/>
          <w:color w:val="auto"/>
        </w:rPr>
        <w:t>power open narrowcasting (HPON) transmitter licences</w:t>
      </w:r>
      <w:bookmarkEnd w:id="0"/>
      <w:r w:rsidRPr="00590E11">
        <w:rPr>
          <w:b/>
          <w:color w:val="auto"/>
        </w:rPr>
        <w:t xml:space="preserve"> </w:t>
      </w:r>
      <w:r w:rsidRPr="00590E11">
        <w:t>Applicant information package</w:t>
      </w:r>
    </w:p>
    <w:p w14:paraId="3543909B" w14:textId="3CAA05B0" w:rsidR="00C97736" w:rsidRPr="00590E11" w:rsidRDefault="00B44252" w:rsidP="00590E11">
      <w:pPr>
        <w:pStyle w:val="Reportsubtitle"/>
        <w:rPr>
          <w:caps/>
          <w:spacing w:val="-10"/>
          <w:sz w:val="20"/>
        </w:rPr>
        <w:sectPr w:rsidR="00C97736" w:rsidRPr="00590E11"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rPr>
          <w:caps/>
          <w:spacing w:val="-10"/>
          <w:sz w:val="20"/>
        </w:rPr>
        <w:t>JUNE</w:t>
      </w:r>
      <w:r w:rsidR="00BD4421" w:rsidRPr="00590E11">
        <w:rPr>
          <w:caps/>
          <w:spacing w:val="-10"/>
          <w:sz w:val="20"/>
        </w:rPr>
        <w:t xml:space="preserve"> 20</w:t>
      </w:r>
      <w:r w:rsidR="008E0428" w:rsidRPr="00590E11">
        <w:rPr>
          <w:caps/>
          <w:spacing w:val="-10"/>
          <w:sz w:val="20"/>
        </w:rPr>
        <w:t>2</w:t>
      </w:r>
      <w:r>
        <w:rPr>
          <w:caps/>
          <w:spacing w:val="-10"/>
          <w:sz w:val="20"/>
        </w:rPr>
        <w:t>1</w:t>
      </w:r>
    </w:p>
    <w:p w14:paraId="7C0F6C29" w14:textId="77777777" w:rsidR="0005011A" w:rsidRPr="00F44F3A" w:rsidRDefault="0005011A" w:rsidP="00FC07B9">
      <w:pPr>
        <w:pStyle w:val="ACMACorporateAddressHeader"/>
      </w:pPr>
      <w:r w:rsidRPr="00F44F3A">
        <w:lastRenderedPageBreak/>
        <w:t>Canberra</w:t>
      </w:r>
    </w:p>
    <w:p w14:paraId="76B569A3"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28A27F16" w14:textId="77777777" w:rsidR="0005011A" w:rsidRPr="00FC07B9" w:rsidRDefault="0005011A" w:rsidP="00FC07B9">
      <w:pPr>
        <w:pStyle w:val="ACMACorporateAddresses"/>
      </w:pPr>
      <w:r w:rsidRPr="00FC07B9">
        <w:t>PO Box 78</w:t>
      </w:r>
      <w:r w:rsidRPr="00FC07B9">
        <w:br/>
        <w:t>Belconnen ACT 2616</w:t>
      </w:r>
    </w:p>
    <w:p w14:paraId="7CF245FB"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7573A9F6" w14:textId="77777777" w:rsidR="0005011A" w:rsidRPr="00F44F3A" w:rsidRDefault="0005011A" w:rsidP="00FC07B9">
      <w:pPr>
        <w:pStyle w:val="ACMACorporateAddressHeader"/>
      </w:pPr>
      <w:r w:rsidRPr="00F44F3A">
        <w:t>Melbourne</w:t>
      </w:r>
    </w:p>
    <w:p w14:paraId="714C4544"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160A2822"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1EB25F85"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3C072983" w14:textId="77777777" w:rsidR="0005011A" w:rsidRPr="00F44F3A" w:rsidRDefault="0005011A" w:rsidP="00FC07B9">
      <w:pPr>
        <w:pStyle w:val="ACMACorporateAddressHeader"/>
      </w:pPr>
      <w:r w:rsidRPr="00F44F3A">
        <w:t>Sydney</w:t>
      </w:r>
    </w:p>
    <w:p w14:paraId="79D06944"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4B635E5F"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3E284857"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2A6C05AD" w14:textId="77777777" w:rsidR="00140318" w:rsidRPr="006D46E5" w:rsidRDefault="00140318" w:rsidP="00FC07B9">
      <w:pPr>
        <w:pStyle w:val="ACMACopyrightHeader"/>
      </w:pPr>
      <w:r w:rsidRPr="00140318">
        <w:t>Copyright notice</w:t>
      </w:r>
    </w:p>
    <w:p w14:paraId="0D22900C" w14:textId="77777777" w:rsidR="00140318" w:rsidRPr="006D46E5" w:rsidRDefault="00623FF9" w:rsidP="00623FF9">
      <w:pPr>
        <w:pStyle w:val="ACMACClogo"/>
      </w:pPr>
      <w:r w:rsidRPr="00623FF9">
        <w:rPr>
          <w:noProof/>
        </w:rPr>
        <w:drawing>
          <wp:inline distT="0" distB="0" distL="0" distR="0" wp14:anchorId="1F37FEDD" wp14:editId="4239160A">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01FCD9CE" w14:textId="77777777" w:rsidR="00AA2DE5" w:rsidRDefault="0051398B" w:rsidP="00AA2DE5">
      <w:pPr>
        <w:pStyle w:val="ACMACorporateAddresses"/>
        <w:rPr>
          <w:rStyle w:val="Hyperlink"/>
        </w:rPr>
      </w:pPr>
      <w:hyperlink r:id="rId13" w:history="1">
        <w:r w:rsidR="00AA2DE5">
          <w:rPr>
            <w:rStyle w:val="Hyperlink"/>
          </w:rPr>
          <w:t>https://creativecommons.org/licenses/by/4.0/</w:t>
        </w:r>
      </w:hyperlink>
    </w:p>
    <w:p w14:paraId="5C3C6536"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1403BD5C" w14:textId="57FA731C" w:rsidR="00AA2DE5" w:rsidRDefault="00AA2DE5" w:rsidP="00AA2DE5">
      <w:pPr>
        <w:pStyle w:val="ACMACorporateAddresses"/>
      </w:pPr>
      <w:r>
        <w:t>We request attribution as © Commonwealth of Australia (Australian Communications and Media Authority) 20</w:t>
      </w:r>
      <w:r w:rsidR="00C41F21">
        <w:t>2</w:t>
      </w:r>
      <w:r w:rsidR="00A44C0A">
        <w:t>1</w:t>
      </w:r>
      <w:r>
        <w:t>.</w:t>
      </w:r>
    </w:p>
    <w:p w14:paraId="6E843CC0" w14:textId="77777777" w:rsidR="00AA2DE5" w:rsidRDefault="00AA2DE5" w:rsidP="00AA2DE5">
      <w:pPr>
        <w:pStyle w:val="ACMACorporateAddresses"/>
      </w:pPr>
      <w:r>
        <w:t>All other rights are reserved.</w:t>
      </w:r>
    </w:p>
    <w:p w14:paraId="621B72C8"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520F4530" w14:textId="77777777" w:rsidR="00AA2DE5" w:rsidRDefault="00AA2DE5" w:rsidP="00AA2DE5">
      <w:pPr>
        <w:pStyle w:val="ACMACorporateAddresses"/>
      </w:pPr>
      <w:r>
        <w:t>Written enquiries may be sent to:</w:t>
      </w:r>
    </w:p>
    <w:p w14:paraId="2EDE16CF"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191DCAE9" w14:textId="77777777" w:rsidR="00D16FE3" w:rsidRDefault="00D16FE3" w:rsidP="00D16FE3">
      <w:pPr>
        <w:pStyle w:val="ACMACorporateAddresses"/>
        <w:rPr>
          <w:rStyle w:val="Hyperlink"/>
        </w:rPr>
      </w:pPr>
    </w:p>
    <w:p w14:paraId="5F7D0DBA"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3888DC08" w14:textId="56D1235F" w:rsidR="001F1212" w:rsidRDefault="00C65F61">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"1-2" \t "Exec summary heading,1" </w:instrText>
      </w:r>
      <w:r>
        <w:rPr>
          <w:rFonts w:cs="Arial"/>
          <w:b w:val="0"/>
        </w:rPr>
        <w:fldChar w:fldCharType="separate"/>
      </w:r>
      <w:r w:rsidR="001F1212">
        <w:t>Note to applicants</w:t>
      </w:r>
      <w:r w:rsidR="001F1212">
        <w:tab/>
      </w:r>
      <w:r w:rsidR="001F1212">
        <w:fldChar w:fldCharType="begin"/>
      </w:r>
      <w:r w:rsidR="001F1212">
        <w:instrText xml:space="preserve"> PAGEREF _Toc74905614 \h </w:instrText>
      </w:r>
      <w:r w:rsidR="001F1212">
        <w:fldChar w:fldCharType="separate"/>
      </w:r>
      <w:r w:rsidR="001F1212">
        <w:t>1</w:t>
      </w:r>
      <w:r w:rsidR="001F1212">
        <w:fldChar w:fldCharType="end"/>
      </w:r>
    </w:p>
    <w:p w14:paraId="756DE171" w14:textId="1EA066C2" w:rsidR="001F1212" w:rsidRDefault="001F1212">
      <w:pPr>
        <w:pStyle w:val="TOC1"/>
        <w:rPr>
          <w:rFonts w:asciiTheme="minorHAnsi" w:eastAsiaTheme="minorEastAsia" w:hAnsiTheme="minorHAnsi" w:cstheme="minorBidi"/>
          <w:b w:val="0"/>
          <w:spacing w:val="0"/>
          <w:sz w:val="22"/>
          <w:szCs w:val="22"/>
        </w:rPr>
      </w:pPr>
      <w:r>
        <w:t>Licences to be allocated</w:t>
      </w:r>
      <w:r>
        <w:tab/>
      </w:r>
      <w:r>
        <w:fldChar w:fldCharType="begin"/>
      </w:r>
      <w:r>
        <w:instrText xml:space="preserve"> PAGEREF _Toc74905615 \h </w:instrText>
      </w:r>
      <w:r>
        <w:fldChar w:fldCharType="separate"/>
      </w:r>
      <w:r>
        <w:t>3</w:t>
      </w:r>
      <w:r>
        <w:fldChar w:fldCharType="end"/>
      </w:r>
    </w:p>
    <w:p w14:paraId="136E9148" w14:textId="6A15A383" w:rsidR="001F1212" w:rsidRDefault="001F1212">
      <w:pPr>
        <w:pStyle w:val="TOC2"/>
        <w:rPr>
          <w:rFonts w:asciiTheme="minorHAnsi" w:eastAsiaTheme="minorEastAsia" w:hAnsiTheme="minorHAnsi" w:cstheme="minorBidi"/>
          <w:spacing w:val="0"/>
          <w:sz w:val="22"/>
          <w:szCs w:val="22"/>
        </w:rPr>
      </w:pPr>
      <w:r>
        <w:t>Broadcast content</w:t>
      </w:r>
      <w:r>
        <w:tab/>
      </w:r>
      <w:r>
        <w:fldChar w:fldCharType="begin"/>
      </w:r>
      <w:r>
        <w:instrText xml:space="preserve"> PAGEREF _Toc74905616 \h </w:instrText>
      </w:r>
      <w:r>
        <w:fldChar w:fldCharType="separate"/>
      </w:r>
      <w:r>
        <w:t>3</w:t>
      </w:r>
      <w:r>
        <w:fldChar w:fldCharType="end"/>
      </w:r>
    </w:p>
    <w:p w14:paraId="13C839EC" w14:textId="21660E6F" w:rsidR="001F1212" w:rsidRDefault="001F1212">
      <w:pPr>
        <w:pStyle w:val="TOC2"/>
        <w:rPr>
          <w:rFonts w:asciiTheme="minorHAnsi" w:eastAsiaTheme="minorEastAsia" w:hAnsiTheme="minorHAnsi" w:cstheme="minorBidi"/>
          <w:spacing w:val="0"/>
          <w:sz w:val="22"/>
          <w:szCs w:val="22"/>
        </w:rPr>
      </w:pPr>
      <w:r>
        <w:t>Geographical areas</w:t>
      </w:r>
      <w:r>
        <w:tab/>
      </w:r>
      <w:r>
        <w:fldChar w:fldCharType="begin"/>
      </w:r>
      <w:r>
        <w:instrText xml:space="preserve"> PAGEREF _Toc74905617 \h </w:instrText>
      </w:r>
      <w:r>
        <w:fldChar w:fldCharType="separate"/>
      </w:r>
      <w:r>
        <w:t>3</w:t>
      </w:r>
      <w:r>
        <w:fldChar w:fldCharType="end"/>
      </w:r>
    </w:p>
    <w:p w14:paraId="0362C025" w14:textId="38F76CBA" w:rsidR="001F1212" w:rsidRDefault="001F1212">
      <w:pPr>
        <w:pStyle w:val="TOC2"/>
        <w:rPr>
          <w:rFonts w:asciiTheme="minorHAnsi" w:eastAsiaTheme="minorEastAsia" w:hAnsiTheme="minorHAnsi" w:cstheme="minorBidi"/>
          <w:spacing w:val="0"/>
          <w:sz w:val="22"/>
          <w:szCs w:val="22"/>
        </w:rPr>
      </w:pPr>
      <w:r>
        <w:t>Duration and licence renewal</w:t>
      </w:r>
      <w:r>
        <w:tab/>
      </w:r>
      <w:r>
        <w:fldChar w:fldCharType="begin"/>
      </w:r>
      <w:r>
        <w:instrText xml:space="preserve"> PAGEREF _Toc74905618 \h </w:instrText>
      </w:r>
      <w:r>
        <w:fldChar w:fldCharType="separate"/>
      </w:r>
      <w:r>
        <w:t>5</w:t>
      </w:r>
      <w:r>
        <w:fldChar w:fldCharType="end"/>
      </w:r>
    </w:p>
    <w:p w14:paraId="7E7201C3" w14:textId="372B4AB6" w:rsidR="001F1212" w:rsidRDefault="001F1212">
      <w:pPr>
        <w:pStyle w:val="TOC2"/>
        <w:rPr>
          <w:rFonts w:asciiTheme="minorHAnsi" w:eastAsiaTheme="minorEastAsia" w:hAnsiTheme="minorHAnsi" w:cstheme="minorBidi"/>
          <w:spacing w:val="0"/>
          <w:sz w:val="22"/>
          <w:szCs w:val="22"/>
        </w:rPr>
      </w:pPr>
      <w:r>
        <w:t>Licence fees</w:t>
      </w:r>
      <w:r>
        <w:tab/>
      </w:r>
      <w:r>
        <w:fldChar w:fldCharType="begin"/>
      </w:r>
      <w:r>
        <w:instrText xml:space="preserve"> PAGEREF _Toc74905619 \h </w:instrText>
      </w:r>
      <w:r>
        <w:fldChar w:fldCharType="separate"/>
      </w:r>
      <w:r>
        <w:t>6</w:t>
      </w:r>
      <w:r>
        <w:fldChar w:fldCharType="end"/>
      </w:r>
    </w:p>
    <w:p w14:paraId="76BA8A20" w14:textId="02294B1B" w:rsidR="001F1212" w:rsidRDefault="001F1212">
      <w:pPr>
        <w:pStyle w:val="TOC2"/>
        <w:rPr>
          <w:rFonts w:asciiTheme="minorHAnsi" w:eastAsiaTheme="minorEastAsia" w:hAnsiTheme="minorHAnsi" w:cstheme="minorBidi"/>
          <w:spacing w:val="0"/>
          <w:sz w:val="22"/>
          <w:szCs w:val="22"/>
        </w:rPr>
      </w:pPr>
      <w:r>
        <w:t>Third-party authorisation</w:t>
      </w:r>
      <w:r>
        <w:tab/>
      </w:r>
      <w:r>
        <w:fldChar w:fldCharType="begin"/>
      </w:r>
      <w:r>
        <w:instrText xml:space="preserve"> PAGEREF _Toc74905620 \h </w:instrText>
      </w:r>
      <w:r>
        <w:fldChar w:fldCharType="separate"/>
      </w:r>
      <w:r>
        <w:t>7</w:t>
      </w:r>
      <w:r>
        <w:fldChar w:fldCharType="end"/>
      </w:r>
    </w:p>
    <w:p w14:paraId="6D51EA3A" w14:textId="24D40E81" w:rsidR="001F1212" w:rsidRDefault="001F1212">
      <w:pPr>
        <w:pStyle w:val="TOC2"/>
        <w:rPr>
          <w:rFonts w:asciiTheme="minorHAnsi" w:eastAsiaTheme="minorEastAsia" w:hAnsiTheme="minorHAnsi" w:cstheme="minorBidi"/>
          <w:spacing w:val="0"/>
          <w:sz w:val="22"/>
          <w:szCs w:val="22"/>
        </w:rPr>
      </w:pPr>
      <w:r>
        <w:t>Technical specifications – Gosford and Hobart HPONs</w:t>
      </w:r>
      <w:r>
        <w:tab/>
      </w:r>
      <w:r>
        <w:fldChar w:fldCharType="begin"/>
      </w:r>
      <w:r>
        <w:instrText xml:space="preserve"> PAGEREF _Toc74905621 \h </w:instrText>
      </w:r>
      <w:r>
        <w:fldChar w:fldCharType="separate"/>
      </w:r>
      <w:r>
        <w:t>7</w:t>
      </w:r>
      <w:r>
        <w:fldChar w:fldCharType="end"/>
      </w:r>
    </w:p>
    <w:p w14:paraId="7A93B5F7" w14:textId="715ABB50" w:rsidR="001F1212" w:rsidRDefault="001F1212">
      <w:pPr>
        <w:pStyle w:val="TOC1"/>
        <w:rPr>
          <w:rFonts w:asciiTheme="minorHAnsi" w:eastAsiaTheme="minorEastAsia" w:hAnsiTheme="minorHAnsi" w:cstheme="minorBidi"/>
          <w:b w:val="0"/>
          <w:spacing w:val="0"/>
          <w:sz w:val="22"/>
          <w:szCs w:val="22"/>
        </w:rPr>
      </w:pPr>
      <w:r>
        <w:t>How to participate in an allocation</w:t>
      </w:r>
      <w:r>
        <w:tab/>
      </w:r>
      <w:r>
        <w:fldChar w:fldCharType="begin"/>
      </w:r>
      <w:r>
        <w:instrText xml:space="preserve"> PAGEREF _Toc74905622 \h </w:instrText>
      </w:r>
      <w:r>
        <w:fldChar w:fldCharType="separate"/>
      </w:r>
      <w:r>
        <w:t>10</w:t>
      </w:r>
      <w:r>
        <w:fldChar w:fldCharType="end"/>
      </w:r>
    </w:p>
    <w:p w14:paraId="0FB8D186" w14:textId="0747524E" w:rsidR="001F1212" w:rsidRDefault="001F1212">
      <w:pPr>
        <w:pStyle w:val="TOC2"/>
        <w:rPr>
          <w:rFonts w:asciiTheme="minorHAnsi" w:eastAsiaTheme="minorEastAsia" w:hAnsiTheme="minorHAnsi" w:cstheme="minorBidi"/>
          <w:spacing w:val="0"/>
          <w:sz w:val="22"/>
          <w:szCs w:val="22"/>
        </w:rPr>
      </w:pPr>
      <w:r>
        <w:t>Step 1 – inform yourself</w:t>
      </w:r>
      <w:r>
        <w:tab/>
      </w:r>
      <w:r>
        <w:fldChar w:fldCharType="begin"/>
      </w:r>
      <w:r>
        <w:instrText xml:space="preserve"> PAGEREF _Toc74905623 \h </w:instrText>
      </w:r>
      <w:r>
        <w:fldChar w:fldCharType="separate"/>
      </w:r>
      <w:r>
        <w:t>10</w:t>
      </w:r>
      <w:r>
        <w:fldChar w:fldCharType="end"/>
      </w:r>
    </w:p>
    <w:p w14:paraId="404AC0D8" w14:textId="435ED1A9" w:rsidR="001F1212" w:rsidRDefault="001F1212">
      <w:pPr>
        <w:pStyle w:val="TOC2"/>
        <w:rPr>
          <w:rFonts w:asciiTheme="minorHAnsi" w:eastAsiaTheme="minorEastAsia" w:hAnsiTheme="minorHAnsi" w:cstheme="minorBidi"/>
          <w:spacing w:val="0"/>
          <w:sz w:val="22"/>
          <w:szCs w:val="22"/>
        </w:rPr>
      </w:pPr>
      <w:r>
        <w:t>Step 2 – lodge an application</w:t>
      </w:r>
      <w:r>
        <w:tab/>
      </w:r>
      <w:r>
        <w:fldChar w:fldCharType="begin"/>
      </w:r>
      <w:r>
        <w:instrText xml:space="preserve"> PAGEREF _Toc74905624 \h </w:instrText>
      </w:r>
      <w:r>
        <w:fldChar w:fldCharType="separate"/>
      </w:r>
      <w:r>
        <w:t>10</w:t>
      </w:r>
      <w:r>
        <w:fldChar w:fldCharType="end"/>
      </w:r>
    </w:p>
    <w:p w14:paraId="0ED4FD08" w14:textId="6EED3B47" w:rsidR="001F1212" w:rsidRDefault="001F1212">
      <w:pPr>
        <w:pStyle w:val="TOC2"/>
        <w:rPr>
          <w:rFonts w:asciiTheme="minorHAnsi" w:eastAsiaTheme="minorEastAsia" w:hAnsiTheme="minorHAnsi" w:cstheme="minorBidi"/>
          <w:spacing w:val="0"/>
          <w:sz w:val="22"/>
          <w:szCs w:val="22"/>
        </w:rPr>
      </w:pPr>
      <w:r>
        <w:t>Step 3 – wait for advice regarding your application</w:t>
      </w:r>
      <w:r>
        <w:tab/>
      </w:r>
      <w:r>
        <w:fldChar w:fldCharType="begin"/>
      </w:r>
      <w:r>
        <w:instrText xml:space="preserve"> PAGEREF _Toc74905625 \h </w:instrText>
      </w:r>
      <w:r>
        <w:fldChar w:fldCharType="separate"/>
      </w:r>
      <w:r>
        <w:t>11</w:t>
      </w:r>
      <w:r>
        <w:fldChar w:fldCharType="end"/>
      </w:r>
    </w:p>
    <w:p w14:paraId="1BFBD83A" w14:textId="5FF66B66" w:rsidR="001F1212" w:rsidRDefault="001F1212">
      <w:pPr>
        <w:pStyle w:val="TOC1"/>
        <w:rPr>
          <w:rFonts w:asciiTheme="minorHAnsi" w:eastAsiaTheme="minorEastAsia" w:hAnsiTheme="minorHAnsi" w:cstheme="minorBidi"/>
          <w:b w:val="0"/>
          <w:spacing w:val="0"/>
          <w:sz w:val="22"/>
          <w:szCs w:val="22"/>
        </w:rPr>
      </w:pPr>
      <w:r>
        <w:t>Auction of the Hobart and Gosford HPON licences</w:t>
      </w:r>
      <w:r>
        <w:tab/>
      </w:r>
      <w:r>
        <w:fldChar w:fldCharType="begin"/>
      </w:r>
      <w:r>
        <w:instrText xml:space="preserve"> PAGEREF _Toc74905626 \h </w:instrText>
      </w:r>
      <w:r>
        <w:fldChar w:fldCharType="separate"/>
      </w:r>
      <w:r>
        <w:t>12</w:t>
      </w:r>
      <w:r>
        <w:fldChar w:fldCharType="end"/>
      </w:r>
    </w:p>
    <w:p w14:paraId="27A2E504" w14:textId="3FB354D6" w:rsidR="001F1212" w:rsidRDefault="001F1212">
      <w:pPr>
        <w:pStyle w:val="TOC2"/>
        <w:rPr>
          <w:rFonts w:asciiTheme="minorHAnsi" w:eastAsiaTheme="minorEastAsia" w:hAnsiTheme="minorHAnsi" w:cstheme="minorBidi"/>
          <w:spacing w:val="0"/>
          <w:sz w:val="22"/>
          <w:szCs w:val="22"/>
        </w:rPr>
      </w:pPr>
      <w:r>
        <w:t>Auction format</w:t>
      </w:r>
      <w:r>
        <w:tab/>
      </w:r>
      <w:r>
        <w:fldChar w:fldCharType="begin"/>
      </w:r>
      <w:r>
        <w:instrText xml:space="preserve"> PAGEREF _Toc74905627 \h </w:instrText>
      </w:r>
      <w:r>
        <w:fldChar w:fldCharType="separate"/>
      </w:r>
      <w:r>
        <w:t>12</w:t>
      </w:r>
      <w:r>
        <w:fldChar w:fldCharType="end"/>
      </w:r>
    </w:p>
    <w:p w14:paraId="2F3889EB" w14:textId="1DA26797" w:rsidR="001F1212" w:rsidRDefault="001F1212">
      <w:pPr>
        <w:pStyle w:val="TOC2"/>
        <w:rPr>
          <w:rFonts w:asciiTheme="minorHAnsi" w:eastAsiaTheme="minorEastAsia" w:hAnsiTheme="minorHAnsi" w:cstheme="minorBidi"/>
          <w:spacing w:val="0"/>
          <w:sz w:val="22"/>
          <w:szCs w:val="22"/>
        </w:rPr>
      </w:pPr>
      <w:r>
        <w:t>Who may bid at an auction?</w:t>
      </w:r>
      <w:r>
        <w:tab/>
      </w:r>
      <w:r>
        <w:fldChar w:fldCharType="begin"/>
      </w:r>
      <w:r>
        <w:instrText xml:space="preserve"> PAGEREF _Toc74905628 \h </w:instrText>
      </w:r>
      <w:r>
        <w:fldChar w:fldCharType="separate"/>
      </w:r>
      <w:r>
        <w:t>12</w:t>
      </w:r>
      <w:r>
        <w:fldChar w:fldCharType="end"/>
      </w:r>
    </w:p>
    <w:p w14:paraId="270FD071" w14:textId="294DF766" w:rsidR="001F1212" w:rsidRDefault="001F1212">
      <w:pPr>
        <w:pStyle w:val="TOC2"/>
        <w:rPr>
          <w:rFonts w:asciiTheme="minorHAnsi" w:eastAsiaTheme="minorEastAsia" w:hAnsiTheme="minorHAnsi" w:cstheme="minorBidi"/>
          <w:spacing w:val="0"/>
          <w:sz w:val="22"/>
          <w:szCs w:val="22"/>
        </w:rPr>
      </w:pPr>
      <w:r>
        <w:t>The bidding process</w:t>
      </w:r>
      <w:r>
        <w:tab/>
      </w:r>
      <w:r>
        <w:fldChar w:fldCharType="begin"/>
      </w:r>
      <w:r>
        <w:instrText xml:space="preserve"> PAGEREF _Toc74905629 \h </w:instrText>
      </w:r>
      <w:r>
        <w:fldChar w:fldCharType="separate"/>
      </w:r>
      <w:r>
        <w:t>12</w:t>
      </w:r>
      <w:r>
        <w:fldChar w:fldCharType="end"/>
      </w:r>
    </w:p>
    <w:p w14:paraId="38DD3FE0" w14:textId="24BC5140" w:rsidR="004D56FF" w:rsidRPr="000D76E0" w:rsidRDefault="00C65F61">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1AE8484C" w14:textId="77777777" w:rsidR="009D6C71" w:rsidRPr="009174F3" w:rsidRDefault="00B57525" w:rsidP="009174F3">
      <w:pPr>
        <w:pStyle w:val="Execsummaryheading"/>
      </w:pPr>
      <w:bookmarkStart w:id="1" w:name="_Toc74905614"/>
      <w:r>
        <w:lastRenderedPageBreak/>
        <w:t>Note to applicants</w:t>
      </w:r>
      <w:bookmarkEnd w:id="1"/>
    </w:p>
    <w:p w14:paraId="5C2A4FDE" w14:textId="6824763F" w:rsidR="00B57525" w:rsidRPr="006D717C" w:rsidRDefault="006D717C" w:rsidP="009A70E0">
      <w:pPr>
        <w:pStyle w:val="Paragraphbeforelist"/>
        <w:rPr>
          <w:i/>
          <w:iCs/>
        </w:rPr>
      </w:pPr>
      <w:bookmarkStart w:id="2" w:name="_Toc433122125"/>
      <w:r w:rsidRPr="00042386">
        <w:t xml:space="preserve">This paper gives notice that the ACMA intends to </w:t>
      </w:r>
      <w:r w:rsidR="007F427F">
        <w:t xml:space="preserve">offer for allocation </w:t>
      </w:r>
      <w:r w:rsidR="00DC53B2">
        <w:t>2</w:t>
      </w:r>
      <w:r w:rsidR="00074B16">
        <w:t xml:space="preserve"> </w:t>
      </w:r>
      <w:r w:rsidR="00B87481">
        <w:t>h</w:t>
      </w:r>
      <w:r w:rsidR="00074B16">
        <w:t>igh</w:t>
      </w:r>
      <w:r w:rsidR="00B87481">
        <w:t>-p</w:t>
      </w:r>
      <w:r w:rsidR="00074B16">
        <w:t xml:space="preserve">ower </w:t>
      </w:r>
      <w:r w:rsidR="00B87481">
        <w:t>o</w:t>
      </w:r>
      <w:r w:rsidR="00074B16">
        <w:t xml:space="preserve">pen </w:t>
      </w:r>
      <w:r w:rsidR="00B87481">
        <w:t>n</w:t>
      </w:r>
      <w:r w:rsidR="00074B16">
        <w:t>arrowcast</w:t>
      </w:r>
      <w:r w:rsidRPr="00042386">
        <w:t xml:space="preserve"> </w:t>
      </w:r>
      <w:r w:rsidR="00074B16">
        <w:t>(</w:t>
      </w:r>
      <w:r w:rsidRPr="00042386">
        <w:t>HPON</w:t>
      </w:r>
      <w:r w:rsidR="00074B16">
        <w:t>)</w:t>
      </w:r>
      <w:r w:rsidRPr="00042386">
        <w:t xml:space="preserve"> licences</w:t>
      </w:r>
      <w:r>
        <w:t xml:space="preserve"> </w:t>
      </w:r>
      <w:r w:rsidRPr="00042386">
        <w:t xml:space="preserve">in accordance with the </w:t>
      </w:r>
      <w:r w:rsidRPr="00042386">
        <w:rPr>
          <w:i/>
          <w:iCs/>
        </w:rPr>
        <w:t>Radiocommunications (Allocation of Transmitter Licences</w:t>
      </w:r>
      <w:r w:rsidR="009F2613">
        <w:rPr>
          <w:i/>
          <w:iCs/>
        </w:rPr>
        <w:t xml:space="preserve"> – </w:t>
      </w:r>
      <w:r w:rsidRPr="00042386">
        <w:rPr>
          <w:i/>
          <w:iCs/>
        </w:rPr>
        <w:t>High Powered Open Narrowcasting Licences) Determination 2014</w:t>
      </w:r>
      <w:r>
        <w:t xml:space="preserve"> (the Allocation Determination)</w:t>
      </w:r>
      <w:r w:rsidR="00173506">
        <w:t>, as below</w:t>
      </w:r>
      <w:r w:rsidR="00B57525">
        <w:t>:</w:t>
      </w:r>
    </w:p>
    <w:p w14:paraId="5E46E3B2" w14:textId="77777777" w:rsidR="00B57525" w:rsidRDefault="00B57525" w:rsidP="009A70E0">
      <w:pPr>
        <w:pStyle w:val="Bulletlevel1"/>
      </w:pPr>
      <w:r w:rsidRPr="007533A1">
        <w:t xml:space="preserve">Hobart (Tas) </w:t>
      </w:r>
      <w:r>
        <w:t xml:space="preserve">on 104.3 MHz </w:t>
      </w:r>
    </w:p>
    <w:p w14:paraId="6099FAA7" w14:textId="77777777" w:rsidR="00B57525" w:rsidRDefault="00B57525" w:rsidP="009A70E0">
      <w:pPr>
        <w:pStyle w:val="Bulletlevel1last"/>
      </w:pPr>
      <w:r w:rsidRPr="007533A1">
        <w:t>Gosford (NSW)</w:t>
      </w:r>
      <w:r>
        <w:t xml:space="preserve"> on 747 kHz</w:t>
      </w:r>
      <w:r w:rsidRPr="007533A1">
        <w:t xml:space="preserve">. </w:t>
      </w:r>
    </w:p>
    <w:p w14:paraId="0E31D474" w14:textId="1099DA78" w:rsidR="00B57525" w:rsidRDefault="00B57525" w:rsidP="00B57525">
      <w:pPr>
        <w:pStyle w:val="ACMABodyText"/>
        <w:ind w:left="53"/>
        <w:rPr>
          <w:rFonts w:ascii="Arial" w:hAnsi="Arial" w:cs="Arial"/>
          <w:snapToGrid/>
          <w:sz w:val="20"/>
          <w:lang w:eastAsia="en-AU"/>
        </w:rPr>
      </w:pPr>
      <w:r w:rsidRPr="004F0A8B">
        <w:rPr>
          <w:rFonts w:ascii="Arial" w:hAnsi="Arial" w:cs="Arial"/>
          <w:b/>
          <w:bCs/>
          <w:snapToGrid/>
          <w:sz w:val="20"/>
          <w:lang w:eastAsia="en-AU"/>
        </w:rPr>
        <w:t xml:space="preserve">Applications for </w:t>
      </w:r>
      <w:r>
        <w:rPr>
          <w:rFonts w:ascii="Arial" w:hAnsi="Arial" w:cs="Arial"/>
          <w:b/>
          <w:bCs/>
          <w:snapToGrid/>
          <w:sz w:val="20"/>
          <w:lang w:eastAsia="en-AU"/>
        </w:rPr>
        <w:t xml:space="preserve">apparatus </w:t>
      </w:r>
      <w:r w:rsidRPr="004F0A8B">
        <w:rPr>
          <w:rFonts w:ascii="Arial" w:hAnsi="Arial" w:cs="Arial"/>
          <w:b/>
          <w:bCs/>
          <w:snapToGrid/>
          <w:sz w:val="20"/>
          <w:lang w:eastAsia="en-AU"/>
        </w:rPr>
        <w:t>licences other than those described in this information package will not be considered in this allocation</w:t>
      </w:r>
      <w:r w:rsidR="00AD619B">
        <w:rPr>
          <w:rFonts w:ascii="Arial" w:hAnsi="Arial" w:cs="Arial"/>
          <w:b/>
          <w:bCs/>
          <w:snapToGrid/>
          <w:sz w:val="20"/>
          <w:lang w:eastAsia="en-AU"/>
        </w:rPr>
        <w:t xml:space="preserve"> process</w:t>
      </w:r>
      <w:r w:rsidRPr="004F0A8B">
        <w:rPr>
          <w:rFonts w:ascii="Arial" w:hAnsi="Arial" w:cs="Arial"/>
          <w:b/>
          <w:bCs/>
          <w:snapToGrid/>
          <w:sz w:val="20"/>
          <w:lang w:eastAsia="en-AU"/>
        </w:rPr>
        <w:t>.</w:t>
      </w:r>
    </w:p>
    <w:p w14:paraId="28B01C51" w14:textId="52889352" w:rsidR="00B57525" w:rsidRPr="007533A1" w:rsidRDefault="00B57525" w:rsidP="00B57525">
      <w:pPr>
        <w:pStyle w:val="ACMABodyText"/>
        <w:ind w:left="53"/>
        <w:rPr>
          <w:rFonts w:ascii="Arial" w:hAnsi="Arial" w:cs="Arial"/>
          <w:snapToGrid/>
          <w:sz w:val="20"/>
          <w:lang w:eastAsia="en-AU"/>
        </w:rPr>
      </w:pPr>
      <w:r>
        <w:rPr>
          <w:rFonts w:ascii="Arial" w:hAnsi="Arial" w:cs="Arial"/>
          <w:sz w:val="20"/>
        </w:rPr>
        <w:t xml:space="preserve">HPON </w:t>
      </w:r>
      <w:r w:rsidRPr="007533A1">
        <w:rPr>
          <w:rFonts w:ascii="Arial" w:hAnsi="Arial" w:cs="Arial"/>
          <w:sz w:val="20"/>
        </w:rPr>
        <w:t>licences allow for the provision of radio broadcasting services</w:t>
      </w:r>
      <w:r>
        <w:rPr>
          <w:rFonts w:ascii="Arial" w:hAnsi="Arial" w:cs="Arial"/>
          <w:sz w:val="20"/>
        </w:rPr>
        <w:t xml:space="preserve"> to a limited audience, providing content such</w:t>
      </w:r>
      <w:r w:rsidRPr="007533A1">
        <w:rPr>
          <w:rFonts w:ascii="Arial" w:hAnsi="Arial" w:cs="Arial"/>
          <w:sz w:val="20"/>
        </w:rPr>
        <w:t xml:space="preserve"> as tourist and racing information or ethnic and religious programming</w:t>
      </w:r>
      <w:r>
        <w:rPr>
          <w:rFonts w:ascii="Arial" w:hAnsi="Arial" w:cs="Arial"/>
          <w:sz w:val="20"/>
        </w:rPr>
        <w:t>, or to a limited location</w:t>
      </w:r>
      <w:r w:rsidRPr="007533A1">
        <w:rPr>
          <w:rFonts w:ascii="Arial" w:hAnsi="Arial" w:cs="Arial"/>
          <w:sz w:val="20"/>
        </w:rPr>
        <w:t>.</w:t>
      </w:r>
    </w:p>
    <w:p w14:paraId="073B0F6B" w14:textId="7FC1E246" w:rsidR="0014378F" w:rsidRPr="006D717C" w:rsidRDefault="0014378F" w:rsidP="0014378F">
      <w:pPr>
        <w:pStyle w:val="ACMABodyText"/>
        <w:rPr>
          <w:rFonts w:ascii="Arial" w:hAnsi="Arial" w:cs="Arial"/>
          <w:snapToGrid/>
          <w:sz w:val="20"/>
          <w:lang w:eastAsia="en-AU"/>
        </w:rPr>
      </w:pPr>
      <w:r w:rsidRPr="006D717C">
        <w:rPr>
          <w:rFonts w:ascii="Arial" w:hAnsi="Arial" w:cs="Arial"/>
          <w:snapToGrid/>
          <w:sz w:val="20"/>
          <w:lang w:eastAsia="en-AU"/>
        </w:rPr>
        <w:t xml:space="preserve">If the ACMA receives </w:t>
      </w:r>
      <w:r w:rsidR="00DC53B2">
        <w:rPr>
          <w:rFonts w:ascii="Arial" w:hAnsi="Arial" w:cs="Arial"/>
          <w:snapToGrid/>
          <w:sz w:val="20"/>
          <w:lang w:eastAsia="en-AU"/>
        </w:rPr>
        <w:t>2</w:t>
      </w:r>
      <w:r w:rsidRPr="006D717C">
        <w:rPr>
          <w:rFonts w:ascii="Arial" w:hAnsi="Arial" w:cs="Arial"/>
          <w:snapToGrid/>
          <w:sz w:val="20"/>
          <w:lang w:eastAsia="en-AU"/>
        </w:rPr>
        <w:t xml:space="preserve"> or more valid applications for one of these licences by the</w:t>
      </w:r>
      <w:r w:rsidR="00AD619B">
        <w:rPr>
          <w:rFonts w:ascii="Arial" w:hAnsi="Arial" w:cs="Arial"/>
          <w:snapToGrid/>
          <w:sz w:val="20"/>
          <w:lang w:eastAsia="en-AU"/>
        </w:rPr>
        <w:t xml:space="preserve"> closing date and time</w:t>
      </w:r>
      <w:r w:rsidRPr="006D717C">
        <w:rPr>
          <w:rFonts w:ascii="Arial" w:hAnsi="Arial" w:cs="Arial"/>
          <w:snapToGrid/>
          <w:sz w:val="20"/>
          <w:lang w:eastAsia="en-AU"/>
        </w:rPr>
        <w:t xml:space="preserve">, </w:t>
      </w:r>
      <w:r w:rsidR="00B87481">
        <w:rPr>
          <w:rFonts w:ascii="Arial" w:hAnsi="Arial" w:cs="Arial"/>
          <w:snapToGrid/>
          <w:sz w:val="20"/>
          <w:lang w:eastAsia="en-AU"/>
        </w:rPr>
        <w:t>we</w:t>
      </w:r>
      <w:r w:rsidRPr="006D717C">
        <w:rPr>
          <w:rFonts w:ascii="Arial" w:hAnsi="Arial" w:cs="Arial"/>
          <w:snapToGrid/>
          <w:sz w:val="20"/>
          <w:lang w:eastAsia="en-AU"/>
        </w:rPr>
        <w:t xml:space="preserve"> will conduct a </w:t>
      </w:r>
      <w:r w:rsidR="00B87481">
        <w:rPr>
          <w:rFonts w:ascii="Arial" w:hAnsi="Arial" w:cs="Arial"/>
          <w:snapToGrid/>
          <w:sz w:val="20"/>
          <w:lang w:eastAsia="en-AU"/>
        </w:rPr>
        <w:t>l</w:t>
      </w:r>
      <w:r w:rsidRPr="006D717C">
        <w:rPr>
          <w:rFonts w:ascii="Arial" w:hAnsi="Arial" w:cs="Arial"/>
          <w:snapToGrid/>
          <w:sz w:val="20"/>
          <w:lang w:eastAsia="en-AU"/>
        </w:rPr>
        <w:t xml:space="preserve">icence </w:t>
      </w:r>
      <w:r w:rsidR="00B87481">
        <w:rPr>
          <w:rFonts w:ascii="Arial" w:hAnsi="Arial" w:cs="Arial"/>
          <w:snapToGrid/>
          <w:sz w:val="20"/>
          <w:lang w:eastAsia="en-AU"/>
        </w:rPr>
        <w:t>a</w:t>
      </w:r>
      <w:r w:rsidRPr="006D717C">
        <w:rPr>
          <w:rFonts w:ascii="Arial" w:hAnsi="Arial" w:cs="Arial"/>
          <w:snapToGrid/>
          <w:sz w:val="20"/>
          <w:lang w:eastAsia="en-AU"/>
        </w:rPr>
        <w:t xml:space="preserve">llocation </w:t>
      </w:r>
      <w:r w:rsidR="00B87481">
        <w:rPr>
          <w:rFonts w:ascii="Arial" w:hAnsi="Arial" w:cs="Arial"/>
          <w:snapToGrid/>
          <w:sz w:val="20"/>
          <w:lang w:eastAsia="en-AU"/>
        </w:rPr>
        <w:t>e</w:t>
      </w:r>
      <w:r w:rsidRPr="006D717C">
        <w:rPr>
          <w:rFonts w:ascii="Arial" w:hAnsi="Arial" w:cs="Arial"/>
          <w:snapToGrid/>
          <w:sz w:val="20"/>
          <w:lang w:eastAsia="en-AU"/>
        </w:rPr>
        <w:t>xercise (LAE)</w:t>
      </w:r>
      <w:r w:rsidR="00AD619B">
        <w:rPr>
          <w:rFonts w:ascii="Arial" w:hAnsi="Arial" w:cs="Arial"/>
          <w:snapToGrid/>
          <w:sz w:val="20"/>
          <w:lang w:eastAsia="en-AU"/>
        </w:rPr>
        <w:t xml:space="preserve"> for the relevant licence(s)</w:t>
      </w:r>
      <w:r w:rsidRPr="006D717C">
        <w:rPr>
          <w:rFonts w:ascii="Arial" w:hAnsi="Arial" w:cs="Arial"/>
          <w:snapToGrid/>
          <w:sz w:val="20"/>
          <w:lang w:eastAsia="en-AU"/>
        </w:rPr>
        <w:t xml:space="preserve">. Registered applicants for licences to be allocated by LAE will be informed of the date, time and location of the LAE, and further details on how the LAE will be conducted. </w:t>
      </w:r>
    </w:p>
    <w:p w14:paraId="7FCB33FD" w14:textId="30D9DCA0" w:rsidR="00264502" w:rsidRPr="006D717C" w:rsidRDefault="00264502" w:rsidP="00264502">
      <w:pPr>
        <w:pStyle w:val="ACMABodyText"/>
        <w:rPr>
          <w:rFonts w:ascii="Arial" w:hAnsi="Arial" w:cs="Arial"/>
          <w:snapToGrid/>
          <w:sz w:val="20"/>
          <w:lang w:eastAsia="en-AU"/>
        </w:rPr>
      </w:pPr>
      <w:r w:rsidRPr="006D717C">
        <w:rPr>
          <w:rFonts w:ascii="Arial" w:hAnsi="Arial" w:cs="Arial"/>
          <w:snapToGrid/>
          <w:sz w:val="20"/>
          <w:lang w:eastAsia="en-AU"/>
        </w:rPr>
        <w:t>This paper sets out relevant details of the licences to be allocated, the steps you must take in order to participate in the allocation, how the winners</w:t>
      </w:r>
      <w:r w:rsidR="0000334C">
        <w:rPr>
          <w:rFonts w:ascii="Arial" w:hAnsi="Arial" w:cs="Arial"/>
          <w:snapToGrid/>
          <w:sz w:val="20"/>
          <w:lang w:eastAsia="en-AU"/>
        </w:rPr>
        <w:t xml:space="preserve"> </w:t>
      </w:r>
      <w:r w:rsidRPr="006D717C">
        <w:rPr>
          <w:rFonts w:ascii="Arial" w:hAnsi="Arial" w:cs="Arial"/>
          <w:snapToGrid/>
          <w:sz w:val="20"/>
          <w:lang w:eastAsia="en-AU"/>
        </w:rPr>
        <w:t xml:space="preserve">will be decided if an LAE is conducted, and what happens if you are allocated the licence. </w:t>
      </w:r>
    </w:p>
    <w:p w14:paraId="319672FD" w14:textId="023B7D90" w:rsidR="00B57525" w:rsidRPr="007533A1" w:rsidRDefault="0014378F" w:rsidP="00B57525">
      <w:pPr>
        <w:pStyle w:val="ACMABodyText"/>
        <w:rPr>
          <w:rFonts w:ascii="Arial" w:hAnsi="Arial" w:cs="Arial"/>
          <w:snapToGrid/>
          <w:sz w:val="20"/>
          <w:lang w:eastAsia="en-AU"/>
        </w:rPr>
      </w:pPr>
      <w:r w:rsidRPr="006D717C">
        <w:rPr>
          <w:rFonts w:ascii="Arial" w:hAnsi="Arial" w:cs="Arial"/>
          <w:snapToGrid/>
          <w:sz w:val="20"/>
          <w:lang w:eastAsia="en-AU"/>
        </w:rPr>
        <w:t xml:space="preserve">You should note that, while it is the ACMA’s current intention to issue these </w:t>
      </w:r>
      <w:r w:rsidR="00DC53B2">
        <w:rPr>
          <w:rFonts w:ascii="Arial" w:hAnsi="Arial" w:cs="Arial"/>
          <w:snapToGrid/>
          <w:sz w:val="20"/>
          <w:lang w:eastAsia="en-AU"/>
        </w:rPr>
        <w:t>2</w:t>
      </w:r>
      <w:r w:rsidRPr="006D717C">
        <w:rPr>
          <w:rFonts w:ascii="Arial" w:hAnsi="Arial" w:cs="Arial"/>
          <w:snapToGrid/>
          <w:sz w:val="20"/>
          <w:lang w:eastAsia="en-AU"/>
        </w:rPr>
        <w:t xml:space="preserve"> licences in accordance with the Allocation Determination, the ACMA may, under section 34 of the Allocation Determination, terminate the process at any time before a licence is issued. The ACMA will inform all registered applicants as soon as any such decision is made and publish a notice on </w:t>
      </w:r>
      <w:r w:rsidR="006465E7">
        <w:rPr>
          <w:rFonts w:ascii="Arial" w:hAnsi="Arial" w:cs="Arial"/>
          <w:snapToGrid/>
          <w:sz w:val="20"/>
          <w:lang w:eastAsia="en-AU"/>
        </w:rPr>
        <w:t>our</w:t>
      </w:r>
      <w:r w:rsidRPr="006D717C">
        <w:rPr>
          <w:rFonts w:ascii="Arial" w:hAnsi="Arial" w:cs="Arial"/>
          <w:snapToGrid/>
          <w:sz w:val="20"/>
          <w:lang w:eastAsia="en-AU"/>
        </w:rPr>
        <w:t xml:space="preserve"> website</w:t>
      </w:r>
      <w:r>
        <w:rPr>
          <w:rFonts w:ascii="Arial" w:hAnsi="Arial" w:cs="Arial"/>
          <w:snapToGrid/>
          <w:sz w:val="20"/>
          <w:lang w:eastAsia="en-AU"/>
        </w:rPr>
        <w:t>.</w:t>
      </w:r>
    </w:p>
    <w:p w14:paraId="73C613F9" w14:textId="3E1EE48B" w:rsidR="00B57525" w:rsidRPr="00BD2246" w:rsidRDefault="0014378F" w:rsidP="0014378F">
      <w:pPr>
        <w:pStyle w:val="ACMABulletLevel1"/>
        <w:numPr>
          <w:ilvl w:val="0"/>
          <w:numId w:val="0"/>
        </w:numPr>
        <w:rPr>
          <w:rFonts w:ascii="Arial" w:hAnsi="Arial"/>
          <w:sz w:val="20"/>
        </w:rPr>
      </w:pPr>
      <w:r w:rsidRPr="0014378F">
        <w:rPr>
          <w:rFonts w:ascii="Arial" w:hAnsi="Arial" w:cs="Arial"/>
          <w:b/>
          <w:bCs/>
          <w:sz w:val="20"/>
          <w:lang w:eastAsia="en-AU"/>
        </w:rPr>
        <w:t xml:space="preserve">Applicants must complete and lodge the registration forms </w:t>
      </w:r>
      <w:r w:rsidR="00AA2BCF">
        <w:rPr>
          <w:rFonts w:ascii="Arial" w:hAnsi="Arial" w:cs="Arial"/>
          <w:b/>
          <w:bCs/>
          <w:sz w:val="20"/>
          <w:lang w:eastAsia="en-AU"/>
        </w:rPr>
        <w:t xml:space="preserve">located on the notice of allocation web page </w:t>
      </w:r>
      <w:r w:rsidR="00AF0E2D">
        <w:rPr>
          <w:rFonts w:ascii="Arial" w:hAnsi="Arial" w:cs="Arial"/>
          <w:b/>
          <w:bCs/>
          <w:sz w:val="20"/>
          <w:lang w:eastAsia="en-AU"/>
        </w:rPr>
        <w:t xml:space="preserve">and pay the application fee of $837 </w:t>
      </w:r>
      <w:r w:rsidR="00B57525" w:rsidRPr="0014378F">
        <w:rPr>
          <w:rFonts w:ascii="Arial" w:hAnsi="Arial" w:cs="Arial"/>
          <w:b/>
          <w:bCs/>
          <w:sz w:val="20"/>
          <w:lang w:eastAsia="en-AU"/>
        </w:rPr>
        <w:t xml:space="preserve">by </w:t>
      </w:r>
      <w:r w:rsidR="00AA2BCF">
        <w:rPr>
          <w:rFonts w:ascii="Arial" w:hAnsi="Arial" w:cs="Arial"/>
          <w:b/>
          <w:bCs/>
          <w:sz w:val="20"/>
          <w:lang w:eastAsia="en-AU"/>
        </w:rPr>
        <w:t>5pm (AE</w:t>
      </w:r>
      <w:r w:rsidR="00F957E0">
        <w:rPr>
          <w:rFonts w:ascii="Arial" w:hAnsi="Arial" w:cs="Arial"/>
          <w:b/>
          <w:bCs/>
          <w:sz w:val="20"/>
          <w:lang w:eastAsia="en-AU"/>
        </w:rPr>
        <w:t>D</w:t>
      </w:r>
      <w:r w:rsidR="00AA2BCF">
        <w:rPr>
          <w:rFonts w:ascii="Arial" w:hAnsi="Arial" w:cs="Arial"/>
          <w:b/>
          <w:bCs/>
          <w:sz w:val="20"/>
          <w:lang w:eastAsia="en-AU"/>
        </w:rPr>
        <w:t xml:space="preserve">T) on </w:t>
      </w:r>
      <w:r w:rsidR="00B5119F">
        <w:rPr>
          <w:rFonts w:ascii="Arial" w:hAnsi="Arial" w:cs="Arial"/>
          <w:b/>
          <w:bCs/>
          <w:sz w:val="20"/>
          <w:lang w:eastAsia="en-AU"/>
        </w:rPr>
        <w:t>Friday</w:t>
      </w:r>
      <w:r w:rsidR="00AA2BCF">
        <w:rPr>
          <w:rFonts w:ascii="Arial" w:hAnsi="Arial" w:cs="Arial"/>
          <w:b/>
          <w:bCs/>
          <w:sz w:val="20"/>
          <w:lang w:eastAsia="en-AU"/>
        </w:rPr>
        <w:t xml:space="preserve"> </w:t>
      </w:r>
      <w:r w:rsidR="00FC329E">
        <w:rPr>
          <w:rFonts w:ascii="Arial" w:hAnsi="Arial" w:cs="Arial"/>
          <w:b/>
          <w:bCs/>
          <w:sz w:val="20"/>
          <w:lang w:eastAsia="en-AU"/>
        </w:rPr>
        <w:t xml:space="preserve">23 </w:t>
      </w:r>
      <w:r w:rsidR="00B5119F">
        <w:rPr>
          <w:rFonts w:ascii="Arial" w:hAnsi="Arial" w:cs="Arial"/>
          <w:b/>
          <w:bCs/>
          <w:sz w:val="20"/>
          <w:lang w:eastAsia="en-AU"/>
        </w:rPr>
        <w:t>July</w:t>
      </w:r>
      <w:r w:rsidR="00AA2BCF">
        <w:rPr>
          <w:rFonts w:ascii="Arial" w:hAnsi="Arial" w:cs="Arial"/>
          <w:b/>
          <w:bCs/>
          <w:sz w:val="20"/>
          <w:lang w:eastAsia="en-AU"/>
        </w:rPr>
        <w:t xml:space="preserve"> 202</w:t>
      </w:r>
      <w:r w:rsidR="00B5119F">
        <w:rPr>
          <w:rFonts w:ascii="Arial" w:hAnsi="Arial" w:cs="Arial"/>
          <w:b/>
          <w:bCs/>
          <w:sz w:val="20"/>
          <w:lang w:eastAsia="en-AU"/>
        </w:rPr>
        <w:t>1</w:t>
      </w:r>
      <w:r>
        <w:rPr>
          <w:rFonts w:ascii="Arial" w:hAnsi="Arial" w:cs="Arial"/>
          <w:b/>
          <w:bCs/>
          <w:sz w:val="20"/>
          <w:lang w:eastAsia="en-AU"/>
        </w:rPr>
        <w:t xml:space="preserve"> to participate in this allocation.</w:t>
      </w:r>
      <w:r w:rsidR="00342243">
        <w:rPr>
          <w:rFonts w:ascii="Arial" w:hAnsi="Arial" w:cs="Arial"/>
          <w:b/>
          <w:bCs/>
          <w:sz w:val="20"/>
          <w:lang w:eastAsia="en-AU"/>
        </w:rPr>
        <w:t xml:space="preserve"> Please email or call the ACMA Customer Service Centre</w:t>
      </w:r>
      <w:r w:rsidR="005677FF">
        <w:rPr>
          <w:rFonts w:ascii="Arial" w:hAnsi="Arial" w:cs="Arial"/>
          <w:b/>
          <w:bCs/>
          <w:sz w:val="20"/>
          <w:lang w:eastAsia="en-AU"/>
        </w:rPr>
        <w:t xml:space="preserve"> (details below)</w:t>
      </w:r>
      <w:r w:rsidR="00342243">
        <w:rPr>
          <w:rFonts w:ascii="Arial" w:hAnsi="Arial" w:cs="Arial"/>
          <w:b/>
          <w:bCs/>
          <w:sz w:val="20"/>
          <w:lang w:eastAsia="en-AU"/>
        </w:rPr>
        <w:t xml:space="preserve"> to request an invoice for payment of the application fee.</w:t>
      </w:r>
      <w:r w:rsidR="008C45A2">
        <w:rPr>
          <w:rFonts w:ascii="Arial" w:hAnsi="Arial" w:cs="Arial"/>
          <w:b/>
          <w:bCs/>
          <w:sz w:val="20"/>
          <w:lang w:eastAsia="en-AU"/>
        </w:rPr>
        <w:t xml:space="preserve"> </w:t>
      </w:r>
      <w:r w:rsidR="0021525E">
        <w:rPr>
          <w:rFonts w:ascii="Arial" w:hAnsi="Arial" w:cs="Arial"/>
          <w:b/>
          <w:bCs/>
          <w:sz w:val="20"/>
          <w:lang w:eastAsia="en-AU"/>
        </w:rPr>
        <w:t>Any queries should be directed to the Customer Service Centre</w:t>
      </w:r>
      <w:r w:rsidR="005677FF">
        <w:rPr>
          <w:rFonts w:ascii="Arial" w:hAnsi="Arial" w:cs="Arial"/>
          <w:b/>
          <w:bCs/>
          <w:sz w:val="20"/>
          <w:lang w:eastAsia="en-AU"/>
        </w:rPr>
        <w:t>.</w:t>
      </w:r>
    </w:p>
    <w:p w14:paraId="10F91CEA" w14:textId="1710F719" w:rsidR="00A205F3" w:rsidRPr="00BD2246" w:rsidRDefault="00A205F3" w:rsidP="00AF0E2D">
      <w:pPr>
        <w:pStyle w:val="ACMABulletLevel1"/>
        <w:numPr>
          <w:ilvl w:val="0"/>
          <w:numId w:val="0"/>
        </w:numPr>
        <w:rPr>
          <w:rFonts w:ascii="Arial" w:hAnsi="Arial"/>
          <w:sz w:val="20"/>
        </w:rPr>
      </w:pPr>
      <w:r w:rsidRPr="00BD2246">
        <w:rPr>
          <w:rFonts w:ascii="Arial" w:hAnsi="Arial"/>
          <w:sz w:val="20"/>
        </w:rPr>
        <w:t>Please note that if you are applying for both licences</w:t>
      </w:r>
      <w:r w:rsidR="006465E7" w:rsidRPr="00BD2246">
        <w:rPr>
          <w:rFonts w:ascii="Arial" w:hAnsi="Arial"/>
          <w:sz w:val="20"/>
        </w:rPr>
        <w:t>,</w:t>
      </w:r>
      <w:r w:rsidRPr="00BD2246">
        <w:rPr>
          <w:rFonts w:ascii="Arial" w:hAnsi="Arial"/>
          <w:sz w:val="20"/>
        </w:rPr>
        <w:t xml:space="preserve"> </w:t>
      </w:r>
      <w:bookmarkStart w:id="3" w:name="_Hlk27670499"/>
      <w:r w:rsidR="0000334C" w:rsidRPr="00BD2246">
        <w:rPr>
          <w:rFonts w:ascii="Arial" w:hAnsi="Arial"/>
          <w:sz w:val="20"/>
        </w:rPr>
        <w:t xml:space="preserve">a separate registration form and application fee must be submitted for each licence. </w:t>
      </w:r>
    </w:p>
    <w:p w14:paraId="3FD6EE63" w14:textId="42328D80" w:rsidR="00A205F3" w:rsidRPr="00BD2246" w:rsidRDefault="00A205F3" w:rsidP="00AF0E2D">
      <w:pPr>
        <w:pStyle w:val="ACMABulletLevel1"/>
        <w:numPr>
          <w:ilvl w:val="0"/>
          <w:numId w:val="0"/>
        </w:numPr>
        <w:rPr>
          <w:rFonts w:ascii="Arial" w:hAnsi="Arial"/>
          <w:b/>
          <w:sz w:val="20"/>
        </w:rPr>
      </w:pPr>
      <w:r w:rsidRPr="00BD2246">
        <w:rPr>
          <w:rFonts w:ascii="Arial" w:hAnsi="Arial"/>
          <w:b/>
          <w:sz w:val="20"/>
        </w:rPr>
        <w:t xml:space="preserve">Forms should be sent </w:t>
      </w:r>
      <w:r w:rsidR="00202F65" w:rsidRPr="005777F8">
        <w:rPr>
          <w:rFonts w:ascii="Arial" w:hAnsi="Arial" w:cs="Arial"/>
          <w:b/>
          <w:bCs/>
          <w:sz w:val="20"/>
          <w:lang w:eastAsia="en-AU"/>
        </w:rPr>
        <w:t>by</w:t>
      </w:r>
      <w:r w:rsidRPr="00BD2246">
        <w:rPr>
          <w:rFonts w:ascii="Arial" w:hAnsi="Arial"/>
          <w:b/>
          <w:sz w:val="20"/>
        </w:rPr>
        <w:t>:</w:t>
      </w:r>
    </w:p>
    <w:p w14:paraId="33841A57" w14:textId="02B4DD8A" w:rsidR="00B57525" w:rsidRDefault="006465E7" w:rsidP="00B57525">
      <w:pPr>
        <w:spacing w:after="200" w:line="240" w:lineRule="auto"/>
        <w:jc w:val="both"/>
        <w:rPr>
          <w:szCs w:val="20"/>
        </w:rPr>
      </w:pPr>
      <w:r w:rsidRPr="00BD2246">
        <w:t>E</w:t>
      </w:r>
      <w:r w:rsidR="00B57525" w:rsidRPr="00BD2246">
        <w:t>mail</w:t>
      </w:r>
      <w:r w:rsidR="00A205F3" w:rsidRPr="006465E7">
        <w:rPr>
          <w:szCs w:val="20"/>
        </w:rPr>
        <w:t>:</w:t>
      </w:r>
      <w:r w:rsidR="00A205F3">
        <w:rPr>
          <w:szCs w:val="20"/>
        </w:rPr>
        <w:t xml:space="preserve"> </w:t>
      </w:r>
      <w:hyperlink r:id="rId24" w:history="1">
        <w:r w:rsidR="00A205F3" w:rsidRPr="00E3475A">
          <w:rPr>
            <w:rStyle w:val="Hyperlink"/>
            <w:szCs w:val="20"/>
          </w:rPr>
          <w:t>info@acma.gov.au</w:t>
        </w:r>
      </w:hyperlink>
    </w:p>
    <w:p w14:paraId="6DF3554B" w14:textId="25F51582" w:rsidR="00B57525" w:rsidRPr="006465E7" w:rsidRDefault="006465E7" w:rsidP="00B57525">
      <w:pPr>
        <w:spacing w:after="200" w:line="240" w:lineRule="auto"/>
        <w:rPr>
          <w:rFonts w:cs="Arial"/>
          <w:snapToGrid w:val="0"/>
          <w:szCs w:val="20"/>
          <w:lang w:eastAsia="en-US"/>
        </w:rPr>
      </w:pPr>
      <w:r w:rsidRPr="00BD2246">
        <w:t>P</w:t>
      </w:r>
      <w:r w:rsidR="00B57525" w:rsidRPr="00BD2246">
        <w:t>ost</w:t>
      </w:r>
      <w:r w:rsidR="00A205F3" w:rsidRPr="006465E7">
        <w:rPr>
          <w:rFonts w:cs="Arial"/>
          <w:snapToGrid w:val="0"/>
          <w:szCs w:val="20"/>
          <w:lang w:eastAsia="en-US"/>
        </w:rPr>
        <w:t>:</w:t>
      </w:r>
    </w:p>
    <w:p w14:paraId="2B1C0859" w14:textId="78B2C5BD" w:rsidR="00B57525" w:rsidRPr="00B57525" w:rsidRDefault="00B57525" w:rsidP="00B57525">
      <w:pPr>
        <w:rPr>
          <w:rFonts w:cs="Arial"/>
          <w:snapToGrid w:val="0"/>
          <w:szCs w:val="20"/>
          <w:lang w:eastAsia="en-US"/>
        </w:rPr>
      </w:pPr>
      <w:r w:rsidRPr="00B57525">
        <w:rPr>
          <w:rFonts w:cs="Arial"/>
          <w:snapToGrid w:val="0"/>
          <w:szCs w:val="20"/>
          <w:lang w:eastAsia="en-US"/>
        </w:rPr>
        <w:t>Australian</w:t>
      </w:r>
      <w:r>
        <w:rPr>
          <w:rFonts w:cs="Arial"/>
          <w:snapToGrid w:val="0"/>
          <w:szCs w:val="20"/>
          <w:lang w:eastAsia="en-US"/>
        </w:rPr>
        <w:t xml:space="preserve"> </w:t>
      </w:r>
      <w:r w:rsidRPr="00B57525">
        <w:rPr>
          <w:rFonts w:cs="Arial"/>
          <w:snapToGrid w:val="0"/>
          <w:szCs w:val="20"/>
          <w:lang w:eastAsia="en-US"/>
        </w:rPr>
        <w:t>Communications and Media Authority</w:t>
      </w:r>
      <w:r w:rsidRPr="00B57525">
        <w:rPr>
          <w:rFonts w:cs="Arial"/>
          <w:snapToGrid w:val="0"/>
          <w:szCs w:val="20"/>
          <w:lang w:eastAsia="en-US"/>
        </w:rPr>
        <w:br/>
        <w:t>HPON Allocations</w:t>
      </w:r>
      <w:bookmarkStart w:id="4" w:name="OLE_LINK2"/>
      <w:bookmarkStart w:id="5" w:name="OLE_LINK3"/>
      <w:r w:rsidRPr="00B57525">
        <w:rPr>
          <w:rFonts w:cs="Arial"/>
          <w:snapToGrid w:val="0"/>
          <w:szCs w:val="20"/>
          <w:lang w:eastAsia="en-US"/>
        </w:rPr>
        <w:br/>
        <w:t>Licence Allocation Section</w:t>
      </w:r>
      <w:r w:rsidRPr="00B57525">
        <w:rPr>
          <w:rFonts w:cs="Arial"/>
          <w:snapToGrid w:val="0"/>
          <w:szCs w:val="20"/>
          <w:lang w:eastAsia="en-US"/>
        </w:rPr>
        <w:br/>
      </w:r>
      <w:bookmarkEnd w:id="4"/>
      <w:bookmarkEnd w:id="5"/>
      <w:r w:rsidRPr="00B57525">
        <w:rPr>
          <w:rFonts w:cs="Arial"/>
          <w:snapToGrid w:val="0"/>
          <w:szCs w:val="20"/>
          <w:lang w:eastAsia="en-US"/>
        </w:rPr>
        <w:t>PO Box 78</w:t>
      </w:r>
      <w:r w:rsidRPr="00B57525">
        <w:rPr>
          <w:rFonts w:cs="Arial"/>
          <w:snapToGrid w:val="0"/>
          <w:szCs w:val="20"/>
          <w:lang w:eastAsia="en-US"/>
        </w:rPr>
        <w:br/>
        <w:t>Belconnen ACT 2616</w:t>
      </w:r>
      <w:r w:rsidR="00D614D9">
        <w:rPr>
          <w:rFonts w:cs="Arial"/>
          <w:snapToGrid w:val="0"/>
          <w:szCs w:val="20"/>
          <w:lang w:eastAsia="en-US"/>
        </w:rPr>
        <w:t xml:space="preserve"> </w:t>
      </w:r>
    </w:p>
    <w:p w14:paraId="1C11DFD4" w14:textId="77777777" w:rsidR="001F1212" w:rsidRDefault="006465E7" w:rsidP="001F1212">
      <w:pPr>
        <w:keepNext/>
        <w:keepLines/>
        <w:spacing w:after="200"/>
        <w:rPr>
          <w:rFonts w:cs="Arial"/>
          <w:snapToGrid w:val="0"/>
          <w:szCs w:val="20"/>
          <w:lang w:eastAsia="en-US"/>
        </w:rPr>
      </w:pPr>
      <w:r w:rsidRPr="00BD2246">
        <w:lastRenderedPageBreak/>
        <w:t>C</w:t>
      </w:r>
      <w:r w:rsidR="00B57525" w:rsidRPr="00BD2246">
        <w:t>ourier or express post</w:t>
      </w:r>
      <w:r w:rsidR="00B57525" w:rsidRPr="006465E7">
        <w:rPr>
          <w:rFonts w:cs="Arial"/>
          <w:snapToGrid w:val="0"/>
          <w:szCs w:val="20"/>
          <w:lang w:eastAsia="en-US"/>
        </w:rPr>
        <w:t>:</w:t>
      </w:r>
    </w:p>
    <w:p w14:paraId="4F170179" w14:textId="7A409E9D" w:rsidR="00B57525" w:rsidRDefault="00C92ED8" w:rsidP="00C16818">
      <w:pPr>
        <w:keepNext/>
        <w:keepLines/>
        <w:spacing w:after="80"/>
        <w:rPr>
          <w:rFonts w:cs="Arial"/>
          <w:snapToGrid w:val="0"/>
          <w:szCs w:val="20"/>
          <w:lang w:eastAsia="en-US"/>
        </w:rPr>
      </w:pPr>
      <w:r>
        <w:rPr>
          <w:rFonts w:cs="Arial"/>
          <w:snapToGrid w:val="0"/>
          <w:szCs w:val="20"/>
          <w:lang w:eastAsia="en-US"/>
        </w:rPr>
        <w:t>Australian Communications and Media Authority</w:t>
      </w:r>
      <w:r w:rsidR="00AA2BCF">
        <w:rPr>
          <w:rFonts w:cs="Arial"/>
          <w:snapToGrid w:val="0"/>
          <w:szCs w:val="20"/>
          <w:lang w:eastAsia="en-US"/>
        </w:rPr>
        <w:br/>
      </w:r>
      <w:r w:rsidR="00AF799E">
        <w:rPr>
          <w:rFonts w:cs="Arial"/>
          <w:snapToGrid w:val="0"/>
          <w:szCs w:val="20"/>
          <w:lang w:eastAsia="en-US"/>
        </w:rPr>
        <w:t>HPON Allocations</w:t>
      </w:r>
      <w:r w:rsidR="00AA2BCF">
        <w:rPr>
          <w:rFonts w:cs="Arial"/>
          <w:snapToGrid w:val="0"/>
          <w:szCs w:val="20"/>
          <w:lang w:eastAsia="en-US"/>
        </w:rPr>
        <w:br/>
      </w:r>
      <w:r w:rsidR="00AF799E">
        <w:rPr>
          <w:rFonts w:cs="Arial"/>
          <w:snapToGrid w:val="0"/>
          <w:szCs w:val="20"/>
          <w:lang w:eastAsia="en-US"/>
        </w:rPr>
        <w:t>Licence Allocation Secti</w:t>
      </w:r>
      <w:r w:rsidR="006F6CC5">
        <w:rPr>
          <w:rFonts w:cs="Arial"/>
          <w:snapToGrid w:val="0"/>
          <w:szCs w:val="20"/>
          <w:lang w:eastAsia="en-US"/>
        </w:rPr>
        <w:t>on</w:t>
      </w:r>
      <w:r w:rsidR="00BD2246">
        <w:rPr>
          <w:rFonts w:cs="Arial"/>
          <w:snapToGrid w:val="0"/>
          <w:szCs w:val="20"/>
          <w:lang w:eastAsia="en-US"/>
        </w:rPr>
        <w:br/>
      </w:r>
      <w:r w:rsidR="00B57525" w:rsidRPr="00B57525">
        <w:rPr>
          <w:rFonts w:cs="Arial"/>
          <w:snapToGrid w:val="0"/>
          <w:szCs w:val="20"/>
          <w:lang w:eastAsia="en-US"/>
        </w:rPr>
        <w:t>Red Building, Benjamin Offices</w:t>
      </w:r>
      <w:r w:rsidR="00AA2BCF">
        <w:rPr>
          <w:rFonts w:cs="Arial"/>
          <w:snapToGrid w:val="0"/>
          <w:szCs w:val="20"/>
          <w:lang w:eastAsia="en-US"/>
        </w:rPr>
        <w:br/>
      </w:r>
      <w:r w:rsidR="00B57525" w:rsidRPr="00B57525">
        <w:rPr>
          <w:rFonts w:cs="Arial"/>
          <w:snapToGrid w:val="0"/>
          <w:szCs w:val="20"/>
          <w:lang w:eastAsia="en-US"/>
        </w:rPr>
        <w:t>Chan Street</w:t>
      </w:r>
      <w:r w:rsidR="00AA2BCF">
        <w:rPr>
          <w:rFonts w:cs="Arial"/>
          <w:snapToGrid w:val="0"/>
          <w:szCs w:val="20"/>
          <w:lang w:eastAsia="en-US"/>
        </w:rPr>
        <w:br/>
      </w:r>
      <w:r w:rsidR="00B57525" w:rsidRPr="00B57525">
        <w:rPr>
          <w:rFonts w:cs="Arial"/>
          <w:snapToGrid w:val="0"/>
          <w:szCs w:val="20"/>
          <w:lang w:eastAsia="en-US"/>
        </w:rPr>
        <w:t>Belconnen ACT 2617</w:t>
      </w:r>
      <w:bookmarkEnd w:id="3"/>
    </w:p>
    <w:p w14:paraId="30CD3635" w14:textId="77777777" w:rsidR="00ED3F0F" w:rsidRPr="00C16818" w:rsidRDefault="00ED3F0F" w:rsidP="00C16818">
      <w:pPr>
        <w:keepNext/>
        <w:keepLines/>
        <w:spacing w:after="80"/>
        <w:rPr>
          <w:rFonts w:cs="Arial"/>
          <w:snapToGrid w:val="0"/>
          <w:szCs w:val="20"/>
          <w:lang w:eastAsia="en-US"/>
        </w:rPr>
      </w:pPr>
    </w:p>
    <w:p w14:paraId="769B4AEA" w14:textId="3AEF94B7" w:rsidR="00BD2246" w:rsidRPr="00BD2246" w:rsidRDefault="00A37EF2" w:rsidP="001F1212">
      <w:pPr>
        <w:spacing w:after="200" w:line="120" w:lineRule="atLeast"/>
        <w:rPr>
          <w:szCs w:val="20"/>
        </w:rPr>
      </w:pPr>
      <w:r w:rsidRPr="00BD2246">
        <w:rPr>
          <w:szCs w:val="20"/>
        </w:rPr>
        <w:t>Contact details</w:t>
      </w:r>
      <w:r w:rsidR="001F1212">
        <w:rPr>
          <w:szCs w:val="20"/>
        </w:rPr>
        <w:t xml:space="preserve"> for further information</w:t>
      </w:r>
      <w:r w:rsidR="00BD2246" w:rsidRPr="00BD2246">
        <w:rPr>
          <w:szCs w:val="20"/>
        </w:rPr>
        <w:t>:</w:t>
      </w:r>
    </w:p>
    <w:p w14:paraId="4525AA34" w14:textId="4D5EE39A" w:rsidR="00B57525" w:rsidRPr="007D4423" w:rsidRDefault="00B57525" w:rsidP="00BD2246">
      <w:pPr>
        <w:spacing w:after="160" w:line="120" w:lineRule="atLeast"/>
        <w:rPr>
          <w:szCs w:val="20"/>
        </w:rPr>
      </w:pPr>
      <w:r w:rsidRPr="00BD2246">
        <w:rPr>
          <w:szCs w:val="20"/>
        </w:rPr>
        <w:t>ACMA Customer Service Centre</w:t>
      </w:r>
      <w:r w:rsidRPr="007D4423">
        <w:rPr>
          <w:szCs w:val="20"/>
        </w:rPr>
        <w:t xml:space="preserve"> </w:t>
      </w:r>
      <w:r w:rsidR="00BD2246">
        <w:rPr>
          <w:szCs w:val="20"/>
        </w:rPr>
        <w:br/>
      </w:r>
      <w:r w:rsidR="007E063D" w:rsidRPr="00BD2246">
        <w:rPr>
          <w:szCs w:val="20"/>
        </w:rPr>
        <w:t>Telephone</w:t>
      </w:r>
      <w:r w:rsidR="007E063D">
        <w:rPr>
          <w:szCs w:val="20"/>
        </w:rPr>
        <w:t>:</w:t>
      </w:r>
      <w:r w:rsidRPr="007D4423">
        <w:rPr>
          <w:szCs w:val="20"/>
        </w:rPr>
        <w:t xml:space="preserve">1300 850 115 </w:t>
      </w:r>
      <w:r w:rsidR="00BD2246">
        <w:rPr>
          <w:szCs w:val="20"/>
        </w:rPr>
        <w:br/>
      </w:r>
      <w:r w:rsidR="007E063D" w:rsidRPr="00BD2246">
        <w:rPr>
          <w:szCs w:val="20"/>
        </w:rPr>
        <w:t>E</w:t>
      </w:r>
      <w:r w:rsidRPr="00BD2246">
        <w:rPr>
          <w:szCs w:val="20"/>
        </w:rPr>
        <w:t>mail</w:t>
      </w:r>
      <w:r w:rsidR="007E063D">
        <w:rPr>
          <w:szCs w:val="20"/>
        </w:rPr>
        <w:t xml:space="preserve">: </w:t>
      </w:r>
      <w:hyperlink r:id="rId25" w:history="1">
        <w:r w:rsidR="007E063D" w:rsidRPr="00AA2669">
          <w:rPr>
            <w:rStyle w:val="Hyperlink"/>
            <w:szCs w:val="20"/>
          </w:rPr>
          <w:t>info@acma.gov.au</w:t>
        </w:r>
      </w:hyperlink>
      <w:r w:rsidRPr="00BB7A86">
        <w:t>.</w:t>
      </w:r>
    </w:p>
    <w:p w14:paraId="50FF5AE4" w14:textId="77777777" w:rsidR="00573812" w:rsidRDefault="00074B16" w:rsidP="00A2785D">
      <w:pPr>
        <w:pStyle w:val="Heading1"/>
      </w:pPr>
      <w:bookmarkStart w:id="6" w:name="_Toc74905615"/>
      <w:bookmarkEnd w:id="2"/>
      <w:r>
        <w:lastRenderedPageBreak/>
        <w:t>Licences to be allocated</w:t>
      </w:r>
      <w:bookmarkEnd w:id="6"/>
    </w:p>
    <w:p w14:paraId="6F4EBA09" w14:textId="7C0D2838" w:rsidR="00322A07" w:rsidRDefault="00322A07" w:rsidP="00322A07">
      <w:r>
        <w:t xml:space="preserve">The ACMA is offering </w:t>
      </w:r>
      <w:r w:rsidR="00DC53B2">
        <w:t>2</w:t>
      </w:r>
      <w:r>
        <w:t xml:space="preserve"> HPON licences for allocation in Hobart (Tas</w:t>
      </w:r>
      <w:r w:rsidR="006465E7">
        <w:t>mania</w:t>
      </w:r>
      <w:r>
        <w:t>) on 104.3</w:t>
      </w:r>
      <w:r w:rsidR="006465E7">
        <w:t> </w:t>
      </w:r>
      <w:r>
        <w:t>MHz and Gosford (N</w:t>
      </w:r>
      <w:r w:rsidR="006465E7">
        <w:t xml:space="preserve">ew </w:t>
      </w:r>
      <w:r>
        <w:t>S</w:t>
      </w:r>
      <w:r w:rsidR="006465E7">
        <w:t xml:space="preserve">outh </w:t>
      </w:r>
      <w:r>
        <w:t>W</w:t>
      </w:r>
      <w:r w:rsidR="006465E7">
        <w:t>ales</w:t>
      </w:r>
      <w:r>
        <w:t xml:space="preserve">) on 747 kHz. </w:t>
      </w:r>
    </w:p>
    <w:p w14:paraId="3A43E9F9" w14:textId="28431AD6" w:rsidR="00EC057B" w:rsidRDefault="00EC057B" w:rsidP="009A70E0">
      <w:pPr>
        <w:pStyle w:val="Paragraphbeforelist"/>
      </w:pPr>
      <w:r>
        <w:t>This chapter provides information about the licences on offer</w:t>
      </w:r>
      <w:r w:rsidR="005E5C9E">
        <w:t>, including</w:t>
      </w:r>
      <w:r>
        <w:t xml:space="preserve">: </w:t>
      </w:r>
    </w:p>
    <w:p w14:paraId="5A73D54A" w14:textId="77777777" w:rsidR="00EC057B" w:rsidRDefault="00EC057B" w:rsidP="009A70E0">
      <w:pPr>
        <w:pStyle w:val="Bulletlevel1"/>
      </w:pPr>
      <w:r>
        <w:t>the type of content that may be broadcast</w:t>
      </w:r>
    </w:p>
    <w:p w14:paraId="4679BFBD" w14:textId="0F945045" w:rsidR="00116029" w:rsidRDefault="00116029" w:rsidP="009A70E0">
      <w:pPr>
        <w:pStyle w:val="Bulletlevel1"/>
      </w:pPr>
      <w:r>
        <w:t>geographic areas covered by each licence</w:t>
      </w:r>
    </w:p>
    <w:p w14:paraId="28CA5DF0" w14:textId="47D82A34" w:rsidR="00EC057B" w:rsidRDefault="00EC057B" w:rsidP="009A70E0">
      <w:pPr>
        <w:pStyle w:val="Bulletlevel1"/>
      </w:pPr>
      <w:r>
        <w:t>regulatory conditions applicable to these licences</w:t>
      </w:r>
    </w:p>
    <w:p w14:paraId="7545E53F" w14:textId="3B0FB419" w:rsidR="00CC3EAA" w:rsidRDefault="00CC3EAA" w:rsidP="009A70E0">
      <w:pPr>
        <w:pStyle w:val="Bulletlevel1"/>
      </w:pPr>
      <w:r>
        <w:t xml:space="preserve">duration </w:t>
      </w:r>
      <w:r w:rsidR="00EC3185">
        <w:t xml:space="preserve">and licence </w:t>
      </w:r>
      <w:r>
        <w:t>renewal</w:t>
      </w:r>
    </w:p>
    <w:p w14:paraId="0757AB5B" w14:textId="77777777" w:rsidR="00CC3EAA" w:rsidRDefault="00CC3EAA" w:rsidP="009A70E0">
      <w:pPr>
        <w:pStyle w:val="Bulletlevel1"/>
      </w:pPr>
      <w:r>
        <w:t>licence fees</w:t>
      </w:r>
    </w:p>
    <w:p w14:paraId="25954030" w14:textId="55BA4E26" w:rsidR="003056BA" w:rsidRDefault="00CC3EAA" w:rsidP="009A70E0">
      <w:pPr>
        <w:pStyle w:val="Bulletlevel1"/>
      </w:pPr>
      <w:r>
        <w:t>third</w:t>
      </w:r>
      <w:r w:rsidR="005E5C9E">
        <w:t>-</w:t>
      </w:r>
      <w:r>
        <w:t>party authorisation</w:t>
      </w:r>
    </w:p>
    <w:p w14:paraId="530B6D43" w14:textId="564B7628" w:rsidR="00EC057B" w:rsidRDefault="003056BA" w:rsidP="009A70E0">
      <w:pPr>
        <w:pStyle w:val="Bulletlevel1last"/>
      </w:pPr>
      <w:r>
        <w:t>technical specifications of the transmitters for each licence</w:t>
      </w:r>
      <w:r w:rsidR="0060223D">
        <w:t>.</w:t>
      </w:r>
      <w:r w:rsidR="00EC057B">
        <w:t xml:space="preserve"> </w:t>
      </w:r>
    </w:p>
    <w:p w14:paraId="786B96E0" w14:textId="77777777" w:rsidR="00EC057B" w:rsidRPr="00EC057B" w:rsidRDefault="00EC057B" w:rsidP="00EC057B">
      <w:pPr>
        <w:pStyle w:val="Heading2"/>
      </w:pPr>
      <w:bookmarkStart w:id="7" w:name="_Toc74905616"/>
      <w:r>
        <w:t>Broadcast content</w:t>
      </w:r>
      <w:bookmarkEnd w:id="7"/>
    </w:p>
    <w:p w14:paraId="52D8464C" w14:textId="278A37BB" w:rsidR="00EC3185" w:rsidRDefault="00EC3185" w:rsidP="00EC3185">
      <w:pPr>
        <w:rPr>
          <w:snapToGrid w:val="0"/>
          <w:lang w:eastAsia="en-US"/>
        </w:rPr>
      </w:pPr>
      <w:r>
        <w:rPr>
          <w:snapToGrid w:val="0"/>
          <w:lang w:eastAsia="en-US"/>
        </w:rPr>
        <w:t>The Gosford and Hobart HPONs may provide</w:t>
      </w:r>
      <w:r>
        <w:rPr>
          <w:bCs/>
          <w:snapToGrid w:val="0"/>
          <w:lang w:eastAsia="en-US"/>
        </w:rPr>
        <w:t xml:space="preserve"> narrowcasting services. Narrowcasting services are broadcasting services which are limited in reception in one or more ways, including by being targeted to special interest groups or intended for limited geographical locations</w:t>
      </w:r>
      <w:r>
        <w:rPr>
          <w:snapToGrid w:val="0"/>
          <w:lang w:eastAsia="en-US"/>
        </w:rPr>
        <w:t xml:space="preserve">. </w:t>
      </w:r>
    </w:p>
    <w:p w14:paraId="494EAC90" w14:textId="77777777" w:rsidR="00322A07" w:rsidRPr="00343E2B" w:rsidRDefault="00322A07" w:rsidP="009A70E0">
      <w:pPr>
        <w:pStyle w:val="Paragraphbeforelist"/>
        <w:rPr>
          <w:snapToGrid w:val="0"/>
          <w:lang w:eastAsia="en-US"/>
        </w:rPr>
      </w:pPr>
      <w:r w:rsidRPr="00343E2B">
        <w:rPr>
          <w:snapToGrid w:val="0"/>
          <w:lang w:eastAsia="en-US"/>
        </w:rPr>
        <w:t>For example, reception may be limited because the program content is:</w:t>
      </w:r>
    </w:p>
    <w:p w14:paraId="6A3EF2EA" w14:textId="0AAFE39F" w:rsidR="00322A07" w:rsidRDefault="00322A07" w:rsidP="009A70E0">
      <w:pPr>
        <w:pStyle w:val="Bulletlevel1"/>
        <w:rPr>
          <w:snapToGrid w:val="0"/>
          <w:lang w:eastAsia="en-US"/>
        </w:rPr>
      </w:pPr>
      <w:r>
        <w:rPr>
          <w:snapToGrid w:val="0"/>
          <w:lang w:eastAsia="en-US"/>
        </w:rPr>
        <w:t>targeted to special interest groups</w:t>
      </w:r>
      <w:r w:rsidR="001F1212">
        <w:rPr>
          <w:snapToGrid w:val="0"/>
          <w:lang w:eastAsia="en-US"/>
        </w:rPr>
        <w:t xml:space="preserve"> – </w:t>
      </w:r>
      <w:r>
        <w:rPr>
          <w:snapToGrid w:val="0"/>
          <w:lang w:eastAsia="en-US"/>
        </w:rPr>
        <w:t>for example, people choosing to follow a particular religion</w:t>
      </w:r>
    </w:p>
    <w:p w14:paraId="0BF9FCB6" w14:textId="129C39A3" w:rsidR="00322A07" w:rsidRDefault="00322A07" w:rsidP="009A70E0">
      <w:pPr>
        <w:pStyle w:val="Bulletlevel1"/>
        <w:rPr>
          <w:snapToGrid w:val="0"/>
          <w:lang w:eastAsia="en-US"/>
        </w:rPr>
      </w:pPr>
      <w:r>
        <w:rPr>
          <w:snapToGrid w:val="0"/>
          <w:lang w:eastAsia="en-US"/>
        </w:rPr>
        <w:t>intended for reception in limited locations</w:t>
      </w:r>
      <w:r w:rsidR="001F1212">
        <w:rPr>
          <w:snapToGrid w:val="0"/>
          <w:lang w:eastAsia="en-US"/>
        </w:rPr>
        <w:t xml:space="preserve"> – </w:t>
      </w:r>
      <w:r>
        <w:rPr>
          <w:snapToGrid w:val="0"/>
          <w:lang w:eastAsia="en-US"/>
        </w:rPr>
        <w:t>for example, arenas or business premises</w:t>
      </w:r>
    </w:p>
    <w:p w14:paraId="106095B5" w14:textId="77FA12F8" w:rsidR="00322A07" w:rsidRDefault="00322A07" w:rsidP="009A70E0">
      <w:pPr>
        <w:pStyle w:val="Bulletlevel1"/>
        <w:rPr>
          <w:snapToGrid w:val="0"/>
          <w:lang w:eastAsia="en-US"/>
        </w:rPr>
      </w:pPr>
      <w:r>
        <w:rPr>
          <w:snapToGrid w:val="0"/>
          <w:lang w:eastAsia="en-US"/>
        </w:rPr>
        <w:t>provided during a limited period to cover a special event</w:t>
      </w:r>
      <w:r w:rsidR="001F1212">
        <w:rPr>
          <w:snapToGrid w:val="0"/>
          <w:lang w:eastAsia="en-US"/>
        </w:rPr>
        <w:t xml:space="preserve"> – </w:t>
      </w:r>
      <w:r>
        <w:rPr>
          <w:snapToGrid w:val="0"/>
          <w:lang w:eastAsia="en-US"/>
        </w:rPr>
        <w:t>for example, a community</w:t>
      </w:r>
      <w:r w:rsidR="005E5C9E">
        <w:rPr>
          <w:snapToGrid w:val="0"/>
          <w:lang w:eastAsia="en-US"/>
        </w:rPr>
        <w:t> </w:t>
      </w:r>
      <w:r>
        <w:rPr>
          <w:snapToGrid w:val="0"/>
          <w:lang w:eastAsia="en-US"/>
        </w:rPr>
        <w:t>fair</w:t>
      </w:r>
    </w:p>
    <w:p w14:paraId="645BEE15" w14:textId="0DF37401" w:rsidR="00322A07" w:rsidRDefault="00322A07" w:rsidP="009A70E0">
      <w:pPr>
        <w:pStyle w:val="Bulletlevel1last"/>
        <w:rPr>
          <w:snapToGrid w:val="0"/>
          <w:lang w:eastAsia="en-US"/>
        </w:rPr>
      </w:pPr>
      <w:r>
        <w:rPr>
          <w:snapToGrid w:val="0"/>
          <w:lang w:eastAsia="en-US"/>
        </w:rPr>
        <w:t>of limited appeal</w:t>
      </w:r>
      <w:r w:rsidR="001F1212">
        <w:rPr>
          <w:snapToGrid w:val="0"/>
          <w:lang w:eastAsia="en-US"/>
        </w:rPr>
        <w:t xml:space="preserve"> – </w:t>
      </w:r>
      <w:r>
        <w:rPr>
          <w:snapToGrid w:val="0"/>
          <w:lang w:eastAsia="en-US"/>
        </w:rPr>
        <w:t>for example, a language program other than English.</w:t>
      </w:r>
    </w:p>
    <w:p w14:paraId="35C997B6" w14:textId="3D35E1AF" w:rsidR="00322A07" w:rsidRPr="009A70E0" w:rsidRDefault="00322A07" w:rsidP="00322A07">
      <w:pPr>
        <w:pBdr>
          <w:top w:val="single" w:sz="4" w:space="1" w:color="auto"/>
          <w:left w:val="single" w:sz="4" w:space="4" w:color="auto"/>
          <w:bottom w:val="single" w:sz="4" w:space="1" w:color="auto"/>
          <w:right w:val="single" w:sz="4" w:space="4" w:color="auto"/>
        </w:pBdr>
        <w:shd w:val="clear" w:color="auto" w:fill="F2F2F2" w:themeFill="background1" w:themeFillShade="F2"/>
        <w:rPr>
          <w:bCs/>
          <w:iCs/>
          <w:snapToGrid w:val="0"/>
          <w:szCs w:val="20"/>
          <w:lang w:eastAsia="en-US"/>
        </w:rPr>
      </w:pPr>
      <w:r w:rsidRPr="009A70E0">
        <w:rPr>
          <w:bCs/>
          <w:iCs/>
          <w:snapToGrid w:val="0"/>
          <w:szCs w:val="20"/>
          <w:lang w:eastAsia="en-US"/>
        </w:rPr>
        <w:t xml:space="preserve">Before lodging an application to participate in </w:t>
      </w:r>
      <w:r w:rsidR="00251CE5" w:rsidRPr="009A70E0">
        <w:rPr>
          <w:bCs/>
          <w:iCs/>
          <w:snapToGrid w:val="0"/>
          <w:szCs w:val="20"/>
          <w:lang w:eastAsia="en-US"/>
        </w:rPr>
        <w:t>this</w:t>
      </w:r>
      <w:r w:rsidRPr="009A70E0">
        <w:rPr>
          <w:bCs/>
          <w:iCs/>
          <w:snapToGrid w:val="0"/>
          <w:szCs w:val="20"/>
          <w:lang w:eastAsia="en-US"/>
        </w:rPr>
        <w:t xml:space="preserve"> allocation, you may wish to seek an opinion from</w:t>
      </w:r>
      <w:r w:rsidR="005E5C9E" w:rsidRPr="009A70E0">
        <w:rPr>
          <w:bCs/>
          <w:iCs/>
          <w:snapToGrid w:val="0"/>
          <w:szCs w:val="20"/>
          <w:lang w:eastAsia="en-US"/>
        </w:rPr>
        <w:t xml:space="preserve"> the</w:t>
      </w:r>
      <w:r w:rsidRPr="009A70E0">
        <w:rPr>
          <w:bCs/>
          <w:iCs/>
          <w:snapToGrid w:val="0"/>
          <w:szCs w:val="20"/>
          <w:lang w:eastAsia="en-US"/>
        </w:rPr>
        <w:t xml:space="preserve"> ACMA under section 21 of the BSA about whether </w:t>
      </w:r>
      <w:r w:rsidR="00251CE5" w:rsidRPr="009A70E0">
        <w:rPr>
          <w:bCs/>
          <w:iCs/>
          <w:snapToGrid w:val="0"/>
          <w:szCs w:val="20"/>
          <w:lang w:eastAsia="en-US"/>
        </w:rPr>
        <w:t>your intended</w:t>
      </w:r>
      <w:r w:rsidRPr="009A70E0">
        <w:rPr>
          <w:bCs/>
          <w:iCs/>
          <w:snapToGrid w:val="0"/>
          <w:szCs w:val="20"/>
          <w:lang w:eastAsia="en-US"/>
        </w:rPr>
        <w:t xml:space="preserve"> program content is categorised as open narrowcasting. The ACMA charges a fee of $15,150 for this service. </w:t>
      </w:r>
      <w:r w:rsidR="005E5C9E">
        <w:rPr>
          <w:bCs/>
          <w:iCs/>
          <w:snapToGrid w:val="0"/>
          <w:szCs w:val="20"/>
          <w:lang w:eastAsia="en-US"/>
        </w:rPr>
        <w:t>S</w:t>
      </w:r>
      <w:r w:rsidRPr="009A70E0">
        <w:rPr>
          <w:bCs/>
          <w:iCs/>
          <w:snapToGrid w:val="0"/>
          <w:szCs w:val="20"/>
          <w:lang w:eastAsia="en-US"/>
        </w:rPr>
        <w:t xml:space="preserve">ee </w:t>
      </w:r>
      <w:hyperlink r:id="rId26" w:history="1">
        <w:r w:rsidRPr="009A70E0">
          <w:rPr>
            <w:rStyle w:val="Hyperlink"/>
            <w:bCs/>
            <w:iCs/>
          </w:rPr>
          <w:t>acma.gov.au/category-service-opinions</w:t>
        </w:r>
      </w:hyperlink>
      <w:r w:rsidRPr="009A70E0">
        <w:rPr>
          <w:bCs/>
          <w:iCs/>
          <w:snapToGrid w:val="0"/>
          <w:szCs w:val="20"/>
          <w:lang w:eastAsia="en-US"/>
        </w:rPr>
        <w:t xml:space="preserve">. </w:t>
      </w:r>
    </w:p>
    <w:p w14:paraId="7DEEA5A0" w14:textId="77777777" w:rsidR="00116029" w:rsidRDefault="00116029" w:rsidP="00116029">
      <w:pPr>
        <w:pStyle w:val="Heading2"/>
      </w:pPr>
      <w:bookmarkStart w:id="8" w:name="_Toc74905617"/>
      <w:r>
        <w:t>Geographical areas</w:t>
      </w:r>
      <w:bookmarkEnd w:id="8"/>
    </w:p>
    <w:p w14:paraId="4754F631" w14:textId="1798CE01" w:rsidR="00116029" w:rsidRDefault="00116029" w:rsidP="00116029">
      <w:pPr>
        <w:pStyle w:val="Paragraph"/>
        <w:tabs>
          <w:tab w:val="left" w:pos="756"/>
        </w:tabs>
      </w:pPr>
      <w:r>
        <w:t xml:space="preserve">The geographical areas covered by the Hobart and Gosford HPONs are described below. </w:t>
      </w:r>
    </w:p>
    <w:p w14:paraId="21759470" w14:textId="221CC815" w:rsidR="00116029" w:rsidRDefault="00435A69" w:rsidP="00677922">
      <w:pPr>
        <w:pStyle w:val="Heading3"/>
      </w:pPr>
      <w:r>
        <w:t>Hobart HPON</w:t>
      </w:r>
    </w:p>
    <w:p w14:paraId="45347F75" w14:textId="30AC5ADB" w:rsidR="00677922" w:rsidRDefault="00C26730" w:rsidP="00677922">
      <w:r>
        <w:t xml:space="preserve">The </w:t>
      </w:r>
      <w:r w:rsidR="00090F0E">
        <w:t xml:space="preserve">coverage area of the Hobart HPON is within a radius of 70 km from the </w:t>
      </w:r>
      <w:r w:rsidR="009B1A2C">
        <w:t xml:space="preserve">nominal </w:t>
      </w:r>
      <w:r w:rsidR="00090F0E">
        <w:t>transmitter site</w:t>
      </w:r>
      <w:r w:rsidR="009B1BBE">
        <w:t xml:space="preserve"> at</w:t>
      </w:r>
      <w:r w:rsidR="00090F0E">
        <w:t xml:space="preserve"> </w:t>
      </w:r>
      <w:r w:rsidR="005E5C9E">
        <w:t xml:space="preserve">the </w:t>
      </w:r>
      <w:r w:rsidR="00090F0E">
        <w:t>Broadcast Australia Site, Pinnacle Road, Hobart</w:t>
      </w:r>
      <w:r w:rsidR="00016E9E">
        <w:t xml:space="preserve"> Tas</w:t>
      </w:r>
      <w:r w:rsidR="005E5C9E">
        <w:t>mania</w:t>
      </w:r>
      <w:r w:rsidR="00016E9E">
        <w:t>.</w:t>
      </w:r>
      <w:r w:rsidR="00090F0E">
        <w:t xml:space="preserve"> AMG coordinates of the tr</w:t>
      </w:r>
      <w:r w:rsidR="009B1BBE">
        <w:t xml:space="preserve">ansmitter site are </w:t>
      </w:r>
      <w:r w:rsidR="009B1BBE" w:rsidRPr="009B1BBE">
        <w:t>Zone: 55; Easting: 519185; Northing: 5250351</w:t>
      </w:r>
      <w:r w:rsidR="009B1BBE">
        <w:t xml:space="preserve">. </w:t>
      </w:r>
    </w:p>
    <w:p w14:paraId="0649842E" w14:textId="2F4D1F30" w:rsidR="009B1BBE" w:rsidRDefault="009B1BBE" w:rsidP="00DB159C">
      <w:pPr>
        <w:pStyle w:val="Heading3"/>
      </w:pPr>
      <w:r w:rsidRPr="009B1BBE">
        <w:t>Gosford HPON</w:t>
      </w:r>
    </w:p>
    <w:p w14:paraId="2CC89B61" w14:textId="4F098002" w:rsidR="009F100A" w:rsidRDefault="00016E9E" w:rsidP="00677922">
      <w:r>
        <w:t xml:space="preserve">The transmitter site for the Gosford HPON is at the HPON AM Tower, adjacent to the Facilities Building, Gosford </w:t>
      </w:r>
      <w:proofErr w:type="gramStart"/>
      <w:r>
        <w:t>Race Course</w:t>
      </w:r>
      <w:proofErr w:type="gramEnd"/>
      <w:r>
        <w:t xml:space="preserve">, 2 Blackett St, Gosford NSW. AMG coordinates of the transmitter site are </w:t>
      </w:r>
      <w:r w:rsidRPr="00016E9E">
        <w:t>Zone: 56; Easting: 344219; Northing: 6300644</w:t>
      </w:r>
      <w:r>
        <w:t xml:space="preserve">. </w:t>
      </w:r>
    </w:p>
    <w:p w14:paraId="1DEE823D" w14:textId="671E99A2" w:rsidR="00016E9E" w:rsidRDefault="003E0510" w:rsidP="00677922">
      <w:r>
        <w:lastRenderedPageBreak/>
        <w:t xml:space="preserve">The coverage area of the Gosford HPON differs for daytime and </w:t>
      </w:r>
      <w:proofErr w:type="gramStart"/>
      <w:r>
        <w:t>night</w:t>
      </w:r>
      <w:r w:rsidR="00487474">
        <w:t xml:space="preserve"> t</w:t>
      </w:r>
      <w:r>
        <w:t>ime</w:t>
      </w:r>
      <w:proofErr w:type="gramEnd"/>
      <w:r>
        <w:t xml:space="preserve"> operation</w:t>
      </w:r>
      <w:r w:rsidR="00487474">
        <w:t xml:space="preserve">. </w:t>
      </w:r>
      <w:r>
        <w:t xml:space="preserve"> </w:t>
      </w:r>
      <w:r w:rsidR="005115DE">
        <w:t>T</w:t>
      </w:r>
      <w:r w:rsidR="00054385" w:rsidRPr="00AD4BA7">
        <w:t xml:space="preserve">he </w:t>
      </w:r>
      <w:r w:rsidR="008636E1">
        <w:t xml:space="preserve">Gosford HPON </w:t>
      </w:r>
      <w:r w:rsidR="00AD13E0">
        <w:t>technical specification states</w:t>
      </w:r>
      <w:r w:rsidR="008636E1">
        <w:t xml:space="preserve"> </w:t>
      </w:r>
      <w:r w:rsidR="00AD13E0">
        <w:t xml:space="preserve">the </w:t>
      </w:r>
      <w:proofErr w:type="gramStart"/>
      <w:r w:rsidR="00054385" w:rsidRPr="00AD4BA7">
        <w:t>day time</w:t>
      </w:r>
      <w:proofErr w:type="gramEnd"/>
      <w:r w:rsidR="00054385" w:rsidRPr="00AD4BA7">
        <w:t xml:space="preserve"> </w:t>
      </w:r>
      <w:r w:rsidR="00AD13E0">
        <w:t xml:space="preserve">urban </w:t>
      </w:r>
      <w:r w:rsidR="00054385" w:rsidRPr="00AD4BA7">
        <w:t xml:space="preserve">coverage area is within a radius of </w:t>
      </w:r>
      <w:r w:rsidR="00357510">
        <w:t xml:space="preserve">14 </w:t>
      </w:r>
      <w:r w:rsidR="00054385" w:rsidRPr="00AD4BA7">
        <w:t>km</w:t>
      </w:r>
      <w:r w:rsidR="001E061E" w:rsidRPr="00AD4BA7">
        <w:t xml:space="preserve"> </w:t>
      </w:r>
      <w:r w:rsidR="00054385" w:rsidRPr="00AD4BA7">
        <w:t xml:space="preserve">from the </w:t>
      </w:r>
      <w:r w:rsidR="009B1A2C" w:rsidRPr="00BA29AC">
        <w:t xml:space="preserve">nominal </w:t>
      </w:r>
      <w:r w:rsidR="00054385" w:rsidRPr="00AD4BA7">
        <w:t>transmitter site</w:t>
      </w:r>
      <w:r w:rsidR="004E5547">
        <w:t>, and</w:t>
      </w:r>
      <w:r w:rsidR="00054385" w:rsidRPr="00AD4BA7">
        <w:t xml:space="preserve"> </w:t>
      </w:r>
      <w:bookmarkStart w:id="9" w:name="_Hlk33180143"/>
      <w:r w:rsidR="00054385" w:rsidRPr="00AD4BA7">
        <w:t xml:space="preserve">the night time coverage area is within 4 km of the </w:t>
      </w:r>
      <w:r w:rsidR="009B1A2C" w:rsidRPr="00BA29AC">
        <w:t xml:space="preserve">nominal </w:t>
      </w:r>
      <w:r w:rsidR="00054385" w:rsidRPr="00AD4BA7">
        <w:t>transmitter site</w:t>
      </w:r>
      <w:bookmarkEnd w:id="9"/>
      <w:r w:rsidR="00EC3185">
        <w:t xml:space="preserve">. </w:t>
      </w:r>
      <w:r>
        <w:t>However, in the absence of any interference</w:t>
      </w:r>
      <w:r w:rsidR="009F100A">
        <w:t xml:space="preserve"> </w:t>
      </w:r>
      <w:r w:rsidR="00AD13E0" w:rsidRPr="00AD13E0">
        <w:t xml:space="preserve">it is expected that the </w:t>
      </w:r>
      <w:proofErr w:type="gramStart"/>
      <w:r w:rsidR="00AD13E0" w:rsidRPr="00AD13E0">
        <w:t>day time</w:t>
      </w:r>
      <w:proofErr w:type="gramEnd"/>
      <w:r w:rsidR="00AD13E0" w:rsidRPr="00AD13E0">
        <w:t xml:space="preserve"> coverage of the HPON service on 747</w:t>
      </w:r>
      <w:r w:rsidR="009F100A">
        <w:t xml:space="preserve"> kHz </w:t>
      </w:r>
      <w:r>
        <w:t>may extend</w:t>
      </w:r>
      <w:r w:rsidR="00AD13E0" w:rsidRPr="00AD13E0">
        <w:t xml:space="preserve"> to a suburban signal level within a coverage radius of 35 k</w:t>
      </w:r>
      <w:r w:rsidR="00B5779A">
        <w:t>m</w:t>
      </w:r>
      <w:r w:rsidR="00AD13E0" w:rsidRPr="00AD13E0">
        <w:t xml:space="preserve"> from the nominal transmission site and provide coverage to a</w:t>
      </w:r>
      <w:r w:rsidR="002A2C70">
        <w:t>n approximate</w:t>
      </w:r>
      <w:r w:rsidR="00AD13E0" w:rsidRPr="00AD13E0">
        <w:t xml:space="preserve"> population of </w:t>
      </w:r>
      <w:r w:rsidR="00AD13E0" w:rsidRPr="00BA29AC">
        <w:t>4</w:t>
      </w:r>
      <w:r w:rsidR="00BA29AC" w:rsidRPr="00BA29AC">
        <w:t>5</w:t>
      </w:r>
      <w:r w:rsidR="00AD13E0" w:rsidRPr="00BA29AC">
        <w:t>0,000.</w:t>
      </w:r>
      <w:r w:rsidR="00AD13E0" w:rsidRPr="00AD13E0">
        <w:t xml:space="preserve"> </w:t>
      </w:r>
      <w:r w:rsidR="00EC3185">
        <w:t>More information on the specifications for daytime and night operation is set out below under ‘Technical Specifications’.</w:t>
      </w:r>
    </w:p>
    <w:p w14:paraId="11CDF32B" w14:textId="77777777" w:rsidR="00322A07" w:rsidRPr="00EC057B" w:rsidRDefault="00EC057B" w:rsidP="00322A07">
      <w:pPr>
        <w:rPr>
          <w:rFonts w:cs="Arial"/>
          <w:b/>
          <w:bCs/>
          <w:iCs/>
          <w:sz w:val="28"/>
          <w:szCs w:val="28"/>
        </w:rPr>
      </w:pPr>
      <w:r w:rsidRPr="00EC057B">
        <w:rPr>
          <w:rFonts w:cs="Arial"/>
          <w:b/>
          <w:bCs/>
          <w:iCs/>
          <w:sz w:val="28"/>
          <w:szCs w:val="28"/>
        </w:rPr>
        <w:t>Regulatory conditions</w:t>
      </w:r>
    </w:p>
    <w:p w14:paraId="1F155618" w14:textId="340AE32D" w:rsidR="00843401" w:rsidRPr="009A70E0" w:rsidRDefault="00D3195F" w:rsidP="009A70E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iCs/>
          <w:szCs w:val="20"/>
        </w:rPr>
      </w:pPr>
      <w:r w:rsidRPr="009A70E0">
        <w:rPr>
          <w:iCs/>
          <w:szCs w:val="20"/>
        </w:rPr>
        <w:t xml:space="preserve">The information contained in this section is provided as a guide for applicants and should not be relied on as the only source of information. For detailed information about the various legislative requirements, applicants should consult: </w:t>
      </w:r>
      <w:r w:rsidR="00487474">
        <w:rPr>
          <w:iCs/>
          <w:szCs w:val="20"/>
        </w:rPr>
        <w:t xml:space="preserve">the </w:t>
      </w:r>
      <w:r w:rsidRPr="009A70E0">
        <w:rPr>
          <w:i/>
          <w:szCs w:val="20"/>
        </w:rPr>
        <w:t>Broadcasting Services Act 1992</w:t>
      </w:r>
      <w:r w:rsidRPr="009A70E0">
        <w:rPr>
          <w:iCs/>
          <w:szCs w:val="20"/>
        </w:rPr>
        <w:t xml:space="preserve">, the Broadcasting Services Clarification Notice 2016, the </w:t>
      </w:r>
      <w:r w:rsidRPr="009A70E0">
        <w:rPr>
          <w:i/>
          <w:szCs w:val="20"/>
        </w:rPr>
        <w:t>Radiocommunications Act 1992</w:t>
      </w:r>
      <w:r w:rsidRPr="009A70E0">
        <w:rPr>
          <w:iCs/>
          <w:szCs w:val="20"/>
        </w:rPr>
        <w:t>, the Radiocommunications Licence Conditions (Apparatus Licence) Determination 2015 and the Radiocommunications Licence Conditions (Broadcasting Licence) Determination 2015 before applying for a licence.</w:t>
      </w:r>
      <w:r w:rsidR="00487474">
        <w:rPr>
          <w:iCs/>
          <w:szCs w:val="20"/>
        </w:rPr>
        <w:t xml:space="preserve"> </w:t>
      </w:r>
    </w:p>
    <w:p w14:paraId="1830F54D" w14:textId="7378D4B3" w:rsidR="00D3195F" w:rsidRPr="009A70E0" w:rsidRDefault="00D3195F" w:rsidP="009A70E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iCs/>
          <w:szCs w:val="20"/>
        </w:rPr>
      </w:pPr>
      <w:r w:rsidRPr="009A70E0">
        <w:rPr>
          <w:iCs/>
          <w:szCs w:val="20"/>
        </w:rPr>
        <w:t>Each of these legislative instruments can be obtained for free on the Federal Register of</w:t>
      </w:r>
      <w:r w:rsidR="00487474">
        <w:rPr>
          <w:iCs/>
          <w:szCs w:val="20"/>
        </w:rPr>
        <w:t> </w:t>
      </w:r>
      <w:r w:rsidRPr="009A70E0">
        <w:rPr>
          <w:iCs/>
          <w:szCs w:val="20"/>
        </w:rPr>
        <w:t xml:space="preserve">Legislation at: </w:t>
      </w:r>
      <w:hyperlink r:id="rId27" w:history="1">
        <w:r w:rsidRPr="009A70E0">
          <w:rPr>
            <w:rStyle w:val="Hyperlink"/>
            <w:iCs/>
          </w:rPr>
          <w:t>legislation.gov.au</w:t>
        </w:r>
      </w:hyperlink>
      <w:r w:rsidR="00487474">
        <w:rPr>
          <w:iCs/>
          <w:szCs w:val="20"/>
        </w:rPr>
        <w:t>.</w:t>
      </w:r>
    </w:p>
    <w:p w14:paraId="293F4558" w14:textId="77777777" w:rsidR="008F73E6" w:rsidRDefault="008F73E6" w:rsidP="009A70E0">
      <w:pPr>
        <w:pStyle w:val="Paragraphbeforelist"/>
        <w:rPr>
          <w:snapToGrid w:val="0"/>
          <w:lang w:eastAsia="en-US"/>
        </w:rPr>
      </w:pPr>
      <w:r>
        <w:rPr>
          <w:snapToGrid w:val="0"/>
          <w:lang w:eastAsia="en-US"/>
        </w:rPr>
        <w:t>The regulation of HPON services comprises:</w:t>
      </w:r>
    </w:p>
    <w:p w14:paraId="7B54078C" w14:textId="7D84DEF2" w:rsidR="008F73E6" w:rsidRDefault="008F73E6" w:rsidP="009A70E0">
      <w:pPr>
        <w:pStyle w:val="Numberlistlevel1"/>
        <w:rPr>
          <w:snapToGrid w:val="0"/>
          <w:lang w:eastAsia="en-US"/>
        </w:rPr>
      </w:pPr>
      <w:r>
        <w:rPr>
          <w:snapToGrid w:val="0"/>
          <w:lang w:eastAsia="en-US"/>
        </w:rPr>
        <w:t>authorisation to operate a transmitter to provide an open narrowcasting service (</w:t>
      </w:r>
      <w:proofErr w:type="gramStart"/>
      <w:r>
        <w:rPr>
          <w:snapToGrid w:val="0"/>
          <w:lang w:eastAsia="en-US"/>
        </w:rPr>
        <w:t>i.e.</w:t>
      </w:r>
      <w:proofErr w:type="gramEnd"/>
      <w:r>
        <w:rPr>
          <w:snapToGrid w:val="0"/>
          <w:lang w:eastAsia="en-US"/>
        </w:rPr>
        <w:t xml:space="preserve"> a HPON apparatus licence), issued under the </w:t>
      </w:r>
      <w:r>
        <w:rPr>
          <w:i/>
          <w:iCs/>
          <w:snapToGrid w:val="0"/>
          <w:lang w:eastAsia="en-US"/>
        </w:rPr>
        <w:t xml:space="preserve">Radiocommunications Act 1992 </w:t>
      </w:r>
      <w:r>
        <w:rPr>
          <w:snapToGrid w:val="0"/>
          <w:lang w:eastAsia="en-US"/>
        </w:rPr>
        <w:t>(the Radiocommunications Act)</w:t>
      </w:r>
    </w:p>
    <w:p w14:paraId="61B28A1B" w14:textId="77777777" w:rsidR="008F73E6" w:rsidRDefault="008F73E6" w:rsidP="009A70E0">
      <w:pPr>
        <w:pStyle w:val="Numberlistlast"/>
        <w:rPr>
          <w:snapToGrid w:val="0"/>
          <w:lang w:eastAsia="en-US"/>
        </w:rPr>
      </w:pPr>
      <w:r>
        <w:rPr>
          <w:snapToGrid w:val="0"/>
          <w:lang w:eastAsia="en-US"/>
        </w:rPr>
        <w:t xml:space="preserve">regulation of the content provided through the HPON licence, regulated under the </w:t>
      </w:r>
      <w:r>
        <w:rPr>
          <w:i/>
          <w:iCs/>
          <w:snapToGrid w:val="0"/>
          <w:lang w:eastAsia="en-US"/>
        </w:rPr>
        <w:t xml:space="preserve">Broadcasting Services Act 1992 </w:t>
      </w:r>
      <w:r>
        <w:rPr>
          <w:snapToGrid w:val="0"/>
          <w:lang w:eastAsia="en-US"/>
        </w:rPr>
        <w:t xml:space="preserve">(the </w:t>
      </w:r>
      <w:r w:rsidR="00AC1863">
        <w:rPr>
          <w:snapToGrid w:val="0"/>
          <w:lang w:eastAsia="en-US"/>
        </w:rPr>
        <w:t>Broadcasting Services Act</w:t>
      </w:r>
      <w:r>
        <w:rPr>
          <w:snapToGrid w:val="0"/>
          <w:lang w:eastAsia="en-US"/>
        </w:rPr>
        <w:t>).</w:t>
      </w:r>
    </w:p>
    <w:p w14:paraId="70C6D566" w14:textId="77777777" w:rsidR="00D3195F" w:rsidRDefault="00D3195F" w:rsidP="00D3195F">
      <w:pPr>
        <w:pStyle w:val="Heading3"/>
        <w:rPr>
          <w:snapToGrid w:val="0"/>
          <w:lang w:eastAsia="en-US"/>
        </w:rPr>
      </w:pPr>
      <w:r>
        <w:rPr>
          <w:snapToGrid w:val="0"/>
          <w:lang w:eastAsia="en-US"/>
        </w:rPr>
        <w:t>Radiocommunications Act</w:t>
      </w:r>
    </w:p>
    <w:p w14:paraId="16F5AEC1" w14:textId="7E02C59E" w:rsidR="00D3195F" w:rsidRDefault="003330FC" w:rsidP="009A70E0">
      <w:pPr>
        <w:pStyle w:val="Paragraphbeforelist"/>
        <w:rPr>
          <w:lang w:eastAsia="en-US"/>
        </w:rPr>
      </w:pPr>
      <w:r>
        <w:rPr>
          <w:lang w:eastAsia="en-US"/>
        </w:rPr>
        <w:t xml:space="preserve">The Radiocommunications Act regulates the transmitters to be operated under these HPONs. </w:t>
      </w:r>
      <w:r w:rsidR="00D3195F">
        <w:rPr>
          <w:lang w:eastAsia="en-US"/>
        </w:rPr>
        <w:t xml:space="preserve">The Hobart and Gosford HPONs are subject to </w:t>
      </w:r>
      <w:r w:rsidR="00E80F3E">
        <w:rPr>
          <w:lang w:eastAsia="en-US"/>
        </w:rPr>
        <w:t>regulatory arrangements</w:t>
      </w:r>
      <w:r w:rsidR="00D3195F">
        <w:rPr>
          <w:lang w:eastAsia="en-US"/>
        </w:rPr>
        <w:t xml:space="preserve"> under the Radiocommunications Ac</w:t>
      </w:r>
      <w:r w:rsidR="00303313">
        <w:rPr>
          <w:lang w:eastAsia="en-US"/>
        </w:rPr>
        <w:t>t, including:</w:t>
      </w:r>
    </w:p>
    <w:p w14:paraId="6A3DEFF6" w14:textId="77777777" w:rsidR="00D3195F" w:rsidRDefault="00D3195F" w:rsidP="009A70E0">
      <w:pPr>
        <w:pStyle w:val="Bulletlevel1"/>
      </w:pPr>
      <w:r>
        <w:t>an obligation to comply with the Radiocommunications Act</w:t>
      </w:r>
    </w:p>
    <w:p w14:paraId="652BA601" w14:textId="77777777" w:rsidR="00D3195F" w:rsidRDefault="00D3195F" w:rsidP="009A70E0">
      <w:pPr>
        <w:pStyle w:val="Bulletlevel1"/>
      </w:pPr>
      <w:r>
        <w:t>a condition that any radiocommunications device operated under the licence must comply with all the standards applicable to it</w:t>
      </w:r>
    </w:p>
    <w:p w14:paraId="568C54F2" w14:textId="77777777" w:rsidR="00E80F3E" w:rsidRDefault="00E80F3E" w:rsidP="009A70E0">
      <w:pPr>
        <w:pStyle w:val="Bulletlevel1"/>
      </w:pPr>
      <w:r>
        <w:t xml:space="preserve">the </w:t>
      </w:r>
      <w:r w:rsidRPr="009A70E0">
        <w:t>Radiocommunications Licence Conditions (Apparatus Licence) Determination 2015</w:t>
      </w:r>
      <w:r w:rsidRPr="00E80F3E">
        <w:t xml:space="preserve"> </w:t>
      </w:r>
      <w:r>
        <w:t>(the Apparatus Licence LCD)</w:t>
      </w:r>
    </w:p>
    <w:p w14:paraId="60A3A6EC" w14:textId="77777777" w:rsidR="00E80F3E" w:rsidRDefault="00E80F3E" w:rsidP="009A70E0">
      <w:pPr>
        <w:pStyle w:val="Bulletlevel1"/>
      </w:pPr>
      <w:r>
        <w:t xml:space="preserve">the </w:t>
      </w:r>
      <w:r w:rsidRPr="009A70E0">
        <w:t xml:space="preserve">Radiocommunications Licence Conditions (Broadcasting Licence) Determination 2015 </w:t>
      </w:r>
      <w:r w:rsidRPr="00E80F3E">
        <w:t>(the Broadcasting LCD)</w:t>
      </w:r>
    </w:p>
    <w:p w14:paraId="7CE5E5D6" w14:textId="77777777" w:rsidR="008C13E6" w:rsidRDefault="00D3195F" w:rsidP="009A70E0">
      <w:pPr>
        <w:pStyle w:val="Bulletlevel1last"/>
      </w:pPr>
      <w:r>
        <w:t>conditions specified in the licence</w:t>
      </w:r>
      <w:r w:rsidR="008C13E6">
        <w:t>.</w:t>
      </w:r>
    </w:p>
    <w:p w14:paraId="6C1966DA" w14:textId="2C7C9F54" w:rsidR="008C13E6" w:rsidRDefault="008C13E6" w:rsidP="008C13E6">
      <w:pPr>
        <w:spacing w:after="0"/>
      </w:pPr>
      <w:r>
        <w:t>The ACMA may also</w:t>
      </w:r>
      <w:r w:rsidR="008738EF">
        <w:t>, during the term of the licence,</w:t>
      </w:r>
      <w:r>
        <w:t xml:space="preserve"> impose further conditions or vary existing licence conditions by notice in writing under section 111 of the Radiocommunications Act. </w:t>
      </w:r>
    </w:p>
    <w:p w14:paraId="38CCF327" w14:textId="12689342" w:rsidR="007431A8" w:rsidRDefault="007431A8" w:rsidP="007431A8">
      <w:pPr>
        <w:pStyle w:val="Heading4"/>
      </w:pPr>
      <w:r>
        <w:t xml:space="preserve">Conditions specified </w:t>
      </w:r>
      <w:r w:rsidR="008C13E6">
        <w:t>in</w:t>
      </w:r>
      <w:r>
        <w:t xml:space="preserve"> the </w:t>
      </w:r>
      <w:r w:rsidR="008C13E6">
        <w:t>licences</w:t>
      </w:r>
    </w:p>
    <w:p w14:paraId="206C47B9" w14:textId="734CA57A" w:rsidR="008C13E6" w:rsidRDefault="008C13E6" w:rsidP="007431A8">
      <w:r>
        <w:t xml:space="preserve">Any conditions that apply to individual licences are printed on the licences themselves. </w:t>
      </w:r>
    </w:p>
    <w:p w14:paraId="10564E94" w14:textId="7BCA7B1E" w:rsidR="007431A8" w:rsidRDefault="008C13E6" w:rsidP="007431A8">
      <w:r>
        <w:t xml:space="preserve">The </w:t>
      </w:r>
      <w:r w:rsidR="007431A8">
        <w:t xml:space="preserve">Hobart HPON licence </w:t>
      </w:r>
      <w:r w:rsidR="008738EF">
        <w:t>offered for a</w:t>
      </w:r>
      <w:r w:rsidR="00F041F1">
        <w:t>llocation</w:t>
      </w:r>
      <w:r w:rsidR="008738EF">
        <w:t xml:space="preserve"> </w:t>
      </w:r>
      <w:r>
        <w:t>does not contain any</w:t>
      </w:r>
      <w:r w:rsidR="007431A8">
        <w:t xml:space="preserve"> special conditions</w:t>
      </w:r>
      <w:r>
        <w:t xml:space="preserve">. </w:t>
      </w:r>
    </w:p>
    <w:p w14:paraId="4477A79F" w14:textId="332806BF" w:rsidR="008C13E6" w:rsidRPr="00BA29AC" w:rsidRDefault="008C13E6" w:rsidP="009A70E0">
      <w:pPr>
        <w:keepNext/>
        <w:keepLines/>
        <w:rPr>
          <w:rFonts w:cs="Arial"/>
          <w:szCs w:val="20"/>
        </w:rPr>
      </w:pPr>
      <w:r w:rsidRPr="00BA29AC">
        <w:rPr>
          <w:rFonts w:cs="Arial"/>
          <w:szCs w:val="20"/>
        </w:rPr>
        <w:lastRenderedPageBreak/>
        <w:t xml:space="preserve">The Gosford HPON </w:t>
      </w:r>
      <w:r w:rsidR="004D4C3B" w:rsidRPr="00B964CF">
        <w:rPr>
          <w:rFonts w:cs="Arial"/>
          <w:szCs w:val="20"/>
        </w:rPr>
        <w:t>licence offered for allocatio</w:t>
      </w:r>
      <w:r w:rsidR="007B1A91" w:rsidRPr="009B5D38">
        <w:rPr>
          <w:rFonts w:cs="Arial"/>
          <w:szCs w:val="20"/>
        </w:rPr>
        <w:t xml:space="preserve">n </w:t>
      </w:r>
      <w:r w:rsidRPr="00BA29AC">
        <w:rPr>
          <w:rFonts w:cs="Arial"/>
          <w:szCs w:val="20"/>
        </w:rPr>
        <w:t>contains the following special conditions:</w:t>
      </w:r>
    </w:p>
    <w:p w14:paraId="384788C5" w14:textId="6D69D6EF" w:rsidR="002A2C70" w:rsidRPr="00BA29AC" w:rsidRDefault="002A2C70" w:rsidP="009A70E0">
      <w:pPr>
        <w:keepNext/>
        <w:keepLines/>
        <w:shd w:val="clear" w:color="auto" w:fill="FFFFFF"/>
        <w:spacing w:line="240" w:lineRule="auto"/>
        <w:rPr>
          <w:rFonts w:cs="Arial"/>
          <w:szCs w:val="20"/>
          <w:lang w:val="en-US"/>
        </w:rPr>
      </w:pPr>
      <w:r w:rsidRPr="00BA29AC">
        <w:rPr>
          <w:rFonts w:cs="Arial"/>
          <w:szCs w:val="20"/>
        </w:rPr>
        <w:t>The day</w:t>
      </w:r>
      <w:r w:rsidR="00F23759">
        <w:rPr>
          <w:rFonts w:cs="Arial"/>
          <w:szCs w:val="20"/>
        </w:rPr>
        <w:t>-</w:t>
      </w:r>
      <w:r w:rsidRPr="00BA29AC">
        <w:rPr>
          <w:rFonts w:cs="Arial"/>
          <w:szCs w:val="20"/>
        </w:rPr>
        <w:t>time urban coverage area (10 mV/m) of this transmission is described as that area within a radius of 14 k</w:t>
      </w:r>
      <w:r w:rsidR="00964100">
        <w:rPr>
          <w:rFonts w:cs="Arial"/>
          <w:szCs w:val="20"/>
        </w:rPr>
        <w:t>m</w:t>
      </w:r>
      <w:r w:rsidRPr="00BA29AC">
        <w:rPr>
          <w:rFonts w:cs="Arial"/>
          <w:szCs w:val="20"/>
        </w:rPr>
        <w:t xml:space="preserve"> measured from a point with the following AMG co-ordinates: Zone: 56; Easting: 344219; Northing: 6300644. This point is the same as the nominal transmitter site.</w:t>
      </w:r>
    </w:p>
    <w:p w14:paraId="146CD005" w14:textId="77777777" w:rsidR="00A84CCA" w:rsidRDefault="002A2C70" w:rsidP="00A84CCA">
      <w:pPr>
        <w:shd w:val="clear" w:color="auto" w:fill="FFFFFF"/>
        <w:spacing w:line="240" w:lineRule="auto"/>
        <w:rPr>
          <w:rFonts w:cs="Arial"/>
          <w:szCs w:val="20"/>
          <w:lang w:val="en-US"/>
        </w:rPr>
      </w:pPr>
      <w:r w:rsidRPr="00BA29AC">
        <w:rPr>
          <w:rFonts w:cs="Arial"/>
          <w:szCs w:val="20"/>
        </w:rPr>
        <w:t>The specified radiation pattern is for daytime operation.</w:t>
      </w:r>
      <w:r w:rsidR="00A84CCA">
        <w:rPr>
          <w:rFonts w:cs="Arial"/>
          <w:szCs w:val="20"/>
        </w:rPr>
        <w:t xml:space="preserve"> </w:t>
      </w:r>
      <w:r w:rsidRPr="00BA29AC">
        <w:rPr>
          <w:rFonts w:cs="Arial"/>
          <w:szCs w:val="20"/>
        </w:rPr>
        <w:t>The licensee must comply with the specification from one hour after local sunrise to one hour before local sunset, as defined at the transmitter site on the 15th day of each month.</w:t>
      </w:r>
    </w:p>
    <w:p w14:paraId="3789735C" w14:textId="0479DEF9" w:rsidR="002A2C70" w:rsidRPr="009A70E0" w:rsidRDefault="002A2C70" w:rsidP="00A84CCA">
      <w:pPr>
        <w:shd w:val="clear" w:color="auto" w:fill="FFFFFF"/>
        <w:spacing w:line="240" w:lineRule="auto"/>
        <w:rPr>
          <w:rFonts w:cs="Arial"/>
          <w:b/>
          <w:bCs/>
          <w:szCs w:val="20"/>
          <w:lang w:val="en-US"/>
        </w:rPr>
      </w:pPr>
      <w:proofErr w:type="gramStart"/>
      <w:r w:rsidRPr="009A70E0">
        <w:rPr>
          <w:rFonts w:cs="Arial"/>
          <w:b/>
          <w:bCs/>
          <w:szCs w:val="20"/>
        </w:rPr>
        <w:t>Night</w:t>
      </w:r>
      <w:r w:rsidR="00964100" w:rsidRPr="009A70E0">
        <w:rPr>
          <w:rFonts w:cs="Arial"/>
          <w:b/>
          <w:bCs/>
          <w:szCs w:val="20"/>
        </w:rPr>
        <w:t xml:space="preserve"> </w:t>
      </w:r>
      <w:r w:rsidRPr="009A70E0">
        <w:rPr>
          <w:rFonts w:cs="Arial"/>
          <w:b/>
          <w:bCs/>
          <w:szCs w:val="20"/>
        </w:rPr>
        <w:t>time</w:t>
      </w:r>
      <w:proofErr w:type="gramEnd"/>
      <w:r w:rsidRPr="009A70E0">
        <w:rPr>
          <w:rFonts w:cs="Arial"/>
          <w:b/>
          <w:bCs/>
          <w:szCs w:val="20"/>
        </w:rPr>
        <w:t xml:space="preserve"> </w:t>
      </w:r>
      <w:r w:rsidR="00A92D20">
        <w:rPr>
          <w:rFonts w:cs="Arial"/>
          <w:b/>
          <w:bCs/>
          <w:szCs w:val="20"/>
        </w:rPr>
        <w:t>O</w:t>
      </w:r>
      <w:r w:rsidRPr="009A70E0">
        <w:rPr>
          <w:rFonts w:cs="Arial"/>
          <w:b/>
          <w:bCs/>
          <w:szCs w:val="20"/>
        </w:rPr>
        <w:t xml:space="preserve">utput </w:t>
      </w:r>
      <w:r w:rsidR="00A92D20">
        <w:rPr>
          <w:rFonts w:cs="Arial"/>
          <w:b/>
          <w:bCs/>
          <w:szCs w:val="20"/>
        </w:rPr>
        <w:t>R</w:t>
      </w:r>
      <w:r w:rsidRPr="009A70E0">
        <w:rPr>
          <w:rFonts w:cs="Arial"/>
          <w:b/>
          <w:bCs/>
          <w:szCs w:val="20"/>
        </w:rPr>
        <w:t xml:space="preserve">adiation </w:t>
      </w:r>
      <w:r w:rsidR="00A92D20">
        <w:rPr>
          <w:rFonts w:cs="Arial"/>
          <w:b/>
          <w:bCs/>
          <w:szCs w:val="20"/>
        </w:rPr>
        <w:t>P</w:t>
      </w:r>
      <w:r w:rsidRPr="009A70E0">
        <w:rPr>
          <w:rFonts w:cs="Arial"/>
          <w:b/>
          <w:bCs/>
          <w:szCs w:val="20"/>
        </w:rPr>
        <w:t>attern: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4"/>
        <w:gridCol w:w="2596"/>
        <w:gridCol w:w="2602"/>
      </w:tblGrid>
      <w:tr w:rsidR="002A2C70" w:rsidRPr="00421DB4" w14:paraId="794888E1" w14:textId="77777777" w:rsidTr="002A2C70">
        <w:tc>
          <w:tcPr>
            <w:tcW w:w="2835" w:type="dxa"/>
            <w:tcBorders>
              <w:top w:val="single" w:sz="8" w:space="0" w:color="auto"/>
              <w:left w:val="nil"/>
              <w:bottom w:val="single" w:sz="8" w:space="0" w:color="auto"/>
              <w:right w:val="nil"/>
            </w:tcBorders>
            <w:tcMar>
              <w:top w:w="0" w:type="dxa"/>
              <w:left w:w="108" w:type="dxa"/>
              <w:bottom w:w="0" w:type="dxa"/>
              <w:right w:w="108" w:type="dxa"/>
            </w:tcMar>
            <w:hideMark/>
          </w:tcPr>
          <w:p w14:paraId="2F1B5941" w14:textId="09CD0BB2" w:rsidR="002A2C70" w:rsidRPr="009A70E0" w:rsidRDefault="002A2C70" w:rsidP="002A2C70">
            <w:pPr>
              <w:spacing w:line="240" w:lineRule="auto"/>
              <w:jc w:val="center"/>
              <w:rPr>
                <w:rFonts w:cs="Arial"/>
                <w:szCs w:val="20"/>
              </w:rPr>
            </w:pPr>
            <w:r w:rsidRPr="009A70E0">
              <w:rPr>
                <w:rFonts w:cs="Arial"/>
                <w:szCs w:val="20"/>
              </w:rPr>
              <w:t xml:space="preserve">Bearing or </w:t>
            </w:r>
            <w:r w:rsidR="00421DB4">
              <w:rPr>
                <w:rFonts w:cs="Arial"/>
                <w:szCs w:val="20"/>
              </w:rPr>
              <w:t>S</w:t>
            </w:r>
            <w:r w:rsidRPr="009A70E0">
              <w:rPr>
                <w:rFonts w:cs="Arial"/>
                <w:szCs w:val="20"/>
              </w:rPr>
              <w:t xml:space="preserve">ector </w:t>
            </w:r>
            <w:r w:rsidR="00964100" w:rsidRPr="009A70E0">
              <w:rPr>
                <w:rFonts w:cs="Arial"/>
                <w:szCs w:val="20"/>
              </w:rPr>
              <w:br/>
            </w:r>
            <w:r w:rsidRPr="009A70E0">
              <w:rPr>
                <w:rFonts w:cs="Arial"/>
                <w:szCs w:val="20"/>
              </w:rPr>
              <w:t>(</w:t>
            </w:r>
            <w:r w:rsidR="00421DB4">
              <w:rPr>
                <w:rFonts w:cs="Arial"/>
                <w:szCs w:val="20"/>
              </w:rPr>
              <w:t>C</w:t>
            </w:r>
            <w:r w:rsidRPr="009A70E0">
              <w:rPr>
                <w:rFonts w:cs="Arial"/>
                <w:szCs w:val="20"/>
              </w:rPr>
              <w:t>lockwise direction)</w:t>
            </w:r>
          </w:p>
        </w:tc>
        <w:tc>
          <w:tcPr>
            <w:tcW w:w="2835" w:type="dxa"/>
            <w:tcBorders>
              <w:top w:val="single" w:sz="8" w:space="0" w:color="auto"/>
              <w:left w:val="nil"/>
              <w:bottom w:val="single" w:sz="8" w:space="0" w:color="auto"/>
              <w:right w:val="nil"/>
            </w:tcBorders>
            <w:tcMar>
              <w:top w:w="0" w:type="dxa"/>
              <w:left w:w="108" w:type="dxa"/>
              <w:bottom w:w="0" w:type="dxa"/>
              <w:right w:w="108" w:type="dxa"/>
            </w:tcMar>
            <w:hideMark/>
          </w:tcPr>
          <w:p w14:paraId="473BDB5E" w14:textId="77777777" w:rsidR="002A2C70" w:rsidRPr="009A70E0" w:rsidRDefault="002A2C70" w:rsidP="002A2C70">
            <w:pPr>
              <w:spacing w:line="240" w:lineRule="auto"/>
              <w:jc w:val="center"/>
              <w:rPr>
                <w:rFonts w:cs="Arial"/>
                <w:szCs w:val="20"/>
              </w:rPr>
            </w:pPr>
            <w:r w:rsidRPr="009A70E0">
              <w:rPr>
                <w:rFonts w:cs="Arial"/>
                <w:szCs w:val="20"/>
              </w:rPr>
              <w:t>Elevation</w:t>
            </w:r>
          </w:p>
        </w:tc>
        <w:tc>
          <w:tcPr>
            <w:tcW w:w="2835" w:type="dxa"/>
            <w:tcBorders>
              <w:top w:val="single" w:sz="8" w:space="0" w:color="auto"/>
              <w:left w:val="nil"/>
              <w:bottom w:val="single" w:sz="8" w:space="0" w:color="auto"/>
              <w:right w:val="nil"/>
            </w:tcBorders>
            <w:tcMar>
              <w:top w:w="0" w:type="dxa"/>
              <w:left w:w="108" w:type="dxa"/>
              <w:bottom w:w="0" w:type="dxa"/>
              <w:right w:w="108" w:type="dxa"/>
            </w:tcMar>
            <w:hideMark/>
          </w:tcPr>
          <w:p w14:paraId="5E5B8D4C" w14:textId="77777777" w:rsidR="002A2C70" w:rsidRPr="009A70E0" w:rsidRDefault="002A2C70" w:rsidP="002A2C70">
            <w:pPr>
              <w:spacing w:line="240" w:lineRule="auto"/>
              <w:jc w:val="center"/>
              <w:rPr>
                <w:rFonts w:cs="Arial"/>
                <w:szCs w:val="20"/>
              </w:rPr>
            </w:pPr>
            <w:r w:rsidRPr="009A70E0">
              <w:rPr>
                <w:rFonts w:cs="Arial"/>
                <w:szCs w:val="20"/>
              </w:rPr>
              <w:t>Maximum CMF</w:t>
            </w:r>
          </w:p>
        </w:tc>
      </w:tr>
      <w:tr w:rsidR="002A2C70" w:rsidRPr="00421DB4" w14:paraId="7A971C3A" w14:textId="77777777" w:rsidTr="002A2C70">
        <w:tc>
          <w:tcPr>
            <w:tcW w:w="2835" w:type="dxa"/>
            <w:tcBorders>
              <w:top w:val="nil"/>
              <w:left w:val="nil"/>
              <w:bottom w:val="single" w:sz="8" w:space="0" w:color="auto"/>
              <w:right w:val="nil"/>
            </w:tcBorders>
            <w:tcMar>
              <w:top w:w="0" w:type="dxa"/>
              <w:left w:w="108" w:type="dxa"/>
              <w:bottom w:w="0" w:type="dxa"/>
              <w:right w:w="108" w:type="dxa"/>
            </w:tcMar>
            <w:hideMark/>
          </w:tcPr>
          <w:p w14:paraId="6EB80BA2" w14:textId="77777777" w:rsidR="002A2C70" w:rsidRPr="009A70E0" w:rsidRDefault="002A2C70" w:rsidP="002A2C70">
            <w:pPr>
              <w:spacing w:line="240" w:lineRule="auto"/>
              <w:rPr>
                <w:rFonts w:cs="Arial"/>
                <w:szCs w:val="20"/>
              </w:rPr>
            </w:pPr>
            <w:r w:rsidRPr="009A70E0">
              <w:rPr>
                <w:rFonts w:cs="Arial"/>
                <w:szCs w:val="20"/>
              </w:rPr>
              <w:t>At all angles of azimuth</w:t>
            </w:r>
          </w:p>
        </w:tc>
        <w:tc>
          <w:tcPr>
            <w:tcW w:w="2835" w:type="dxa"/>
            <w:tcBorders>
              <w:top w:val="nil"/>
              <w:left w:val="nil"/>
              <w:bottom w:val="single" w:sz="8" w:space="0" w:color="auto"/>
              <w:right w:val="nil"/>
            </w:tcBorders>
            <w:tcMar>
              <w:top w:w="0" w:type="dxa"/>
              <w:left w:w="108" w:type="dxa"/>
              <w:bottom w:w="0" w:type="dxa"/>
              <w:right w:w="108" w:type="dxa"/>
            </w:tcMar>
            <w:hideMark/>
          </w:tcPr>
          <w:p w14:paraId="25A33546" w14:textId="77777777" w:rsidR="002A2C70" w:rsidRPr="009A70E0" w:rsidRDefault="002A2C70" w:rsidP="009A70E0">
            <w:pPr>
              <w:spacing w:line="240" w:lineRule="auto"/>
              <w:jc w:val="center"/>
              <w:rPr>
                <w:rFonts w:cs="Arial"/>
                <w:szCs w:val="20"/>
              </w:rPr>
            </w:pPr>
            <w:r w:rsidRPr="009A70E0">
              <w:rPr>
                <w:rFonts w:cs="Arial"/>
                <w:szCs w:val="20"/>
              </w:rPr>
              <w:t>0</w:t>
            </w:r>
          </w:p>
        </w:tc>
        <w:tc>
          <w:tcPr>
            <w:tcW w:w="2835" w:type="dxa"/>
            <w:tcBorders>
              <w:top w:val="nil"/>
              <w:left w:val="nil"/>
              <w:bottom w:val="single" w:sz="8" w:space="0" w:color="auto"/>
              <w:right w:val="nil"/>
            </w:tcBorders>
            <w:tcMar>
              <w:top w:w="0" w:type="dxa"/>
              <w:left w:w="108" w:type="dxa"/>
              <w:bottom w:w="0" w:type="dxa"/>
              <w:right w:w="108" w:type="dxa"/>
            </w:tcMar>
            <w:hideMark/>
          </w:tcPr>
          <w:p w14:paraId="013F75CE" w14:textId="77777777" w:rsidR="002A2C70" w:rsidRPr="009A70E0" w:rsidRDefault="002A2C70" w:rsidP="009A70E0">
            <w:pPr>
              <w:spacing w:line="240" w:lineRule="auto"/>
              <w:jc w:val="center"/>
              <w:rPr>
                <w:rFonts w:cs="Arial"/>
                <w:szCs w:val="20"/>
              </w:rPr>
            </w:pPr>
            <w:r w:rsidRPr="009A70E0">
              <w:rPr>
                <w:rFonts w:cs="Arial"/>
                <w:szCs w:val="20"/>
              </w:rPr>
              <w:t>140 V</w:t>
            </w:r>
          </w:p>
        </w:tc>
      </w:tr>
    </w:tbl>
    <w:p w14:paraId="029BF9C0" w14:textId="1A465B05" w:rsidR="00932AB3" w:rsidRPr="009A70E0" w:rsidRDefault="002A2C70" w:rsidP="002A2C70">
      <w:pPr>
        <w:shd w:val="clear" w:color="auto" w:fill="FFFFFF"/>
        <w:spacing w:line="240" w:lineRule="auto"/>
        <w:rPr>
          <w:rFonts w:cs="Arial"/>
          <w:b/>
          <w:bCs/>
          <w:szCs w:val="20"/>
        </w:rPr>
      </w:pPr>
      <w:r w:rsidRPr="009A70E0">
        <w:rPr>
          <w:rFonts w:cs="Arial"/>
          <w:szCs w:val="20"/>
        </w:rPr>
        <w:br/>
      </w:r>
      <w:r w:rsidRPr="009A70E0">
        <w:rPr>
          <w:rFonts w:cs="Arial"/>
          <w:b/>
          <w:bCs/>
          <w:szCs w:val="20"/>
        </w:rPr>
        <w:t xml:space="preserve">Special </w:t>
      </w:r>
      <w:r w:rsidR="00964100" w:rsidRPr="009A70E0">
        <w:rPr>
          <w:rFonts w:cs="Arial"/>
          <w:b/>
          <w:bCs/>
          <w:szCs w:val="20"/>
        </w:rPr>
        <w:t>c</w:t>
      </w:r>
      <w:r w:rsidRPr="009A70E0">
        <w:rPr>
          <w:rFonts w:cs="Arial"/>
          <w:b/>
          <w:bCs/>
          <w:szCs w:val="20"/>
        </w:rPr>
        <w:t>onditions</w:t>
      </w:r>
      <w:r w:rsidR="00932AB3" w:rsidRPr="009A70E0">
        <w:rPr>
          <w:rFonts w:cs="Arial"/>
          <w:b/>
          <w:bCs/>
          <w:szCs w:val="20"/>
        </w:rPr>
        <w:t>:</w:t>
      </w:r>
    </w:p>
    <w:p w14:paraId="5B200B4A" w14:textId="6A0E1427" w:rsidR="002A2C70" w:rsidRPr="009A70E0" w:rsidRDefault="002A2C70" w:rsidP="002A2C70">
      <w:pPr>
        <w:shd w:val="clear" w:color="auto" w:fill="FFFFFF"/>
        <w:spacing w:line="240" w:lineRule="auto"/>
        <w:rPr>
          <w:rFonts w:cs="Arial"/>
          <w:szCs w:val="20"/>
          <w:lang w:val="en-US"/>
        </w:rPr>
      </w:pPr>
      <w:r w:rsidRPr="009A70E0">
        <w:rPr>
          <w:rFonts w:cs="Arial"/>
          <w:szCs w:val="20"/>
        </w:rPr>
        <w:t xml:space="preserve">The </w:t>
      </w:r>
      <w:proofErr w:type="gramStart"/>
      <w:r w:rsidRPr="009A70E0">
        <w:rPr>
          <w:rFonts w:cs="Arial"/>
          <w:szCs w:val="20"/>
        </w:rPr>
        <w:t>night</w:t>
      </w:r>
      <w:r w:rsidR="00964100" w:rsidRPr="009A70E0">
        <w:rPr>
          <w:rFonts w:cs="Arial"/>
          <w:szCs w:val="20"/>
        </w:rPr>
        <w:t xml:space="preserve"> </w:t>
      </w:r>
      <w:r w:rsidRPr="009A70E0">
        <w:rPr>
          <w:rFonts w:cs="Arial"/>
          <w:szCs w:val="20"/>
        </w:rPr>
        <w:t>time</w:t>
      </w:r>
      <w:proofErr w:type="gramEnd"/>
      <w:r w:rsidRPr="009A70E0">
        <w:rPr>
          <w:rFonts w:cs="Arial"/>
          <w:szCs w:val="20"/>
        </w:rPr>
        <w:t xml:space="preserve"> coverage area (32 mV/m) of this transmission is described as that area within a radius of </w:t>
      </w:r>
      <w:r w:rsidR="00964100" w:rsidRPr="009A70E0">
        <w:rPr>
          <w:rFonts w:cs="Arial"/>
          <w:szCs w:val="20"/>
        </w:rPr>
        <w:t>4 km</w:t>
      </w:r>
      <w:r w:rsidRPr="009A70E0">
        <w:rPr>
          <w:rFonts w:cs="Arial"/>
          <w:szCs w:val="20"/>
        </w:rPr>
        <w:t xml:space="preserve"> measured from a point with the following AMG co-ordinates: Zone: 56; Easting: 344219; Northing: 6300644. This point is the same as the nominal transmitter site.</w:t>
      </w:r>
    </w:p>
    <w:p w14:paraId="775DF03E" w14:textId="4E0131CB" w:rsidR="002A2C70" w:rsidRPr="009A70E0" w:rsidRDefault="002A2C70" w:rsidP="002A2C70">
      <w:pPr>
        <w:shd w:val="clear" w:color="auto" w:fill="FFFFFF"/>
        <w:spacing w:line="240" w:lineRule="auto"/>
        <w:rPr>
          <w:rFonts w:cs="Arial"/>
          <w:szCs w:val="20"/>
          <w:lang w:val="en-US"/>
        </w:rPr>
      </w:pPr>
      <w:r w:rsidRPr="009A70E0">
        <w:rPr>
          <w:rFonts w:cs="Arial"/>
          <w:szCs w:val="20"/>
        </w:rPr>
        <w:t xml:space="preserve">The specified radiation pattern is for </w:t>
      </w:r>
      <w:proofErr w:type="gramStart"/>
      <w:r w:rsidRPr="009A70E0">
        <w:rPr>
          <w:rFonts w:cs="Arial"/>
          <w:szCs w:val="20"/>
        </w:rPr>
        <w:t>night</w:t>
      </w:r>
      <w:r w:rsidR="00964100" w:rsidRPr="009A70E0">
        <w:rPr>
          <w:rFonts w:cs="Arial"/>
          <w:szCs w:val="20"/>
        </w:rPr>
        <w:t xml:space="preserve"> </w:t>
      </w:r>
      <w:r w:rsidRPr="009A70E0">
        <w:rPr>
          <w:rFonts w:cs="Arial"/>
          <w:szCs w:val="20"/>
        </w:rPr>
        <w:t>time</w:t>
      </w:r>
      <w:proofErr w:type="gramEnd"/>
      <w:r w:rsidRPr="009A70E0">
        <w:rPr>
          <w:rFonts w:cs="Arial"/>
          <w:szCs w:val="20"/>
        </w:rPr>
        <w:t xml:space="preserve"> operation.</w:t>
      </w:r>
      <w:r w:rsidRPr="009A70E0">
        <w:rPr>
          <w:rFonts w:cs="Arial" w:hint="eastAsia"/>
          <w:szCs w:val="20"/>
        </w:rPr>
        <w:t> </w:t>
      </w:r>
      <w:r w:rsidRPr="009A70E0">
        <w:rPr>
          <w:rFonts w:cs="Arial"/>
          <w:szCs w:val="20"/>
        </w:rPr>
        <w:t>The licensee must comply with the specification from one hour before local sunset to one hour after local sunrise, as defined at the transmitter site on the 15th day of each month.</w:t>
      </w:r>
    </w:p>
    <w:p w14:paraId="55FA1C3A" w14:textId="77777777" w:rsidR="003330FC" w:rsidRPr="003330FC" w:rsidRDefault="003330FC" w:rsidP="00DC53B2">
      <w:pPr>
        <w:keepNext/>
        <w:spacing w:after="60"/>
        <w:ind w:left="-142" w:firstLine="142"/>
        <w:rPr>
          <w:b/>
          <w:bCs/>
        </w:rPr>
      </w:pPr>
      <w:r>
        <w:rPr>
          <w:b/>
          <w:bCs/>
        </w:rPr>
        <w:t>The Broadcasting Services Act</w:t>
      </w:r>
    </w:p>
    <w:p w14:paraId="7719B555" w14:textId="77777777" w:rsidR="00AC1863" w:rsidRDefault="003330FC" w:rsidP="00EE009A">
      <w:pPr>
        <w:keepNext/>
        <w:rPr>
          <w:lang w:eastAsia="en-US"/>
        </w:rPr>
      </w:pPr>
      <w:r>
        <w:t xml:space="preserve">The Broadcasting Services Act regulates the content to be transmitted under the Hobart and Gosford HPONs. </w:t>
      </w:r>
      <w:r>
        <w:rPr>
          <w:lang w:eastAsia="en-US"/>
        </w:rPr>
        <w:t>The Hobart and Gosford HPONs are subject to regulatory arrangements under the Broadcasting Services Act</w:t>
      </w:r>
      <w:r w:rsidR="00303313">
        <w:rPr>
          <w:lang w:eastAsia="en-US"/>
        </w:rPr>
        <w:t>, including:</w:t>
      </w:r>
    </w:p>
    <w:p w14:paraId="304E7D09" w14:textId="77777777" w:rsidR="003330FC" w:rsidRDefault="00303313" w:rsidP="009A70E0">
      <w:pPr>
        <w:pStyle w:val="Bulletlevel1"/>
      </w:pPr>
      <w:r>
        <w:t>Schedule 2, Part A of the Broadcasting Services Act, regarding conditions applicable to all broadcasting services</w:t>
      </w:r>
    </w:p>
    <w:p w14:paraId="4E1F7F30" w14:textId="77777777" w:rsidR="00303313" w:rsidRPr="00F03E63" w:rsidRDefault="00303313" w:rsidP="009A70E0">
      <w:pPr>
        <w:pStyle w:val="Bulletlevel1"/>
      </w:pPr>
      <w:r>
        <w:t xml:space="preserve">Schedule 2, Part 7 of the Broadcasting Services Act, regarding the conditions </w:t>
      </w:r>
      <w:r w:rsidRPr="00F03E63">
        <w:t xml:space="preserve">applicable to open narrowcasting services </w:t>
      </w:r>
    </w:p>
    <w:p w14:paraId="295F21C4" w14:textId="77777777" w:rsidR="00F03E63" w:rsidRPr="00F03E63" w:rsidRDefault="00F03E63" w:rsidP="009A70E0">
      <w:pPr>
        <w:pStyle w:val="Bulletlevel1"/>
      </w:pPr>
      <w:r w:rsidRPr="00163FAD">
        <w:t>the Broadcasting Services Clarification Notice 2016</w:t>
      </w:r>
    </w:p>
    <w:p w14:paraId="419F2110" w14:textId="30E06236" w:rsidR="00303313" w:rsidRDefault="00F03E63" w:rsidP="009A70E0">
      <w:pPr>
        <w:pStyle w:val="Bulletlevel1last"/>
      </w:pPr>
      <w:r>
        <w:t>c</w:t>
      </w:r>
      <w:r w:rsidR="00303313">
        <w:t>odes of practice developed by the Australian Narrowcast Radio Association (ANRA)</w:t>
      </w:r>
      <w:r w:rsidR="00964100">
        <w:t>.</w:t>
      </w:r>
      <w:r w:rsidR="008738EF">
        <w:rPr>
          <w:rStyle w:val="FootnoteReference"/>
        </w:rPr>
        <w:footnoteReference w:id="2"/>
      </w:r>
      <w:r w:rsidR="008738EF" w:rsidDel="008738EF">
        <w:t xml:space="preserve"> </w:t>
      </w:r>
    </w:p>
    <w:p w14:paraId="741B290A" w14:textId="79CEF9EA" w:rsidR="00F03E63" w:rsidRDefault="002A23D3" w:rsidP="005C34EF">
      <w:pPr>
        <w:pStyle w:val="Heading2"/>
      </w:pPr>
      <w:bookmarkStart w:id="10" w:name="_Toc74905618"/>
      <w:r>
        <w:t xml:space="preserve">Duration </w:t>
      </w:r>
      <w:r w:rsidR="003E0510">
        <w:t xml:space="preserve">and licence </w:t>
      </w:r>
      <w:r>
        <w:t>renewal</w:t>
      </w:r>
      <w:bookmarkEnd w:id="10"/>
    </w:p>
    <w:p w14:paraId="71BA3341" w14:textId="2A45B0A5" w:rsidR="00267385" w:rsidRPr="00267385" w:rsidRDefault="000A3C57" w:rsidP="00267385">
      <w:pPr>
        <w:pStyle w:val="Paragraph"/>
      </w:pPr>
      <w:r>
        <w:t xml:space="preserve">The Hobart and Gosford licences will be issued for </w:t>
      </w:r>
      <w:r w:rsidR="00DC53B2">
        <w:t>5</w:t>
      </w:r>
      <w:r w:rsidR="001B6E42">
        <w:t>-</w:t>
      </w:r>
      <w:r>
        <w:t xml:space="preserve">year terms, but may be renewed, subject to legislative constraints. These constraints include the duration of section 34 determinations, </w:t>
      </w:r>
      <w:r w:rsidR="00173BE3">
        <w:t>under which spectrum for the licences is made available for</w:t>
      </w:r>
      <w:r w:rsidR="0003426E">
        <w:t> </w:t>
      </w:r>
      <w:r w:rsidR="00173BE3">
        <w:t xml:space="preserve">allocation. </w:t>
      </w:r>
    </w:p>
    <w:p w14:paraId="5DD89925" w14:textId="4BCFED86" w:rsidR="006F48E8" w:rsidRDefault="006F48E8" w:rsidP="009A70E0">
      <w:pPr>
        <w:pStyle w:val="Heading3"/>
        <w:keepLines/>
        <w:rPr>
          <w:rFonts w:cs="Times New Roman"/>
          <w:b w:val="0"/>
          <w:bCs w:val="0"/>
          <w:iCs/>
          <w:szCs w:val="24"/>
        </w:rPr>
      </w:pPr>
      <w:r w:rsidRPr="006F48E8">
        <w:rPr>
          <w:rFonts w:cs="Times New Roman"/>
          <w:szCs w:val="24"/>
        </w:rPr>
        <w:lastRenderedPageBreak/>
        <w:t>Section 34 determinations</w:t>
      </w:r>
    </w:p>
    <w:p w14:paraId="51024B5C" w14:textId="27440103" w:rsidR="00F03E63" w:rsidRDefault="003E0510" w:rsidP="009A70E0">
      <w:pPr>
        <w:pStyle w:val="Heading3"/>
        <w:keepLines/>
        <w:rPr>
          <w:rFonts w:cs="Times New Roman"/>
          <w:b w:val="0"/>
          <w:bCs w:val="0"/>
          <w:iCs/>
          <w:szCs w:val="24"/>
        </w:rPr>
      </w:pPr>
      <w:r>
        <w:rPr>
          <w:rFonts w:cs="Times New Roman"/>
          <w:b w:val="0"/>
          <w:bCs w:val="0"/>
          <w:iCs/>
          <w:szCs w:val="24"/>
        </w:rPr>
        <w:t>Section 34 determinations allow the ACMA to make radiofrequency spectrum in the broadcasting services band available for allocation for purposes specified in section 34 of the Broadcasting Services Act, for specified periods. The purposes listed in section</w:t>
      </w:r>
      <w:r w:rsidR="0003426E">
        <w:rPr>
          <w:rFonts w:cs="Times New Roman"/>
          <w:b w:val="0"/>
          <w:bCs w:val="0"/>
          <w:iCs/>
          <w:szCs w:val="24"/>
        </w:rPr>
        <w:t> </w:t>
      </w:r>
      <w:r>
        <w:rPr>
          <w:rFonts w:cs="Times New Roman"/>
          <w:b w:val="0"/>
          <w:bCs w:val="0"/>
          <w:iCs/>
          <w:szCs w:val="24"/>
        </w:rPr>
        <w:t xml:space="preserve">34 include providing open narrowcasting services. </w:t>
      </w:r>
      <w:r w:rsidR="007858AE">
        <w:rPr>
          <w:rFonts w:cs="Times New Roman"/>
          <w:b w:val="0"/>
          <w:bCs w:val="0"/>
          <w:iCs/>
          <w:szCs w:val="24"/>
        </w:rPr>
        <w:t>The ACMA has made section</w:t>
      </w:r>
      <w:r w:rsidR="0003426E">
        <w:rPr>
          <w:rFonts w:cs="Times New Roman"/>
          <w:b w:val="0"/>
          <w:bCs w:val="0"/>
          <w:iCs/>
          <w:szCs w:val="24"/>
        </w:rPr>
        <w:t> </w:t>
      </w:r>
      <w:r w:rsidR="007858AE">
        <w:rPr>
          <w:rFonts w:cs="Times New Roman"/>
          <w:b w:val="0"/>
          <w:bCs w:val="0"/>
          <w:iCs/>
          <w:szCs w:val="24"/>
        </w:rPr>
        <w:t>34 determinations</w:t>
      </w:r>
      <w:r w:rsidR="001F1212">
        <w:rPr>
          <w:rFonts w:cs="Times New Roman"/>
          <w:b w:val="0"/>
          <w:bCs w:val="0"/>
          <w:iCs/>
          <w:szCs w:val="24"/>
        </w:rPr>
        <w:t xml:space="preserve"> – </w:t>
      </w:r>
      <w:r w:rsidR="00714EB4">
        <w:rPr>
          <w:rFonts w:cs="Times New Roman"/>
          <w:b w:val="0"/>
          <w:bCs w:val="0"/>
          <w:iCs/>
          <w:szCs w:val="24"/>
        </w:rPr>
        <w:t>see the register of section 34 determinations on the notice of allocation web page</w:t>
      </w:r>
      <w:r w:rsidR="001F1212">
        <w:rPr>
          <w:rFonts w:cs="Times New Roman"/>
          <w:b w:val="0"/>
          <w:bCs w:val="0"/>
          <w:iCs/>
          <w:szCs w:val="24"/>
        </w:rPr>
        <w:t xml:space="preserve"> – </w:t>
      </w:r>
      <w:r w:rsidR="007858AE">
        <w:rPr>
          <w:rFonts w:cs="Times New Roman"/>
          <w:b w:val="0"/>
          <w:bCs w:val="0"/>
          <w:iCs/>
          <w:szCs w:val="24"/>
        </w:rPr>
        <w:t xml:space="preserve">to make spectrum available for the </w:t>
      </w:r>
      <w:r w:rsidR="00E87F1C">
        <w:rPr>
          <w:rFonts w:cs="Times New Roman"/>
          <w:b w:val="0"/>
          <w:bCs w:val="0"/>
          <w:iCs/>
          <w:szCs w:val="24"/>
        </w:rPr>
        <w:t>Gosford and</w:t>
      </w:r>
      <w:r w:rsidR="00267385">
        <w:rPr>
          <w:rFonts w:cs="Times New Roman"/>
          <w:b w:val="0"/>
          <w:bCs w:val="0"/>
          <w:iCs/>
          <w:szCs w:val="24"/>
        </w:rPr>
        <w:t xml:space="preserve"> Hobart</w:t>
      </w:r>
      <w:r w:rsidR="00E87F1C">
        <w:rPr>
          <w:rFonts w:cs="Times New Roman"/>
          <w:b w:val="0"/>
          <w:bCs w:val="0"/>
          <w:iCs/>
          <w:szCs w:val="24"/>
        </w:rPr>
        <w:t xml:space="preserve"> HPON licences</w:t>
      </w:r>
      <w:r w:rsidR="007858AE">
        <w:rPr>
          <w:rFonts w:cs="Times New Roman"/>
          <w:b w:val="0"/>
          <w:bCs w:val="0"/>
          <w:iCs/>
          <w:szCs w:val="24"/>
        </w:rPr>
        <w:t>.</w:t>
      </w:r>
      <w:r w:rsidR="00E87F1C">
        <w:rPr>
          <w:rFonts w:cs="Times New Roman"/>
          <w:b w:val="0"/>
          <w:bCs w:val="0"/>
          <w:iCs/>
          <w:szCs w:val="24"/>
        </w:rPr>
        <w:t xml:space="preserve"> </w:t>
      </w:r>
      <w:r w:rsidR="00267385">
        <w:rPr>
          <w:rFonts w:cs="Times New Roman"/>
          <w:b w:val="0"/>
          <w:bCs w:val="0"/>
          <w:iCs/>
          <w:szCs w:val="24"/>
        </w:rPr>
        <w:t>Both the Gosford and Hobart s</w:t>
      </w:r>
      <w:r w:rsidR="00AB4F35">
        <w:rPr>
          <w:rFonts w:cs="Times New Roman"/>
          <w:b w:val="0"/>
          <w:bCs w:val="0"/>
          <w:iCs/>
          <w:szCs w:val="24"/>
        </w:rPr>
        <w:t xml:space="preserve">ection </w:t>
      </w:r>
      <w:r w:rsidR="00267385">
        <w:rPr>
          <w:rFonts w:cs="Times New Roman"/>
          <w:b w:val="0"/>
          <w:bCs w:val="0"/>
          <w:iCs/>
          <w:szCs w:val="24"/>
        </w:rPr>
        <w:t xml:space="preserve">34 </w:t>
      </w:r>
      <w:r w:rsidR="0003426E">
        <w:rPr>
          <w:rFonts w:cs="Times New Roman"/>
          <w:b w:val="0"/>
          <w:bCs w:val="0"/>
          <w:iCs/>
          <w:szCs w:val="24"/>
        </w:rPr>
        <w:t>d</w:t>
      </w:r>
      <w:r w:rsidR="00267385">
        <w:rPr>
          <w:rFonts w:cs="Times New Roman"/>
          <w:b w:val="0"/>
          <w:bCs w:val="0"/>
          <w:iCs/>
          <w:szCs w:val="24"/>
        </w:rPr>
        <w:t xml:space="preserve">eterminations have </w:t>
      </w:r>
      <w:bookmarkStart w:id="11" w:name="_Hlk33087130"/>
      <w:r w:rsidR="00267385">
        <w:rPr>
          <w:rFonts w:cs="Times New Roman"/>
          <w:b w:val="0"/>
          <w:bCs w:val="0"/>
          <w:iCs/>
          <w:szCs w:val="24"/>
        </w:rPr>
        <w:t xml:space="preserve">made spectrum available </w:t>
      </w:r>
      <w:bookmarkEnd w:id="11"/>
      <w:r w:rsidR="00267385">
        <w:rPr>
          <w:rFonts w:cs="Times New Roman"/>
          <w:b w:val="0"/>
          <w:bCs w:val="0"/>
          <w:iCs/>
          <w:szCs w:val="24"/>
        </w:rPr>
        <w:t xml:space="preserve">until </w:t>
      </w:r>
      <w:r w:rsidR="0051398B">
        <w:rPr>
          <w:rFonts w:cs="Times New Roman"/>
          <w:b w:val="0"/>
          <w:bCs w:val="0"/>
          <w:iCs/>
          <w:szCs w:val="24"/>
        </w:rPr>
        <w:t>31</w:t>
      </w:r>
      <w:r w:rsidR="0023168F">
        <w:rPr>
          <w:rFonts w:cs="Times New Roman"/>
          <w:b w:val="0"/>
          <w:bCs w:val="0"/>
          <w:iCs/>
          <w:szCs w:val="24"/>
        </w:rPr>
        <w:t xml:space="preserve"> </w:t>
      </w:r>
      <w:r w:rsidR="0051398B">
        <w:rPr>
          <w:rFonts w:cs="Times New Roman"/>
          <w:b w:val="0"/>
          <w:bCs w:val="0"/>
          <w:iCs/>
          <w:szCs w:val="24"/>
        </w:rPr>
        <w:t>December</w:t>
      </w:r>
      <w:r w:rsidR="0023168F">
        <w:rPr>
          <w:rFonts w:cs="Times New Roman"/>
          <w:b w:val="0"/>
          <w:bCs w:val="0"/>
          <w:iCs/>
          <w:szCs w:val="24"/>
        </w:rPr>
        <w:t xml:space="preserve"> 202</w:t>
      </w:r>
      <w:r w:rsidR="0051398B">
        <w:rPr>
          <w:rFonts w:cs="Times New Roman"/>
          <w:b w:val="0"/>
          <w:bCs w:val="0"/>
          <w:iCs/>
          <w:szCs w:val="24"/>
        </w:rPr>
        <w:t>6</w:t>
      </w:r>
      <w:r w:rsidR="00267385">
        <w:rPr>
          <w:rFonts w:cs="Times New Roman"/>
          <w:b w:val="0"/>
          <w:bCs w:val="0"/>
          <w:iCs/>
          <w:szCs w:val="24"/>
        </w:rPr>
        <w:t xml:space="preserve">. </w:t>
      </w:r>
      <w:r w:rsidR="00C77664">
        <w:rPr>
          <w:rFonts w:cs="Times New Roman"/>
          <w:b w:val="0"/>
          <w:bCs w:val="0"/>
          <w:iCs/>
          <w:szCs w:val="24"/>
        </w:rPr>
        <w:t xml:space="preserve">The Hobart and Gosford HPON licences cannot be renewed beyond this </w:t>
      </w:r>
      <w:proofErr w:type="gramStart"/>
      <w:r w:rsidR="00C77664">
        <w:rPr>
          <w:rFonts w:cs="Times New Roman"/>
          <w:b w:val="0"/>
          <w:bCs w:val="0"/>
          <w:iCs/>
          <w:szCs w:val="24"/>
        </w:rPr>
        <w:t>date, unless</w:t>
      </w:r>
      <w:proofErr w:type="gramEnd"/>
      <w:r w:rsidR="00C77664">
        <w:rPr>
          <w:rFonts w:cs="Times New Roman"/>
          <w:b w:val="0"/>
          <w:bCs w:val="0"/>
          <w:iCs/>
          <w:szCs w:val="24"/>
        </w:rPr>
        <w:t xml:space="preserve"> the </w:t>
      </w:r>
      <w:r w:rsidR="0003426E">
        <w:rPr>
          <w:rFonts w:cs="Times New Roman"/>
          <w:b w:val="0"/>
          <w:bCs w:val="0"/>
          <w:iCs/>
          <w:szCs w:val="24"/>
        </w:rPr>
        <w:t>d</w:t>
      </w:r>
      <w:r w:rsidR="00C77664">
        <w:rPr>
          <w:rFonts w:cs="Times New Roman"/>
          <w:b w:val="0"/>
          <w:bCs w:val="0"/>
          <w:iCs/>
          <w:szCs w:val="24"/>
        </w:rPr>
        <w:t>eterminations are extended at or before their</w:t>
      </w:r>
      <w:r w:rsidR="0003426E">
        <w:rPr>
          <w:rFonts w:cs="Times New Roman"/>
          <w:b w:val="0"/>
          <w:bCs w:val="0"/>
          <w:iCs/>
          <w:szCs w:val="24"/>
        </w:rPr>
        <w:t> </w:t>
      </w:r>
      <w:r w:rsidR="00C77664">
        <w:rPr>
          <w:rFonts w:cs="Times New Roman"/>
          <w:b w:val="0"/>
          <w:bCs w:val="0"/>
          <w:iCs/>
          <w:szCs w:val="24"/>
        </w:rPr>
        <w:t>expiry.</w:t>
      </w:r>
      <w:r w:rsidR="00F80DA9">
        <w:rPr>
          <w:rFonts w:cs="Times New Roman"/>
          <w:b w:val="0"/>
          <w:bCs w:val="0"/>
          <w:iCs/>
          <w:szCs w:val="24"/>
        </w:rPr>
        <w:br/>
      </w:r>
      <w:r w:rsidR="00C77664">
        <w:rPr>
          <w:rFonts w:cs="Times New Roman"/>
          <w:b w:val="0"/>
          <w:bCs w:val="0"/>
          <w:iCs/>
          <w:szCs w:val="24"/>
        </w:rPr>
        <w:t xml:space="preserve"> </w:t>
      </w:r>
    </w:p>
    <w:p w14:paraId="50B59F9C" w14:textId="31D7D435" w:rsidR="006F48E8" w:rsidRPr="00F80DA9" w:rsidRDefault="006F48E8" w:rsidP="00EA4A87">
      <w:pPr>
        <w:pStyle w:val="Heading3"/>
        <w:rPr>
          <w:rFonts w:cs="Times New Roman"/>
          <w:szCs w:val="24"/>
        </w:rPr>
      </w:pPr>
      <w:r w:rsidRPr="00F80DA9">
        <w:rPr>
          <w:rFonts w:cs="Times New Roman"/>
          <w:szCs w:val="24"/>
        </w:rPr>
        <w:t>Renewing HPON licences</w:t>
      </w:r>
    </w:p>
    <w:p w14:paraId="2557B5A9" w14:textId="7DF170D8" w:rsidR="00CD1B03" w:rsidRDefault="0069326C" w:rsidP="009A70E0">
      <w:pPr>
        <w:pStyle w:val="Paragraphbeforelist"/>
      </w:pPr>
      <w:r>
        <w:t xml:space="preserve">Licensees may apply to renew a licence up to </w:t>
      </w:r>
      <w:r w:rsidR="00DC53B2">
        <w:t>6</w:t>
      </w:r>
      <w:r>
        <w:t xml:space="preserve"> months before a licence is due to expire, until 60 days after expiry. The ACMA considers applications under s</w:t>
      </w:r>
      <w:r w:rsidR="00AB4F35">
        <w:t xml:space="preserve">ection </w:t>
      </w:r>
      <w:r>
        <w:t>130 of</w:t>
      </w:r>
      <w:r w:rsidR="0003426E">
        <w:t> </w:t>
      </w:r>
      <w:r>
        <w:t xml:space="preserve">the Radiocommunications Act. The ACMA must also consider the </w:t>
      </w:r>
      <w:r w:rsidRPr="00CF3ED6">
        <w:t>Radiocommunications Act</w:t>
      </w:r>
      <w:r w:rsidRPr="0069326C">
        <w:rPr>
          <w:i/>
          <w:iCs/>
        </w:rPr>
        <w:t xml:space="preserve"> </w:t>
      </w:r>
      <w:r w:rsidRPr="000201CE">
        <w:t>and the</w:t>
      </w:r>
      <w:r w:rsidRPr="0069326C">
        <w:rPr>
          <w:i/>
          <w:iCs/>
        </w:rPr>
        <w:t xml:space="preserve"> </w:t>
      </w:r>
      <w:r w:rsidRPr="009A70E0">
        <w:t>Australian Communications Authority (HPON Transmitter Licences) Direction No. 1 of 2001</w:t>
      </w:r>
      <w:r w:rsidRPr="0069326C">
        <w:t xml:space="preserve"> (the HPON Direction)</w:t>
      </w:r>
      <w:r>
        <w:t>, which</w:t>
      </w:r>
      <w:r w:rsidR="0003426E">
        <w:t xml:space="preserve"> states</w:t>
      </w:r>
      <w:r>
        <w:t xml:space="preserve"> that:</w:t>
      </w:r>
    </w:p>
    <w:p w14:paraId="33726499" w14:textId="4DFE0FAD" w:rsidR="0069326C" w:rsidRPr="000A3D2E" w:rsidRDefault="0069326C" w:rsidP="009A70E0">
      <w:pPr>
        <w:pStyle w:val="Bulletlevel1"/>
      </w:pPr>
      <w:r w:rsidRPr="000A3D2E">
        <w:t>the ACMA must not refuse to renew a HPON on the basis of a general policy that HPONs should be issued under a price-based allocation system</w:t>
      </w:r>
    </w:p>
    <w:p w14:paraId="468A1C78" w14:textId="26AC48D3" w:rsidR="0069326C" w:rsidRPr="000A3D2E" w:rsidRDefault="0069326C" w:rsidP="009A70E0">
      <w:pPr>
        <w:pStyle w:val="Bulletlevel1last"/>
      </w:pPr>
      <w:r w:rsidRPr="000A3D2E">
        <w:t>where the ACMA decides to renew a HPON licence, the ACMA must specify a period that ends at the same time as the period specified under the relevant section</w:t>
      </w:r>
      <w:r w:rsidR="0003426E">
        <w:t> </w:t>
      </w:r>
      <w:r w:rsidRPr="000A3D2E">
        <w:t>34 determination pertaining to that licence, subject to s</w:t>
      </w:r>
      <w:r w:rsidR="001E1813">
        <w:t xml:space="preserve">ection </w:t>
      </w:r>
      <w:r w:rsidRPr="000A3D2E">
        <w:t>103(3)</w:t>
      </w:r>
      <w:r w:rsidRPr="000A3D2E">
        <w:rPr>
          <w:vertAlign w:val="superscript"/>
        </w:rPr>
        <w:footnoteReference w:id="3"/>
      </w:r>
      <w:r w:rsidRPr="000A3D2E">
        <w:t xml:space="preserve"> of the Radiocommunications Act.</w:t>
      </w:r>
    </w:p>
    <w:p w14:paraId="7BD59B07" w14:textId="5BCC7986" w:rsidR="0069326C" w:rsidRPr="00DA4386" w:rsidRDefault="00DA4386" w:rsidP="009A70E0">
      <w:pPr>
        <w:pStyle w:val="Heading2"/>
      </w:pPr>
      <w:bookmarkStart w:id="12" w:name="_Toc74905619"/>
      <w:r w:rsidRPr="00DA4386">
        <w:t>Licence fees</w:t>
      </w:r>
      <w:bookmarkEnd w:id="12"/>
    </w:p>
    <w:p w14:paraId="57314329" w14:textId="77777777" w:rsidR="00506A23" w:rsidRDefault="00506A23" w:rsidP="00506A23">
      <w:r w:rsidRPr="00B37D69">
        <w:t xml:space="preserve">Prior to the issue of a new </w:t>
      </w:r>
      <w:r>
        <w:t xml:space="preserve">transmitter </w:t>
      </w:r>
      <w:r w:rsidRPr="00B37D69">
        <w:t xml:space="preserve">licence, licensees are required to pay an annual tax for each year for which the licence has been issued. Licensees have the option of paying </w:t>
      </w:r>
      <w:r>
        <w:t>the total applicable tax</w:t>
      </w:r>
      <w:r w:rsidRPr="00B37D69">
        <w:t xml:space="preserve"> </w:t>
      </w:r>
      <w:r>
        <w:t xml:space="preserve">amount </w:t>
      </w:r>
      <w:r w:rsidRPr="00B37D69">
        <w:t>in a single up-front payment or in annual instalments. Th</w:t>
      </w:r>
      <w:r>
        <w:t xml:space="preserve">e annual tax amount </w:t>
      </w:r>
      <w:r w:rsidRPr="00B37D69">
        <w:t xml:space="preserve">is </w:t>
      </w:r>
      <w:r>
        <w:t>imposed</w:t>
      </w:r>
      <w:r w:rsidRPr="00B37D69">
        <w:t xml:space="preserve"> </w:t>
      </w:r>
      <w:r>
        <w:t xml:space="preserve">under the </w:t>
      </w:r>
      <w:r w:rsidRPr="00827E91">
        <w:rPr>
          <w:i/>
          <w:iCs/>
        </w:rPr>
        <w:t>Radiocommunications (Transmitter Licence Tax) Act 1983</w:t>
      </w:r>
      <w:r>
        <w:rPr>
          <w:i/>
          <w:iCs/>
        </w:rPr>
        <w:t xml:space="preserve"> </w:t>
      </w:r>
      <w:r>
        <w:t xml:space="preserve">and is set out in Part 8 of Schedule 2 to the </w:t>
      </w:r>
      <w:r w:rsidRPr="009A70E0">
        <w:t>Radiocommunications (Transmitter Licence Tax) Determination 2015</w:t>
      </w:r>
      <w:r>
        <w:rPr>
          <w:i/>
          <w:iCs/>
        </w:rPr>
        <w:t xml:space="preserve"> </w:t>
      </w:r>
      <w:r>
        <w:t>at section 802</w:t>
      </w:r>
      <w:r w:rsidRPr="00B37D69">
        <w:t xml:space="preserve">. </w:t>
      </w:r>
    </w:p>
    <w:p w14:paraId="17EA6C24" w14:textId="77777777" w:rsidR="00506A23" w:rsidRDefault="00506A23" w:rsidP="009A70E0">
      <w:pPr>
        <w:pStyle w:val="Paragraph"/>
      </w:pPr>
      <w:r>
        <w:t>The current HPON licence tax amounts for Hobart and Gosford are as below:</w:t>
      </w:r>
    </w:p>
    <w:tbl>
      <w:tblPr>
        <w:tblStyle w:val="ACMAtablestyle"/>
        <w:tblW w:w="5000" w:type="pct"/>
        <w:tblInd w:w="113" w:type="dxa"/>
        <w:tblLayout w:type="fixed"/>
        <w:tblLook w:val="01E0" w:firstRow="1" w:lastRow="1" w:firstColumn="1" w:lastColumn="1" w:noHBand="0" w:noVBand="0"/>
      </w:tblPr>
      <w:tblGrid>
        <w:gridCol w:w="2382"/>
        <w:gridCol w:w="2710"/>
        <w:gridCol w:w="2710"/>
      </w:tblGrid>
      <w:tr w:rsidR="007B2EA8" w14:paraId="5FAE97CB" w14:textId="77777777" w:rsidTr="007B2EA8">
        <w:trPr>
          <w:cnfStyle w:val="100000000000" w:firstRow="1" w:lastRow="0" w:firstColumn="0" w:lastColumn="0" w:oddVBand="0" w:evenVBand="0" w:oddHBand="0" w:evenHBand="0" w:firstRowFirstColumn="0" w:firstRowLastColumn="0" w:lastRowFirstColumn="0" w:lastRowLastColumn="0"/>
        </w:trPr>
        <w:tc>
          <w:tcPr>
            <w:tcW w:w="3576" w:type="dxa"/>
            <w:hideMark/>
          </w:tcPr>
          <w:p w14:paraId="6B09A735" w14:textId="77777777" w:rsidR="007B2EA8" w:rsidRDefault="007B2EA8">
            <w:pPr>
              <w:pStyle w:val="Tableheaderrow"/>
            </w:pPr>
            <w:r>
              <w:t>Licence area</w:t>
            </w:r>
          </w:p>
        </w:tc>
        <w:tc>
          <w:tcPr>
            <w:tcW w:w="4085" w:type="dxa"/>
            <w:hideMark/>
          </w:tcPr>
          <w:p w14:paraId="6C608514" w14:textId="77777777" w:rsidR="007B2EA8" w:rsidRDefault="007B2EA8">
            <w:pPr>
              <w:pStyle w:val="Tableheaderrow"/>
            </w:pPr>
            <w:r>
              <w:t>Annual tax amount</w:t>
            </w:r>
          </w:p>
        </w:tc>
        <w:tc>
          <w:tcPr>
            <w:tcW w:w="4085" w:type="dxa"/>
            <w:hideMark/>
          </w:tcPr>
          <w:p w14:paraId="4DDE2E9A" w14:textId="110C2618" w:rsidR="007B2EA8" w:rsidRDefault="007B2EA8">
            <w:pPr>
              <w:pStyle w:val="Tableheaderrow"/>
            </w:pPr>
            <w:r>
              <w:t xml:space="preserve">Total tax amount for </w:t>
            </w:r>
            <w:r>
              <w:br/>
            </w:r>
            <w:r w:rsidR="00DC53B2">
              <w:t>5</w:t>
            </w:r>
            <w:r>
              <w:t>-year licence</w:t>
            </w:r>
          </w:p>
        </w:tc>
      </w:tr>
      <w:tr w:rsidR="007B2EA8" w14:paraId="12E749C2" w14:textId="77777777" w:rsidTr="001F1212">
        <w:trPr>
          <w:cnfStyle w:val="000000100000" w:firstRow="0" w:lastRow="0" w:firstColumn="0" w:lastColumn="0" w:oddVBand="0" w:evenVBand="0" w:oddHBand="1" w:evenHBand="0" w:firstRowFirstColumn="0" w:firstRowLastColumn="0" w:lastRowFirstColumn="0" w:lastRowLastColumn="0"/>
        </w:trPr>
        <w:tc>
          <w:tcPr>
            <w:tcW w:w="3576" w:type="dxa"/>
            <w:tcBorders>
              <w:top w:val="single" w:sz="4" w:space="0" w:color="auto"/>
              <w:left w:val="single" w:sz="4" w:space="0" w:color="auto"/>
              <w:bottom w:val="single" w:sz="4" w:space="0" w:color="auto"/>
              <w:right w:val="single" w:sz="4" w:space="0" w:color="auto"/>
            </w:tcBorders>
            <w:hideMark/>
          </w:tcPr>
          <w:p w14:paraId="48023C62" w14:textId="77777777" w:rsidR="007B2EA8" w:rsidRDefault="007B2EA8">
            <w:pPr>
              <w:pStyle w:val="TableBody"/>
            </w:pPr>
            <w:r>
              <w:t>Hobart</w:t>
            </w:r>
          </w:p>
        </w:tc>
        <w:tc>
          <w:tcPr>
            <w:tcW w:w="4085" w:type="dxa"/>
            <w:tcBorders>
              <w:top w:val="single" w:sz="4" w:space="0" w:color="auto"/>
              <w:left w:val="single" w:sz="4" w:space="0" w:color="auto"/>
              <w:bottom w:val="single" w:sz="4" w:space="0" w:color="auto"/>
              <w:right w:val="single" w:sz="4" w:space="0" w:color="auto"/>
            </w:tcBorders>
            <w:hideMark/>
          </w:tcPr>
          <w:p w14:paraId="18D35C30" w14:textId="63DBBC25" w:rsidR="007B2EA8" w:rsidRDefault="007B2EA8">
            <w:pPr>
              <w:pStyle w:val="TableBody"/>
            </w:pPr>
            <w:r>
              <w:t>$1,677</w:t>
            </w:r>
          </w:p>
        </w:tc>
        <w:tc>
          <w:tcPr>
            <w:tcW w:w="4085" w:type="dxa"/>
            <w:tcBorders>
              <w:top w:val="single" w:sz="4" w:space="0" w:color="auto"/>
              <w:left w:val="single" w:sz="4" w:space="0" w:color="auto"/>
              <w:bottom w:val="single" w:sz="4" w:space="0" w:color="auto"/>
              <w:right w:val="single" w:sz="4" w:space="0" w:color="auto"/>
            </w:tcBorders>
            <w:hideMark/>
          </w:tcPr>
          <w:p w14:paraId="7F845614" w14:textId="7FCDC92E" w:rsidR="007B2EA8" w:rsidRDefault="007B2EA8">
            <w:pPr>
              <w:pStyle w:val="TableBody"/>
            </w:pPr>
            <w:r>
              <w:t>$8,385</w:t>
            </w:r>
          </w:p>
        </w:tc>
      </w:tr>
      <w:tr w:rsidR="007B2EA8" w14:paraId="062F0E63" w14:textId="77777777" w:rsidTr="001F1212">
        <w:trPr>
          <w:cnfStyle w:val="000000010000" w:firstRow="0" w:lastRow="0" w:firstColumn="0" w:lastColumn="0" w:oddVBand="0" w:evenVBand="0" w:oddHBand="0" w:evenHBand="1" w:firstRowFirstColumn="0" w:firstRowLastColumn="0" w:lastRowFirstColumn="0" w:lastRowLastColumn="0"/>
        </w:trPr>
        <w:tc>
          <w:tcPr>
            <w:tcW w:w="3576" w:type="dxa"/>
            <w:tcBorders>
              <w:top w:val="single" w:sz="4" w:space="0" w:color="auto"/>
              <w:left w:val="single" w:sz="4" w:space="0" w:color="auto"/>
              <w:bottom w:val="single" w:sz="4" w:space="0" w:color="auto"/>
              <w:right w:val="single" w:sz="4" w:space="0" w:color="auto"/>
            </w:tcBorders>
            <w:hideMark/>
          </w:tcPr>
          <w:p w14:paraId="4E056121" w14:textId="77777777" w:rsidR="007B2EA8" w:rsidRDefault="007B2EA8">
            <w:pPr>
              <w:pStyle w:val="TableBody"/>
            </w:pPr>
            <w:r>
              <w:t>Gosford</w:t>
            </w:r>
          </w:p>
        </w:tc>
        <w:tc>
          <w:tcPr>
            <w:tcW w:w="4085" w:type="dxa"/>
            <w:tcBorders>
              <w:top w:val="single" w:sz="4" w:space="0" w:color="auto"/>
              <w:left w:val="single" w:sz="4" w:space="0" w:color="auto"/>
              <w:bottom w:val="single" w:sz="4" w:space="0" w:color="auto"/>
              <w:right w:val="single" w:sz="4" w:space="0" w:color="auto"/>
            </w:tcBorders>
            <w:hideMark/>
          </w:tcPr>
          <w:p w14:paraId="3F6C1E08" w14:textId="14ABDF93" w:rsidR="007B2EA8" w:rsidRDefault="007B2EA8">
            <w:pPr>
              <w:pStyle w:val="TableBody"/>
            </w:pPr>
            <w:r>
              <w:t>$3,809</w:t>
            </w:r>
          </w:p>
        </w:tc>
        <w:tc>
          <w:tcPr>
            <w:tcW w:w="4085" w:type="dxa"/>
            <w:tcBorders>
              <w:top w:val="single" w:sz="4" w:space="0" w:color="auto"/>
              <w:left w:val="single" w:sz="4" w:space="0" w:color="auto"/>
              <w:bottom w:val="single" w:sz="4" w:space="0" w:color="auto"/>
              <w:right w:val="single" w:sz="4" w:space="0" w:color="auto"/>
            </w:tcBorders>
            <w:hideMark/>
          </w:tcPr>
          <w:p w14:paraId="31C8FA17" w14:textId="20ACD99B" w:rsidR="007B2EA8" w:rsidRDefault="007B2EA8">
            <w:pPr>
              <w:pStyle w:val="TableBody"/>
            </w:pPr>
            <w:r>
              <w:t>$19,045</w:t>
            </w:r>
          </w:p>
        </w:tc>
      </w:tr>
    </w:tbl>
    <w:p w14:paraId="13BDC067" w14:textId="578455F9" w:rsidR="00506A23" w:rsidRPr="00B37D69" w:rsidRDefault="00F80DA9" w:rsidP="00506A23">
      <w:r>
        <w:br/>
      </w:r>
      <w:r w:rsidR="00506A23">
        <w:t>If a licensee pays the applicable annual tax amount by instalment, an instalment charge of $</w:t>
      </w:r>
      <w:r w:rsidR="0003426E">
        <w:t>4</w:t>
      </w:r>
      <w:r w:rsidR="00506A23">
        <w:t xml:space="preserve"> is charged for each instalment.</w:t>
      </w:r>
      <w:r w:rsidR="00927480">
        <w:rPr>
          <w:rStyle w:val="FootnoteReference"/>
        </w:rPr>
        <w:footnoteReference w:id="4"/>
      </w:r>
      <w:r w:rsidR="00506A23">
        <w:t xml:space="preserve"> </w:t>
      </w:r>
    </w:p>
    <w:p w14:paraId="77466756" w14:textId="2B7B680B" w:rsidR="00506A23" w:rsidRPr="001F0EAD" w:rsidRDefault="00506A23" w:rsidP="00506A23">
      <w:r>
        <w:t>If the ACMA renews a HPON licence</w:t>
      </w:r>
      <w:r w:rsidRPr="00B37D69">
        <w:t xml:space="preserve">, licensees </w:t>
      </w:r>
      <w:r>
        <w:t>are</w:t>
      </w:r>
      <w:r w:rsidRPr="00B37D69">
        <w:t xml:space="preserve"> required to pay a renewal</w:t>
      </w:r>
      <w:r w:rsidR="0023168F">
        <w:t xml:space="preserve"> </w:t>
      </w:r>
      <w:r w:rsidRPr="00B37D69">
        <w:t>fee</w:t>
      </w:r>
      <w:r>
        <w:t xml:space="preserve"> of $4</w:t>
      </w:r>
      <w:r w:rsidR="0003426E">
        <w:t> </w:t>
      </w:r>
      <w:r w:rsidRPr="00B37D69">
        <w:t xml:space="preserve">and </w:t>
      </w:r>
      <w:r>
        <w:t>the applicable</w:t>
      </w:r>
      <w:r w:rsidRPr="00B37D69">
        <w:t xml:space="preserve"> annual tax </w:t>
      </w:r>
      <w:r>
        <w:t xml:space="preserve">amount </w:t>
      </w:r>
      <w:r w:rsidRPr="00B37D69">
        <w:t xml:space="preserve">for each year for which </w:t>
      </w:r>
      <w:r w:rsidRPr="001F0EAD">
        <w:t>the licence has been</w:t>
      </w:r>
      <w:r w:rsidR="0003426E">
        <w:t> </w:t>
      </w:r>
      <w:r w:rsidRPr="001F0EAD">
        <w:t>renewed.</w:t>
      </w:r>
      <w:r w:rsidR="001B5EA8" w:rsidRPr="001F0EAD">
        <w:rPr>
          <w:rStyle w:val="FootnoteReference"/>
        </w:rPr>
        <w:footnoteReference w:id="5"/>
      </w:r>
    </w:p>
    <w:p w14:paraId="779DDE6E" w14:textId="4E5EF0C8" w:rsidR="00D9549D" w:rsidRPr="003D088B" w:rsidRDefault="00D9549D" w:rsidP="00D9549D">
      <w:r w:rsidRPr="001F0EAD">
        <w:rPr>
          <w:color w:val="000000"/>
        </w:rPr>
        <w:lastRenderedPageBreak/>
        <w:t>All payments for apparatus licences by price-based allocation</w:t>
      </w:r>
      <w:r w:rsidRPr="001F0EAD">
        <w:t xml:space="preserve"> are </w:t>
      </w:r>
      <w:r w:rsidRPr="00CF3ED6">
        <w:rPr>
          <w:bCs/>
        </w:rPr>
        <w:t>exempt</w:t>
      </w:r>
      <w:r w:rsidRPr="001F0EAD">
        <w:t xml:space="preserve"> from the application of the GST, including the application fee and the winning bid price.</w:t>
      </w:r>
      <w:r w:rsidR="00CF3ED6">
        <w:t xml:space="preserve"> </w:t>
      </w:r>
      <w:r w:rsidRPr="001F0EAD">
        <w:t>The issue, renewal and instalment charges are also exempt from the application of the GST.</w:t>
      </w:r>
      <w:r w:rsidRPr="003D088B">
        <w:t xml:space="preserve"> </w:t>
      </w:r>
    </w:p>
    <w:p w14:paraId="1209692E" w14:textId="385349A2" w:rsidR="005D24E6" w:rsidRDefault="005D24E6" w:rsidP="009A70E0">
      <w:pPr>
        <w:pStyle w:val="Heading2"/>
      </w:pPr>
      <w:bookmarkStart w:id="13" w:name="_Toc74905620"/>
      <w:r w:rsidRPr="005D24E6">
        <w:t>Third</w:t>
      </w:r>
      <w:r w:rsidR="0003426E">
        <w:t>-</w:t>
      </w:r>
      <w:r w:rsidRPr="005D24E6">
        <w:t>party authorisation</w:t>
      </w:r>
      <w:bookmarkEnd w:id="13"/>
    </w:p>
    <w:p w14:paraId="5FE8A9F4" w14:textId="6E3CAB4F" w:rsidR="00A36199" w:rsidRDefault="000A3D2E" w:rsidP="00421295">
      <w:pPr>
        <w:keepNext/>
        <w:keepLines/>
        <w:rPr>
          <w:rFonts w:cs="Arial"/>
          <w:szCs w:val="20"/>
        </w:rPr>
      </w:pPr>
      <w:r w:rsidRPr="000A3D2E">
        <w:rPr>
          <w:rFonts w:cs="Arial"/>
          <w:szCs w:val="20"/>
        </w:rPr>
        <w:t>HPON licensees may authorise third</w:t>
      </w:r>
      <w:r w:rsidR="0003426E">
        <w:rPr>
          <w:rFonts w:cs="Arial"/>
          <w:szCs w:val="20"/>
        </w:rPr>
        <w:t>-</w:t>
      </w:r>
      <w:r w:rsidRPr="000A3D2E">
        <w:rPr>
          <w:rFonts w:cs="Arial"/>
          <w:szCs w:val="20"/>
        </w:rPr>
        <w:t>party users of their transmitter licence under section 114 of the Radiocommunications Act. HPON licensees must keep records of any such authorisation</w:t>
      </w:r>
      <w:r>
        <w:rPr>
          <w:rFonts w:cs="Arial"/>
          <w:szCs w:val="20"/>
        </w:rPr>
        <w:t>.</w:t>
      </w:r>
    </w:p>
    <w:p w14:paraId="79B62774" w14:textId="40A2D6DD" w:rsidR="000A3D2E" w:rsidRDefault="000A3D2E" w:rsidP="009A70E0">
      <w:pPr>
        <w:pStyle w:val="Heading2"/>
      </w:pPr>
      <w:bookmarkStart w:id="14" w:name="_Toc74905621"/>
      <w:r w:rsidRPr="000A3D2E">
        <w:t>Technical specifications</w:t>
      </w:r>
      <w:r w:rsidR="001F1212">
        <w:t xml:space="preserve"> – </w:t>
      </w:r>
      <w:r w:rsidRPr="000A3D2E">
        <w:t>Gosford and Hobart HPONs</w:t>
      </w:r>
      <w:bookmarkEnd w:id="14"/>
      <w:r w:rsidRPr="000A3D2E">
        <w:t xml:space="preserve"> </w:t>
      </w:r>
    </w:p>
    <w:p w14:paraId="6FC4AB40" w14:textId="0B545E88" w:rsidR="00B835F3" w:rsidRDefault="000A3D2E" w:rsidP="005D24E6">
      <w:pPr>
        <w:rPr>
          <w:rFonts w:cs="Arial"/>
          <w:szCs w:val="20"/>
        </w:rPr>
      </w:pPr>
      <w:r>
        <w:rPr>
          <w:rFonts w:cs="Arial"/>
          <w:szCs w:val="20"/>
        </w:rPr>
        <w:t xml:space="preserve">Technical specifications for the Gosford and Hobart HPONs are provided </w:t>
      </w:r>
      <w:r w:rsidR="00B835F3">
        <w:rPr>
          <w:rFonts w:cs="Arial"/>
          <w:szCs w:val="20"/>
        </w:rPr>
        <w:t>below</w:t>
      </w:r>
      <w:r>
        <w:rPr>
          <w:rFonts w:cs="Arial"/>
          <w:szCs w:val="20"/>
        </w:rPr>
        <w:t xml:space="preserve">. </w:t>
      </w:r>
    </w:p>
    <w:p w14:paraId="3EBB4F90" w14:textId="5E456752" w:rsidR="00B835F3" w:rsidRPr="00B835F3" w:rsidRDefault="00B835F3" w:rsidP="00B835F3">
      <w:pPr>
        <w:pStyle w:val="Heading3"/>
        <w:rPr>
          <w:rFonts w:cs="Times New Roman"/>
          <w:szCs w:val="24"/>
        </w:rPr>
      </w:pPr>
      <w:r w:rsidRPr="00B835F3">
        <w:rPr>
          <w:rFonts w:cs="Times New Roman"/>
          <w:szCs w:val="24"/>
        </w:rPr>
        <w:t>Hobart HPON</w:t>
      </w:r>
    </w:p>
    <w:p w14:paraId="1670F062" w14:textId="38450AEA" w:rsidR="00B71DAA" w:rsidRPr="00B71DAA" w:rsidRDefault="00B71DAA" w:rsidP="00B71DAA">
      <w:pPr>
        <w:rPr>
          <w:rFonts w:cs="Arial"/>
          <w:szCs w:val="20"/>
        </w:rPr>
      </w:pPr>
      <w:r w:rsidRPr="00804DFF">
        <w:t>LICENCE AREA PLAN :Hobart Radio</w:t>
      </w:r>
      <w:r>
        <w:rPr>
          <w:lang w:val="en-US"/>
        </w:rPr>
        <w:br/>
      </w:r>
      <w:r w:rsidRPr="00B71DAA">
        <w:rPr>
          <w:rFonts w:cs="Arial"/>
          <w:szCs w:val="20"/>
        </w:rPr>
        <w:t>Category:</w:t>
      </w:r>
      <w:r>
        <w:rPr>
          <w:rFonts w:cs="Arial"/>
          <w:szCs w:val="20"/>
        </w:rPr>
        <w:t xml:space="preserve"> </w:t>
      </w:r>
      <w:r w:rsidRPr="00B71DAA">
        <w:rPr>
          <w:rFonts w:cs="Arial"/>
          <w:szCs w:val="20"/>
        </w:rPr>
        <w:t>Open Narrowcasting</w:t>
      </w:r>
      <w:r>
        <w:rPr>
          <w:rFonts w:cs="Arial"/>
          <w:szCs w:val="20"/>
        </w:rPr>
        <w:br/>
      </w:r>
      <w:r w:rsidRPr="00B71DAA">
        <w:rPr>
          <w:rFonts w:cs="Arial"/>
          <w:szCs w:val="20"/>
        </w:rPr>
        <w:t>General Area Served</w:t>
      </w:r>
      <w:r>
        <w:rPr>
          <w:rFonts w:cs="Arial"/>
          <w:szCs w:val="20"/>
        </w:rPr>
        <w:t xml:space="preserve">: </w:t>
      </w:r>
      <w:r w:rsidRPr="00B71DAA">
        <w:rPr>
          <w:rFonts w:cs="Arial"/>
          <w:szCs w:val="20"/>
        </w:rPr>
        <w:t>Hobart (TAS)</w:t>
      </w:r>
      <w:r>
        <w:rPr>
          <w:rFonts w:cs="Arial"/>
          <w:szCs w:val="20"/>
        </w:rPr>
        <w:br/>
      </w:r>
      <w:r w:rsidRPr="00B71DAA">
        <w:rPr>
          <w:rFonts w:cs="Arial"/>
          <w:szCs w:val="20"/>
        </w:rPr>
        <w:t>Service Licence Number</w:t>
      </w:r>
      <w:r>
        <w:rPr>
          <w:rFonts w:cs="Arial"/>
          <w:szCs w:val="20"/>
        </w:rPr>
        <w:t>:</w:t>
      </w:r>
      <w:r w:rsidRPr="00B71DAA">
        <w:rPr>
          <w:rFonts w:cs="Arial"/>
          <w:szCs w:val="20"/>
        </w:rPr>
        <w:t xml:space="preserve"> Not applicable</w:t>
      </w:r>
    </w:p>
    <w:p w14:paraId="05209B51" w14:textId="77295148" w:rsidR="00275104" w:rsidRDefault="00B71DAA" w:rsidP="00AF6023">
      <w:pPr>
        <w:tabs>
          <w:tab w:val="left" w:pos="993"/>
        </w:tabs>
        <w:rPr>
          <w:rFonts w:cs="Arial"/>
          <w:szCs w:val="20"/>
        </w:rPr>
      </w:pPr>
      <w:r w:rsidRPr="00186F93">
        <w:rPr>
          <w:rFonts w:cs="Arial"/>
          <w:szCs w:val="20"/>
        </w:rPr>
        <w:t>TECHNICAL SPECIFICATION: FM Rad</w:t>
      </w:r>
      <w:r w:rsidRPr="00A75585">
        <w:rPr>
          <w:rFonts w:cs="Arial"/>
          <w:szCs w:val="20"/>
        </w:rPr>
        <w:t>io</w:t>
      </w:r>
      <w:r>
        <w:rPr>
          <w:rFonts w:cs="Arial"/>
          <w:szCs w:val="20"/>
        </w:rPr>
        <w:br/>
      </w:r>
      <w:r w:rsidRPr="00B71DAA">
        <w:rPr>
          <w:rFonts w:cs="Arial"/>
          <w:szCs w:val="20"/>
        </w:rPr>
        <w:t>Specification Number :TS12000277</w:t>
      </w:r>
      <w:r w:rsidR="005D0550">
        <w:rPr>
          <w:rFonts w:cs="Arial"/>
          <w:szCs w:val="20"/>
        </w:rPr>
        <w:br/>
      </w:r>
      <w:r w:rsidR="00FD0001">
        <w:rPr>
          <w:rFonts w:cs="Arial"/>
          <w:szCs w:val="20"/>
        </w:rPr>
        <w:br/>
      </w:r>
      <w:r w:rsidRPr="00A75585">
        <w:rPr>
          <w:rFonts w:cs="Arial"/>
          <w:szCs w:val="20"/>
        </w:rPr>
        <w:t>Transmitter Site :-</w:t>
      </w:r>
      <w:r>
        <w:rPr>
          <w:rFonts w:cs="Arial"/>
          <w:szCs w:val="20"/>
        </w:rPr>
        <w:br/>
      </w:r>
      <w:r w:rsidRPr="00B71DAA">
        <w:rPr>
          <w:rFonts w:cs="Arial"/>
          <w:szCs w:val="20"/>
        </w:rPr>
        <w:t>Nominal Location : Broadcast Australia Site Pinnacle</w:t>
      </w:r>
      <w:r>
        <w:rPr>
          <w:rFonts w:cs="Arial"/>
          <w:szCs w:val="20"/>
        </w:rPr>
        <w:t xml:space="preserve"> </w:t>
      </w:r>
      <w:r w:rsidRPr="00B71DAA">
        <w:rPr>
          <w:rFonts w:cs="Arial"/>
          <w:szCs w:val="20"/>
        </w:rPr>
        <w:t>Rd MT WELLINGTON</w:t>
      </w:r>
      <w:r w:rsidR="00BC35E9">
        <w:rPr>
          <w:rFonts w:cs="Arial"/>
          <w:szCs w:val="20"/>
        </w:rPr>
        <w:br/>
      </w:r>
      <w:r w:rsidRPr="00B71DAA">
        <w:rPr>
          <w:rFonts w:cs="Arial"/>
          <w:szCs w:val="20"/>
        </w:rPr>
        <w:t>Australian Map Grid</w:t>
      </w:r>
      <w:r>
        <w:rPr>
          <w:rFonts w:cs="Arial"/>
          <w:szCs w:val="20"/>
        </w:rPr>
        <w:t>:</w:t>
      </w:r>
      <w:r w:rsidRPr="00B71DAA">
        <w:rPr>
          <w:rFonts w:cs="Arial"/>
          <w:szCs w:val="20"/>
        </w:rPr>
        <w:t xml:space="preserve"> Zone</w:t>
      </w:r>
      <w:r w:rsidR="00BC35E9">
        <w:rPr>
          <w:rFonts w:cs="Arial"/>
          <w:szCs w:val="20"/>
        </w:rPr>
        <w:t xml:space="preserve"> </w:t>
      </w:r>
      <w:r w:rsidR="00BC35E9" w:rsidRPr="00B71DAA">
        <w:rPr>
          <w:rFonts w:cs="Arial"/>
          <w:szCs w:val="20"/>
        </w:rPr>
        <w:t>55</w:t>
      </w:r>
      <w:r>
        <w:rPr>
          <w:rFonts w:cs="Arial"/>
          <w:szCs w:val="20"/>
        </w:rPr>
        <w:t xml:space="preserve"> </w:t>
      </w:r>
      <w:r w:rsidRPr="00B71DAA">
        <w:rPr>
          <w:rFonts w:cs="Arial"/>
          <w:szCs w:val="20"/>
        </w:rPr>
        <w:t xml:space="preserve">Easting </w:t>
      </w:r>
      <w:r w:rsidR="00BC35E9" w:rsidRPr="00B71DAA">
        <w:rPr>
          <w:rFonts w:cs="Arial"/>
          <w:szCs w:val="20"/>
        </w:rPr>
        <w:t>519185</w:t>
      </w:r>
      <w:r w:rsidR="00BC35E9">
        <w:rPr>
          <w:rFonts w:cs="Arial"/>
          <w:szCs w:val="20"/>
        </w:rPr>
        <w:t xml:space="preserve"> </w:t>
      </w:r>
      <w:r w:rsidRPr="00B71DAA">
        <w:rPr>
          <w:rFonts w:cs="Arial"/>
          <w:szCs w:val="20"/>
        </w:rPr>
        <w:t>Northing</w:t>
      </w:r>
      <w:r w:rsidR="00BC35E9">
        <w:rPr>
          <w:rFonts w:cs="Arial"/>
          <w:szCs w:val="20"/>
        </w:rPr>
        <w:t xml:space="preserve"> </w:t>
      </w:r>
      <w:r w:rsidR="00BC35E9" w:rsidRPr="00B71DAA">
        <w:rPr>
          <w:rFonts w:cs="Arial"/>
          <w:szCs w:val="20"/>
        </w:rPr>
        <w:t>525035</w:t>
      </w:r>
      <w:r w:rsidR="00BC35E9">
        <w:rPr>
          <w:rFonts w:cs="Arial"/>
          <w:szCs w:val="20"/>
        </w:rPr>
        <w:t>1</w:t>
      </w:r>
      <w:r w:rsidR="00BC35E9">
        <w:rPr>
          <w:rFonts w:cs="Arial"/>
          <w:szCs w:val="20"/>
        </w:rPr>
        <w:br/>
      </w:r>
      <w:r w:rsidRPr="00B71DAA">
        <w:rPr>
          <w:rFonts w:cs="Arial"/>
          <w:szCs w:val="20"/>
        </w:rPr>
        <w:t>Site Tolerance :Refer to Broadcasting Services (Technical Planning) Guidelines 2017</w:t>
      </w:r>
      <w:r w:rsidR="00BC35E9">
        <w:rPr>
          <w:rFonts w:cs="Arial"/>
          <w:szCs w:val="20"/>
        </w:rPr>
        <w:br/>
      </w:r>
      <w:r w:rsidR="00E75968">
        <w:rPr>
          <w:rFonts w:cs="Arial"/>
          <w:szCs w:val="20"/>
        </w:rPr>
        <w:br/>
      </w:r>
      <w:r w:rsidRPr="00A75585">
        <w:rPr>
          <w:rFonts w:cs="Arial"/>
          <w:szCs w:val="20"/>
        </w:rPr>
        <w:t>Emission :</w:t>
      </w:r>
      <w:r w:rsidR="00BC35E9">
        <w:rPr>
          <w:rFonts w:cs="Arial"/>
          <w:szCs w:val="20"/>
        </w:rPr>
        <w:t xml:space="preserve"> </w:t>
      </w:r>
      <w:r w:rsidR="00B6138C">
        <w:rPr>
          <w:rFonts w:cs="Arial"/>
          <w:szCs w:val="20"/>
        </w:rPr>
        <w:t>-</w:t>
      </w:r>
      <w:r w:rsidR="00FA4936">
        <w:rPr>
          <w:rFonts w:cs="Arial"/>
          <w:szCs w:val="20"/>
        </w:rPr>
        <w:br/>
      </w:r>
      <w:r w:rsidRPr="00B71DAA">
        <w:rPr>
          <w:rFonts w:cs="Arial"/>
          <w:szCs w:val="20"/>
        </w:rPr>
        <w:t>Frequency Band &amp; Mode</w:t>
      </w:r>
      <w:r w:rsidR="00BC35E9">
        <w:rPr>
          <w:rFonts w:cs="Arial"/>
          <w:szCs w:val="20"/>
        </w:rPr>
        <w:t xml:space="preserve">: </w:t>
      </w:r>
      <w:r w:rsidRPr="00B71DAA">
        <w:rPr>
          <w:rFonts w:cs="Arial"/>
          <w:szCs w:val="20"/>
        </w:rPr>
        <w:t>VHF-FM</w:t>
      </w:r>
      <w:r w:rsidR="00BC35E9">
        <w:rPr>
          <w:rFonts w:cs="Arial"/>
          <w:szCs w:val="20"/>
        </w:rPr>
        <w:br/>
      </w:r>
      <w:r w:rsidRPr="00B71DAA">
        <w:rPr>
          <w:rFonts w:cs="Arial"/>
          <w:szCs w:val="20"/>
        </w:rPr>
        <w:t>Carrier Frequency :104.3 MHz</w:t>
      </w:r>
      <w:r w:rsidR="00BC35E9">
        <w:rPr>
          <w:rFonts w:cs="Arial"/>
          <w:szCs w:val="20"/>
        </w:rPr>
        <w:br/>
      </w:r>
      <w:r w:rsidRPr="00B71DAA">
        <w:rPr>
          <w:rFonts w:cs="Arial"/>
          <w:szCs w:val="20"/>
        </w:rPr>
        <w:t>Polarisation :Mixed</w:t>
      </w:r>
      <w:r w:rsidR="00BC35E9">
        <w:rPr>
          <w:rFonts w:cs="Arial"/>
          <w:szCs w:val="20"/>
        </w:rPr>
        <w:br/>
      </w:r>
      <w:r w:rsidRPr="00B71DAA">
        <w:rPr>
          <w:rFonts w:cs="Arial"/>
          <w:szCs w:val="20"/>
        </w:rPr>
        <w:t>Maximum antenna height</w:t>
      </w:r>
      <w:r w:rsidR="00BC35E9">
        <w:rPr>
          <w:rFonts w:cs="Arial"/>
          <w:szCs w:val="20"/>
        </w:rPr>
        <w:t xml:space="preserve">: </w:t>
      </w:r>
      <w:r w:rsidRPr="00B71DAA">
        <w:rPr>
          <w:rFonts w:cs="Arial"/>
          <w:szCs w:val="20"/>
        </w:rPr>
        <w:t>101 m</w:t>
      </w:r>
    </w:p>
    <w:p w14:paraId="2DE91683" w14:textId="41235FD7" w:rsidR="00B71DAA" w:rsidRPr="00BA29AC" w:rsidRDefault="00B71DAA" w:rsidP="00AF6023">
      <w:pPr>
        <w:tabs>
          <w:tab w:val="left" w:pos="993"/>
        </w:tabs>
        <w:rPr>
          <w:rFonts w:cs="Arial"/>
          <w:b/>
          <w:bCs/>
          <w:szCs w:val="20"/>
        </w:rPr>
      </w:pPr>
      <w:r w:rsidRPr="00BA29AC">
        <w:rPr>
          <w:rFonts w:cs="Arial"/>
          <w:b/>
          <w:bCs/>
          <w:szCs w:val="20"/>
        </w:rPr>
        <w:t>Output Radiation Pattern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2835"/>
      </w:tblGrid>
      <w:tr w:rsidR="00B71DAA" w:rsidRPr="00B71DAA" w14:paraId="177A0D87" w14:textId="77777777" w:rsidTr="006F6DA9">
        <w:tc>
          <w:tcPr>
            <w:tcW w:w="2835" w:type="dxa"/>
            <w:tcBorders>
              <w:top w:val="single" w:sz="8" w:space="0" w:color="auto"/>
              <w:left w:val="nil"/>
              <w:bottom w:val="single" w:sz="8" w:space="0" w:color="auto"/>
              <w:right w:val="nil"/>
            </w:tcBorders>
            <w:tcMar>
              <w:top w:w="0" w:type="dxa"/>
              <w:left w:w="108" w:type="dxa"/>
              <w:bottom w:w="0" w:type="dxa"/>
              <w:right w:w="108" w:type="dxa"/>
            </w:tcMar>
            <w:hideMark/>
          </w:tcPr>
          <w:p w14:paraId="62115FE0" w14:textId="540019C3" w:rsidR="00B71DAA" w:rsidRPr="00B71DAA" w:rsidRDefault="00B71DAA" w:rsidP="006F6DA9">
            <w:pPr>
              <w:rPr>
                <w:rFonts w:cs="Arial"/>
                <w:szCs w:val="20"/>
              </w:rPr>
            </w:pPr>
            <w:r w:rsidRPr="00B71DAA">
              <w:rPr>
                <w:rFonts w:cs="Arial"/>
                <w:szCs w:val="20"/>
              </w:rPr>
              <w:t xml:space="preserve">Bearing or Sector </w:t>
            </w:r>
            <w:r w:rsidR="00421DB4">
              <w:rPr>
                <w:rFonts w:cs="Arial"/>
                <w:szCs w:val="20"/>
              </w:rPr>
              <w:br/>
            </w:r>
            <w:r w:rsidRPr="00B71DAA">
              <w:rPr>
                <w:rFonts w:cs="Arial"/>
                <w:szCs w:val="20"/>
              </w:rPr>
              <w:t>(Clockwise direction)</w:t>
            </w:r>
          </w:p>
        </w:tc>
        <w:tc>
          <w:tcPr>
            <w:tcW w:w="2835" w:type="dxa"/>
            <w:tcBorders>
              <w:top w:val="single" w:sz="8" w:space="0" w:color="auto"/>
              <w:left w:val="nil"/>
              <w:bottom w:val="single" w:sz="8" w:space="0" w:color="auto"/>
              <w:right w:val="nil"/>
            </w:tcBorders>
            <w:tcMar>
              <w:top w:w="0" w:type="dxa"/>
              <w:left w:w="108" w:type="dxa"/>
              <w:bottom w:w="0" w:type="dxa"/>
              <w:right w:w="108" w:type="dxa"/>
            </w:tcMar>
            <w:hideMark/>
          </w:tcPr>
          <w:p w14:paraId="4F980EBB" w14:textId="77777777" w:rsidR="00B71DAA" w:rsidRPr="00B71DAA" w:rsidRDefault="00B71DAA" w:rsidP="006F6DA9">
            <w:pPr>
              <w:rPr>
                <w:rFonts w:cs="Arial"/>
                <w:szCs w:val="20"/>
              </w:rPr>
            </w:pPr>
            <w:r w:rsidRPr="00B71DAA">
              <w:rPr>
                <w:rFonts w:cs="Arial"/>
                <w:szCs w:val="20"/>
              </w:rPr>
              <w:t>Maximum ERP</w:t>
            </w:r>
          </w:p>
        </w:tc>
      </w:tr>
      <w:tr w:rsidR="00B71DAA" w:rsidRPr="00B71DAA" w14:paraId="034308C0" w14:textId="77777777" w:rsidTr="006F6DA9">
        <w:tc>
          <w:tcPr>
            <w:tcW w:w="2835" w:type="dxa"/>
            <w:tcBorders>
              <w:top w:val="nil"/>
              <w:left w:val="nil"/>
              <w:bottom w:val="single" w:sz="8" w:space="0" w:color="auto"/>
              <w:right w:val="nil"/>
            </w:tcBorders>
            <w:tcMar>
              <w:top w:w="0" w:type="dxa"/>
              <w:left w:w="108" w:type="dxa"/>
              <w:bottom w:w="0" w:type="dxa"/>
              <w:right w:w="108" w:type="dxa"/>
            </w:tcMar>
            <w:hideMark/>
          </w:tcPr>
          <w:p w14:paraId="4065B59B" w14:textId="77777777" w:rsidR="00B71DAA" w:rsidRPr="00B71DAA" w:rsidRDefault="00B71DAA" w:rsidP="006F6DA9">
            <w:pPr>
              <w:rPr>
                <w:rFonts w:cs="Arial"/>
                <w:szCs w:val="20"/>
              </w:rPr>
            </w:pPr>
            <w:r w:rsidRPr="00B71DAA">
              <w:rPr>
                <w:rFonts w:cs="Arial"/>
                <w:szCs w:val="20"/>
              </w:rPr>
              <w:t>At all angles of azimuth</w:t>
            </w:r>
          </w:p>
        </w:tc>
        <w:tc>
          <w:tcPr>
            <w:tcW w:w="2835" w:type="dxa"/>
            <w:tcBorders>
              <w:top w:val="nil"/>
              <w:left w:val="nil"/>
              <w:bottom w:val="single" w:sz="8" w:space="0" w:color="auto"/>
              <w:right w:val="nil"/>
            </w:tcBorders>
            <w:tcMar>
              <w:top w:w="0" w:type="dxa"/>
              <w:left w:w="108" w:type="dxa"/>
              <w:bottom w:w="0" w:type="dxa"/>
              <w:right w:w="108" w:type="dxa"/>
            </w:tcMar>
            <w:hideMark/>
          </w:tcPr>
          <w:p w14:paraId="18F4D2AD" w14:textId="77777777" w:rsidR="00B71DAA" w:rsidRPr="00B71DAA" w:rsidRDefault="00B71DAA" w:rsidP="006F6DA9">
            <w:pPr>
              <w:rPr>
                <w:rFonts w:cs="Arial"/>
                <w:szCs w:val="20"/>
              </w:rPr>
            </w:pPr>
            <w:r w:rsidRPr="00B71DAA">
              <w:rPr>
                <w:rFonts w:cs="Arial"/>
                <w:szCs w:val="20"/>
              </w:rPr>
              <w:t>10 kW</w:t>
            </w:r>
          </w:p>
        </w:tc>
      </w:tr>
    </w:tbl>
    <w:p w14:paraId="6EFCF08B" w14:textId="33101F23" w:rsidR="005A0FF6" w:rsidRDefault="00421DB4" w:rsidP="00B71DAA">
      <w:pPr>
        <w:rPr>
          <w:rFonts w:cs="Arial"/>
          <w:szCs w:val="20"/>
        </w:rPr>
      </w:pPr>
      <w:r>
        <w:rPr>
          <w:rFonts w:cs="Arial"/>
          <w:b/>
          <w:bCs/>
          <w:i/>
          <w:iCs/>
          <w:szCs w:val="20"/>
        </w:rPr>
        <w:br/>
      </w:r>
      <w:r w:rsidR="00B71DAA" w:rsidRPr="00E40F34">
        <w:rPr>
          <w:rFonts w:cs="Arial"/>
          <w:b/>
          <w:bCs/>
          <w:i/>
          <w:iCs/>
          <w:szCs w:val="20"/>
        </w:rPr>
        <w:t>Advisory Note :</w:t>
      </w:r>
      <w:r w:rsidR="00BC35E9">
        <w:rPr>
          <w:rFonts w:cs="Arial"/>
          <w:szCs w:val="20"/>
        </w:rPr>
        <w:br/>
      </w:r>
      <w:r w:rsidR="00B71DAA" w:rsidRPr="00B71DAA">
        <w:rPr>
          <w:rFonts w:cs="Arial"/>
          <w:szCs w:val="20"/>
        </w:rPr>
        <w:t>The coverage area of this transmission is defined as that area within a radius of 70</w:t>
      </w:r>
      <w:r>
        <w:rPr>
          <w:rFonts w:cs="Arial"/>
          <w:szCs w:val="20"/>
        </w:rPr>
        <w:t> </w:t>
      </w:r>
      <w:r w:rsidR="00B71DAA" w:rsidRPr="00B71DAA">
        <w:rPr>
          <w:rFonts w:cs="Arial"/>
          <w:szCs w:val="20"/>
        </w:rPr>
        <w:t>k</w:t>
      </w:r>
      <w:r>
        <w:rPr>
          <w:rFonts w:cs="Arial"/>
          <w:szCs w:val="20"/>
        </w:rPr>
        <w:t>m</w:t>
      </w:r>
      <w:r w:rsidR="00B71DAA" w:rsidRPr="00B71DAA">
        <w:rPr>
          <w:rFonts w:cs="Arial"/>
          <w:szCs w:val="20"/>
        </w:rPr>
        <w:t xml:space="preserve"> measured from a point with the following AMG66 co-ordinates: Zone: 55; Easting: 519185; Northing: 5250351. This point is the same as the nominal transmitter site.</w:t>
      </w:r>
    </w:p>
    <w:p w14:paraId="6E36692F" w14:textId="77777777" w:rsidR="005A0FF6" w:rsidRDefault="005A0FF6">
      <w:pPr>
        <w:spacing w:after="0" w:line="240" w:lineRule="auto"/>
        <w:rPr>
          <w:rFonts w:cs="Arial"/>
          <w:szCs w:val="20"/>
        </w:rPr>
      </w:pPr>
      <w:r>
        <w:rPr>
          <w:rFonts w:cs="Arial"/>
          <w:szCs w:val="20"/>
        </w:rPr>
        <w:br w:type="page"/>
      </w:r>
    </w:p>
    <w:p w14:paraId="1269E4E8" w14:textId="46520409" w:rsidR="00BF093A" w:rsidRPr="00B964CF" w:rsidRDefault="00BF093A" w:rsidP="00BF093A">
      <w:pPr>
        <w:pStyle w:val="Heading3"/>
        <w:rPr>
          <w:szCs w:val="20"/>
        </w:rPr>
      </w:pPr>
      <w:r w:rsidRPr="00B964CF">
        <w:rPr>
          <w:szCs w:val="20"/>
        </w:rPr>
        <w:lastRenderedPageBreak/>
        <w:t>Gosford HPON</w:t>
      </w:r>
    </w:p>
    <w:p w14:paraId="55D53616" w14:textId="3F72606B" w:rsidR="002C356A" w:rsidRPr="00BA29AC" w:rsidRDefault="002C356A" w:rsidP="00BA29AC">
      <w:pPr>
        <w:shd w:val="clear" w:color="auto" w:fill="FFFFFF"/>
        <w:spacing w:after="0" w:line="240" w:lineRule="auto"/>
        <w:rPr>
          <w:rFonts w:cs="Arial"/>
          <w:szCs w:val="20"/>
          <w:lang w:val="en-US"/>
        </w:rPr>
      </w:pPr>
      <w:r w:rsidRPr="00BA29AC">
        <w:rPr>
          <w:rFonts w:cs="Arial"/>
          <w:szCs w:val="20"/>
        </w:rPr>
        <w:t>LICENCE AREA PLAN</w:t>
      </w:r>
      <w:r w:rsidR="00B0698A">
        <w:rPr>
          <w:rFonts w:cs="Arial"/>
          <w:szCs w:val="20"/>
        </w:rPr>
        <w:t xml:space="preserve">: </w:t>
      </w:r>
      <w:r w:rsidRPr="00BA29AC">
        <w:rPr>
          <w:rFonts w:cs="Arial"/>
          <w:szCs w:val="20"/>
        </w:rPr>
        <w:t>Gosford Radio</w:t>
      </w:r>
    </w:p>
    <w:p w14:paraId="6F88C4A7" w14:textId="34E0ED0E" w:rsidR="002C356A" w:rsidRPr="00BA29AC" w:rsidRDefault="002C356A" w:rsidP="00BA29AC">
      <w:pPr>
        <w:shd w:val="clear" w:color="auto" w:fill="FFFFFF"/>
        <w:spacing w:after="0" w:line="240" w:lineRule="auto"/>
        <w:rPr>
          <w:rFonts w:cs="Arial"/>
          <w:szCs w:val="20"/>
          <w:lang w:val="en-US"/>
        </w:rPr>
      </w:pPr>
      <w:r w:rsidRPr="00BA29AC">
        <w:rPr>
          <w:rFonts w:cs="Arial"/>
          <w:szCs w:val="20"/>
        </w:rPr>
        <w:t>Category</w:t>
      </w:r>
      <w:r w:rsidR="00C724FC" w:rsidRPr="00BA29AC">
        <w:rPr>
          <w:rFonts w:cs="Arial"/>
          <w:szCs w:val="20"/>
        </w:rPr>
        <w:t>:</w:t>
      </w:r>
      <w:r w:rsidRPr="00BA29AC">
        <w:rPr>
          <w:rFonts w:cs="Arial"/>
          <w:szCs w:val="20"/>
        </w:rPr>
        <w:t xml:space="preserve"> Open Narrowcasting</w:t>
      </w:r>
    </w:p>
    <w:p w14:paraId="6CED32A0" w14:textId="2048CE64" w:rsidR="002C356A" w:rsidRPr="00BA29AC" w:rsidRDefault="002C356A" w:rsidP="00BA29AC">
      <w:pPr>
        <w:shd w:val="clear" w:color="auto" w:fill="FFFFFF"/>
        <w:spacing w:after="0" w:line="240" w:lineRule="auto"/>
        <w:rPr>
          <w:rFonts w:cs="Arial"/>
          <w:szCs w:val="20"/>
          <w:lang w:val="en-US"/>
        </w:rPr>
      </w:pPr>
      <w:r w:rsidRPr="00BA29AC">
        <w:rPr>
          <w:rFonts w:cs="Arial"/>
          <w:szCs w:val="20"/>
        </w:rPr>
        <w:t>General Area Served</w:t>
      </w:r>
      <w:r w:rsidR="00C724FC" w:rsidRPr="00BA29AC">
        <w:rPr>
          <w:rFonts w:cs="Arial"/>
          <w:szCs w:val="20"/>
        </w:rPr>
        <w:t>:</w:t>
      </w:r>
      <w:r w:rsidRPr="00BA29AC">
        <w:rPr>
          <w:rFonts w:cs="Arial"/>
          <w:szCs w:val="20"/>
        </w:rPr>
        <w:t xml:space="preserve"> Gosford (NSW)</w:t>
      </w:r>
    </w:p>
    <w:p w14:paraId="62BC1CFC" w14:textId="21E9AEC8" w:rsidR="002C356A" w:rsidRDefault="002C356A" w:rsidP="00B0698A">
      <w:pPr>
        <w:shd w:val="clear" w:color="auto" w:fill="FFFFFF"/>
        <w:spacing w:after="0" w:line="240" w:lineRule="auto"/>
        <w:rPr>
          <w:rFonts w:cs="Arial"/>
          <w:szCs w:val="20"/>
        </w:rPr>
      </w:pPr>
      <w:r w:rsidRPr="00BA29AC">
        <w:rPr>
          <w:rFonts w:cs="Arial"/>
          <w:szCs w:val="20"/>
        </w:rPr>
        <w:t>Service Licence Number</w:t>
      </w:r>
      <w:r w:rsidR="0084547E" w:rsidRPr="00BA29AC">
        <w:rPr>
          <w:rFonts w:cs="Arial"/>
          <w:szCs w:val="20"/>
        </w:rPr>
        <w:t xml:space="preserve">: </w:t>
      </w:r>
      <w:r w:rsidRPr="00BA29AC">
        <w:rPr>
          <w:rFonts w:cs="Arial"/>
          <w:szCs w:val="20"/>
        </w:rPr>
        <w:t>Not applicable</w:t>
      </w:r>
    </w:p>
    <w:p w14:paraId="1CE2F431" w14:textId="77777777" w:rsidR="00B0698A" w:rsidRPr="00BA29AC" w:rsidRDefault="00B0698A" w:rsidP="00BA29AC">
      <w:pPr>
        <w:shd w:val="clear" w:color="auto" w:fill="FFFFFF"/>
        <w:spacing w:after="0" w:line="240" w:lineRule="auto"/>
        <w:rPr>
          <w:rFonts w:cs="Arial"/>
          <w:szCs w:val="20"/>
          <w:lang w:val="en-US"/>
        </w:rPr>
      </w:pPr>
    </w:p>
    <w:p w14:paraId="65B0C8EF" w14:textId="3C23B722" w:rsidR="002C356A" w:rsidRPr="00421DB4" w:rsidRDefault="002C356A" w:rsidP="00BA29AC">
      <w:pPr>
        <w:shd w:val="clear" w:color="auto" w:fill="FFFFFF"/>
        <w:spacing w:after="0" w:line="240" w:lineRule="auto"/>
        <w:rPr>
          <w:rFonts w:cs="Arial"/>
          <w:szCs w:val="20"/>
          <w:lang w:val="en-US"/>
        </w:rPr>
      </w:pPr>
      <w:r w:rsidRPr="00421DB4">
        <w:rPr>
          <w:rFonts w:cs="Arial"/>
          <w:szCs w:val="20"/>
        </w:rPr>
        <w:t>TECHNICAL SPECIFICATION</w:t>
      </w:r>
      <w:r w:rsidR="00B0698A" w:rsidRPr="00421DB4">
        <w:rPr>
          <w:rFonts w:cs="Arial"/>
          <w:szCs w:val="20"/>
        </w:rPr>
        <w:t>:</w:t>
      </w:r>
      <w:r w:rsidRPr="00421DB4">
        <w:rPr>
          <w:rFonts w:cs="Arial"/>
          <w:szCs w:val="20"/>
        </w:rPr>
        <w:t xml:space="preserve"> AM Radio</w:t>
      </w:r>
    </w:p>
    <w:p w14:paraId="4A196D6A" w14:textId="41355A62" w:rsidR="002C356A" w:rsidRPr="00421DB4" w:rsidRDefault="002C356A" w:rsidP="00B0698A">
      <w:pPr>
        <w:shd w:val="clear" w:color="auto" w:fill="FFFFFF"/>
        <w:spacing w:after="0" w:line="240" w:lineRule="auto"/>
        <w:rPr>
          <w:rFonts w:cs="Arial"/>
          <w:szCs w:val="20"/>
        </w:rPr>
      </w:pPr>
      <w:r w:rsidRPr="00421DB4">
        <w:rPr>
          <w:rFonts w:cs="Arial"/>
          <w:szCs w:val="20"/>
        </w:rPr>
        <w:t>Specification Number</w:t>
      </w:r>
      <w:r w:rsidR="0084547E" w:rsidRPr="00421DB4">
        <w:rPr>
          <w:rFonts w:cs="Arial"/>
          <w:szCs w:val="20"/>
        </w:rPr>
        <w:t>:</w:t>
      </w:r>
      <w:r w:rsidRPr="00421DB4">
        <w:rPr>
          <w:rFonts w:cs="Arial"/>
          <w:szCs w:val="20"/>
        </w:rPr>
        <w:t xml:space="preserve"> TS1135675</w:t>
      </w:r>
    </w:p>
    <w:p w14:paraId="4C874743" w14:textId="47918B3D" w:rsidR="002C356A" w:rsidRPr="00421DB4" w:rsidRDefault="002C356A" w:rsidP="00BA29AC">
      <w:pPr>
        <w:shd w:val="clear" w:color="auto" w:fill="FFFFFF"/>
        <w:spacing w:after="0" w:line="240" w:lineRule="auto"/>
        <w:rPr>
          <w:rFonts w:cs="Arial"/>
          <w:szCs w:val="20"/>
          <w:lang w:val="en-US"/>
        </w:rPr>
      </w:pPr>
      <w:r w:rsidRPr="00421DB4">
        <w:rPr>
          <w:rFonts w:cs="Arial"/>
          <w:szCs w:val="20"/>
        </w:rPr>
        <w:t>Transmitter Site</w:t>
      </w:r>
      <w:r w:rsidR="001013E4" w:rsidRPr="00421DB4">
        <w:rPr>
          <w:rFonts w:cs="Arial"/>
          <w:szCs w:val="20"/>
        </w:rPr>
        <w:t>:</w:t>
      </w:r>
    </w:p>
    <w:p w14:paraId="37E4E16B" w14:textId="77777777" w:rsidR="00B0698A" w:rsidRPr="00421DB4" w:rsidRDefault="002C356A" w:rsidP="00BA29AC">
      <w:pPr>
        <w:shd w:val="clear" w:color="auto" w:fill="FFFFFF"/>
        <w:spacing w:after="0" w:line="240" w:lineRule="auto"/>
        <w:ind w:left="3969" w:hanging="3969"/>
        <w:rPr>
          <w:rFonts w:cs="Arial"/>
          <w:szCs w:val="20"/>
        </w:rPr>
      </w:pPr>
      <w:r w:rsidRPr="00421DB4">
        <w:rPr>
          <w:rFonts w:cs="Arial"/>
          <w:szCs w:val="20"/>
        </w:rPr>
        <w:t>Nominal location</w:t>
      </w:r>
      <w:r w:rsidR="0084547E" w:rsidRPr="00421DB4">
        <w:rPr>
          <w:rFonts w:cs="Arial"/>
          <w:szCs w:val="20"/>
        </w:rPr>
        <w:t xml:space="preserve">: </w:t>
      </w:r>
      <w:r w:rsidRPr="00421DB4">
        <w:rPr>
          <w:rFonts w:cs="Arial"/>
          <w:szCs w:val="20"/>
        </w:rPr>
        <w:t>HPON AM Tower</w:t>
      </w:r>
      <w:r w:rsidRPr="00421DB4">
        <w:rPr>
          <w:rFonts w:cs="Arial" w:hint="eastAsia"/>
          <w:szCs w:val="20"/>
        </w:rPr>
        <w:t> </w:t>
      </w:r>
      <w:r w:rsidRPr="00421DB4">
        <w:rPr>
          <w:rFonts w:cs="Arial"/>
          <w:szCs w:val="20"/>
        </w:rPr>
        <w:t xml:space="preserve"> adj Facilities Building</w:t>
      </w:r>
      <w:r w:rsidR="00B0698A" w:rsidRPr="00421DB4">
        <w:rPr>
          <w:rFonts w:cs="Arial"/>
          <w:szCs w:val="20"/>
        </w:rPr>
        <w:t xml:space="preserve"> </w:t>
      </w:r>
    </w:p>
    <w:p w14:paraId="7CC5A150" w14:textId="756B7E9A" w:rsidR="002C356A" w:rsidRPr="00421DB4" w:rsidRDefault="002C356A" w:rsidP="00BA29AC">
      <w:pPr>
        <w:shd w:val="clear" w:color="auto" w:fill="FFFFFF"/>
        <w:spacing w:after="0" w:line="240" w:lineRule="auto"/>
        <w:ind w:left="3969" w:hanging="3969"/>
        <w:rPr>
          <w:rFonts w:cs="Arial"/>
          <w:szCs w:val="20"/>
          <w:lang w:val="en-US"/>
        </w:rPr>
      </w:pPr>
      <w:r w:rsidRPr="00421DB4">
        <w:rPr>
          <w:rFonts w:cs="Arial"/>
          <w:szCs w:val="20"/>
        </w:rPr>
        <w:t xml:space="preserve">Gosford </w:t>
      </w:r>
      <w:proofErr w:type="gramStart"/>
      <w:r w:rsidRPr="00421DB4">
        <w:rPr>
          <w:rFonts w:cs="Arial"/>
          <w:szCs w:val="20"/>
        </w:rPr>
        <w:t>Race Course</w:t>
      </w:r>
      <w:proofErr w:type="gramEnd"/>
      <w:r w:rsidRPr="00421DB4">
        <w:rPr>
          <w:rFonts w:cs="Arial" w:hint="eastAsia"/>
          <w:szCs w:val="20"/>
        </w:rPr>
        <w:t> </w:t>
      </w:r>
      <w:r w:rsidRPr="00421DB4">
        <w:rPr>
          <w:rFonts w:cs="Arial"/>
          <w:szCs w:val="20"/>
        </w:rPr>
        <w:t xml:space="preserve"> 2 Blackett St</w:t>
      </w:r>
      <w:r w:rsidRPr="00421DB4">
        <w:rPr>
          <w:rFonts w:cs="Arial" w:hint="eastAsia"/>
          <w:szCs w:val="20"/>
        </w:rPr>
        <w:t> </w:t>
      </w:r>
      <w:r w:rsidRPr="00421DB4">
        <w:rPr>
          <w:rFonts w:cs="Arial"/>
          <w:szCs w:val="20"/>
        </w:rPr>
        <w:t xml:space="preserve"> GOSFORD</w:t>
      </w:r>
    </w:p>
    <w:p w14:paraId="27CF884C" w14:textId="7B4373B6" w:rsidR="002C356A" w:rsidRPr="009A70E0" w:rsidRDefault="002C356A" w:rsidP="002C356A">
      <w:pPr>
        <w:shd w:val="clear" w:color="auto" w:fill="FFFFFF"/>
        <w:spacing w:line="240" w:lineRule="auto"/>
        <w:rPr>
          <w:rFonts w:cs="Arial"/>
          <w:szCs w:val="20"/>
          <w:lang w:val="en-US"/>
        </w:rPr>
      </w:pPr>
      <w:r w:rsidRPr="00421DB4">
        <w:rPr>
          <w:rFonts w:cs="Arial"/>
          <w:szCs w:val="20"/>
        </w:rPr>
        <w:t>Australian Map Grid</w:t>
      </w:r>
      <w:r w:rsidR="004F0270" w:rsidRPr="00421DB4">
        <w:rPr>
          <w:rFonts w:cs="Arial"/>
          <w:szCs w:val="20"/>
        </w:rPr>
        <w:t>:</w:t>
      </w:r>
      <w:r w:rsidRPr="00421DB4">
        <w:rPr>
          <w:rFonts w:cs="Arial"/>
          <w:szCs w:val="20"/>
        </w:rPr>
        <w:t xml:space="preserve"> Zone</w:t>
      </w:r>
      <w:r w:rsidR="0003705C" w:rsidRPr="00421DB4">
        <w:rPr>
          <w:rFonts w:cs="Arial"/>
          <w:szCs w:val="20"/>
        </w:rPr>
        <w:t xml:space="preserve"> 56</w:t>
      </w:r>
      <w:r w:rsidRPr="00421DB4">
        <w:rPr>
          <w:rFonts w:cs="Arial"/>
          <w:szCs w:val="20"/>
        </w:rPr>
        <w:t xml:space="preserve"> Easting</w:t>
      </w:r>
      <w:r w:rsidR="0003705C" w:rsidRPr="00421DB4">
        <w:rPr>
          <w:rFonts w:cs="Arial"/>
          <w:szCs w:val="20"/>
        </w:rPr>
        <w:t xml:space="preserve"> 344219</w:t>
      </w:r>
      <w:r w:rsidRPr="00421DB4">
        <w:rPr>
          <w:rFonts w:cs="Arial"/>
          <w:szCs w:val="20"/>
        </w:rPr>
        <w:t xml:space="preserve"> Northing</w:t>
      </w:r>
      <w:r w:rsidR="00DC78F4" w:rsidRPr="00421DB4">
        <w:rPr>
          <w:rFonts w:cs="Arial"/>
          <w:szCs w:val="20"/>
        </w:rPr>
        <w:t xml:space="preserve"> 6300644</w:t>
      </w:r>
      <w:r w:rsidRPr="00421DB4">
        <w:rPr>
          <w:rFonts w:cs="Arial"/>
          <w:szCs w:val="20"/>
        </w:rPr>
        <w:br/>
        <w:t>Site Tolerance</w:t>
      </w:r>
      <w:r w:rsidR="00DC78F4" w:rsidRPr="00421DB4">
        <w:rPr>
          <w:rFonts w:cs="Arial"/>
          <w:szCs w:val="20"/>
        </w:rPr>
        <w:t xml:space="preserve">: </w:t>
      </w:r>
      <w:r w:rsidRPr="00421DB4">
        <w:rPr>
          <w:rFonts w:cs="Arial"/>
          <w:szCs w:val="20"/>
        </w:rPr>
        <w:t xml:space="preserve">Refer to </w:t>
      </w:r>
      <w:r w:rsidRPr="009A70E0">
        <w:rPr>
          <w:rFonts w:cs="Arial"/>
          <w:szCs w:val="20"/>
        </w:rPr>
        <w:t>Broadcasting Services</w:t>
      </w:r>
      <w:r w:rsidR="006A3B92" w:rsidRPr="009A70E0">
        <w:rPr>
          <w:rFonts w:cs="Arial"/>
          <w:szCs w:val="20"/>
        </w:rPr>
        <w:t xml:space="preserve"> </w:t>
      </w:r>
      <w:r w:rsidRPr="009A70E0">
        <w:rPr>
          <w:rFonts w:cs="Arial"/>
          <w:szCs w:val="20"/>
        </w:rPr>
        <w:t>(Technical Planning) Guidelines 2017</w:t>
      </w:r>
    </w:p>
    <w:p w14:paraId="0807F3F7" w14:textId="77777777" w:rsidR="00E922FA" w:rsidRPr="009A70E0" w:rsidRDefault="002C356A" w:rsidP="00BA29AC">
      <w:pPr>
        <w:shd w:val="clear" w:color="auto" w:fill="FFFFFF"/>
        <w:spacing w:after="0" w:line="240" w:lineRule="auto"/>
        <w:rPr>
          <w:rFonts w:cs="Arial"/>
          <w:szCs w:val="20"/>
        </w:rPr>
      </w:pPr>
      <w:r w:rsidRPr="009A70E0">
        <w:rPr>
          <w:rFonts w:cs="Arial"/>
          <w:szCs w:val="20"/>
        </w:rPr>
        <w:t>Emission:-</w:t>
      </w:r>
    </w:p>
    <w:p w14:paraId="77FE9BE0" w14:textId="24B463B6" w:rsidR="002C356A" w:rsidRPr="009A70E0" w:rsidRDefault="002C356A" w:rsidP="00BA29AC">
      <w:pPr>
        <w:shd w:val="clear" w:color="auto" w:fill="FFFFFF"/>
        <w:spacing w:after="0" w:line="240" w:lineRule="auto"/>
        <w:rPr>
          <w:rFonts w:cs="Arial"/>
          <w:szCs w:val="20"/>
          <w:lang w:val="en-US"/>
        </w:rPr>
      </w:pPr>
      <w:r w:rsidRPr="009A70E0">
        <w:rPr>
          <w:rFonts w:cs="Arial"/>
          <w:szCs w:val="20"/>
        </w:rPr>
        <w:t>Frequency Band &amp; Mode</w:t>
      </w:r>
      <w:r w:rsidR="00E922FA" w:rsidRPr="009A70E0">
        <w:rPr>
          <w:rFonts w:cs="Arial"/>
          <w:szCs w:val="20"/>
        </w:rPr>
        <w:t xml:space="preserve">: </w:t>
      </w:r>
      <w:r w:rsidRPr="009A70E0">
        <w:rPr>
          <w:rFonts w:cs="Arial"/>
          <w:szCs w:val="20"/>
        </w:rPr>
        <w:t>MF-AM</w:t>
      </w:r>
    </w:p>
    <w:p w14:paraId="7DAEE119" w14:textId="36991F7D" w:rsidR="002C356A" w:rsidRPr="009A70E0" w:rsidRDefault="002C356A" w:rsidP="00661C80">
      <w:pPr>
        <w:shd w:val="clear" w:color="auto" w:fill="FFFFFF"/>
        <w:spacing w:after="0" w:line="240" w:lineRule="auto"/>
        <w:rPr>
          <w:rFonts w:cs="Arial"/>
          <w:szCs w:val="20"/>
        </w:rPr>
      </w:pPr>
      <w:r w:rsidRPr="009A70E0">
        <w:rPr>
          <w:rFonts w:cs="Arial"/>
          <w:szCs w:val="20"/>
        </w:rPr>
        <w:t>Carrier Frequency</w:t>
      </w:r>
      <w:r w:rsidR="00E922FA" w:rsidRPr="009A70E0">
        <w:rPr>
          <w:rFonts w:cs="Arial"/>
          <w:szCs w:val="20"/>
        </w:rPr>
        <w:t xml:space="preserve">: </w:t>
      </w:r>
      <w:r w:rsidRPr="009A70E0">
        <w:rPr>
          <w:rFonts w:cs="Arial"/>
          <w:szCs w:val="20"/>
        </w:rPr>
        <w:t>747 kHz</w:t>
      </w:r>
    </w:p>
    <w:p w14:paraId="2B59D328" w14:textId="77777777" w:rsidR="004A7CD1" w:rsidRPr="009A70E0" w:rsidRDefault="004A7CD1" w:rsidP="00BA29AC">
      <w:pPr>
        <w:shd w:val="clear" w:color="auto" w:fill="FFFFFF"/>
        <w:spacing w:after="0" w:line="240" w:lineRule="auto"/>
        <w:rPr>
          <w:rFonts w:cs="Arial"/>
          <w:b/>
          <w:bCs/>
          <w:szCs w:val="20"/>
          <w:lang w:val="en-US"/>
        </w:rPr>
      </w:pPr>
    </w:p>
    <w:p w14:paraId="38FE7EAF" w14:textId="0C874DC5" w:rsidR="002C356A" w:rsidRPr="009A70E0" w:rsidRDefault="002C356A" w:rsidP="00BA29AC">
      <w:pPr>
        <w:shd w:val="clear" w:color="auto" w:fill="FFFFFF"/>
        <w:spacing w:after="120" w:line="240" w:lineRule="auto"/>
        <w:rPr>
          <w:rFonts w:cs="Arial"/>
          <w:b/>
          <w:bCs/>
          <w:szCs w:val="20"/>
          <w:lang w:val="en-US"/>
        </w:rPr>
      </w:pPr>
      <w:r w:rsidRPr="009A70E0">
        <w:rPr>
          <w:rFonts w:cs="Arial"/>
          <w:b/>
          <w:bCs/>
          <w:szCs w:val="20"/>
        </w:rPr>
        <w:t>Daytime Output Radiation Pattern</w:t>
      </w:r>
      <w:r w:rsidR="00661C80" w:rsidRPr="009A70E0">
        <w:rPr>
          <w:rFonts w:cs="Arial"/>
          <w:b/>
          <w:bCs/>
          <w:szCs w:val="20"/>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4"/>
        <w:gridCol w:w="2596"/>
        <w:gridCol w:w="2602"/>
      </w:tblGrid>
      <w:tr w:rsidR="002C356A" w:rsidRPr="00421DB4" w14:paraId="6920614E" w14:textId="77777777" w:rsidTr="002C356A">
        <w:tc>
          <w:tcPr>
            <w:tcW w:w="2835" w:type="dxa"/>
            <w:tcBorders>
              <w:top w:val="single" w:sz="8" w:space="0" w:color="auto"/>
              <w:left w:val="nil"/>
              <w:bottom w:val="single" w:sz="8" w:space="0" w:color="auto"/>
              <w:right w:val="nil"/>
            </w:tcBorders>
            <w:tcMar>
              <w:top w:w="0" w:type="dxa"/>
              <w:left w:w="108" w:type="dxa"/>
              <w:bottom w:w="0" w:type="dxa"/>
              <w:right w:w="108" w:type="dxa"/>
            </w:tcMar>
            <w:hideMark/>
          </w:tcPr>
          <w:p w14:paraId="164ECA21" w14:textId="77777777" w:rsidR="002C356A" w:rsidRPr="009A70E0" w:rsidRDefault="002C356A" w:rsidP="002C356A">
            <w:pPr>
              <w:spacing w:line="240" w:lineRule="auto"/>
              <w:jc w:val="center"/>
              <w:rPr>
                <w:rFonts w:cs="Arial"/>
                <w:szCs w:val="20"/>
              </w:rPr>
            </w:pPr>
            <w:r w:rsidRPr="009A70E0">
              <w:rPr>
                <w:rFonts w:cs="Arial"/>
                <w:szCs w:val="20"/>
              </w:rPr>
              <w:t>Bearing or Sector (Clockwise direction)</w:t>
            </w:r>
          </w:p>
        </w:tc>
        <w:tc>
          <w:tcPr>
            <w:tcW w:w="2835" w:type="dxa"/>
            <w:tcBorders>
              <w:top w:val="single" w:sz="8" w:space="0" w:color="auto"/>
              <w:left w:val="nil"/>
              <w:bottom w:val="single" w:sz="8" w:space="0" w:color="auto"/>
              <w:right w:val="nil"/>
            </w:tcBorders>
            <w:tcMar>
              <w:top w:w="0" w:type="dxa"/>
              <w:left w:w="108" w:type="dxa"/>
              <w:bottom w:w="0" w:type="dxa"/>
              <w:right w:w="108" w:type="dxa"/>
            </w:tcMar>
            <w:hideMark/>
          </w:tcPr>
          <w:p w14:paraId="67AD238F" w14:textId="77777777" w:rsidR="002C356A" w:rsidRPr="009A70E0" w:rsidRDefault="002C356A" w:rsidP="002C356A">
            <w:pPr>
              <w:spacing w:line="240" w:lineRule="auto"/>
              <w:jc w:val="center"/>
              <w:rPr>
                <w:rFonts w:cs="Arial"/>
                <w:szCs w:val="20"/>
              </w:rPr>
            </w:pPr>
            <w:r w:rsidRPr="009A70E0">
              <w:rPr>
                <w:rFonts w:cs="Arial"/>
                <w:szCs w:val="20"/>
              </w:rPr>
              <w:t>Elevation</w:t>
            </w:r>
          </w:p>
        </w:tc>
        <w:tc>
          <w:tcPr>
            <w:tcW w:w="2835" w:type="dxa"/>
            <w:tcBorders>
              <w:top w:val="single" w:sz="8" w:space="0" w:color="auto"/>
              <w:left w:val="nil"/>
              <w:bottom w:val="single" w:sz="8" w:space="0" w:color="auto"/>
              <w:right w:val="nil"/>
            </w:tcBorders>
            <w:tcMar>
              <w:top w:w="0" w:type="dxa"/>
              <w:left w:w="108" w:type="dxa"/>
              <w:bottom w:w="0" w:type="dxa"/>
              <w:right w:w="108" w:type="dxa"/>
            </w:tcMar>
            <w:hideMark/>
          </w:tcPr>
          <w:p w14:paraId="783A2167" w14:textId="77777777" w:rsidR="002C356A" w:rsidRPr="009A70E0" w:rsidRDefault="002C356A" w:rsidP="002C356A">
            <w:pPr>
              <w:spacing w:line="240" w:lineRule="auto"/>
              <w:jc w:val="center"/>
              <w:rPr>
                <w:rFonts w:cs="Arial"/>
                <w:szCs w:val="20"/>
              </w:rPr>
            </w:pPr>
            <w:r w:rsidRPr="009A70E0">
              <w:rPr>
                <w:rFonts w:cs="Arial"/>
                <w:szCs w:val="20"/>
              </w:rPr>
              <w:t>Maximum CMF</w:t>
            </w:r>
          </w:p>
        </w:tc>
      </w:tr>
      <w:tr w:rsidR="002C356A" w:rsidRPr="00421DB4" w14:paraId="6201ECC9" w14:textId="77777777" w:rsidTr="002C356A">
        <w:tc>
          <w:tcPr>
            <w:tcW w:w="2835" w:type="dxa"/>
            <w:tcBorders>
              <w:top w:val="nil"/>
              <w:left w:val="nil"/>
              <w:bottom w:val="single" w:sz="8" w:space="0" w:color="auto"/>
              <w:right w:val="nil"/>
            </w:tcBorders>
            <w:tcMar>
              <w:top w:w="0" w:type="dxa"/>
              <w:left w:w="108" w:type="dxa"/>
              <w:bottom w:w="0" w:type="dxa"/>
              <w:right w:w="108" w:type="dxa"/>
            </w:tcMar>
            <w:hideMark/>
          </w:tcPr>
          <w:p w14:paraId="1A41D4F7" w14:textId="77777777" w:rsidR="002C356A" w:rsidRPr="009A70E0" w:rsidRDefault="002C356A" w:rsidP="002C356A">
            <w:pPr>
              <w:spacing w:line="240" w:lineRule="auto"/>
              <w:rPr>
                <w:rFonts w:cs="Arial"/>
                <w:szCs w:val="20"/>
              </w:rPr>
            </w:pPr>
            <w:r w:rsidRPr="009A70E0">
              <w:rPr>
                <w:rFonts w:cs="Arial"/>
                <w:szCs w:val="20"/>
              </w:rPr>
              <w:t>At all angles of azimuth</w:t>
            </w:r>
          </w:p>
        </w:tc>
        <w:tc>
          <w:tcPr>
            <w:tcW w:w="2835" w:type="dxa"/>
            <w:tcBorders>
              <w:top w:val="nil"/>
              <w:left w:val="nil"/>
              <w:bottom w:val="single" w:sz="8" w:space="0" w:color="auto"/>
              <w:right w:val="nil"/>
            </w:tcBorders>
            <w:tcMar>
              <w:top w:w="0" w:type="dxa"/>
              <w:left w:w="108" w:type="dxa"/>
              <w:bottom w:w="0" w:type="dxa"/>
              <w:right w:w="108" w:type="dxa"/>
            </w:tcMar>
            <w:hideMark/>
          </w:tcPr>
          <w:p w14:paraId="6A93C339" w14:textId="77777777" w:rsidR="002C356A" w:rsidRPr="009A70E0" w:rsidRDefault="002C356A" w:rsidP="009A70E0">
            <w:pPr>
              <w:spacing w:line="240" w:lineRule="auto"/>
              <w:jc w:val="center"/>
              <w:rPr>
                <w:rFonts w:cs="Arial"/>
                <w:szCs w:val="20"/>
              </w:rPr>
            </w:pPr>
            <w:r w:rsidRPr="009A70E0">
              <w:rPr>
                <w:rFonts w:cs="Arial"/>
                <w:szCs w:val="20"/>
              </w:rPr>
              <w:t>0</w:t>
            </w:r>
          </w:p>
        </w:tc>
        <w:tc>
          <w:tcPr>
            <w:tcW w:w="2835" w:type="dxa"/>
            <w:tcBorders>
              <w:top w:val="nil"/>
              <w:left w:val="nil"/>
              <w:bottom w:val="single" w:sz="8" w:space="0" w:color="auto"/>
              <w:right w:val="nil"/>
            </w:tcBorders>
            <w:tcMar>
              <w:top w:w="0" w:type="dxa"/>
              <w:left w:w="108" w:type="dxa"/>
              <w:bottom w:w="0" w:type="dxa"/>
              <w:right w:w="108" w:type="dxa"/>
            </w:tcMar>
            <w:hideMark/>
          </w:tcPr>
          <w:p w14:paraId="41B54417" w14:textId="77777777" w:rsidR="002C356A" w:rsidRPr="009A70E0" w:rsidRDefault="002C356A" w:rsidP="009A70E0">
            <w:pPr>
              <w:spacing w:line="240" w:lineRule="auto"/>
              <w:jc w:val="center"/>
              <w:rPr>
                <w:rFonts w:cs="Arial"/>
                <w:szCs w:val="20"/>
              </w:rPr>
            </w:pPr>
            <w:r w:rsidRPr="009A70E0">
              <w:rPr>
                <w:rFonts w:cs="Arial"/>
                <w:szCs w:val="20"/>
              </w:rPr>
              <w:t>215 V</w:t>
            </w:r>
          </w:p>
        </w:tc>
      </w:tr>
    </w:tbl>
    <w:p w14:paraId="7EE5D154" w14:textId="77777777" w:rsidR="002C356A" w:rsidRPr="009A70E0" w:rsidRDefault="002C356A" w:rsidP="002C356A">
      <w:pPr>
        <w:shd w:val="clear" w:color="auto" w:fill="FFFFFF"/>
        <w:spacing w:line="240" w:lineRule="auto"/>
        <w:rPr>
          <w:rFonts w:cs="Arial"/>
          <w:b/>
          <w:bCs/>
          <w:szCs w:val="20"/>
          <w:lang w:val="en-US"/>
        </w:rPr>
      </w:pPr>
      <w:r w:rsidRPr="009A70E0">
        <w:rPr>
          <w:rFonts w:cs="Arial"/>
          <w:szCs w:val="20"/>
        </w:rPr>
        <w:br/>
      </w:r>
      <w:r w:rsidRPr="009A70E0">
        <w:rPr>
          <w:rFonts w:cs="Arial"/>
          <w:b/>
          <w:bCs/>
          <w:szCs w:val="20"/>
        </w:rPr>
        <w:t>Special Conditions :-</w:t>
      </w:r>
    </w:p>
    <w:p w14:paraId="519C7C73" w14:textId="6D09297B" w:rsidR="002C356A" w:rsidRPr="009A70E0" w:rsidRDefault="002C356A" w:rsidP="002C356A">
      <w:pPr>
        <w:shd w:val="clear" w:color="auto" w:fill="FFFFFF"/>
        <w:spacing w:line="240" w:lineRule="auto"/>
        <w:rPr>
          <w:rFonts w:cs="Arial"/>
          <w:szCs w:val="20"/>
          <w:lang w:val="en-US"/>
        </w:rPr>
      </w:pPr>
      <w:r w:rsidRPr="009A70E0">
        <w:rPr>
          <w:rFonts w:cs="Arial"/>
          <w:szCs w:val="20"/>
        </w:rPr>
        <w:t>The day</w:t>
      </w:r>
      <w:r w:rsidR="00A26558" w:rsidRPr="009A70E0">
        <w:rPr>
          <w:rFonts w:cs="Arial"/>
          <w:szCs w:val="20"/>
        </w:rPr>
        <w:t>-</w:t>
      </w:r>
      <w:r w:rsidRPr="009A70E0">
        <w:rPr>
          <w:rFonts w:cs="Arial"/>
          <w:szCs w:val="20"/>
        </w:rPr>
        <w:t>time urban coverage area (10 mV/m) of this transmission is described as that area</w:t>
      </w:r>
      <w:r w:rsidR="00421DB4" w:rsidRPr="009A70E0">
        <w:rPr>
          <w:rFonts w:cs="Arial" w:hint="eastAsia"/>
          <w:szCs w:val="20"/>
        </w:rPr>
        <w:t> </w:t>
      </w:r>
      <w:r w:rsidRPr="009A70E0">
        <w:rPr>
          <w:rFonts w:cs="Arial"/>
          <w:szCs w:val="20"/>
        </w:rPr>
        <w:t>within a radius of 14 k</w:t>
      </w:r>
      <w:r w:rsidR="00421DB4" w:rsidRPr="009A70E0">
        <w:rPr>
          <w:rFonts w:cs="Arial"/>
          <w:szCs w:val="20"/>
        </w:rPr>
        <w:t>m</w:t>
      </w:r>
      <w:r w:rsidRPr="009A70E0">
        <w:rPr>
          <w:rFonts w:cs="Arial"/>
          <w:szCs w:val="20"/>
        </w:rPr>
        <w:t xml:space="preserve"> measured from a point with the following AMG co-ordinates: Zone: 56; Easting: 344219; Northing: 6300644. This point is the same as the nominal transmitter site.</w:t>
      </w:r>
    </w:p>
    <w:p w14:paraId="7BDD750C" w14:textId="13895011" w:rsidR="005A0FF6" w:rsidRPr="009A70E0" w:rsidRDefault="002C356A" w:rsidP="00C42B9A">
      <w:pPr>
        <w:shd w:val="clear" w:color="auto" w:fill="FFFFFF"/>
        <w:spacing w:line="240" w:lineRule="auto"/>
        <w:rPr>
          <w:rFonts w:cs="Arial"/>
          <w:szCs w:val="20"/>
        </w:rPr>
      </w:pPr>
      <w:r w:rsidRPr="009A70E0">
        <w:rPr>
          <w:rFonts w:cs="Arial"/>
          <w:szCs w:val="20"/>
        </w:rPr>
        <w:t>The specified radiation pattern is for daytime operation.</w:t>
      </w:r>
      <w:r w:rsidRPr="009A70E0">
        <w:rPr>
          <w:rFonts w:cs="Arial" w:hint="eastAsia"/>
          <w:szCs w:val="20"/>
        </w:rPr>
        <w:t> </w:t>
      </w:r>
      <w:r w:rsidRPr="009A70E0">
        <w:rPr>
          <w:rFonts w:cs="Arial"/>
          <w:szCs w:val="20"/>
        </w:rPr>
        <w:t>The licensee must comply with the specification from one hour after local sunrise to one hour before local sunset, as defined at the transmitter site on the 15th day of each month.</w:t>
      </w:r>
    </w:p>
    <w:p w14:paraId="0C9670B1" w14:textId="15D163BC" w:rsidR="002C356A" w:rsidRPr="009A70E0" w:rsidRDefault="002C356A" w:rsidP="00BA29AC">
      <w:pPr>
        <w:shd w:val="clear" w:color="auto" w:fill="FFFFFF"/>
        <w:spacing w:line="240" w:lineRule="auto"/>
        <w:rPr>
          <w:rFonts w:cs="Arial"/>
          <w:b/>
          <w:bCs/>
          <w:szCs w:val="20"/>
          <w:lang w:val="en-US"/>
        </w:rPr>
      </w:pPr>
      <w:proofErr w:type="gramStart"/>
      <w:r w:rsidRPr="009A70E0">
        <w:rPr>
          <w:rFonts w:cs="Arial"/>
          <w:b/>
          <w:bCs/>
          <w:szCs w:val="20"/>
        </w:rPr>
        <w:t>Night</w:t>
      </w:r>
      <w:r w:rsidR="00A92D20">
        <w:rPr>
          <w:rFonts w:cs="Arial"/>
          <w:b/>
          <w:bCs/>
          <w:szCs w:val="20"/>
        </w:rPr>
        <w:t xml:space="preserve"> </w:t>
      </w:r>
      <w:r w:rsidRPr="009A70E0">
        <w:rPr>
          <w:rFonts w:cs="Arial"/>
          <w:b/>
          <w:bCs/>
          <w:szCs w:val="20"/>
        </w:rPr>
        <w:t>time</w:t>
      </w:r>
      <w:proofErr w:type="gramEnd"/>
      <w:r w:rsidRPr="009A70E0">
        <w:rPr>
          <w:rFonts w:cs="Arial"/>
          <w:b/>
          <w:bCs/>
          <w:szCs w:val="20"/>
        </w:rPr>
        <w:t xml:space="preserve"> Output Radiation Pattern</w:t>
      </w:r>
      <w:r w:rsidR="005A0FF6" w:rsidRPr="009A70E0">
        <w:rPr>
          <w:rFonts w:cs="Arial"/>
          <w:b/>
          <w:bCs/>
          <w:szCs w:val="20"/>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4"/>
        <w:gridCol w:w="2596"/>
        <w:gridCol w:w="2602"/>
      </w:tblGrid>
      <w:tr w:rsidR="002C356A" w:rsidRPr="00421DB4" w14:paraId="5241D374" w14:textId="77777777" w:rsidTr="002C356A">
        <w:tc>
          <w:tcPr>
            <w:tcW w:w="2835" w:type="dxa"/>
            <w:tcBorders>
              <w:top w:val="single" w:sz="8" w:space="0" w:color="auto"/>
              <w:left w:val="nil"/>
              <w:bottom w:val="single" w:sz="8" w:space="0" w:color="auto"/>
              <w:right w:val="nil"/>
            </w:tcBorders>
            <w:tcMar>
              <w:top w:w="0" w:type="dxa"/>
              <w:left w:w="108" w:type="dxa"/>
              <w:bottom w:w="0" w:type="dxa"/>
              <w:right w:w="108" w:type="dxa"/>
            </w:tcMar>
            <w:hideMark/>
          </w:tcPr>
          <w:p w14:paraId="026DFE76" w14:textId="77777777" w:rsidR="002C356A" w:rsidRPr="009A70E0" w:rsidRDefault="002C356A" w:rsidP="00CF3ED6">
            <w:pPr>
              <w:spacing w:line="240" w:lineRule="auto"/>
              <w:rPr>
                <w:rFonts w:cs="Arial"/>
                <w:szCs w:val="20"/>
              </w:rPr>
            </w:pPr>
            <w:r w:rsidRPr="009A70E0">
              <w:rPr>
                <w:rFonts w:cs="Arial"/>
                <w:szCs w:val="20"/>
              </w:rPr>
              <w:t>Bearing or Sector (Clockwise direction)</w:t>
            </w:r>
          </w:p>
        </w:tc>
        <w:tc>
          <w:tcPr>
            <w:tcW w:w="2835" w:type="dxa"/>
            <w:tcBorders>
              <w:top w:val="single" w:sz="8" w:space="0" w:color="auto"/>
              <w:left w:val="nil"/>
              <w:bottom w:val="single" w:sz="8" w:space="0" w:color="auto"/>
              <w:right w:val="nil"/>
            </w:tcBorders>
            <w:tcMar>
              <w:top w:w="0" w:type="dxa"/>
              <w:left w:w="108" w:type="dxa"/>
              <w:bottom w:w="0" w:type="dxa"/>
              <w:right w:w="108" w:type="dxa"/>
            </w:tcMar>
            <w:hideMark/>
          </w:tcPr>
          <w:p w14:paraId="50C7A545" w14:textId="77777777" w:rsidR="002C356A" w:rsidRPr="009A70E0" w:rsidRDefault="002C356A" w:rsidP="002C356A">
            <w:pPr>
              <w:spacing w:line="240" w:lineRule="auto"/>
              <w:jc w:val="center"/>
              <w:rPr>
                <w:rFonts w:cs="Arial"/>
                <w:szCs w:val="20"/>
              </w:rPr>
            </w:pPr>
            <w:r w:rsidRPr="009A70E0">
              <w:rPr>
                <w:rFonts w:cs="Arial"/>
                <w:szCs w:val="20"/>
              </w:rPr>
              <w:t>Elevation</w:t>
            </w:r>
          </w:p>
        </w:tc>
        <w:tc>
          <w:tcPr>
            <w:tcW w:w="2835" w:type="dxa"/>
            <w:tcBorders>
              <w:top w:val="single" w:sz="8" w:space="0" w:color="auto"/>
              <w:left w:val="nil"/>
              <w:bottom w:val="single" w:sz="8" w:space="0" w:color="auto"/>
              <w:right w:val="nil"/>
            </w:tcBorders>
            <w:tcMar>
              <w:top w:w="0" w:type="dxa"/>
              <w:left w:w="108" w:type="dxa"/>
              <w:bottom w:w="0" w:type="dxa"/>
              <w:right w:w="108" w:type="dxa"/>
            </w:tcMar>
            <w:hideMark/>
          </w:tcPr>
          <w:p w14:paraId="161C2EF3" w14:textId="77777777" w:rsidR="002C356A" w:rsidRPr="009A70E0" w:rsidRDefault="002C356A" w:rsidP="002C356A">
            <w:pPr>
              <w:spacing w:line="240" w:lineRule="auto"/>
              <w:jc w:val="center"/>
              <w:rPr>
                <w:rFonts w:cs="Arial"/>
                <w:szCs w:val="20"/>
              </w:rPr>
            </w:pPr>
            <w:r w:rsidRPr="009A70E0">
              <w:rPr>
                <w:rFonts w:cs="Arial"/>
                <w:szCs w:val="20"/>
              </w:rPr>
              <w:t>Maximum CMF</w:t>
            </w:r>
          </w:p>
        </w:tc>
      </w:tr>
      <w:tr w:rsidR="002C356A" w:rsidRPr="00421DB4" w14:paraId="1A6178CA" w14:textId="77777777" w:rsidTr="002C356A">
        <w:tc>
          <w:tcPr>
            <w:tcW w:w="2835" w:type="dxa"/>
            <w:tcBorders>
              <w:top w:val="nil"/>
              <w:left w:val="nil"/>
              <w:bottom w:val="single" w:sz="8" w:space="0" w:color="auto"/>
              <w:right w:val="nil"/>
            </w:tcBorders>
            <w:tcMar>
              <w:top w:w="0" w:type="dxa"/>
              <w:left w:w="108" w:type="dxa"/>
              <w:bottom w:w="0" w:type="dxa"/>
              <w:right w:w="108" w:type="dxa"/>
            </w:tcMar>
            <w:hideMark/>
          </w:tcPr>
          <w:p w14:paraId="4259E54D" w14:textId="77777777" w:rsidR="002C356A" w:rsidRPr="009A70E0" w:rsidRDefault="002C356A" w:rsidP="002C356A">
            <w:pPr>
              <w:spacing w:line="240" w:lineRule="auto"/>
              <w:rPr>
                <w:rFonts w:cs="Arial"/>
                <w:szCs w:val="20"/>
              </w:rPr>
            </w:pPr>
            <w:r w:rsidRPr="009A70E0">
              <w:rPr>
                <w:rFonts w:cs="Arial"/>
                <w:szCs w:val="20"/>
              </w:rPr>
              <w:t>At all angles of azimuth</w:t>
            </w:r>
          </w:p>
        </w:tc>
        <w:tc>
          <w:tcPr>
            <w:tcW w:w="2835" w:type="dxa"/>
            <w:tcBorders>
              <w:top w:val="nil"/>
              <w:left w:val="nil"/>
              <w:bottom w:val="single" w:sz="8" w:space="0" w:color="auto"/>
              <w:right w:val="nil"/>
            </w:tcBorders>
            <w:tcMar>
              <w:top w:w="0" w:type="dxa"/>
              <w:left w:w="108" w:type="dxa"/>
              <w:bottom w:w="0" w:type="dxa"/>
              <w:right w:w="108" w:type="dxa"/>
            </w:tcMar>
            <w:hideMark/>
          </w:tcPr>
          <w:p w14:paraId="0DBEA4DA" w14:textId="77777777" w:rsidR="002C356A" w:rsidRPr="009A70E0" w:rsidRDefault="002C356A" w:rsidP="009A70E0">
            <w:pPr>
              <w:spacing w:line="240" w:lineRule="auto"/>
              <w:jc w:val="center"/>
              <w:rPr>
                <w:rFonts w:cs="Arial"/>
                <w:szCs w:val="20"/>
              </w:rPr>
            </w:pPr>
            <w:r w:rsidRPr="009A70E0">
              <w:rPr>
                <w:rFonts w:cs="Arial"/>
                <w:szCs w:val="20"/>
              </w:rPr>
              <w:t>0</w:t>
            </w:r>
          </w:p>
        </w:tc>
        <w:tc>
          <w:tcPr>
            <w:tcW w:w="2835" w:type="dxa"/>
            <w:tcBorders>
              <w:top w:val="nil"/>
              <w:left w:val="nil"/>
              <w:bottom w:val="single" w:sz="8" w:space="0" w:color="auto"/>
              <w:right w:val="nil"/>
            </w:tcBorders>
            <w:tcMar>
              <w:top w:w="0" w:type="dxa"/>
              <w:left w:w="108" w:type="dxa"/>
              <w:bottom w:w="0" w:type="dxa"/>
              <w:right w:w="108" w:type="dxa"/>
            </w:tcMar>
            <w:hideMark/>
          </w:tcPr>
          <w:p w14:paraId="65C6E58E" w14:textId="77777777" w:rsidR="002C356A" w:rsidRPr="009A70E0" w:rsidRDefault="002C356A" w:rsidP="009A70E0">
            <w:pPr>
              <w:spacing w:line="240" w:lineRule="auto"/>
              <w:jc w:val="center"/>
              <w:rPr>
                <w:rFonts w:cs="Arial"/>
                <w:szCs w:val="20"/>
              </w:rPr>
            </w:pPr>
            <w:r w:rsidRPr="009A70E0">
              <w:rPr>
                <w:rFonts w:cs="Arial"/>
                <w:szCs w:val="20"/>
              </w:rPr>
              <w:t>140 V</w:t>
            </w:r>
          </w:p>
        </w:tc>
      </w:tr>
    </w:tbl>
    <w:p w14:paraId="30064A35" w14:textId="77777777" w:rsidR="00A26558" w:rsidRPr="009A70E0" w:rsidRDefault="002C356A" w:rsidP="002C356A">
      <w:pPr>
        <w:shd w:val="clear" w:color="auto" w:fill="FFFFFF"/>
        <w:spacing w:line="240" w:lineRule="auto"/>
        <w:rPr>
          <w:rFonts w:cs="Arial"/>
          <w:b/>
          <w:bCs/>
          <w:szCs w:val="20"/>
        </w:rPr>
      </w:pPr>
      <w:r w:rsidRPr="009A70E0">
        <w:rPr>
          <w:rFonts w:cs="Arial"/>
          <w:szCs w:val="20"/>
        </w:rPr>
        <w:br/>
      </w:r>
      <w:r w:rsidRPr="009A70E0">
        <w:rPr>
          <w:rFonts w:cs="Arial"/>
          <w:b/>
          <w:bCs/>
          <w:szCs w:val="20"/>
        </w:rPr>
        <w:t>Special Conditions</w:t>
      </w:r>
      <w:r w:rsidR="00A26558" w:rsidRPr="009A70E0">
        <w:rPr>
          <w:rFonts w:cs="Arial"/>
          <w:b/>
          <w:bCs/>
          <w:szCs w:val="20"/>
        </w:rPr>
        <w:t>:</w:t>
      </w:r>
    </w:p>
    <w:p w14:paraId="133F857A" w14:textId="1CEBE8AF" w:rsidR="002C356A" w:rsidRPr="009A70E0" w:rsidRDefault="002C356A" w:rsidP="002C356A">
      <w:pPr>
        <w:shd w:val="clear" w:color="auto" w:fill="FFFFFF"/>
        <w:spacing w:line="240" w:lineRule="auto"/>
        <w:rPr>
          <w:rFonts w:cs="Arial"/>
          <w:szCs w:val="20"/>
          <w:lang w:val="en-US"/>
        </w:rPr>
      </w:pPr>
      <w:r w:rsidRPr="009A70E0">
        <w:rPr>
          <w:rFonts w:cs="Arial"/>
          <w:szCs w:val="20"/>
        </w:rPr>
        <w:t>The night</w:t>
      </w:r>
      <w:r w:rsidR="00A26558" w:rsidRPr="009A70E0">
        <w:rPr>
          <w:rFonts w:cs="Arial"/>
          <w:szCs w:val="20"/>
        </w:rPr>
        <w:t>-</w:t>
      </w:r>
      <w:r w:rsidRPr="009A70E0">
        <w:rPr>
          <w:rFonts w:cs="Arial"/>
          <w:szCs w:val="20"/>
        </w:rPr>
        <w:t>time coverage area (32 mV/m) of this transmission is described as that area within a radius of 4 k</w:t>
      </w:r>
      <w:r w:rsidR="00A92D20">
        <w:rPr>
          <w:rFonts w:cs="Arial"/>
          <w:szCs w:val="20"/>
        </w:rPr>
        <w:t>m</w:t>
      </w:r>
      <w:r w:rsidRPr="009A70E0">
        <w:rPr>
          <w:rFonts w:cs="Arial"/>
          <w:szCs w:val="20"/>
        </w:rPr>
        <w:t xml:space="preserve"> measured from a point with the following AMG co-ordinates: Zone: 56; Easting: 344219; Northing: 6300644. This point is the same as the nominal transmitter site.</w:t>
      </w:r>
    </w:p>
    <w:p w14:paraId="06F0678D" w14:textId="214A3CB2" w:rsidR="00857E1C" w:rsidRPr="009A70E0" w:rsidRDefault="002C356A" w:rsidP="002C356A">
      <w:pPr>
        <w:shd w:val="clear" w:color="auto" w:fill="FFFFFF"/>
        <w:spacing w:line="240" w:lineRule="auto"/>
        <w:rPr>
          <w:rFonts w:cs="Arial"/>
          <w:szCs w:val="20"/>
        </w:rPr>
      </w:pPr>
      <w:r w:rsidRPr="009A70E0">
        <w:rPr>
          <w:rFonts w:cs="Arial"/>
          <w:szCs w:val="20"/>
        </w:rPr>
        <w:t>The specified radiation pattern is for night-time operation.</w:t>
      </w:r>
      <w:r w:rsidRPr="009A70E0">
        <w:rPr>
          <w:rFonts w:cs="Arial" w:hint="eastAsia"/>
          <w:szCs w:val="20"/>
        </w:rPr>
        <w:t> </w:t>
      </w:r>
      <w:r w:rsidRPr="009A70E0">
        <w:rPr>
          <w:rFonts w:cs="Arial"/>
          <w:szCs w:val="20"/>
        </w:rPr>
        <w:t>The licensee must comply with the specification from one hour before local sunset to one hour after local sunrise, as defined at the transmitter site on the 15th day of each month.</w:t>
      </w:r>
    </w:p>
    <w:p w14:paraId="0B9B81FD" w14:textId="77777777" w:rsidR="00857E1C" w:rsidRPr="009A70E0" w:rsidRDefault="00857E1C">
      <w:pPr>
        <w:spacing w:after="0" w:line="240" w:lineRule="auto"/>
        <w:rPr>
          <w:rFonts w:cs="Arial"/>
          <w:szCs w:val="20"/>
        </w:rPr>
      </w:pPr>
      <w:r w:rsidRPr="009A70E0">
        <w:rPr>
          <w:rFonts w:cs="Arial"/>
          <w:szCs w:val="20"/>
        </w:rPr>
        <w:br w:type="page"/>
      </w:r>
    </w:p>
    <w:p w14:paraId="55969B1B" w14:textId="282838EB" w:rsidR="00BF093A" w:rsidRPr="009A70E0" w:rsidRDefault="00BF093A" w:rsidP="009A70E0">
      <w:pPr>
        <w:pStyle w:val="Heading4"/>
        <w:rPr>
          <w:b w:val="0"/>
          <w:i w:val="0"/>
        </w:rPr>
      </w:pPr>
      <w:r w:rsidRPr="009A70E0">
        <w:lastRenderedPageBreak/>
        <w:t>Explanatory notes</w:t>
      </w:r>
      <w:r w:rsidR="004011DB" w:rsidRPr="009A70E0">
        <w:t xml:space="preserve"> </w:t>
      </w:r>
    </w:p>
    <w:p w14:paraId="1A03A443" w14:textId="2D325645" w:rsidR="003247DE" w:rsidRPr="00BA29AC" w:rsidRDefault="00C6427F" w:rsidP="003247DE">
      <w:pPr>
        <w:rPr>
          <w:rFonts w:cs="Arial"/>
          <w:szCs w:val="20"/>
        </w:rPr>
      </w:pPr>
      <w:r w:rsidRPr="00421DB4">
        <w:rPr>
          <w:rFonts w:cs="Arial"/>
          <w:szCs w:val="20"/>
          <w:lang w:val="en-US"/>
        </w:rPr>
        <w:t>T</w:t>
      </w:r>
      <w:r w:rsidR="00A43A2F" w:rsidRPr="00421DB4">
        <w:rPr>
          <w:rFonts w:cs="Arial"/>
          <w:szCs w:val="20"/>
          <w:lang w:val="en-US"/>
        </w:rPr>
        <w:t>he Technical Specific</w:t>
      </w:r>
      <w:r w:rsidR="00A43A2F" w:rsidRPr="00BA29AC">
        <w:rPr>
          <w:rFonts w:cs="Arial"/>
          <w:szCs w:val="20"/>
          <w:lang w:val="en-US"/>
        </w:rPr>
        <w:t>atio</w:t>
      </w:r>
      <w:r w:rsidR="007F60B4" w:rsidRPr="00BA29AC">
        <w:rPr>
          <w:rFonts w:cs="Arial"/>
          <w:szCs w:val="20"/>
          <w:lang w:val="en-US"/>
        </w:rPr>
        <w:t xml:space="preserve">n for </w:t>
      </w:r>
      <w:r w:rsidR="00332F62" w:rsidRPr="00BA29AC">
        <w:rPr>
          <w:rFonts w:cs="Arial"/>
          <w:szCs w:val="20"/>
          <w:lang w:val="en-US"/>
        </w:rPr>
        <w:t xml:space="preserve">the HPON </w:t>
      </w:r>
      <w:r w:rsidR="0051575D" w:rsidRPr="00BA29AC">
        <w:rPr>
          <w:rFonts w:cs="Arial"/>
          <w:szCs w:val="20"/>
          <w:lang w:val="en-US"/>
        </w:rPr>
        <w:t xml:space="preserve">service on 747 kHz </w:t>
      </w:r>
      <w:r w:rsidR="00362B8E" w:rsidRPr="00BA29AC">
        <w:rPr>
          <w:rFonts w:cs="Arial"/>
          <w:szCs w:val="20"/>
          <w:lang w:val="en-US"/>
        </w:rPr>
        <w:t>i</w:t>
      </w:r>
      <w:r w:rsidR="00332F62" w:rsidRPr="00BA29AC">
        <w:rPr>
          <w:rFonts w:cs="Arial"/>
          <w:szCs w:val="20"/>
          <w:lang w:val="en-US"/>
        </w:rPr>
        <w:t>n th</w:t>
      </w:r>
      <w:r w:rsidR="006F6DA9">
        <w:rPr>
          <w:rFonts w:cs="Arial"/>
          <w:szCs w:val="20"/>
          <w:lang w:val="en-US"/>
        </w:rPr>
        <w:t xml:space="preserve">e </w:t>
      </w:r>
      <w:proofErr w:type="spellStart"/>
      <w:r w:rsidR="006F6DA9">
        <w:rPr>
          <w:rFonts w:cs="Arial"/>
          <w:szCs w:val="20"/>
          <w:lang w:val="en-US"/>
        </w:rPr>
        <w:t>licence</w:t>
      </w:r>
      <w:proofErr w:type="spellEnd"/>
      <w:r w:rsidR="006F6DA9">
        <w:rPr>
          <w:rFonts w:cs="Arial"/>
          <w:szCs w:val="20"/>
          <w:lang w:val="en-US"/>
        </w:rPr>
        <w:t xml:space="preserve"> area</w:t>
      </w:r>
      <w:r w:rsidR="00332F62" w:rsidRPr="00BA29AC">
        <w:rPr>
          <w:rFonts w:cs="Arial"/>
          <w:szCs w:val="20"/>
          <w:lang w:val="en-US"/>
        </w:rPr>
        <w:t xml:space="preserve"> </w:t>
      </w:r>
      <w:r w:rsidR="006F6DA9">
        <w:rPr>
          <w:rFonts w:cs="Arial"/>
          <w:szCs w:val="20"/>
          <w:lang w:val="en-US"/>
        </w:rPr>
        <w:t>p</w:t>
      </w:r>
      <w:r w:rsidR="00332F62" w:rsidRPr="00BA29AC">
        <w:rPr>
          <w:rFonts w:cs="Arial"/>
          <w:szCs w:val="20"/>
          <w:lang w:val="en-US"/>
        </w:rPr>
        <w:t>lan for Gosford Radio</w:t>
      </w:r>
      <w:r w:rsidRPr="00BA29AC">
        <w:rPr>
          <w:rFonts w:cs="Arial"/>
          <w:szCs w:val="20"/>
          <w:lang w:val="en-US"/>
        </w:rPr>
        <w:t xml:space="preserve"> specif</w:t>
      </w:r>
      <w:r w:rsidR="00505122" w:rsidRPr="00BA29AC">
        <w:rPr>
          <w:rFonts w:cs="Arial"/>
          <w:szCs w:val="20"/>
          <w:lang w:val="en-US"/>
        </w:rPr>
        <w:t>ies</w:t>
      </w:r>
      <w:r w:rsidRPr="00BA29AC">
        <w:rPr>
          <w:rFonts w:cs="Arial"/>
          <w:szCs w:val="20"/>
          <w:lang w:val="en-US"/>
        </w:rPr>
        <w:t xml:space="preserve"> </w:t>
      </w:r>
      <w:r w:rsidR="006D0405" w:rsidRPr="00BA29AC">
        <w:rPr>
          <w:rFonts w:cs="Arial"/>
          <w:szCs w:val="20"/>
          <w:lang w:val="en-US"/>
        </w:rPr>
        <w:t>t</w:t>
      </w:r>
      <w:r w:rsidRPr="00BA29AC">
        <w:rPr>
          <w:rFonts w:cs="Arial"/>
          <w:szCs w:val="20"/>
          <w:lang w:val="en-US"/>
        </w:rPr>
        <w:t>he day</w:t>
      </w:r>
      <w:r w:rsidR="0044017D" w:rsidRPr="00BA29AC">
        <w:rPr>
          <w:rFonts w:cs="Arial"/>
          <w:szCs w:val="20"/>
          <w:lang w:val="en-US"/>
        </w:rPr>
        <w:t>-</w:t>
      </w:r>
      <w:r w:rsidRPr="00BA29AC">
        <w:rPr>
          <w:rFonts w:cs="Arial"/>
          <w:szCs w:val="20"/>
          <w:lang w:val="en-US"/>
        </w:rPr>
        <w:t>time urban coverage area (10 mV/m)</w:t>
      </w:r>
      <w:r w:rsidR="006D0405" w:rsidRPr="00BA29AC">
        <w:rPr>
          <w:rFonts w:cs="Arial"/>
          <w:szCs w:val="20"/>
          <w:lang w:val="en-US"/>
        </w:rPr>
        <w:t xml:space="preserve"> </w:t>
      </w:r>
      <w:r w:rsidR="002E68EB" w:rsidRPr="00BA29AC">
        <w:rPr>
          <w:rFonts w:cs="Arial"/>
          <w:szCs w:val="20"/>
          <w:lang w:val="en-US"/>
        </w:rPr>
        <w:t>which is</w:t>
      </w:r>
      <w:r w:rsidR="008412E6" w:rsidRPr="00BA29AC">
        <w:rPr>
          <w:rFonts w:cs="Arial"/>
          <w:szCs w:val="20"/>
          <w:lang w:val="en-US"/>
        </w:rPr>
        <w:t xml:space="preserve"> </w:t>
      </w:r>
      <w:r w:rsidR="00BF093A" w:rsidRPr="00BA29AC">
        <w:rPr>
          <w:rFonts w:cs="Arial"/>
          <w:szCs w:val="20"/>
          <w:lang w:val="en-US"/>
        </w:rPr>
        <w:t>within a radius of 14 km</w:t>
      </w:r>
      <w:r w:rsidR="003247DE" w:rsidRPr="00BA29AC">
        <w:rPr>
          <w:rFonts w:cs="Arial"/>
          <w:szCs w:val="20"/>
          <w:lang w:val="en-US"/>
        </w:rPr>
        <w:t xml:space="preserve"> from the nominal transmission site</w:t>
      </w:r>
      <w:r w:rsidR="00B143A9" w:rsidRPr="00BA29AC">
        <w:rPr>
          <w:rFonts w:cs="Arial"/>
          <w:szCs w:val="20"/>
          <w:lang w:val="en-US"/>
        </w:rPr>
        <w:t>.</w:t>
      </w:r>
      <w:r w:rsidR="00B143A9" w:rsidRPr="00BA29AC">
        <w:rPr>
          <w:rFonts w:cs="Arial"/>
          <w:szCs w:val="20"/>
        </w:rPr>
        <w:t xml:space="preserve"> </w:t>
      </w:r>
    </w:p>
    <w:p w14:paraId="260F6C83" w14:textId="7F2470A0" w:rsidR="0023168F" w:rsidRDefault="0023168F" w:rsidP="00BF093A">
      <w:r>
        <w:t xml:space="preserve">The coverage area of the Gosford HPON differs for daytime and </w:t>
      </w:r>
      <w:proofErr w:type="gramStart"/>
      <w:r>
        <w:t>night time</w:t>
      </w:r>
      <w:proofErr w:type="gramEnd"/>
      <w:r>
        <w:t xml:space="preserve"> operation T</w:t>
      </w:r>
      <w:r w:rsidRPr="00AD4BA7">
        <w:t xml:space="preserve">he </w:t>
      </w:r>
      <w:r>
        <w:t xml:space="preserve">Gosford HPON technical specification states the </w:t>
      </w:r>
      <w:r w:rsidRPr="00AD4BA7">
        <w:t xml:space="preserve">day time </w:t>
      </w:r>
      <w:r>
        <w:t xml:space="preserve">urban </w:t>
      </w:r>
      <w:r w:rsidRPr="00AD4BA7">
        <w:t xml:space="preserve">coverage area is within a radius of </w:t>
      </w:r>
      <w:r>
        <w:t xml:space="preserve">14 </w:t>
      </w:r>
      <w:r w:rsidRPr="00AD4BA7">
        <w:t xml:space="preserve">km from the </w:t>
      </w:r>
      <w:r w:rsidRPr="00BA29AC">
        <w:t xml:space="preserve">nominal </w:t>
      </w:r>
      <w:r w:rsidRPr="00AD4BA7">
        <w:t>transmitter site</w:t>
      </w:r>
      <w:r>
        <w:t>, and</w:t>
      </w:r>
      <w:r w:rsidRPr="00AD4BA7">
        <w:t xml:space="preserve"> the night time coverage area is within 4 km of the </w:t>
      </w:r>
      <w:r w:rsidRPr="00BA29AC">
        <w:t xml:space="preserve">nominal </w:t>
      </w:r>
      <w:r w:rsidRPr="00AD4BA7">
        <w:t>transmitter site</w:t>
      </w:r>
      <w:r>
        <w:t xml:space="preserve">. However, in the absence of any interference </w:t>
      </w:r>
      <w:r w:rsidRPr="00AD13E0">
        <w:t xml:space="preserve">it is expected that the </w:t>
      </w:r>
      <w:proofErr w:type="gramStart"/>
      <w:r w:rsidRPr="00AD13E0">
        <w:t>day time</w:t>
      </w:r>
      <w:proofErr w:type="gramEnd"/>
      <w:r w:rsidRPr="00AD13E0">
        <w:t xml:space="preserve"> coverage of the HPON service on 747</w:t>
      </w:r>
      <w:r>
        <w:t> kHz may extend</w:t>
      </w:r>
      <w:r w:rsidRPr="00AD13E0">
        <w:t xml:space="preserve"> to a suburban signal level within a coverage radius of 35 k</w:t>
      </w:r>
      <w:r>
        <w:t>m</w:t>
      </w:r>
      <w:r w:rsidRPr="00AD13E0">
        <w:t xml:space="preserve"> from the nominal transmission site and provide coverage to a</w:t>
      </w:r>
      <w:r>
        <w:t>n approximate</w:t>
      </w:r>
      <w:r w:rsidRPr="00AD13E0">
        <w:t xml:space="preserve"> population of </w:t>
      </w:r>
      <w:r w:rsidRPr="00BA29AC">
        <w:t>450,000.</w:t>
      </w:r>
    </w:p>
    <w:p w14:paraId="05E31903" w14:textId="2AD26F84" w:rsidR="00CB5AA5" w:rsidRPr="00BA29AC" w:rsidRDefault="00CB5AA5" w:rsidP="009A70E0">
      <w:pPr>
        <w:pStyle w:val="Heading4"/>
        <w:rPr>
          <w:lang w:val="en-US"/>
        </w:rPr>
      </w:pPr>
      <w:r w:rsidRPr="00BA29AC">
        <w:rPr>
          <w:lang w:val="en-US"/>
        </w:rPr>
        <w:t>Future changes to the Gosford LAP</w:t>
      </w:r>
    </w:p>
    <w:p w14:paraId="438F4DE9" w14:textId="037F93BE" w:rsidR="0044017D" w:rsidRPr="00BA29AC" w:rsidRDefault="003D761D">
      <w:pPr>
        <w:spacing w:after="120"/>
        <w:rPr>
          <w:rFonts w:cs="Arial"/>
          <w:szCs w:val="20"/>
          <w:lang w:val="en-US"/>
        </w:rPr>
      </w:pPr>
      <w:r w:rsidRPr="00121F98">
        <w:rPr>
          <w:rFonts w:cs="Arial"/>
          <w:szCs w:val="20"/>
          <w:lang w:val="en-US"/>
        </w:rPr>
        <w:t>T</w:t>
      </w:r>
      <w:r w:rsidR="001F502B" w:rsidRPr="00121F98">
        <w:rPr>
          <w:rFonts w:cs="Arial"/>
          <w:szCs w:val="20"/>
          <w:lang w:val="en-US"/>
        </w:rPr>
        <w:t xml:space="preserve">he ACMA is considering </w:t>
      </w:r>
      <w:r w:rsidR="00BC7F8F" w:rsidRPr="00121F98">
        <w:rPr>
          <w:rFonts w:cs="Arial"/>
          <w:szCs w:val="20"/>
          <w:lang w:val="en-US"/>
        </w:rPr>
        <w:t>changes to the Gosford HPON technical specification</w:t>
      </w:r>
      <w:r w:rsidR="006A71F5" w:rsidRPr="00121F98">
        <w:rPr>
          <w:rFonts w:cs="Arial"/>
          <w:szCs w:val="20"/>
          <w:lang w:val="en-US"/>
        </w:rPr>
        <w:t>,</w:t>
      </w:r>
      <w:r w:rsidR="00A50A4C" w:rsidRPr="00121F98">
        <w:rPr>
          <w:rFonts w:cs="Arial"/>
          <w:szCs w:val="20"/>
          <w:lang w:val="en-US"/>
        </w:rPr>
        <w:t xml:space="preserve"> to better reflect </w:t>
      </w:r>
      <w:r w:rsidR="00BC7F8F" w:rsidRPr="00121F98">
        <w:rPr>
          <w:rFonts w:cs="Arial"/>
          <w:szCs w:val="20"/>
          <w:lang w:val="en-US"/>
        </w:rPr>
        <w:t xml:space="preserve">the expected </w:t>
      </w:r>
      <w:r w:rsidR="002537A9" w:rsidRPr="00121F98">
        <w:rPr>
          <w:rFonts w:cs="Arial"/>
          <w:szCs w:val="20"/>
          <w:lang w:val="en-US"/>
        </w:rPr>
        <w:t>day</w:t>
      </w:r>
      <w:r w:rsidR="0044017D" w:rsidRPr="00121F98">
        <w:rPr>
          <w:rFonts w:cs="Arial"/>
          <w:szCs w:val="20"/>
          <w:lang w:val="en-US"/>
        </w:rPr>
        <w:t>-</w:t>
      </w:r>
      <w:r w:rsidR="002537A9" w:rsidRPr="00121F98">
        <w:rPr>
          <w:rFonts w:cs="Arial"/>
          <w:szCs w:val="20"/>
          <w:lang w:val="en-US"/>
        </w:rPr>
        <w:t>time</w:t>
      </w:r>
      <w:r w:rsidR="0044017D" w:rsidRPr="00121F98">
        <w:rPr>
          <w:rFonts w:cs="Arial"/>
          <w:szCs w:val="20"/>
          <w:lang w:val="en-US"/>
        </w:rPr>
        <w:t xml:space="preserve"> </w:t>
      </w:r>
      <w:r w:rsidR="00BC7F8F" w:rsidRPr="00121F98">
        <w:rPr>
          <w:rFonts w:cs="Arial"/>
          <w:szCs w:val="20"/>
          <w:lang w:val="en-US"/>
        </w:rPr>
        <w:t xml:space="preserve">coverage of the </w:t>
      </w:r>
      <w:r w:rsidR="0018143C" w:rsidRPr="00121F98">
        <w:rPr>
          <w:rFonts w:cs="Arial"/>
          <w:szCs w:val="20"/>
          <w:lang w:val="en-US"/>
        </w:rPr>
        <w:t>HPON</w:t>
      </w:r>
      <w:r w:rsidR="006A71F5" w:rsidRPr="00121F98">
        <w:rPr>
          <w:rFonts w:cs="Arial"/>
          <w:szCs w:val="20"/>
          <w:lang w:val="en-US"/>
        </w:rPr>
        <w:t>,</w:t>
      </w:r>
      <w:r w:rsidR="009B5D38" w:rsidRPr="00121F98">
        <w:rPr>
          <w:rFonts w:cs="Arial"/>
          <w:szCs w:val="20"/>
          <w:lang w:val="en-US"/>
        </w:rPr>
        <w:t xml:space="preserve"> </w:t>
      </w:r>
      <w:r w:rsidR="00626CCF" w:rsidRPr="00121F98">
        <w:rPr>
          <w:rFonts w:cs="Arial"/>
          <w:szCs w:val="20"/>
          <w:lang w:val="en-US"/>
        </w:rPr>
        <w:t>w</w:t>
      </w:r>
      <w:r w:rsidR="009B5D38" w:rsidRPr="00121F98">
        <w:rPr>
          <w:rFonts w:cs="Arial"/>
          <w:szCs w:val="20"/>
          <w:lang w:val="en-US"/>
        </w:rPr>
        <w:t>hen the Gosford Radio licence area plan is next varied</w:t>
      </w:r>
      <w:r w:rsidR="0018143C" w:rsidRPr="00121F98">
        <w:rPr>
          <w:rFonts w:cs="Arial"/>
          <w:szCs w:val="20"/>
          <w:lang w:val="en-US"/>
        </w:rPr>
        <w:t>.</w:t>
      </w:r>
      <w:r w:rsidR="0018143C" w:rsidRPr="00BA29AC">
        <w:rPr>
          <w:rFonts w:cs="Arial"/>
          <w:szCs w:val="20"/>
          <w:lang w:val="en-US"/>
        </w:rPr>
        <w:t xml:space="preserve"> </w:t>
      </w:r>
      <w:r w:rsidR="000921EA">
        <w:rPr>
          <w:rFonts w:cs="Arial"/>
          <w:szCs w:val="20"/>
          <w:lang w:val="en-US"/>
        </w:rPr>
        <w:t xml:space="preserve">The changes being considered </w:t>
      </w:r>
      <w:r w:rsidR="00C41DA5">
        <w:rPr>
          <w:rFonts w:cs="Arial"/>
          <w:szCs w:val="20"/>
          <w:lang w:val="en-US"/>
        </w:rPr>
        <w:t xml:space="preserve">are administrative and </w:t>
      </w:r>
      <w:r w:rsidR="000921EA">
        <w:rPr>
          <w:rFonts w:cs="Arial"/>
          <w:szCs w:val="20"/>
          <w:lang w:val="en-US"/>
        </w:rPr>
        <w:t xml:space="preserve">would not have any substantive impact on the </w:t>
      </w:r>
      <w:r w:rsidR="00C41DA5">
        <w:rPr>
          <w:rFonts w:cs="Arial"/>
          <w:szCs w:val="20"/>
          <w:lang w:val="en-US"/>
        </w:rPr>
        <w:t xml:space="preserve">coverage </w:t>
      </w:r>
      <w:r w:rsidR="00BC6CB0">
        <w:rPr>
          <w:rFonts w:cs="Arial"/>
          <w:szCs w:val="20"/>
          <w:lang w:val="en-US"/>
        </w:rPr>
        <w:t>area of the Gosford HPON.</w:t>
      </w:r>
    </w:p>
    <w:p w14:paraId="0DC95013" w14:textId="435D2608" w:rsidR="00BF093A" w:rsidRPr="00BA29AC" w:rsidRDefault="00F87986" w:rsidP="00BF093A">
      <w:pPr>
        <w:rPr>
          <w:rFonts w:cs="Arial"/>
          <w:sz w:val="19"/>
          <w:szCs w:val="19"/>
          <w:lang w:val="en-US"/>
        </w:rPr>
      </w:pPr>
      <w:r w:rsidRPr="00BA29AC">
        <w:rPr>
          <w:rFonts w:cs="Arial"/>
          <w:szCs w:val="20"/>
          <w:lang w:val="en-US"/>
        </w:rPr>
        <w:t xml:space="preserve">The ACMA </w:t>
      </w:r>
      <w:r w:rsidR="004A3399" w:rsidRPr="00BA29AC">
        <w:rPr>
          <w:rFonts w:cs="Arial"/>
          <w:szCs w:val="20"/>
          <w:lang w:val="en-US"/>
        </w:rPr>
        <w:t xml:space="preserve">will consult on any changes to the </w:t>
      </w:r>
      <w:r w:rsidR="00E04D63" w:rsidRPr="00BA29AC">
        <w:rPr>
          <w:rFonts w:cs="Arial"/>
          <w:szCs w:val="20"/>
          <w:lang w:val="en-US"/>
        </w:rPr>
        <w:t xml:space="preserve">technical </w:t>
      </w:r>
      <w:r w:rsidR="003B4644" w:rsidRPr="00BA29AC">
        <w:rPr>
          <w:rFonts w:cs="Arial"/>
          <w:szCs w:val="20"/>
          <w:lang w:val="en-US"/>
        </w:rPr>
        <w:t>specification</w:t>
      </w:r>
      <w:r w:rsidR="004A3399" w:rsidRPr="00BA29AC">
        <w:rPr>
          <w:rFonts w:cs="Arial"/>
          <w:szCs w:val="20"/>
          <w:lang w:val="en-US"/>
        </w:rPr>
        <w:t xml:space="preserve"> </w:t>
      </w:r>
      <w:r w:rsidR="004A6654">
        <w:rPr>
          <w:rFonts w:cs="Arial"/>
          <w:szCs w:val="20"/>
          <w:lang w:val="en-US"/>
        </w:rPr>
        <w:t xml:space="preserve">of the Gosford HPON </w:t>
      </w:r>
      <w:r w:rsidR="004A3399" w:rsidRPr="00BA29AC">
        <w:rPr>
          <w:rFonts w:cs="Arial"/>
          <w:szCs w:val="20"/>
          <w:lang w:val="en-US"/>
        </w:rPr>
        <w:t xml:space="preserve">as part of its normal LAP variation process. </w:t>
      </w:r>
    </w:p>
    <w:p w14:paraId="2ADF9245" w14:textId="77777777" w:rsidR="00A2785D" w:rsidRDefault="00A2785D" w:rsidP="009A70E0">
      <w:pPr>
        <w:pStyle w:val="Heading1"/>
      </w:pPr>
      <w:bookmarkStart w:id="15" w:name="_Toc27667923"/>
      <w:bookmarkStart w:id="16" w:name="_Toc74905622"/>
      <w:r>
        <w:lastRenderedPageBreak/>
        <w:t>How to participate in an allocation</w:t>
      </w:r>
      <w:bookmarkEnd w:id="15"/>
      <w:bookmarkEnd w:id="16"/>
    </w:p>
    <w:p w14:paraId="6756EB04" w14:textId="458B83E8" w:rsidR="00A2785D" w:rsidRPr="00B37D69" w:rsidRDefault="00A2785D" w:rsidP="009A70E0">
      <w:pPr>
        <w:pStyle w:val="Paragraphbeforelist"/>
      </w:pPr>
      <w:r w:rsidRPr="00B37D69">
        <w:t>To participate in this allocation:</w:t>
      </w:r>
    </w:p>
    <w:p w14:paraId="0C82D631" w14:textId="7CF66D0B" w:rsidR="00A2785D" w:rsidRPr="00B37D69" w:rsidRDefault="00A2785D" w:rsidP="009A70E0">
      <w:pPr>
        <w:pStyle w:val="ListNumber"/>
        <w:numPr>
          <w:ilvl w:val="0"/>
          <w:numId w:val="41"/>
        </w:numPr>
      </w:pPr>
      <w:r w:rsidRPr="00843401">
        <w:t>Inform</w:t>
      </w:r>
      <w:r w:rsidRPr="00B37D69">
        <w:t xml:space="preserve"> yourself</w:t>
      </w:r>
      <w:r w:rsidR="001F1212">
        <w:t xml:space="preserve"> – </w:t>
      </w:r>
      <w:r w:rsidRPr="00B37D69">
        <w:t>read and understand all the information in this package</w:t>
      </w:r>
      <w:r>
        <w:t xml:space="preserve"> and the provisions of the HPON </w:t>
      </w:r>
      <w:r w:rsidRPr="00843401">
        <w:t>Allocation</w:t>
      </w:r>
      <w:r>
        <w:t xml:space="preserve"> Determination</w:t>
      </w:r>
      <w:r w:rsidRPr="00B37D69">
        <w:t xml:space="preserve">.  </w:t>
      </w:r>
    </w:p>
    <w:p w14:paraId="125FD232" w14:textId="32D1E9F6" w:rsidR="00A2785D" w:rsidRPr="00B37D69" w:rsidRDefault="00A2785D" w:rsidP="009A70E0">
      <w:pPr>
        <w:pStyle w:val="Numberlistlevel1"/>
      </w:pPr>
      <w:r>
        <w:t>Lodge</w:t>
      </w:r>
      <w:r w:rsidRPr="00B37D69">
        <w:t xml:space="preserve"> an application</w:t>
      </w:r>
      <w:r w:rsidR="001F1212">
        <w:t xml:space="preserve"> – </w:t>
      </w:r>
      <w:r w:rsidRPr="00B37D69">
        <w:t xml:space="preserve">lodge the required </w:t>
      </w:r>
      <w:r>
        <w:t xml:space="preserve">registration </w:t>
      </w:r>
      <w:r w:rsidR="00F5214B">
        <w:t>forms</w:t>
      </w:r>
      <w:r w:rsidRPr="00B37D69">
        <w:t xml:space="preserve"> and entry fee</w:t>
      </w:r>
      <w:r>
        <w:t>/s</w:t>
      </w:r>
      <w:r w:rsidRPr="00B37D69">
        <w:t xml:space="preserve"> before</w:t>
      </w:r>
      <w:r w:rsidR="0023168F">
        <w:t xml:space="preserve"> </w:t>
      </w:r>
      <w:r w:rsidR="0023168F" w:rsidRPr="00B37D69">
        <w:t xml:space="preserve">the </w:t>
      </w:r>
      <w:r w:rsidR="0023168F">
        <w:t>closing date and time</w:t>
      </w:r>
      <w:r w:rsidR="006D67DF">
        <w:t>.</w:t>
      </w:r>
    </w:p>
    <w:p w14:paraId="010F8B14" w14:textId="73D6851C" w:rsidR="00A2785D" w:rsidRPr="00B37D69" w:rsidRDefault="00A2785D" w:rsidP="009A70E0">
      <w:pPr>
        <w:pStyle w:val="Numberlistlast"/>
      </w:pPr>
      <w:r w:rsidRPr="00B37D69">
        <w:t>Wait for advice from the ACMA regarding the status of your application.</w:t>
      </w:r>
    </w:p>
    <w:p w14:paraId="4C57399C" w14:textId="2BBDCF67" w:rsidR="00A2785D" w:rsidRDefault="00A2785D" w:rsidP="00A2785D">
      <w:pPr>
        <w:pStyle w:val="Heading2"/>
      </w:pPr>
      <w:bookmarkStart w:id="17" w:name="_Toc64779324"/>
      <w:bookmarkStart w:id="18" w:name="_Toc248892929"/>
      <w:bookmarkStart w:id="19" w:name="_Toc413940217"/>
      <w:bookmarkStart w:id="20" w:name="_Toc27667925"/>
      <w:bookmarkStart w:id="21" w:name="_Toc74905623"/>
      <w:r>
        <w:t>Step 1</w:t>
      </w:r>
      <w:r w:rsidR="001F1212">
        <w:t xml:space="preserve"> – </w:t>
      </w:r>
      <w:r>
        <w:t>inform yourself</w:t>
      </w:r>
      <w:bookmarkEnd w:id="17"/>
      <w:bookmarkEnd w:id="18"/>
      <w:bookmarkEnd w:id="19"/>
      <w:bookmarkEnd w:id="20"/>
      <w:bookmarkEnd w:id="21"/>
    </w:p>
    <w:p w14:paraId="4949EA1E" w14:textId="77777777" w:rsidR="00A2785D" w:rsidRDefault="00A2785D" w:rsidP="00A2785D">
      <w:r w:rsidRPr="00B37D69">
        <w:t xml:space="preserve">Before participating in this </w:t>
      </w:r>
      <w:r>
        <w:t>allocation,</w:t>
      </w:r>
      <w:r w:rsidRPr="00B37D69">
        <w:t xml:space="preserve"> make sure that you read and understand all of the material in this package.  </w:t>
      </w:r>
    </w:p>
    <w:p w14:paraId="365C55D1" w14:textId="2EFD3904" w:rsidR="00A2785D" w:rsidRDefault="00A2785D" w:rsidP="00A2785D">
      <w:pPr>
        <w:rPr>
          <w:b/>
        </w:rPr>
      </w:pPr>
      <w:r w:rsidRPr="00B37D69">
        <w:t xml:space="preserve">It is important that you understand the opportunities and responsibilities that </w:t>
      </w:r>
      <w:r>
        <w:t xml:space="preserve">HPON </w:t>
      </w:r>
      <w:r w:rsidRPr="00B37D69">
        <w:t xml:space="preserve">apparatus licensing entails. </w:t>
      </w:r>
    </w:p>
    <w:p w14:paraId="5D687552" w14:textId="191C46EC" w:rsidR="00A2785D" w:rsidRDefault="00A2785D" w:rsidP="00A2785D">
      <w:r>
        <w:t>The</w:t>
      </w:r>
      <w:r w:rsidRPr="00B37D69">
        <w:t xml:space="preserve"> allocation of </w:t>
      </w:r>
      <w:r>
        <w:t>the Hobart and Gosford HPON</w:t>
      </w:r>
      <w:r w:rsidRPr="00B37D69">
        <w:t xml:space="preserve"> licences may take place with or without an auction. An auction will only take place</w:t>
      </w:r>
      <w:r w:rsidR="004E65EC">
        <w:t xml:space="preserve"> for a licence</w:t>
      </w:r>
      <w:r w:rsidRPr="00B37D69">
        <w:t xml:space="preserve"> if there is </w:t>
      </w:r>
      <w:r>
        <w:t>more than one registered applicant</w:t>
      </w:r>
      <w:r w:rsidRPr="00B37D69">
        <w:t xml:space="preserve"> for </w:t>
      </w:r>
      <w:r w:rsidR="004E65EC">
        <w:t>that</w:t>
      </w:r>
      <w:r w:rsidR="00222507">
        <w:t xml:space="preserve"> </w:t>
      </w:r>
      <w:r>
        <w:t xml:space="preserve">licence at </w:t>
      </w:r>
      <w:r w:rsidR="0023168F" w:rsidRPr="00B37D69">
        <w:t xml:space="preserve">the </w:t>
      </w:r>
      <w:r w:rsidR="0023168F">
        <w:t>closing date and time</w:t>
      </w:r>
      <w:r w:rsidRPr="00B37D69">
        <w:t xml:space="preserve">. </w:t>
      </w:r>
    </w:p>
    <w:p w14:paraId="5D040CDC" w14:textId="2B74AE4B" w:rsidR="00A2785D" w:rsidRDefault="00A2785D" w:rsidP="00A2785D">
      <w:pPr>
        <w:pStyle w:val="Heading2"/>
      </w:pPr>
      <w:bookmarkStart w:id="22" w:name="_Toc61252969"/>
      <w:bookmarkStart w:id="23" w:name="_Toc61253970"/>
      <w:bookmarkStart w:id="24" w:name="_Toc64779329"/>
      <w:bookmarkStart w:id="25" w:name="_Toc248892934"/>
      <w:bookmarkStart w:id="26" w:name="_Toc413940222"/>
      <w:bookmarkStart w:id="27" w:name="_Toc27667926"/>
      <w:bookmarkStart w:id="28" w:name="_Toc74905624"/>
      <w:r>
        <w:t>Step 2</w:t>
      </w:r>
      <w:r w:rsidR="001F1212">
        <w:t xml:space="preserve"> – </w:t>
      </w:r>
      <w:r>
        <w:t>lodge an application</w:t>
      </w:r>
      <w:bookmarkEnd w:id="22"/>
      <w:bookmarkEnd w:id="23"/>
      <w:bookmarkEnd w:id="24"/>
      <w:bookmarkEnd w:id="25"/>
      <w:bookmarkEnd w:id="26"/>
      <w:bookmarkEnd w:id="27"/>
      <w:bookmarkEnd w:id="28"/>
    </w:p>
    <w:p w14:paraId="7F6E4D87" w14:textId="6CD98AD2" w:rsidR="00A2785D" w:rsidRDefault="00A2785D" w:rsidP="00A2785D">
      <w:r>
        <w:t>You</w:t>
      </w:r>
      <w:r w:rsidRPr="00B37D69">
        <w:t xml:space="preserve"> </w:t>
      </w:r>
      <w:r w:rsidR="00F5214B">
        <w:t>must</w:t>
      </w:r>
      <w:r w:rsidRPr="00B37D69">
        <w:t xml:space="preserve"> lodge your application with the ACMA by the </w:t>
      </w:r>
      <w:r w:rsidR="0023168F">
        <w:t>closing date and time</w:t>
      </w:r>
      <w:r w:rsidR="0023168F" w:rsidRPr="00B37D69">
        <w:t xml:space="preserve"> </w:t>
      </w:r>
      <w:r>
        <w:t xml:space="preserve">to take part </w:t>
      </w:r>
      <w:r w:rsidRPr="00B37D69">
        <w:t>in th</w:t>
      </w:r>
      <w:r>
        <w:t>is allocation</w:t>
      </w:r>
      <w:r w:rsidRPr="00B37D69">
        <w:t xml:space="preserve">. Applications received after that time will </w:t>
      </w:r>
      <w:r>
        <w:t xml:space="preserve">not </w:t>
      </w:r>
      <w:r w:rsidRPr="00B37D69">
        <w:t>be</w:t>
      </w:r>
      <w:r>
        <w:t xml:space="preserve"> registered.</w:t>
      </w:r>
    </w:p>
    <w:p w14:paraId="533BD3C5" w14:textId="4636847F" w:rsidR="00A2785D" w:rsidRPr="00B37D69" w:rsidRDefault="00A2785D" w:rsidP="00A2785D">
      <w:pPr>
        <w:spacing w:after="80"/>
      </w:pPr>
      <w:r>
        <w:t xml:space="preserve">To participate in this </w:t>
      </w:r>
      <w:r w:rsidR="00F5214B">
        <w:t>allocation</w:t>
      </w:r>
      <w:r w:rsidR="00843401">
        <w:t>,</w:t>
      </w:r>
      <w:r w:rsidR="00F5214B">
        <w:t xml:space="preserve"> </w:t>
      </w:r>
      <w:r w:rsidRPr="00B37D69">
        <w:t xml:space="preserve">you </w:t>
      </w:r>
      <w:r w:rsidR="00154ACA">
        <w:t>must</w:t>
      </w:r>
      <w:r w:rsidRPr="00B37D69">
        <w:t xml:space="preserve"> complete and lodge each of the following registration </w:t>
      </w:r>
      <w:r w:rsidR="00F5214B">
        <w:t>forms</w:t>
      </w:r>
      <w:r w:rsidR="00D815CA">
        <w:t xml:space="preserve"> located on the notice of allocation web page</w:t>
      </w:r>
      <w:r w:rsidRPr="00B37D69">
        <w:t>:</w:t>
      </w:r>
    </w:p>
    <w:p w14:paraId="39380E20" w14:textId="6DBA5C0C" w:rsidR="00A2785D" w:rsidRDefault="00DC53B2" w:rsidP="009A70E0">
      <w:pPr>
        <w:pStyle w:val="Bulletlevel1"/>
      </w:pPr>
      <w:r>
        <w:t>a</w:t>
      </w:r>
      <w:r w:rsidR="00A2785D">
        <w:t>pplication</w:t>
      </w:r>
      <w:r>
        <w:t xml:space="preserve"> form</w:t>
      </w:r>
      <w:r w:rsidR="00A2785D" w:rsidRPr="00B37D69">
        <w:t xml:space="preserve"> </w:t>
      </w:r>
    </w:p>
    <w:p w14:paraId="3682A822" w14:textId="2F09F393" w:rsidR="00A2785D" w:rsidRDefault="00DC53B2" w:rsidP="009A70E0">
      <w:pPr>
        <w:pStyle w:val="Bulletlevel1"/>
      </w:pPr>
      <w:r>
        <w:t>i</w:t>
      </w:r>
      <w:r w:rsidR="00A2785D">
        <w:t xml:space="preserve">ndemnity and </w:t>
      </w:r>
      <w:r>
        <w:t>g</w:t>
      </w:r>
      <w:r w:rsidR="00A2785D">
        <w:t>uarantee</w:t>
      </w:r>
      <w:r>
        <w:t xml:space="preserve"> form</w:t>
      </w:r>
      <w:r w:rsidR="00A2785D">
        <w:t xml:space="preserve"> </w:t>
      </w:r>
    </w:p>
    <w:p w14:paraId="15C6DEB9" w14:textId="5519784E" w:rsidR="00F5214B" w:rsidRPr="00F5214B" w:rsidRDefault="00A2785D" w:rsidP="009A70E0">
      <w:pPr>
        <w:pStyle w:val="Bulletlevel1last"/>
      </w:pPr>
      <w:r>
        <w:t xml:space="preserve">if the applicant is a company or incorporated association, at least one </w:t>
      </w:r>
      <w:r w:rsidR="00DC53B2">
        <w:t>a</w:t>
      </w:r>
      <w:r>
        <w:t>uthority</w:t>
      </w:r>
      <w:r w:rsidR="00DC53B2">
        <w:t xml:space="preserve"> form</w:t>
      </w:r>
      <w:r>
        <w:t>.</w:t>
      </w:r>
    </w:p>
    <w:p w14:paraId="5EC32EA6" w14:textId="318A0877" w:rsidR="00A2785D" w:rsidRPr="009A70E0" w:rsidRDefault="00A2785D" w:rsidP="00A2785D">
      <w:pPr>
        <w:pBdr>
          <w:top w:val="single" w:sz="4" w:space="1" w:color="auto"/>
          <w:left w:val="single" w:sz="4" w:space="4" w:color="auto"/>
          <w:bottom w:val="single" w:sz="4" w:space="1" w:color="auto"/>
          <w:right w:val="single" w:sz="4" w:space="4" w:color="auto"/>
        </w:pBdr>
        <w:shd w:val="clear" w:color="auto" w:fill="F2F2F2" w:themeFill="background1" w:themeFillShade="F2"/>
        <w:rPr>
          <w:bCs/>
          <w:iCs/>
          <w:szCs w:val="20"/>
        </w:rPr>
      </w:pPr>
      <w:bookmarkStart w:id="29" w:name="_Toc64779330"/>
      <w:r w:rsidRPr="009A70E0">
        <w:rPr>
          <w:bCs/>
          <w:iCs/>
          <w:szCs w:val="20"/>
        </w:rPr>
        <w:t xml:space="preserve">You must lodge a separate: </w:t>
      </w:r>
      <w:r w:rsidR="00DC53B2">
        <w:rPr>
          <w:bCs/>
          <w:iCs/>
          <w:szCs w:val="20"/>
        </w:rPr>
        <w:t>a</w:t>
      </w:r>
      <w:r w:rsidRPr="009A70E0">
        <w:rPr>
          <w:bCs/>
          <w:iCs/>
          <w:szCs w:val="20"/>
        </w:rPr>
        <w:t>pplication</w:t>
      </w:r>
      <w:r w:rsidR="00DC53B2">
        <w:rPr>
          <w:bCs/>
          <w:iCs/>
          <w:szCs w:val="20"/>
        </w:rPr>
        <w:t xml:space="preserve"> form</w:t>
      </w:r>
      <w:r w:rsidRPr="009A70E0">
        <w:rPr>
          <w:bCs/>
          <w:iCs/>
          <w:szCs w:val="20"/>
        </w:rPr>
        <w:t xml:space="preserve">, </w:t>
      </w:r>
      <w:r w:rsidR="00DC53B2">
        <w:rPr>
          <w:bCs/>
          <w:iCs/>
          <w:szCs w:val="20"/>
        </w:rPr>
        <w:t>i</w:t>
      </w:r>
      <w:r w:rsidRPr="009A70E0">
        <w:rPr>
          <w:bCs/>
          <w:iCs/>
          <w:szCs w:val="20"/>
        </w:rPr>
        <w:t xml:space="preserve">ndemnity and </w:t>
      </w:r>
      <w:r w:rsidR="00DC53B2">
        <w:rPr>
          <w:bCs/>
          <w:iCs/>
          <w:szCs w:val="20"/>
        </w:rPr>
        <w:t>g</w:t>
      </w:r>
      <w:r w:rsidRPr="009A70E0">
        <w:rPr>
          <w:bCs/>
          <w:iCs/>
          <w:szCs w:val="20"/>
        </w:rPr>
        <w:t>uarantee</w:t>
      </w:r>
      <w:r w:rsidR="00DC53B2">
        <w:rPr>
          <w:bCs/>
          <w:iCs/>
          <w:szCs w:val="20"/>
        </w:rPr>
        <w:t xml:space="preserve"> form</w:t>
      </w:r>
      <w:r w:rsidRPr="009A70E0">
        <w:rPr>
          <w:bCs/>
          <w:iCs/>
          <w:szCs w:val="20"/>
        </w:rPr>
        <w:t xml:space="preserve">, </w:t>
      </w:r>
      <w:r w:rsidR="00DC53B2">
        <w:rPr>
          <w:bCs/>
          <w:iCs/>
          <w:szCs w:val="20"/>
        </w:rPr>
        <w:t>a</w:t>
      </w:r>
      <w:r w:rsidRPr="009A70E0">
        <w:rPr>
          <w:bCs/>
          <w:iCs/>
          <w:szCs w:val="20"/>
        </w:rPr>
        <w:t xml:space="preserve">uthority </w:t>
      </w:r>
      <w:r w:rsidR="00DC53B2">
        <w:rPr>
          <w:bCs/>
          <w:iCs/>
          <w:szCs w:val="20"/>
        </w:rPr>
        <w:t xml:space="preserve">form </w:t>
      </w:r>
      <w:r w:rsidRPr="009A70E0">
        <w:rPr>
          <w:bCs/>
          <w:iCs/>
          <w:szCs w:val="20"/>
        </w:rPr>
        <w:t xml:space="preserve">(if a company or incorporated association), and pay a separate entry fee, for each licence </w:t>
      </w:r>
      <w:r w:rsidR="000E3416" w:rsidRPr="009A70E0">
        <w:rPr>
          <w:bCs/>
          <w:iCs/>
          <w:szCs w:val="20"/>
        </w:rPr>
        <w:t>for which</w:t>
      </w:r>
      <w:r w:rsidRPr="009A70E0">
        <w:rPr>
          <w:bCs/>
          <w:iCs/>
          <w:szCs w:val="20"/>
        </w:rPr>
        <w:t xml:space="preserve"> you wish to apply.</w:t>
      </w:r>
    </w:p>
    <w:p w14:paraId="64D15F04" w14:textId="6794E514" w:rsidR="00A2785D" w:rsidRPr="009A70E0" w:rsidRDefault="00A2785D" w:rsidP="00F5214B">
      <w:pPr>
        <w:pBdr>
          <w:top w:val="single" w:sz="4" w:space="1" w:color="auto"/>
          <w:left w:val="single" w:sz="4" w:space="4" w:color="auto"/>
          <w:bottom w:val="single" w:sz="4" w:space="1" w:color="auto"/>
          <w:right w:val="single" w:sz="4" w:space="4" w:color="auto"/>
        </w:pBdr>
        <w:shd w:val="clear" w:color="auto" w:fill="F2F2F2" w:themeFill="background1" w:themeFillShade="F2"/>
        <w:rPr>
          <w:bCs/>
          <w:iCs/>
        </w:rPr>
      </w:pPr>
      <w:r w:rsidRPr="009A70E0">
        <w:rPr>
          <w:bCs/>
          <w:iCs/>
          <w:szCs w:val="20"/>
        </w:rPr>
        <w:t xml:space="preserve">The ACMA will register an applicant only if </w:t>
      </w:r>
      <w:r w:rsidR="00843401">
        <w:rPr>
          <w:bCs/>
          <w:iCs/>
          <w:szCs w:val="20"/>
        </w:rPr>
        <w:t>we</w:t>
      </w:r>
      <w:r w:rsidRPr="009A70E0">
        <w:rPr>
          <w:bCs/>
          <w:iCs/>
          <w:szCs w:val="20"/>
        </w:rPr>
        <w:t xml:space="preserve"> receive the required entry fee and all the necessary registration </w:t>
      </w:r>
      <w:r w:rsidR="000E3416" w:rsidRPr="009A70E0">
        <w:rPr>
          <w:bCs/>
          <w:iCs/>
          <w:szCs w:val="20"/>
        </w:rPr>
        <w:t>forms</w:t>
      </w:r>
      <w:r w:rsidRPr="009A70E0">
        <w:rPr>
          <w:bCs/>
          <w:iCs/>
          <w:szCs w:val="20"/>
        </w:rPr>
        <w:t xml:space="preserve">, completed and legible, by the closing </w:t>
      </w:r>
      <w:r w:rsidR="005036AD" w:rsidRPr="009A70E0">
        <w:rPr>
          <w:bCs/>
          <w:iCs/>
          <w:szCs w:val="20"/>
        </w:rPr>
        <w:t>date and time</w:t>
      </w:r>
      <w:r w:rsidRPr="009A70E0">
        <w:rPr>
          <w:bCs/>
          <w:iCs/>
          <w:szCs w:val="20"/>
        </w:rPr>
        <w:t xml:space="preserve">. </w:t>
      </w:r>
      <w:bookmarkEnd w:id="29"/>
    </w:p>
    <w:p w14:paraId="0C2E85E4" w14:textId="45282647" w:rsidR="00A2785D" w:rsidRPr="00B37D69" w:rsidRDefault="00A2785D" w:rsidP="00B770E4">
      <w:pPr>
        <w:pStyle w:val="Heading3"/>
      </w:pPr>
      <w:bookmarkStart w:id="30" w:name="_Toc27667927"/>
      <w:r w:rsidRPr="002F30E2">
        <w:t xml:space="preserve">Completing the registration </w:t>
      </w:r>
      <w:bookmarkEnd w:id="30"/>
      <w:r w:rsidR="00B770E4">
        <w:t>forms</w:t>
      </w:r>
    </w:p>
    <w:p w14:paraId="6FD33F56" w14:textId="77777777" w:rsidR="00A2785D" w:rsidRDefault="00A2785D" w:rsidP="00A2785D">
      <w:r w:rsidRPr="00B37D69">
        <w:t xml:space="preserve">Where the applicant is a company, the application form must be executed in accordance with section 127 of the </w:t>
      </w:r>
      <w:r w:rsidRPr="00B37D69">
        <w:rPr>
          <w:i/>
        </w:rPr>
        <w:t xml:space="preserve">Corporations </w:t>
      </w:r>
      <w:r w:rsidRPr="00293710">
        <w:rPr>
          <w:i/>
        </w:rPr>
        <w:t>Act 2001</w:t>
      </w:r>
      <w:r w:rsidRPr="00B37D69">
        <w:t xml:space="preserve">. </w:t>
      </w:r>
    </w:p>
    <w:p w14:paraId="0C9FCBB9" w14:textId="503F6587" w:rsidR="00A2785D" w:rsidRDefault="00A2785D" w:rsidP="00A2785D">
      <w:r w:rsidRPr="00B37D69">
        <w:t xml:space="preserve">The ACMA can only accept registration </w:t>
      </w:r>
      <w:r w:rsidR="00873EB3">
        <w:t>forms</w:t>
      </w:r>
      <w:r w:rsidRPr="00B37D69">
        <w:t xml:space="preserve"> that are complete and legible. To assist legibility, all </w:t>
      </w:r>
      <w:r>
        <w:t>documents</w:t>
      </w:r>
      <w:r w:rsidRPr="00B37D69">
        <w:t xml:space="preserve"> should be completed in block letters or be typed.</w:t>
      </w:r>
    </w:p>
    <w:p w14:paraId="4EFA5858" w14:textId="2B26C61C" w:rsidR="00A2785D" w:rsidRPr="009A70E0" w:rsidRDefault="00A2785D" w:rsidP="00873EB3">
      <w:pPr>
        <w:pBdr>
          <w:top w:val="single" w:sz="4" w:space="1" w:color="auto"/>
          <w:left w:val="single" w:sz="4" w:space="4" w:color="auto"/>
          <w:bottom w:val="single" w:sz="4" w:space="0" w:color="auto"/>
          <w:right w:val="single" w:sz="4" w:space="4" w:color="auto"/>
        </w:pBdr>
        <w:shd w:val="clear" w:color="auto" w:fill="F2F2F2" w:themeFill="background1" w:themeFillShade="F2"/>
        <w:rPr>
          <w:bCs/>
          <w:iCs/>
        </w:rPr>
      </w:pPr>
      <w:r w:rsidRPr="009A70E0">
        <w:rPr>
          <w:bCs/>
          <w:iCs/>
        </w:rPr>
        <w:t>Take care in completing the necessary registration documents. They are important for establishing your right to participate in the allocation process.</w:t>
      </w:r>
    </w:p>
    <w:p w14:paraId="15F6AE6D" w14:textId="77777777" w:rsidR="00A2785D" w:rsidRPr="007B021A" w:rsidRDefault="00A2785D" w:rsidP="00A2785D">
      <w:pPr>
        <w:pStyle w:val="Heading3"/>
      </w:pPr>
      <w:bookmarkStart w:id="31" w:name="_Toc61252971"/>
      <w:bookmarkStart w:id="32" w:name="_Toc61253972"/>
      <w:bookmarkStart w:id="33" w:name="_Toc64779332"/>
      <w:bookmarkStart w:id="34" w:name="_Toc248892937"/>
      <w:bookmarkStart w:id="35" w:name="_Toc413940225"/>
      <w:bookmarkStart w:id="36" w:name="_Toc27667928"/>
      <w:r w:rsidRPr="007B021A">
        <w:lastRenderedPageBreak/>
        <w:t>Entry fee</w:t>
      </w:r>
      <w:bookmarkEnd w:id="31"/>
      <w:bookmarkEnd w:id="32"/>
      <w:bookmarkEnd w:id="33"/>
      <w:bookmarkEnd w:id="34"/>
      <w:bookmarkEnd w:id="35"/>
      <w:bookmarkEnd w:id="36"/>
    </w:p>
    <w:p w14:paraId="338E4D16" w14:textId="56252D66" w:rsidR="00A2785D" w:rsidRDefault="00A2785D" w:rsidP="00A2785D">
      <w:r w:rsidRPr="00B37D69">
        <w:t xml:space="preserve">To register in this allocation, you </w:t>
      </w:r>
      <w:r w:rsidR="00335841">
        <w:t>must</w:t>
      </w:r>
      <w:r w:rsidR="00335841" w:rsidRPr="00B37D69">
        <w:t xml:space="preserve"> </w:t>
      </w:r>
      <w:r w:rsidRPr="00B37D69">
        <w:t>pay an entry fee of A$</w:t>
      </w:r>
      <w:r>
        <w:t>837</w:t>
      </w:r>
      <w:r w:rsidRPr="00B37D69">
        <w:t xml:space="preserve"> </w:t>
      </w:r>
      <w:r>
        <w:t xml:space="preserve">for each licence </w:t>
      </w:r>
      <w:r w:rsidR="00D27136">
        <w:t>for which</w:t>
      </w:r>
      <w:r>
        <w:t xml:space="preserve"> you wish to apply. </w:t>
      </w:r>
      <w:r w:rsidRPr="00B37D69">
        <w:rPr>
          <w:b/>
        </w:rPr>
        <w:t>This fee is non-refundable</w:t>
      </w:r>
      <w:r>
        <w:t>.</w:t>
      </w:r>
    </w:p>
    <w:p w14:paraId="50B17358" w14:textId="6432860B" w:rsidR="00A2785D" w:rsidRDefault="00A2785D" w:rsidP="00A2785D">
      <w:pPr>
        <w:pStyle w:val="Heading2"/>
      </w:pPr>
      <w:bookmarkStart w:id="37" w:name="_Toc61252973"/>
      <w:bookmarkStart w:id="38" w:name="_Toc61253974"/>
      <w:bookmarkStart w:id="39" w:name="_Toc64779335"/>
      <w:bookmarkStart w:id="40" w:name="_Toc248892940"/>
      <w:bookmarkStart w:id="41" w:name="_Toc413940228"/>
      <w:bookmarkStart w:id="42" w:name="_Toc27667929"/>
      <w:bookmarkStart w:id="43" w:name="_Toc74905625"/>
      <w:r>
        <w:t>Step 3</w:t>
      </w:r>
      <w:r w:rsidR="001F1212">
        <w:t xml:space="preserve"> – </w:t>
      </w:r>
      <w:r>
        <w:t>wait for advice regarding your application</w:t>
      </w:r>
      <w:bookmarkEnd w:id="37"/>
      <w:bookmarkEnd w:id="38"/>
      <w:bookmarkEnd w:id="39"/>
      <w:bookmarkEnd w:id="40"/>
      <w:bookmarkEnd w:id="41"/>
      <w:bookmarkEnd w:id="42"/>
      <w:bookmarkEnd w:id="43"/>
      <w:r>
        <w:t xml:space="preserve"> </w:t>
      </w:r>
    </w:p>
    <w:p w14:paraId="52565DBD" w14:textId="31A14347" w:rsidR="00154ACA" w:rsidRDefault="00154ACA" w:rsidP="00154ACA">
      <w:r w:rsidRPr="000E3416">
        <w:rPr>
          <w:b/>
          <w:bCs/>
        </w:rPr>
        <w:t>If there is only one registered applicant for either licence</w:t>
      </w:r>
      <w:r>
        <w:t xml:space="preserve">, the ACMA will notify the applicant for that licence that they are the successful applicant and will issue the licence to them, provided they lodge a completed </w:t>
      </w:r>
      <w:r w:rsidR="00DC53B2">
        <w:t>a</w:t>
      </w:r>
      <w:r>
        <w:t xml:space="preserve">cknowledgement </w:t>
      </w:r>
      <w:r w:rsidR="00DC53B2">
        <w:t xml:space="preserve">form </w:t>
      </w:r>
      <w:r>
        <w:t>and pay the reserve price</w:t>
      </w:r>
      <w:r w:rsidRPr="00B37D69">
        <w:t>.</w:t>
      </w:r>
    </w:p>
    <w:p w14:paraId="09B367F2" w14:textId="5CE51223" w:rsidR="000E3416" w:rsidRDefault="00D27136" w:rsidP="000E3416">
      <w:r w:rsidRPr="000372C6">
        <w:rPr>
          <w:b/>
          <w:bCs/>
        </w:rPr>
        <w:t xml:space="preserve">If there is </w:t>
      </w:r>
      <w:r>
        <w:rPr>
          <w:b/>
          <w:bCs/>
        </w:rPr>
        <w:t>more than</w:t>
      </w:r>
      <w:r w:rsidRPr="000372C6">
        <w:rPr>
          <w:b/>
          <w:bCs/>
        </w:rPr>
        <w:t xml:space="preserve"> one registered applicant for a licence</w:t>
      </w:r>
      <w:r>
        <w:t xml:space="preserve">, </w:t>
      </w:r>
      <w:r w:rsidR="000E3416">
        <w:t xml:space="preserve">a </w:t>
      </w:r>
      <w:r w:rsidR="00335841">
        <w:t>l</w:t>
      </w:r>
      <w:r w:rsidR="000E3416">
        <w:t xml:space="preserve">icence </w:t>
      </w:r>
      <w:r w:rsidR="00335841">
        <w:t>a</w:t>
      </w:r>
      <w:r w:rsidR="000E3416">
        <w:t xml:space="preserve">llocation </w:t>
      </w:r>
      <w:r w:rsidR="00335841">
        <w:t>e</w:t>
      </w:r>
      <w:r w:rsidR="000E3416">
        <w:t>xercise (in the form of an auction) will be conducted. The ACMA will notify registered applicants of the date, time and place of the auction, and will send registered applicants detailed information about the auction process, at least 1</w:t>
      </w:r>
      <w:r w:rsidR="0023168F">
        <w:t>0</w:t>
      </w:r>
      <w:r w:rsidR="00B90191">
        <w:t xml:space="preserve"> calendar</w:t>
      </w:r>
      <w:r w:rsidR="000E3416">
        <w:t xml:space="preserve"> days prior to the auction. </w:t>
      </w:r>
    </w:p>
    <w:p w14:paraId="5475BD75" w14:textId="77777777" w:rsidR="00A2785D" w:rsidRDefault="00A2785D" w:rsidP="009A70E0">
      <w:pPr>
        <w:pStyle w:val="Paragraphbeforelist"/>
      </w:pPr>
      <w:r>
        <w:t>The reserve prices for the licences on offer in this allocation are as follows:</w:t>
      </w:r>
    </w:p>
    <w:p w14:paraId="43F2160F" w14:textId="77777777" w:rsidR="00A2785D" w:rsidRDefault="00A2785D" w:rsidP="009A70E0">
      <w:pPr>
        <w:pStyle w:val="Bulletlevel1"/>
      </w:pPr>
      <w:r>
        <w:t xml:space="preserve">Hobart HPON: $4000 </w:t>
      </w:r>
    </w:p>
    <w:p w14:paraId="39450E26" w14:textId="77777777" w:rsidR="00A2785D" w:rsidRDefault="00A2785D" w:rsidP="009A70E0">
      <w:pPr>
        <w:pStyle w:val="Bulletlevel1last"/>
      </w:pPr>
      <w:r>
        <w:t>Gosford HPON: $4000</w:t>
      </w:r>
    </w:p>
    <w:p w14:paraId="293C9356" w14:textId="77777777" w:rsidR="00A2785D" w:rsidRDefault="00A2785D" w:rsidP="00A2785D"/>
    <w:p w14:paraId="47B1BA14" w14:textId="77777777" w:rsidR="00424DE0" w:rsidRDefault="00424DE0" w:rsidP="00424DE0">
      <w:pPr>
        <w:pStyle w:val="Heading1"/>
      </w:pPr>
      <w:bookmarkStart w:id="44" w:name="_Toc27667930"/>
      <w:bookmarkStart w:id="45" w:name="_Toc74905626"/>
      <w:r>
        <w:lastRenderedPageBreak/>
        <w:t>Auction of the Hobart and Gosford HPON licences</w:t>
      </w:r>
      <w:bookmarkEnd w:id="44"/>
      <w:bookmarkEnd w:id="45"/>
    </w:p>
    <w:p w14:paraId="0366D88E" w14:textId="3ACA0A1D" w:rsidR="002E79BF" w:rsidRDefault="002E79BF" w:rsidP="00851F3F">
      <w:r w:rsidRPr="002E79BF">
        <w:t>If there is more than one applicant for one of the licences, the ACMA will conduct an auction for that licence (the Allocation Determination refers to this as a ‘</w:t>
      </w:r>
      <w:r w:rsidR="00335841">
        <w:t>l</w:t>
      </w:r>
      <w:r w:rsidRPr="002E79BF">
        <w:t xml:space="preserve">icence </w:t>
      </w:r>
      <w:r w:rsidR="00335841">
        <w:t>a</w:t>
      </w:r>
      <w:r w:rsidRPr="002E79BF">
        <w:t xml:space="preserve">llocation </w:t>
      </w:r>
      <w:r w:rsidR="00335841">
        <w:t>e</w:t>
      </w:r>
      <w:r w:rsidRPr="002E79BF">
        <w:t xml:space="preserve">xercise’). In this case, registered applicants will be provided with detailed information about the auction. </w:t>
      </w:r>
    </w:p>
    <w:p w14:paraId="16EC0E57" w14:textId="5877B4FB" w:rsidR="008730CC" w:rsidRDefault="008730CC" w:rsidP="00851F3F">
      <w:r>
        <w:t>General information about the intended auction format, who may bid at an auction, and the bidding process</w:t>
      </w:r>
      <w:r w:rsidR="00F6576F">
        <w:t xml:space="preserve"> in the event of an auction</w:t>
      </w:r>
      <w:r>
        <w:t xml:space="preserve"> is provided below. </w:t>
      </w:r>
      <w:r w:rsidR="00B02D77">
        <w:t xml:space="preserve">Interested persons should note that while the ACMA intends to conduct an auction (if necessary) </w:t>
      </w:r>
      <w:r w:rsidR="00F656D5">
        <w:t xml:space="preserve">consistent with the information below, this may change. </w:t>
      </w:r>
    </w:p>
    <w:p w14:paraId="1A1F3388" w14:textId="67E4BF10" w:rsidR="002916E6" w:rsidRPr="002916E6" w:rsidRDefault="002916E6" w:rsidP="009A70E0">
      <w:pPr>
        <w:pStyle w:val="Heading2"/>
      </w:pPr>
      <w:bookmarkStart w:id="46" w:name="_Toc74905627"/>
      <w:r w:rsidRPr="002916E6">
        <w:t>Auction format</w:t>
      </w:r>
      <w:bookmarkEnd w:id="46"/>
    </w:p>
    <w:p w14:paraId="43456941" w14:textId="1D7BBA57" w:rsidR="002916E6" w:rsidRDefault="002916E6" w:rsidP="00851F3F">
      <w:r>
        <w:t xml:space="preserve">In the past, the ACMA has conducted HPON auctions through physical, ‘open outcry auctions’, </w:t>
      </w:r>
      <w:r w:rsidR="00F656D5">
        <w:t>where</w:t>
      </w:r>
      <w:r>
        <w:t xml:space="preserve"> all bidders </w:t>
      </w:r>
      <w:r w:rsidR="00F656D5">
        <w:t>were</w:t>
      </w:r>
      <w:r>
        <w:t xml:space="preserve"> present in one location, and bidders indicate</w:t>
      </w:r>
      <w:r w:rsidR="00F656D5">
        <w:t>d</w:t>
      </w:r>
      <w:r>
        <w:t xml:space="preserve"> their bid by raising a bidder’s paddle or calling out their bids</w:t>
      </w:r>
      <w:r w:rsidR="001F1212">
        <w:t>.</w:t>
      </w:r>
    </w:p>
    <w:p w14:paraId="4D7D7A9A" w14:textId="77777777" w:rsidR="009B6D19" w:rsidRDefault="003807E8" w:rsidP="002916E6">
      <w:r>
        <w:t>I</w:t>
      </w:r>
      <w:r w:rsidR="002916E6">
        <w:t xml:space="preserve">f an auction </w:t>
      </w:r>
      <w:r>
        <w:t xml:space="preserve">is </w:t>
      </w:r>
      <w:r w:rsidR="00A756FA">
        <w:t>undertaken</w:t>
      </w:r>
      <w:r>
        <w:t xml:space="preserve"> </w:t>
      </w:r>
      <w:r w:rsidR="002916E6">
        <w:t xml:space="preserve">for </w:t>
      </w:r>
      <w:r w:rsidR="00F656D5">
        <w:t>either or both the</w:t>
      </w:r>
      <w:r w:rsidR="002916E6">
        <w:t xml:space="preserve"> Gosford and Hobart HPONs</w:t>
      </w:r>
      <w:r>
        <w:t>,</w:t>
      </w:r>
      <w:r w:rsidR="002916E6">
        <w:t xml:space="preserve"> the ACMA </w:t>
      </w:r>
      <w:r>
        <w:t xml:space="preserve">will </w:t>
      </w:r>
      <w:r w:rsidR="002916E6">
        <w:t>conduct an online auction</w:t>
      </w:r>
      <w:r>
        <w:t>. R</w:t>
      </w:r>
      <w:r w:rsidR="002916E6">
        <w:t xml:space="preserve">egistered applicants </w:t>
      </w:r>
      <w:r>
        <w:t xml:space="preserve">will be able to participate in the auction </w:t>
      </w:r>
      <w:r w:rsidR="002916E6">
        <w:t>from any</w:t>
      </w:r>
      <w:r>
        <w:t xml:space="preserve"> location </w:t>
      </w:r>
      <w:r w:rsidR="002916E6">
        <w:t xml:space="preserve">with an internet connection. The auction will be a ‘first-price auction’, where the highest bid made is the winning bid. </w:t>
      </w:r>
    </w:p>
    <w:p w14:paraId="3EB570B8" w14:textId="0EF68DB4" w:rsidR="009B6D19" w:rsidRDefault="009B6D19" w:rsidP="002916E6">
      <w:r w:rsidRPr="009B6D19">
        <w:t>Registered applicants may apply to bid over the telephone</w:t>
      </w:r>
      <w:r w:rsidR="001F1212">
        <w:t xml:space="preserve"> – </w:t>
      </w:r>
      <w:r w:rsidRPr="009B6D19">
        <w:t>however, the ACMA encourages the use of the online auction system.</w:t>
      </w:r>
    </w:p>
    <w:p w14:paraId="3143D8F8" w14:textId="228A3751" w:rsidR="00551F33" w:rsidRDefault="003807E8" w:rsidP="002916E6">
      <w:r>
        <w:t>Detai</w:t>
      </w:r>
      <w:r w:rsidR="00A756FA">
        <w:t>l</w:t>
      </w:r>
      <w:r>
        <w:t xml:space="preserve">ed </w:t>
      </w:r>
      <w:r w:rsidR="00A756FA">
        <w:t xml:space="preserve">instructions on the allocation process will be provided to registered </w:t>
      </w:r>
      <w:r w:rsidR="009B6D19">
        <w:t>applicants</w:t>
      </w:r>
      <w:r w:rsidR="00A756FA">
        <w:t xml:space="preserve"> no less than </w:t>
      </w:r>
      <w:r w:rsidR="009B6D19">
        <w:t>10</w:t>
      </w:r>
      <w:r w:rsidR="00A756FA">
        <w:t xml:space="preserve"> calendar days prior to the auction date.</w:t>
      </w:r>
    </w:p>
    <w:p w14:paraId="327E0C53" w14:textId="43D20970" w:rsidR="002916E6" w:rsidRDefault="002916E6" w:rsidP="009A70E0">
      <w:pPr>
        <w:pStyle w:val="Heading2"/>
      </w:pPr>
      <w:bookmarkStart w:id="47" w:name="_Toc74905628"/>
      <w:r w:rsidRPr="002916E6">
        <w:t>Who may bid at an auction?</w:t>
      </w:r>
      <w:bookmarkEnd w:id="47"/>
    </w:p>
    <w:p w14:paraId="6BC0DEC2" w14:textId="1913E39B" w:rsidR="002916E6" w:rsidRDefault="00551F33" w:rsidP="002916E6">
      <w:r>
        <w:t xml:space="preserve">Only registered applicants or authorised agents (an individual for whom a Form of Authority has been lodged) may bid at an auction. </w:t>
      </w:r>
    </w:p>
    <w:p w14:paraId="2B0F6190" w14:textId="1B054CB3" w:rsidR="00AF2018" w:rsidRDefault="00AF2018" w:rsidP="009A70E0">
      <w:pPr>
        <w:pStyle w:val="Heading2"/>
      </w:pPr>
      <w:bookmarkStart w:id="48" w:name="_Toc74905629"/>
      <w:r w:rsidRPr="00AF2018">
        <w:t xml:space="preserve">The bidding </w:t>
      </w:r>
      <w:proofErr w:type="gramStart"/>
      <w:r w:rsidRPr="00AF2018">
        <w:t>process</w:t>
      </w:r>
      <w:bookmarkEnd w:id="48"/>
      <w:proofErr w:type="gramEnd"/>
    </w:p>
    <w:p w14:paraId="355C2B1F" w14:textId="327954A4" w:rsidR="00AF2018" w:rsidRDefault="00AF2018" w:rsidP="009A70E0">
      <w:pPr>
        <w:pStyle w:val="Paragraphbeforelist"/>
      </w:pPr>
      <w:r>
        <w:t xml:space="preserve">The information below outlines the main features of the online auction system the ACMA intends to use if the Gosford or Hobart </w:t>
      </w:r>
      <w:r w:rsidR="00F656D5">
        <w:t>HPON</w:t>
      </w:r>
      <w:r>
        <w:t xml:space="preserve"> is auctioned:</w:t>
      </w:r>
    </w:p>
    <w:p w14:paraId="71D50FE0" w14:textId="0A0F501D" w:rsidR="00AF2018" w:rsidRDefault="00AF2018" w:rsidP="009A70E0">
      <w:pPr>
        <w:pStyle w:val="Bulletlevel1"/>
      </w:pPr>
      <w:r>
        <w:t>Bidding will start at the reserve price of $4000</w:t>
      </w:r>
    </w:p>
    <w:p w14:paraId="088124DB" w14:textId="2EB217E6" w:rsidR="00AF2018" w:rsidRDefault="008730CC" w:rsidP="009A70E0">
      <w:pPr>
        <w:pStyle w:val="Bulletlevel1"/>
      </w:pPr>
      <w:r>
        <w:t>Bids will be time</w:t>
      </w:r>
      <w:r w:rsidR="00EA4A87">
        <w:t>-</w:t>
      </w:r>
      <w:r>
        <w:t>stamped to ensure that the highest bid made at any time is registered on the system as the highest bid</w:t>
      </w:r>
    </w:p>
    <w:p w14:paraId="6B076377" w14:textId="2A7F0351" w:rsidR="008730CC" w:rsidRDefault="008730CC" w:rsidP="009A70E0">
      <w:pPr>
        <w:pStyle w:val="Bulletlevel1"/>
      </w:pPr>
      <w:r>
        <w:t xml:space="preserve">If a bid is placed in the final </w:t>
      </w:r>
      <w:r w:rsidR="00DC53B2">
        <w:t>5</w:t>
      </w:r>
      <w:r>
        <w:t xml:space="preserve"> minutes of the auction, the auction close time will be extended by an extra </w:t>
      </w:r>
      <w:r w:rsidR="00DC53B2">
        <w:t>5</w:t>
      </w:r>
      <w:r>
        <w:t xml:space="preserve"> minutes. </w:t>
      </w:r>
    </w:p>
    <w:p w14:paraId="2AF1B470" w14:textId="015394F9" w:rsidR="00676270" w:rsidRDefault="00676270" w:rsidP="009A70E0">
      <w:pPr>
        <w:pStyle w:val="Bulletlevel1last"/>
      </w:pPr>
      <w:r w:rsidRPr="00676270">
        <w:t xml:space="preserve">Bidding will take place during business hours on a single day. </w:t>
      </w:r>
    </w:p>
    <w:p w14:paraId="7B2A145E" w14:textId="77777777" w:rsidR="008730CC" w:rsidRPr="00AF2018" w:rsidRDefault="008730CC" w:rsidP="008730CC">
      <w:pPr>
        <w:ind w:left="360"/>
      </w:pPr>
    </w:p>
    <w:sectPr w:rsidR="008730CC" w:rsidRPr="00AF2018" w:rsidSect="0014378F">
      <w:headerReference w:type="even" r:id="rId28"/>
      <w:headerReference w:type="default" r:id="rId29"/>
      <w:footerReference w:type="even" r:id="rId30"/>
      <w:footerReference w:type="default" r:id="rId31"/>
      <w:pgSz w:w="11906" w:h="16838" w:code="9"/>
      <w:pgMar w:top="1945" w:right="3101" w:bottom="1134" w:left="993"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B8E96" w14:textId="77777777" w:rsidR="00BD2246" w:rsidRDefault="00BD2246">
      <w:r>
        <w:separator/>
      </w:r>
    </w:p>
  </w:endnote>
  <w:endnote w:type="continuationSeparator" w:id="0">
    <w:p w14:paraId="0531B3BB" w14:textId="77777777" w:rsidR="00BD2246" w:rsidRDefault="00BD2246">
      <w:r>
        <w:continuationSeparator/>
      </w:r>
    </w:p>
  </w:endnote>
  <w:endnote w:type="continuationNotice" w:id="1">
    <w:p w14:paraId="1D318DFB" w14:textId="77777777" w:rsidR="00BD2246" w:rsidRDefault="00BD22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BAB1" w14:textId="77777777" w:rsidR="006F6DA9" w:rsidRDefault="006F6DA9" w:rsidP="005E250B">
    <w:pPr>
      <w:pStyle w:val="Footer"/>
      <w:jc w:val="right"/>
    </w:pPr>
    <w:r w:rsidRPr="005E250B">
      <w:rPr>
        <w:noProof/>
        <w:vertAlign w:val="subscript"/>
      </w:rPr>
      <w:drawing>
        <wp:inline distT="0" distB="0" distL="0" distR="0" wp14:anchorId="15515529" wp14:editId="059CFEAE">
          <wp:extent cx="1066800" cy="277368"/>
          <wp:effectExtent l="0" t="0" r="0" b="0"/>
          <wp:docPr id="8" name="Picture 8"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ECC7" w14:textId="77777777" w:rsidR="006F6DA9" w:rsidRDefault="006F6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7F28" w14:textId="77777777" w:rsidR="006F6DA9" w:rsidRDefault="006F6D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BC31" w14:textId="77777777" w:rsidR="006F6DA9" w:rsidRPr="00622A3B" w:rsidRDefault="006F6DA9"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58DFA979" w14:textId="77777777" w:rsidR="006F6DA9" w:rsidRPr="00A5474E" w:rsidRDefault="006F6DA9"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40AE" w14:textId="77777777" w:rsidR="006F6DA9" w:rsidRPr="00622A3B" w:rsidRDefault="006F6DA9"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7442166B" w14:textId="77777777" w:rsidR="006F6DA9" w:rsidRPr="00A5474E" w:rsidRDefault="006F6DA9"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9A1A" w14:textId="77777777" w:rsidR="006F6DA9" w:rsidRPr="00622A3B" w:rsidRDefault="006F6DA9"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285AA79F" w14:textId="77777777" w:rsidR="006F6DA9" w:rsidRPr="00A5474E" w:rsidRDefault="006F6DA9"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6075" w14:textId="77777777" w:rsidR="006F6DA9" w:rsidRPr="00622A3B" w:rsidRDefault="006F6DA9"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4FC33681" w14:textId="77777777" w:rsidR="006F6DA9" w:rsidRPr="00A5474E" w:rsidRDefault="006F6DA9"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413E" w14:textId="77777777" w:rsidR="006F6DA9" w:rsidRPr="00622A3B" w:rsidRDefault="006F6DA9"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3640C748" w14:textId="77777777" w:rsidR="006F6DA9" w:rsidRPr="00A5474E" w:rsidRDefault="006F6DA9"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6FB2" w14:textId="77777777" w:rsidR="00BD2246" w:rsidRDefault="00BD2246">
      <w:r>
        <w:separator/>
      </w:r>
    </w:p>
  </w:footnote>
  <w:footnote w:type="continuationSeparator" w:id="0">
    <w:p w14:paraId="677FEFFC" w14:textId="77777777" w:rsidR="00BD2246" w:rsidRDefault="00BD2246">
      <w:r>
        <w:continuationSeparator/>
      </w:r>
    </w:p>
  </w:footnote>
  <w:footnote w:type="continuationNotice" w:id="1">
    <w:p w14:paraId="449A063E" w14:textId="77777777" w:rsidR="00BD2246" w:rsidRDefault="00BD2246">
      <w:pPr>
        <w:spacing w:after="0" w:line="240" w:lineRule="auto"/>
      </w:pPr>
    </w:p>
  </w:footnote>
  <w:footnote w:id="2">
    <w:p w14:paraId="4704F442" w14:textId="250E55F0" w:rsidR="006F6DA9" w:rsidRDefault="006F6DA9">
      <w:pPr>
        <w:pStyle w:val="FootnoteText"/>
      </w:pPr>
      <w:r>
        <w:rPr>
          <w:rStyle w:val="FootnoteReference"/>
        </w:rPr>
        <w:footnoteRef/>
      </w:r>
      <w:r>
        <w:t xml:space="preserve"> The ANRA Code of Practice can be downloaded from the ACMA website. </w:t>
      </w:r>
    </w:p>
  </w:footnote>
  <w:footnote w:id="3">
    <w:p w14:paraId="47F09B24" w14:textId="26D82112" w:rsidR="006F6DA9" w:rsidRDefault="006F6DA9" w:rsidP="0069326C">
      <w:pPr>
        <w:pStyle w:val="FootnoteText"/>
      </w:pPr>
      <w:r>
        <w:rPr>
          <w:rStyle w:val="FootnoteReference"/>
        </w:rPr>
        <w:footnoteRef/>
      </w:r>
      <w:r>
        <w:t xml:space="preserve"> Under s.103(3) of the Radiocommunications Act an apparatus licence term may not exceed </w:t>
      </w:r>
      <w:r w:rsidR="001F1212">
        <w:t>20</w:t>
      </w:r>
      <w:r>
        <w:t xml:space="preserve"> years. </w:t>
      </w:r>
    </w:p>
  </w:footnote>
  <w:footnote w:id="4">
    <w:p w14:paraId="3069FEBB" w14:textId="565508E0" w:rsidR="006F6DA9" w:rsidRPr="0003426E" w:rsidRDefault="006F6DA9">
      <w:pPr>
        <w:pStyle w:val="FootnoteText"/>
      </w:pPr>
      <w:r>
        <w:rPr>
          <w:rStyle w:val="FootnoteReference"/>
        </w:rPr>
        <w:footnoteRef/>
      </w:r>
      <w:r>
        <w:t xml:space="preserve"> Instalment charges are provided for in the </w:t>
      </w:r>
      <w:r w:rsidRPr="009A70E0">
        <w:t>Radiocommunications (Charges) Determination 2017.</w:t>
      </w:r>
    </w:p>
  </w:footnote>
  <w:footnote w:id="5">
    <w:p w14:paraId="0C906DBC" w14:textId="174267D2" w:rsidR="006F6DA9" w:rsidRPr="0003426E" w:rsidRDefault="006F6DA9">
      <w:pPr>
        <w:pStyle w:val="FootnoteText"/>
      </w:pPr>
      <w:r>
        <w:rPr>
          <w:rStyle w:val="FootnoteReference"/>
        </w:rPr>
        <w:footnoteRef/>
      </w:r>
      <w:r>
        <w:t xml:space="preserve"> Renewal charges are provided for in the </w:t>
      </w:r>
      <w:r w:rsidRPr="009A70E0">
        <w:t>Radiocommunications (Charges) Determination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5948" w14:textId="77777777" w:rsidR="006F6DA9" w:rsidRPr="00A5474E" w:rsidRDefault="006F6DA9" w:rsidP="00A5474E">
    <w:pPr>
      <w:pStyle w:val="Header"/>
    </w:pPr>
    <w:r>
      <w:rPr>
        <w:noProof/>
      </w:rPr>
      <w:drawing>
        <wp:inline distT="0" distB="0" distL="0" distR="0" wp14:anchorId="23B87AF4" wp14:editId="414FFDE6">
          <wp:extent cx="6210300" cy="571134"/>
          <wp:effectExtent l="0" t="0" r="0" b="0"/>
          <wp:docPr id="7" name="Picture 7"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6738" w14:textId="77777777" w:rsidR="006F6DA9" w:rsidRPr="00A5474E" w:rsidRDefault="006F6DA9"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622F" w14:textId="77777777" w:rsidR="006F6DA9" w:rsidRDefault="006F6D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32B6" w14:textId="77777777" w:rsidR="006F6DA9" w:rsidRDefault="006F6D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6F6DA9" w14:paraId="561B22C0" w14:textId="77777777" w:rsidTr="006F6DA9">
      <w:trPr>
        <w:trHeight w:hRule="exact" w:val="988"/>
      </w:trPr>
      <w:tc>
        <w:tcPr>
          <w:tcW w:w="7678" w:type="dxa"/>
          <w:shd w:val="clear" w:color="auto" w:fill="auto"/>
        </w:tcPr>
        <w:p w14:paraId="5FB8F851" w14:textId="77777777" w:rsidR="006F6DA9" w:rsidRDefault="006F6DA9" w:rsidP="00971914">
          <w:pPr>
            <w:pStyle w:val="Header"/>
          </w:pPr>
        </w:p>
      </w:tc>
    </w:tr>
    <w:tr w:rsidR="006F6DA9" w14:paraId="2B09E796" w14:textId="77777777" w:rsidTr="006F6DA9">
      <w:tc>
        <w:tcPr>
          <w:tcW w:w="7678" w:type="dxa"/>
          <w:shd w:val="clear" w:color="auto" w:fill="auto"/>
        </w:tcPr>
        <w:p w14:paraId="6A110C18" w14:textId="77777777" w:rsidR="006F6DA9" w:rsidRDefault="006F6DA9" w:rsidP="00971914">
          <w:pPr>
            <w:pStyle w:val="GridTable31"/>
          </w:pPr>
          <w:r>
            <w:t xml:space="preserve">Contents </w:t>
          </w:r>
          <w:r w:rsidRPr="00915B1C">
            <w:rPr>
              <w:b w:val="0"/>
              <w:spacing w:val="0"/>
              <w:sz w:val="28"/>
              <w:szCs w:val="28"/>
            </w:rPr>
            <w:t>(Continued)</w:t>
          </w:r>
        </w:p>
      </w:tc>
    </w:tr>
    <w:tr w:rsidR="006F6DA9" w14:paraId="259675A2" w14:textId="77777777" w:rsidTr="006F6DA9">
      <w:trPr>
        <w:trHeight w:val="1220"/>
      </w:trPr>
      <w:tc>
        <w:tcPr>
          <w:tcW w:w="7678" w:type="dxa"/>
          <w:shd w:val="clear" w:color="auto" w:fill="auto"/>
        </w:tcPr>
        <w:p w14:paraId="36062A6D" w14:textId="77777777" w:rsidR="006F6DA9" w:rsidRDefault="006F6DA9" w:rsidP="00971914"/>
      </w:tc>
    </w:tr>
  </w:tbl>
  <w:p w14:paraId="182BA01F" w14:textId="77777777" w:rsidR="006F6DA9" w:rsidRDefault="006F6DA9"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6F6DA9" w14:paraId="30FA17CD" w14:textId="77777777" w:rsidTr="006F6DA9">
      <w:trPr>
        <w:trHeight w:hRule="exact" w:val="988"/>
      </w:trPr>
      <w:tc>
        <w:tcPr>
          <w:tcW w:w="7678" w:type="dxa"/>
          <w:shd w:val="clear" w:color="auto" w:fill="auto"/>
        </w:tcPr>
        <w:p w14:paraId="12BE7E25" w14:textId="77777777" w:rsidR="006F6DA9" w:rsidRDefault="006F6DA9" w:rsidP="00971914">
          <w:pPr>
            <w:pStyle w:val="Header"/>
          </w:pPr>
        </w:p>
      </w:tc>
    </w:tr>
    <w:tr w:rsidR="006F6DA9" w14:paraId="2F6924D6" w14:textId="77777777" w:rsidTr="006F6DA9">
      <w:tc>
        <w:tcPr>
          <w:tcW w:w="7678" w:type="dxa"/>
          <w:shd w:val="clear" w:color="auto" w:fill="auto"/>
        </w:tcPr>
        <w:p w14:paraId="056FDC75" w14:textId="77777777" w:rsidR="006F6DA9" w:rsidRDefault="006F6DA9" w:rsidP="00971914">
          <w:pPr>
            <w:pStyle w:val="GridTable31"/>
          </w:pPr>
          <w:r>
            <w:t xml:space="preserve">Contents </w:t>
          </w:r>
          <w:r w:rsidRPr="00915B1C">
            <w:rPr>
              <w:b w:val="0"/>
              <w:spacing w:val="0"/>
              <w:sz w:val="28"/>
              <w:szCs w:val="28"/>
            </w:rPr>
            <w:t>(Continued)</w:t>
          </w:r>
        </w:p>
      </w:tc>
    </w:tr>
    <w:tr w:rsidR="006F6DA9" w14:paraId="55A0E08A" w14:textId="77777777" w:rsidTr="006F6DA9">
      <w:trPr>
        <w:trHeight w:val="1220"/>
      </w:trPr>
      <w:tc>
        <w:tcPr>
          <w:tcW w:w="7678" w:type="dxa"/>
          <w:shd w:val="clear" w:color="auto" w:fill="auto"/>
        </w:tcPr>
        <w:p w14:paraId="6FB6DF49" w14:textId="77777777" w:rsidR="006F6DA9" w:rsidRDefault="006F6DA9" w:rsidP="00971914"/>
      </w:tc>
    </w:tr>
  </w:tbl>
  <w:p w14:paraId="17D2F310" w14:textId="77777777" w:rsidR="006F6DA9" w:rsidRPr="00A5474E" w:rsidRDefault="006F6DA9"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74E9" w14:textId="77777777" w:rsidR="006F6DA9" w:rsidRDefault="006F6DA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B50B" w14:textId="77777777" w:rsidR="006F6DA9" w:rsidRDefault="006F6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BB3A1C"/>
    <w:multiLevelType w:val="hybridMultilevel"/>
    <w:tmpl w:val="178CCF00"/>
    <w:lvl w:ilvl="0" w:tplc="213C81A6">
      <w:start w:val="1"/>
      <w:numFmt w:val="bullet"/>
      <w:lvlText w:val="&gt;"/>
      <w:lvlJc w:val="left"/>
      <w:pPr>
        <w:ind w:left="720" w:hanging="360"/>
      </w:pPr>
      <w:rPr>
        <w:rFonts w:ascii="Arial" w:hAnsi="Aria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4E4A8F"/>
    <w:multiLevelType w:val="hybridMultilevel"/>
    <w:tmpl w:val="1E228200"/>
    <w:lvl w:ilvl="0" w:tplc="5410404C">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78728D"/>
    <w:multiLevelType w:val="hybridMultilevel"/>
    <w:tmpl w:val="9A0A1B6C"/>
    <w:lvl w:ilvl="0" w:tplc="E09694FA">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F33F8D"/>
    <w:multiLevelType w:val="hybridMultilevel"/>
    <w:tmpl w:val="77BCEE48"/>
    <w:lvl w:ilvl="0" w:tplc="E09694FA">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7335F3"/>
    <w:multiLevelType w:val="hybridMultilevel"/>
    <w:tmpl w:val="C3AE9700"/>
    <w:lvl w:ilvl="0" w:tplc="213C81A6">
      <w:start w:val="1"/>
      <w:numFmt w:val="bullet"/>
      <w:lvlText w:val="&gt;"/>
      <w:lvlJc w:val="left"/>
      <w:pPr>
        <w:ind w:left="720" w:hanging="360"/>
      </w:pPr>
      <w:rPr>
        <w:rFonts w:ascii="Arial" w:hAnsi="Aria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C258D1"/>
    <w:multiLevelType w:val="hybridMultilevel"/>
    <w:tmpl w:val="A6E07EC6"/>
    <w:lvl w:ilvl="0" w:tplc="27183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FC4BE6"/>
    <w:multiLevelType w:val="hybridMultilevel"/>
    <w:tmpl w:val="77CA1D50"/>
    <w:lvl w:ilvl="0" w:tplc="83468BB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6A74AE"/>
    <w:multiLevelType w:val="hybridMultilevel"/>
    <w:tmpl w:val="0DA039D2"/>
    <w:lvl w:ilvl="0" w:tplc="213C81A6">
      <w:start w:val="1"/>
      <w:numFmt w:val="bullet"/>
      <w:lvlText w:val="&gt;"/>
      <w:lvlJc w:val="left"/>
      <w:pPr>
        <w:ind w:left="720" w:hanging="360"/>
      </w:pPr>
      <w:rPr>
        <w:rFonts w:ascii="Arial" w:hAnsi="Aria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E644AC"/>
    <w:multiLevelType w:val="hybridMultilevel"/>
    <w:tmpl w:val="8174DA36"/>
    <w:lvl w:ilvl="0" w:tplc="213C81A6">
      <w:start w:val="1"/>
      <w:numFmt w:val="bullet"/>
      <w:lvlText w:val="&gt;"/>
      <w:lvlJc w:val="left"/>
      <w:pPr>
        <w:ind w:left="720" w:hanging="360"/>
      </w:pPr>
      <w:rPr>
        <w:rFonts w:ascii="Arial" w:hAnsi="Aria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2F5A5080"/>
    <w:multiLevelType w:val="hybridMultilevel"/>
    <w:tmpl w:val="BE2AF6CE"/>
    <w:lvl w:ilvl="0" w:tplc="D05E2434">
      <w:start w:val="1"/>
      <w:numFmt w:val="bullet"/>
      <w:pStyle w:val="ACMABulletLevel1"/>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3FA72543"/>
    <w:multiLevelType w:val="hybridMultilevel"/>
    <w:tmpl w:val="4B0CA46A"/>
    <w:lvl w:ilvl="0" w:tplc="213C81A6">
      <w:start w:val="1"/>
      <w:numFmt w:val="bullet"/>
      <w:lvlText w:val="&gt;"/>
      <w:lvlJc w:val="left"/>
      <w:pPr>
        <w:ind w:left="720" w:hanging="360"/>
      </w:pPr>
      <w:rPr>
        <w:rFonts w:ascii="Arial" w:hAnsi="Aria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087A44"/>
    <w:multiLevelType w:val="hybridMultilevel"/>
    <w:tmpl w:val="953C9812"/>
    <w:lvl w:ilvl="0" w:tplc="213C81A6">
      <w:start w:val="1"/>
      <w:numFmt w:val="bullet"/>
      <w:lvlText w:val="&gt;"/>
      <w:lvlJc w:val="left"/>
      <w:pPr>
        <w:ind w:left="720" w:hanging="360"/>
      </w:pPr>
      <w:rPr>
        <w:rFonts w:ascii="Arial" w:hAnsi="Aria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DC1A99"/>
    <w:multiLevelType w:val="hybridMultilevel"/>
    <w:tmpl w:val="46688E1A"/>
    <w:lvl w:ilvl="0" w:tplc="213C81A6">
      <w:start w:val="1"/>
      <w:numFmt w:val="bullet"/>
      <w:lvlText w:val="&gt;"/>
      <w:lvlJc w:val="left"/>
      <w:pPr>
        <w:ind w:left="720" w:hanging="360"/>
      </w:pPr>
      <w:rPr>
        <w:rFonts w:ascii="Arial" w:hAnsi="Aria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26B2F"/>
    <w:multiLevelType w:val="hybridMultilevel"/>
    <w:tmpl w:val="1FF66BFA"/>
    <w:lvl w:ilvl="0" w:tplc="E09694FA">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CD3FCA"/>
    <w:multiLevelType w:val="hybridMultilevel"/>
    <w:tmpl w:val="E668D7E0"/>
    <w:lvl w:ilvl="0" w:tplc="213C81A6">
      <w:start w:val="1"/>
      <w:numFmt w:val="bullet"/>
      <w:lvlText w:val="&gt;"/>
      <w:lvlJc w:val="left"/>
      <w:pPr>
        <w:ind w:left="720" w:hanging="360"/>
      </w:pPr>
      <w:rPr>
        <w:rFonts w:ascii="Arial" w:hAnsi="Aria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CD31B7"/>
    <w:multiLevelType w:val="hybridMultilevel"/>
    <w:tmpl w:val="059EEB34"/>
    <w:lvl w:ilvl="0" w:tplc="E09694FA">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E51D47"/>
    <w:multiLevelType w:val="hybridMultilevel"/>
    <w:tmpl w:val="D80CDAC0"/>
    <w:lvl w:ilvl="0" w:tplc="213C81A6">
      <w:start w:val="1"/>
      <w:numFmt w:val="bullet"/>
      <w:lvlText w:val="&gt;"/>
      <w:lvlJc w:val="left"/>
      <w:pPr>
        <w:ind w:left="720" w:hanging="360"/>
      </w:pPr>
      <w:rPr>
        <w:rFonts w:ascii="Arial" w:hAnsi="Aria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A365C8"/>
    <w:multiLevelType w:val="hybridMultilevel"/>
    <w:tmpl w:val="0784A33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6"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605A0"/>
    <w:multiLevelType w:val="hybridMultilevel"/>
    <w:tmpl w:val="DB5E3BAC"/>
    <w:lvl w:ilvl="0" w:tplc="213C81A6">
      <w:start w:val="1"/>
      <w:numFmt w:val="bullet"/>
      <w:lvlText w:val="&gt;"/>
      <w:lvlJc w:val="left"/>
      <w:pPr>
        <w:ind w:left="720" w:hanging="360"/>
      </w:pPr>
      <w:rPr>
        <w:rFonts w:ascii="Arial" w:hAnsi="Aria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0836AF"/>
    <w:multiLevelType w:val="hybridMultilevel"/>
    <w:tmpl w:val="4F222FD6"/>
    <w:lvl w:ilvl="0" w:tplc="E09694FA">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A96FFC"/>
    <w:multiLevelType w:val="hybridMultilevel"/>
    <w:tmpl w:val="503A2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7A4609"/>
    <w:multiLevelType w:val="hybridMultilevel"/>
    <w:tmpl w:val="42B6A774"/>
    <w:lvl w:ilvl="0" w:tplc="C09CCEB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11A41"/>
    <w:multiLevelType w:val="hybridMultilevel"/>
    <w:tmpl w:val="E8384448"/>
    <w:lvl w:ilvl="0" w:tplc="27183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7555D6"/>
    <w:multiLevelType w:val="hybridMultilevel"/>
    <w:tmpl w:val="16D0A96E"/>
    <w:lvl w:ilvl="0" w:tplc="C09CCEB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681626"/>
    <w:multiLevelType w:val="hybridMultilevel"/>
    <w:tmpl w:val="E59046EC"/>
    <w:lvl w:ilvl="0" w:tplc="E09694FA">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5"/>
  </w:num>
  <w:num w:numId="6">
    <w:abstractNumId w:val="27"/>
  </w:num>
  <w:num w:numId="7">
    <w:abstractNumId w:val="20"/>
  </w:num>
  <w:num w:numId="8">
    <w:abstractNumId w:val="26"/>
  </w:num>
  <w:num w:numId="9">
    <w:abstractNumId w:val="32"/>
  </w:num>
  <w:num w:numId="10">
    <w:abstractNumId w:val="7"/>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6"/>
  </w:num>
  <w:num w:numId="17">
    <w:abstractNumId w:val="6"/>
  </w:num>
  <w:num w:numId="18">
    <w:abstractNumId w:val="21"/>
  </w:num>
  <w:num w:numId="19">
    <w:abstractNumId w:val="25"/>
  </w:num>
  <w:num w:numId="20">
    <w:abstractNumId w:val="17"/>
  </w:num>
  <w:num w:numId="21">
    <w:abstractNumId w:val="23"/>
  </w:num>
  <w:num w:numId="22">
    <w:abstractNumId w:val="11"/>
  </w:num>
  <w:num w:numId="23">
    <w:abstractNumId w:val="35"/>
  </w:num>
  <w:num w:numId="24">
    <w:abstractNumId w:val="13"/>
  </w:num>
  <w:num w:numId="25">
    <w:abstractNumId w:val="9"/>
  </w:num>
  <w:num w:numId="26">
    <w:abstractNumId w:val="29"/>
  </w:num>
  <w:num w:numId="27">
    <w:abstractNumId w:val="22"/>
  </w:num>
  <w:num w:numId="28">
    <w:abstractNumId w:val="34"/>
  </w:num>
  <w:num w:numId="29">
    <w:abstractNumId w:val="31"/>
  </w:num>
  <w:num w:numId="30">
    <w:abstractNumId w:val="28"/>
  </w:num>
  <w:num w:numId="31">
    <w:abstractNumId w:val="18"/>
  </w:num>
  <w:num w:numId="32">
    <w:abstractNumId w:val="19"/>
  </w:num>
  <w:num w:numId="33">
    <w:abstractNumId w:val="33"/>
  </w:num>
  <w:num w:numId="34">
    <w:abstractNumId w:val="10"/>
  </w:num>
  <w:num w:numId="35">
    <w:abstractNumId w:val="5"/>
  </w:num>
  <w:num w:numId="36">
    <w:abstractNumId w:val="14"/>
  </w:num>
  <w:num w:numId="37">
    <w:abstractNumId w:val="24"/>
  </w:num>
  <w:num w:numId="38">
    <w:abstractNumId w:val="8"/>
  </w:num>
  <w:num w:numId="39">
    <w:abstractNumId w:val="30"/>
  </w:num>
  <w:num w:numId="40">
    <w:abstractNumId w:val="12"/>
  </w:num>
  <w:num w:numId="41">
    <w:abstractNumId w:val="2"/>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6145">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11"/>
    <w:rsid w:val="00000238"/>
    <w:rsid w:val="00002162"/>
    <w:rsid w:val="0000334C"/>
    <w:rsid w:val="0000697F"/>
    <w:rsid w:val="00010667"/>
    <w:rsid w:val="00011C34"/>
    <w:rsid w:val="000129D5"/>
    <w:rsid w:val="00015AE7"/>
    <w:rsid w:val="00016E21"/>
    <w:rsid w:val="00016E9E"/>
    <w:rsid w:val="0001719C"/>
    <w:rsid w:val="000201CE"/>
    <w:rsid w:val="0002224E"/>
    <w:rsid w:val="000245E5"/>
    <w:rsid w:val="00026F91"/>
    <w:rsid w:val="00031BD7"/>
    <w:rsid w:val="00032621"/>
    <w:rsid w:val="0003426E"/>
    <w:rsid w:val="0003705C"/>
    <w:rsid w:val="000455D8"/>
    <w:rsid w:val="0004764C"/>
    <w:rsid w:val="0005011A"/>
    <w:rsid w:val="0005045A"/>
    <w:rsid w:val="00051A19"/>
    <w:rsid w:val="00051C1E"/>
    <w:rsid w:val="000539F9"/>
    <w:rsid w:val="00054385"/>
    <w:rsid w:val="00054716"/>
    <w:rsid w:val="00054C27"/>
    <w:rsid w:val="00055ACF"/>
    <w:rsid w:val="00055EC3"/>
    <w:rsid w:val="000561DE"/>
    <w:rsid w:val="000563CE"/>
    <w:rsid w:val="000659B6"/>
    <w:rsid w:val="0006686F"/>
    <w:rsid w:val="0006722A"/>
    <w:rsid w:val="000732CF"/>
    <w:rsid w:val="00073767"/>
    <w:rsid w:val="00074B16"/>
    <w:rsid w:val="00075B96"/>
    <w:rsid w:val="0007635B"/>
    <w:rsid w:val="0007686F"/>
    <w:rsid w:val="00077EF7"/>
    <w:rsid w:val="0008196A"/>
    <w:rsid w:val="00084480"/>
    <w:rsid w:val="00090F0E"/>
    <w:rsid w:val="000915ED"/>
    <w:rsid w:val="0009209D"/>
    <w:rsid w:val="000921EA"/>
    <w:rsid w:val="0009463C"/>
    <w:rsid w:val="00096063"/>
    <w:rsid w:val="000969BD"/>
    <w:rsid w:val="000969BF"/>
    <w:rsid w:val="000971A5"/>
    <w:rsid w:val="000A0C22"/>
    <w:rsid w:val="000A0E3E"/>
    <w:rsid w:val="000A1400"/>
    <w:rsid w:val="000A3C43"/>
    <w:rsid w:val="000A3C57"/>
    <w:rsid w:val="000A3D2E"/>
    <w:rsid w:val="000A4A51"/>
    <w:rsid w:val="000A5D2B"/>
    <w:rsid w:val="000B3EBA"/>
    <w:rsid w:val="000B4664"/>
    <w:rsid w:val="000B5DE3"/>
    <w:rsid w:val="000C0A57"/>
    <w:rsid w:val="000C230C"/>
    <w:rsid w:val="000C6AB4"/>
    <w:rsid w:val="000D71D9"/>
    <w:rsid w:val="000D76E0"/>
    <w:rsid w:val="000D7E8B"/>
    <w:rsid w:val="000E3416"/>
    <w:rsid w:val="000E4082"/>
    <w:rsid w:val="000E4449"/>
    <w:rsid w:val="000E6097"/>
    <w:rsid w:val="000E7138"/>
    <w:rsid w:val="000F48F4"/>
    <w:rsid w:val="000F5153"/>
    <w:rsid w:val="001013E4"/>
    <w:rsid w:val="00102B74"/>
    <w:rsid w:val="00103829"/>
    <w:rsid w:val="00104886"/>
    <w:rsid w:val="00111FCE"/>
    <w:rsid w:val="00116029"/>
    <w:rsid w:val="00121F98"/>
    <w:rsid w:val="001229A5"/>
    <w:rsid w:val="0012489B"/>
    <w:rsid w:val="00130017"/>
    <w:rsid w:val="00130896"/>
    <w:rsid w:val="00130F91"/>
    <w:rsid w:val="00131346"/>
    <w:rsid w:val="001338C7"/>
    <w:rsid w:val="001349ED"/>
    <w:rsid w:val="00136138"/>
    <w:rsid w:val="00137424"/>
    <w:rsid w:val="00140318"/>
    <w:rsid w:val="00141AD9"/>
    <w:rsid w:val="0014378F"/>
    <w:rsid w:val="00146CE6"/>
    <w:rsid w:val="0014710C"/>
    <w:rsid w:val="00147BF8"/>
    <w:rsid w:val="00152903"/>
    <w:rsid w:val="00153FD5"/>
    <w:rsid w:val="00154ACA"/>
    <w:rsid w:val="0015614F"/>
    <w:rsid w:val="001577C2"/>
    <w:rsid w:val="001633C4"/>
    <w:rsid w:val="00163FAD"/>
    <w:rsid w:val="001704D5"/>
    <w:rsid w:val="00171591"/>
    <w:rsid w:val="00172664"/>
    <w:rsid w:val="00172B23"/>
    <w:rsid w:val="00173506"/>
    <w:rsid w:val="00173981"/>
    <w:rsid w:val="00173BE3"/>
    <w:rsid w:val="0017719D"/>
    <w:rsid w:val="0018143C"/>
    <w:rsid w:val="00183FD7"/>
    <w:rsid w:val="00185CAB"/>
    <w:rsid w:val="00186F93"/>
    <w:rsid w:val="001875B7"/>
    <w:rsid w:val="00187A9F"/>
    <w:rsid w:val="00187CB3"/>
    <w:rsid w:val="0019050A"/>
    <w:rsid w:val="00190837"/>
    <w:rsid w:val="001910D4"/>
    <w:rsid w:val="001976E3"/>
    <w:rsid w:val="001A44EC"/>
    <w:rsid w:val="001B58AA"/>
    <w:rsid w:val="001B5EA8"/>
    <w:rsid w:val="001B6E42"/>
    <w:rsid w:val="001B7E48"/>
    <w:rsid w:val="001C17CE"/>
    <w:rsid w:val="001C36CA"/>
    <w:rsid w:val="001C44D1"/>
    <w:rsid w:val="001C6AEE"/>
    <w:rsid w:val="001C7630"/>
    <w:rsid w:val="001D6D15"/>
    <w:rsid w:val="001D7CBE"/>
    <w:rsid w:val="001E061E"/>
    <w:rsid w:val="001E1813"/>
    <w:rsid w:val="001F0EAD"/>
    <w:rsid w:val="001F1212"/>
    <w:rsid w:val="001F4CA4"/>
    <w:rsid w:val="001F502B"/>
    <w:rsid w:val="001F50F7"/>
    <w:rsid w:val="001F7558"/>
    <w:rsid w:val="00200C79"/>
    <w:rsid w:val="00201EE2"/>
    <w:rsid w:val="00202F65"/>
    <w:rsid w:val="00205B57"/>
    <w:rsid w:val="00210405"/>
    <w:rsid w:val="0021426C"/>
    <w:rsid w:val="002149A2"/>
    <w:rsid w:val="00214B46"/>
    <w:rsid w:val="0021525E"/>
    <w:rsid w:val="002157E0"/>
    <w:rsid w:val="00216A57"/>
    <w:rsid w:val="00217448"/>
    <w:rsid w:val="00222507"/>
    <w:rsid w:val="0022334F"/>
    <w:rsid w:val="00223A4E"/>
    <w:rsid w:val="00226819"/>
    <w:rsid w:val="002272AB"/>
    <w:rsid w:val="0023168F"/>
    <w:rsid w:val="00233101"/>
    <w:rsid w:val="00233817"/>
    <w:rsid w:val="00233A94"/>
    <w:rsid w:val="00234C2A"/>
    <w:rsid w:val="00234EED"/>
    <w:rsid w:val="002367FF"/>
    <w:rsid w:val="00240CE9"/>
    <w:rsid w:val="002434BA"/>
    <w:rsid w:val="00246089"/>
    <w:rsid w:val="00246093"/>
    <w:rsid w:val="00246702"/>
    <w:rsid w:val="00247C59"/>
    <w:rsid w:val="00247F2E"/>
    <w:rsid w:val="00250ADC"/>
    <w:rsid w:val="00250B07"/>
    <w:rsid w:val="00251CE5"/>
    <w:rsid w:val="002537A9"/>
    <w:rsid w:val="00255BC9"/>
    <w:rsid w:val="00257553"/>
    <w:rsid w:val="00260FB2"/>
    <w:rsid w:val="00262128"/>
    <w:rsid w:val="00264502"/>
    <w:rsid w:val="00267385"/>
    <w:rsid w:val="00271014"/>
    <w:rsid w:val="0027165D"/>
    <w:rsid w:val="002727CF"/>
    <w:rsid w:val="00273CEB"/>
    <w:rsid w:val="00275104"/>
    <w:rsid w:val="00281C89"/>
    <w:rsid w:val="0028282F"/>
    <w:rsid w:val="00287A8F"/>
    <w:rsid w:val="002909AB"/>
    <w:rsid w:val="002916E6"/>
    <w:rsid w:val="0029593B"/>
    <w:rsid w:val="00297FC5"/>
    <w:rsid w:val="002A0417"/>
    <w:rsid w:val="002A1128"/>
    <w:rsid w:val="002A16D8"/>
    <w:rsid w:val="002A1BC8"/>
    <w:rsid w:val="002A23D3"/>
    <w:rsid w:val="002A2C70"/>
    <w:rsid w:val="002A3E3B"/>
    <w:rsid w:val="002A3EF2"/>
    <w:rsid w:val="002B0DED"/>
    <w:rsid w:val="002B19A2"/>
    <w:rsid w:val="002B381A"/>
    <w:rsid w:val="002B4FCC"/>
    <w:rsid w:val="002B7408"/>
    <w:rsid w:val="002B7CFD"/>
    <w:rsid w:val="002C0530"/>
    <w:rsid w:val="002C210F"/>
    <w:rsid w:val="002C356A"/>
    <w:rsid w:val="002C4F3A"/>
    <w:rsid w:val="002D3600"/>
    <w:rsid w:val="002D5272"/>
    <w:rsid w:val="002E1580"/>
    <w:rsid w:val="002E4DDC"/>
    <w:rsid w:val="002E5B78"/>
    <w:rsid w:val="002E68EB"/>
    <w:rsid w:val="002E79BF"/>
    <w:rsid w:val="00302480"/>
    <w:rsid w:val="00302758"/>
    <w:rsid w:val="00303313"/>
    <w:rsid w:val="003056BA"/>
    <w:rsid w:val="00306EAF"/>
    <w:rsid w:val="00310FF2"/>
    <w:rsid w:val="003165E6"/>
    <w:rsid w:val="0032065F"/>
    <w:rsid w:val="003215B5"/>
    <w:rsid w:val="00321A4E"/>
    <w:rsid w:val="003221CF"/>
    <w:rsid w:val="003226E6"/>
    <w:rsid w:val="00322A07"/>
    <w:rsid w:val="003233ED"/>
    <w:rsid w:val="003247DE"/>
    <w:rsid w:val="00324D9F"/>
    <w:rsid w:val="00327948"/>
    <w:rsid w:val="0033000F"/>
    <w:rsid w:val="00332011"/>
    <w:rsid w:val="0033208F"/>
    <w:rsid w:val="00332518"/>
    <w:rsid w:val="00332925"/>
    <w:rsid w:val="00332B3A"/>
    <w:rsid w:val="00332E3F"/>
    <w:rsid w:val="00332F62"/>
    <w:rsid w:val="003330FC"/>
    <w:rsid w:val="003332ED"/>
    <w:rsid w:val="00335841"/>
    <w:rsid w:val="003368DC"/>
    <w:rsid w:val="00340119"/>
    <w:rsid w:val="00342243"/>
    <w:rsid w:val="00345927"/>
    <w:rsid w:val="00350584"/>
    <w:rsid w:val="00351857"/>
    <w:rsid w:val="003545E8"/>
    <w:rsid w:val="00357510"/>
    <w:rsid w:val="00360199"/>
    <w:rsid w:val="003610E1"/>
    <w:rsid w:val="00362B8E"/>
    <w:rsid w:val="00366258"/>
    <w:rsid w:val="003671BE"/>
    <w:rsid w:val="00372485"/>
    <w:rsid w:val="00373200"/>
    <w:rsid w:val="00375EF5"/>
    <w:rsid w:val="003767A5"/>
    <w:rsid w:val="003807E8"/>
    <w:rsid w:val="00381D15"/>
    <w:rsid w:val="00381F4C"/>
    <w:rsid w:val="00383F57"/>
    <w:rsid w:val="00385254"/>
    <w:rsid w:val="003933E8"/>
    <w:rsid w:val="00394031"/>
    <w:rsid w:val="003967AA"/>
    <w:rsid w:val="00396DC2"/>
    <w:rsid w:val="003977C1"/>
    <w:rsid w:val="00397BDE"/>
    <w:rsid w:val="003A04DB"/>
    <w:rsid w:val="003A5F5B"/>
    <w:rsid w:val="003A789A"/>
    <w:rsid w:val="003B12EC"/>
    <w:rsid w:val="003B4644"/>
    <w:rsid w:val="003C03B8"/>
    <w:rsid w:val="003C77E0"/>
    <w:rsid w:val="003D17D7"/>
    <w:rsid w:val="003D2678"/>
    <w:rsid w:val="003D29F7"/>
    <w:rsid w:val="003D71A3"/>
    <w:rsid w:val="003D761D"/>
    <w:rsid w:val="003E0510"/>
    <w:rsid w:val="003E2B8A"/>
    <w:rsid w:val="003F10EE"/>
    <w:rsid w:val="003F16F6"/>
    <w:rsid w:val="003F24E9"/>
    <w:rsid w:val="003F303A"/>
    <w:rsid w:val="003F4DC7"/>
    <w:rsid w:val="003F5235"/>
    <w:rsid w:val="004011DB"/>
    <w:rsid w:val="004027E4"/>
    <w:rsid w:val="00403561"/>
    <w:rsid w:val="0040390F"/>
    <w:rsid w:val="0041071D"/>
    <w:rsid w:val="00414AFC"/>
    <w:rsid w:val="004151A7"/>
    <w:rsid w:val="00415310"/>
    <w:rsid w:val="0041686F"/>
    <w:rsid w:val="00421295"/>
    <w:rsid w:val="00421709"/>
    <w:rsid w:val="00421DB4"/>
    <w:rsid w:val="00423763"/>
    <w:rsid w:val="00424DE0"/>
    <w:rsid w:val="0042762F"/>
    <w:rsid w:val="00427DC7"/>
    <w:rsid w:val="00431613"/>
    <w:rsid w:val="00431792"/>
    <w:rsid w:val="0043297A"/>
    <w:rsid w:val="00432EB2"/>
    <w:rsid w:val="00435A69"/>
    <w:rsid w:val="0043714F"/>
    <w:rsid w:val="0044017D"/>
    <w:rsid w:val="004438B5"/>
    <w:rsid w:val="00447037"/>
    <w:rsid w:val="0045124D"/>
    <w:rsid w:val="00454596"/>
    <w:rsid w:val="00455427"/>
    <w:rsid w:val="00455D50"/>
    <w:rsid w:val="0045605D"/>
    <w:rsid w:val="0046135B"/>
    <w:rsid w:val="00461D47"/>
    <w:rsid w:val="00461DD9"/>
    <w:rsid w:val="004718CC"/>
    <w:rsid w:val="00481695"/>
    <w:rsid w:val="00484F87"/>
    <w:rsid w:val="00487474"/>
    <w:rsid w:val="004957F4"/>
    <w:rsid w:val="00495A96"/>
    <w:rsid w:val="00495BB3"/>
    <w:rsid w:val="004A0C46"/>
    <w:rsid w:val="004A3399"/>
    <w:rsid w:val="004A3CA9"/>
    <w:rsid w:val="004A56BB"/>
    <w:rsid w:val="004A6654"/>
    <w:rsid w:val="004A70D6"/>
    <w:rsid w:val="004A7CD1"/>
    <w:rsid w:val="004B1751"/>
    <w:rsid w:val="004B1DE1"/>
    <w:rsid w:val="004C0253"/>
    <w:rsid w:val="004C421C"/>
    <w:rsid w:val="004D221A"/>
    <w:rsid w:val="004D4C3B"/>
    <w:rsid w:val="004D56FF"/>
    <w:rsid w:val="004D6BE3"/>
    <w:rsid w:val="004E39D3"/>
    <w:rsid w:val="004E508A"/>
    <w:rsid w:val="004E5547"/>
    <w:rsid w:val="004E616D"/>
    <w:rsid w:val="004E65EC"/>
    <w:rsid w:val="004F0270"/>
    <w:rsid w:val="004F1BDE"/>
    <w:rsid w:val="004F28D4"/>
    <w:rsid w:val="004F2CEE"/>
    <w:rsid w:val="004F556E"/>
    <w:rsid w:val="004F591C"/>
    <w:rsid w:val="004F5F61"/>
    <w:rsid w:val="004F7F44"/>
    <w:rsid w:val="00502154"/>
    <w:rsid w:val="005036AD"/>
    <w:rsid w:val="005037B4"/>
    <w:rsid w:val="00505122"/>
    <w:rsid w:val="00506A23"/>
    <w:rsid w:val="005079BF"/>
    <w:rsid w:val="005101B1"/>
    <w:rsid w:val="005115DE"/>
    <w:rsid w:val="0051269A"/>
    <w:rsid w:val="0051398B"/>
    <w:rsid w:val="0051575D"/>
    <w:rsid w:val="005219E7"/>
    <w:rsid w:val="00525BA9"/>
    <w:rsid w:val="00531B9A"/>
    <w:rsid w:val="00531D15"/>
    <w:rsid w:val="0053347B"/>
    <w:rsid w:val="00537604"/>
    <w:rsid w:val="00542377"/>
    <w:rsid w:val="00544963"/>
    <w:rsid w:val="005476EB"/>
    <w:rsid w:val="00550D1B"/>
    <w:rsid w:val="00551782"/>
    <w:rsid w:val="00551F33"/>
    <w:rsid w:val="00555095"/>
    <w:rsid w:val="00563EF1"/>
    <w:rsid w:val="00565589"/>
    <w:rsid w:val="00566AB4"/>
    <w:rsid w:val="005677FF"/>
    <w:rsid w:val="00573812"/>
    <w:rsid w:val="00575AC5"/>
    <w:rsid w:val="0057605D"/>
    <w:rsid w:val="005777F8"/>
    <w:rsid w:val="00580198"/>
    <w:rsid w:val="00581347"/>
    <w:rsid w:val="00581AC9"/>
    <w:rsid w:val="005849F8"/>
    <w:rsid w:val="00586040"/>
    <w:rsid w:val="00590E11"/>
    <w:rsid w:val="005938DF"/>
    <w:rsid w:val="00594E9C"/>
    <w:rsid w:val="005A099B"/>
    <w:rsid w:val="005A0FF6"/>
    <w:rsid w:val="005A26C5"/>
    <w:rsid w:val="005A283F"/>
    <w:rsid w:val="005A2D9C"/>
    <w:rsid w:val="005A32DA"/>
    <w:rsid w:val="005A55FE"/>
    <w:rsid w:val="005A5D1B"/>
    <w:rsid w:val="005A6A11"/>
    <w:rsid w:val="005B2F0D"/>
    <w:rsid w:val="005B5313"/>
    <w:rsid w:val="005C34EF"/>
    <w:rsid w:val="005C6C13"/>
    <w:rsid w:val="005D0550"/>
    <w:rsid w:val="005D24E6"/>
    <w:rsid w:val="005D2502"/>
    <w:rsid w:val="005D40BB"/>
    <w:rsid w:val="005D47F3"/>
    <w:rsid w:val="005D49BF"/>
    <w:rsid w:val="005D4AA5"/>
    <w:rsid w:val="005D6F4E"/>
    <w:rsid w:val="005D7C73"/>
    <w:rsid w:val="005E250B"/>
    <w:rsid w:val="005E3ACD"/>
    <w:rsid w:val="005E3B7B"/>
    <w:rsid w:val="005E4ECA"/>
    <w:rsid w:val="005E5C9E"/>
    <w:rsid w:val="005E7226"/>
    <w:rsid w:val="005E7A57"/>
    <w:rsid w:val="005F0683"/>
    <w:rsid w:val="005F24B0"/>
    <w:rsid w:val="005F335C"/>
    <w:rsid w:val="0060223D"/>
    <w:rsid w:val="00604315"/>
    <w:rsid w:val="00604E26"/>
    <w:rsid w:val="0060523F"/>
    <w:rsid w:val="006052CF"/>
    <w:rsid w:val="00607B8D"/>
    <w:rsid w:val="00611F5C"/>
    <w:rsid w:val="00616E09"/>
    <w:rsid w:val="00622A3B"/>
    <w:rsid w:val="00622EEA"/>
    <w:rsid w:val="0062396C"/>
    <w:rsid w:val="00623FF9"/>
    <w:rsid w:val="00626CCF"/>
    <w:rsid w:val="006276C9"/>
    <w:rsid w:val="00627D4E"/>
    <w:rsid w:val="00632B89"/>
    <w:rsid w:val="0063346D"/>
    <w:rsid w:val="00634478"/>
    <w:rsid w:val="00634819"/>
    <w:rsid w:val="0063483B"/>
    <w:rsid w:val="00643E87"/>
    <w:rsid w:val="00644373"/>
    <w:rsid w:val="00645915"/>
    <w:rsid w:val="006465E7"/>
    <w:rsid w:val="00646CC4"/>
    <w:rsid w:val="00650AA9"/>
    <w:rsid w:val="006519C3"/>
    <w:rsid w:val="00651C72"/>
    <w:rsid w:val="00652B30"/>
    <w:rsid w:val="00656345"/>
    <w:rsid w:val="00656DC6"/>
    <w:rsid w:val="00660EC6"/>
    <w:rsid w:val="00661C80"/>
    <w:rsid w:val="00664110"/>
    <w:rsid w:val="00664D17"/>
    <w:rsid w:val="00665CBD"/>
    <w:rsid w:val="00666520"/>
    <w:rsid w:val="00667C5B"/>
    <w:rsid w:val="00670A67"/>
    <w:rsid w:val="00672E60"/>
    <w:rsid w:val="00675F8F"/>
    <w:rsid w:val="00676270"/>
    <w:rsid w:val="00677922"/>
    <w:rsid w:val="00691EB8"/>
    <w:rsid w:val="00692CDE"/>
    <w:rsid w:val="00693073"/>
    <w:rsid w:val="0069326C"/>
    <w:rsid w:val="00694D0F"/>
    <w:rsid w:val="006977FF"/>
    <w:rsid w:val="006A01FA"/>
    <w:rsid w:val="006A0E9E"/>
    <w:rsid w:val="006A25C7"/>
    <w:rsid w:val="006A2700"/>
    <w:rsid w:val="006A3B92"/>
    <w:rsid w:val="006A40DB"/>
    <w:rsid w:val="006A4AAD"/>
    <w:rsid w:val="006A4CCA"/>
    <w:rsid w:val="006A6DA2"/>
    <w:rsid w:val="006A71F5"/>
    <w:rsid w:val="006A7AB2"/>
    <w:rsid w:val="006B52DE"/>
    <w:rsid w:val="006B5717"/>
    <w:rsid w:val="006B582F"/>
    <w:rsid w:val="006B5EB2"/>
    <w:rsid w:val="006C0CEB"/>
    <w:rsid w:val="006C11E8"/>
    <w:rsid w:val="006C1631"/>
    <w:rsid w:val="006C3B1E"/>
    <w:rsid w:val="006C47FD"/>
    <w:rsid w:val="006C5C19"/>
    <w:rsid w:val="006C62E8"/>
    <w:rsid w:val="006C70A0"/>
    <w:rsid w:val="006C75DE"/>
    <w:rsid w:val="006D0405"/>
    <w:rsid w:val="006D062F"/>
    <w:rsid w:val="006D0731"/>
    <w:rsid w:val="006D0DD7"/>
    <w:rsid w:val="006D27CB"/>
    <w:rsid w:val="006D2F08"/>
    <w:rsid w:val="006D576C"/>
    <w:rsid w:val="006D5865"/>
    <w:rsid w:val="006D67DF"/>
    <w:rsid w:val="006D717C"/>
    <w:rsid w:val="006D7932"/>
    <w:rsid w:val="006E4B1B"/>
    <w:rsid w:val="006E5445"/>
    <w:rsid w:val="006E68D0"/>
    <w:rsid w:val="006E7D93"/>
    <w:rsid w:val="006F1A50"/>
    <w:rsid w:val="006F2B7A"/>
    <w:rsid w:val="006F48E8"/>
    <w:rsid w:val="006F6CC5"/>
    <w:rsid w:val="006F6DA9"/>
    <w:rsid w:val="0070133D"/>
    <w:rsid w:val="007029A3"/>
    <w:rsid w:val="007029CF"/>
    <w:rsid w:val="00706E4E"/>
    <w:rsid w:val="0070791C"/>
    <w:rsid w:val="0071383C"/>
    <w:rsid w:val="007141A7"/>
    <w:rsid w:val="00714E28"/>
    <w:rsid w:val="00714EB4"/>
    <w:rsid w:val="00715722"/>
    <w:rsid w:val="00715BAF"/>
    <w:rsid w:val="00721032"/>
    <w:rsid w:val="00721B55"/>
    <w:rsid w:val="00726CE4"/>
    <w:rsid w:val="00726DE6"/>
    <w:rsid w:val="007319DB"/>
    <w:rsid w:val="00734143"/>
    <w:rsid w:val="007344E3"/>
    <w:rsid w:val="00737E47"/>
    <w:rsid w:val="00740EAC"/>
    <w:rsid w:val="00741EDA"/>
    <w:rsid w:val="007431A8"/>
    <w:rsid w:val="00744542"/>
    <w:rsid w:val="00744956"/>
    <w:rsid w:val="0074565A"/>
    <w:rsid w:val="00745A5C"/>
    <w:rsid w:val="0074605F"/>
    <w:rsid w:val="00747E94"/>
    <w:rsid w:val="00750526"/>
    <w:rsid w:val="00751407"/>
    <w:rsid w:val="00754C83"/>
    <w:rsid w:val="00761E5C"/>
    <w:rsid w:val="00765DF8"/>
    <w:rsid w:val="00766749"/>
    <w:rsid w:val="00767C1B"/>
    <w:rsid w:val="00770B3F"/>
    <w:rsid w:val="007714A9"/>
    <w:rsid w:val="00774F88"/>
    <w:rsid w:val="00774FDB"/>
    <w:rsid w:val="007768DC"/>
    <w:rsid w:val="00777BA2"/>
    <w:rsid w:val="00781408"/>
    <w:rsid w:val="00784F7F"/>
    <w:rsid w:val="007858AE"/>
    <w:rsid w:val="00785E11"/>
    <w:rsid w:val="007878BD"/>
    <w:rsid w:val="007958C9"/>
    <w:rsid w:val="00796F25"/>
    <w:rsid w:val="007A2E98"/>
    <w:rsid w:val="007A2FCC"/>
    <w:rsid w:val="007A3BA3"/>
    <w:rsid w:val="007A6CC0"/>
    <w:rsid w:val="007A7FEC"/>
    <w:rsid w:val="007B1499"/>
    <w:rsid w:val="007B1A91"/>
    <w:rsid w:val="007B1BBF"/>
    <w:rsid w:val="007B1C8B"/>
    <w:rsid w:val="007B2960"/>
    <w:rsid w:val="007B2EA8"/>
    <w:rsid w:val="007B355D"/>
    <w:rsid w:val="007B76DB"/>
    <w:rsid w:val="007B7980"/>
    <w:rsid w:val="007C0DEF"/>
    <w:rsid w:val="007C1BCE"/>
    <w:rsid w:val="007C5D5A"/>
    <w:rsid w:val="007C607F"/>
    <w:rsid w:val="007C79DD"/>
    <w:rsid w:val="007D1A97"/>
    <w:rsid w:val="007D2056"/>
    <w:rsid w:val="007D2CD6"/>
    <w:rsid w:val="007D3063"/>
    <w:rsid w:val="007D3CEB"/>
    <w:rsid w:val="007D691C"/>
    <w:rsid w:val="007E063D"/>
    <w:rsid w:val="007E7683"/>
    <w:rsid w:val="007F427F"/>
    <w:rsid w:val="007F49FA"/>
    <w:rsid w:val="007F54C4"/>
    <w:rsid w:val="007F60B4"/>
    <w:rsid w:val="007F6E9A"/>
    <w:rsid w:val="00800CCD"/>
    <w:rsid w:val="0080354E"/>
    <w:rsid w:val="00803665"/>
    <w:rsid w:val="008044D4"/>
    <w:rsid w:val="00810AB4"/>
    <w:rsid w:val="00817B56"/>
    <w:rsid w:val="00821A88"/>
    <w:rsid w:val="0082322E"/>
    <w:rsid w:val="0082495D"/>
    <w:rsid w:val="00826805"/>
    <w:rsid w:val="008306A8"/>
    <w:rsid w:val="00831AC3"/>
    <w:rsid w:val="00836FCE"/>
    <w:rsid w:val="008408FF"/>
    <w:rsid w:val="008412E6"/>
    <w:rsid w:val="00843401"/>
    <w:rsid w:val="0084547E"/>
    <w:rsid w:val="0084616E"/>
    <w:rsid w:val="008461BE"/>
    <w:rsid w:val="00851F3F"/>
    <w:rsid w:val="00856EDC"/>
    <w:rsid w:val="00857E1C"/>
    <w:rsid w:val="008623B5"/>
    <w:rsid w:val="008636E1"/>
    <w:rsid w:val="00870ABA"/>
    <w:rsid w:val="008710E1"/>
    <w:rsid w:val="008716E5"/>
    <w:rsid w:val="008730CC"/>
    <w:rsid w:val="008738EF"/>
    <w:rsid w:val="00873EB3"/>
    <w:rsid w:val="00876BD5"/>
    <w:rsid w:val="00881CA9"/>
    <w:rsid w:val="0088340D"/>
    <w:rsid w:val="00883628"/>
    <w:rsid w:val="00885544"/>
    <w:rsid w:val="0088634E"/>
    <w:rsid w:val="00893AB8"/>
    <w:rsid w:val="008A04C8"/>
    <w:rsid w:val="008A422E"/>
    <w:rsid w:val="008A6913"/>
    <w:rsid w:val="008B3EFB"/>
    <w:rsid w:val="008B62A5"/>
    <w:rsid w:val="008B70F3"/>
    <w:rsid w:val="008B71C4"/>
    <w:rsid w:val="008B76DF"/>
    <w:rsid w:val="008C10F4"/>
    <w:rsid w:val="008C13E6"/>
    <w:rsid w:val="008C45A2"/>
    <w:rsid w:val="008C65F7"/>
    <w:rsid w:val="008D2DA9"/>
    <w:rsid w:val="008D4B7F"/>
    <w:rsid w:val="008D6256"/>
    <w:rsid w:val="008E0428"/>
    <w:rsid w:val="008E4767"/>
    <w:rsid w:val="008E60AC"/>
    <w:rsid w:val="008E7A8C"/>
    <w:rsid w:val="008F0A26"/>
    <w:rsid w:val="008F34B9"/>
    <w:rsid w:val="008F4FCB"/>
    <w:rsid w:val="008F73E6"/>
    <w:rsid w:val="0090203B"/>
    <w:rsid w:val="00903285"/>
    <w:rsid w:val="00906F40"/>
    <w:rsid w:val="0090731E"/>
    <w:rsid w:val="00915B1C"/>
    <w:rsid w:val="009174F3"/>
    <w:rsid w:val="0091797D"/>
    <w:rsid w:val="009229DC"/>
    <w:rsid w:val="00923CBA"/>
    <w:rsid w:val="00923CCA"/>
    <w:rsid w:val="00924FE1"/>
    <w:rsid w:val="00926703"/>
    <w:rsid w:val="00927480"/>
    <w:rsid w:val="00927691"/>
    <w:rsid w:val="00927A5F"/>
    <w:rsid w:val="00930510"/>
    <w:rsid w:val="00931112"/>
    <w:rsid w:val="009321F8"/>
    <w:rsid w:val="00932AB3"/>
    <w:rsid w:val="00935B63"/>
    <w:rsid w:val="00936E95"/>
    <w:rsid w:val="0094078F"/>
    <w:rsid w:val="00940FA3"/>
    <w:rsid w:val="00941FB0"/>
    <w:rsid w:val="009426D4"/>
    <w:rsid w:val="00947D16"/>
    <w:rsid w:val="00947F25"/>
    <w:rsid w:val="00950159"/>
    <w:rsid w:val="00950D46"/>
    <w:rsid w:val="0095177F"/>
    <w:rsid w:val="00952A6B"/>
    <w:rsid w:val="0095490B"/>
    <w:rsid w:val="00960A33"/>
    <w:rsid w:val="009628B2"/>
    <w:rsid w:val="00964100"/>
    <w:rsid w:val="00967E0B"/>
    <w:rsid w:val="00971914"/>
    <w:rsid w:val="00974363"/>
    <w:rsid w:val="00981898"/>
    <w:rsid w:val="0099577C"/>
    <w:rsid w:val="00996DB5"/>
    <w:rsid w:val="009A021C"/>
    <w:rsid w:val="009A20E9"/>
    <w:rsid w:val="009A25CC"/>
    <w:rsid w:val="009A70E0"/>
    <w:rsid w:val="009A785B"/>
    <w:rsid w:val="009B1A2C"/>
    <w:rsid w:val="009B1BBE"/>
    <w:rsid w:val="009B24A5"/>
    <w:rsid w:val="009B2601"/>
    <w:rsid w:val="009B3748"/>
    <w:rsid w:val="009B4E9E"/>
    <w:rsid w:val="009B5D38"/>
    <w:rsid w:val="009B6D19"/>
    <w:rsid w:val="009C1690"/>
    <w:rsid w:val="009C3B09"/>
    <w:rsid w:val="009C5F76"/>
    <w:rsid w:val="009C6881"/>
    <w:rsid w:val="009C7759"/>
    <w:rsid w:val="009D043D"/>
    <w:rsid w:val="009D07C8"/>
    <w:rsid w:val="009D3312"/>
    <w:rsid w:val="009D4C85"/>
    <w:rsid w:val="009D6C71"/>
    <w:rsid w:val="009E0631"/>
    <w:rsid w:val="009E119F"/>
    <w:rsid w:val="009E16D0"/>
    <w:rsid w:val="009E2051"/>
    <w:rsid w:val="009E38FD"/>
    <w:rsid w:val="009E6EF0"/>
    <w:rsid w:val="009E7EB2"/>
    <w:rsid w:val="009F100A"/>
    <w:rsid w:val="009F13D6"/>
    <w:rsid w:val="009F2613"/>
    <w:rsid w:val="009F26B0"/>
    <w:rsid w:val="009F4C6B"/>
    <w:rsid w:val="009F616F"/>
    <w:rsid w:val="009F78A8"/>
    <w:rsid w:val="00A019E1"/>
    <w:rsid w:val="00A02AD6"/>
    <w:rsid w:val="00A07096"/>
    <w:rsid w:val="00A07318"/>
    <w:rsid w:val="00A111D9"/>
    <w:rsid w:val="00A11370"/>
    <w:rsid w:val="00A163D3"/>
    <w:rsid w:val="00A205F3"/>
    <w:rsid w:val="00A224CE"/>
    <w:rsid w:val="00A22522"/>
    <w:rsid w:val="00A24AFD"/>
    <w:rsid w:val="00A24F5C"/>
    <w:rsid w:val="00A2558E"/>
    <w:rsid w:val="00A26558"/>
    <w:rsid w:val="00A2785D"/>
    <w:rsid w:val="00A32F96"/>
    <w:rsid w:val="00A36199"/>
    <w:rsid w:val="00A37EF2"/>
    <w:rsid w:val="00A40475"/>
    <w:rsid w:val="00A40871"/>
    <w:rsid w:val="00A412AB"/>
    <w:rsid w:val="00A4193E"/>
    <w:rsid w:val="00A41F40"/>
    <w:rsid w:val="00A42840"/>
    <w:rsid w:val="00A43A2F"/>
    <w:rsid w:val="00A440E0"/>
    <w:rsid w:val="00A442EF"/>
    <w:rsid w:val="00A44C0A"/>
    <w:rsid w:val="00A457EC"/>
    <w:rsid w:val="00A50A4C"/>
    <w:rsid w:val="00A51D1A"/>
    <w:rsid w:val="00A5418D"/>
    <w:rsid w:val="00A5474E"/>
    <w:rsid w:val="00A606A1"/>
    <w:rsid w:val="00A64234"/>
    <w:rsid w:val="00A70ADF"/>
    <w:rsid w:val="00A71466"/>
    <w:rsid w:val="00A7152E"/>
    <w:rsid w:val="00A74B5E"/>
    <w:rsid w:val="00A75585"/>
    <w:rsid w:val="00A756FA"/>
    <w:rsid w:val="00A818C9"/>
    <w:rsid w:val="00A81BED"/>
    <w:rsid w:val="00A81EC4"/>
    <w:rsid w:val="00A824E8"/>
    <w:rsid w:val="00A82661"/>
    <w:rsid w:val="00A84CCA"/>
    <w:rsid w:val="00A86007"/>
    <w:rsid w:val="00A915E2"/>
    <w:rsid w:val="00A92D20"/>
    <w:rsid w:val="00A948B2"/>
    <w:rsid w:val="00A967FD"/>
    <w:rsid w:val="00AA1ABA"/>
    <w:rsid w:val="00AA2BCF"/>
    <w:rsid w:val="00AA2DE5"/>
    <w:rsid w:val="00AA5896"/>
    <w:rsid w:val="00AB156C"/>
    <w:rsid w:val="00AB4F35"/>
    <w:rsid w:val="00AB6814"/>
    <w:rsid w:val="00AC04BA"/>
    <w:rsid w:val="00AC0E39"/>
    <w:rsid w:val="00AC1863"/>
    <w:rsid w:val="00AD13E0"/>
    <w:rsid w:val="00AD3082"/>
    <w:rsid w:val="00AD32B4"/>
    <w:rsid w:val="00AD4AD0"/>
    <w:rsid w:val="00AD4BA7"/>
    <w:rsid w:val="00AD5396"/>
    <w:rsid w:val="00AD5436"/>
    <w:rsid w:val="00AD56BC"/>
    <w:rsid w:val="00AD60CD"/>
    <w:rsid w:val="00AD619B"/>
    <w:rsid w:val="00AD6C8C"/>
    <w:rsid w:val="00AE091D"/>
    <w:rsid w:val="00AE3B60"/>
    <w:rsid w:val="00AE426C"/>
    <w:rsid w:val="00AE4E5A"/>
    <w:rsid w:val="00AE53A1"/>
    <w:rsid w:val="00AF0E2D"/>
    <w:rsid w:val="00AF2018"/>
    <w:rsid w:val="00AF2346"/>
    <w:rsid w:val="00AF2484"/>
    <w:rsid w:val="00AF31CC"/>
    <w:rsid w:val="00AF3CA1"/>
    <w:rsid w:val="00AF6023"/>
    <w:rsid w:val="00AF63E7"/>
    <w:rsid w:val="00AF6E17"/>
    <w:rsid w:val="00AF799E"/>
    <w:rsid w:val="00B00819"/>
    <w:rsid w:val="00B0165D"/>
    <w:rsid w:val="00B01B60"/>
    <w:rsid w:val="00B02D77"/>
    <w:rsid w:val="00B031F3"/>
    <w:rsid w:val="00B052A4"/>
    <w:rsid w:val="00B0698A"/>
    <w:rsid w:val="00B11618"/>
    <w:rsid w:val="00B11E22"/>
    <w:rsid w:val="00B125DE"/>
    <w:rsid w:val="00B13FDD"/>
    <w:rsid w:val="00B143A9"/>
    <w:rsid w:val="00B22EB2"/>
    <w:rsid w:val="00B27442"/>
    <w:rsid w:val="00B31167"/>
    <w:rsid w:val="00B313BF"/>
    <w:rsid w:val="00B31AE5"/>
    <w:rsid w:val="00B329D8"/>
    <w:rsid w:val="00B32BB9"/>
    <w:rsid w:val="00B33AE1"/>
    <w:rsid w:val="00B37C38"/>
    <w:rsid w:val="00B4288C"/>
    <w:rsid w:val="00B43262"/>
    <w:rsid w:val="00B44100"/>
    <w:rsid w:val="00B44252"/>
    <w:rsid w:val="00B45F8F"/>
    <w:rsid w:val="00B45FF4"/>
    <w:rsid w:val="00B46CBA"/>
    <w:rsid w:val="00B46F94"/>
    <w:rsid w:val="00B5119F"/>
    <w:rsid w:val="00B542BF"/>
    <w:rsid w:val="00B57525"/>
    <w:rsid w:val="00B5779A"/>
    <w:rsid w:val="00B6003C"/>
    <w:rsid w:val="00B6138C"/>
    <w:rsid w:val="00B61F03"/>
    <w:rsid w:val="00B626E4"/>
    <w:rsid w:val="00B6719C"/>
    <w:rsid w:val="00B71DAA"/>
    <w:rsid w:val="00B728C6"/>
    <w:rsid w:val="00B72F4A"/>
    <w:rsid w:val="00B7585D"/>
    <w:rsid w:val="00B75D8B"/>
    <w:rsid w:val="00B770E4"/>
    <w:rsid w:val="00B82D3A"/>
    <w:rsid w:val="00B835F3"/>
    <w:rsid w:val="00B83BDC"/>
    <w:rsid w:val="00B83C27"/>
    <w:rsid w:val="00B84BC3"/>
    <w:rsid w:val="00B84BDD"/>
    <w:rsid w:val="00B87481"/>
    <w:rsid w:val="00B90191"/>
    <w:rsid w:val="00B92708"/>
    <w:rsid w:val="00B92812"/>
    <w:rsid w:val="00B964CF"/>
    <w:rsid w:val="00BA2487"/>
    <w:rsid w:val="00BA29AC"/>
    <w:rsid w:val="00BB45A1"/>
    <w:rsid w:val="00BB6335"/>
    <w:rsid w:val="00BB6E92"/>
    <w:rsid w:val="00BB7686"/>
    <w:rsid w:val="00BB7802"/>
    <w:rsid w:val="00BC0D08"/>
    <w:rsid w:val="00BC23F9"/>
    <w:rsid w:val="00BC3421"/>
    <w:rsid w:val="00BC35E9"/>
    <w:rsid w:val="00BC38DD"/>
    <w:rsid w:val="00BC6CB0"/>
    <w:rsid w:val="00BC732C"/>
    <w:rsid w:val="00BC7F8F"/>
    <w:rsid w:val="00BD1423"/>
    <w:rsid w:val="00BD2246"/>
    <w:rsid w:val="00BD4421"/>
    <w:rsid w:val="00BE2580"/>
    <w:rsid w:val="00BE266D"/>
    <w:rsid w:val="00BE3938"/>
    <w:rsid w:val="00BE4C11"/>
    <w:rsid w:val="00BE71C0"/>
    <w:rsid w:val="00BE7E35"/>
    <w:rsid w:val="00BF093A"/>
    <w:rsid w:val="00BF3DAE"/>
    <w:rsid w:val="00BF4083"/>
    <w:rsid w:val="00BF5D36"/>
    <w:rsid w:val="00BF610C"/>
    <w:rsid w:val="00C0060B"/>
    <w:rsid w:val="00C00DA3"/>
    <w:rsid w:val="00C0100F"/>
    <w:rsid w:val="00C01A6C"/>
    <w:rsid w:val="00C0277D"/>
    <w:rsid w:val="00C02C63"/>
    <w:rsid w:val="00C02F26"/>
    <w:rsid w:val="00C03904"/>
    <w:rsid w:val="00C053A1"/>
    <w:rsid w:val="00C061EC"/>
    <w:rsid w:val="00C110F1"/>
    <w:rsid w:val="00C1186A"/>
    <w:rsid w:val="00C12959"/>
    <w:rsid w:val="00C1536A"/>
    <w:rsid w:val="00C16198"/>
    <w:rsid w:val="00C16818"/>
    <w:rsid w:val="00C2083D"/>
    <w:rsid w:val="00C2370F"/>
    <w:rsid w:val="00C2399D"/>
    <w:rsid w:val="00C24A53"/>
    <w:rsid w:val="00C26730"/>
    <w:rsid w:val="00C30C64"/>
    <w:rsid w:val="00C34A05"/>
    <w:rsid w:val="00C35CCE"/>
    <w:rsid w:val="00C4032F"/>
    <w:rsid w:val="00C41DA5"/>
    <w:rsid w:val="00C41F21"/>
    <w:rsid w:val="00C42B9A"/>
    <w:rsid w:val="00C43D55"/>
    <w:rsid w:val="00C44047"/>
    <w:rsid w:val="00C45155"/>
    <w:rsid w:val="00C5498F"/>
    <w:rsid w:val="00C55235"/>
    <w:rsid w:val="00C57001"/>
    <w:rsid w:val="00C574FE"/>
    <w:rsid w:val="00C60146"/>
    <w:rsid w:val="00C6287B"/>
    <w:rsid w:val="00C6427F"/>
    <w:rsid w:val="00C64CD0"/>
    <w:rsid w:val="00C65F61"/>
    <w:rsid w:val="00C6684F"/>
    <w:rsid w:val="00C70E70"/>
    <w:rsid w:val="00C724FC"/>
    <w:rsid w:val="00C75638"/>
    <w:rsid w:val="00C75F8D"/>
    <w:rsid w:val="00C77380"/>
    <w:rsid w:val="00C77664"/>
    <w:rsid w:val="00C8415C"/>
    <w:rsid w:val="00C87E8A"/>
    <w:rsid w:val="00C913D6"/>
    <w:rsid w:val="00C92ED8"/>
    <w:rsid w:val="00C97736"/>
    <w:rsid w:val="00CA345A"/>
    <w:rsid w:val="00CA6D1A"/>
    <w:rsid w:val="00CB0323"/>
    <w:rsid w:val="00CB1E82"/>
    <w:rsid w:val="00CB2D9E"/>
    <w:rsid w:val="00CB4BA8"/>
    <w:rsid w:val="00CB52D7"/>
    <w:rsid w:val="00CB5AA5"/>
    <w:rsid w:val="00CC3EAA"/>
    <w:rsid w:val="00CC6732"/>
    <w:rsid w:val="00CD1324"/>
    <w:rsid w:val="00CD1B03"/>
    <w:rsid w:val="00CD4E34"/>
    <w:rsid w:val="00CD6ACF"/>
    <w:rsid w:val="00CE3C96"/>
    <w:rsid w:val="00CE51A8"/>
    <w:rsid w:val="00CF0142"/>
    <w:rsid w:val="00CF02DC"/>
    <w:rsid w:val="00CF0BFE"/>
    <w:rsid w:val="00CF369B"/>
    <w:rsid w:val="00CF3ED6"/>
    <w:rsid w:val="00CF729F"/>
    <w:rsid w:val="00D00E28"/>
    <w:rsid w:val="00D0269E"/>
    <w:rsid w:val="00D05D6C"/>
    <w:rsid w:val="00D145CC"/>
    <w:rsid w:val="00D15810"/>
    <w:rsid w:val="00D16D4E"/>
    <w:rsid w:val="00D16FE3"/>
    <w:rsid w:val="00D2342C"/>
    <w:rsid w:val="00D24D26"/>
    <w:rsid w:val="00D27136"/>
    <w:rsid w:val="00D27F41"/>
    <w:rsid w:val="00D3195F"/>
    <w:rsid w:val="00D33562"/>
    <w:rsid w:val="00D36441"/>
    <w:rsid w:val="00D4064E"/>
    <w:rsid w:val="00D44E9B"/>
    <w:rsid w:val="00D46055"/>
    <w:rsid w:val="00D47116"/>
    <w:rsid w:val="00D47AEB"/>
    <w:rsid w:val="00D5014D"/>
    <w:rsid w:val="00D50DB9"/>
    <w:rsid w:val="00D51302"/>
    <w:rsid w:val="00D52C43"/>
    <w:rsid w:val="00D54A68"/>
    <w:rsid w:val="00D61243"/>
    <w:rsid w:val="00D614D9"/>
    <w:rsid w:val="00D6507F"/>
    <w:rsid w:val="00D730BC"/>
    <w:rsid w:val="00D73912"/>
    <w:rsid w:val="00D815CA"/>
    <w:rsid w:val="00D85226"/>
    <w:rsid w:val="00D86952"/>
    <w:rsid w:val="00D87B94"/>
    <w:rsid w:val="00D92D49"/>
    <w:rsid w:val="00D92EC1"/>
    <w:rsid w:val="00D9549D"/>
    <w:rsid w:val="00D96DEA"/>
    <w:rsid w:val="00DA4386"/>
    <w:rsid w:val="00DA4E41"/>
    <w:rsid w:val="00DA6E5E"/>
    <w:rsid w:val="00DA75D2"/>
    <w:rsid w:val="00DB117A"/>
    <w:rsid w:val="00DB159C"/>
    <w:rsid w:val="00DB1818"/>
    <w:rsid w:val="00DB5173"/>
    <w:rsid w:val="00DB7873"/>
    <w:rsid w:val="00DC187B"/>
    <w:rsid w:val="00DC515A"/>
    <w:rsid w:val="00DC53B2"/>
    <w:rsid w:val="00DC78F4"/>
    <w:rsid w:val="00DD1A43"/>
    <w:rsid w:val="00DD3FA2"/>
    <w:rsid w:val="00DD73C2"/>
    <w:rsid w:val="00DE319B"/>
    <w:rsid w:val="00DF34FE"/>
    <w:rsid w:val="00DF56AA"/>
    <w:rsid w:val="00DF56AF"/>
    <w:rsid w:val="00DF6C47"/>
    <w:rsid w:val="00DF78E7"/>
    <w:rsid w:val="00E04D63"/>
    <w:rsid w:val="00E05277"/>
    <w:rsid w:val="00E110E0"/>
    <w:rsid w:val="00E15371"/>
    <w:rsid w:val="00E21056"/>
    <w:rsid w:val="00E24104"/>
    <w:rsid w:val="00E27565"/>
    <w:rsid w:val="00E302D0"/>
    <w:rsid w:val="00E35707"/>
    <w:rsid w:val="00E36AA1"/>
    <w:rsid w:val="00E37E1D"/>
    <w:rsid w:val="00E40460"/>
    <w:rsid w:val="00E40F34"/>
    <w:rsid w:val="00E41ECB"/>
    <w:rsid w:val="00E42676"/>
    <w:rsid w:val="00E45227"/>
    <w:rsid w:val="00E54FDB"/>
    <w:rsid w:val="00E5617D"/>
    <w:rsid w:val="00E563D7"/>
    <w:rsid w:val="00E663F4"/>
    <w:rsid w:val="00E666F2"/>
    <w:rsid w:val="00E66DD4"/>
    <w:rsid w:val="00E67A72"/>
    <w:rsid w:val="00E71872"/>
    <w:rsid w:val="00E72DC5"/>
    <w:rsid w:val="00E748CC"/>
    <w:rsid w:val="00E75415"/>
    <w:rsid w:val="00E75968"/>
    <w:rsid w:val="00E775B1"/>
    <w:rsid w:val="00E80DDE"/>
    <w:rsid w:val="00E80F3E"/>
    <w:rsid w:val="00E810A7"/>
    <w:rsid w:val="00E8152A"/>
    <w:rsid w:val="00E87F1C"/>
    <w:rsid w:val="00E922FA"/>
    <w:rsid w:val="00E928E3"/>
    <w:rsid w:val="00E93629"/>
    <w:rsid w:val="00E93B5C"/>
    <w:rsid w:val="00E94CEC"/>
    <w:rsid w:val="00EA04EF"/>
    <w:rsid w:val="00EA07E8"/>
    <w:rsid w:val="00EA3ABC"/>
    <w:rsid w:val="00EA4A87"/>
    <w:rsid w:val="00EA6C79"/>
    <w:rsid w:val="00EA6F19"/>
    <w:rsid w:val="00EB5D8B"/>
    <w:rsid w:val="00EB7090"/>
    <w:rsid w:val="00EC057B"/>
    <w:rsid w:val="00EC1BBE"/>
    <w:rsid w:val="00EC2B68"/>
    <w:rsid w:val="00EC3185"/>
    <w:rsid w:val="00EC3AEF"/>
    <w:rsid w:val="00EC5CD7"/>
    <w:rsid w:val="00ED3F0F"/>
    <w:rsid w:val="00EE009A"/>
    <w:rsid w:val="00EE0E45"/>
    <w:rsid w:val="00EE2FA0"/>
    <w:rsid w:val="00EE5FB3"/>
    <w:rsid w:val="00EE7F79"/>
    <w:rsid w:val="00EF715A"/>
    <w:rsid w:val="00F03C73"/>
    <w:rsid w:val="00F03E63"/>
    <w:rsid w:val="00F041F1"/>
    <w:rsid w:val="00F06E14"/>
    <w:rsid w:val="00F11993"/>
    <w:rsid w:val="00F179D4"/>
    <w:rsid w:val="00F220E0"/>
    <w:rsid w:val="00F22A23"/>
    <w:rsid w:val="00F23759"/>
    <w:rsid w:val="00F23C87"/>
    <w:rsid w:val="00F33C56"/>
    <w:rsid w:val="00F347C7"/>
    <w:rsid w:val="00F34848"/>
    <w:rsid w:val="00F42D46"/>
    <w:rsid w:val="00F4496C"/>
    <w:rsid w:val="00F44F3A"/>
    <w:rsid w:val="00F5056B"/>
    <w:rsid w:val="00F51F10"/>
    <w:rsid w:val="00F5214B"/>
    <w:rsid w:val="00F529A5"/>
    <w:rsid w:val="00F5310D"/>
    <w:rsid w:val="00F5637A"/>
    <w:rsid w:val="00F60F00"/>
    <w:rsid w:val="00F614C0"/>
    <w:rsid w:val="00F656D5"/>
    <w:rsid w:val="00F6576F"/>
    <w:rsid w:val="00F65C7A"/>
    <w:rsid w:val="00F67570"/>
    <w:rsid w:val="00F67978"/>
    <w:rsid w:val="00F70ADD"/>
    <w:rsid w:val="00F70DEA"/>
    <w:rsid w:val="00F80DA9"/>
    <w:rsid w:val="00F836FE"/>
    <w:rsid w:val="00F83848"/>
    <w:rsid w:val="00F87986"/>
    <w:rsid w:val="00F90642"/>
    <w:rsid w:val="00F951B2"/>
    <w:rsid w:val="00F957E0"/>
    <w:rsid w:val="00F975E9"/>
    <w:rsid w:val="00FA0BD7"/>
    <w:rsid w:val="00FA1B7D"/>
    <w:rsid w:val="00FA4936"/>
    <w:rsid w:val="00FA4C2C"/>
    <w:rsid w:val="00FB12D5"/>
    <w:rsid w:val="00FB2032"/>
    <w:rsid w:val="00FC07B9"/>
    <w:rsid w:val="00FC329E"/>
    <w:rsid w:val="00FC4197"/>
    <w:rsid w:val="00FC4E21"/>
    <w:rsid w:val="00FC5F6D"/>
    <w:rsid w:val="00FC64D1"/>
    <w:rsid w:val="00FD0001"/>
    <w:rsid w:val="00FD0107"/>
    <w:rsid w:val="00FD2C2F"/>
    <w:rsid w:val="00FD3B31"/>
    <w:rsid w:val="00FE1823"/>
    <w:rsid w:val="00FE487A"/>
    <w:rsid w:val="00FE4B51"/>
    <w:rsid w:val="00FF0569"/>
    <w:rsid w:val="00FF206E"/>
    <w:rsid w:val="00FF23D8"/>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red,#4d4d4f"/>
    </o:shapedefaults>
    <o:shapelayout v:ext="edit">
      <o:idmap v:ext="edit" data="1"/>
    </o:shapelayout>
  </w:shapeDefaults>
  <w:decimalSymbol w:val="."/>
  <w:listSeparator w:val=","/>
  <w14:docId w14:val="650C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C34EF"/>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ACMA Footnote Text,ABA Footnote Text"/>
    <w:basedOn w:val="Normal"/>
    <w:link w:val="FootnoteTextChar"/>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ACMABulletLevel1">
    <w:name w:val="ACMA Bullet Level 1"/>
    <w:rsid w:val="005C34EF"/>
    <w:pPr>
      <w:numPr>
        <w:numId w:val="16"/>
      </w:numPr>
      <w:tabs>
        <w:tab w:val="num" w:pos="-31680"/>
      </w:tabs>
      <w:spacing w:after="120"/>
    </w:pPr>
    <w:rPr>
      <w:szCs w:val="20"/>
      <w:lang w:eastAsia="en-US"/>
    </w:rPr>
  </w:style>
  <w:style w:type="paragraph" w:customStyle="1" w:styleId="Protectivemarking">
    <w:name w:val="Protective marking"/>
    <w:basedOn w:val="ACMABulletLevel1"/>
    <w:uiPriority w:val="99"/>
    <w:qFormat/>
    <w:rsid w:val="005C34EF"/>
    <w:pPr>
      <w:numPr>
        <w:numId w:val="0"/>
      </w:numPr>
      <w:tabs>
        <w:tab w:val="left" w:pos="720"/>
      </w:tabs>
      <w:spacing w:after="0"/>
      <w:jc w:val="center"/>
    </w:pPr>
    <w:rPr>
      <w:rFonts w:ascii="Arial" w:hAnsi="Arial" w:cs="Arial"/>
      <w:b/>
      <w:bCs/>
      <w:color w:val="FF0000"/>
      <w:sz w:val="32"/>
      <w:szCs w:val="24"/>
    </w:rPr>
  </w:style>
  <w:style w:type="paragraph" w:customStyle="1" w:styleId="ACMABodyText">
    <w:name w:val="ACMA Body Text"/>
    <w:link w:val="ACMABodyTextChar"/>
    <w:rsid w:val="00B57525"/>
    <w:pPr>
      <w:suppressAutoHyphens/>
      <w:spacing w:before="80" w:after="120" w:line="280" w:lineRule="atLeast"/>
    </w:pPr>
    <w:rPr>
      <w:snapToGrid w:val="0"/>
      <w:szCs w:val="20"/>
      <w:lang w:eastAsia="en-US"/>
    </w:rPr>
  </w:style>
  <w:style w:type="character" w:customStyle="1" w:styleId="ACMABodyTextChar">
    <w:name w:val="ACMA Body Text Char"/>
    <w:basedOn w:val="DefaultParagraphFont"/>
    <w:link w:val="ACMABodyText"/>
    <w:rsid w:val="00B57525"/>
    <w:rPr>
      <w:snapToGrid w:val="0"/>
      <w:szCs w:val="20"/>
      <w:lang w:eastAsia="en-US"/>
    </w:rPr>
  </w:style>
  <w:style w:type="paragraph" w:styleId="ListParagraph">
    <w:name w:val="List Paragraph"/>
    <w:basedOn w:val="Normal"/>
    <w:uiPriority w:val="34"/>
    <w:qFormat/>
    <w:rsid w:val="00EC057B"/>
    <w:pPr>
      <w:ind w:left="720"/>
      <w:contextualSpacing/>
    </w:pPr>
  </w:style>
  <w:style w:type="character" w:customStyle="1" w:styleId="FootnoteTextChar">
    <w:name w:val="Footnote Text Char"/>
    <w:aliases w:val="Footnote text Char,ACMA Footnote Text Char,ABA Footnote Text Char"/>
    <w:basedOn w:val="DefaultParagraphFont"/>
    <w:link w:val="FootnoteText"/>
    <w:rsid w:val="0069326C"/>
    <w:rPr>
      <w:rFonts w:ascii="Arial" w:hAnsi="Arial"/>
      <w:sz w:val="16"/>
      <w:szCs w:val="16"/>
    </w:rPr>
  </w:style>
  <w:style w:type="paragraph" w:customStyle="1" w:styleId="ababodytext">
    <w:name w:val="ababodytext"/>
    <w:basedOn w:val="Normal"/>
    <w:rsid w:val="002A2C70"/>
    <w:pPr>
      <w:spacing w:before="100" w:beforeAutospacing="1" w:after="100" w:afterAutospacing="1" w:line="240" w:lineRule="auto"/>
    </w:pPr>
    <w:rPr>
      <w:rFonts w:ascii="Times New Roman" w:hAnsi="Times New Roman"/>
      <w:sz w:val="24"/>
    </w:rPr>
  </w:style>
  <w:style w:type="paragraph" w:customStyle="1" w:styleId="abaheading4">
    <w:name w:val="abaheading4"/>
    <w:basedOn w:val="Normal"/>
    <w:rsid w:val="002A2C70"/>
    <w:pPr>
      <w:spacing w:before="100" w:beforeAutospacing="1" w:after="100" w:afterAutospacing="1" w:line="240" w:lineRule="auto"/>
    </w:pPr>
    <w:rPr>
      <w:rFonts w:ascii="Times New Roman" w:hAnsi="Times New Roman"/>
      <w:sz w:val="24"/>
    </w:rPr>
  </w:style>
  <w:style w:type="paragraph" w:customStyle="1" w:styleId="abatableheading">
    <w:name w:val="abatableheading"/>
    <w:basedOn w:val="Normal"/>
    <w:rsid w:val="002A2C70"/>
    <w:pPr>
      <w:spacing w:before="100" w:beforeAutospacing="1" w:after="100" w:afterAutospacing="1" w:line="240" w:lineRule="auto"/>
    </w:pPr>
    <w:rPr>
      <w:rFonts w:ascii="Times New Roman" w:hAnsi="Times New Roman"/>
      <w:sz w:val="24"/>
    </w:rPr>
  </w:style>
  <w:style w:type="paragraph" w:customStyle="1" w:styleId="abatabletext">
    <w:name w:val="abatabletext"/>
    <w:basedOn w:val="Normal"/>
    <w:rsid w:val="002A2C70"/>
    <w:pPr>
      <w:spacing w:before="100" w:beforeAutospacing="1" w:after="100" w:afterAutospacing="1" w:line="240" w:lineRule="auto"/>
    </w:pPr>
    <w:rPr>
      <w:rFonts w:ascii="Times New Roman" w:hAnsi="Times New Roman"/>
      <w:sz w:val="24"/>
    </w:rPr>
  </w:style>
  <w:style w:type="paragraph" w:styleId="Revision">
    <w:name w:val="Revision"/>
    <w:hidden/>
    <w:semiHidden/>
    <w:rsid w:val="00F65C7A"/>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6857">
      <w:bodyDiv w:val="1"/>
      <w:marLeft w:val="0"/>
      <w:marRight w:val="0"/>
      <w:marTop w:val="0"/>
      <w:marBottom w:val="0"/>
      <w:divBdr>
        <w:top w:val="none" w:sz="0" w:space="0" w:color="auto"/>
        <w:left w:val="none" w:sz="0" w:space="0" w:color="auto"/>
        <w:bottom w:val="none" w:sz="0" w:space="0" w:color="auto"/>
        <w:right w:val="none" w:sz="0" w:space="0" w:color="auto"/>
      </w:divBdr>
    </w:div>
    <w:div w:id="229119357">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591548969">
      <w:bodyDiv w:val="1"/>
      <w:marLeft w:val="0"/>
      <w:marRight w:val="0"/>
      <w:marTop w:val="0"/>
      <w:marBottom w:val="0"/>
      <w:divBdr>
        <w:top w:val="none" w:sz="0" w:space="0" w:color="auto"/>
        <w:left w:val="none" w:sz="0" w:space="0" w:color="auto"/>
        <w:bottom w:val="none" w:sz="0" w:space="0" w:color="auto"/>
        <w:right w:val="none" w:sz="0" w:space="0" w:color="auto"/>
      </w:divBdr>
    </w:div>
    <w:div w:id="688793940">
      <w:bodyDiv w:val="1"/>
      <w:marLeft w:val="0"/>
      <w:marRight w:val="0"/>
      <w:marTop w:val="0"/>
      <w:marBottom w:val="0"/>
      <w:divBdr>
        <w:top w:val="none" w:sz="0" w:space="0" w:color="auto"/>
        <w:left w:val="none" w:sz="0" w:space="0" w:color="auto"/>
        <w:bottom w:val="none" w:sz="0" w:space="0" w:color="auto"/>
        <w:right w:val="none" w:sz="0" w:space="0" w:color="auto"/>
      </w:divBdr>
      <w:divsChild>
        <w:div w:id="1736319056">
          <w:marLeft w:val="0"/>
          <w:marRight w:val="0"/>
          <w:marTop w:val="0"/>
          <w:marBottom w:val="0"/>
          <w:divBdr>
            <w:top w:val="none" w:sz="0" w:space="0" w:color="auto"/>
            <w:left w:val="none" w:sz="0" w:space="0" w:color="auto"/>
            <w:bottom w:val="none" w:sz="0" w:space="0" w:color="auto"/>
            <w:right w:val="none" w:sz="0" w:space="0" w:color="auto"/>
          </w:divBdr>
          <w:divsChild>
            <w:div w:id="1332222540">
              <w:marLeft w:val="0"/>
              <w:marRight w:val="0"/>
              <w:marTop w:val="0"/>
              <w:marBottom w:val="0"/>
              <w:divBdr>
                <w:top w:val="none" w:sz="0" w:space="0" w:color="auto"/>
                <w:left w:val="none" w:sz="0" w:space="0" w:color="auto"/>
                <w:bottom w:val="none" w:sz="0" w:space="0" w:color="auto"/>
                <w:right w:val="none" w:sz="0" w:space="0" w:color="auto"/>
              </w:divBdr>
              <w:divsChild>
                <w:div w:id="378165369">
                  <w:marLeft w:val="0"/>
                  <w:marRight w:val="0"/>
                  <w:marTop w:val="0"/>
                  <w:marBottom w:val="0"/>
                  <w:divBdr>
                    <w:top w:val="none" w:sz="0" w:space="0" w:color="auto"/>
                    <w:left w:val="none" w:sz="0" w:space="0" w:color="auto"/>
                    <w:bottom w:val="none" w:sz="0" w:space="0" w:color="auto"/>
                    <w:right w:val="none" w:sz="0" w:space="0" w:color="auto"/>
                  </w:divBdr>
                  <w:divsChild>
                    <w:div w:id="1123034409">
                      <w:marLeft w:val="0"/>
                      <w:marRight w:val="0"/>
                      <w:marTop w:val="0"/>
                      <w:marBottom w:val="0"/>
                      <w:divBdr>
                        <w:top w:val="none" w:sz="0" w:space="0" w:color="auto"/>
                        <w:left w:val="none" w:sz="0" w:space="0" w:color="auto"/>
                        <w:bottom w:val="none" w:sz="0" w:space="0" w:color="auto"/>
                        <w:right w:val="none" w:sz="0" w:space="0" w:color="auto"/>
                      </w:divBdr>
                      <w:divsChild>
                        <w:div w:id="1493595553">
                          <w:marLeft w:val="0"/>
                          <w:marRight w:val="0"/>
                          <w:marTop w:val="0"/>
                          <w:marBottom w:val="0"/>
                          <w:divBdr>
                            <w:top w:val="none" w:sz="0" w:space="0" w:color="auto"/>
                            <w:left w:val="none" w:sz="0" w:space="0" w:color="auto"/>
                            <w:bottom w:val="none" w:sz="0" w:space="0" w:color="auto"/>
                            <w:right w:val="none" w:sz="0" w:space="0" w:color="auto"/>
                          </w:divBdr>
                          <w:divsChild>
                            <w:div w:id="1412968931">
                              <w:marLeft w:val="0"/>
                              <w:marRight w:val="0"/>
                              <w:marTop w:val="0"/>
                              <w:marBottom w:val="0"/>
                              <w:divBdr>
                                <w:top w:val="none" w:sz="0" w:space="0" w:color="auto"/>
                                <w:left w:val="none" w:sz="0" w:space="0" w:color="auto"/>
                                <w:bottom w:val="none" w:sz="0" w:space="0" w:color="auto"/>
                                <w:right w:val="none" w:sz="0" w:space="0" w:color="auto"/>
                              </w:divBdr>
                              <w:divsChild>
                                <w:div w:id="1968320264">
                                  <w:marLeft w:val="0"/>
                                  <w:marRight w:val="0"/>
                                  <w:marTop w:val="0"/>
                                  <w:marBottom w:val="0"/>
                                  <w:divBdr>
                                    <w:top w:val="none" w:sz="0" w:space="0" w:color="auto"/>
                                    <w:left w:val="none" w:sz="0" w:space="0" w:color="auto"/>
                                    <w:bottom w:val="none" w:sz="0" w:space="0" w:color="auto"/>
                                    <w:right w:val="none" w:sz="0" w:space="0" w:color="auto"/>
                                  </w:divBdr>
                                  <w:divsChild>
                                    <w:div w:id="307589978">
                                      <w:marLeft w:val="0"/>
                                      <w:marRight w:val="0"/>
                                      <w:marTop w:val="0"/>
                                      <w:marBottom w:val="0"/>
                                      <w:divBdr>
                                        <w:top w:val="none" w:sz="0" w:space="0" w:color="auto"/>
                                        <w:left w:val="none" w:sz="0" w:space="0" w:color="auto"/>
                                        <w:bottom w:val="none" w:sz="0" w:space="0" w:color="auto"/>
                                        <w:right w:val="none" w:sz="0" w:space="0" w:color="auto"/>
                                      </w:divBdr>
                                      <w:divsChild>
                                        <w:div w:id="1530219823">
                                          <w:marLeft w:val="0"/>
                                          <w:marRight w:val="0"/>
                                          <w:marTop w:val="0"/>
                                          <w:marBottom w:val="0"/>
                                          <w:divBdr>
                                            <w:top w:val="none" w:sz="0" w:space="0" w:color="auto"/>
                                            <w:left w:val="none" w:sz="0" w:space="0" w:color="auto"/>
                                            <w:bottom w:val="none" w:sz="0" w:space="0" w:color="auto"/>
                                            <w:right w:val="none" w:sz="0" w:space="0" w:color="auto"/>
                                          </w:divBdr>
                                          <w:divsChild>
                                            <w:div w:id="996880536">
                                              <w:marLeft w:val="0"/>
                                              <w:marRight w:val="0"/>
                                              <w:marTop w:val="0"/>
                                              <w:marBottom w:val="0"/>
                                              <w:divBdr>
                                                <w:top w:val="none" w:sz="0" w:space="0" w:color="auto"/>
                                                <w:left w:val="none" w:sz="0" w:space="0" w:color="auto"/>
                                                <w:bottom w:val="none" w:sz="0" w:space="0" w:color="auto"/>
                                                <w:right w:val="none" w:sz="0" w:space="0" w:color="auto"/>
                                              </w:divBdr>
                                              <w:divsChild>
                                                <w:div w:id="1817213115">
                                                  <w:marLeft w:val="0"/>
                                                  <w:marRight w:val="0"/>
                                                  <w:marTop w:val="0"/>
                                                  <w:marBottom w:val="0"/>
                                                  <w:divBdr>
                                                    <w:top w:val="none" w:sz="0" w:space="0" w:color="auto"/>
                                                    <w:left w:val="none" w:sz="0" w:space="0" w:color="auto"/>
                                                    <w:bottom w:val="none" w:sz="0" w:space="0" w:color="auto"/>
                                                    <w:right w:val="none" w:sz="0" w:space="0" w:color="auto"/>
                                                  </w:divBdr>
                                                  <w:divsChild>
                                                    <w:div w:id="228730258">
                                                      <w:marLeft w:val="0"/>
                                                      <w:marRight w:val="0"/>
                                                      <w:marTop w:val="0"/>
                                                      <w:marBottom w:val="0"/>
                                                      <w:divBdr>
                                                        <w:top w:val="none" w:sz="0" w:space="0" w:color="auto"/>
                                                        <w:left w:val="none" w:sz="0" w:space="0" w:color="auto"/>
                                                        <w:bottom w:val="none" w:sz="0" w:space="0" w:color="auto"/>
                                                        <w:right w:val="none" w:sz="0" w:space="0" w:color="auto"/>
                                                      </w:divBdr>
                                                      <w:divsChild>
                                                        <w:div w:id="130485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1020705">
      <w:bodyDiv w:val="1"/>
      <w:marLeft w:val="0"/>
      <w:marRight w:val="0"/>
      <w:marTop w:val="0"/>
      <w:marBottom w:val="0"/>
      <w:divBdr>
        <w:top w:val="none" w:sz="0" w:space="0" w:color="auto"/>
        <w:left w:val="none" w:sz="0" w:space="0" w:color="auto"/>
        <w:bottom w:val="none" w:sz="0" w:space="0" w:color="auto"/>
        <w:right w:val="none" w:sz="0" w:space="0" w:color="auto"/>
      </w:divBdr>
      <w:divsChild>
        <w:div w:id="1187140843">
          <w:marLeft w:val="0"/>
          <w:marRight w:val="0"/>
          <w:marTop w:val="0"/>
          <w:marBottom w:val="0"/>
          <w:divBdr>
            <w:top w:val="none" w:sz="0" w:space="0" w:color="auto"/>
            <w:left w:val="none" w:sz="0" w:space="0" w:color="auto"/>
            <w:bottom w:val="none" w:sz="0" w:space="0" w:color="auto"/>
            <w:right w:val="none" w:sz="0" w:space="0" w:color="auto"/>
          </w:divBdr>
          <w:divsChild>
            <w:div w:id="1280649167">
              <w:marLeft w:val="0"/>
              <w:marRight w:val="0"/>
              <w:marTop w:val="0"/>
              <w:marBottom w:val="0"/>
              <w:divBdr>
                <w:top w:val="none" w:sz="0" w:space="0" w:color="auto"/>
                <w:left w:val="none" w:sz="0" w:space="0" w:color="auto"/>
                <w:bottom w:val="none" w:sz="0" w:space="0" w:color="auto"/>
                <w:right w:val="none" w:sz="0" w:space="0" w:color="auto"/>
              </w:divBdr>
              <w:divsChild>
                <w:div w:id="1106653866">
                  <w:marLeft w:val="0"/>
                  <w:marRight w:val="0"/>
                  <w:marTop w:val="0"/>
                  <w:marBottom w:val="0"/>
                  <w:divBdr>
                    <w:top w:val="none" w:sz="0" w:space="0" w:color="auto"/>
                    <w:left w:val="none" w:sz="0" w:space="0" w:color="auto"/>
                    <w:bottom w:val="none" w:sz="0" w:space="0" w:color="auto"/>
                    <w:right w:val="none" w:sz="0" w:space="0" w:color="auto"/>
                  </w:divBdr>
                  <w:divsChild>
                    <w:div w:id="886262023">
                      <w:marLeft w:val="0"/>
                      <w:marRight w:val="0"/>
                      <w:marTop w:val="0"/>
                      <w:marBottom w:val="0"/>
                      <w:divBdr>
                        <w:top w:val="none" w:sz="0" w:space="0" w:color="auto"/>
                        <w:left w:val="none" w:sz="0" w:space="0" w:color="auto"/>
                        <w:bottom w:val="none" w:sz="0" w:space="0" w:color="auto"/>
                        <w:right w:val="none" w:sz="0" w:space="0" w:color="auto"/>
                      </w:divBdr>
                      <w:divsChild>
                        <w:div w:id="1462769884">
                          <w:marLeft w:val="0"/>
                          <w:marRight w:val="0"/>
                          <w:marTop w:val="0"/>
                          <w:marBottom w:val="0"/>
                          <w:divBdr>
                            <w:top w:val="none" w:sz="0" w:space="0" w:color="auto"/>
                            <w:left w:val="none" w:sz="0" w:space="0" w:color="auto"/>
                            <w:bottom w:val="none" w:sz="0" w:space="0" w:color="auto"/>
                            <w:right w:val="none" w:sz="0" w:space="0" w:color="auto"/>
                          </w:divBdr>
                          <w:divsChild>
                            <w:div w:id="1512645063">
                              <w:marLeft w:val="0"/>
                              <w:marRight w:val="0"/>
                              <w:marTop w:val="0"/>
                              <w:marBottom w:val="0"/>
                              <w:divBdr>
                                <w:top w:val="none" w:sz="0" w:space="0" w:color="auto"/>
                                <w:left w:val="none" w:sz="0" w:space="0" w:color="auto"/>
                                <w:bottom w:val="none" w:sz="0" w:space="0" w:color="auto"/>
                                <w:right w:val="none" w:sz="0" w:space="0" w:color="auto"/>
                              </w:divBdr>
                              <w:divsChild>
                                <w:div w:id="705062665">
                                  <w:marLeft w:val="0"/>
                                  <w:marRight w:val="0"/>
                                  <w:marTop w:val="0"/>
                                  <w:marBottom w:val="0"/>
                                  <w:divBdr>
                                    <w:top w:val="none" w:sz="0" w:space="0" w:color="auto"/>
                                    <w:left w:val="none" w:sz="0" w:space="0" w:color="auto"/>
                                    <w:bottom w:val="none" w:sz="0" w:space="0" w:color="auto"/>
                                    <w:right w:val="none" w:sz="0" w:space="0" w:color="auto"/>
                                  </w:divBdr>
                                  <w:divsChild>
                                    <w:div w:id="1559631071">
                                      <w:marLeft w:val="0"/>
                                      <w:marRight w:val="0"/>
                                      <w:marTop w:val="0"/>
                                      <w:marBottom w:val="0"/>
                                      <w:divBdr>
                                        <w:top w:val="none" w:sz="0" w:space="0" w:color="auto"/>
                                        <w:left w:val="none" w:sz="0" w:space="0" w:color="auto"/>
                                        <w:bottom w:val="none" w:sz="0" w:space="0" w:color="auto"/>
                                        <w:right w:val="none" w:sz="0" w:space="0" w:color="auto"/>
                                      </w:divBdr>
                                      <w:divsChild>
                                        <w:div w:id="271523474">
                                          <w:marLeft w:val="0"/>
                                          <w:marRight w:val="0"/>
                                          <w:marTop w:val="0"/>
                                          <w:marBottom w:val="0"/>
                                          <w:divBdr>
                                            <w:top w:val="none" w:sz="0" w:space="0" w:color="auto"/>
                                            <w:left w:val="none" w:sz="0" w:space="0" w:color="auto"/>
                                            <w:bottom w:val="none" w:sz="0" w:space="0" w:color="auto"/>
                                            <w:right w:val="none" w:sz="0" w:space="0" w:color="auto"/>
                                          </w:divBdr>
                                          <w:divsChild>
                                            <w:div w:id="1236359985">
                                              <w:marLeft w:val="0"/>
                                              <w:marRight w:val="0"/>
                                              <w:marTop w:val="0"/>
                                              <w:marBottom w:val="0"/>
                                              <w:divBdr>
                                                <w:top w:val="none" w:sz="0" w:space="0" w:color="auto"/>
                                                <w:left w:val="none" w:sz="0" w:space="0" w:color="auto"/>
                                                <w:bottom w:val="none" w:sz="0" w:space="0" w:color="auto"/>
                                                <w:right w:val="none" w:sz="0" w:space="0" w:color="auto"/>
                                              </w:divBdr>
                                              <w:divsChild>
                                                <w:div w:id="458693883">
                                                  <w:marLeft w:val="0"/>
                                                  <w:marRight w:val="0"/>
                                                  <w:marTop w:val="0"/>
                                                  <w:marBottom w:val="0"/>
                                                  <w:divBdr>
                                                    <w:top w:val="none" w:sz="0" w:space="0" w:color="auto"/>
                                                    <w:left w:val="none" w:sz="0" w:space="0" w:color="auto"/>
                                                    <w:bottom w:val="none" w:sz="0" w:space="0" w:color="auto"/>
                                                    <w:right w:val="none" w:sz="0" w:space="0" w:color="auto"/>
                                                  </w:divBdr>
                                                  <w:divsChild>
                                                    <w:div w:id="1771508711">
                                                      <w:marLeft w:val="0"/>
                                                      <w:marRight w:val="0"/>
                                                      <w:marTop w:val="0"/>
                                                      <w:marBottom w:val="0"/>
                                                      <w:divBdr>
                                                        <w:top w:val="none" w:sz="0" w:space="0" w:color="auto"/>
                                                        <w:left w:val="none" w:sz="0" w:space="0" w:color="auto"/>
                                                        <w:bottom w:val="none" w:sz="0" w:space="0" w:color="auto"/>
                                                        <w:right w:val="none" w:sz="0" w:space="0" w:color="auto"/>
                                                      </w:divBdr>
                                                      <w:divsChild>
                                                        <w:div w:id="19788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category-service-opinion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mailto:info@acma.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mailto:info@acma.gov.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www.legislation.gov.au" TargetMode="External"/><Relationship Id="rId30" Type="http://schemas.openxmlformats.org/officeDocument/2006/relationships/footer" Target="footer7.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4080A-E68B-435C-8EDB-6A693966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3789</Words>
  <Characters>21600</Characters>
  <Application>Microsoft Office Word</Application>
  <DocSecurity>0</DocSecurity>
  <Lines>180</Lines>
  <Paragraphs>50</Paragraphs>
  <ScaleCrop>false</ScaleCrop>
  <Manager/>
  <Company/>
  <LinksUpToDate>false</LinksUpToDate>
  <CharactersWithSpaces>25339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2021-07-06T03:12:00Z</dcterms:created>
  <dcterms:modified xsi:type="dcterms:W3CDTF">2021-07-06T03:12:00Z</dcterms:modified>
  <cp:category/>
</cp:coreProperties>
</file>