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2511B5" w14:textId="465B5054" w:rsidR="00F06E14" w:rsidRPr="00A51D1A" w:rsidRDefault="001D3EF6" w:rsidP="00A51D1A">
      <w:pPr>
        <w:pStyle w:val="Reporttitle"/>
      </w:pPr>
      <w:r>
        <w:t>FM broadcasting ser</w:t>
      </w:r>
      <w:r w:rsidR="00FF7B67">
        <w:t xml:space="preserve">vices band in the </w:t>
      </w:r>
      <w:r w:rsidR="007C10AB" w:rsidRPr="007C10AB">
        <w:t>Perth RA1 licence area</w:t>
      </w:r>
    </w:p>
    <w:p w14:paraId="3ABC1BAD" w14:textId="6C91A60B" w:rsidR="001974FE" w:rsidRPr="001974FE" w:rsidRDefault="0000500B" w:rsidP="001974FE">
      <w:pPr>
        <w:pStyle w:val="Reportsubtitle"/>
      </w:pPr>
      <w:r>
        <w:t>Options</w:t>
      </w:r>
      <w:r w:rsidRPr="001974FE">
        <w:t xml:space="preserve"> </w:t>
      </w:r>
      <w:r w:rsidR="001974FE" w:rsidRPr="001974FE">
        <w:t>paper</w:t>
      </w:r>
    </w:p>
    <w:p w14:paraId="1D0D6C02" w14:textId="08D9FBDA" w:rsidR="00C97736" w:rsidRPr="000D76E0" w:rsidRDefault="00BD0AA0" w:rsidP="00EC2B68">
      <w:pPr>
        <w:pStyle w:val="Reportdate"/>
        <w:spacing w:after="720"/>
        <w:rPr>
          <w:rFonts w:cs="Arial"/>
        </w:rPr>
        <w:sectPr w:rsidR="00C97736" w:rsidRPr="000D76E0" w:rsidSect="0021426C">
          <w:headerReference w:type="default" r:id="rId8"/>
          <w:footerReference w:type="default" r:id="rId9"/>
          <w:headerReference w:type="first" r:id="rId10"/>
          <w:pgSz w:w="11906" w:h="16838" w:code="9"/>
          <w:pgMar w:top="3924" w:right="992" w:bottom="1440" w:left="1134" w:header="709" w:footer="454" w:gutter="0"/>
          <w:cols w:space="708"/>
          <w:docGrid w:linePitch="360"/>
        </w:sectPr>
      </w:pPr>
      <w:r w:rsidRPr="009401BE">
        <w:t>April</w:t>
      </w:r>
      <w:r>
        <w:t xml:space="preserve"> </w:t>
      </w:r>
      <w:r w:rsidR="00BD4421">
        <w:t>20</w:t>
      </w:r>
      <w:r w:rsidR="008E0428">
        <w:t>2</w:t>
      </w:r>
      <w:r w:rsidR="003253EE">
        <w:t>1</w:t>
      </w:r>
    </w:p>
    <w:p w14:paraId="26F55B99" w14:textId="77777777" w:rsidR="0005011A" w:rsidRPr="00F44F3A" w:rsidRDefault="0005011A" w:rsidP="00FC07B9">
      <w:pPr>
        <w:pStyle w:val="ACMACorporateAddressHeader"/>
      </w:pPr>
      <w:r w:rsidRPr="00F44F3A">
        <w:lastRenderedPageBreak/>
        <w:t>Canberra</w:t>
      </w:r>
    </w:p>
    <w:p w14:paraId="2DC7D260" w14:textId="77777777" w:rsidR="0005011A" w:rsidRPr="00FC07B9" w:rsidRDefault="0005011A" w:rsidP="00FC07B9">
      <w:pPr>
        <w:pStyle w:val="ACMACorporateAddresses"/>
      </w:pPr>
      <w:r w:rsidRPr="00FC07B9">
        <w:t xml:space="preserve">Red Building </w:t>
      </w:r>
      <w:r w:rsidRPr="00FC07B9">
        <w:br/>
        <w:t>Benjamin Offices</w:t>
      </w:r>
      <w:r w:rsidRPr="00FC07B9">
        <w:br/>
        <w:t xml:space="preserve">Chan Street </w:t>
      </w:r>
      <w:r w:rsidRPr="00FC07B9">
        <w:br/>
        <w:t>Belconnen ACT</w:t>
      </w:r>
    </w:p>
    <w:p w14:paraId="65DE85E3" w14:textId="77777777" w:rsidR="0005011A" w:rsidRPr="00FC07B9" w:rsidRDefault="0005011A" w:rsidP="00FC07B9">
      <w:pPr>
        <w:pStyle w:val="ACMACorporateAddresses"/>
      </w:pPr>
      <w:r w:rsidRPr="00FC07B9">
        <w:t>PO Box 78</w:t>
      </w:r>
      <w:r w:rsidRPr="00FC07B9">
        <w:br/>
        <w:t>Belconnen ACT 2616</w:t>
      </w:r>
    </w:p>
    <w:p w14:paraId="24C34D94" w14:textId="77777777" w:rsidR="00FE1823" w:rsidRPr="00FC07B9" w:rsidRDefault="0005011A" w:rsidP="00FC07B9">
      <w:pPr>
        <w:pStyle w:val="ACMACorporateAddresses"/>
      </w:pPr>
      <w:r w:rsidRPr="00FC07B9">
        <w:t>T</w:t>
      </w:r>
      <w:r w:rsidR="00537604" w:rsidRPr="00FC07B9">
        <w:tab/>
      </w:r>
      <w:r w:rsidRPr="00FC07B9">
        <w:t>+61 2 6219 5555</w:t>
      </w:r>
      <w:r w:rsidRPr="00FC07B9">
        <w:br/>
        <w:t>F</w:t>
      </w:r>
      <w:r w:rsidR="00537604" w:rsidRPr="00FC07B9">
        <w:tab/>
      </w:r>
      <w:r w:rsidRPr="00FC07B9">
        <w:t>+61 2 6219 5353</w:t>
      </w:r>
    </w:p>
    <w:p w14:paraId="7383E0C2" w14:textId="77777777" w:rsidR="0005011A" w:rsidRPr="00F44F3A" w:rsidRDefault="0005011A" w:rsidP="00FC07B9">
      <w:pPr>
        <w:pStyle w:val="ACMACorporateAddressHeader"/>
      </w:pPr>
      <w:r w:rsidRPr="00F44F3A">
        <w:t>Melbourne</w:t>
      </w:r>
    </w:p>
    <w:p w14:paraId="255262F2" w14:textId="77777777" w:rsidR="0005011A" w:rsidRPr="00F44F3A" w:rsidRDefault="0005011A" w:rsidP="00FC07B9">
      <w:pPr>
        <w:pStyle w:val="ACMACorporateAddresses"/>
      </w:pPr>
      <w:r w:rsidRPr="00F44F3A">
        <w:t xml:space="preserve">Level 32 </w:t>
      </w:r>
      <w:r w:rsidRPr="00F44F3A">
        <w:br/>
        <w:t>Melbourne Central Tower</w:t>
      </w:r>
      <w:r w:rsidRPr="00F44F3A">
        <w:br/>
        <w:t xml:space="preserve">360 Elizabeth Street </w:t>
      </w:r>
      <w:r w:rsidR="008C10F4" w:rsidRPr="00F44F3A">
        <w:br/>
      </w:r>
      <w:r w:rsidRPr="00F44F3A">
        <w:t>Melbourne VIC</w:t>
      </w:r>
    </w:p>
    <w:p w14:paraId="64AAAA1D" w14:textId="77777777" w:rsidR="0005011A" w:rsidRPr="00F44F3A" w:rsidRDefault="0005011A" w:rsidP="00FC07B9">
      <w:pPr>
        <w:pStyle w:val="ACMACorporateAddresses"/>
      </w:pPr>
      <w:r w:rsidRPr="00F44F3A">
        <w:t>PO Box 13112</w:t>
      </w:r>
      <w:r w:rsidRPr="00F44F3A">
        <w:br/>
        <w:t xml:space="preserve">Law Courts </w:t>
      </w:r>
      <w:r w:rsidRPr="00F44F3A">
        <w:br/>
        <w:t>Melbourne VIC 8010</w:t>
      </w:r>
    </w:p>
    <w:p w14:paraId="024D1054" w14:textId="77777777" w:rsidR="0005011A" w:rsidRPr="00F44F3A" w:rsidRDefault="0005011A" w:rsidP="00FC07B9">
      <w:pPr>
        <w:pStyle w:val="ACMACorporateAddresses"/>
      </w:pPr>
      <w:r w:rsidRPr="00F44F3A">
        <w:t>T</w:t>
      </w:r>
      <w:r w:rsidR="00140318" w:rsidRPr="00F44F3A">
        <w:tab/>
      </w:r>
      <w:r w:rsidRPr="00F44F3A">
        <w:t>+61 3 9963 6800</w:t>
      </w:r>
      <w:r w:rsidRPr="00F44F3A">
        <w:br/>
        <w:t>F</w:t>
      </w:r>
      <w:r w:rsidR="00140318" w:rsidRPr="00F44F3A">
        <w:tab/>
      </w:r>
      <w:r w:rsidRPr="00F44F3A">
        <w:t>+61 3 9963 6899</w:t>
      </w:r>
    </w:p>
    <w:p w14:paraId="6178084E" w14:textId="77777777" w:rsidR="0005011A" w:rsidRPr="00F44F3A" w:rsidRDefault="0005011A" w:rsidP="00FC07B9">
      <w:pPr>
        <w:pStyle w:val="ACMACorporateAddressHeader"/>
      </w:pPr>
      <w:r w:rsidRPr="00F44F3A">
        <w:t>Sydney</w:t>
      </w:r>
    </w:p>
    <w:p w14:paraId="54E39578" w14:textId="77777777" w:rsidR="0005011A" w:rsidRPr="00F44F3A" w:rsidRDefault="0005011A" w:rsidP="00FC07B9">
      <w:pPr>
        <w:pStyle w:val="ACMACorporateAddresses"/>
      </w:pPr>
      <w:r w:rsidRPr="00F44F3A">
        <w:t xml:space="preserve">Level 5 </w:t>
      </w:r>
      <w:r w:rsidRPr="00F44F3A">
        <w:br/>
        <w:t>The Bay Centre</w:t>
      </w:r>
      <w:r w:rsidRPr="00F44F3A">
        <w:br/>
        <w:t xml:space="preserve">65 Pirrama Road </w:t>
      </w:r>
      <w:r w:rsidRPr="00F44F3A">
        <w:br/>
        <w:t>Pyrmont NSW</w:t>
      </w:r>
    </w:p>
    <w:p w14:paraId="39E9F41C" w14:textId="77777777" w:rsidR="0005011A" w:rsidRPr="00F44F3A" w:rsidRDefault="0005011A" w:rsidP="00FC07B9">
      <w:pPr>
        <w:pStyle w:val="ACMACorporateAddresses"/>
      </w:pPr>
      <w:r w:rsidRPr="00F44F3A">
        <w:t>PO Box Q500</w:t>
      </w:r>
      <w:r w:rsidRPr="00F44F3A">
        <w:br/>
        <w:t xml:space="preserve">Queen Victoria Building </w:t>
      </w:r>
      <w:r w:rsidRPr="00F44F3A">
        <w:br/>
        <w:t>NSW 1230</w:t>
      </w:r>
    </w:p>
    <w:p w14:paraId="5F46B601" w14:textId="77777777" w:rsidR="0005011A" w:rsidRPr="00F44F3A" w:rsidRDefault="0005011A" w:rsidP="00FC07B9">
      <w:pPr>
        <w:pStyle w:val="ACMACorporateAddresses"/>
      </w:pPr>
      <w:r w:rsidRPr="00F44F3A">
        <w:t>T</w:t>
      </w:r>
      <w:r w:rsidR="00140318" w:rsidRPr="00F44F3A">
        <w:tab/>
      </w:r>
      <w:r w:rsidRPr="00F44F3A">
        <w:t>+61 2 9334 7700</w:t>
      </w:r>
      <w:r w:rsidR="00140318" w:rsidRPr="00F44F3A">
        <w:t xml:space="preserve"> or</w:t>
      </w:r>
      <w:r w:rsidRPr="00F44F3A">
        <w:t xml:space="preserve"> 1800 226 667</w:t>
      </w:r>
      <w:r w:rsidRPr="00F44F3A">
        <w:br/>
        <w:t>F</w:t>
      </w:r>
      <w:r w:rsidR="00140318" w:rsidRPr="00F44F3A">
        <w:tab/>
      </w:r>
      <w:r w:rsidRPr="00F44F3A">
        <w:t>+61 2 9334 7799</w:t>
      </w:r>
    </w:p>
    <w:p w14:paraId="36C12A6B" w14:textId="77777777" w:rsidR="00140318" w:rsidRPr="006D46E5" w:rsidRDefault="00140318" w:rsidP="00FC07B9">
      <w:pPr>
        <w:pStyle w:val="ACMACopyrightHeader"/>
      </w:pPr>
      <w:r w:rsidRPr="00140318">
        <w:t>Copyright notice</w:t>
      </w:r>
    </w:p>
    <w:p w14:paraId="2B850D7C" w14:textId="77777777" w:rsidR="00140318" w:rsidRPr="006D46E5" w:rsidRDefault="00623FF9" w:rsidP="00623FF9">
      <w:pPr>
        <w:pStyle w:val="ACMACClogo"/>
      </w:pPr>
      <w:r w:rsidRPr="00623FF9">
        <w:rPr>
          <w:noProof/>
        </w:rPr>
        <w:drawing>
          <wp:inline distT="0" distB="0" distL="0" distR="0" wp14:anchorId="0D560505" wp14:editId="378EBFA6">
            <wp:extent cx="838200" cy="295275"/>
            <wp:effectExtent l="0" t="0" r="0" b="0"/>
            <wp:docPr id="1" name="Picture 1" title="Creative Commons logo">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y">
                      <a:hlinkClick r:id="rId11"/>
                    </pic:cNvPr>
                    <pic:cNvPicPr>
                      <a:picLocks noChangeAspect="1" noChangeArrowheads="1"/>
                    </pic:cNvPicPr>
                  </pic:nvPicPr>
                  <pic:blipFill>
                    <a:blip r:embed="rId12" cstate="print"/>
                    <a:srcRect/>
                    <a:stretch>
                      <a:fillRect/>
                    </a:stretch>
                  </pic:blipFill>
                  <pic:spPr bwMode="auto">
                    <a:xfrm>
                      <a:off x="0" y="0"/>
                      <a:ext cx="838200" cy="295275"/>
                    </a:xfrm>
                    <a:prstGeom prst="rect">
                      <a:avLst/>
                    </a:prstGeom>
                    <a:noFill/>
                  </pic:spPr>
                </pic:pic>
              </a:graphicData>
            </a:graphic>
          </wp:inline>
        </w:drawing>
      </w:r>
    </w:p>
    <w:p w14:paraId="2A6313E2" w14:textId="77777777" w:rsidR="00AA2DE5" w:rsidRDefault="00523282" w:rsidP="00AA2DE5">
      <w:pPr>
        <w:pStyle w:val="ACMACorporateAddresses"/>
        <w:rPr>
          <w:rStyle w:val="Hyperlink"/>
        </w:rPr>
      </w:pPr>
      <w:hyperlink r:id="rId13" w:history="1">
        <w:r w:rsidR="00AA2DE5">
          <w:rPr>
            <w:rStyle w:val="Hyperlink"/>
          </w:rPr>
          <w:t>https://creativecommons.org/licenses/by/4.0/</w:t>
        </w:r>
      </w:hyperlink>
    </w:p>
    <w:p w14:paraId="35FE83AB" w14:textId="77777777" w:rsidR="00AA2DE5" w:rsidRDefault="00AA2DE5" w:rsidP="00AA2DE5">
      <w:pPr>
        <w:pStyle w:val="ACMACorporateAddresses"/>
      </w:pPr>
      <w:r>
        <w:t xml:space="preserve">With the exception of coats of arms, logos, emblems, images, other third-party material or devices protected by a trademark, this content is made available under the terms of the Creative Commons Attribution 4.0 International (CC BY 4.0) licence. </w:t>
      </w:r>
    </w:p>
    <w:p w14:paraId="000E044D" w14:textId="77777777" w:rsidR="00AA2DE5" w:rsidRDefault="00AA2DE5" w:rsidP="00AA2DE5">
      <w:pPr>
        <w:pStyle w:val="ACMACorporateAddresses"/>
      </w:pPr>
      <w:r>
        <w:t>We request attribution as © Commonwealth of Australia (Australian Communications and Media Authority) 20</w:t>
      </w:r>
      <w:r w:rsidR="00C41F21">
        <w:t>2</w:t>
      </w:r>
      <w:r w:rsidR="00023A36">
        <w:t>1</w:t>
      </w:r>
      <w:r>
        <w:t>.</w:t>
      </w:r>
    </w:p>
    <w:p w14:paraId="34C7B4E5" w14:textId="77777777" w:rsidR="00AA2DE5" w:rsidRDefault="00AA2DE5" w:rsidP="00AA2DE5">
      <w:pPr>
        <w:pStyle w:val="ACMACorporateAddresses"/>
      </w:pPr>
      <w:r>
        <w:t>All other rights are reserved.</w:t>
      </w:r>
    </w:p>
    <w:p w14:paraId="6C739480" w14:textId="77777777" w:rsidR="00AA2DE5" w:rsidRDefault="00AA2DE5" w:rsidP="00AA2DE5">
      <w:pPr>
        <w:pStyle w:val="ACMACorporateAddresses"/>
      </w:pPr>
      <w:r>
        <w:t xml:space="preserve">The Australian Communications and Media Authority has undertaken reasonable enquiries to identify material owned by third parties and secure permission for its reproduction. Permission may need to be obtained from third parties to re-use their material. </w:t>
      </w:r>
    </w:p>
    <w:p w14:paraId="2914DBC7" w14:textId="77777777" w:rsidR="00AA2DE5" w:rsidRDefault="00AA2DE5" w:rsidP="00AA2DE5">
      <w:pPr>
        <w:pStyle w:val="ACMACorporateAddresses"/>
      </w:pPr>
      <w:r>
        <w:t>Written enquiries may be sent to:</w:t>
      </w:r>
    </w:p>
    <w:p w14:paraId="20401CB7" w14:textId="77777777" w:rsidR="00AA2DE5" w:rsidRDefault="00AA2DE5" w:rsidP="00AA2DE5">
      <w:pPr>
        <w:pStyle w:val="ACMACorporateAddresses"/>
        <w:rPr>
          <w:rStyle w:val="Hyperlink"/>
        </w:rPr>
      </w:pPr>
      <w:r>
        <w:t xml:space="preserve">Manager, Editorial </w:t>
      </w:r>
      <w:r w:rsidR="000245E5">
        <w:t>Services</w:t>
      </w:r>
      <w:r>
        <w:br/>
        <w:t>PO Box 13112</w:t>
      </w:r>
      <w:r>
        <w:br/>
        <w:t>Law Courts</w:t>
      </w:r>
      <w:r>
        <w:br/>
        <w:t>Melbourne VIC 8010</w:t>
      </w:r>
      <w:r>
        <w:br/>
        <w:t xml:space="preserve">Email: </w:t>
      </w:r>
      <w:hyperlink r:id="rId14" w:history="1">
        <w:r>
          <w:rPr>
            <w:rStyle w:val="Hyperlink"/>
          </w:rPr>
          <w:t>info@acma.gov.au</w:t>
        </w:r>
      </w:hyperlink>
    </w:p>
    <w:p w14:paraId="569A4D87" w14:textId="77777777" w:rsidR="00D16FE3" w:rsidRDefault="00D16FE3" w:rsidP="00D16FE3">
      <w:pPr>
        <w:pStyle w:val="ACMACorporateAddresses"/>
        <w:rPr>
          <w:rStyle w:val="Hyperlink"/>
        </w:rPr>
      </w:pPr>
    </w:p>
    <w:p w14:paraId="789D24F5" w14:textId="77777777" w:rsidR="00D16FE3" w:rsidRPr="00D16FE3" w:rsidRDefault="00D16FE3" w:rsidP="00D16FE3">
      <w:pPr>
        <w:pStyle w:val="ACMACorporateAddresses"/>
        <w:sectPr w:rsidR="00D16FE3" w:rsidRPr="00D16FE3">
          <w:headerReference w:type="even" r:id="rId15"/>
          <w:headerReference w:type="default" r:id="rId16"/>
          <w:footerReference w:type="even" r:id="rId17"/>
          <w:footerReference w:type="default" r:id="rId18"/>
          <w:pgSz w:w="11906" w:h="16838" w:code="9"/>
          <w:pgMar w:top="3924" w:right="1797" w:bottom="697" w:left="1134" w:header="709" w:footer="119" w:gutter="0"/>
          <w:cols w:space="708"/>
          <w:docGrid w:linePitch="360"/>
        </w:sectPr>
      </w:pPr>
    </w:p>
    <w:p w14:paraId="3691CBFB" w14:textId="2DA8906A" w:rsidR="00523282" w:rsidRDefault="00523282">
      <w:pPr>
        <w:pStyle w:val="TOC1"/>
        <w:rPr>
          <w:rFonts w:asciiTheme="minorHAnsi" w:eastAsiaTheme="minorEastAsia" w:hAnsiTheme="minorHAnsi" w:cstheme="minorBidi"/>
          <w:b w:val="0"/>
          <w:spacing w:val="0"/>
          <w:sz w:val="22"/>
          <w:szCs w:val="22"/>
        </w:rPr>
      </w:pPr>
      <w:r>
        <w:rPr>
          <w:rFonts w:cs="Arial"/>
          <w:b w:val="0"/>
        </w:rPr>
        <w:lastRenderedPageBreak/>
        <w:fldChar w:fldCharType="begin"/>
      </w:r>
      <w:r>
        <w:rPr>
          <w:rFonts w:cs="Arial"/>
          <w:b w:val="0"/>
        </w:rPr>
        <w:instrText xml:space="preserve"> TOC \o "1-2" \h \z \t "Exec summary heading,1" </w:instrText>
      </w:r>
      <w:r>
        <w:rPr>
          <w:rFonts w:cs="Arial"/>
          <w:b w:val="0"/>
        </w:rPr>
        <w:fldChar w:fldCharType="separate"/>
      </w:r>
      <w:hyperlink w:anchor="_Toc72241297" w:history="1">
        <w:r w:rsidRPr="003B0323">
          <w:rPr>
            <w:rStyle w:val="Hyperlink"/>
          </w:rPr>
          <w:t>Executive summary</w:t>
        </w:r>
        <w:r>
          <w:rPr>
            <w:webHidden/>
          </w:rPr>
          <w:tab/>
        </w:r>
        <w:r>
          <w:rPr>
            <w:webHidden/>
          </w:rPr>
          <w:fldChar w:fldCharType="begin"/>
        </w:r>
        <w:r>
          <w:rPr>
            <w:webHidden/>
          </w:rPr>
          <w:instrText xml:space="preserve"> PAGEREF _Toc72241297 \h </w:instrText>
        </w:r>
        <w:r>
          <w:rPr>
            <w:webHidden/>
          </w:rPr>
        </w:r>
        <w:r>
          <w:rPr>
            <w:webHidden/>
          </w:rPr>
          <w:fldChar w:fldCharType="separate"/>
        </w:r>
        <w:r>
          <w:rPr>
            <w:webHidden/>
          </w:rPr>
          <w:t>1</w:t>
        </w:r>
        <w:r>
          <w:rPr>
            <w:webHidden/>
          </w:rPr>
          <w:fldChar w:fldCharType="end"/>
        </w:r>
      </w:hyperlink>
    </w:p>
    <w:p w14:paraId="124B234B" w14:textId="497CC443" w:rsidR="00523282" w:rsidRDefault="00523282">
      <w:pPr>
        <w:pStyle w:val="TOC1"/>
        <w:rPr>
          <w:rFonts w:asciiTheme="minorHAnsi" w:eastAsiaTheme="minorEastAsia" w:hAnsiTheme="minorHAnsi" w:cstheme="minorBidi"/>
          <w:b w:val="0"/>
          <w:spacing w:val="0"/>
          <w:sz w:val="22"/>
          <w:szCs w:val="22"/>
        </w:rPr>
      </w:pPr>
      <w:hyperlink w:anchor="_Toc72241298" w:history="1">
        <w:r w:rsidRPr="003B0323">
          <w:rPr>
            <w:rStyle w:val="Hyperlink"/>
          </w:rPr>
          <w:t>Issues for comment</w:t>
        </w:r>
        <w:r>
          <w:rPr>
            <w:webHidden/>
          </w:rPr>
          <w:tab/>
        </w:r>
        <w:r>
          <w:rPr>
            <w:webHidden/>
          </w:rPr>
          <w:fldChar w:fldCharType="begin"/>
        </w:r>
        <w:r>
          <w:rPr>
            <w:webHidden/>
          </w:rPr>
          <w:instrText xml:space="preserve"> PAGEREF _Toc72241298 \h </w:instrText>
        </w:r>
        <w:r>
          <w:rPr>
            <w:webHidden/>
          </w:rPr>
        </w:r>
        <w:r>
          <w:rPr>
            <w:webHidden/>
          </w:rPr>
          <w:fldChar w:fldCharType="separate"/>
        </w:r>
        <w:r>
          <w:rPr>
            <w:webHidden/>
          </w:rPr>
          <w:t>3</w:t>
        </w:r>
        <w:r>
          <w:rPr>
            <w:webHidden/>
          </w:rPr>
          <w:fldChar w:fldCharType="end"/>
        </w:r>
      </w:hyperlink>
    </w:p>
    <w:p w14:paraId="6795B62E" w14:textId="4653036B" w:rsidR="00523282" w:rsidRDefault="00523282">
      <w:pPr>
        <w:pStyle w:val="TOC1"/>
        <w:rPr>
          <w:rFonts w:asciiTheme="minorHAnsi" w:eastAsiaTheme="minorEastAsia" w:hAnsiTheme="minorHAnsi" w:cstheme="minorBidi"/>
          <w:b w:val="0"/>
          <w:spacing w:val="0"/>
          <w:sz w:val="22"/>
          <w:szCs w:val="22"/>
        </w:rPr>
      </w:pPr>
      <w:hyperlink w:anchor="_Toc72241299" w:history="1">
        <w:r w:rsidRPr="003B0323">
          <w:rPr>
            <w:rStyle w:val="Hyperlink"/>
          </w:rPr>
          <w:t>Introduction</w:t>
        </w:r>
        <w:r>
          <w:rPr>
            <w:webHidden/>
          </w:rPr>
          <w:tab/>
        </w:r>
        <w:r>
          <w:rPr>
            <w:webHidden/>
          </w:rPr>
          <w:fldChar w:fldCharType="begin"/>
        </w:r>
        <w:r>
          <w:rPr>
            <w:webHidden/>
          </w:rPr>
          <w:instrText xml:space="preserve"> PAGEREF _Toc72241299 \h </w:instrText>
        </w:r>
        <w:r>
          <w:rPr>
            <w:webHidden/>
          </w:rPr>
        </w:r>
        <w:r>
          <w:rPr>
            <w:webHidden/>
          </w:rPr>
          <w:fldChar w:fldCharType="separate"/>
        </w:r>
        <w:r>
          <w:rPr>
            <w:webHidden/>
          </w:rPr>
          <w:t>4</w:t>
        </w:r>
        <w:r>
          <w:rPr>
            <w:webHidden/>
          </w:rPr>
          <w:fldChar w:fldCharType="end"/>
        </w:r>
      </w:hyperlink>
    </w:p>
    <w:p w14:paraId="757AFCEB" w14:textId="4EC1A748" w:rsidR="00523282" w:rsidRDefault="00523282">
      <w:pPr>
        <w:pStyle w:val="TOC2"/>
        <w:rPr>
          <w:rFonts w:asciiTheme="minorHAnsi" w:eastAsiaTheme="minorEastAsia" w:hAnsiTheme="minorHAnsi" w:cstheme="minorBidi"/>
          <w:spacing w:val="0"/>
          <w:sz w:val="22"/>
          <w:szCs w:val="22"/>
        </w:rPr>
      </w:pPr>
      <w:hyperlink w:anchor="_Toc72241300" w:history="1">
        <w:r w:rsidRPr="003B0323">
          <w:rPr>
            <w:rStyle w:val="Hyperlink"/>
          </w:rPr>
          <w:t>Background</w:t>
        </w:r>
        <w:r>
          <w:rPr>
            <w:webHidden/>
          </w:rPr>
          <w:tab/>
        </w:r>
        <w:r>
          <w:rPr>
            <w:webHidden/>
          </w:rPr>
          <w:fldChar w:fldCharType="begin"/>
        </w:r>
        <w:r>
          <w:rPr>
            <w:webHidden/>
          </w:rPr>
          <w:instrText xml:space="preserve"> PAGEREF _Toc72241300 \h </w:instrText>
        </w:r>
        <w:r>
          <w:rPr>
            <w:webHidden/>
          </w:rPr>
        </w:r>
        <w:r>
          <w:rPr>
            <w:webHidden/>
          </w:rPr>
          <w:fldChar w:fldCharType="separate"/>
        </w:r>
        <w:r>
          <w:rPr>
            <w:webHidden/>
          </w:rPr>
          <w:t>4</w:t>
        </w:r>
        <w:r>
          <w:rPr>
            <w:webHidden/>
          </w:rPr>
          <w:fldChar w:fldCharType="end"/>
        </w:r>
      </w:hyperlink>
    </w:p>
    <w:p w14:paraId="0A45A708" w14:textId="7AED820C" w:rsidR="00523282" w:rsidRDefault="00523282">
      <w:pPr>
        <w:pStyle w:val="TOC2"/>
        <w:rPr>
          <w:rFonts w:asciiTheme="minorHAnsi" w:eastAsiaTheme="minorEastAsia" w:hAnsiTheme="minorHAnsi" w:cstheme="minorBidi"/>
          <w:spacing w:val="0"/>
          <w:sz w:val="22"/>
          <w:szCs w:val="22"/>
        </w:rPr>
      </w:pPr>
      <w:hyperlink w:anchor="_Toc72241301" w:history="1">
        <w:r w:rsidRPr="003B0323">
          <w:rPr>
            <w:rStyle w:val="Hyperlink"/>
          </w:rPr>
          <w:t>Planning of broadcasting services</w:t>
        </w:r>
        <w:r>
          <w:rPr>
            <w:webHidden/>
          </w:rPr>
          <w:tab/>
        </w:r>
        <w:r>
          <w:rPr>
            <w:webHidden/>
          </w:rPr>
          <w:fldChar w:fldCharType="begin"/>
        </w:r>
        <w:r>
          <w:rPr>
            <w:webHidden/>
          </w:rPr>
          <w:instrText xml:space="preserve"> PAGEREF _Toc72241301 \h </w:instrText>
        </w:r>
        <w:r>
          <w:rPr>
            <w:webHidden/>
          </w:rPr>
        </w:r>
        <w:r>
          <w:rPr>
            <w:webHidden/>
          </w:rPr>
          <w:fldChar w:fldCharType="separate"/>
        </w:r>
        <w:r>
          <w:rPr>
            <w:webHidden/>
          </w:rPr>
          <w:t>4</w:t>
        </w:r>
        <w:r>
          <w:rPr>
            <w:webHidden/>
          </w:rPr>
          <w:fldChar w:fldCharType="end"/>
        </w:r>
      </w:hyperlink>
    </w:p>
    <w:p w14:paraId="2D258180" w14:textId="3D1C25A7" w:rsidR="00523282" w:rsidRDefault="00523282">
      <w:pPr>
        <w:pStyle w:val="TOC2"/>
        <w:rPr>
          <w:rFonts w:asciiTheme="minorHAnsi" w:eastAsiaTheme="minorEastAsia" w:hAnsiTheme="minorHAnsi" w:cstheme="minorBidi"/>
          <w:spacing w:val="0"/>
          <w:sz w:val="22"/>
          <w:szCs w:val="22"/>
        </w:rPr>
      </w:pPr>
      <w:hyperlink w:anchor="_Toc72241302" w:history="1">
        <w:r w:rsidRPr="003B0323">
          <w:rPr>
            <w:rStyle w:val="Hyperlink"/>
          </w:rPr>
          <w:t>Identification of additional high-power/wide-coverage frequencies</w:t>
        </w:r>
        <w:r>
          <w:rPr>
            <w:webHidden/>
          </w:rPr>
          <w:tab/>
        </w:r>
        <w:r>
          <w:rPr>
            <w:webHidden/>
          </w:rPr>
          <w:fldChar w:fldCharType="begin"/>
        </w:r>
        <w:r>
          <w:rPr>
            <w:webHidden/>
          </w:rPr>
          <w:instrText xml:space="preserve"> PAGEREF _Toc72241302 \h </w:instrText>
        </w:r>
        <w:r>
          <w:rPr>
            <w:webHidden/>
          </w:rPr>
        </w:r>
        <w:r>
          <w:rPr>
            <w:webHidden/>
          </w:rPr>
          <w:fldChar w:fldCharType="separate"/>
        </w:r>
        <w:r>
          <w:rPr>
            <w:webHidden/>
          </w:rPr>
          <w:t>4</w:t>
        </w:r>
        <w:r>
          <w:rPr>
            <w:webHidden/>
          </w:rPr>
          <w:fldChar w:fldCharType="end"/>
        </w:r>
      </w:hyperlink>
    </w:p>
    <w:p w14:paraId="12E5C9B2" w14:textId="4DA8A6E8" w:rsidR="00523282" w:rsidRDefault="00523282">
      <w:pPr>
        <w:pStyle w:val="TOC1"/>
        <w:rPr>
          <w:rFonts w:asciiTheme="minorHAnsi" w:eastAsiaTheme="minorEastAsia" w:hAnsiTheme="minorHAnsi" w:cstheme="minorBidi"/>
          <w:b w:val="0"/>
          <w:spacing w:val="0"/>
          <w:sz w:val="22"/>
          <w:szCs w:val="22"/>
        </w:rPr>
      </w:pPr>
      <w:hyperlink w:anchor="_Toc72241303" w:history="1">
        <w:r w:rsidRPr="003B0323">
          <w:rPr>
            <w:rStyle w:val="Hyperlink"/>
          </w:rPr>
          <w:t>Engineering analysis</w:t>
        </w:r>
        <w:r>
          <w:rPr>
            <w:webHidden/>
          </w:rPr>
          <w:tab/>
        </w:r>
        <w:r>
          <w:rPr>
            <w:webHidden/>
          </w:rPr>
          <w:fldChar w:fldCharType="begin"/>
        </w:r>
        <w:r>
          <w:rPr>
            <w:webHidden/>
          </w:rPr>
          <w:instrText xml:space="preserve"> PAGEREF _Toc72241303 \h </w:instrText>
        </w:r>
        <w:r>
          <w:rPr>
            <w:webHidden/>
          </w:rPr>
        </w:r>
        <w:r>
          <w:rPr>
            <w:webHidden/>
          </w:rPr>
          <w:fldChar w:fldCharType="separate"/>
        </w:r>
        <w:r>
          <w:rPr>
            <w:webHidden/>
          </w:rPr>
          <w:t>7</w:t>
        </w:r>
        <w:r>
          <w:rPr>
            <w:webHidden/>
          </w:rPr>
          <w:fldChar w:fldCharType="end"/>
        </w:r>
      </w:hyperlink>
    </w:p>
    <w:p w14:paraId="14775C00" w14:textId="533FCA92" w:rsidR="00523282" w:rsidRDefault="00523282">
      <w:pPr>
        <w:pStyle w:val="TOC2"/>
        <w:rPr>
          <w:rFonts w:asciiTheme="minorHAnsi" w:eastAsiaTheme="minorEastAsia" w:hAnsiTheme="minorHAnsi" w:cstheme="minorBidi"/>
          <w:spacing w:val="0"/>
          <w:sz w:val="22"/>
          <w:szCs w:val="22"/>
        </w:rPr>
      </w:pPr>
      <w:hyperlink w:anchor="_Toc72241304" w:history="1">
        <w:r w:rsidRPr="003B0323">
          <w:rPr>
            <w:rStyle w:val="Hyperlink"/>
          </w:rPr>
          <w:t>Objective</w:t>
        </w:r>
        <w:r>
          <w:rPr>
            <w:webHidden/>
          </w:rPr>
          <w:tab/>
        </w:r>
        <w:r>
          <w:rPr>
            <w:webHidden/>
          </w:rPr>
          <w:fldChar w:fldCharType="begin"/>
        </w:r>
        <w:r>
          <w:rPr>
            <w:webHidden/>
          </w:rPr>
          <w:instrText xml:space="preserve"> PAGEREF _Toc72241304 \h </w:instrText>
        </w:r>
        <w:r>
          <w:rPr>
            <w:webHidden/>
          </w:rPr>
        </w:r>
        <w:r>
          <w:rPr>
            <w:webHidden/>
          </w:rPr>
          <w:fldChar w:fldCharType="separate"/>
        </w:r>
        <w:r>
          <w:rPr>
            <w:webHidden/>
          </w:rPr>
          <w:t>7</w:t>
        </w:r>
        <w:r>
          <w:rPr>
            <w:webHidden/>
          </w:rPr>
          <w:fldChar w:fldCharType="end"/>
        </w:r>
      </w:hyperlink>
    </w:p>
    <w:p w14:paraId="42113787" w14:textId="5D84A1FA" w:rsidR="00523282" w:rsidRDefault="00523282">
      <w:pPr>
        <w:pStyle w:val="TOC2"/>
        <w:rPr>
          <w:rFonts w:asciiTheme="minorHAnsi" w:eastAsiaTheme="minorEastAsia" w:hAnsiTheme="minorHAnsi" w:cstheme="minorBidi"/>
          <w:spacing w:val="0"/>
          <w:sz w:val="22"/>
          <w:szCs w:val="22"/>
        </w:rPr>
      </w:pPr>
      <w:hyperlink w:anchor="_Toc72241305" w:history="1">
        <w:r w:rsidRPr="003B0323">
          <w:rPr>
            <w:rStyle w:val="Hyperlink"/>
          </w:rPr>
          <w:t>Planning approach/assumptions</w:t>
        </w:r>
        <w:r>
          <w:rPr>
            <w:webHidden/>
          </w:rPr>
          <w:tab/>
        </w:r>
        <w:r>
          <w:rPr>
            <w:webHidden/>
          </w:rPr>
          <w:fldChar w:fldCharType="begin"/>
        </w:r>
        <w:r>
          <w:rPr>
            <w:webHidden/>
          </w:rPr>
          <w:instrText xml:space="preserve"> PAGEREF _Toc72241305 \h </w:instrText>
        </w:r>
        <w:r>
          <w:rPr>
            <w:webHidden/>
          </w:rPr>
        </w:r>
        <w:r>
          <w:rPr>
            <w:webHidden/>
          </w:rPr>
          <w:fldChar w:fldCharType="separate"/>
        </w:r>
        <w:r>
          <w:rPr>
            <w:webHidden/>
          </w:rPr>
          <w:t>7</w:t>
        </w:r>
        <w:r>
          <w:rPr>
            <w:webHidden/>
          </w:rPr>
          <w:fldChar w:fldCharType="end"/>
        </w:r>
      </w:hyperlink>
    </w:p>
    <w:p w14:paraId="298C137B" w14:textId="3C84149E" w:rsidR="00523282" w:rsidRDefault="00523282">
      <w:pPr>
        <w:pStyle w:val="TOC2"/>
        <w:rPr>
          <w:rFonts w:asciiTheme="minorHAnsi" w:eastAsiaTheme="minorEastAsia" w:hAnsiTheme="minorHAnsi" w:cstheme="minorBidi"/>
          <w:spacing w:val="0"/>
          <w:sz w:val="22"/>
          <w:szCs w:val="22"/>
        </w:rPr>
      </w:pPr>
      <w:hyperlink w:anchor="_Toc72241306" w:history="1">
        <w:r w:rsidRPr="003B0323">
          <w:rPr>
            <w:rStyle w:val="Hyperlink"/>
          </w:rPr>
          <w:t>Engineering analysis outcomes</w:t>
        </w:r>
        <w:r>
          <w:rPr>
            <w:webHidden/>
          </w:rPr>
          <w:tab/>
        </w:r>
        <w:r>
          <w:rPr>
            <w:webHidden/>
          </w:rPr>
          <w:fldChar w:fldCharType="begin"/>
        </w:r>
        <w:r>
          <w:rPr>
            <w:webHidden/>
          </w:rPr>
          <w:instrText xml:space="preserve"> PAGEREF _Toc72241306 \h </w:instrText>
        </w:r>
        <w:r>
          <w:rPr>
            <w:webHidden/>
          </w:rPr>
        </w:r>
        <w:r>
          <w:rPr>
            <w:webHidden/>
          </w:rPr>
          <w:fldChar w:fldCharType="separate"/>
        </w:r>
        <w:r>
          <w:rPr>
            <w:webHidden/>
          </w:rPr>
          <w:t>7</w:t>
        </w:r>
        <w:r>
          <w:rPr>
            <w:webHidden/>
          </w:rPr>
          <w:fldChar w:fldCharType="end"/>
        </w:r>
      </w:hyperlink>
    </w:p>
    <w:p w14:paraId="7DD41C90" w14:textId="084B1B43" w:rsidR="00523282" w:rsidRDefault="00523282">
      <w:pPr>
        <w:pStyle w:val="TOC1"/>
        <w:rPr>
          <w:rFonts w:asciiTheme="minorHAnsi" w:eastAsiaTheme="minorEastAsia" w:hAnsiTheme="minorHAnsi" w:cstheme="minorBidi"/>
          <w:b w:val="0"/>
          <w:spacing w:val="0"/>
          <w:sz w:val="22"/>
          <w:szCs w:val="22"/>
        </w:rPr>
      </w:pPr>
      <w:hyperlink w:anchor="_Toc72241307" w:history="1">
        <w:r w:rsidRPr="003B0323">
          <w:rPr>
            <w:rStyle w:val="Hyperlink"/>
          </w:rPr>
          <w:t>Replanning options</w:t>
        </w:r>
        <w:r>
          <w:rPr>
            <w:webHidden/>
          </w:rPr>
          <w:tab/>
        </w:r>
        <w:r>
          <w:rPr>
            <w:webHidden/>
          </w:rPr>
          <w:fldChar w:fldCharType="begin"/>
        </w:r>
        <w:r>
          <w:rPr>
            <w:webHidden/>
          </w:rPr>
          <w:instrText xml:space="preserve"> PAGEREF _Toc72241307 \h </w:instrText>
        </w:r>
        <w:r>
          <w:rPr>
            <w:webHidden/>
          </w:rPr>
        </w:r>
        <w:r>
          <w:rPr>
            <w:webHidden/>
          </w:rPr>
          <w:fldChar w:fldCharType="separate"/>
        </w:r>
        <w:r>
          <w:rPr>
            <w:webHidden/>
          </w:rPr>
          <w:t>11</w:t>
        </w:r>
        <w:r>
          <w:rPr>
            <w:webHidden/>
          </w:rPr>
          <w:fldChar w:fldCharType="end"/>
        </w:r>
      </w:hyperlink>
    </w:p>
    <w:p w14:paraId="4D58BA12" w14:textId="0B868700" w:rsidR="00523282" w:rsidRDefault="00523282">
      <w:pPr>
        <w:pStyle w:val="TOC2"/>
        <w:rPr>
          <w:rFonts w:asciiTheme="minorHAnsi" w:eastAsiaTheme="minorEastAsia" w:hAnsiTheme="minorHAnsi" w:cstheme="minorBidi"/>
          <w:spacing w:val="0"/>
          <w:sz w:val="22"/>
          <w:szCs w:val="22"/>
        </w:rPr>
      </w:pPr>
      <w:hyperlink w:anchor="_Toc72241308" w:history="1">
        <w:r w:rsidRPr="003B0323">
          <w:rPr>
            <w:rStyle w:val="Hyperlink"/>
          </w:rPr>
          <w:t>Option 1</w:t>
        </w:r>
        <w:r>
          <w:rPr>
            <w:webHidden/>
          </w:rPr>
          <w:tab/>
        </w:r>
        <w:r>
          <w:rPr>
            <w:webHidden/>
          </w:rPr>
          <w:tab/>
        </w:r>
        <w:r>
          <w:rPr>
            <w:webHidden/>
          </w:rPr>
          <w:fldChar w:fldCharType="begin"/>
        </w:r>
        <w:r>
          <w:rPr>
            <w:webHidden/>
          </w:rPr>
          <w:instrText xml:space="preserve"> PAGEREF _Toc72241308 \h </w:instrText>
        </w:r>
        <w:r>
          <w:rPr>
            <w:webHidden/>
          </w:rPr>
        </w:r>
        <w:r>
          <w:rPr>
            <w:webHidden/>
          </w:rPr>
          <w:fldChar w:fldCharType="separate"/>
        </w:r>
        <w:r>
          <w:rPr>
            <w:webHidden/>
          </w:rPr>
          <w:t>11</w:t>
        </w:r>
        <w:r>
          <w:rPr>
            <w:webHidden/>
          </w:rPr>
          <w:fldChar w:fldCharType="end"/>
        </w:r>
      </w:hyperlink>
    </w:p>
    <w:p w14:paraId="5FE724D2" w14:textId="42F5BE2D" w:rsidR="00523282" w:rsidRDefault="00523282">
      <w:pPr>
        <w:pStyle w:val="TOC2"/>
        <w:rPr>
          <w:rFonts w:asciiTheme="minorHAnsi" w:eastAsiaTheme="minorEastAsia" w:hAnsiTheme="minorHAnsi" w:cstheme="minorBidi"/>
          <w:spacing w:val="0"/>
          <w:sz w:val="22"/>
          <w:szCs w:val="22"/>
        </w:rPr>
      </w:pPr>
      <w:hyperlink w:anchor="_Toc72241309" w:history="1">
        <w:r w:rsidRPr="003B0323">
          <w:rPr>
            <w:rStyle w:val="Hyperlink"/>
          </w:rPr>
          <w:t>Option 2</w:t>
        </w:r>
        <w:r>
          <w:rPr>
            <w:webHidden/>
          </w:rPr>
          <w:tab/>
        </w:r>
        <w:r>
          <w:rPr>
            <w:webHidden/>
          </w:rPr>
          <w:tab/>
        </w:r>
        <w:r>
          <w:rPr>
            <w:webHidden/>
          </w:rPr>
          <w:fldChar w:fldCharType="begin"/>
        </w:r>
        <w:r>
          <w:rPr>
            <w:webHidden/>
          </w:rPr>
          <w:instrText xml:space="preserve"> PAGEREF _Toc72241309 \h </w:instrText>
        </w:r>
        <w:r>
          <w:rPr>
            <w:webHidden/>
          </w:rPr>
        </w:r>
        <w:r>
          <w:rPr>
            <w:webHidden/>
          </w:rPr>
          <w:fldChar w:fldCharType="separate"/>
        </w:r>
        <w:r>
          <w:rPr>
            <w:webHidden/>
          </w:rPr>
          <w:t>11</w:t>
        </w:r>
        <w:r>
          <w:rPr>
            <w:webHidden/>
          </w:rPr>
          <w:fldChar w:fldCharType="end"/>
        </w:r>
      </w:hyperlink>
    </w:p>
    <w:p w14:paraId="417C75CA" w14:textId="688DA082" w:rsidR="00523282" w:rsidRDefault="00523282">
      <w:pPr>
        <w:pStyle w:val="TOC2"/>
        <w:rPr>
          <w:rFonts w:asciiTheme="minorHAnsi" w:eastAsiaTheme="minorEastAsia" w:hAnsiTheme="minorHAnsi" w:cstheme="minorBidi"/>
          <w:spacing w:val="0"/>
          <w:sz w:val="22"/>
          <w:szCs w:val="22"/>
        </w:rPr>
      </w:pPr>
      <w:hyperlink w:anchor="_Toc72241310" w:history="1">
        <w:r w:rsidRPr="003B0323">
          <w:rPr>
            <w:rStyle w:val="Hyperlink"/>
          </w:rPr>
          <w:t>Option 3</w:t>
        </w:r>
        <w:r>
          <w:rPr>
            <w:webHidden/>
          </w:rPr>
          <w:tab/>
        </w:r>
        <w:r>
          <w:rPr>
            <w:webHidden/>
          </w:rPr>
          <w:tab/>
        </w:r>
        <w:r>
          <w:rPr>
            <w:webHidden/>
          </w:rPr>
          <w:fldChar w:fldCharType="begin"/>
        </w:r>
        <w:r>
          <w:rPr>
            <w:webHidden/>
          </w:rPr>
          <w:instrText xml:space="preserve"> PAGEREF _Toc72241310 \h </w:instrText>
        </w:r>
        <w:r>
          <w:rPr>
            <w:webHidden/>
          </w:rPr>
        </w:r>
        <w:r>
          <w:rPr>
            <w:webHidden/>
          </w:rPr>
          <w:fldChar w:fldCharType="separate"/>
        </w:r>
        <w:r>
          <w:rPr>
            <w:webHidden/>
          </w:rPr>
          <w:t>11</w:t>
        </w:r>
        <w:r>
          <w:rPr>
            <w:webHidden/>
          </w:rPr>
          <w:fldChar w:fldCharType="end"/>
        </w:r>
      </w:hyperlink>
    </w:p>
    <w:p w14:paraId="5EBF96A1" w14:textId="1C53851A" w:rsidR="00523282" w:rsidRDefault="00523282">
      <w:pPr>
        <w:pStyle w:val="TOC2"/>
        <w:rPr>
          <w:rFonts w:asciiTheme="minorHAnsi" w:eastAsiaTheme="minorEastAsia" w:hAnsiTheme="minorHAnsi" w:cstheme="minorBidi"/>
          <w:spacing w:val="0"/>
          <w:sz w:val="22"/>
          <w:szCs w:val="22"/>
        </w:rPr>
      </w:pPr>
      <w:hyperlink w:anchor="_Toc72241311" w:history="1">
        <w:r w:rsidRPr="003B0323">
          <w:rPr>
            <w:rStyle w:val="Hyperlink"/>
          </w:rPr>
          <w:t>Option 4</w:t>
        </w:r>
        <w:r>
          <w:rPr>
            <w:webHidden/>
          </w:rPr>
          <w:tab/>
        </w:r>
        <w:r>
          <w:rPr>
            <w:webHidden/>
          </w:rPr>
          <w:tab/>
        </w:r>
        <w:r>
          <w:rPr>
            <w:webHidden/>
          </w:rPr>
          <w:fldChar w:fldCharType="begin"/>
        </w:r>
        <w:r>
          <w:rPr>
            <w:webHidden/>
          </w:rPr>
          <w:instrText xml:space="preserve"> PAGEREF _Toc72241311 \h </w:instrText>
        </w:r>
        <w:r>
          <w:rPr>
            <w:webHidden/>
          </w:rPr>
        </w:r>
        <w:r>
          <w:rPr>
            <w:webHidden/>
          </w:rPr>
          <w:fldChar w:fldCharType="separate"/>
        </w:r>
        <w:r>
          <w:rPr>
            <w:webHidden/>
          </w:rPr>
          <w:t>11</w:t>
        </w:r>
        <w:r>
          <w:rPr>
            <w:webHidden/>
          </w:rPr>
          <w:fldChar w:fldCharType="end"/>
        </w:r>
      </w:hyperlink>
    </w:p>
    <w:p w14:paraId="77028CEE" w14:textId="4B26032C" w:rsidR="00523282" w:rsidRDefault="00523282">
      <w:pPr>
        <w:pStyle w:val="TOC2"/>
        <w:rPr>
          <w:rFonts w:asciiTheme="minorHAnsi" w:eastAsiaTheme="minorEastAsia" w:hAnsiTheme="minorHAnsi" w:cstheme="minorBidi"/>
          <w:spacing w:val="0"/>
          <w:sz w:val="22"/>
          <w:szCs w:val="22"/>
        </w:rPr>
      </w:pPr>
      <w:hyperlink w:anchor="_Toc72241312" w:history="1">
        <w:r w:rsidRPr="003B0323">
          <w:rPr>
            <w:rStyle w:val="Hyperlink"/>
          </w:rPr>
          <w:t>Option 5</w:t>
        </w:r>
        <w:r>
          <w:rPr>
            <w:rStyle w:val="Hyperlink"/>
          </w:rPr>
          <w:tab/>
        </w:r>
        <w:r>
          <w:rPr>
            <w:webHidden/>
          </w:rPr>
          <w:tab/>
        </w:r>
        <w:r>
          <w:rPr>
            <w:webHidden/>
          </w:rPr>
          <w:fldChar w:fldCharType="begin"/>
        </w:r>
        <w:r>
          <w:rPr>
            <w:webHidden/>
          </w:rPr>
          <w:instrText xml:space="preserve"> PAGEREF _Toc72241312 \h </w:instrText>
        </w:r>
        <w:r>
          <w:rPr>
            <w:webHidden/>
          </w:rPr>
        </w:r>
        <w:r>
          <w:rPr>
            <w:webHidden/>
          </w:rPr>
          <w:fldChar w:fldCharType="separate"/>
        </w:r>
        <w:r>
          <w:rPr>
            <w:webHidden/>
          </w:rPr>
          <w:t>11</w:t>
        </w:r>
        <w:r>
          <w:rPr>
            <w:webHidden/>
          </w:rPr>
          <w:fldChar w:fldCharType="end"/>
        </w:r>
      </w:hyperlink>
    </w:p>
    <w:p w14:paraId="37E57CA0" w14:textId="1B416EB8" w:rsidR="00523282" w:rsidRDefault="00523282">
      <w:pPr>
        <w:pStyle w:val="TOC2"/>
        <w:rPr>
          <w:rFonts w:asciiTheme="minorHAnsi" w:eastAsiaTheme="minorEastAsia" w:hAnsiTheme="minorHAnsi" w:cstheme="minorBidi"/>
          <w:spacing w:val="0"/>
          <w:sz w:val="22"/>
          <w:szCs w:val="22"/>
        </w:rPr>
      </w:pPr>
      <w:hyperlink w:anchor="_Toc72241313" w:history="1">
        <w:r w:rsidRPr="003B0323">
          <w:rPr>
            <w:rStyle w:val="Hyperlink"/>
          </w:rPr>
          <w:t>Options assessment</w:t>
        </w:r>
        <w:r>
          <w:rPr>
            <w:webHidden/>
          </w:rPr>
          <w:tab/>
        </w:r>
        <w:r>
          <w:rPr>
            <w:webHidden/>
          </w:rPr>
          <w:fldChar w:fldCharType="begin"/>
        </w:r>
        <w:r>
          <w:rPr>
            <w:webHidden/>
          </w:rPr>
          <w:instrText xml:space="preserve"> PAGEREF _Toc72241313 \h </w:instrText>
        </w:r>
        <w:r>
          <w:rPr>
            <w:webHidden/>
          </w:rPr>
        </w:r>
        <w:r>
          <w:rPr>
            <w:webHidden/>
          </w:rPr>
          <w:fldChar w:fldCharType="separate"/>
        </w:r>
        <w:r>
          <w:rPr>
            <w:webHidden/>
          </w:rPr>
          <w:t>12</w:t>
        </w:r>
        <w:r>
          <w:rPr>
            <w:webHidden/>
          </w:rPr>
          <w:fldChar w:fldCharType="end"/>
        </w:r>
      </w:hyperlink>
    </w:p>
    <w:p w14:paraId="79EACAD5" w14:textId="366F8CA2" w:rsidR="00523282" w:rsidRDefault="00523282">
      <w:pPr>
        <w:pStyle w:val="TOC2"/>
        <w:rPr>
          <w:rFonts w:asciiTheme="minorHAnsi" w:eastAsiaTheme="minorEastAsia" w:hAnsiTheme="minorHAnsi" w:cstheme="minorBidi"/>
          <w:spacing w:val="0"/>
          <w:sz w:val="22"/>
          <w:szCs w:val="22"/>
        </w:rPr>
      </w:pPr>
      <w:hyperlink w:anchor="_Toc72241314" w:history="1">
        <w:r w:rsidRPr="003B0323">
          <w:rPr>
            <w:rStyle w:val="Hyperlink"/>
          </w:rPr>
          <w:t>Additional considerations</w:t>
        </w:r>
        <w:r>
          <w:rPr>
            <w:webHidden/>
          </w:rPr>
          <w:tab/>
        </w:r>
        <w:r>
          <w:rPr>
            <w:webHidden/>
          </w:rPr>
          <w:fldChar w:fldCharType="begin"/>
        </w:r>
        <w:r>
          <w:rPr>
            <w:webHidden/>
          </w:rPr>
          <w:instrText xml:space="preserve"> PAGEREF _Toc72241314 \h </w:instrText>
        </w:r>
        <w:r>
          <w:rPr>
            <w:webHidden/>
          </w:rPr>
        </w:r>
        <w:r>
          <w:rPr>
            <w:webHidden/>
          </w:rPr>
          <w:fldChar w:fldCharType="separate"/>
        </w:r>
        <w:r>
          <w:rPr>
            <w:webHidden/>
          </w:rPr>
          <w:t>13</w:t>
        </w:r>
        <w:r>
          <w:rPr>
            <w:webHidden/>
          </w:rPr>
          <w:fldChar w:fldCharType="end"/>
        </w:r>
      </w:hyperlink>
    </w:p>
    <w:p w14:paraId="3F743CDF" w14:textId="3373416A" w:rsidR="00523282" w:rsidRDefault="00523282">
      <w:pPr>
        <w:pStyle w:val="TOC1"/>
        <w:rPr>
          <w:rFonts w:asciiTheme="minorHAnsi" w:eastAsiaTheme="minorEastAsia" w:hAnsiTheme="minorHAnsi" w:cstheme="minorBidi"/>
          <w:b w:val="0"/>
          <w:spacing w:val="0"/>
          <w:sz w:val="22"/>
          <w:szCs w:val="22"/>
        </w:rPr>
      </w:pPr>
      <w:hyperlink w:anchor="_Toc72241315" w:history="1">
        <w:r w:rsidRPr="003B0323">
          <w:rPr>
            <w:rStyle w:val="Hyperlink"/>
          </w:rPr>
          <w:t>Next steps</w:t>
        </w:r>
        <w:r>
          <w:rPr>
            <w:webHidden/>
          </w:rPr>
          <w:tab/>
        </w:r>
        <w:r>
          <w:rPr>
            <w:webHidden/>
          </w:rPr>
          <w:fldChar w:fldCharType="begin"/>
        </w:r>
        <w:r>
          <w:rPr>
            <w:webHidden/>
          </w:rPr>
          <w:instrText xml:space="preserve"> PAGEREF _Toc72241315 \h </w:instrText>
        </w:r>
        <w:r>
          <w:rPr>
            <w:webHidden/>
          </w:rPr>
        </w:r>
        <w:r>
          <w:rPr>
            <w:webHidden/>
          </w:rPr>
          <w:fldChar w:fldCharType="separate"/>
        </w:r>
        <w:r>
          <w:rPr>
            <w:webHidden/>
          </w:rPr>
          <w:t>14</w:t>
        </w:r>
        <w:r>
          <w:rPr>
            <w:webHidden/>
          </w:rPr>
          <w:fldChar w:fldCharType="end"/>
        </w:r>
      </w:hyperlink>
    </w:p>
    <w:p w14:paraId="69501BA3" w14:textId="22F72EEE" w:rsidR="00523282" w:rsidRDefault="00523282">
      <w:pPr>
        <w:pStyle w:val="TOC1"/>
        <w:rPr>
          <w:rFonts w:asciiTheme="minorHAnsi" w:eastAsiaTheme="minorEastAsia" w:hAnsiTheme="minorHAnsi" w:cstheme="minorBidi"/>
          <w:b w:val="0"/>
          <w:spacing w:val="0"/>
          <w:sz w:val="22"/>
          <w:szCs w:val="22"/>
        </w:rPr>
      </w:pPr>
      <w:hyperlink w:anchor="_Toc72241316" w:history="1">
        <w:r w:rsidRPr="003B0323">
          <w:rPr>
            <w:rStyle w:val="Hyperlink"/>
          </w:rPr>
          <w:t>Invitation to comment</w:t>
        </w:r>
        <w:r>
          <w:rPr>
            <w:webHidden/>
          </w:rPr>
          <w:tab/>
        </w:r>
        <w:r>
          <w:rPr>
            <w:webHidden/>
          </w:rPr>
          <w:fldChar w:fldCharType="begin"/>
        </w:r>
        <w:r>
          <w:rPr>
            <w:webHidden/>
          </w:rPr>
          <w:instrText xml:space="preserve"> PAGEREF _Toc72241316 \h </w:instrText>
        </w:r>
        <w:r>
          <w:rPr>
            <w:webHidden/>
          </w:rPr>
        </w:r>
        <w:r>
          <w:rPr>
            <w:webHidden/>
          </w:rPr>
          <w:fldChar w:fldCharType="separate"/>
        </w:r>
        <w:r>
          <w:rPr>
            <w:webHidden/>
          </w:rPr>
          <w:t>15</w:t>
        </w:r>
        <w:r>
          <w:rPr>
            <w:webHidden/>
          </w:rPr>
          <w:fldChar w:fldCharType="end"/>
        </w:r>
      </w:hyperlink>
    </w:p>
    <w:p w14:paraId="41413A3F" w14:textId="4DEC908B" w:rsidR="00523282" w:rsidRDefault="00523282">
      <w:pPr>
        <w:pStyle w:val="TOC2"/>
        <w:rPr>
          <w:rFonts w:asciiTheme="minorHAnsi" w:eastAsiaTheme="minorEastAsia" w:hAnsiTheme="minorHAnsi" w:cstheme="minorBidi"/>
          <w:spacing w:val="0"/>
          <w:sz w:val="22"/>
          <w:szCs w:val="22"/>
        </w:rPr>
      </w:pPr>
      <w:hyperlink w:anchor="_Toc72241317" w:history="1">
        <w:r w:rsidRPr="003B0323">
          <w:rPr>
            <w:rStyle w:val="Hyperlink"/>
          </w:rPr>
          <w:t>Making a submission</w:t>
        </w:r>
        <w:r>
          <w:rPr>
            <w:webHidden/>
          </w:rPr>
          <w:tab/>
        </w:r>
        <w:r>
          <w:rPr>
            <w:webHidden/>
          </w:rPr>
          <w:fldChar w:fldCharType="begin"/>
        </w:r>
        <w:r>
          <w:rPr>
            <w:webHidden/>
          </w:rPr>
          <w:instrText xml:space="preserve"> PAGEREF _Toc72241317 \h </w:instrText>
        </w:r>
        <w:r>
          <w:rPr>
            <w:webHidden/>
          </w:rPr>
        </w:r>
        <w:r>
          <w:rPr>
            <w:webHidden/>
          </w:rPr>
          <w:fldChar w:fldCharType="separate"/>
        </w:r>
        <w:r>
          <w:rPr>
            <w:webHidden/>
          </w:rPr>
          <w:t>15</w:t>
        </w:r>
        <w:r>
          <w:rPr>
            <w:webHidden/>
          </w:rPr>
          <w:fldChar w:fldCharType="end"/>
        </w:r>
      </w:hyperlink>
    </w:p>
    <w:p w14:paraId="7E644A4A" w14:textId="7CF62F6E" w:rsidR="00523282" w:rsidRDefault="00523282">
      <w:pPr>
        <w:pStyle w:val="TOC1"/>
        <w:rPr>
          <w:rFonts w:asciiTheme="minorHAnsi" w:eastAsiaTheme="minorEastAsia" w:hAnsiTheme="minorHAnsi" w:cstheme="minorBidi"/>
          <w:b w:val="0"/>
          <w:spacing w:val="0"/>
          <w:sz w:val="22"/>
          <w:szCs w:val="22"/>
        </w:rPr>
      </w:pPr>
      <w:hyperlink w:anchor="_Toc72241318" w:history="1">
        <w:r w:rsidRPr="003B0323">
          <w:rPr>
            <w:rStyle w:val="Hyperlink"/>
          </w:rPr>
          <w:t>Appendix A: Draft technical specifications (TS)</w:t>
        </w:r>
        <w:r>
          <w:rPr>
            <w:webHidden/>
          </w:rPr>
          <w:tab/>
        </w:r>
        <w:r>
          <w:rPr>
            <w:webHidden/>
          </w:rPr>
          <w:fldChar w:fldCharType="begin"/>
        </w:r>
        <w:r>
          <w:rPr>
            <w:webHidden/>
          </w:rPr>
          <w:instrText xml:space="preserve"> PAGEREF _Toc72241318 \h </w:instrText>
        </w:r>
        <w:r>
          <w:rPr>
            <w:webHidden/>
          </w:rPr>
        </w:r>
        <w:r>
          <w:rPr>
            <w:webHidden/>
          </w:rPr>
          <w:fldChar w:fldCharType="separate"/>
        </w:r>
        <w:r>
          <w:rPr>
            <w:webHidden/>
          </w:rPr>
          <w:t>16</w:t>
        </w:r>
        <w:r>
          <w:rPr>
            <w:webHidden/>
          </w:rPr>
          <w:fldChar w:fldCharType="end"/>
        </w:r>
      </w:hyperlink>
    </w:p>
    <w:p w14:paraId="0734280B" w14:textId="6882FD0E" w:rsidR="004D56FF" w:rsidRPr="000D76E0" w:rsidRDefault="00523282">
      <w:pPr>
        <w:rPr>
          <w:rFonts w:cs="Arial"/>
        </w:rPr>
        <w:sectPr w:rsidR="004D56FF" w:rsidRPr="000D76E0" w:rsidSect="00C77380">
          <w:headerReference w:type="even" r:id="rId19"/>
          <w:headerReference w:type="default" r:id="rId20"/>
          <w:footerReference w:type="even" r:id="rId21"/>
          <w:footerReference w:type="default" r:id="rId22"/>
          <w:footerReference w:type="first" r:id="rId23"/>
          <w:pgSz w:w="11906" w:h="16838" w:code="9"/>
          <w:pgMar w:top="3646" w:right="3101" w:bottom="1134" w:left="1134" w:header="709" w:footer="119" w:gutter="0"/>
          <w:cols w:space="708"/>
          <w:titlePg/>
          <w:docGrid w:linePitch="360"/>
        </w:sectPr>
      </w:pPr>
      <w:r>
        <w:rPr>
          <w:rFonts w:cs="Arial"/>
          <w:b/>
          <w:noProof/>
          <w:spacing w:val="-14"/>
          <w:sz w:val="28"/>
        </w:rPr>
        <w:fldChar w:fldCharType="end"/>
      </w:r>
    </w:p>
    <w:p w14:paraId="76F0DD6C" w14:textId="77777777" w:rsidR="009D6C71" w:rsidRPr="009174F3" w:rsidRDefault="009D6C71" w:rsidP="009174F3">
      <w:pPr>
        <w:pStyle w:val="Execsummaryheading"/>
      </w:pPr>
      <w:bookmarkStart w:id="0" w:name="_Toc72241297"/>
      <w:r w:rsidRPr="009174F3">
        <w:lastRenderedPageBreak/>
        <w:t>Executive summary</w:t>
      </w:r>
      <w:bookmarkEnd w:id="0"/>
    </w:p>
    <w:p w14:paraId="1A50B5B1" w14:textId="31BE05BA" w:rsidR="00E36C3B" w:rsidRPr="003100A5" w:rsidRDefault="00B14861" w:rsidP="00930E85">
      <w:pPr>
        <w:pStyle w:val="Paragraph"/>
        <w:ind w:right="16"/>
        <w:rPr>
          <w:bCs/>
        </w:rPr>
      </w:pPr>
      <w:bookmarkStart w:id="1" w:name="_Toc433122125"/>
      <w:r>
        <w:t>Th</w:t>
      </w:r>
      <w:r w:rsidR="00210FC5">
        <w:t>e</w:t>
      </w:r>
      <w:r>
        <w:t xml:space="preserve"> </w:t>
      </w:r>
      <w:r w:rsidR="00AD76B3" w:rsidRPr="003C33B7">
        <w:t xml:space="preserve">Australian Communications and Media Authority </w:t>
      </w:r>
      <w:r w:rsidR="00AD76B3">
        <w:t>(</w:t>
      </w:r>
      <w:r>
        <w:t>ACMA</w:t>
      </w:r>
      <w:r w:rsidR="00AD76B3">
        <w:t>)</w:t>
      </w:r>
      <w:r>
        <w:t xml:space="preserve"> is consi</w:t>
      </w:r>
      <w:r w:rsidR="003100A5">
        <w:t xml:space="preserve">dering </w:t>
      </w:r>
      <w:r w:rsidR="008B7A54">
        <w:t>replanning</w:t>
      </w:r>
      <w:r w:rsidR="00E36C3B">
        <w:t xml:space="preserve"> FM frequencies in the Perth RA1 licence area. </w:t>
      </w:r>
      <w:r w:rsidR="003100A5" w:rsidRPr="003100A5">
        <w:rPr>
          <w:bCs/>
        </w:rPr>
        <w:t>For many years</w:t>
      </w:r>
      <w:r w:rsidR="004E6CB5">
        <w:rPr>
          <w:bCs/>
        </w:rPr>
        <w:t>,</w:t>
      </w:r>
      <w:r w:rsidR="003100A5" w:rsidRPr="003100A5">
        <w:rPr>
          <w:bCs/>
        </w:rPr>
        <w:t xml:space="preserve"> the full use of </w:t>
      </w:r>
      <w:r w:rsidR="004E6CB5">
        <w:rPr>
          <w:bCs/>
        </w:rPr>
        <w:t xml:space="preserve">the </w:t>
      </w:r>
      <w:r w:rsidR="003100A5" w:rsidRPr="003100A5">
        <w:rPr>
          <w:bCs/>
        </w:rPr>
        <w:t xml:space="preserve">FM broadcasting services band in Perth </w:t>
      </w:r>
      <w:r w:rsidR="00FF2CB1">
        <w:rPr>
          <w:bCs/>
        </w:rPr>
        <w:t>has been</w:t>
      </w:r>
      <w:r w:rsidR="00FF2CB1" w:rsidRPr="003100A5">
        <w:rPr>
          <w:bCs/>
        </w:rPr>
        <w:t xml:space="preserve"> </w:t>
      </w:r>
      <w:r w:rsidR="003100A5" w:rsidRPr="003100A5">
        <w:rPr>
          <w:bCs/>
        </w:rPr>
        <w:t xml:space="preserve">constrained </w:t>
      </w:r>
      <w:r w:rsidR="004E6CB5">
        <w:rPr>
          <w:bCs/>
        </w:rPr>
        <w:t>due to</w:t>
      </w:r>
      <w:r w:rsidR="003100A5" w:rsidRPr="003100A5">
        <w:rPr>
          <w:bCs/>
        </w:rPr>
        <w:t xml:space="preserve"> VHF Band II analog TV on channels 3 and 5 in Bunbury. These channels have not been used for television since the switchover to digital TV in 2013, creating an opportunity to make additional </w:t>
      </w:r>
      <w:r w:rsidR="003100A5">
        <w:rPr>
          <w:bCs/>
        </w:rPr>
        <w:t>high</w:t>
      </w:r>
      <w:r w:rsidR="00FF2CB1">
        <w:rPr>
          <w:bCs/>
        </w:rPr>
        <w:t>-</w:t>
      </w:r>
      <w:r w:rsidR="003100A5">
        <w:rPr>
          <w:bCs/>
        </w:rPr>
        <w:t>power/</w:t>
      </w:r>
      <w:r w:rsidR="003100A5" w:rsidRPr="003100A5">
        <w:rPr>
          <w:bCs/>
        </w:rPr>
        <w:t>wide</w:t>
      </w:r>
      <w:r w:rsidR="00FF2CB1">
        <w:rPr>
          <w:bCs/>
        </w:rPr>
        <w:t>-</w:t>
      </w:r>
      <w:r w:rsidR="003100A5" w:rsidRPr="003100A5">
        <w:rPr>
          <w:bCs/>
        </w:rPr>
        <w:t xml:space="preserve">coverage FM frequencies available in Perth. </w:t>
      </w:r>
      <w:r w:rsidR="00102E19">
        <w:t xml:space="preserve">The </w:t>
      </w:r>
      <w:r w:rsidR="0010225E">
        <w:t xml:space="preserve">replanning </w:t>
      </w:r>
      <w:r w:rsidR="00C40350">
        <w:t xml:space="preserve">should </w:t>
      </w:r>
      <w:r w:rsidR="005672B9">
        <w:t>enable</w:t>
      </w:r>
      <w:r w:rsidR="0010225E">
        <w:t xml:space="preserve"> </w:t>
      </w:r>
      <w:r w:rsidR="00EF2630">
        <w:t xml:space="preserve">more </w:t>
      </w:r>
      <w:r w:rsidR="00EE2B51">
        <w:t>efficient</w:t>
      </w:r>
      <w:r w:rsidR="00EF2630">
        <w:t xml:space="preserve"> </w:t>
      </w:r>
      <w:r w:rsidR="00EE2B51">
        <w:t xml:space="preserve">spectrum </w:t>
      </w:r>
      <w:r w:rsidR="005672B9">
        <w:t xml:space="preserve">use </w:t>
      </w:r>
      <w:r w:rsidR="00B3378F">
        <w:t>while</w:t>
      </w:r>
      <w:r w:rsidR="00E36C3B">
        <w:t xml:space="preserve"> </w:t>
      </w:r>
      <w:bookmarkStart w:id="2" w:name="_Hlk64643294"/>
      <w:r w:rsidR="00552E34">
        <w:t>minimising</w:t>
      </w:r>
      <w:r w:rsidR="003F04DD">
        <w:t xml:space="preserve"> </w:t>
      </w:r>
      <w:r w:rsidR="00552E34">
        <w:t>required</w:t>
      </w:r>
      <w:r w:rsidR="00E36C3B">
        <w:t xml:space="preserve"> changes to </w:t>
      </w:r>
      <w:r w:rsidR="00F831C4">
        <w:t xml:space="preserve">the </w:t>
      </w:r>
      <w:r w:rsidR="00367C7D">
        <w:t>existing services</w:t>
      </w:r>
      <w:r w:rsidR="00E36C3B">
        <w:t xml:space="preserve"> in the Perth licence area or surrounding areas.</w:t>
      </w:r>
      <w:bookmarkEnd w:id="2"/>
    </w:p>
    <w:p w14:paraId="1D21CEC0" w14:textId="5F30A0B0" w:rsidR="004E6CB5" w:rsidRDefault="003C33B7" w:rsidP="00660F76">
      <w:pPr>
        <w:pStyle w:val="Paragraph"/>
        <w:spacing w:after="120"/>
        <w:ind w:right="16"/>
      </w:pPr>
      <w:r w:rsidRPr="001B0231">
        <w:rPr>
          <w:i/>
          <w:iCs/>
        </w:rPr>
        <w:t>The</w:t>
      </w:r>
      <w:r w:rsidRPr="001B0231" w:rsidDel="00AD76B3">
        <w:rPr>
          <w:i/>
          <w:iCs/>
        </w:rPr>
        <w:t xml:space="preserve"> </w:t>
      </w:r>
      <w:r w:rsidR="004E6CB5">
        <w:rPr>
          <w:i/>
          <w:iCs/>
        </w:rPr>
        <w:t>f</w:t>
      </w:r>
      <w:r w:rsidR="00B062FF" w:rsidRPr="001B0231">
        <w:rPr>
          <w:i/>
          <w:iCs/>
        </w:rPr>
        <w:t xml:space="preserve">uture </w:t>
      </w:r>
      <w:r w:rsidR="004E6CB5">
        <w:rPr>
          <w:i/>
          <w:iCs/>
        </w:rPr>
        <w:t>d</w:t>
      </w:r>
      <w:r w:rsidR="00B062FF" w:rsidRPr="001B0231">
        <w:rPr>
          <w:i/>
          <w:iCs/>
        </w:rPr>
        <w:t xml:space="preserve">elivery of </w:t>
      </w:r>
      <w:r w:rsidR="004E6CB5">
        <w:rPr>
          <w:i/>
          <w:iCs/>
        </w:rPr>
        <w:t>r</w:t>
      </w:r>
      <w:r w:rsidR="00B062FF" w:rsidRPr="001B0231">
        <w:rPr>
          <w:i/>
          <w:iCs/>
        </w:rPr>
        <w:t>adio</w:t>
      </w:r>
      <w:r w:rsidR="004E6CB5">
        <w:rPr>
          <w:i/>
          <w:iCs/>
        </w:rPr>
        <w:t>:</w:t>
      </w:r>
      <w:r w:rsidR="00B062FF" w:rsidRPr="001B0231">
        <w:rPr>
          <w:i/>
          <w:iCs/>
        </w:rPr>
        <w:t xml:space="preserve"> Final </w:t>
      </w:r>
      <w:r w:rsidR="004E6CB5">
        <w:rPr>
          <w:i/>
          <w:iCs/>
        </w:rPr>
        <w:t>r</w:t>
      </w:r>
      <w:r w:rsidR="00B062FF" w:rsidRPr="001B0231">
        <w:rPr>
          <w:i/>
          <w:iCs/>
        </w:rPr>
        <w:t>eport</w:t>
      </w:r>
      <w:r w:rsidR="00ED1727">
        <w:rPr>
          <w:rStyle w:val="FootnoteReference"/>
        </w:rPr>
        <w:footnoteReference w:id="2"/>
      </w:r>
      <w:r w:rsidR="00B062FF" w:rsidRPr="00B062FF">
        <w:t xml:space="preserve"> </w:t>
      </w:r>
      <w:r w:rsidR="00653243">
        <w:t xml:space="preserve">released in </w:t>
      </w:r>
      <w:r w:rsidR="00F3146B">
        <w:t>March 2020</w:t>
      </w:r>
      <w:r w:rsidR="00653243">
        <w:t xml:space="preserve"> </w:t>
      </w:r>
      <w:r w:rsidR="00B062FF" w:rsidRPr="00B062FF">
        <w:t>states that the ACMA will</w:t>
      </w:r>
      <w:r w:rsidR="004E6CB5">
        <w:t>:</w:t>
      </w:r>
      <w:r w:rsidR="00B062FF" w:rsidRPr="00B062FF">
        <w:t xml:space="preserve"> </w:t>
      </w:r>
    </w:p>
    <w:p w14:paraId="2910667C" w14:textId="5332DF28" w:rsidR="004E6CB5" w:rsidRPr="00660F76" w:rsidRDefault="004E6CB5" w:rsidP="00660F76">
      <w:pPr>
        <w:pStyle w:val="Paragraph"/>
        <w:ind w:left="567" w:right="725"/>
        <w:rPr>
          <w:sz w:val="18"/>
          <w:szCs w:val="18"/>
        </w:rPr>
      </w:pPr>
      <w:r w:rsidRPr="00660F76">
        <w:rPr>
          <w:sz w:val="18"/>
          <w:szCs w:val="18"/>
        </w:rPr>
        <w:t xml:space="preserve">… </w:t>
      </w:r>
      <w:r w:rsidR="000B5DE4" w:rsidRPr="00660F76">
        <w:rPr>
          <w:sz w:val="18"/>
          <w:szCs w:val="18"/>
        </w:rPr>
        <w:t>c</w:t>
      </w:r>
      <w:r w:rsidR="00B062FF" w:rsidRPr="00660F76">
        <w:rPr>
          <w:sz w:val="18"/>
          <w:szCs w:val="18"/>
        </w:rPr>
        <w:t>ontinue to progress to public consultation our work on the potential for replanning the Perth FM band to potentially enable conversion of all commercial and national radio broadcasting services to FM. This could overcome Perth’s unique geographic circumstances, which result in poor AM propagation.</w:t>
      </w:r>
      <w:r w:rsidR="00653243" w:rsidRPr="00660F76">
        <w:rPr>
          <w:sz w:val="18"/>
          <w:szCs w:val="18"/>
        </w:rPr>
        <w:t xml:space="preserve"> </w:t>
      </w:r>
    </w:p>
    <w:p w14:paraId="2069A08A" w14:textId="7A29D98A" w:rsidR="00B062FF" w:rsidRPr="00B062FF" w:rsidRDefault="00653243" w:rsidP="00802906">
      <w:pPr>
        <w:pStyle w:val="Paragraph"/>
        <w:ind w:right="16"/>
      </w:pPr>
      <w:r>
        <w:t>T</w:t>
      </w:r>
      <w:r w:rsidR="00DC630C" w:rsidRPr="00DC630C">
        <w:t xml:space="preserve">he ABC and the </w:t>
      </w:r>
      <w:r w:rsidR="004E6CB5">
        <w:t>2</w:t>
      </w:r>
      <w:r w:rsidR="004E6CB5" w:rsidRPr="00DC630C">
        <w:t xml:space="preserve"> </w:t>
      </w:r>
      <w:r w:rsidR="00DC630C" w:rsidRPr="00DC630C">
        <w:t xml:space="preserve">commercial AM broadcasters have </w:t>
      </w:r>
      <w:r w:rsidR="004E6CB5">
        <w:t xml:space="preserve">previously </w:t>
      </w:r>
      <w:r w:rsidR="00DC630C" w:rsidRPr="00DC630C">
        <w:t>sought a solution to the poor AM reception in Perth</w:t>
      </w:r>
      <w:r w:rsidR="004E6CB5">
        <w:t>, which</w:t>
      </w:r>
      <w:r>
        <w:t xml:space="preserve"> is due to the </w:t>
      </w:r>
      <w:r w:rsidR="00E70F4A">
        <w:t>soil conductivity</w:t>
      </w:r>
      <w:r w:rsidR="004E6CB5">
        <w:t>,</w:t>
      </w:r>
      <w:r w:rsidR="00416108">
        <w:t xml:space="preserve"> geography</w:t>
      </w:r>
      <w:r w:rsidR="00E70F4A">
        <w:t xml:space="preserve"> of the area</w:t>
      </w:r>
      <w:r w:rsidR="00620132">
        <w:t xml:space="preserve"> and impulse</w:t>
      </w:r>
      <w:r w:rsidR="00072050">
        <w:t xml:space="preserve"> noise from </w:t>
      </w:r>
      <w:r w:rsidR="00620132">
        <w:t>electric rail and powerline</w:t>
      </w:r>
      <w:r w:rsidR="00072050">
        <w:t>s</w:t>
      </w:r>
      <w:r w:rsidR="00802906" w:rsidRPr="00802906">
        <w:rPr>
          <w:color w:val="000000" w:themeColor="text1"/>
          <w:szCs w:val="20"/>
        </w:rPr>
        <w:t>.</w:t>
      </w:r>
    </w:p>
    <w:p w14:paraId="2556FE73" w14:textId="09F2D07B" w:rsidR="00E36C3B" w:rsidRDefault="00E36C3B" w:rsidP="00930E85">
      <w:pPr>
        <w:pStyle w:val="Paragraph"/>
        <w:ind w:right="16"/>
      </w:pPr>
      <w:r>
        <w:t>Th</w:t>
      </w:r>
      <w:r w:rsidR="00AD76B3">
        <w:t xml:space="preserve">is </w:t>
      </w:r>
      <w:r w:rsidR="00FF6E53">
        <w:t xml:space="preserve">paper </w:t>
      </w:r>
      <w:r w:rsidR="00AD76B3">
        <w:t xml:space="preserve">identifies options </w:t>
      </w:r>
      <w:r w:rsidR="004E6CB5">
        <w:t xml:space="preserve">to enable </w:t>
      </w:r>
      <w:r>
        <w:t>the use of additional high</w:t>
      </w:r>
      <w:r w:rsidR="00FF2CB1">
        <w:t>-</w:t>
      </w:r>
      <w:r>
        <w:t>power/wide</w:t>
      </w:r>
      <w:r w:rsidR="00FF2CB1">
        <w:t>-</w:t>
      </w:r>
      <w:r>
        <w:t>coverage FM frequencies in the Perth RA1 licence area</w:t>
      </w:r>
      <w:r w:rsidRPr="003C33B7">
        <w:t xml:space="preserve">. </w:t>
      </w:r>
      <w:r w:rsidR="00AD76B3">
        <w:t xml:space="preserve">Our initial engineering assessment has identified </w:t>
      </w:r>
      <w:r w:rsidR="00D60405">
        <w:t>u</w:t>
      </w:r>
      <w:r w:rsidR="00ED0D2F">
        <w:t>p to</w:t>
      </w:r>
      <w:r w:rsidR="006A575F" w:rsidRPr="006A575F">
        <w:t xml:space="preserve"> </w:t>
      </w:r>
      <w:r w:rsidR="00C00CAA">
        <w:t xml:space="preserve">5 </w:t>
      </w:r>
      <w:r>
        <w:t>additional high</w:t>
      </w:r>
      <w:r w:rsidR="00FF2CB1">
        <w:t>-</w:t>
      </w:r>
      <w:r>
        <w:t>power/wide</w:t>
      </w:r>
      <w:r w:rsidR="00FF2CB1">
        <w:t>-</w:t>
      </w:r>
      <w:r>
        <w:t>coverage frequencies</w:t>
      </w:r>
      <w:r w:rsidR="00AD76B3">
        <w:t xml:space="preserve"> </w:t>
      </w:r>
      <w:r w:rsidR="00C00CAA">
        <w:t xml:space="preserve">that </w:t>
      </w:r>
      <w:r w:rsidR="006D3957">
        <w:t>could be used</w:t>
      </w:r>
      <w:r w:rsidR="00A6057B">
        <w:t xml:space="preserve"> </w:t>
      </w:r>
      <w:r w:rsidR="00C00CAA">
        <w:t xml:space="preserve">to convert </w:t>
      </w:r>
      <w:r>
        <w:t xml:space="preserve">existing </w:t>
      </w:r>
      <w:r w:rsidR="00AD76B3">
        <w:t>radio</w:t>
      </w:r>
      <w:r>
        <w:t xml:space="preserve"> services from AM to FM </w:t>
      </w:r>
      <w:r w:rsidR="00F94ADF">
        <w:t>and/</w:t>
      </w:r>
      <w:r>
        <w:t xml:space="preserve">or </w:t>
      </w:r>
      <w:r w:rsidR="00C00CAA">
        <w:t xml:space="preserve">to allocate </w:t>
      </w:r>
      <w:r>
        <w:t xml:space="preserve">new commercial, national, community or narrowcasting services. </w:t>
      </w:r>
    </w:p>
    <w:p w14:paraId="1B97D095" w14:textId="675F09D9" w:rsidR="00DD3317" w:rsidRDefault="00C00CAA" w:rsidP="00930E85">
      <w:pPr>
        <w:pStyle w:val="Paragraph"/>
        <w:ind w:right="16"/>
      </w:pPr>
      <w:r>
        <w:t>T</w:t>
      </w:r>
      <w:r w:rsidR="00791EE5" w:rsidRPr="00791EE5">
        <w:t xml:space="preserve">o achieve this </w:t>
      </w:r>
      <w:r w:rsidR="001910BD">
        <w:t>outcome</w:t>
      </w:r>
      <w:r>
        <w:t>,</w:t>
      </w:r>
      <w:r w:rsidR="00791EE5" w:rsidRPr="00791EE5">
        <w:t xml:space="preserve"> some existing FM services in Perth would need to be replanned (that is, change frequency), so that new frequencies suitable for high</w:t>
      </w:r>
      <w:r w:rsidR="00FF2CB1">
        <w:t>-</w:t>
      </w:r>
      <w:r w:rsidR="00791EE5" w:rsidRPr="00791EE5">
        <w:t xml:space="preserve">power operation fall in the most appropriate part of the FM band to </w:t>
      </w:r>
      <w:r w:rsidR="001910BD">
        <w:t>manage</w:t>
      </w:r>
      <w:r w:rsidR="001910BD" w:rsidRPr="00791EE5">
        <w:t xml:space="preserve"> </w:t>
      </w:r>
      <w:r w:rsidR="00791EE5" w:rsidRPr="00791EE5">
        <w:t>interference.</w:t>
      </w:r>
      <w:r w:rsidR="0009180A">
        <w:t xml:space="preserve"> </w:t>
      </w:r>
      <w:r>
        <w:t>In addition</w:t>
      </w:r>
      <w:r w:rsidR="00E36C3B">
        <w:t xml:space="preserve">, the availability of </w:t>
      </w:r>
      <w:r>
        <w:t xml:space="preserve">2 </w:t>
      </w:r>
      <w:r w:rsidR="00E36C3B">
        <w:t xml:space="preserve">of the </w:t>
      </w:r>
      <w:r w:rsidR="00EC6C8A">
        <w:t>potential</w:t>
      </w:r>
      <w:r w:rsidR="00E36C3B">
        <w:t xml:space="preserve"> </w:t>
      </w:r>
      <w:r>
        <w:t xml:space="preserve">5 </w:t>
      </w:r>
      <w:r w:rsidR="00E36C3B">
        <w:t xml:space="preserve">additional FM frequencies </w:t>
      </w:r>
      <w:r>
        <w:t xml:space="preserve">relies upon </w:t>
      </w:r>
      <w:r w:rsidR="00E36C3B">
        <w:t xml:space="preserve">making suitable arrangements </w:t>
      </w:r>
      <w:r>
        <w:t>for</w:t>
      </w:r>
      <w:r w:rsidR="00E36C3B">
        <w:t xml:space="preserve"> the FM repeaters </w:t>
      </w:r>
      <w:r w:rsidR="00F513FE">
        <w:t xml:space="preserve">currently </w:t>
      </w:r>
      <w:r w:rsidR="00E36C3B">
        <w:t xml:space="preserve">operated by </w:t>
      </w:r>
      <w:r w:rsidR="00D057B1">
        <w:t xml:space="preserve">or potentially planned for </w:t>
      </w:r>
      <w:r>
        <w:t xml:space="preserve">2 </w:t>
      </w:r>
      <w:r w:rsidR="00D057B1">
        <w:t xml:space="preserve">Perth </w:t>
      </w:r>
      <w:r w:rsidR="00E36C3B">
        <w:t>AM commercial broadcasters</w:t>
      </w:r>
      <w:r w:rsidR="00FF2CB1">
        <w:t xml:space="preserve"> –</w:t>
      </w:r>
      <w:r w:rsidR="00E36C3B">
        <w:t xml:space="preserve"> 6IX and 6PR. Depending on the possible arrangements, </w:t>
      </w:r>
      <w:r w:rsidR="00996483">
        <w:t>up to</w:t>
      </w:r>
      <w:r w:rsidR="00E36C3B">
        <w:t xml:space="preserve"> </w:t>
      </w:r>
      <w:r>
        <w:t xml:space="preserve">5 </w:t>
      </w:r>
      <w:r w:rsidR="00E36C3B">
        <w:t>additional high</w:t>
      </w:r>
      <w:r w:rsidR="00FF2CB1">
        <w:t>-</w:t>
      </w:r>
      <w:r w:rsidR="00E36C3B">
        <w:t>power/wide</w:t>
      </w:r>
      <w:r w:rsidR="00FF2CB1">
        <w:t>-</w:t>
      </w:r>
      <w:r w:rsidR="00E36C3B">
        <w:t xml:space="preserve">coverage FM frequencies in the Perth RA1 </w:t>
      </w:r>
      <w:r w:rsidR="00FF2CB1">
        <w:t>l</w:t>
      </w:r>
      <w:r w:rsidR="00AC311A" w:rsidRPr="00AC311A">
        <w:t xml:space="preserve">icence </w:t>
      </w:r>
      <w:r w:rsidR="00FF2CB1">
        <w:t>a</w:t>
      </w:r>
      <w:r w:rsidR="00AC311A" w:rsidRPr="00AC311A">
        <w:t xml:space="preserve">rea </w:t>
      </w:r>
      <w:r w:rsidR="00FF2CB1">
        <w:t>p</w:t>
      </w:r>
      <w:r w:rsidR="00AC311A" w:rsidRPr="00AC311A">
        <w:t xml:space="preserve">lan (LAP) </w:t>
      </w:r>
      <w:r w:rsidR="00E36C3B">
        <w:t>c</w:t>
      </w:r>
      <w:r w:rsidR="00BD75A8">
        <w:t>ould</w:t>
      </w:r>
      <w:r w:rsidR="00E36C3B">
        <w:t xml:space="preserve"> be made available.</w:t>
      </w:r>
      <w:r w:rsidR="00003AEF">
        <w:t xml:space="preserve"> </w:t>
      </w:r>
    </w:p>
    <w:p w14:paraId="3BB182F8" w14:textId="30B12BF4" w:rsidR="00406D93" w:rsidRPr="00D97E0E" w:rsidRDefault="00C00CAA" w:rsidP="00660F76">
      <w:pPr>
        <w:pStyle w:val="Paragraphbeforelist"/>
      </w:pPr>
      <w:r>
        <w:t xml:space="preserve">We are </w:t>
      </w:r>
      <w:r w:rsidR="008F17BC" w:rsidRPr="001B651E">
        <w:t xml:space="preserve">seeking comments on </w:t>
      </w:r>
      <w:r w:rsidR="00FF2CB1">
        <w:t>5</w:t>
      </w:r>
      <w:r w:rsidR="008F17BC">
        <w:t xml:space="preserve"> </w:t>
      </w:r>
      <w:r w:rsidR="00275E71">
        <w:t xml:space="preserve">planning </w:t>
      </w:r>
      <w:r w:rsidR="00242ACA">
        <w:t xml:space="preserve">options identified </w:t>
      </w:r>
      <w:r w:rsidR="00226379">
        <w:t xml:space="preserve">for </w:t>
      </w:r>
      <w:r w:rsidR="00E41D1F">
        <w:t xml:space="preserve">the </w:t>
      </w:r>
      <w:r w:rsidR="00EC6C8A">
        <w:t>potential</w:t>
      </w:r>
      <w:r w:rsidR="008F17BC" w:rsidRPr="001B651E">
        <w:t xml:space="preserve"> </w:t>
      </w:r>
      <w:r w:rsidR="008B7A54">
        <w:t>replanning</w:t>
      </w:r>
      <w:r w:rsidR="008F17BC" w:rsidRPr="001B651E">
        <w:t xml:space="preserve"> </w:t>
      </w:r>
      <w:r w:rsidR="000229C0">
        <w:t xml:space="preserve">of the </w:t>
      </w:r>
      <w:r w:rsidR="00A5793D" w:rsidRPr="00A5793D">
        <w:t>FM broadcasting services band</w:t>
      </w:r>
      <w:r w:rsidR="00A5793D">
        <w:t xml:space="preserve"> in</w:t>
      </w:r>
      <w:r w:rsidR="00755CA1">
        <w:t xml:space="preserve"> </w:t>
      </w:r>
      <w:r w:rsidR="008F17BC" w:rsidRPr="001B651E">
        <w:t>the Perth RA1 licence area</w:t>
      </w:r>
      <w:r w:rsidR="00BD75A8">
        <w:t>, specified in the Licence Area Plan – Perth Radio</w:t>
      </w:r>
      <w:r>
        <w:t>.</w:t>
      </w:r>
      <w:r w:rsidR="00BD75A8">
        <w:rPr>
          <w:rStyle w:val="FootnoteReference"/>
        </w:rPr>
        <w:footnoteReference w:id="3"/>
      </w:r>
      <w:bookmarkStart w:id="3" w:name="_Hlk63761849"/>
      <w:r w:rsidR="00F803EB">
        <w:t xml:space="preserve"> </w:t>
      </w:r>
      <w:r w:rsidR="008D7249">
        <w:t>T</w:t>
      </w:r>
      <w:r w:rsidR="008A64F3">
        <w:t>he</w:t>
      </w:r>
      <w:r w:rsidR="00496858">
        <w:t xml:space="preserve"> options allow for </w:t>
      </w:r>
      <w:r w:rsidR="00496858" w:rsidRPr="00FF2CB1">
        <w:t xml:space="preserve">different </w:t>
      </w:r>
      <w:r w:rsidR="00FF2CB1">
        <w:t xml:space="preserve">arrangements for </w:t>
      </w:r>
      <w:r w:rsidR="001B67BF" w:rsidRPr="00FF2CB1">
        <w:t>FM services</w:t>
      </w:r>
      <w:r w:rsidR="00285EDA" w:rsidRPr="00FF2CB1">
        <w:t xml:space="preserve">, </w:t>
      </w:r>
      <w:r w:rsidR="001B67BF" w:rsidRPr="00FF2CB1">
        <w:t>with varying level</w:t>
      </w:r>
      <w:r w:rsidR="00BE3C5E" w:rsidRPr="00660F76">
        <w:t>s</w:t>
      </w:r>
      <w:r w:rsidR="001B67BF" w:rsidRPr="00FF2CB1">
        <w:t xml:space="preserve"> of</w:t>
      </w:r>
      <w:r w:rsidR="002C6DF4" w:rsidRPr="00FF2CB1">
        <w:t xml:space="preserve"> </w:t>
      </w:r>
      <w:r w:rsidR="00A84FD1" w:rsidRPr="00FF2CB1">
        <w:t xml:space="preserve">impact on other services and required </w:t>
      </w:r>
      <w:r w:rsidR="000940B5" w:rsidRPr="00FF2CB1">
        <w:t>changes</w:t>
      </w:r>
      <w:r w:rsidR="00BE3C5E" w:rsidRPr="00FF2CB1">
        <w:t>:</w:t>
      </w:r>
    </w:p>
    <w:p w14:paraId="07B32382" w14:textId="070A1103" w:rsidR="00332C7D" w:rsidRDefault="00C640E7" w:rsidP="00660F76">
      <w:pPr>
        <w:pStyle w:val="Bulletlevel1"/>
      </w:pPr>
      <w:r w:rsidRPr="00660F76">
        <w:rPr>
          <w:b/>
          <w:bCs/>
        </w:rPr>
        <w:t>Option 1</w:t>
      </w:r>
      <w:bookmarkStart w:id="4" w:name="_Hlk63683055"/>
      <w:r w:rsidR="00BE3C5E" w:rsidRPr="00660F76">
        <w:t>:</w:t>
      </w:r>
      <w:r w:rsidR="00BE3C5E">
        <w:rPr>
          <w:b/>
          <w:bCs/>
        </w:rPr>
        <w:t xml:space="preserve"> </w:t>
      </w:r>
      <w:r w:rsidR="00275E71" w:rsidRPr="00461063">
        <w:t>C</w:t>
      </w:r>
      <w:r w:rsidR="002F3248" w:rsidRPr="0091335F">
        <w:t xml:space="preserve">onvert to </w:t>
      </w:r>
      <w:bookmarkStart w:id="5" w:name="_Hlk63686975"/>
      <w:r w:rsidR="002F3248" w:rsidRPr="0091335F">
        <w:t xml:space="preserve">FM </w:t>
      </w:r>
      <w:r w:rsidR="00461063">
        <w:t>both</w:t>
      </w:r>
      <w:r w:rsidR="00461063" w:rsidRPr="0091335F">
        <w:t xml:space="preserve"> </w:t>
      </w:r>
      <w:r w:rsidR="00BE3C5E">
        <w:t>c</w:t>
      </w:r>
      <w:r w:rsidR="002F3248" w:rsidRPr="0091335F">
        <w:t>ommercial</w:t>
      </w:r>
      <w:r w:rsidR="00BE3C5E">
        <w:t xml:space="preserve"> services</w:t>
      </w:r>
      <w:r w:rsidR="002F3248" w:rsidRPr="0091335F">
        <w:t xml:space="preserve"> </w:t>
      </w:r>
      <w:r w:rsidR="00312D53">
        <w:t xml:space="preserve">(6IX and 6PR) </w:t>
      </w:r>
      <w:bookmarkEnd w:id="5"/>
      <w:r w:rsidR="002F3248" w:rsidRPr="0091335F">
        <w:t>and</w:t>
      </w:r>
      <w:r w:rsidR="00312D53">
        <w:t xml:space="preserve"> the </w:t>
      </w:r>
      <w:r w:rsidR="00BE3C5E">
        <w:t>n</w:t>
      </w:r>
      <w:r w:rsidR="002F3248" w:rsidRPr="0091335F">
        <w:t>ational ABC AM services</w:t>
      </w:r>
      <w:r w:rsidR="00E35C75">
        <w:t xml:space="preserve"> (6PB, 6WF and 6RN)</w:t>
      </w:r>
      <w:r w:rsidR="00A93021" w:rsidRPr="0091335F">
        <w:t>.</w:t>
      </w:r>
      <w:bookmarkEnd w:id="4"/>
    </w:p>
    <w:p w14:paraId="7F1508FF" w14:textId="4D94D3F0" w:rsidR="002F3248" w:rsidRPr="0091335F" w:rsidRDefault="002F3248" w:rsidP="00660F76">
      <w:pPr>
        <w:pStyle w:val="Bulletlevel1"/>
      </w:pPr>
      <w:r w:rsidRPr="0091335F">
        <w:rPr>
          <w:b/>
          <w:bCs/>
        </w:rPr>
        <w:t>Option 2</w:t>
      </w:r>
      <w:r w:rsidR="00BE3C5E" w:rsidRPr="00660F76">
        <w:t>:</w:t>
      </w:r>
      <w:r w:rsidR="00BE3C5E">
        <w:rPr>
          <w:b/>
          <w:bCs/>
        </w:rPr>
        <w:t xml:space="preserve"> </w:t>
      </w:r>
      <w:r w:rsidR="00275E71">
        <w:t>C</w:t>
      </w:r>
      <w:r w:rsidRPr="0091335F">
        <w:t xml:space="preserve">onvert to FM </w:t>
      </w:r>
      <w:r w:rsidR="0061031F">
        <w:t xml:space="preserve">the </w:t>
      </w:r>
      <w:r w:rsidR="00BE3C5E">
        <w:t>3</w:t>
      </w:r>
      <w:r w:rsidR="00BE3C5E" w:rsidRPr="0091335F">
        <w:t xml:space="preserve"> </w:t>
      </w:r>
      <w:r w:rsidR="00BE3C5E">
        <w:t>n</w:t>
      </w:r>
      <w:r w:rsidR="00EE0FD9" w:rsidRPr="00EE0FD9">
        <w:t>ational ABC</w:t>
      </w:r>
      <w:r w:rsidRPr="0091335F">
        <w:t xml:space="preserve"> AM services </w:t>
      </w:r>
      <w:r w:rsidR="0061031F">
        <w:t>(6PB, 6WF and 6RN)</w:t>
      </w:r>
      <w:r w:rsidR="00C66925">
        <w:t xml:space="preserve"> </w:t>
      </w:r>
      <w:r w:rsidR="00571A44" w:rsidRPr="0091335F">
        <w:t>only</w:t>
      </w:r>
      <w:r w:rsidR="002C05B7">
        <w:t>.</w:t>
      </w:r>
      <w:r w:rsidR="000A04AD">
        <w:t xml:space="preserve"> Under this option</w:t>
      </w:r>
      <w:r w:rsidR="00BE3C5E">
        <w:t>,</w:t>
      </w:r>
      <w:r w:rsidR="000A04AD">
        <w:t xml:space="preserve"> the commercial AM services would not </w:t>
      </w:r>
      <w:r w:rsidR="003D4F7B" w:rsidRPr="003D4F7B">
        <w:t>convert to FM.</w:t>
      </w:r>
    </w:p>
    <w:p w14:paraId="6C3D0A26" w14:textId="00F120CC" w:rsidR="00C911A4" w:rsidRDefault="003B5E08" w:rsidP="00660F76">
      <w:pPr>
        <w:pStyle w:val="Bulletlevel1"/>
      </w:pPr>
      <w:r w:rsidRPr="0091335F">
        <w:rPr>
          <w:b/>
          <w:bCs/>
        </w:rPr>
        <w:t>Option 3</w:t>
      </w:r>
      <w:r w:rsidR="00BE3C5E" w:rsidRPr="00660F76">
        <w:t>:</w:t>
      </w:r>
      <w:r w:rsidR="00BE3C5E">
        <w:t xml:space="preserve"> </w:t>
      </w:r>
      <w:r w:rsidR="00275E71">
        <w:t>C</w:t>
      </w:r>
      <w:r w:rsidR="00103E75">
        <w:t>onvert</w:t>
      </w:r>
      <w:r w:rsidR="001E021F">
        <w:t xml:space="preserve"> to </w:t>
      </w:r>
      <w:r w:rsidR="001E021F" w:rsidRPr="001E021F">
        <w:t xml:space="preserve">FM </w:t>
      </w:r>
      <w:r w:rsidR="002331E7">
        <w:t>both</w:t>
      </w:r>
      <w:r w:rsidR="002331E7" w:rsidRPr="001E021F">
        <w:t xml:space="preserve"> </w:t>
      </w:r>
      <w:r w:rsidR="00BE3C5E">
        <w:t>c</w:t>
      </w:r>
      <w:r w:rsidR="001E021F" w:rsidRPr="001E021F">
        <w:t>ommercial AM services (6IX and 6PR)</w:t>
      </w:r>
      <w:r w:rsidR="004B0ABF">
        <w:t xml:space="preserve"> and p</w:t>
      </w:r>
      <w:r w:rsidR="004B0ABF" w:rsidRPr="00BD06BF">
        <w:t xml:space="preserve">lan </w:t>
      </w:r>
      <w:r w:rsidR="00AC78A5" w:rsidRPr="00AC78A5">
        <w:t xml:space="preserve">(and subsequently allocate licences for) </w:t>
      </w:r>
      <w:r w:rsidR="00BE3C5E">
        <w:t>3</w:t>
      </w:r>
      <w:r w:rsidR="00BE3C5E" w:rsidRPr="00D00766">
        <w:t xml:space="preserve"> </w:t>
      </w:r>
      <w:r w:rsidR="004B0ABF" w:rsidRPr="00793FB6">
        <w:t xml:space="preserve">new </w:t>
      </w:r>
      <w:r w:rsidR="00AC385B">
        <w:t>high</w:t>
      </w:r>
      <w:r w:rsidR="00FF2CB1">
        <w:t>-</w:t>
      </w:r>
      <w:r w:rsidR="00AC385B">
        <w:t xml:space="preserve">power </w:t>
      </w:r>
      <w:r w:rsidR="004B0ABF">
        <w:t>FM services in the Perth l</w:t>
      </w:r>
      <w:r w:rsidR="004B0ABF" w:rsidRPr="008071A6">
        <w:t xml:space="preserve">icence </w:t>
      </w:r>
      <w:r w:rsidR="004B0ABF">
        <w:t>a</w:t>
      </w:r>
      <w:r w:rsidR="004B0ABF" w:rsidRPr="008071A6">
        <w:t>rea</w:t>
      </w:r>
      <w:r w:rsidR="004B0ABF">
        <w:t xml:space="preserve"> for </w:t>
      </w:r>
      <w:r w:rsidR="00724540" w:rsidRPr="00724540">
        <w:t>commercial radio broadcasting, national radio broadcasting and/or open narrowcasting services</w:t>
      </w:r>
      <w:r w:rsidR="001567F0">
        <w:t>.</w:t>
      </w:r>
      <w:r w:rsidR="00724540" w:rsidRPr="00724540">
        <w:t xml:space="preserve"> </w:t>
      </w:r>
      <w:r w:rsidR="009156E8" w:rsidRPr="009156E8">
        <w:t>Under this option</w:t>
      </w:r>
      <w:r w:rsidR="00BE3C5E">
        <w:t>,</w:t>
      </w:r>
      <w:r w:rsidR="009156E8" w:rsidRPr="009156E8">
        <w:t xml:space="preserve"> the ABC AM services would not </w:t>
      </w:r>
      <w:r w:rsidR="00AC78A5" w:rsidRPr="00AC78A5">
        <w:t>convert to FM</w:t>
      </w:r>
      <w:r w:rsidR="009156E8" w:rsidRPr="009156E8">
        <w:t>.</w:t>
      </w:r>
    </w:p>
    <w:p w14:paraId="393445CA" w14:textId="6AF42039" w:rsidR="009068E3" w:rsidRPr="0091335F" w:rsidRDefault="00103E75" w:rsidP="00660F76">
      <w:pPr>
        <w:pStyle w:val="Bulletlevel1"/>
      </w:pPr>
      <w:r w:rsidRPr="0091335F">
        <w:rPr>
          <w:b/>
          <w:bCs/>
        </w:rPr>
        <w:t xml:space="preserve">Option </w:t>
      </w:r>
      <w:r w:rsidR="00B17DBC">
        <w:rPr>
          <w:b/>
          <w:bCs/>
        </w:rPr>
        <w:t>4</w:t>
      </w:r>
      <w:r w:rsidR="00BE3C5E" w:rsidRPr="00660F76">
        <w:t>:</w:t>
      </w:r>
      <w:r w:rsidR="00BE3C5E">
        <w:rPr>
          <w:b/>
          <w:bCs/>
        </w:rPr>
        <w:t xml:space="preserve"> </w:t>
      </w:r>
      <w:r w:rsidR="00BE3C5E">
        <w:t>C</w:t>
      </w:r>
      <w:r w:rsidR="009068E3" w:rsidRPr="0091335F">
        <w:t xml:space="preserve">onvert to FM </w:t>
      </w:r>
      <w:r w:rsidR="00FF2CB1">
        <w:t>one</w:t>
      </w:r>
      <w:r w:rsidR="00BE3C5E">
        <w:t xml:space="preserve"> </w:t>
      </w:r>
      <w:r w:rsidR="009068E3">
        <w:t xml:space="preserve">of the </w:t>
      </w:r>
      <w:bookmarkStart w:id="6" w:name="_Hlk68675237"/>
      <w:r w:rsidR="00BE3C5E">
        <w:t>3</w:t>
      </w:r>
      <w:r w:rsidR="00BE3C5E" w:rsidRPr="0091335F">
        <w:t xml:space="preserve"> </w:t>
      </w:r>
      <w:r w:rsidR="00BE3C5E">
        <w:t>n</w:t>
      </w:r>
      <w:r w:rsidR="009068E3" w:rsidRPr="00EE0FD9">
        <w:t>ational ABC</w:t>
      </w:r>
      <w:r w:rsidR="009068E3" w:rsidRPr="0091335F">
        <w:t xml:space="preserve"> AM </w:t>
      </w:r>
      <w:bookmarkEnd w:id="6"/>
      <w:r w:rsidR="009068E3" w:rsidRPr="0091335F">
        <w:t xml:space="preserve">services </w:t>
      </w:r>
      <w:r w:rsidR="009068E3">
        <w:t>(6PB, 6WF or 6RN). Under this option</w:t>
      </w:r>
      <w:r w:rsidR="00BE3C5E">
        <w:t>,</w:t>
      </w:r>
      <w:r w:rsidR="009068E3">
        <w:t xml:space="preserve"> the </w:t>
      </w:r>
      <w:r w:rsidR="003037BC">
        <w:t xml:space="preserve">other </w:t>
      </w:r>
      <w:r w:rsidR="00BE3C5E">
        <w:t>2 n</w:t>
      </w:r>
      <w:r w:rsidR="003037BC" w:rsidRPr="00EE0FD9">
        <w:t>ational ABC</w:t>
      </w:r>
      <w:r w:rsidR="003037BC" w:rsidRPr="0091335F">
        <w:t xml:space="preserve"> AM </w:t>
      </w:r>
      <w:r w:rsidR="000B52A0">
        <w:t xml:space="preserve">services </w:t>
      </w:r>
      <w:r w:rsidR="003037BC">
        <w:t xml:space="preserve">and </w:t>
      </w:r>
      <w:r w:rsidR="00155DB1">
        <w:t xml:space="preserve">the </w:t>
      </w:r>
      <w:r w:rsidR="009068E3">
        <w:t xml:space="preserve">commercial AM services </w:t>
      </w:r>
      <w:r w:rsidR="00155DB1" w:rsidRPr="00155DB1">
        <w:t xml:space="preserve">(6IX and 6PR) </w:t>
      </w:r>
      <w:r w:rsidR="009068E3">
        <w:t xml:space="preserve">would not </w:t>
      </w:r>
      <w:r w:rsidR="009068E3" w:rsidRPr="003D4F7B">
        <w:t>convert to FM.</w:t>
      </w:r>
      <w:r w:rsidR="00BE3C5E">
        <w:t xml:space="preserve"> This option would </w:t>
      </w:r>
      <w:r w:rsidR="00BE3C5E" w:rsidRPr="000B52A0">
        <w:t>minimise changes to the existing services</w:t>
      </w:r>
      <w:r w:rsidR="00BE3C5E">
        <w:t>.</w:t>
      </w:r>
    </w:p>
    <w:p w14:paraId="09AAAAB6" w14:textId="7A40CBBE" w:rsidR="00103E75" w:rsidRDefault="00D53643" w:rsidP="00660F76">
      <w:pPr>
        <w:pStyle w:val="Bulletlevel1last"/>
      </w:pPr>
      <w:r w:rsidRPr="0091335F">
        <w:rPr>
          <w:b/>
          <w:bCs/>
        </w:rPr>
        <w:t xml:space="preserve">Option </w:t>
      </w:r>
      <w:r>
        <w:rPr>
          <w:b/>
          <w:bCs/>
        </w:rPr>
        <w:t>5</w:t>
      </w:r>
      <w:r w:rsidR="00BE3C5E" w:rsidRPr="00660F76">
        <w:t>:</w:t>
      </w:r>
      <w:r w:rsidR="00BE3C5E">
        <w:rPr>
          <w:b/>
          <w:bCs/>
        </w:rPr>
        <w:t xml:space="preserve"> </w:t>
      </w:r>
      <w:r w:rsidR="00103E75" w:rsidRPr="00BD06BF">
        <w:t xml:space="preserve">Plan </w:t>
      </w:r>
      <w:r w:rsidR="005464FD" w:rsidRPr="005464FD">
        <w:t xml:space="preserve">(and subsequently allocate licences for) </w:t>
      </w:r>
      <w:r w:rsidR="00BE3C5E">
        <w:t>3</w:t>
      </w:r>
      <w:r w:rsidR="00BE3C5E" w:rsidRPr="00D00766">
        <w:t xml:space="preserve"> </w:t>
      </w:r>
      <w:r w:rsidR="00103E75" w:rsidRPr="00793FB6">
        <w:t xml:space="preserve">new </w:t>
      </w:r>
      <w:r w:rsidR="00AC385B">
        <w:t xml:space="preserve">high power </w:t>
      </w:r>
      <w:r w:rsidR="00103E75">
        <w:t xml:space="preserve">FM services in the Perth </w:t>
      </w:r>
      <w:r w:rsidR="00EC22D8">
        <w:t xml:space="preserve">LAP </w:t>
      </w:r>
      <w:r w:rsidR="00103E75">
        <w:t xml:space="preserve">for </w:t>
      </w:r>
      <w:r w:rsidR="00075A8B" w:rsidRPr="00075A8B">
        <w:t>commercial</w:t>
      </w:r>
      <w:r w:rsidR="00D97A0B" w:rsidRPr="00D97A0B">
        <w:t xml:space="preserve"> radio broadcasting</w:t>
      </w:r>
      <w:r w:rsidR="00075A8B">
        <w:t xml:space="preserve">, national </w:t>
      </w:r>
      <w:r w:rsidR="00075A8B" w:rsidRPr="00075A8B">
        <w:t>radio broadcasting</w:t>
      </w:r>
      <w:r w:rsidR="000D3D24">
        <w:t xml:space="preserve">, </w:t>
      </w:r>
      <w:r w:rsidR="0008281F">
        <w:t>c</w:t>
      </w:r>
      <w:r w:rsidR="000D3D24">
        <w:t>ommunity broad</w:t>
      </w:r>
      <w:r w:rsidR="0008281F">
        <w:t>c</w:t>
      </w:r>
      <w:r w:rsidR="000D3D24">
        <w:t>asting</w:t>
      </w:r>
      <w:r w:rsidR="00075A8B" w:rsidRPr="00075A8B">
        <w:t xml:space="preserve"> </w:t>
      </w:r>
      <w:r w:rsidR="00091E6C">
        <w:t>and/</w:t>
      </w:r>
      <w:r w:rsidR="00075A8B" w:rsidRPr="00075A8B">
        <w:t>or open narrowcasting services</w:t>
      </w:r>
      <w:r w:rsidR="00C02267">
        <w:t>.</w:t>
      </w:r>
      <w:r w:rsidR="00075A8B" w:rsidRPr="00075A8B">
        <w:t xml:space="preserve"> </w:t>
      </w:r>
      <w:bookmarkStart w:id="7" w:name="_Hlk63687229"/>
      <w:r w:rsidR="00742441">
        <w:t>Under this option</w:t>
      </w:r>
      <w:r w:rsidR="00BE3C5E">
        <w:t>,</w:t>
      </w:r>
      <w:r w:rsidR="00742441">
        <w:t xml:space="preserve"> the ABC and commercial AM services would not </w:t>
      </w:r>
      <w:r w:rsidR="0039249C">
        <w:t>convert to FM</w:t>
      </w:r>
      <w:r w:rsidR="00742441">
        <w:t>.</w:t>
      </w:r>
      <w:bookmarkEnd w:id="7"/>
    </w:p>
    <w:p w14:paraId="30DB6F16" w14:textId="0E57772E" w:rsidR="002C2DB8" w:rsidRPr="00FF2CB1" w:rsidRDefault="002C18AB" w:rsidP="00910AA3">
      <w:pPr>
        <w:pStyle w:val="ListBullet"/>
        <w:numPr>
          <w:ilvl w:val="0"/>
          <w:numId w:val="0"/>
        </w:numPr>
        <w:spacing w:before="240"/>
        <w:ind w:left="295" w:right="16" w:hanging="295"/>
        <w:rPr>
          <w:b/>
          <w:bCs/>
        </w:rPr>
      </w:pPr>
      <w:r>
        <w:rPr>
          <w:b/>
          <w:bCs/>
        </w:rPr>
        <w:t>Assessment of options</w:t>
      </w:r>
    </w:p>
    <w:p w14:paraId="6EF512AB" w14:textId="196F566F" w:rsidR="00523BF0" w:rsidRDefault="000B52A0" w:rsidP="00523BF0">
      <w:pPr>
        <w:pStyle w:val="Paragraph"/>
        <w:rPr>
          <w:bCs/>
          <w:iCs/>
        </w:rPr>
      </w:pPr>
      <w:r w:rsidRPr="00FF2CB1">
        <w:rPr>
          <w:bCs/>
        </w:rPr>
        <w:t>Option</w:t>
      </w:r>
      <w:r w:rsidR="009F4FD0" w:rsidRPr="00FF2CB1">
        <w:rPr>
          <w:bCs/>
        </w:rPr>
        <w:t xml:space="preserve"> </w:t>
      </w:r>
      <w:r w:rsidRPr="00FF2CB1">
        <w:rPr>
          <w:bCs/>
        </w:rPr>
        <w:t>1</w:t>
      </w:r>
      <w:r w:rsidR="009F4FD0">
        <w:rPr>
          <w:bCs/>
        </w:rPr>
        <w:t xml:space="preserve"> </w:t>
      </w:r>
      <w:r w:rsidR="00B658C7">
        <w:rPr>
          <w:bCs/>
          <w:iCs/>
        </w:rPr>
        <w:t xml:space="preserve">is intended to </w:t>
      </w:r>
      <w:r w:rsidR="007F0F11">
        <w:rPr>
          <w:bCs/>
          <w:iCs/>
        </w:rPr>
        <w:t>resolv</w:t>
      </w:r>
      <w:r w:rsidR="00B658C7">
        <w:rPr>
          <w:bCs/>
          <w:iCs/>
        </w:rPr>
        <w:t>e</w:t>
      </w:r>
      <w:r w:rsidR="007F0F11">
        <w:rPr>
          <w:bCs/>
          <w:iCs/>
        </w:rPr>
        <w:t xml:space="preserve"> </w:t>
      </w:r>
      <w:r w:rsidR="00CC13D8">
        <w:rPr>
          <w:bCs/>
          <w:iCs/>
        </w:rPr>
        <w:t xml:space="preserve">the </w:t>
      </w:r>
      <w:r w:rsidR="001D59BB" w:rsidRPr="001D59BB">
        <w:rPr>
          <w:bCs/>
          <w:iCs/>
        </w:rPr>
        <w:t xml:space="preserve">longstanding issues for existing services regarding </w:t>
      </w:r>
      <w:r w:rsidR="007F0F11">
        <w:rPr>
          <w:bCs/>
          <w:iCs/>
        </w:rPr>
        <w:t xml:space="preserve">the poor AM </w:t>
      </w:r>
      <w:r w:rsidR="00DB0C25" w:rsidRPr="00DB0C25">
        <w:rPr>
          <w:bCs/>
          <w:iCs/>
        </w:rPr>
        <w:t xml:space="preserve">reception in the Perth area due to its adverse environmental conditions for </w:t>
      </w:r>
      <w:r w:rsidR="00B97703">
        <w:rPr>
          <w:bCs/>
          <w:iCs/>
        </w:rPr>
        <w:t xml:space="preserve">AM </w:t>
      </w:r>
      <w:r w:rsidR="00A84327" w:rsidRPr="00A84327">
        <w:rPr>
          <w:bCs/>
          <w:iCs/>
        </w:rPr>
        <w:t>propagation and impulse noise from electric rail and powerlines</w:t>
      </w:r>
      <w:r w:rsidR="00B71B83">
        <w:rPr>
          <w:bCs/>
          <w:iCs/>
        </w:rPr>
        <w:t xml:space="preserve">. It </w:t>
      </w:r>
      <w:r w:rsidR="00D97E0E">
        <w:rPr>
          <w:bCs/>
        </w:rPr>
        <w:t xml:space="preserve">will </w:t>
      </w:r>
      <w:r w:rsidR="00C43FE8" w:rsidRPr="00C43FE8">
        <w:rPr>
          <w:bCs/>
        </w:rPr>
        <w:t xml:space="preserve">better </w:t>
      </w:r>
      <w:r w:rsidR="00D97E0E" w:rsidRPr="00C43FE8">
        <w:rPr>
          <w:bCs/>
        </w:rPr>
        <w:t>utilis</w:t>
      </w:r>
      <w:r w:rsidR="00D97E0E">
        <w:rPr>
          <w:bCs/>
        </w:rPr>
        <w:t>e</w:t>
      </w:r>
      <w:r w:rsidR="00D97E0E" w:rsidRPr="00C43FE8">
        <w:rPr>
          <w:bCs/>
        </w:rPr>
        <w:t xml:space="preserve"> </w:t>
      </w:r>
      <w:r w:rsidR="00C43FE8" w:rsidRPr="00C43FE8">
        <w:rPr>
          <w:bCs/>
        </w:rPr>
        <w:t xml:space="preserve">the radiocommunications spectrum by </w:t>
      </w:r>
      <w:r w:rsidR="00D97E0E" w:rsidRPr="00C43FE8">
        <w:rPr>
          <w:bCs/>
        </w:rPr>
        <w:t>u</w:t>
      </w:r>
      <w:r w:rsidR="00D97E0E">
        <w:rPr>
          <w:bCs/>
        </w:rPr>
        <w:t>sing</w:t>
      </w:r>
      <w:r w:rsidR="00D97E0E" w:rsidRPr="00C43FE8">
        <w:rPr>
          <w:bCs/>
        </w:rPr>
        <w:t xml:space="preserve"> </w:t>
      </w:r>
      <w:r w:rsidR="00C43FE8" w:rsidRPr="00C43FE8">
        <w:rPr>
          <w:bCs/>
        </w:rPr>
        <w:t xml:space="preserve">all </w:t>
      </w:r>
      <w:r w:rsidR="00D97E0E">
        <w:rPr>
          <w:bCs/>
        </w:rPr>
        <w:t>5</w:t>
      </w:r>
      <w:r w:rsidR="00D97E0E" w:rsidRPr="00C43FE8">
        <w:rPr>
          <w:bCs/>
        </w:rPr>
        <w:t xml:space="preserve"> </w:t>
      </w:r>
      <w:r w:rsidR="00C43FE8" w:rsidRPr="00C43FE8">
        <w:rPr>
          <w:bCs/>
        </w:rPr>
        <w:t>identified</w:t>
      </w:r>
      <w:r w:rsidR="00C43FE8" w:rsidRPr="00C43FE8">
        <w:rPr>
          <w:bCs/>
          <w:iCs/>
        </w:rPr>
        <w:t xml:space="preserve"> additional high</w:t>
      </w:r>
      <w:r w:rsidR="00FF2CB1">
        <w:rPr>
          <w:bCs/>
          <w:iCs/>
        </w:rPr>
        <w:t>-</w:t>
      </w:r>
      <w:r w:rsidR="00C43FE8" w:rsidRPr="00C43FE8">
        <w:rPr>
          <w:bCs/>
          <w:iCs/>
        </w:rPr>
        <w:t>power/wide</w:t>
      </w:r>
      <w:r w:rsidR="00FF2CB1">
        <w:rPr>
          <w:bCs/>
          <w:iCs/>
        </w:rPr>
        <w:t>-</w:t>
      </w:r>
      <w:r w:rsidR="00C43FE8" w:rsidRPr="00C43FE8">
        <w:rPr>
          <w:bCs/>
          <w:iCs/>
        </w:rPr>
        <w:t xml:space="preserve">coverage frequencies. </w:t>
      </w:r>
      <w:r w:rsidR="00523BF0" w:rsidRPr="000B52A0">
        <w:rPr>
          <w:bCs/>
          <w:iCs/>
        </w:rPr>
        <w:t xml:space="preserve">However, </w:t>
      </w:r>
      <w:r w:rsidR="00D97E0E">
        <w:rPr>
          <w:bCs/>
          <w:iCs/>
        </w:rPr>
        <w:t xml:space="preserve">we </w:t>
      </w:r>
      <w:r w:rsidR="00523BF0" w:rsidRPr="000B52A0">
        <w:rPr>
          <w:bCs/>
          <w:iCs/>
        </w:rPr>
        <w:t>acknowledge that this option would require a number of consequential changes to other services in the area</w:t>
      </w:r>
      <w:r w:rsidR="00523BF0">
        <w:rPr>
          <w:bCs/>
          <w:iCs/>
        </w:rPr>
        <w:t xml:space="preserve"> and the business impact to these services </w:t>
      </w:r>
      <w:r w:rsidR="007F0F11">
        <w:rPr>
          <w:bCs/>
          <w:iCs/>
        </w:rPr>
        <w:t xml:space="preserve">must </w:t>
      </w:r>
      <w:r w:rsidR="00523BF0">
        <w:rPr>
          <w:bCs/>
          <w:iCs/>
        </w:rPr>
        <w:t>be considered</w:t>
      </w:r>
      <w:r w:rsidR="00523BF0" w:rsidRPr="000B52A0">
        <w:rPr>
          <w:bCs/>
          <w:iCs/>
        </w:rPr>
        <w:t xml:space="preserve">. </w:t>
      </w:r>
    </w:p>
    <w:p w14:paraId="3FC2BB32" w14:textId="5408BCAF" w:rsidR="00781B61" w:rsidRDefault="00523BF0" w:rsidP="00523BF0">
      <w:pPr>
        <w:pStyle w:val="Paragraph"/>
        <w:rPr>
          <w:bCs/>
          <w:iCs/>
        </w:rPr>
      </w:pPr>
      <w:r>
        <w:rPr>
          <w:bCs/>
          <w:iCs/>
        </w:rPr>
        <w:t xml:space="preserve">Option 4 is identified as </w:t>
      </w:r>
      <w:r w:rsidR="00D97E0E">
        <w:rPr>
          <w:bCs/>
          <w:iCs/>
        </w:rPr>
        <w:t xml:space="preserve">having the </w:t>
      </w:r>
      <w:r w:rsidR="00781B61">
        <w:rPr>
          <w:bCs/>
          <w:iCs/>
        </w:rPr>
        <w:t xml:space="preserve">least impact </w:t>
      </w:r>
      <w:r w:rsidR="00D97E0E">
        <w:rPr>
          <w:bCs/>
          <w:iCs/>
        </w:rPr>
        <w:t xml:space="preserve">and would </w:t>
      </w:r>
      <w:r w:rsidR="00781B61">
        <w:rPr>
          <w:bCs/>
          <w:iCs/>
        </w:rPr>
        <w:t xml:space="preserve">minimise the number of changes to existing services. </w:t>
      </w:r>
    </w:p>
    <w:p w14:paraId="20819C0B" w14:textId="77777777" w:rsidR="00781B61" w:rsidRDefault="00781B61" w:rsidP="00523BF0">
      <w:pPr>
        <w:pStyle w:val="Paragraph"/>
        <w:rPr>
          <w:bCs/>
          <w:iCs/>
        </w:rPr>
      </w:pPr>
      <w:r w:rsidRPr="00FF2CB1">
        <w:rPr>
          <w:bCs/>
          <w:iCs/>
        </w:rPr>
        <w:t>Each of the other options explore to differing degrees the opportunities to achieve changes for national, commercial and/or community broadcasting licensees.</w:t>
      </w:r>
    </w:p>
    <w:p w14:paraId="3CDAA7AD" w14:textId="76B2AD04" w:rsidR="00781B61" w:rsidRDefault="007F0F11" w:rsidP="00523BF0">
      <w:pPr>
        <w:pStyle w:val="Paragraph"/>
        <w:rPr>
          <w:bCs/>
          <w:iCs/>
        </w:rPr>
      </w:pPr>
      <w:r w:rsidRPr="00660F76">
        <w:rPr>
          <w:bCs/>
          <w:iCs/>
        </w:rPr>
        <w:t xml:space="preserve">We note that each of the options requires changes </w:t>
      </w:r>
      <w:r w:rsidR="00FF2CB1" w:rsidRPr="00660F76">
        <w:rPr>
          <w:bCs/>
          <w:iCs/>
        </w:rPr>
        <w:t>(</w:t>
      </w:r>
      <w:r w:rsidRPr="00660F76">
        <w:rPr>
          <w:bCs/>
          <w:iCs/>
        </w:rPr>
        <w:t>of varying degrees</w:t>
      </w:r>
      <w:r w:rsidR="00FF2CB1" w:rsidRPr="00660F76">
        <w:rPr>
          <w:bCs/>
          <w:iCs/>
        </w:rPr>
        <w:t>)</w:t>
      </w:r>
      <w:r w:rsidRPr="00660F76">
        <w:rPr>
          <w:bCs/>
          <w:iCs/>
        </w:rPr>
        <w:t xml:space="preserve"> to transmission towers or frequencies, which are likely to incur some costs for affected broadcasters. For this reason, </w:t>
      </w:r>
      <w:r w:rsidR="000E09D3">
        <w:rPr>
          <w:bCs/>
          <w:iCs/>
        </w:rPr>
        <w:t>i</w:t>
      </w:r>
      <w:r w:rsidR="00781B61" w:rsidRPr="00FF2CB1">
        <w:rPr>
          <w:bCs/>
          <w:iCs/>
        </w:rPr>
        <w:t>t</w:t>
      </w:r>
      <w:r w:rsidR="000E09D3">
        <w:rPr>
          <w:bCs/>
          <w:iCs/>
        </w:rPr>
        <w:t xml:space="preserve"> is</w:t>
      </w:r>
      <w:r w:rsidR="00781B61" w:rsidRPr="00FF2CB1">
        <w:rPr>
          <w:bCs/>
          <w:iCs/>
        </w:rPr>
        <w:t xml:space="preserve"> important that there is licensee agreement </w:t>
      </w:r>
      <w:r w:rsidRPr="00660F76">
        <w:rPr>
          <w:bCs/>
          <w:iCs/>
        </w:rPr>
        <w:t>about</w:t>
      </w:r>
      <w:r w:rsidRPr="00FF2CB1">
        <w:rPr>
          <w:bCs/>
          <w:iCs/>
        </w:rPr>
        <w:t xml:space="preserve"> </w:t>
      </w:r>
      <w:r w:rsidR="00781B61" w:rsidRPr="00FF2CB1">
        <w:rPr>
          <w:bCs/>
          <w:iCs/>
        </w:rPr>
        <w:t>the proposed changes</w:t>
      </w:r>
      <w:r w:rsidRPr="00660F76">
        <w:rPr>
          <w:bCs/>
          <w:iCs/>
        </w:rPr>
        <w:t>.</w:t>
      </w:r>
    </w:p>
    <w:p w14:paraId="1F29FF49" w14:textId="6C454DD0" w:rsidR="00FD1EEF" w:rsidRPr="00FD1EEF" w:rsidRDefault="000F389B" w:rsidP="00465DC1">
      <w:pPr>
        <w:pStyle w:val="Paragraph"/>
      </w:pPr>
      <w:r>
        <w:t>The</w:t>
      </w:r>
      <w:r w:rsidR="00FD1EEF" w:rsidRPr="00FD1EEF">
        <w:t xml:space="preserve"> submissions to th</w:t>
      </w:r>
      <w:r w:rsidR="00127FB2">
        <w:t>is</w:t>
      </w:r>
      <w:r w:rsidR="00FD1EEF" w:rsidRPr="00FD1EEF">
        <w:t xml:space="preserve"> </w:t>
      </w:r>
      <w:r w:rsidR="007F0F11">
        <w:t>o</w:t>
      </w:r>
      <w:r w:rsidR="00FD1EEF" w:rsidRPr="00FD1EEF">
        <w:t>ptions paper</w:t>
      </w:r>
      <w:r w:rsidR="00430E73">
        <w:t xml:space="preserve"> </w:t>
      </w:r>
      <w:r w:rsidR="00430E73" w:rsidRPr="00FD1EEF">
        <w:t>will</w:t>
      </w:r>
      <w:r w:rsidR="00620132">
        <w:t xml:space="preserve"> inform the ACMA’s further decisions regarding</w:t>
      </w:r>
      <w:r w:rsidR="00365E2E">
        <w:t xml:space="preserve"> </w:t>
      </w:r>
      <w:r w:rsidR="00FD1EEF" w:rsidRPr="00FD1EEF">
        <w:t>replanning the FM broadcasting services band in the Perth RA1 licence area</w:t>
      </w:r>
      <w:r w:rsidR="00A42AE7">
        <w:t>.</w:t>
      </w:r>
      <w:r w:rsidR="00FD1EEF" w:rsidRPr="00FD1EEF">
        <w:t xml:space="preserve"> </w:t>
      </w:r>
      <w:r w:rsidR="00072050">
        <w:t>This could lead to the ACMA consulting on a formal variation t</w:t>
      </w:r>
      <w:r w:rsidR="00CE778B">
        <w:t>h</w:t>
      </w:r>
      <w:r w:rsidR="00072050">
        <w:t>e Perth RA1 licence area plan.</w:t>
      </w:r>
    </w:p>
    <w:p w14:paraId="7BAC619F" w14:textId="77777777" w:rsidR="00FD1EEF" w:rsidRDefault="00FD1EEF" w:rsidP="00FD1FD9">
      <w:pPr>
        <w:pStyle w:val="ListBullet"/>
        <w:numPr>
          <w:ilvl w:val="0"/>
          <w:numId w:val="0"/>
        </w:numPr>
        <w:spacing w:before="240"/>
        <w:ind w:left="295" w:right="16" w:hanging="295"/>
      </w:pPr>
    </w:p>
    <w:p w14:paraId="7D01809B" w14:textId="31E35970" w:rsidR="00672750" w:rsidRPr="0091335F" w:rsidRDefault="00672750" w:rsidP="00884A37">
      <w:pPr>
        <w:pStyle w:val="ListBullet"/>
        <w:numPr>
          <w:ilvl w:val="0"/>
          <w:numId w:val="0"/>
        </w:numPr>
        <w:spacing w:before="240"/>
        <w:ind w:left="295" w:right="16" w:hanging="295"/>
      </w:pPr>
    </w:p>
    <w:p w14:paraId="603F3070" w14:textId="7CA51696" w:rsidR="00715722" w:rsidRPr="00023A36" w:rsidRDefault="00715722" w:rsidP="00715722">
      <w:pPr>
        <w:pStyle w:val="Heading1"/>
      </w:pPr>
      <w:bookmarkStart w:id="8" w:name="_Toc72241298"/>
      <w:bookmarkEnd w:id="3"/>
      <w:r>
        <w:t>Issue</w:t>
      </w:r>
      <w:r w:rsidRPr="003253EE">
        <w:t>s</w:t>
      </w:r>
      <w:r w:rsidRPr="00023A36">
        <w:t xml:space="preserve"> for comment</w:t>
      </w:r>
      <w:bookmarkEnd w:id="1"/>
      <w:bookmarkEnd w:id="8"/>
    </w:p>
    <w:p w14:paraId="416AE94B" w14:textId="7E5BEBAA" w:rsidR="00BE750D" w:rsidRPr="00BE750D" w:rsidRDefault="00BE750D" w:rsidP="00660F76">
      <w:pPr>
        <w:pStyle w:val="Paragraph"/>
      </w:pPr>
      <w:r w:rsidRPr="00BE750D">
        <w:t xml:space="preserve">We welcome comments from interested stakeholders on the issues raised in this paper, or on any other issues relevant to replanning </w:t>
      </w:r>
      <w:r w:rsidR="00C265D1">
        <w:t>FM spectrum in the</w:t>
      </w:r>
      <w:r w:rsidR="00200A5E">
        <w:t xml:space="preserve"> </w:t>
      </w:r>
      <w:r w:rsidRPr="00BE750D">
        <w:t>Perth RA1 licence area.</w:t>
      </w:r>
    </w:p>
    <w:p w14:paraId="3D84C23B" w14:textId="77777777" w:rsidR="00BE750D" w:rsidRPr="00BE750D" w:rsidRDefault="00BE750D" w:rsidP="00BE750D">
      <w:pPr>
        <w:pStyle w:val="Paragraphbeforelist"/>
      </w:pPr>
      <w:r w:rsidRPr="00BE750D">
        <w:t xml:space="preserve">Details on making a submission can be found at </w:t>
      </w:r>
      <w:hyperlink w:anchor="_Invitation_to_comment" w:history="1">
        <w:r w:rsidRPr="00BE750D">
          <w:rPr>
            <w:rStyle w:val="Hyperlink"/>
          </w:rPr>
          <w:t>Invitation to comment</w:t>
        </w:r>
      </w:hyperlink>
      <w:r w:rsidRPr="00BE750D">
        <w:t xml:space="preserve"> at the end of this document.</w:t>
      </w:r>
    </w:p>
    <w:p w14:paraId="6D6074CC" w14:textId="12BD960B" w:rsidR="005E250B" w:rsidRPr="00C35CCE" w:rsidRDefault="00CB08CE" w:rsidP="002C0530">
      <w:pPr>
        <w:pStyle w:val="Heading1"/>
      </w:pPr>
      <w:bookmarkStart w:id="9" w:name="_Toc72241299"/>
      <w:r>
        <w:t>Introduction</w:t>
      </w:r>
      <w:bookmarkEnd w:id="9"/>
    </w:p>
    <w:p w14:paraId="59D5D160" w14:textId="77777777" w:rsidR="003863DA" w:rsidRDefault="003863DA" w:rsidP="005C34EF">
      <w:pPr>
        <w:pStyle w:val="Heading2"/>
      </w:pPr>
      <w:bookmarkStart w:id="10" w:name="_Toc72241300"/>
      <w:r>
        <w:t>Background</w:t>
      </w:r>
      <w:bookmarkEnd w:id="10"/>
    </w:p>
    <w:p w14:paraId="5605B668" w14:textId="04DE801E" w:rsidR="003863DA" w:rsidRPr="009A7958" w:rsidRDefault="00981BCE" w:rsidP="009A7958">
      <w:pPr>
        <w:tabs>
          <w:tab w:val="left" w:pos="426"/>
        </w:tabs>
        <w:spacing w:before="20" w:after="120"/>
        <w:rPr>
          <w:color w:val="000000" w:themeColor="text1"/>
          <w:lang w:eastAsia="en-US" w:bidi="he-IL"/>
        </w:rPr>
      </w:pPr>
      <w:r>
        <w:rPr>
          <w:rFonts w:cs="Arial"/>
          <w:bCs/>
          <w:color w:val="000000" w:themeColor="text1"/>
          <w:lang w:eastAsia="en-US" w:bidi="he-IL"/>
        </w:rPr>
        <w:t xml:space="preserve">The </w:t>
      </w:r>
      <w:r w:rsidR="003863DA" w:rsidRPr="003863DA">
        <w:rPr>
          <w:rFonts w:cs="Arial"/>
          <w:bCs/>
          <w:color w:val="000000" w:themeColor="text1"/>
          <w:lang w:eastAsia="en-US" w:bidi="he-IL"/>
        </w:rPr>
        <w:t xml:space="preserve">Perth RA1 </w:t>
      </w:r>
      <w:r>
        <w:rPr>
          <w:rFonts w:cs="Arial"/>
          <w:bCs/>
          <w:color w:val="000000" w:themeColor="text1"/>
          <w:lang w:eastAsia="en-US" w:bidi="he-IL"/>
        </w:rPr>
        <w:t xml:space="preserve">licence area </w:t>
      </w:r>
      <w:r w:rsidR="003863DA" w:rsidRPr="003863DA">
        <w:rPr>
          <w:rFonts w:cs="Arial"/>
          <w:bCs/>
          <w:color w:val="000000" w:themeColor="text1"/>
          <w:lang w:eastAsia="en-US" w:bidi="he-IL"/>
        </w:rPr>
        <w:t>is a unique planning environment due to the availability of spectrum, its geography</w:t>
      </w:r>
      <w:r w:rsidR="00DD7B63">
        <w:rPr>
          <w:rFonts w:cs="Arial"/>
          <w:bCs/>
          <w:color w:val="000000" w:themeColor="text1"/>
          <w:lang w:eastAsia="en-US" w:bidi="he-IL"/>
        </w:rPr>
        <w:t xml:space="preserve">, </w:t>
      </w:r>
      <w:r w:rsidR="003863DA" w:rsidRPr="003863DA">
        <w:rPr>
          <w:rFonts w:cs="Arial"/>
          <w:bCs/>
          <w:color w:val="000000" w:themeColor="text1"/>
          <w:lang w:eastAsia="en-US" w:bidi="he-IL"/>
        </w:rPr>
        <w:t>the adverse environmental conditions for AM propagation</w:t>
      </w:r>
      <w:r w:rsidR="00DD7B63">
        <w:rPr>
          <w:rFonts w:cs="Arial"/>
          <w:bCs/>
          <w:color w:val="000000" w:themeColor="text1"/>
          <w:lang w:eastAsia="en-US" w:bidi="he-IL"/>
        </w:rPr>
        <w:t xml:space="preserve"> and</w:t>
      </w:r>
      <w:r w:rsidR="00DD7B63">
        <w:t xml:space="preserve"> impulse</w:t>
      </w:r>
      <w:r w:rsidR="007E4726">
        <w:t xml:space="preserve"> noise from</w:t>
      </w:r>
      <w:r w:rsidR="00DD7B63">
        <w:t xml:space="preserve"> electric rail and powerline</w:t>
      </w:r>
      <w:r w:rsidR="00164348">
        <w:t>s</w:t>
      </w:r>
      <w:r w:rsidR="003863DA" w:rsidRPr="003863DA">
        <w:rPr>
          <w:rFonts w:cs="Arial"/>
          <w:bCs/>
          <w:color w:val="000000" w:themeColor="text1"/>
          <w:lang w:eastAsia="en-US" w:bidi="he-IL"/>
        </w:rPr>
        <w:t>.</w:t>
      </w:r>
      <w:r w:rsidR="00DD7B63">
        <w:rPr>
          <w:rFonts w:cs="Arial"/>
          <w:bCs/>
          <w:color w:val="000000" w:themeColor="text1"/>
          <w:lang w:eastAsia="en-US" w:bidi="he-IL"/>
        </w:rPr>
        <w:t xml:space="preserve"> </w:t>
      </w:r>
      <w:r w:rsidR="00DD7B63">
        <w:t xml:space="preserve">The AM radio services in Perth have </w:t>
      </w:r>
      <w:r w:rsidR="00FF2CB1">
        <w:t xml:space="preserve">long experienced </w:t>
      </w:r>
      <w:r w:rsidR="00DD7B63">
        <w:t>reception problems due to poor ground conductivity. The soil in Perth is essentially sand</w:t>
      </w:r>
      <w:r w:rsidR="007F0F11">
        <w:t>,</w:t>
      </w:r>
      <w:r w:rsidR="00DD7B63">
        <w:t xml:space="preserve"> which impedes groundwave propagation of AM signals.</w:t>
      </w:r>
      <w:r w:rsidR="003863DA" w:rsidRPr="003863DA">
        <w:rPr>
          <w:rFonts w:cs="Arial"/>
          <w:bCs/>
          <w:color w:val="000000" w:themeColor="text1"/>
          <w:lang w:eastAsia="en-US" w:bidi="he-IL"/>
        </w:rPr>
        <w:t xml:space="preserve"> For many years, the ABC and the </w:t>
      </w:r>
      <w:r w:rsidR="006D6772">
        <w:rPr>
          <w:rFonts w:cs="Arial"/>
          <w:bCs/>
          <w:color w:val="000000" w:themeColor="text1"/>
          <w:lang w:eastAsia="en-US" w:bidi="he-IL"/>
        </w:rPr>
        <w:t>2</w:t>
      </w:r>
      <w:r w:rsidR="006D6772" w:rsidRPr="003863DA">
        <w:rPr>
          <w:rFonts w:cs="Arial"/>
          <w:bCs/>
          <w:color w:val="000000" w:themeColor="text1"/>
          <w:lang w:eastAsia="en-US" w:bidi="he-IL"/>
        </w:rPr>
        <w:t xml:space="preserve"> </w:t>
      </w:r>
      <w:r w:rsidR="003863DA" w:rsidRPr="003863DA">
        <w:rPr>
          <w:rFonts w:cs="Arial"/>
          <w:bCs/>
          <w:color w:val="000000" w:themeColor="text1"/>
          <w:lang w:eastAsia="en-US" w:bidi="he-IL"/>
        </w:rPr>
        <w:t xml:space="preserve">commercial AM broadcasters have sought a solution to the poor AM reception in Perth. </w:t>
      </w:r>
      <w:r w:rsidR="00662EFA">
        <w:rPr>
          <w:rFonts w:cs="Arial"/>
          <w:bCs/>
          <w:color w:val="000000" w:themeColor="text1"/>
          <w:szCs w:val="20"/>
          <w:lang w:eastAsia="en-US" w:bidi="he-IL"/>
        </w:rPr>
        <w:t>T</w:t>
      </w:r>
      <w:r w:rsidR="00662EFA" w:rsidRPr="009A7958">
        <w:rPr>
          <w:rFonts w:cs="Arial"/>
          <w:bCs/>
          <w:color w:val="000000" w:themeColor="text1"/>
          <w:szCs w:val="20"/>
          <w:lang w:eastAsia="en-US" w:bidi="he-IL"/>
        </w:rPr>
        <w:t>he full use of FM broadcasting services band in Perth was constrained by presence of VHF Band II analog TV on channels 3 and 5 in Bunbury. These channels have not been used for television since the switchover to digital TV in 2013, creating an opportunity to make additional wide</w:t>
      </w:r>
      <w:r w:rsidR="004224D2">
        <w:rPr>
          <w:rFonts w:cs="Arial"/>
          <w:bCs/>
          <w:color w:val="000000" w:themeColor="text1"/>
          <w:szCs w:val="20"/>
          <w:lang w:eastAsia="en-US" w:bidi="he-IL"/>
        </w:rPr>
        <w:t>-</w:t>
      </w:r>
      <w:r w:rsidR="00662EFA" w:rsidRPr="009A7958">
        <w:rPr>
          <w:rFonts w:cs="Arial"/>
          <w:bCs/>
          <w:color w:val="000000" w:themeColor="text1"/>
          <w:szCs w:val="20"/>
          <w:lang w:eastAsia="en-US" w:bidi="he-IL"/>
        </w:rPr>
        <w:t xml:space="preserve">coverage FM frequencies available in Perth.  </w:t>
      </w:r>
    </w:p>
    <w:p w14:paraId="36EF5574" w14:textId="7ACE43A3" w:rsidR="005E250B" w:rsidRPr="00C35CCE" w:rsidRDefault="00CB08CE" w:rsidP="005C34EF">
      <w:pPr>
        <w:pStyle w:val="Heading2"/>
      </w:pPr>
      <w:bookmarkStart w:id="11" w:name="_Toc72241301"/>
      <w:r>
        <w:t>Planning of broadcasting services</w:t>
      </w:r>
      <w:bookmarkEnd w:id="11"/>
    </w:p>
    <w:p w14:paraId="21D99EDD" w14:textId="396E4E26" w:rsidR="00573812" w:rsidRPr="00981BCE" w:rsidRDefault="00F504D2" w:rsidP="004854A5">
      <w:pPr>
        <w:pStyle w:val="Bulletlevel1"/>
        <w:numPr>
          <w:ilvl w:val="0"/>
          <w:numId w:val="0"/>
        </w:numPr>
        <w:spacing w:after="240"/>
        <w:ind w:left="11" w:hanging="11"/>
      </w:pPr>
      <w:r w:rsidRPr="00F504D2">
        <w:t xml:space="preserve">The ACMA’s broadcasting planning functions are set out in Part 3 of the </w:t>
      </w:r>
      <w:r w:rsidRPr="001B0231">
        <w:rPr>
          <w:i/>
          <w:iCs/>
        </w:rPr>
        <w:t>Broadcasting Services Act 1992</w:t>
      </w:r>
      <w:r w:rsidRPr="00F504D2">
        <w:t xml:space="preserve"> (the BSA). In performing its planning functions, the ACMA must promote the objects of the BSA (section 3), including the economic and efficient use of radiofrequency spectrum. The ACMA must also </w:t>
      </w:r>
      <w:r w:rsidR="006D6772">
        <w:t>consider</w:t>
      </w:r>
      <w:r w:rsidRPr="00F504D2">
        <w:t xml:space="preserve"> the planning criteria set out in section 23 of the </w:t>
      </w:r>
      <w:r w:rsidRPr="00981BCE">
        <w:t xml:space="preserve">BSA. When planning broadcasting services, the ACMA refers to its </w:t>
      </w:r>
      <w:r w:rsidRPr="00660F76">
        <w:rPr>
          <w:i/>
          <w:iCs/>
        </w:rPr>
        <w:t xml:space="preserve">General </w:t>
      </w:r>
      <w:r w:rsidR="00981BCE">
        <w:rPr>
          <w:i/>
          <w:iCs/>
        </w:rPr>
        <w:t>A</w:t>
      </w:r>
      <w:r w:rsidRPr="00660F76">
        <w:rPr>
          <w:i/>
          <w:iCs/>
        </w:rPr>
        <w:t xml:space="preserve">pproach to </w:t>
      </w:r>
      <w:r w:rsidR="00981BCE">
        <w:rPr>
          <w:i/>
          <w:iCs/>
        </w:rPr>
        <w:t>A</w:t>
      </w:r>
      <w:r w:rsidRPr="00660F76">
        <w:rPr>
          <w:i/>
          <w:iCs/>
        </w:rPr>
        <w:t xml:space="preserve">nalog </w:t>
      </w:r>
      <w:r w:rsidR="00981BCE">
        <w:rPr>
          <w:i/>
          <w:iCs/>
        </w:rPr>
        <w:t>P</w:t>
      </w:r>
      <w:r w:rsidRPr="00660F76">
        <w:rPr>
          <w:i/>
          <w:iCs/>
        </w:rPr>
        <w:t>lanning</w:t>
      </w:r>
      <w:r w:rsidR="000523B2" w:rsidRPr="00981BCE">
        <w:rPr>
          <w:rStyle w:val="FootnoteReference"/>
        </w:rPr>
        <w:footnoteReference w:id="4"/>
      </w:r>
      <w:r w:rsidRPr="00981BCE">
        <w:t>, which provides an overview of the regulatory framework, policy objectives and planning process for analog broadcasting services.</w:t>
      </w:r>
    </w:p>
    <w:p w14:paraId="34B05296" w14:textId="69E0922E" w:rsidR="005E250B" w:rsidRPr="00C35CCE" w:rsidRDefault="00B14883" w:rsidP="005C34EF">
      <w:pPr>
        <w:pStyle w:val="Heading2"/>
      </w:pPr>
      <w:bookmarkStart w:id="12" w:name="_Toc72241302"/>
      <w:r w:rsidRPr="005A6059">
        <w:t>Identification of additional high</w:t>
      </w:r>
      <w:r w:rsidR="004224D2">
        <w:t>-</w:t>
      </w:r>
      <w:r w:rsidRPr="005A6059">
        <w:t>power/wide</w:t>
      </w:r>
      <w:r w:rsidR="004224D2">
        <w:t>-</w:t>
      </w:r>
      <w:r w:rsidRPr="005A6059">
        <w:t>coverage</w:t>
      </w:r>
      <w:r w:rsidR="000F396A" w:rsidRPr="005A6059">
        <w:t xml:space="preserve"> frequencies</w:t>
      </w:r>
      <w:bookmarkEnd w:id="12"/>
    </w:p>
    <w:p w14:paraId="4B8A9385" w14:textId="0F1AAB7A" w:rsidR="00E72866" w:rsidRPr="00E72866" w:rsidRDefault="00E72866" w:rsidP="00E72866">
      <w:pPr>
        <w:pStyle w:val="Paragraph"/>
      </w:pPr>
      <w:r w:rsidRPr="00E72866">
        <w:t>The frequency arrangements for FM broadcasting services in the Perth area have evolved over time. They have been significantly constrained by the historical need to share the band with Bunbury VHF Band II television services on channel 3 (85</w:t>
      </w:r>
      <w:r w:rsidR="005A6059">
        <w:t>–</w:t>
      </w:r>
      <w:r w:rsidRPr="00E72866">
        <w:t>92 MHz) and channel 5 (101</w:t>
      </w:r>
      <w:r w:rsidR="005A6059">
        <w:t>–</w:t>
      </w:r>
      <w:r w:rsidRPr="00E72866">
        <w:t>108 MHz). These channels overlap the lower and upper parts of the FM radio band</w:t>
      </w:r>
      <w:r w:rsidR="005A6059">
        <w:t>,</w:t>
      </w:r>
      <w:r w:rsidRPr="00E72866">
        <w:t xml:space="preserve"> respectively. </w:t>
      </w:r>
    </w:p>
    <w:p w14:paraId="1E4A432A" w14:textId="3F6263DE" w:rsidR="00E72866" w:rsidRPr="00E72866" w:rsidRDefault="00E72866" w:rsidP="00E72866">
      <w:pPr>
        <w:pStyle w:val="Paragraph"/>
      </w:pPr>
      <w:r w:rsidRPr="00E72866">
        <w:t xml:space="preserve">The current </w:t>
      </w:r>
      <w:r w:rsidR="0077679F">
        <w:t xml:space="preserve">FM band </w:t>
      </w:r>
      <w:r w:rsidR="00676557">
        <w:t>plan</w:t>
      </w:r>
      <w:r w:rsidR="00676557" w:rsidRPr="00E72866">
        <w:t xml:space="preserve"> </w:t>
      </w:r>
      <w:r w:rsidRPr="00E72866">
        <w:t>has a block of high</w:t>
      </w:r>
      <w:r w:rsidR="004224D2">
        <w:t>-</w:t>
      </w:r>
      <w:r w:rsidRPr="00E72866">
        <w:t>power</w:t>
      </w:r>
      <w:r w:rsidR="00164348">
        <w:t>/</w:t>
      </w:r>
      <w:r w:rsidRPr="00E72866">
        <w:t>wide</w:t>
      </w:r>
      <w:r w:rsidR="004224D2">
        <w:t>-</w:t>
      </w:r>
      <w:r w:rsidRPr="00E72866">
        <w:t xml:space="preserve">coverage national, commercial and community services with </w:t>
      </w:r>
      <w:r w:rsidR="004224D2">
        <w:t>e</w:t>
      </w:r>
      <w:r w:rsidR="00364350" w:rsidRPr="00364350">
        <w:t xml:space="preserve">ffective </w:t>
      </w:r>
      <w:r w:rsidR="004224D2">
        <w:t>r</w:t>
      </w:r>
      <w:r w:rsidR="00364350" w:rsidRPr="00364350">
        <w:t xml:space="preserve">adiated </w:t>
      </w:r>
      <w:r w:rsidR="004224D2">
        <w:t>p</w:t>
      </w:r>
      <w:r w:rsidR="00364350" w:rsidRPr="00364350">
        <w:t>ower</w:t>
      </w:r>
      <w:r w:rsidR="005F3CF6">
        <w:t xml:space="preserve"> (</w:t>
      </w:r>
      <w:r w:rsidRPr="00E72866">
        <w:t>ERP</w:t>
      </w:r>
      <w:r w:rsidR="005F3CF6">
        <w:t>)</w:t>
      </w:r>
      <w:r w:rsidRPr="00E72866">
        <w:t xml:space="preserve"> levels of typically 100 kW, 40 kW or 16 kW</w:t>
      </w:r>
      <w:r w:rsidR="005A6059">
        <w:t>,</w:t>
      </w:r>
      <w:r w:rsidRPr="00E72866">
        <w:t xml:space="preserve"> respectively, on FM broadcast frequencies between 92.1 and 100.9 MHz. Lower</w:t>
      </w:r>
      <w:r w:rsidR="004224D2">
        <w:t>-</w:t>
      </w:r>
      <w:r w:rsidRPr="00E72866">
        <w:t xml:space="preserve">powered community and </w:t>
      </w:r>
      <w:r w:rsidR="005A6059">
        <w:t>h</w:t>
      </w:r>
      <w:r w:rsidR="00497D79">
        <w:t>igh</w:t>
      </w:r>
      <w:r w:rsidR="004224D2">
        <w:t>-</w:t>
      </w:r>
      <w:r w:rsidR="005A6059">
        <w:t>p</w:t>
      </w:r>
      <w:r w:rsidR="00497D79">
        <w:t xml:space="preserve">ower </w:t>
      </w:r>
      <w:r w:rsidR="005A6059">
        <w:t>o</w:t>
      </w:r>
      <w:r w:rsidR="00497D79">
        <w:t xml:space="preserve">pen </w:t>
      </w:r>
      <w:r w:rsidR="005A6059">
        <w:t>n</w:t>
      </w:r>
      <w:r w:rsidR="00497D79">
        <w:t>arrowcasting (</w:t>
      </w:r>
      <w:r w:rsidRPr="00E72866">
        <w:t>HPON</w:t>
      </w:r>
      <w:r w:rsidR="00497D79">
        <w:t>)</w:t>
      </w:r>
      <w:r w:rsidRPr="00E72866">
        <w:t xml:space="preserve"> services have been accommodated on either side of this central block of frequencies in the spectrum that was formerly used by channel 3 and channel 5 television services.</w:t>
      </w:r>
    </w:p>
    <w:p w14:paraId="21FF60AD" w14:textId="639CB622" w:rsidR="00E72866" w:rsidRDefault="00E72866" w:rsidP="00E72866">
      <w:pPr>
        <w:pStyle w:val="Paragraph"/>
      </w:pPr>
      <w:r w:rsidRPr="00E72866">
        <w:t>The switch-off of analog TV in 2013 resulted in an opportunity to make additional high</w:t>
      </w:r>
      <w:r w:rsidR="004224D2">
        <w:t>-</w:t>
      </w:r>
      <w:r w:rsidRPr="00E72866">
        <w:t>power/wide</w:t>
      </w:r>
      <w:r w:rsidR="004224D2">
        <w:t>-</w:t>
      </w:r>
      <w:r w:rsidRPr="00E72866">
        <w:t xml:space="preserve">coverage FM frequencies available in the Perth RA1 licence area. </w:t>
      </w:r>
    </w:p>
    <w:p w14:paraId="788A9C5C" w14:textId="5FBB87F9" w:rsidR="00A15606" w:rsidRPr="00E72866" w:rsidRDefault="005A6059" w:rsidP="00BA2751">
      <w:pPr>
        <w:pStyle w:val="Paragraph"/>
      </w:pPr>
      <w:r>
        <w:t>We have</w:t>
      </w:r>
      <w:r w:rsidR="00A15606">
        <w:t xml:space="preserve"> </w:t>
      </w:r>
      <w:r w:rsidR="00AA60E8">
        <w:t>performed</w:t>
      </w:r>
      <w:r w:rsidR="00A15606">
        <w:t xml:space="preserve"> </w:t>
      </w:r>
      <w:r w:rsidR="00AA60E8">
        <w:t xml:space="preserve">an engineering analysis to identify </w:t>
      </w:r>
      <w:r w:rsidR="005D3C7C">
        <w:t>options for replanning</w:t>
      </w:r>
      <w:r w:rsidR="00BA2751">
        <w:t xml:space="preserve"> </w:t>
      </w:r>
      <w:r w:rsidR="005D3C7C">
        <w:t xml:space="preserve">the </w:t>
      </w:r>
      <w:r w:rsidR="00375B48" w:rsidRPr="00375B48">
        <w:t xml:space="preserve">frequency arrangements for FM broadcasting services </w:t>
      </w:r>
      <w:r w:rsidR="007A4826" w:rsidRPr="007A4826">
        <w:t>and make additional high</w:t>
      </w:r>
      <w:r w:rsidR="004224D2">
        <w:t>-</w:t>
      </w:r>
      <w:r w:rsidR="007A4826" w:rsidRPr="007A4826">
        <w:t>power/wide</w:t>
      </w:r>
      <w:r w:rsidR="004224D2">
        <w:t>-</w:t>
      </w:r>
      <w:r w:rsidR="007A4826" w:rsidRPr="007A4826">
        <w:t>coverage FM frequencies available</w:t>
      </w:r>
      <w:r w:rsidR="00F2289B" w:rsidRPr="00F2289B">
        <w:t xml:space="preserve"> </w:t>
      </w:r>
      <w:r w:rsidR="00F2289B" w:rsidRPr="00375B48">
        <w:t>in the Perth area</w:t>
      </w:r>
      <w:r w:rsidR="00164C8C">
        <w:t xml:space="preserve">. </w:t>
      </w:r>
      <w:r w:rsidR="00127FB2">
        <w:t>Each option aims to enable</w:t>
      </w:r>
      <w:r w:rsidR="008D4BF4">
        <w:t xml:space="preserve"> efficient </w:t>
      </w:r>
      <w:r w:rsidR="000C6762">
        <w:t xml:space="preserve">FM </w:t>
      </w:r>
      <w:r w:rsidR="008D4BF4">
        <w:t>spectrum use</w:t>
      </w:r>
      <w:r w:rsidR="00847EF4">
        <w:t xml:space="preserve"> while minimising</w:t>
      </w:r>
      <w:r w:rsidR="000C6762">
        <w:t xml:space="preserve"> </w:t>
      </w:r>
      <w:r w:rsidR="000C6762" w:rsidRPr="000C6762">
        <w:t>required changes to the</w:t>
      </w:r>
      <w:r w:rsidR="007A6175">
        <w:t xml:space="preserve"> </w:t>
      </w:r>
      <w:r w:rsidR="000C6762" w:rsidRPr="000C6762">
        <w:t>existing services in the Perth licence area or surrounding areas.</w:t>
      </w:r>
    </w:p>
    <w:p w14:paraId="5D2C8C16" w14:textId="10D086CA" w:rsidR="00E72866" w:rsidRPr="00E72866" w:rsidRDefault="00E72866" w:rsidP="00E72866">
      <w:pPr>
        <w:pStyle w:val="Paragraph"/>
      </w:pPr>
      <w:r w:rsidRPr="00E72866">
        <w:t>Five additional high</w:t>
      </w:r>
      <w:r w:rsidR="004224D2">
        <w:t>-</w:t>
      </w:r>
      <w:r w:rsidRPr="00E72866">
        <w:t>power/wide</w:t>
      </w:r>
      <w:r w:rsidR="004224D2">
        <w:t>-</w:t>
      </w:r>
      <w:r w:rsidRPr="00E72866">
        <w:t xml:space="preserve">coverage </w:t>
      </w:r>
      <w:r w:rsidR="00D33303">
        <w:t xml:space="preserve">FM </w:t>
      </w:r>
      <w:r w:rsidRPr="00E72866">
        <w:t xml:space="preserve">frequencies have been identified for potential use in the Perth RA1 licence area. However, depending on the possible arrangements, </w:t>
      </w:r>
      <w:r w:rsidR="000B52A0">
        <w:t>up to</w:t>
      </w:r>
      <w:r w:rsidRPr="00E72866">
        <w:t xml:space="preserve"> </w:t>
      </w:r>
      <w:r w:rsidR="005A6059">
        <w:t>5</w:t>
      </w:r>
      <w:r w:rsidR="005A6059" w:rsidRPr="00E72866">
        <w:t xml:space="preserve"> </w:t>
      </w:r>
      <w:r w:rsidRPr="00E72866">
        <w:t>additional high</w:t>
      </w:r>
      <w:r w:rsidR="004224D2">
        <w:t>-</w:t>
      </w:r>
      <w:r w:rsidRPr="00E72866">
        <w:t>power/wide</w:t>
      </w:r>
      <w:r w:rsidR="004224D2">
        <w:t>-</w:t>
      </w:r>
      <w:r w:rsidRPr="00E72866">
        <w:t>coverage FM frequencies in the Perth RA1 licence area can be made available. These frequencies could be used for a variety of purposes</w:t>
      </w:r>
      <w:r w:rsidR="004224D2">
        <w:t>,</w:t>
      </w:r>
      <w:r w:rsidRPr="00E72866">
        <w:t xml:space="preserve"> including new commercial, national, community or narrowcasting services. The frequencies could alternatively be used for the conversion of existing broadcasting services from AM to FM</w:t>
      </w:r>
      <w:r w:rsidR="005B58C2">
        <w:t xml:space="preserve"> </w:t>
      </w:r>
      <w:r w:rsidR="005A6059">
        <w:t xml:space="preserve">– </w:t>
      </w:r>
      <w:r w:rsidR="00BC2E1E">
        <w:t>Fig</w:t>
      </w:r>
      <w:r w:rsidR="00847EF4">
        <w:t xml:space="preserve">ure </w:t>
      </w:r>
      <w:r w:rsidR="00BC2E1E">
        <w:t>1</w:t>
      </w:r>
      <w:r w:rsidR="005A6059">
        <w:t xml:space="preserve"> depicts the potential arrangement</w:t>
      </w:r>
      <w:r w:rsidR="00BC2E1E">
        <w:t>.</w:t>
      </w:r>
    </w:p>
    <w:p w14:paraId="7F88B427" w14:textId="2ACFAA28" w:rsidR="004A7274" w:rsidRPr="004A7274" w:rsidRDefault="00E72866" w:rsidP="004A7274">
      <w:pPr>
        <w:pStyle w:val="Paragraph"/>
        <w:rPr>
          <w:bCs/>
          <w:iCs/>
        </w:rPr>
      </w:pPr>
      <w:r w:rsidRPr="00E72866">
        <w:t xml:space="preserve">The </w:t>
      </w:r>
      <w:r w:rsidR="00DD7A50">
        <w:t>possible</w:t>
      </w:r>
      <w:r w:rsidR="00DD7A50" w:rsidRPr="00E72866">
        <w:t xml:space="preserve"> </w:t>
      </w:r>
      <w:r w:rsidRPr="00E72866">
        <w:t xml:space="preserve">replanning of the Perth RA1 licence area would require </w:t>
      </w:r>
      <w:r w:rsidR="004A7274">
        <w:t>several</w:t>
      </w:r>
      <w:r w:rsidRPr="00E72866">
        <w:t xml:space="preserve"> changes, some of which are </w:t>
      </w:r>
      <w:r w:rsidR="00847EF4">
        <w:t>inter</w:t>
      </w:r>
      <w:r w:rsidRPr="00E72866">
        <w:t xml:space="preserve">dependent. </w:t>
      </w:r>
      <w:r w:rsidR="004A7274">
        <w:t>The required</w:t>
      </w:r>
      <w:r w:rsidR="004A7274" w:rsidRPr="004A7274">
        <w:rPr>
          <w:rFonts w:cs="Times New Roman"/>
        </w:rPr>
        <w:t xml:space="preserve"> </w:t>
      </w:r>
      <w:r w:rsidR="004A7274" w:rsidRPr="004A7274">
        <w:t>changes</w:t>
      </w:r>
      <w:r w:rsidR="004A7274">
        <w:t xml:space="preserve"> are detailed in the </w:t>
      </w:r>
      <w:r w:rsidR="004A7274" w:rsidRPr="00660F76">
        <w:rPr>
          <w:i/>
        </w:rPr>
        <w:t>Engineering analysis outcomes</w:t>
      </w:r>
      <w:r w:rsidR="004A7274">
        <w:rPr>
          <w:iCs/>
        </w:rPr>
        <w:t xml:space="preserve"> section. </w:t>
      </w:r>
    </w:p>
    <w:p w14:paraId="569E85E0" w14:textId="382B6EF9" w:rsidR="00E72866" w:rsidRDefault="005A6059" w:rsidP="00E72866">
      <w:pPr>
        <w:pStyle w:val="Paragraph"/>
      </w:pPr>
      <w:r>
        <w:t>T</w:t>
      </w:r>
      <w:r w:rsidR="00E72866" w:rsidRPr="00E72866">
        <w:t xml:space="preserve">he availability of </w:t>
      </w:r>
      <w:r>
        <w:t>2</w:t>
      </w:r>
      <w:r w:rsidRPr="00E72866">
        <w:t xml:space="preserve"> </w:t>
      </w:r>
      <w:r w:rsidR="00E72866" w:rsidRPr="00E72866">
        <w:t xml:space="preserve">of the </w:t>
      </w:r>
      <w:r w:rsidR="00EC6C8A">
        <w:t>potential</w:t>
      </w:r>
      <w:r w:rsidR="00E72866" w:rsidRPr="00E72866">
        <w:t xml:space="preserve"> additional FM frequencies </w:t>
      </w:r>
      <w:r w:rsidR="004224D2">
        <w:t xml:space="preserve">relies upon </w:t>
      </w:r>
      <w:r w:rsidR="00E72866" w:rsidRPr="00E72866">
        <w:t xml:space="preserve">making suitable arrangements </w:t>
      </w:r>
      <w:r>
        <w:t xml:space="preserve">for </w:t>
      </w:r>
      <w:r w:rsidR="00E72866" w:rsidRPr="00E72866">
        <w:t xml:space="preserve">the </w:t>
      </w:r>
      <w:r w:rsidR="00551367" w:rsidRPr="00551367">
        <w:t xml:space="preserve">6IX and 6PR </w:t>
      </w:r>
      <w:r w:rsidR="00E72866" w:rsidRPr="00E72866">
        <w:t>FM repeaters</w:t>
      </w:r>
      <w:r w:rsidR="00190F08">
        <w:t>.</w:t>
      </w:r>
      <w:r w:rsidR="00E72866" w:rsidRPr="00E72866">
        <w:t xml:space="preserve"> </w:t>
      </w:r>
    </w:p>
    <w:p w14:paraId="1A82C50F" w14:textId="73A6B11C" w:rsidR="009C7F17" w:rsidRDefault="009C7F17">
      <w:pPr>
        <w:spacing w:after="0" w:line="240" w:lineRule="auto"/>
        <w:rPr>
          <w:rFonts w:cs="Arial"/>
        </w:rPr>
      </w:pPr>
      <w:r>
        <w:br w:type="page"/>
      </w:r>
    </w:p>
    <w:p w14:paraId="624FFBA3" w14:textId="77777777" w:rsidR="00302686" w:rsidRDefault="00302686" w:rsidP="00E72866">
      <w:pPr>
        <w:pStyle w:val="Paragraph"/>
        <w:sectPr w:rsidR="00302686" w:rsidSect="00C77380">
          <w:headerReference w:type="even" r:id="rId24"/>
          <w:headerReference w:type="default" r:id="rId25"/>
          <w:footerReference w:type="even" r:id="rId26"/>
          <w:footerReference w:type="default" r:id="rId27"/>
          <w:pgSz w:w="11906" w:h="16838" w:code="9"/>
          <w:pgMar w:top="1945" w:right="3101" w:bottom="1134" w:left="1134" w:header="709" w:footer="119" w:gutter="0"/>
          <w:pgNumType w:start="1"/>
          <w:cols w:space="708"/>
          <w:docGrid w:linePitch="360"/>
        </w:sectPr>
      </w:pPr>
    </w:p>
    <w:p w14:paraId="162FF0D8" w14:textId="731EA6C7" w:rsidR="005A6059" w:rsidRDefault="005A6059" w:rsidP="00660F76">
      <w:pPr>
        <w:pStyle w:val="ACMAFigureHeader"/>
      </w:pPr>
      <w:r w:rsidRPr="008152F8">
        <w:t>Perth FM replanning</w:t>
      </w:r>
      <w:r>
        <w:t>: 5</w:t>
      </w:r>
      <w:r w:rsidRPr="008152F8">
        <w:t xml:space="preserve"> potential new FM frequencies (the relative heights indicat</w:t>
      </w:r>
      <w:r>
        <w:t>e</w:t>
      </w:r>
      <w:r w:rsidRPr="008152F8">
        <w:t xml:space="preserve"> different power levels </w:t>
      </w:r>
      <w:r>
        <w:t xml:space="preserve">but </w:t>
      </w:r>
      <w:r w:rsidRPr="008152F8">
        <w:t>are not to scale)</w:t>
      </w:r>
    </w:p>
    <w:p w14:paraId="6E3985CF" w14:textId="77777777" w:rsidR="00AC6FB8" w:rsidRDefault="00DD576B" w:rsidP="002C3869">
      <w:pPr>
        <w:spacing w:before="120" w:after="0"/>
        <w:rPr>
          <w:noProof/>
          <w:szCs w:val="20"/>
        </w:rPr>
      </w:pPr>
      <w:r>
        <w:rPr>
          <w:noProof/>
          <w:szCs w:val="20"/>
        </w:rPr>
        <mc:AlternateContent>
          <mc:Choice Requires="wpg">
            <w:drawing>
              <wp:anchor distT="0" distB="0" distL="114300" distR="114300" simplePos="0" relativeHeight="251658240" behindDoc="0" locked="0" layoutInCell="1" allowOverlap="1" wp14:anchorId="17543ED8" wp14:editId="20068DC4">
                <wp:simplePos x="0" y="0"/>
                <wp:positionH relativeFrom="column">
                  <wp:posOffset>2423160</wp:posOffset>
                </wp:positionH>
                <wp:positionV relativeFrom="paragraph">
                  <wp:posOffset>2518410</wp:posOffset>
                </wp:positionV>
                <wp:extent cx="5257800" cy="419100"/>
                <wp:effectExtent l="0" t="0" r="0" b="0"/>
                <wp:wrapNone/>
                <wp:docPr id="9" name="Group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5257800" cy="419100"/>
                          <a:chOff x="0" y="0"/>
                          <a:chExt cx="5638800" cy="390525"/>
                        </a:xfrm>
                      </wpg:grpSpPr>
                      <wps:wsp>
                        <wps:cNvPr id="217" name="Text Box 2"/>
                        <wps:cNvSpPr txBox="1">
                          <a:spLocks noChangeArrowheads="1"/>
                        </wps:cNvSpPr>
                        <wps:spPr bwMode="auto">
                          <a:xfrm>
                            <a:off x="4705350" y="28575"/>
                            <a:ext cx="333375" cy="180975"/>
                          </a:xfrm>
                          <a:prstGeom prst="rect">
                            <a:avLst/>
                          </a:prstGeom>
                          <a:solidFill>
                            <a:srgbClr val="FFFF00"/>
                          </a:solidFill>
                          <a:ln w="9525">
                            <a:noFill/>
                            <a:miter lim="800000"/>
                            <a:headEnd/>
                            <a:tailEnd/>
                          </a:ln>
                        </wps:spPr>
                        <wps:txbx>
                          <w:txbxContent>
                            <w:p w14:paraId="4B82CF56" w14:textId="455F1B2C" w:rsidR="00523282" w:rsidRPr="007F1718" w:rsidRDefault="00523282" w:rsidP="002174D6">
                              <w:pPr>
                                <w:rPr>
                                  <w:sz w:val="16"/>
                                  <w:szCs w:val="16"/>
                                </w:rPr>
                              </w:pPr>
                              <w:r w:rsidRPr="007F1718">
                                <w:rPr>
                                  <w:sz w:val="16"/>
                                  <w:szCs w:val="16"/>
                                </w:rPr>
                                <w:t>103.3</w:t>
                              </w:r>
                            </w:p>
                          </w:txbxContent>
                        </wps:txbx>
                        <wps:bodyPr rot="0" vert="horz" wrap="square" lIns="0" tIns="0" rIns="0" bIns="0" anchor="t" anchorCtr="0">
                          <a:noAutofit/>
                        </wps:bodyPr>
                      </wps:wsp>
                      <wps:wsp>
                        <wps:cNvPr id="2" name="Text Box 2"/>
                        <wps:cNvSpPr txBox="1">
                          <a:spLocks noChangeArrowheads="1"/>
                        </wps:cNvSpPr>
                        <wps:spPr bwMode="auto">
                          <a:xfrm>
                            <a:off x="5305425" y="0"/>
                            <a:ext cx="333375" cy="180975"/>
                          </a:xfrm>
                          <a:prstGeom prst="rect">
                            <a:avLst/>
                          </a:prstGeom>
                          <a:solidFill>
                            <a:srgbClr val="FFFF00"/>
                          </a:solidFill>
                          <a:ln w="9525">
                            <a:noFill/>
                            <a:miter lim="800000"/>
                            <a:headEnd/>
                            <a:tailEnd/>
                          </a:ln>
                        </wps:spPr>
                        <wps:txbx>
                          <w:txbxContent>
                            <w:p w14:paraId="29B4F124" w14:textId="687D98E7" w:rsidR="00523282" w:rsidRPr="007F1718" w:rsidRDefault="00523282" w:rsidP="002174D6">
                              <w:pPr>
                                <w:rPr>
                                  <w:sz w:val="16"/>
                                  <w:szCs w:val="16"/>
                                </w:rPr>
                              </w:pPr>
                              <w:r w:rsidRPr="007F1718">
                                <w:rPr>
                                  <w:sz w:val="16"/>
                                  <w:szCs w:val="16"/>
                                </w:rPr>
                                <w:t>10</w:t>
                              </w:r>
                              <w:r>
                                <w:rPr>
                                  <w:sz w:val="16"/>
                                  <w:szCs w:val="16"/>
                                </w:rPr>
                                <w:t>4</w:t>
                              </w:r>
                              <w:r w:rsidRPr="007F1718">
                                <w:rPr>
                                  <w:sz w:val="16"/>
                                  <w:szCs w:val="16"/>
                                </w:rPr>
                                <w:t>.</w:t>
                              </w:r>
                              <w:r>
                                <w:rPr>
                                  <w:sz w:val="16"/>
                                  <w:szCs w:val="16"/>
                                </w:rPr>
                                <w:t>9</w:t>
                              </w:r>
                            </w:p>
                          </w:txbxContent>
                        </wps:txbx>
                        <wps:bodyPr rot="0" vert="horz" wrap="square" lIns="0" tIns="0" rIns="0" bIns="0" anchor="t" anchorCtr="0">
                          <a:noAutofit/>
                        </wps:bodyPr>
                      </wps:wsp>
                      <wps:wsp>
                        <wps:cNvPr id="5" name="Text Box 2"/>
                        <wps:cNvSpPr txBox="1">
                          <a:spLocks noChangeArrowheads="1"/>
                        </wps:cNvSpPr>
                        <wps:spPr bwMode="auto">
                          <a:xfrm>
                            <a:off x="5029200" y="209550"/>
                            <a:ext cx="333375" cy="180975"/>
                          </a:xfrm>
                          <a:prstGeom prst="rect">
                            <a:avLst/>
                          </a:prstGeom>
                          <a:solidFill>
                            <a:srgbClr val="FFFF00"/>
                          </a:solidFill>
                          <a:ln w="9525">
                            <a:noFill/>
                            <a:miter lim="800000"/>
                            <a:headEnd/>
                            <a:tailEnd/>
                          </a:ln>
                        </wps:spPr>
                        <wps:txbx>
                          <w:txbxContent>
                            <w:p w14:paraId="7B26BE1E" w14:textId="4972F6F2" w:rsidR="00523282" w:rsidRPr="007F1718" w:rsidRDefault="00523282" w:rsidP="002174D6">
                              <w:pPr>
                                <w:rPr>
                                  <w:sz w:val="16"/>
                                  <w:szCs w:val="16"/>
                                </w:rPr>
                              </w:pPr>
                              <w:r>
                                <w:rPr>
                                  <w:sz w:val="16"/>
                                  <w:szCs w:val="16"/>
                                </w:rPr>
                                <w:t>104.1</w:t>
                              </w:r>
                            </w:p>
                          </w:txbxContent>
                        </wps:txbx>
                        <wps:bodyPr rot="0" vert="horz" wrap="square" lIns="0" tIns="0" rIns="0" bIns="0" anchor="t" anchorCtr="0">
                          <a:noAutofit/>
                        </wps:bodyPr>
                      </wps:wsp>
                      <wps:wsp>
                        <wps:cNvPr id="6" name="Text Box 2"/>
                        <wps:cNvSpPr txBox="1">
                          <a:spLocks noChangeArrowheads="1"/>
                        </wps:cNvSpPr>
                        <wps:spPr bwMode="auto">
                          <a:xfrm>
                            <a:off x="5038725" y="209550"/>
                            <a:ext cx="333375" cy="180975"/>
                          </a:xfrm>
                          <a:prstGeom prst="rect">
                            <a:avLst/>
                          </a:prstGeom>
                          <a:solidFill>
                            <a:srgbClr val="FFFF00"/>
                          </a:solidFill>
                          <a:ln w="9525">
                            <a:noFill/>
                            <a:miter lim="800000"/>
                            <a:headEnd/>
                            <a:tailEnd/>
                          </a:ln>
                        </wps:spPr>
                        <wps:txbx>
                          <w:txbxContent>
                            <w:p w14:paraId="696F18DD" w14:textId="6C5383C9" w:rsidR="00523282" w:rsidRPr="007F1718" w:rsidRDefault="00523282" w:rsidP="002174D6">
                              <w:pPr>
                                <w:rPr>
                                  <w:sz w:val="16"/>
                                  <w:szCs w:val="16"/>
                                </w:rPr>
                              </w:pPr>
                              <w:r w:rsidRPr="007F1718">
                                <w:rPr>
                                  <w:sz w:val="16"/>
                                  <w:szCs w:val="16"/>
                                </w:rPr>
                                <w:t>10</w:t>
                              </w:r>
                              <w:r>
                                <w:rPr>
                                  <w:sz w:val="16"/>
                                  <w:szCs w:val="16"/>
                                </w:rPr>
                                <w:t>4.1</w:t>
                              </w:r>
                            </w:p>
                          </w:txbxContent>
                        </wps:txbx>
                        <wps:bodyPr rot="0" vert="horz" wrap="square" lIns="0" tIns="0" rIns="0" bIns="0" anchor="t" anchorCtr="0">
                          <a:noAutofit/>
                        </wps:bodyPr>
                      </wps:wsp>
                      <wps:wsp>
                        <wps:cNvPr id="7" name="Text Box 2"/>
                        <wps:cNvSpPr txBox="1">
                          <a:spLocks noChangeArrowheads="1"/>
                        </wps:cNvSpPr>
                        <wps:spPr bwMode="auto">
                          <a:xfrm>
                            <a:off x="4371975" y="209550"/>
                            <a:ext cx="333375" cy="180975"/>
                          </a:xfrm>
                          <a:prstGeom prst="rect">
                            <a:avLst/>
                          </a:prstGeom>
                          <a:solidFill>
                            <a:srgbClr val="FFFF00"/>
                          </a:solidFill>
                          <a:ln w="9525">
                            <a:noFill/>
                            <a:miter lim="800000"/>
                            <a:headEnd/>
                            <a:tailEnd/>
                          </a:ln>
                        </wps:spPr>
                        <wps:txbx>
                          <w:txbxContent>
                            <w:p w14:paraId="3CBF143E" w14:textId="7E7A6DF7" w:rsidR="00523282" w:rsidRPr="007F1718" w:rsidRDefault="00523282" w:rsidP="002174D6">
                              <w:pPr>
                                <w:rPr>
                                  <w:sz w:val="16"/>
                                  <w:szCs w:val="16"/>
                                </w:rPr>
                              </w:pPr>
                              <w:r w:rsidRPr="007F1718">
                                <w:rPr>
                                  <w:sz w:val="16"/>
                                  <w:szCs w:val="16"/>
                                </w:rPr>
                                <w:t>10</w:t>
                              </w:r>
                              <w:r>
                                <w:rPr>
                                  <w:sz w:val="16"/>
                                  <w:szCs w:val="16"/>
                                </w:rPr>
                                <w:t>2</w:t>
                              </w:r>
                              <w:r w:rsidRPr="007F1718">
                                <w:rPr>
                                  <w:sz w:val="16"/>
                                  <w:szCs w:val="16"/>
                                </w:rPr>
                                <w:t>.</w:t>
                              </w:r>
                              <w:r>
                                <w:rPr>
                                  <w:sz w:val="16"/>
                                  <w:szCs w:val="16"/>
                                </w:rPr>
                                <w:t>5</w:t>
                              </w:r>
                            </w:p>
                          </w:txbxContent>
                        </wps:txbx>
                        <wps:bodyPr rot="0" vert="horz" wrap="square" lIns="0" tIns="0" rIns="0" bIns="0" anchor="t" anchorCtr="0">
                          <a:noAutofit/>
                        </wps:bodyPr>
                      </wps:wsp>
                      <wps:wsp>
                        <wps:cNvPr id="8" name="Text Box 2"/>
                        <wps:cNvSpPr txBox="1">
                          <a:spLocks noChangeArrowheads="1"/>
                        </wps:cNvSpPr>
                        <wps:spPr bwMode="auto">
                          <a:xfrm>
                            <a:off x="0" y="171450"/>
                            <a:ext cx="333375" cy="180975"/>
                          </a:xfrm>
                          <a:prstGeom prst="rect">
                            <a:avLst/>
                          </a:prstGeom>
                          <a:solidFill>
                            <a:srgbClr val="FFFF00"/>
                          </a:solidFill>
                          <a:ln w="9525">
                            <a:noFill/>
                            <a:miter lim="800000"/>
                            <a:headEnd/>
                            <a:tailEnd/>
                          </a:ln>
                        </wps:spPr>
                        <wps:txbx>
                          <w:txbxContent>
                            <w:p w14:paraId="56C67669" w14:textId="0F93D365" w:rsidR="00523282" w:rsidRPr="007F1718" w:rsidRDefault="00523282" w:rsidP="007F1718">
                              <w:pPr>
                                <w:jc w:val="center"/>
                                <w:rPr>
                                  <w:sz w:val="16"/>
                                  <w:szCs w:val="16"/>
                                </w:rPr>
                              </w:pPr>
                              <w:r>
                                <w:rPr>
                                  <w:sz w:val="16"/>
                                  <w:szCs w:val="16"/>
                                </w:rPr>
                                <w:t>91.3</w:t>
                              </w:r>
                            </w:p>
                          </w:txbxContent>
                        </wps:txbx>
                        <wps:bodyPr rot="0" vert="horz" wrap="square" lIns="0" tIns="0" rIns="0" bIns="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17543ED8" id="Group 9" o:spid="_x0000_s1026" alt="&quot;&quot;" style="position:absolute;margin-left:190.8pt;margin-top:198.3pt;width:414pt;height:33pt;z-index:251658240;mso-width-relative:margin;mso-height-relative:margin" coordsize="56388,39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">
                <v:shapetype id="_x0000_t202" coordsize="21600,21600" o:spt="202" path="m,l,21600r21600,l21600,xe">
                  <v:stroke joinstyle="miter"/>
                  <v:path gradientshapeok="t" o:connecttype="rect"/>
                </v:shapetype>
                <v:shape id="Text Box 2" o:spid="_x0000_s1027" type="#_x0000_t202" style="position:absolute;left:47053;top:285;width:3334;height:1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" fillcolor="yellow" stroked="f">
                  <v:textbox inset="0,0,0,0">
                    <w:txbxContent>
                      <w:p w14:paraId="4B82CF56" w14:textId="455F1B2C" w:rsidR="00523282" w:rsidRPr="007F1718" w:rsidRDefault="00523282" w:rsidP="002174D6">
                        <w:pPr>
                          <w:rPr>
                            <w:sz w:val="16"/>
                            <w:szCs w:val="16"/>
                          </w:rPr>
                        </w:pPr>
                        <w:r w:rsidRPr="007F1718">
                          <w:rPr>
                            <w:sz w:val="16"/>
                            <w:szCs w:val="16"/>
                          </w:rPr>
                          <w:t>103.3</w:t>
                        </w:r>
                      </w:p>
                    </w:txbxContent>
                  </v:textbox>
                </v:shape>
                <v:shape id="Text Box 2" o:spid="_x0000_s1028" type="#_x0000_t202" style="position:absolute;left:53054;width:3334;height:18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" fillcolor="yellow" stroked="f">
                  <v:textbox inset="0,0,0,0">
                    <w:txbxContent>
                      <w:p w14:paraId="29B4F124" w14:textId="687D98E7" w:rsidR="00523282" w:rsidRPr="007F1718" w:rsidRDefault="00523282" w:rsidP="002174D6">
                        <w:pPr>
                          <w:rPr>
                            <w:sz w:val="16"/>
                            <w:szCs w:val="16"/>
                          </w:rPr>
                        </w:pPr>
                        <w:r w:rsidRPr="007F1718">
                          <w:rPr>
                            <w:sz w:val="16"/>
                            <w:szCs w:val="16"/>
                          </w:rPr>
                          <w:t>10</w:t>
                        </w:r>
                        <w:r>
                          <w:rPr>
                            <w:sz w:val="16"/>
                            <w:szCs w:val="16"/>
                          </w:rPr>
                          <w:t>4</w:t>
                        </w:r>
                        <w:r w:rsidRPr="007F1718">
                          <w:rPr>
                            <w:sz w:val="16"/>
                            <w:szCs w:val="16"/>
                          </w:rPr>
                          <w:t>.</w:t>
                        </w:r>
                        <w:r>
                          <w:rPr>
                            <w:sz w:val="16"/>
                            <w:szCs w:val="16"/>
                          </w:rPr>
                          <w:t>9</w:t>
                        </w:r>
                      </w:p>
                    </w:txbxContent>
                  </v:textbox>
                </v:shape>
                <v:shape id="Text Box 2" o:spid="_x0000_s1029" type="#_x0000_t202" style="position:absolute;left:50292;top:2095;width:3333;height:1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" fillcolor="yellow" stroked="f">
                  <v:textbox inset="0,0,0,0">
                    <w:txbxContent>
                      <w:p w14:paraId="7B26BE1E" w14:textId="4972F6F2" w:rsidR="00523282" w:rsidRPr="007F1718" w:rsidRDefault="00523282" w:rsidP="002174D6">
                        <w:pPr>
                          <w:rPr>
                            <w:sz w:val="16"/>
                            <w:szCs w:val="16"/>
                          </w:rPr>
                        </w:pPr>
                        <w:r>
                          <w:rPr>
                            <w:sz w:val="16"/>
                            <w:szCs w:val="16"/>
                          </w:rPr>
                          <w:t>104.1</w:t>
                        </w:r>
                      </w:p>
                    </w:txbxContent>
                  </v:textbox>
                </v:shape>
                <v:shape id="Text Box 2" o:spid="_x0000_s1030" type="#_x0000_t202" style="position:absolute;left:50387;top:2095;width:3334;height:1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" fillcolor="yellow" stroked="f">
                  <v:textbox inset="0,0,0,0">
                    <w:txbxContent>
                      <w:p w14:paraId="696F18DD" w14:textId="6C5383C9" w:rsidR="00523282" w:rsidRPr="007F1718" w:rsidRDefault="00523282" w:rsidP="002174D6">
                        <w:pPr>
                          <w:rPr>
                            <w:sz w:val="16"/>
                            <w:szCs w:val="16"/>
                          </w:rPr>
                        </w:pPr>
                        <w:r w:rsidRPr="007F1718">
                          <w:rPr>
                            <w:sz w:val="16"/>
                            <w:szCs w:val="16"/>
                          </w:rPr>
                          <w:t>10</w:t>
                        </w:r>
                        <w:r>
                          <w:rPr>
                            <w:sz w:val="16"/>
                            <w:szCs w:val="16"/>
                          </w:rPr>
                          <w:t>4.1</w:t>
                        </w:r>
                      </w:p>
                    </w:txbxContent>
                  </v:textbox>
                </v:shape>
                <v:shape id="Text Box 2" o:spid="_x0000_s1031" type="#_x0000_t202" style="position:absolute;left:43719;top:2095;width:3334;height:1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" fillcolor="yellow" stroked="f">
                  <v:textbox inset="0,0,0,0">
                    <w:txbxContent>
                      <w:p w14:paraId="3CBF143E" w14:textId="7E7A6DF7" w:rsidR="00523282" w:rsidRPr="007F1718" w:rsidRDefault="00523282" w:rsidP="002174D6">
                        <w:pPr>
                          <w:rPr>
                            <w:sz w:val="16"/>
                            <w:szCs w:val="16"/>
                          </w:rPr>
                        </w:pPr>
                        <w:r w:rsidRPr="007F1718">
                          <w:rPr>
                            <w:sz w:val="16"/>
                            <w:szCs w:val="16"/>
                          </w:rPr>
                          <w:t>10</w:t>
                        </w:r>
                        <w:r>
                          <w:rPr>
                            <w:sz w:val="16"/>
                            <w:szCs w:val="16"/>
                          </w:rPr>
                          <w:t>2</w:t>
                        </w:r>
                        <w:r w:rsidRPr="007F1718">
                          <w:rPr>
                            <w:sz w:val="16"/>
                            <w:szCs w:val="16"/>
                          </w:rPr>
                          <w:t>.</w:t>
                        </w:r>
                        <w:r>
                          <w:rPr>
                            <w:sz w:val="16"/>
                            <w:szCs w:val="16"/>
                          </w:rPr>
                          <w:t>5</w:t>
                        </w:r>
                      </w:p>
                    </w:txbxContent>
                  </v:textbox>
                </v:shape>
                <v:shape id="Text Box 2" o:spid="_x0000_s1032" type="#_x0000_t202" style="position:absolute;top:1714;width:3333;height:1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" fillcolor="yellow" stroked="f">
                  <v:textbox inset="0,0,0,0">
                    <w:txbxContent>
                      <w:p w14:paraId="56C67669" w14:textId="0F93D365" w:rsidR="00523282" w:rsidRPr="007F1718" w:rsidRDefault="00523282" w:rsidP="007F1718">
                        <w:pPr>
                          <w:jc w:val="center"/>
                          <w:rPr>
                            <w:sz w:val="16"/>
                            <w:szCs w:val="16"/>
                          </w:rPr>
                        </w:pPr>
                        <w:r>
                          <w:rPr>
                            <w:sz w:val="16"/>
                            <w:szCs w:val="16"/>
                          </w:rPr>
                          <w:t>91.3</w:t>
                        </w:r>
                      </w:p>
                    </w:txbxContent>
                  </v:textbox>
                </v:shape>
              </v:group>
            </w:pict>
          </mc:Fallback>
        </mc:AlternateContent>
      </w:r>
      <w:r w:rsidR="005A6059">
        <w:rPr>
          <w:noProof/>
          <w:szCs w:val="20"/>
        </w:rPr>
        <w:drawing>
          <wp:inline distT="0" distB="0" distL="0" distR="0" wp14:anchorId="0EBF566D" wp14:editId="558A1CDC">
            <wp:extent cx="8736965" cy="3734195"/>
            <wp:effectExtent l="0" t="0" r="6985" b="0"/>
            <wp:docPr id="10" name="Picture 10" descr="Figure 1: Perth FM replanning: 5 potential new FM frequenc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Figure 1: Perth FM replanning: 5 potential new FM frequencies"/>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8736965" cy="3734195"/>
                    </a:xfrm>
                    <a:prstGeom prst="rect">
                      <a:avLst/>
                    </a:prstGeom>
                    <a:noFill/>
                  </pic:spPr>
                </pic:pic>
              </a:graphicData>
            </a:graphic>
          </wp:inline>
        </w:drawing>
      </w:r>
      <w:bookmarkStart w:id="13" w:name="_Hlk26868712"/>
      <w:r w:rsidR="00D75003">
        <w:rPr>
          <w:b/>
          <w:bCs/>
          <w:szCs w:val="20"/>
        </w:rPr>
        <w:t xml:space="preserve">   </w:t>
      </w:r>
    </w:p>
    <w:p w14:paraId="6F433559" w14:textId="77777777" w:rsidR="00FF00A4" w:rsidRPr="0070749A" w:rsidRDefault="00FF00A4" w:rsidP="0070749A">
      <w:pPr>
        <w:rPr>
          <w:szCs w:val="20"/>
        </w:rPr>
      </w:pPr>
    </w:p>
    <w:p w14:paraId="5D45E397" w14:textId="77777777" w:rsidR="00FF00A4" w:rsidRPr="0070749A" w:rsidRDefault="00FF00A4" w:rsidP="0070749A">
      <w:pPr>
        <w:rPr>
          <w:szCs w:val="20"/>
        </w:rPr>
      </w:pPr>
    </w:p>
    <w:p w14:paraId="6E2CA7BE" w14:textId="77777777" w:rsidR="00FF00A4" w:rsidRDefault="00FF00A4" w:rsidP="00FF00A4">
      <w:pPr>
        <w:rPr>
          <w:noProof/>
          <w:szCs w:val="20"/>
        </w:rPr>
      </w:pPr>
    </w:p>
    <w:p w14:paraId="0477EF28" w14:textId="3DB649A3" w:rsidR="00FF00A4" w:rsidRPr="0070749A" w:rsidRDefault="00FF00A4" w:rsidP="0070749A">
      <w:pPr>
        <w:tabs>
          <w:tab w:val="left" w:pos="7770"/>
        </w:tabs>
        <w:rPr>
          <w:szCs w:val="20"/>
        </w:rPr>
        <w:sectPr w:rsidR="00FF00A4" w:rsidRPr="0070749A" w:rsidSect="004654D7">
          <w:pgSz w:w="16838" w:h="11906" w:orient="landscape" w:code="9"/>
          <w:pgMar w:top="1134" w:right="1945" w:bottom="2694" w:left="1134" w:header="709" w:footer="510" w:gutter="0"/>
          <w:cols w:space="708"/>
          <w:docGrid w:linePitch="360"/>
        </w:sectPr>
      </w:pPr>
      <w:r>
        <w:rPr>
          <w:szCs w:val="20"/>
        </w:rPr>
        <w:tab/>
      </w:r>
    </w:p>
    <w:p w14:paraId="7D4F536D" w14:textId="027DA534" w:rsidR="005E250B" w:rsidRDefault="008604B1">
      <w:pPr>
        <w:pStyle w:val="Heading1"/>
      </w:pPr>
      <w:bookmarkStart w:id="14" w:name="_Toc72241303"/>
      <w:r w:rsidRPr="00BC0182">
        <w:t xml:space="preserve">Engineering </w:t>
      </w:r>
      <w:r w:rsidR="005A6059">
        <w:t>a</w:t>
      </w:r>
      <w:r w:rsidRPr="00BC0182">
        <w:t>nalysis</w:t>
      </w:r>
      <w:bookmarkEnd w:id="14"/>
    </w:p>
    <w:p w14:paraId="11CADBF5" w14:textId="77777777" w:rsidR="00C435C8" w:rsidRPr="00AA691A" w:rsidRDefault="00C435C8" w:rsidP="009A7958">
      <w:pPr>
        <w:pStyle w:val="Heading2"/>
      </w:pPr>
      <w:bookmarkStart w:id="15" w:name="_Hlk66715691"/>
      <w:bookmarkStart w:id="16" w:name="_Toc72241304"/>
      <w:r w:rsidRPr="00AA691A">
        <w:t>Objective</w:t>
      </w:r>
      <w:bookmarkEnd w:id="16"/>
    </w:p>
    <w:bookmarkEnd w:id="15"/>
    <w:p w14:paraId="4F303732" w14:textId="069648B9" w:rsidR="00C527BC" w:rsidRPr="00356E6B" w:rsidRDefault="00D45825" w:rsidP="00C527BC">
      <w:pPr>
        <w:rPr>
          <w:szCs w:val="20"/>
        </w:rPr>
      </w:pPr>
      <w:r>
        <w:rPr>
          <w:szCs w:val="20"/>
        </w:rPr>
        <w:t>Our</w:t>
      </w:r>
      <w:r w:rsidR="00847EF4">
        <w:rPr>
          <w:szCs w:val="20"/>
        </w:rPr>
        <w:t xml:space="preserve"> </w:t>
      </w:r>
      <w:r w:rsidR="003E0A46" w:rsidRPr="00C527BC">
        <w:rPr>
          <w:szCs w:val="20"/>
        </w:rPr>
        <w:t xml:space="preserve">engineering analysis </w:t>
      </w:r>
      <w:r>
        <w:rPr>
          <w:szCs w:val="20"/>
        </w:rPr>
        <w:t>aimed</w:t>
      </w:r>
      <w:r w:rsidRPr="0078775A">
        <w:rPr>
          <w:szCs w:val="20"/>
        </w:rPr>
        <w:t xml:space="preserve"> </w:t>
      </w:r>
      <w:r w:rsidR="00C435C8" w:rsidRPr="0078775A">
        <w:rPr>
          <w:szCs w:val="20"/>
        </w:rPr>
        <w:t xml:space="preserve">to identify </w:t>
      </w:r>
      <w:r w:rsidR="00C435C8" w:rsidRPr="00ED1727">
        <w:rPr>
          <w:szCs w:val="20"/>
        </w:rPr>
        <w:t>potential frequencies that could be suitable for high</w:t>
      </w:r>
      <w:r w:rsidR="004224D2">
        <w:rPr>
          <w:szCs w:val="20"/>
        </w:rPr>
        <w:t>-</w:t>
      </w:r>
      <w:r w:rsidR="00C435C8" w:rsidRPr="00ED1727">
        <w:rPr>
          <w:szCs w:val="20"/>
        </w:rPr>
        <w:t>power</w:t>
      </w:r>
      <w:r w:rsidR="001B0231">
        <w:rPr>
          <w:szCs w:val="20"/>
        </w:rPr>
        <w:t>/</w:t>
      </w:r>
      <w:r w:rsidR="00C435C8" w:rsidRPr="00ED1727">
        <w:rPr>
          <w:szCs w:val="20"/>
        </w:rPr>
        <w:t>wide</w:t>
      </w:r>
      <w:r w:rsidR="004224D2">
        <w:rPr>
          <w:szCs w:val="20"/>
        </w:rPr>
        <w:t>-</w:t>
      </w:r>
      <w:r w:rsidR="00C435C8" w:rsidRPr="00ED1727">
        <w:rPr>
          <w:szCs w:val="20"/>
        </w:rPr>
        <w:t xml:space="preserve">coverage services in the Perth </w:t>
      </w:r>
      <w:r w:rsidR="007B293D" w:rsidRPr="00ED1727">
        <w:rPr>
          <w:szCs w:val="20"/>
        </w:rPr>
        <w:t>l</w:t>
      </w:r>
      <w:r w:rsidR="00C435C8" w:rsidRPr="00ED1727">
        <w:rPr>
          <w:szCs w:val="20"/>
        </w:rPr>
        <w:t>icence are</w:t>
      </w:r>
      <w:r w:rsidR="00C435C8" w:rsidRPr="009663F4">
        <w:rPr>
          <w:szCs w:val="20"/>
        </w:rPr>
        <w:t>a</w:t>
      </w:r>
      <w:r w:rsidR="00792031">
        <w:rPr>
          <w:szCs w:val="20"/>
        </w:rPr>
        <w:t xml:space="preserve"> while</w:t>
      </w:r>
      <w:r w:rsidR="00C527BC" w:rsidRPr="00AA691A">
        <w:rPr>
          <w:szCs w:val="20"/>
        </w:rPr>
        <w:t xml:space="preserve"> </w:t>
      </w:r>
      <w:r w:rsidR="00C527BC" w:rsidRPr="00356E6B">
        <w:rPr>
          <w:szCs w:val="20"/>
        </w:rPr>
        <w:t>minimising changes to</w:t>
      </w:r>
      <w:r w:rsidR="00791669">
        <w:rPr>
          <w:szCs w:val="20"/>
        </w:rPr>
        <w:t>, or impacts on,</w:t>
      </w:r>
      <w:r w:rsidR="00C527BC" w:rsidRPr="00356E6B">
        <w:rPr>
          <w:szCs w:val="20"/>
        </w:rPr>
        <w:t xml:space="preserve"> the existing services in the Perth licence area or surrounding areas.</w:t>
      </w:r>
    </w:p>
    <w:p w14:paraId="2E650219" w14:textId="52FBAD1A" w:rsidR="00C435C8" w:rsidRPr="00C435C8" w:rsidRDefault="00C435C8" w:rsidP="00C435C8">
      <w:r w:rsidRPr="009A7958">
        <w:rPr>
          <w:szCs w:val="20"/>
        </w:rPr>
        <w:t xml:space="preserve">The </w:t>
      </w:r>
      <w:r w:rsidR="00847EF4">
        <w:rPr>
          <w:szCs w:val="20"/>
        </w:rPr>
        <w:t>analysis</w:t>
      </w:r>
      <w:r w:rsidRPr="009A7958">
        <w:rPr>
          <w:szCs w:val="20"/>
        </w:rPr>
        <w:t xml:space="preserve"> identif</w:t>
      </w:r>
      <w:r w:rsidR="001A5C61">
        <w:rPr>
          <w:szCs w:val="20"/>
        </w:rPr>
        <w:t>ied</w:t>
      </w:r>
      <w:r w:rsidRPr="009A7958">
        <w:rPr>
          <w:szCs w:val="20"/>
        </w:rPr>
        <w:t xml:space="preserve"> </w:t>
      </w:r>
      <w:r w:rsidR="0020677F">
        <w:rPr>
          <w:szCs w:val="20"/>
        </w:rPr>
        <w:t xml:space="preserve">potential </w:t>
      </w:r>
      <w:r w:rsidRPr="0020677F">
        <w:rPr>
          <w:szCs w:val="20"/>
        </w:rPr>
        <w:t>high</w:t>
      </w:r>
      <w:r w:rsidR="00972289">
        <w:rPr>
          <w:szCs w:val="20"/>
        </w:rPr>
        <w:t>-</w:t>
      </w:r>
      <w:r w:rsidRPr="0020677F">
        <w:rPr>
          <w:szCs w:val="20"/>
        </w:rPr>
        <w:t>power</w:t>
      </w:r>
      <w:r w:rsidR="001B0231">
        <w:rPr>
          <w:szCs w:val="20"/>
        </w:rPr>
        <w:t>/wide</w:t>
      </w:r>
      <w:r w:rsidR="00972289">
        <w:rPr>
          <w:szCs w:val="20"/>
        </w:rPr>
        <w:t>-</w:t>
      </w:r>
      <w:r w:rsidR="001B0231">
        <w:rPr>
          <w:szCs w:val="20"/>
        </w:rPr>
        <w:t>coverage</w:t>
      </w:r>
      <w:r w:rsidRPr="0020677F">
        <w:rPr>
          <w:szCs w:val="20"/>
        </w:rPr>
        <w:t xml:space="preserve"> omni-directional (OD) antenna pattern services (notionally for national services) and directional antenna</w:t>
      </w:r>
      <w:r w:rsidR="00977BE8">
        <w:rPr>
          <w:szCs w:val="20"/>
        </w:rPr>
        <w:t xml:space="preserve"> (DA)</w:t>
      </w:r>
      <w:r w:rsidRPr="0020677F">
        <w:rPr>
          <w:szCs w:val="20"/>
        </w:rPr>
        <w:t xml:space="preserve"> pattern services (notionally for commercial services). </w:t>
      </w:r>
      <w:r w:rsidR="001A5C61">
        <w:rPr>
          <w:szCs w:val="20"/>
        </w:rPr>
        <w:t>I</w:t>
      </w:r>
      <w:r w:rsidRPr="0078775A">
        <w:rPr>
          <w:szCs w:val="20"/>
        </w:rPr>
        <w:t>n practice</w:t>
      </w:r>
      <w:r w:rsidR="00D45825">
        <w:rPr>
          <w:szCs w:val="20"/>
        </w:rPr>
        <w:t>,</w:t>
      </w:r>
      <w:r w:rsidRPr="0078775A">
        <w:rPr>
          <w:szCs w:val="20"/>
        </w:rPr>
        <w:t xml:space="preserve"> the planning constraints on each of the c</w:t>
      </w:r>
      <w:r w:rsidRPr="00ED1727">
        <w:rPr>
          <w:szCs w:val="20"/>
        </w:rPr>
        <w:t>hannels will be similar so the frequencies will, most likely, be interchangeable and could also be used for community services or HPONs</w:t>
      </w:r>
      <w:r w:rsidR="00810DF9" w:rsidRPr="009663F4">
        <w:rPr>
          <w:szCs w:val="20"/>
        </w:rPr>
        <w:t xml:space="preserve"> in addition to commercial or national</w:t>
      </w:r>
      <w:r w:rsidR="00D45825">
        <w:rPr>
          <w:szCs w:val="20"/>
        </w:rPr>
        <w:t xml:space="preserve"> services</w:t>
      </w:r>
      <w:r w:rsidRPr="009663F4">
        <w:rPr>
          <w:szCs w:val="20"/>
        </w:rPr>
        <w:t>.</w:t>
      </w:r>
      <w:r w:rsidR="00951807" w:rsidRPr="00AB78BE">
        <w:rPr>
          <w:szCs w:val="20"/>
        </w:rPr>
        <w:t xml:space="preserve"> </w:t>
      </w:r>
    </w:p>
    <w:p w14:paraId="740E467B" w14:textId="77777777" w:rsidR="00C435C8" w:rsidRPr="009A7958" w:rsidRDefault="00C435C8" w:rsidP="009A7958">
      <w:pPr>
        <w:pStyle w:val="Heading2"/>
        <w:rPr>
          <w:b w:val="0"/>
        </w:rPr>
      </w:pPr>
      <w:bookmarkStart w:id="17" w:name="_Toc72241305"/>
      <w:r w:rsidRPr="00C435C8">
        <w:t>Planning approach/assumptions</w:t>
      </w:r>
      <w:bookmarkEnd w:id="17"/>
    </w:p>
    <w:p w14:paraId="00B73A53" w14:textId="7978908C" w:rsidR="00C435C8" w:rsidRPr="00C435C8" w:rsidRDefault="001B0231" w:rsidP="00C435C8">
      <w:r>
        <w:t>As a starting point</w:t>
      </w:r>
      <w:r w:rsidR="00D45825">
        <w:t>,</w:t>
      </w:r>
      <w:r>
        <w:t xml:space="preserve"> it was</w:t>
      </w:r>
      <w:r w:rsidR="001A5C61">
        <w:t xml:space="preserve"> assumed that </w:t>
      </w:r>
      <w:r w:rsidR="00C435C8" w:rsidRPr="00C435C8">
        <w:t xml:space="preserve">that all services, </w:t>
      </w:r>
      <w:r w:rsidR="00551367" w:rsidRPr="00365E2E">
        <w:t xml:space="preserve">and </w:t>
      </w:r>
      <w:r w:rsidR="00C435C8" w:rsidRPr="009A7958">
        <w:t xml:space="preserve">especially </w:t>
      </w:r>
      <w:r w:rsidR="00D45825" w:rsidRPr="009A7958">
        <w:t>high-power</w:t>
      </w:r>
      <w:r w:rsidR="00551367" w:rsidRPr="009A7958">
        <w:t xml:space="preserve"> </w:t>
      </w:r>
      <w:r w:rsidR="00C435C8" w:rsidRPr="009A7958">
        <w:t>services</w:t>
      </w:r>
      <w:r w:rsidR="00C435C8" w:rsidRPr="008152F8">
        <w:t>, would be planned on an 800 kHz raster</w:t>
      </w:r>
      <w:r w:rsidR="00D45825">
        <w:t>.</w:t>
      </w:r>
      <w:r w:rsidR="00BC370F" w:rsidRPr="008152F8">
        <w:rPr>
          <w:rStyle w:val="FootnoteReference"/>
        </w:rPr>
        <w:footnoteReference w:id="5"/>
      </w:r>
      <w:r w:rsidR="00C435C8" w:rsidRPr="008152F8">
        <w:t xml:space="preserve">  </w:t>
      </w:r>
    </w:p>
    <w:p w14:paraId="24F86AFD" w14:textId="7AA852ED" w:rsidR="00E71F14" w:rsidRPr="00E46EA5" w:rsidRDefault="00C435C8" w:rsidP="00660F76">
      <w:pPr>
        <w:pStyle w:val="Paragraphbeforelist"/>
      </w:pPr>
      <w:r w:rsidRPr="00C435C8">
        <w:t>When using an 800 kHz raster</w:t>
      </w:r>
      <w:r w:rsidR="00D45825">
        <w:t>,</w:t>
      </w:r>
      <w:r w:rsidRPr="00C435C8">
        <w:t xml:space="preserve"> there is potential for adjacent channel interference betwe</w:t>
      </w:r>
      <w:r w:rsidRPr="00E46EA5">
        <w:t>en non-co-sited high</w:t>
      </w:r>
      <w:r w:rsidR="00D45825" w:rsidRPr="00E46EA5">
        <w:t>-</w:t>
      </w:r>
      <w:r w:rsidRPr="00E46EA5">
        <w:t>power</w:t>
      </w:r>
      <w:r w:rsidR="00D45825" w:rsidRPr="00E46EA5">
        <w:t xml:space="preserve"> </w:t>
      </w:r>
      <w:r w:rsidRPr="00E46EA5">
        <w:t>wide</w:t>
      </w:r>
      <w:r w:rsidR="00715AE0" w:rsidRPr="00E46EA5">
        <w:t>-</w:t>
      </w:r>
      <w:r w:rsidRPr="00E46EA5">
        <w:t>cove</w:t>
      </w:r>
      <w:r w:rsidRPr="00C435C8">
        <w:t>rage and local services that cover licence areas that fall inside the Perth RA1 licence area. Because there are several non-co-sited transmitters with overlapping coverage areas within the Perth area</w:t>
      </w:r>
      <w:r w:rsidR="001A5C61">
        <w:t xml:space="preserve">, the planning </w:t>
      </w:r>
      <w:r w:rsidR="001A5C61" w:rsidRPr="00E46EA5">
        <w:t>approach:</w:t>
      </w:r>
    </w:p>
    <w:p w14:paraId="5FABB7C6" w14:textId="5F539BF7" w:rsidR="00C435C8" w:rsidRPr="00E46EA5" w:rsidRDefault="00B71B83" w:rsidP="00660F76">
      <w:pPr>
        <w:pStyle w:val="Bulletlevel1"/>
      </w:pPr>
      <w:r>
        <w:t>O</w:t>
      </w:r>
      <w:r w:rsidR="00C435C8" w:rsidRPr="00E46EA5">
        <w:t>rganises all high</w:t>
      </w:r>
      <w:r w:rsidR="00715AE0" w:rsidRPr="00E46EA5">
        <w:t>-</w:t>
      </w:r>
      <w:r w:rsidR="00C435C8" w:rsidRPr="00E46EA5">
        <w:t>power</w:t>
      </w:r>
      <w:r w:rsidR="001B0231" w:rsidRPr="00E46EA5">
        <w:t>/</w:t>
      </w:r>
      <w:r w:rsidR="00C435C8" w:rsidRPr="00E46EA5">
        <w:t>wide</w:t>
      </w:r>
      <w:r w:rsidR="00715AE0" w:rsidRPr="00E46EA5">
        <w:t>-</w:t>
      </w:r>
      <w:r w:rsidR="00C435C8" w:rsidRPr="00E46EA5">
        <w:t>coverage services into a single block (to minimise high</w:t>
      </w:r>
      <w:r w:rsidR="00E46EA5">
        <w:t>-</w:t>
      </w:r>
      <w:r w:rsidR="00C435C8" w:rsidRPr="00E46EA5">
        <w:t>power</w:t>
      </w:r>
      <w:r w:rsidR="002304BF">
        <w:t xml:space="preserve"> to</w:t>
      </w:r>
      <w:r w:rsidR="00D80967">
        <w:t xml:space="preserve"> </w:t>
      </w:r>
      <w:r w:rsidR="00C435C8" w:rsidRPr="00E46EA5">
        <w:t>adjacent low</w:t>
      </w:r>
      <w:r w:rsidR="00E46EA5">
        <w:t>-</w:t>
      </w:r>
      <w:r w:rsidR="00C435C8" w:rsidRPr="00E46EA5">
        <w:t>power interf</w:t>
      </w:r>
      <w:r w:rsidR="00BD4541" w:rsidRPr="00E46EA5">
        <w:t>erence</w:t>
      </w:r>
      <w:r w:rsidR="00C435C8" w:rsidRPr="00E46EA5">
        <w:t>)</w:t>
      </w:r>
      <w:r>
        <w:t>.</w:t>
      </w:r>
    </w:p>
    <w:p w14:paraId="299CB286" w14:textId="2593430D" w:rsidR="00C435C8" w:rsidRDefault="00B71B83" w:rsidP="00E71F14">
      <w:pPr>
        <w:pStyle w:val="ListParagraph"/>
        <w:numPr>
          <w:ilvl w:val="0"/>
          <w:numId w:val="38"/>
        </w:numPr>
        <w:ind w:left="284" w:hanging="284"/>
      </w:pPr>
      <w:r>
        <w:t>P</w:t>
      </w:r>
      <w:r w:rsidR="00C435C8" w:rsidRPr="00E46EA5">
        <w:t>laces 40 kW ERP directional services</w:t>
      </w:r>
      <w:r w:rsidR="00C435C8" w:rsidRPr="00E46EA5">
        <w:rPr>
          <w:vertAlign w:val="superscript"/>
        </w:rPr>
        <w:footnoteReference w:id="6"/>
      </w:r>
      <w:r w:rsidR="00C435C8" w:rsidRPr="00E46EA5">
        <w:t xml:space="preserve"> (rather than 100 kW OD services) at the edge of the block of </w:t>
      </w:r>
      <w:r w:rsidR="00D45825" w:rsidRPr="00E46EA5">
        <w:t>high-power</w:t>
      </w:r>
      <w:r w:rsidR="00C435C8" w:rsidRPr="00E46EA5">
        <w:t xml:space="preserve"> servic</w:t>
      </w:r>
      <w:r w:rsidR="00C435C8" w:rsidRPr="00C435C8">
        <w:t>es to ease 800 kHz adjacent compatibility with HPON or low</w:t>
      </w:r>
      <w:r w:rsidR="00715AE0">
        <w:t>-</w:t>
      </w:r>
      <w:r w:rsidR="00C435C8" w:rsidRPr="00C435C8">
        <w:t>powered community services that a</w:t>
      </w:r>
      <w:r w:rsidR="004B4A59">
        <w:t xml:space="preserve">re </w:t>
      </w:r>
      <w:r w:rsidR="009D54B0">
        <w:t>adjacent to</w:t>
      </w:r>
      <w:r w:rsidR="00C435C8" w:rsidRPr="00C435C8">
        <w:t xml:space="preserve"> the high</w:t>
      </w:r>
      <w:r w:rsidR="00D45825">
        <w:t>-</w:t>
      </w:r>
      <w:r w:rsidR="00C435C8" w:rsidRPr="00C435C8">
        <w:t>power block</w:t>
      </w:r>
      <w:r w:rsidR="008152F8">
        <w:t>.</w:t>
      </w:r>
    </w:p>
    <w:p w14:paraId="61B4B220" w14:textId="6349F4A9" w:rsidR="00E71F14" w:rsidRPr="00342199" w:rsidRDefault="00E71F14" w:rsidP="00E71F14">
      <w:pPr>
        <w:spacing w:after="0"/>
        <w:rPr>
          <w:szCs w:val="20"/>
        </w:rPr>
      </w:pPr>
      <w:r w:rsidRPr="0033143C">
        <w:rPr>
          <w:szCs w:val="20"/>
        </w:rPr>
        <w:t xml:space="preserve">The study modelled a notional 100 kW </w:t>
      </w:r>
      <w:r w:rsidRPr="009A7958">
        <w:rPr>
          <w:szCs w:val="20"/>
        </w:rPr>
        <w:t>omni-directional FM</w:t>
      </w:r>
      <w:r w:rsidRPr="0033143C">
        <w:rPr>
          <w:szCs w:val="20"/>
        </w:rPr>
        <w:t xml:space="preserve"> service from the B</w:t>
      </w:r>
      <w:r>
        <w:rPr>
          <w:szCs w:val="20"/>
        </w:rPr>
        <w:t>roadcast Australia</w:t>
      </w:r>
      <w:r w:rsidRPr="0033143C">
        <w:rPr>
          <w:szCs w:val="20"/>
        </w:rPr>
        <w:t xml:space="preserve"> tower at Bickley </w:t>
      </w:r>
      <w:r w:rsidRPr="009A7958">
        <w:rPr>
          <w:szCs w:val="20"/>
        </w:rPr>
        <w:t xml:space="preserve">using an </w:t>
      </w:r>
      <w:r w:rsidRPr="0033143C">
        <w:rPr>
          <w:szCs w:val="20"/>
        </w:rPr>
        <w:t xml:space="preserve">antenna pattern based on the 6ABCFM/6JJJ antenna with an antenna height of 120 </w:t>
      </w:r>
      <w:r w:rsidRPr="00E46EA5">
        <w:rPr>
          <w:szCs w:val="20"/>
        </w:rPr>
        <w:t>m</w:t>
      </w:r>
      <w:r w:rsidR="00E46EA5">
        <w:rPr>
          <w:szCs w:val="20"/>
        </w:rPr>
        <w:t>etres</w:t>
      </w:r>
      <w:r w:rsidRPr="0033143C">
        <w:rPr>
          <w:szCs w:val="20"/>
        </w:rPr>
        <w:t xml:space="preserve"> AGL. </w:t>
      </w:r>
      <w:r w:rsidRPr="009A7958">
        <w:rPr>
          <w:szCs w:val="20"/>
        </w:rPr>
        <w:t>A notional 40 kW directional service was modelled on a</w:t>
      </w:r>
      <w:r>
        <w:rPr>
          <w:szCs w:val="20"/>
        </w:rPr>
        <w:t>n</w:t>
      </w:r>
      <w:r w:rsidRPr="009A7958">
        <w:rPr>
          <w:szCs w:val="20"/>
        </w:rPr>
        <w:t xml:space="preserve"> </w:t>
      </w:r>
      <w:r>
        <w:rPr>
          <w:szCs w:val="20"/>
        </w:rPr>
        <w:t xml:space="preserve">existing FM </w:t>
      </w:r>
      <w:r w:rsidRPr="009A7958">
        <w:rPr>
          <w:szCs w:val="20"/>
        </w:rPr>
        <w:t>service transmitted from the FM antenna array on the mast at the T</w:t>
      </w:r>
      <w:r>
        <w:rPr>
          <w:szCs w:val="20"/>
        </w:rPr>
        <w:t>X</w:t>
      </w:r>
      <w:r w:rsidRPr="009A7958">
        <w:rPr>
          <w:szCs w:val="20"/>
        </w:rPr>
        <w:t>A site Bickley</w:t>
      </w:r>
      <w:r>
        <w:rPr>
          <w:szCs w:val="20"/>
        </w:rPr>
        <w:t xml:space="preserve"> (</w:t>
      </w:r>
      <w:r w:rsidRPr="009A7958">
        <w:rPr>
          <w:szCs w:val="20"/>
        </w:rPr>
        <w:t>an RFS 904CP-8B 4-bay, 2</w:t>
      </w:r>
      <w:r w:rsidR="00715AE0">
        <w:rPr>
          <w:szCs w:val="20"/>
        </w:rPr>
        <w:t>-</w:t>
      </w:r>
      <w:r w:rsidRPr="009A7958">
        <w:rPr>
          <w:szCs w:val="20"/>
        </w:rPr>
        <w:t>sided panel array</w:t>
      </w:r>
      <w:r w:rsidR="00772988">
        <w:rPr>
          <w:szCs w:val="20"/>
        </w:rPr>
        <w:t>,</w:t>
      </w:r>
      <w:r w:rsidRPr="009A7958">
        <w:rPr>
          <w:szCs w:val="20"/>
        </w:rPr>
        <w:t xml:space="preserve"> with the panels pointing at 265°T and 355°T</w:t>
      </w:r>
      <w:r>
        <w:rPr>
          <w:szCs w:val="20"/>
        </w:rPr>
        <w:t>)</w:t>
      </w:r>
      <w:r w:rsidRPr="009A7958">
        <w:rPr>
          <w:szCs w:val="20"/>
        </w:rPr>
        <w:t xml:space="preserve"> with an antenna height of </w:t>
      </w:r>
      <w:r w:rsidR="00E46EA5" w:rsidRPr="009A7958">
        <w:rPr>
          <w:szCs w:val="20"/>
        </w:rPr>
        <w:t>1</w:t>
      </w:r>
      <w:r w:rsidR="00E46EA5" w:rsidRPr="00E46EA5">
        <w:rPr>
          <w:szCs w:val="20"/>
        </w:rPr>
        <w:t>05</w:t>
      </w:r>
      <w:r w:rsidR="00E46EA5">
        <w:rPr>
          <w:szCs w:val="20"/>
        </w:rPr>
        <w:t> </w:t>
      </w:r>
      <w:r w:rsidRPr="00E46EA5">
        <w:rPr>
          <w:szCs w:val="20"/>
        </w:rPr>
        <w:t>m</w:t>
      </w:r>
      <w:r w:rsidR="00E46EA5">
        <w:rPr>
          <w:szCs w:val="20"/>
        </w:rPr>
        <w:t>etres</w:t>
      </w:r>
      <w:r w:rsidRPr="009A7958">
        <w:rPr>
          <w:szCs w:val="20"/>
        </w:rPr>
        <w:t>.</w:t>
      </w:r>
      <w:r>
        <w:rPr>
          <w:szCs w:val="20"/>
        </w:rPr>
        <w:t xml:space="preserve"> The coverage of the notional </w:t>
      </w:r>
      <w:r w:rsidR="00715AE0">
        <w:rPr>
          <w:szCs w:val="20"/>
        </w:rPr>
        <w:t>high-power</w:t>
      </w:r>
      <w:r>
        <w:rPr>
          <w:szCs w:val="20"/>
        </w:rPr>
        <w:t xml:space="preserve"> services </w:t>
      </w:r>
      <w:r w:rsidR="00847EF4">
        <w:rPr>
          <w:szCs w:val="20"/>
        </w:rPr>
        <w:t>was</w:t>
      </w:r>
      <w:r>
        <w:rPr>
          <w:szCs w:val="20"/>
        </w:rPr>
        <w:t xml:space="preserve"> equivalent to the coverage of the existing FM services.</w:t>
      </w:r>
      <w:r w:rsidRPr="00342199">
        <w:rPr>
          <w:szCs w:val="20"/>
        </w:rPr>
        <w:t xml:space="preserve"> The draft technical specifications can be found in Appendix A.  </w:t>
      </w:r>
    </w:p>
    <w:p w14:paraId="752BD054" w14:textId="54A0E598" w:rsidR="00187301" w:rsidRPr="009A7958" w:rsidRDefault="00BF2892" w:rsidP="009A7958">
      <w:pPr>
        <w:pStyle w:val="Heading2"/>
        <w:rPr>
          <w:b w:val="0"/>
        </w:rPr>
      </w:pPr>
      <w:bookmarkStart w:id="18" w:name="_Hlk67477310"/>
      <w:bookmarkStart w:id="19" w:name="_Toc72241306"/>
      <w:r w:rsidRPr="00CE778B">
        <w:t xml:space="preserve">Engineering analysis </w:t>
      </w:r>
      <w:r w:rsidR="00551367" w:rsidRPr="009A7958">
        <w:t>outcome</w:t>
      </w:r>
      <w:r w:rsidRPr="009A7958">
        <w:t>s</w:t>
      </w:r>
      <w:bookmarkEnd w:id="19"/>
    </w:p>
    <w:p w14:paraId="4265A4DD" w14:textId="3D047A67" w:rsidR="00E53645" w:rsidRDefault="00677C11" w:rsidP="00523282">
      <w:pPr>
        <w:pStyle w:val="Paragraph"/>
      </w:pPr>
      <w:bookmarkStart w:id="20" w:name="_Toc51223985"/>
      <w:bookmarkEnd w:id="13"/>
      <w:bookmarkEnd w:id="18"/>
      <w:r w:rsidRPr="007A2D0B">
        <w:t>The</w:t>
      </w:r>
      <w:r w:rsidRPr="007A2D0B" w:rsidDel="001A5C61">
        <w:t xml:space="preserve"> </w:t>
      </w:r>
      <w:r w:rsidRPr="007A2D0B">
        <w:t xml:space="preserve">engineering analysis </w:t>
      </w:r>
      <w:r w:rsidR="005856C4" w:rsidRPr="007A2D0B">
        <w:t>has identified f</w:t>
      </w:r>
      <w:r w:rsidRPr="007A2D0B">
        <w:t xml:space="preserve">requencies for up to </w:t>
      </w:r>
      <w:r w:rsidR="00972289">
        <w:t>5</w:t>
      </w:r>
      <w:r w:rsidR="00972289" w:rsidRPr="007A2D0B">
        <w:t xml:space="preserve"> </w:t>
      </w:r>
      <w:r w:rsidRPr="007A2D0B">
        <w:t>high</w:t>
      </w:r>
      <w:r w:rsidR="00972289">
        <w:t>-</w:t>
      </w:r>
      <w:r w:rsidRPr="007A2D0B">
        <w:t>power</w:t>
      </w:r>
      <w:r w:rsidR="004A51A3">
        <w:t>/</w:t>
      </w:r>
      <w:r w:rsidRPr="007A2D0B">
        <w:t>wide</w:t>
      </w:r>
      <w:r w:rsidR="00972289">
        <w:t>-</w:t>
      </w:r>
      <w:r w:rsidRPr="007A2D0B">
        <w:t xml:space="preserve">coverage </w:t>
      </w:r>
      <w:r w:rsidR="004A51A3">
        <w:t xml:space="preserve">FM </w:t>
      </w:r>
      <w:r w:rsidRPr="007A2D0B">
        <w:t>services in the Perth RA1 licence area</w:t>
      </w:r>
      <w:r w:rsidR="00791669">
        <w:t xml:space="preserve"> (details on these frequencies are listed below)</w:t>
      </w:r>
      <w:r w:rsidRPr="007A2D0B">
        <w:t xml:space="preserve">. The availability of these frequencies </w:t>
      </w:r>
      <w:r w:rsidR="00207B18" w:rsidRPr="007A2D0B">
        <w:t>is</w:t>
      </w:r>
      <w:r w:rsidR="009A55D8" w:rsidRPr="007A2D0B">
        <w:t xml:space="preserve"> subject to some consequential </w:t>
      </w:r>
      <w:r w:rsidR="005F6EEF" w:rsidRPr="007A2D0B">
        <w:t xml:space="preserve">changes affecting existing services. </w:t>
      </w:r>
    </w:p>
    <w:p w14:paraId="349DB9B5" w14:textId="14F6292A" w:rsidR="002D6840" w:rsidRPr="008E22E7" w:rsidRDefault="00CD00FC" w:rsidP="009A7958">
      <w:pPr>
        <w:pStyle w:val="Heading3"/>
      </w:pPr>
      <w:r>
        <w:t>102</w:t>
      </w:r>
      <w:r w:rsidR="0092261F">
        <w:t>.5 MHz</w:t>
      </w:r>
      <w:r w:rsidR="00AD0226">
        <w:t xml:space="preserve">: </w:t>
      </w:r>
      <w:r w:rsidR="002D6840" w:rsidRPr="008E22E7">
        <w:t>high</w:t>
      </w:r>
      <w:r w:rsidR="00AD0226">
        <w:t>-</w:t>
      </w:r>
      <w:r w:rsidR="002D6840" w:rsidRPr="008E22E7">
        <w:t xml:space="preserve">power 100 kW </w:t>
      </w:r>
      <w:bookmarkStart w:id="21" w:name="_Hlk63756482"/>
      <w:r w:rsidR="0061522A" w:rsidRPr="008E22E7">
        <w:t xml:space="preserve">omni-directional </w:t>
      </w:r>
      <w:bookmarkStart w:id="22" w:name="_Hlk67479610"/>
      <w:bookmarkEnd w:id="20"/>
      <w:bookmarkEnd w:id="21"/>
      <w:r w:rsidR="00977BE8">
        <w:t>FM service</w:t>
      </w:r>
      <w:bookmarkEnd w:id="22"/>
    </w:p>
    <w:p w14:paraId="0280655F" w14:textId="0B9EF15A" w:rsidR="007846A7" w:rsidRDefault="004654D7" w:rsidP="00AD0226">
      <w:pPr>
        <w:pStyle w:val="Paragraphbeforelist"/>
      </w:pPr>
      <w:r>
        <w:t>T</w:t>
      </w:r>
      <w:r w:rsidR="00A355AD">
        <w:t>o make this frequency available</w:t>
      </w:r>
      <w:r w:rsidR="00E71F14">
        <w:t>:</w:t>
      </w:r>
    </w:p>
    <w:p w14:paraId="5A0E4329" w14:textId="1D8007EA" w:rsidR="00CD1B74" w:rsidRPr="002450DE" w:rsidRDefault="00B71B83" w:rsidP="00660F76">
      <w:pPr>
        <w:pStyle w:val="Bulletlevel1"/>
      </w:pPr>
      <w:bookmarkStart w:id="23" w:name="_Hlk64982951"/>
      <w:r>
        <w:t>T</w:t>
      </w:r>
      <w:r w:rsidR="00C270F8">
        <w:t xml:space="preserve">he </w:t>
      </w:r>
      <w:r w:rsidR="00CD1B74" w:rsidRPr="007804F8">
        <w:t xml:space="preserve">Kalamunda 6KCR </w:t>
      </w:r>
      <w:r w:rsidR="002450DE">
        <w:t>c</w:t>
      </w:r>
      <w:r w:rsidR="00CD1B74" w:rsidRPr="007804F8">
        <w:t xml:space="preserve">ommunity </w:t>
      </w:r>
      <w:bookmarkEnd w:id="23"/>
      <w:r w:rsidR="00171834" w:rsidRPr="00171834">
        <w:t xml:space="preserve">102.5 MHz </w:t>
      </w:r>
      <w:r w:rsidR="0048470E">
        <w:t xml:space="preserve">frequency </w:t>
      </w:r>
      <w:r w:rsidR="00171834">
        <w:t>needs to be vacated</w:t>
      </w:r>
      <w:r w:rsidR="0005366A">
        <w:t xml:space="preserve"> </w:t>
      </w:r>
      <w:r w:rsidR="002450DE" w:rsidRPr="00660F76">
        <w:t xml:space="preserve">before </w:t>
      </w:r>
      <w:r w:rsidR="0005366A" w:rsidRPr="002450DE">
        <w:t>other changes</w:t>
      </w:r>
      <w:r w:rsidR="002450DE">
        <w:t xml:space="preserve"> can be made</w:t>
      </w:r>
      <w:r w:rsidR="00171834">
        <w:t xml:space="preserve">. </w:t>
      </w:r>
      <w:r w:rsidR="00323B32">
        <w:t>It</w:t>
      </w:r>
      <w:r w:rsidR="00171834" w:rsidRPr="000A780C">
        <w:t xml:space="preserve"> is assumed</w:t>
      </w:r>
      <w:r w:rsidR="00323B32" w:rsidRPr="000A780C">
        <w:t xml:space="preserve"> </w:t>
      </w:r>
      <w:r w:rsidR="00323B32" w:rsidRPr="00323B32">
        <w:t xml:space="preserve">the Kalamunda 6KCR </w:t>
      </w:r>
      <w:r w:rsidR="00AD0226">
        <w:t>c</w:t>
      </w:r>
      <w:r w:rsidR="00323B32" w:rsidRPr="00323B32">
        <w:t xml:space="preserve">ommunity </w:t>
      </w:r>
      <w:r w:rsidR="00CD1B74" w:rsidRPr="00323B32">
        <w:t>service</w:t>
      </w:r>
      <w:r w:rsidR="00CD1B74" w:rsidRPr="007804F8">
        <w:t xml:space="preserve"> </w:t>
      </w:r>
      <w:r w:rsidR="00631704">
        <w:t>will change its frequency</w:t>
      </w:r>
      <w:r w:rsidR="00631704" w:rsidRPr="007804F8">
        <w:t xml:space="preserve"> </w:t>
      </w:r>
      <w:r w:rsidR="00CD1B74" w:rsidRPr="007804F8">
        <w:t xml:space="preserve">from </w:t>
      </w:r>
      <w:r w:rsidR="00CD1B74" w:rsidRPr="002450DE">
        <w:t>102.5 MHz to 88.9 MHz.</w:t>
      </w:r>
    </w:p>
    <w:p w14:paraId="70335D99" w14:textId="70A2116C" w:rsidR="00CD1B74" w:rsidRPr="002450DE" w:rsidRDefault="00B71B83" w:rsidP="00660F76">
      <w:pPr>
        <w:pStyle w:val="Bulletlevel1"/>
      </w:pPr>
      <w:r>
        <w:t>T</w:t>
      </w:r>
      <w:r w:rsidR="00A765DE">
        <w:t xml:space="preserve">he </w:t>
      </w:r>
      <w:r w:rsidR="00CD1B74" w:rsidRPr="002450DE">
        <w:t xml:space="preserve">Perth 6SEN </w:t>
      </w:r>
      <w:r w:rsidR="00E46EA5">
        <w:t>c</w:t>
      </w:r>
      <w:r w:rsidR="00CD1B74" w:rsidRPr="002450DE">
        <w:t xml:space="preserve">ommunity </w:t>
      </w:r>
      <w:r w:rsidR="0094256E" w:rsidRPr="002450DE">
        <w:t>10</w:t>
      </w:r>
      <w:r w:rsidR="00D43129" w:rsidRPr="002450DE">
        <w:t xml:space="preserve">1.7 MHz </w:t>
      </w:r>
      <w:r w:rsidR="00CD1B74" w:rsidRPr="002450DE">
        <w:t xml:space="preserve">service </w:t>
      </w:r>
      <w:r w:rsidR="009357D8" w:rsidRPr="002450DE">
        <w:t xml:space="preserve">needs to </w:t>
      </w:r>
      <w:r w:rsidR="00CF6CE9">
        <w:t>relocate</w:t>
      </w:r>
      <w:r w:rsidR="00CF6CE9" w:rsidRPr="002450DE">
        <w:t xml:space="preserve"> </w:t>
      </w:r>
      <w:r w:rsidR="00A9103D" w:rsidRPr="002450DE">
        <w:t>from its current Ardross site to a new site at Bickley</w:t>
      </w:r>
      <w:r w:rsidR="00AA13B8" w:rsidRPr="002450DE">
        <w:t xml:space="preserve"> </w:t>
      </w:r>
      <w:r w:rsidR="00CD1B74" w:rsidRPr="002450DE">
        <w:t xml:space="preserve">and increase ERP from 8 </w:t>
      </w:r>
      <w:r w:rsidR="00523282">
        <w:t>k</w:t>
      </w:r>
      <w:r w:rsidR="00CD1B74" w:rsidRPr="002450DE">
        <w:t xml:space="preserve">W to 16 </w:t>
      </w:r>
      <w:r w:rsidR="00523282">
        <w:t>k</w:t>
      </w:r>
      <w:r w:rsidR="00CD1B74" w:rsidRPr="002450DE">
        <w:t>W</w:t>
      </w:r>
      <w:r w:rsidR="00DB12B6" w:rsidRPr="002450DE">
        <w:t xml:space="preserve">. </w:t>
      </w:r>
      <w:r w:rsidR="00682B98" w:rsidRPr="002450DE">
        <w:t xml:space="preserve">This will </w:t>
      </w:r>
      <w:bookmarkStart w:id="24" w:name="_Hlk67306028"/>
      <w:r w:rsidR="00847EF4" w:rsidRPr="002450DE">
        <w:t>minimise</w:t>
      </w:r>
      <w:r w:rsidR="00035B75" w:rsidRPr="002450DE">
        <w:t xml:space="preserve"> the</w:t>
      </w:r>
      <w:r w:rsidR="00682B98" w:rsidRPr="002450DE">
        <w:t xml:space="preserve"> potential </w:t>
      </w:r>
      <w:r w:rsidR="00035B75" w:rsidRPr="002450DE">
        <w:t xml:space="preserve">interference </w:t>
      </w:r>
      <w:r w:rsidR="00682B98" w:rsidRPr="002450DE">
        <w:t xml:space="preserve">to 6SEN </w:t>
      </w:r>
      <w:r w:rsidR="00035B75" w:rsidRPr="002450DE">
        <w:t>service</w:t>
      </w:r>
      <w:r w:rsidR="00682B98" w:rsidRPr="002450DE">
        <w:t xml:space="preserve"> in the vicinity of the transmission towers.</w:t>
      </w:r>
      <w:bookmarkEnd w:id="24"/>
      <w:r w:rsidR="00682B98" w:rsidRPr="002450DE">
        <w:t xml:space="preserve"> These potential interference concerns could be resolved, or substantially reduced, if the 6SEN service operated from the same site </w:t>
      </w:r>
      <w:r w:rsidR="00AD0226" w:rsidRPr="002450DE">
        <w:t xml:space="preserve">(or failing that, at a nearby site) </w:t>
      </w:r>
      <w:r w:rsidR="00682B98" w:rsidRPr="002450DE">
        <w:t xml:space="preserve">as the </w:t>
      </w:r>
      <w:r w:rsidR="00EC6C8A" w:rsidRPr="002450DE">
        <w:t>potential</w:t>
      </w:r>
      <w:r w:rsidR="00682B98" w:rsidRPr="002450DE">
        <w:t xml:space="preserve"> Perth 100 kW service.  </w:t>
      </w:r>
    </w:p>
    <w:p w14:paraId="7D9AB163" w14:textId="7EA32747" w:rsidR="00CD1B74" w:rsidRPr="00CF705D" w:rsidRDefault="00B71B83" w:rsidP="00660F76">
      <w:pPr>
        <w:pStyle w:val="Bulletlevel1"/>
      </w:pPr>
      <w:r>
        <w:t>T</w:t>
      </w:r>
      <w:r w:rsidR="009357D8" w:rsidRPr="002450DE">
        <w:t xml:space="preserve">he </w:t>
      </w:r>
      <w:r w:rsidR="00CD1B74" w:rsidRPr="002450DE">
        <w:t>Lanc</w:t>
      </w:r>
      <w:r w:rsidR="00CD1B74" w:rsidRPr="00CF705D">
        <w:t xml:space="preserve">elin 6FMS </w:t>
      </w:r>
      <w:r w:rsidR="00AD0226">
        <w:t>c</w:t>
      </w:r>
      <w:r w:rsidR="00CD1B74" w:rsidRPr="00CF705D">
        <w:t xml:space="preserve">ommercial service </w:t>
      </w:r>
      <w:r w:rsidR="009357D8">
        <w:t xml:space="preserve">needs to </w:t>
      </w:r>
      <w:r w:rsidR="00CD1B74" w:rsidRPr="00CF705D">
        <w:t>move from 102.3 MHz to 102.</w:t>
      </w:r>
      <w:r w:rsidR="009357D8" w:rsidRPr="00CF705D">
        <w:t>9</w:t>
      </w:r>
      <w:r w:rsidR="009357D8">
        <w:t> </w:t>
      </w:r>
      <w:r w:rsidR="00CD1B74" w:rsidRPr="00CF705D">
        <w:t>MHz</w:t>
      </w:r>
      <w:r w:rsidR="00CF705D">
        <w:t xml:space="preserve"> t</w:t>
      </w:r>
      <w:r w:rsidR="00CF705D" w:rsidRPr="00CF705D">
        <w:t xml:space="preserve">o minimise </w:t>
      </w:r>
      <w:r w:rsidR="00CF705D">
        <w:t>potential</w:t>
      </w:r>
      <w:r w:rsidR="00CF705D" w:rsidRPr="00CF705D">
        <w:t xml:space="preserve"> interference </w:t>
      </w:r>
      <w:r w:rsidR="00F2340D">
        <w:t>to</w:t>
      </w:r>
      <w:r w:rsidR="007C046E">
        <w:t xml:space="preserve"> the fringes of the</w:t>
      </w:r>
      <w:r w:rsidR="00CF705D" w:rsidRPr="00CF705D">
        <w:t xml:space="preserve"> Lancelin coverage and the </w:t>
      </w:r>
      <w:r w:rsidR="00EC6C8A">
        <w:t>potential</w:t>
      </w:r>
      <w:r w:rsidR="00F2340D">
        <w:t xml:space="preserve"> high</w:t>
      </w:r>
      <w:r w:rsidR="009357D8">
        <w:t>-</w:t>
      </w:r>
      <w:r w:rsidR="00F2340D">
        <w:t>power service</w:t>
      </w:r>
      <w:r w:rsidR="00CD1B74" w:rsidRPr="00CF705D">
        <w:t>.</w:t>
      </w:r>
    </w:p>
    <w:p w14:paraId="32941814" w14:textId="5426D297" w:rsidR="00CD1B74" w:rsidRPr="00CF705D" w:rsidRDefault="00B71B83" w:rsidP="00660F76">
      <w:pPr>
        <w:pStyle w:val="Bulletlevel1last"/>
      </w:pPr>
      <w:r>
        <w:t>T</w:t>
      </w:r>
      <w:r w:rsidR="00CD1B74" w:rsidRPr="00CF705D">
        <w:t xml:space="preserve">he 102.5 MHz Leeman 6FMS </w:t>
      </w:r>
      <w:r w:rsidR="009357D8">
        <w:t>c</w:t>
      </w:r>
      <w:r w:rsidR="00CD1B74" w:rsidRPr="00CF705D">
        <w:t xml:space="preserve">ommercial service </w:t>
      </w:r>
      <w:r w:rsidR="00A56C82">
        <w:t xml:space="preserve">will be allowed to </w:t>
      </w:r>
      <w:r w:rsidR="00CD1B74" w:rsidRPr="00CF705D">
        <w:t>increase ERP from 30 W to 50 W</w:t>
      </w:r>
      <w:r w:rsidR="006E338A">
        <w:t xml:space="preserve"> t</w:t>
      </w:r>
      <w:r w:rsidR="006E338A" w:rsidRPr="006E338A">
        <w:t>o minimise co-channel interference affecting the perimeter of the Leeman coverage</w:t>
      </w:r>
      <w:r w:rsidR="00ED6855">
        <w:t xml:space="preserve"> area</w:t>
      </w:r>
      <w:r w:rsidR="00CD1B74" w:rsidRPr="00CF705D">
        <w:t>.</w:t>
      </w:r>
    </w:p>
    <w:p w14:paraId="0E00590A" w14:textId="1AC47A3B" w:rsidR="003B1969" w:rsidRPr="003F702E" w:rsidRDefault="003B1969" w:rsidP="003B1969">
      <w:pPr>
        <w:pStyle w:val="ListBullet"/>
        <w:numPr>
          <w:ilvl w:val="0"/>
          <w:numId w:val="0"/>
        </w:numPr>
        <w:spacing w:after="240"/>
      </w:pPr>
      <w:r w:rsidRPr="003F702E">
        <w:t>This would allow a high</w:t>
      </w:r>
      <w:r w:rsidR="007D6690">
        <w:t>-</w:t>
      </w:r>
      <w:r w:rsidRPr="003F702E">
        <w:t>power</w:t>
      </w:r>
      <w:r w:rsidR="004A51A3">
        <w:t>/</w:t>
      </w:r>
      <w:r w:rsidRPr="003F702E">
        <w:t>wide</w:t>
      </w:r>
      <w:r w:rsidR="00A765DE">
        <w:t>-</w:t>
      </w:r>
      <w:r w:rsidRPr="003F702E">
        <w:t>coverage service up to 100 kW OD to be made available on 102.5 MHz.</w:t>
      </w:r>
    </w:p>
    <w:p w14:paraId="305E44AB" w14:textId="28F880D6" w:rsidR="00105A77" w:rsidRPr="008E22E7" w:rsidRDefault="00466D8A" w:rsidP="009A7958">
      <w:pPr>
        <w:pStyle w:val="Heading3"/>
      </w:pPr>
      <w:bookmarkStart w:id="25" w:name="_Toc51223986"/>
      <w:r w:rsidRPr="00466D8A">
        <w:t xml:space="preserve">103.3 </w:t>
      </w:r>
      <w:r w:rsidR="007B2052" w:rsidRPr="00466D8A">
        <w:t>MHz</w:t>
      </w:r>
      <w:r w:rsidR="009357D8">
        <w:t xml:space="preserve">: </w:t>
      </w:r>
      <w:r w:rsidR="00105A77" w:rsidRPr="008E22E7">
        <w:t>high</w:t>
      </w:r>
      <w:r w:rsidR="000A3FAE">
        <w:t>-</w:t>
      </w:r>
      <w:r w:rsidR="00105A77" w:rsidRPr="008E22E7">
        <w:t xml:space="preserve">power 100 kW </w:t>
      </w:r>
      <w:r w:rsidR="0061522A" w:rsidRPr="008E22E7">
        <w:t>omni-directional</w:t>
      </w:r>
      <w:r w:rsidR="00105A77" w:rsidRPr="008E22E7">
        <w:t xml:space="preserve"> </w:t>
      </w:r>
      <w:bookmarkEnd w:id="25"/>
      <w:r w:rsidR="00977BE8" w:rsidRPr="00977BE8">
        <w:t>FM service</w:t>
      </w:r>
    </w:p>
    <w:p w14:paraId="26A437AB" w14:textId="4332EFFF" w:rsidR="00946180" w:rsidRDefault="004654D7" w:rsidP="00B7467F">
      <w:pPr>
        <w:pStyle w:val="Paragraph"/>
        <w:spacing w:after="80"/>
      </w:pPr>
      <w:r>
        <w:t>T</w:t>
      </w:r>
      <w:r w:rsidR="00381680" w:rsidRPr="00381680">
        <w:t>o make this frequency available</w:t>
      </w:r>
      <w:r w:rsidR="00E71F14">
        <w:t>:</w:t>
      </w:r>
    </w:p>
    <w:p w14:paraId="0F8028FF" w14:textId="7069D82C" w:rsidR="00913CE3" w:rsidRPr="00913CE3" w:rsidRDefault="00B71B83" w:rsidP="00660F76">
      <w:pPr>
        <w:pStyle w:val="Bulletlevel1last"/>
      </w:pPr>
      <w:r>
        <w:t>T</w:t>
      </w:r>
      <w:r w:rsidR="009357D8">
        <w:t xml:space="preserve">he </w:t>
      </w:r>
      <w:r w:rsidR="00913CE3" w:rsidRPr="00913CE3">
        <w:t xml:space="preserve">Perth City HPON </w:t>
      </w:r>
      <w:r w:rsidR="00A52F80">
        <w:t xml:space="preserve">needs to </w:t>
      </w:r>
      <w:r w:rsidR="00913CE3" w:rsidRPr="00913CE3">
        <w:t>move from 103.3 MHz to 106.5 MHz</w:t>
      </w:r>
      <w:r w:rsidR="00617097">
        <w:t xml:space="preserve"> as it cannot operate on the same frequency as the </w:t>
      </w:r>
      <w:r w:rsidR="00EC6C8A">
        <w:t>potential</w:t>
      </w:r>
      <w:r w:rsidR="002E49DA">
        <w:t xml:space="preserve"> high</w:t>
      </w:r>
      <w:r w:rsidR="009357D8">
        <w:t>-</w:t>
      </w:r>
      <w:r w:rsidR="002E49DA">
        <w:t>power service.</w:t>
      </w:r>
    </w:p>
    <w:p w14:paraId="1C3F61AE" w14:textId="3EB919C9" w:rsidR="00132599" w:rsidRPr="00FE6E6F" w:rsidRDefault="007D6690" w:rsidP="00D542FE">
      <w:pPr>
        <w:spacing w:before="120" w:line="240" w:lineRule="auto"/>
        <w:ind w:right="16"/>
        <w:rPr>
          <w:color w:val="000000" w:themeColor="text1"/>
          <w:szCs w:val="20"/>
        </w:rPr>
      </w:pPr>
      <w:r w:rsidRPr="007D6690">
        <w:rPr>
          <w:color w:val="000000" w:themeColor="text1"/>
          <w:szCs w:val="20"/>
        </w:rPr>
        <w:t>This would allow a high</w:t>
      </w:r>
      <w:r>
        <w:rPr>
          <w:color w:val="000000" w:themeColor="text1"/>
          <w:szCs w:val="20"/>
        </w:rPr>
        <w:t>-</w:t>
      </w:r>
      <w:r w:rsidRPr="007D6690">
        <w:rPr>
          <w:color w:val="000000" w:themeColor="text1"/>
          <w:szCs w:val="20"/>
        </w:rPr>
        <w:t>power</w:t>
      </w:r>
      <w:r w:rsidR="004A51A3">
        <w:rPr>
          <w:color w:val="000000" w:themeColor="text1"/>
          <w:szCs w:val="20"/>
        </w:rPr>
        <w:t>/</w:t>
      </w:r>
      <w:r w:rsidRPr="007D6690">
        <w:rPr>
          <w:color w:val="000000" w:themeColor="text1"/>
          <w:szCs w:val="20"/>
        </w:rPr>
        <w:t>wide</w:t>
      </w:r>
      <w:r w:rsidR="00A765DE">
        <w:rPr>
          <w:color w:val="000000" w:themeColor="text1"/>
          <w:szCs w:val="20"/>
        </w:rPr>
        <w:t>-</w:t>
      </w:r>
      <w:r w:rsidRPr="007D6690">
        <w:rPr>
          <w:color w:val="000000" w:themeColor="text1"/>
          <w:szCs w:val="20"/>
        </w:rPr>
        <w:t xml:space="preserve">coverage service up to 100 kW OD to be made available on </w:t>
      </w:r>
      <w:r w:rsidRPr="007D6690">
        <w:rPr>
          <w:bCs/>
          <w:color w:val="000000" w:themeColor="text1"/>
          <w:szCs w:val="20"/>
        </w:rPr>
        <w:t>103.3 MHz.</w:t>
      </w:r>
    </w:p>
    <w:p w14:paraId="687897E2" w14:textId="50D2BB73" w:rsidR="00C87E8A" w:rsidRPr="008E22E7" w:rsidRDefault="005F2D41" w:rsidP="009A7958">
      <w:pPr>
        <w:pStyle w:val="Heading3"/>
      </w:pPr>
      <w:r w:rsidRPr="008E22E7">
        <w:t>104.1 MHz</w:t>
      </w:r>
      <w:r w:rsidR="002450DE">
        <w:t xml:space="preserve">: </w:t>
      </w:r>
      <w:r w:rsidR="00FE6E6F" w:rsidRPr="008E22E7">
        <w:t>high</w:t>
      </w:r>
      <w:r w:rsidR="002450DE">
        <w:t>-</w:t>
      </w:r>
      <w:r w:rsidR="00FE6E6F" w:rsidRPr="008E22E7">
        <w:t xml:space="preserve">power 100 kW </w:t>
      </w:r>
      <w:r w:rsidR="00782396" w:rsidRPr="008E22E7">
        <w:t>omni-directional</w:t>
      </w:r>
      <w:r w:rsidR="00FE6E6F" w:rsidRPr="008E22E7">
        <w:t xml:space="preserve"> </w:t>
      </w:r>
      <w:r w:rsidR="00977BE8" w:rsidRPr="00977BE8">
        <w:t>FM service</w:t>
      </w:r>
    </w:p>
    <w:p w14:paraId="2E7B0384" w14:textId="7C7A1EA2" w:rsidR="00B7467F" w:rsidRDefault="004654D7" w:rsidP="00B7467F">
      <w:pPr>
        <w:pStyle w:val="ListBullet"/>
        <w:numPr>
          <w:ilvl w:val="0"/>
          <w:numId w:val="0"/>
        </w:numPr>
        <w:ind w:left="295" w:hanging="295"/>
      </w:pPr>
      <w:bookmarkStart w:id="26" w:name="_Hlk67304983"/>
      <w:r>
        <w:t>T</w:t>
      </w:r>
      <w:r w:rsidR="00946180">
        <w:t>o make this frequency available</w:t>
      </w:r>
      <w:r w:rsidR="00B7467F">
        <w:t>:</w:t>
      </w:r>
    </w:p>
    <w:bookmarkEnd w:id="26"/>
    <w:p w14:paraId="716A91E9" w14:textId="279710B7" w:rsidR="00F152EF" w:rsidRPr="009F4160" w:rsidRDefault="00B71B83" w:rsidP="00660F76">
      <w:pPr>
        <w:pStyle w:val="Bulletlevel1"/>
      </w:pPr>
      <w:r>
        <w:t>T</w:t>
      </w:r>
      <w:r w:rsidR="002450DE">
        <w:t xml:space="preserve">he </w:t>
      </w:r>
      <w:r w:rsidR="00F152EF" w:rsidRPr="009F4160">
        <w:t xml:space="preserve">Lancelin 6SAT </w:t>
      </w:r>
      <w:r w:rsidR="002450DE">
        <w:t>c</w:t>
      </w:r>
      <w:r w:rsidR="00F152EF" w:rsidRPr="009F4160">
        <w:t xml:space="preserve">ommercial service </w:t>
      </w:r>
      <w:r w:rsidR="002450DE">
        <w:t xml:space="preserve">needs to </w:t>
      </w:r>
      <w:r w:rsidR="00F152EF" w:rsidRPr="009F4160">
        <w:t>move from 103.9 MHz to 104.</w:t>
      </w:r>
      <w:r w:rsidR="002450DE" w:rsidRPr="009F4160">
        <w:t>5</w:t>
      </w:r>
      <w:r w:rsidR="002450DE">
        <w:t> </w:t>
      </w:r>
      <w:r w:rsidR="00F152EF" w:rsidRPr="009F4160">
        <w:t>MHz</w:t>
      </w:r>
      <w:r w:rsidR="00BB09CC" w:rsidRPr="009F4160">
        <w:t xml:space="preserve"> </w:t>
      </w:r>
      <w:r w:rsidR="00237741" w:rsidRPr="009F4160">
        <w:t>to reduce interference to Lancelin coverage affecting fringes of the Lancelin and the</w:t>
      </w:r>
      <w:r w:rsidR="002D7115" w:rsidRPr="009F4160">
        <w:t xml:space="preserve"> </w:t>
      </w:r>
      <w:r w:rsidR="00EC6C8A">
        <w:t>potential</w:t>
      </w:r>
      <w:r w:rsidR="00237741" w:rsidRPr="009F4160">
        <w:t xml:space="preserve"> Perth 100 kW coverage area</w:t>
      </w:r>
      <w:r w:rsidR="00847EF4">
        <w:t>s</w:t>
      </w:r>
      <w:r w:rsidR="00F152EF" w:rsidRPr="009F4160">
        <w:t>.</w:t>
      </w:r>
    </w:p>
    <w:p w14:paraId="206C79CE" w14:textId="6968F25A" w:rsidR="00F152EF" w:rsidRPr="009F4160" w:rsidRDefault="00B71B83" w:rsidP="00660F76">
      <w:pPr>
        <w:pStyle w:val="Bulletlevel1last"/>
      </w:pPr>
      <w:r>
        <w:t>T</w:t>
      </w:r>
      <w:r w:rsidR="002450DE">
        <w:t xml:space="preserve">he </w:t>
      </w:r>
      <w:r w:rsidR="00F152EF" w:rsidRPr="009F4160">
        <w:t xml:space="preserve">Leeman 6SAT 104.1 MHz </w:t>
      </w:r>
      <w:r w:rsidR="002450DE">
        <w:t>c</w:t>
      </w:r>
      <w:r w:rsidR="00F152EF" w:rsidRPr="009F4160">
        <w:t xml:space="preserve">ommercial service increases ERP from 15 W to </w:t>
      </w:r>
      <w:r w:rsidR="002450DE" w:rsidRPr="009F4160">
        <w:t>50</w:t>
      </w:r>
      <w:r w:rsidR="002450DE">
        <w:t> </w:t>
      </w:r>
      <w:r w:rsidR="00F152EF" w:rsidRPr="009F4160">
        <w:t>W</w:t>
      </w:r>
      <w:r w:rsidR="002D7115" w:rsidRPr="009F4160">
        <w:t xml:space="preserve"> to minimise </w:t>
      </w:r>
      <w:r w:rsidR="002D7115" w:rsidRPr="009F4160">
        <w:rPr>
          <w:color w:val="000000" w:themeColor="text1"/>
        </w:rPr>
        <w:t>interference affecting the perimeter</w:t>
      </w:r>
      <w:r w:rsidR="00847EF4">
        <w:rPr>
          <w:color w:val="000000" w:themeColor="text1"/>
        </w:rPr>
        <w:t xml:space="preserve"> of</w:t>
      </w:r>
      <w:r w:rsidR="002D7115" w:rsidRPr="009F4160">
        <w:rPr>
          <w:color w:val="000000" w:themeColor="text1"/>
        </w:rPr>
        <w:t xml:space="preserve"> </w:t>
      </w:r>
      <w:r w:rsidR="009F4160" w:rsidRPr="009F4160">
        <w:rPr>
          <w:color w:val="000000" w:themeColor="text1"/>
        </w:rPr>
        <w:t xml:space="preserve">the </w:t>
      </w:r>
      <w:r w:rsidR="002D7115" w:rsidRPr="009F4160">
        <w:rPr>
          <w:color w:val="000000" w:themeColor="text1"/>
        </w:rPr>
        <w:t>Leeman coverage</w:t>
      </w:r>
      <w:r w:rsidR="009F4160" w:rsidRPr="009F4160">
        <w:rPr>
          <w:color w:val="000000" w:themeColor="text1"/>
        </w:rPr>
        <w:t xml:space="preserve"> area</w:t>
      </w:r>
      <w:r w:rsidR="00F152EF" w:rsidRPr="009F4160">
        <w:t>.</w:t>
      </w:r>
    </w:p>
    <w:p w14:paraId="33EF4FA0" w14:textId="17F8BE0F" w:rsidR="004F0545" w:rsidRPr="004F0545" w:rsidRDefault="004F0545" w:rsidP="00D542FE">
      <w:pPr>
        <w:spacing w:before="120" w:line="240" w:lineRule="auto"/>
        <w:ind w:right="16"/>
        <w:rPr>
          <w:szCs w:val="20"/>
        </w:rPr>
      </w:pPr>
      <w:r w:rsidRPr="004F0545">
        <w:rPr>
          <w:color w:val="000000" w:themeColor="text1"/>
          <w:szCs w:val="20"/>
        </w:rPr>
        <w:t>This would allow a high</w:t>
      </w:r>
      <w:r w:rsidR="00A765DE">
        <w:rPr>
          <w:color w:val="000000" w:themeColor="text1"/>
          <w:szCs w:val="20"/>
        </w:rPr>
        <w:t>-</w:t>
      </w:r>
      <w:r w:rsidRPr="004F0545">
        <w:rPr>
          <w:color w:val="000000" w:themeColor="text1"/>
          <w:szCs w:val="20"/>
        </w:rPr>
        <w:t>power</w:t>
      </w:r>
      <w:r w:rsidR="004A51A3">
        <w:rPr>
          <w:color w:val="000000" w:themeColor="text1"/>
          <w:szCs w:val="20"/>
        </w:rPr>
        <w:t>/</w:t>
      </w:r>
      <w:r w:rsidRPr="004F0545">
        <w:rPr>
          <w:color w:val="000000" w:themeColor="text1"/>
          <w:szCs w:val="20"/>
        </w:rPr>
        <w:t>wide</w:t>
      </w:r>
      <w:r w:rsidR="00A765DE">
        <w:rPr>
          <w:color w:val="000000" w:themeColor="text1"/>
          <w:szCs w:val="20"/>
        </w:rPr>
        <w:t>-</w:t>
      </w:r>
      <w:r w:rsidRPr="004F0545">
        <w:rPr>
          <w:color w:val="000000" w:themeColor="text1"/>
          <w:szCs w:val="20"/>
        </w:rPr>
        <w:t xml:space="preserve">coverage service up to 100 kW OD to be made available on </w:t>
      </w:r>
      <w:r w:rsidRPr="004F0545">
        <w:rPr>
          <w:bCs/>
          <w:color w:val="000000" w:themeColor="text1"/>
          <w:szCs w:val="20"/>
        </w:rPr>
        <w:t>104.1 MHz.</w:t>
      </w:r>
    </w:p>
    <w:p w14:paraId="0340637E" w14:textId="0CBF9A4A" w:rsidR="0063346D" w:rsidRPr="008E22E7" w:rsidRDefault="00740153" w:rsidP="009A7958">
      <w:pPr>
        <w:pStyle w:val="Heading3"/>
      </w:pPr>
      <w:bookmarkStart w:id="27" w:name="_Toc51223988"/>
      <w:r w:rsidRPr="00740153">
        <w:t>91.3 MHz</w:t>
      </w:r>
      <w:r w:rsidR="002450DE">
        <w:t xml:space="preserve">: </w:t>
      </w:r>
      <w:r w:rsidR="0068090E" w:rsidRPr="008E22E7">
        <w:t>high</w:t>
      </w:r>
      <w:r w:rsidR="00D40867">
        <w:t>-</w:t>
      </w:r>
      <w:r w:rsidR="0068090E" w:rsidRPr="008E22E7">
        <w:t xml:space="preserve">power 40 kW </w:t>
      </w:r>
      <w:r w:rsidR="001C7F05" w:rsidRPr="008E22E7">
        <w:t>directional</w:t>
      </w:r>
      <w:r w:rsidR="0068090E" w:rsidRPr="008E22E7">
        <w:t xml:space="preserve"> </w:t>
      </w:r>
      <w:bookmarkEnd w:id="27"/>
      <w:r w:rsidR="00977BE8">
        <w:t>FM service</w:t>
      </w:r>
    </w:p>
    <w:p w14:paraId="05048DDE" w14:textId="07DDB2E9" w:rsidR="00CE5D1F" w:rsidRPr="00201B2C" w:rsidRDefault="009513A3" w:rsidP="00660F76">
      <w:pPr>
        <w:pStyle w:val="Paragraphbeforelist"/>
      </w:pPr>
      <w:bookmarkStart w:id="28" w:name="_Toc298924672"/>
      <w:bookmarkStart w:id="29" w:name="_Toc300909555"/>
      <w:bookmarkStart w:id="30" w:name="_Toc348105636"/>
      <w:r w:rsidRPr="00F649C1">
        <w:t xml:space="preserve">This frequency </w:t>
      </w:r>
      <w:r w:rsidR="009D535E">
        <w:t xml:space="preserve">has been </w:t>
      </w:r>
      <w:r w:rsidR="009D535E" w:rsidRPr="009D535E">
        <w:t>earmarked as</w:t>
      </w:r>
      <w:r w:rsidR="00847EF4">
        <w:t xml:space="preserve"> a</w:t>
      </w:r>
      <w:r w:rsidR="009D535E" w:rsidRPr="009D535E">
        <w:t xml:space="preserve"> ‘translator’ or infill service for the </w:t>
      </w:r>
      <w:r w:rsidR="00BA56EB">
        <w:t>6PR</w:t>
      </w:r>
      <w:r w:rsidR="009D535E" w:rsidRPr="009D535E">
        <w:t xml:space="preserve"> AM commercial radio service</w:t>
      </w:r>
      <w:r w:rsidR="00BA56EB">
        <w:t xml:space="preserve"> and</w:t>
      </w:r>
      <w:r w:rsidR="00B4198F">
        <w:t xml:space="preserve">, in practice, </w:t>
      </w:r>
      <w:r w:rsidR="00BA56EB">
        <w:t>will</w:t>
      </w:r>
      <w:r w:rsidR="00B4198F">
        <w:t xml:space="preserve"> not be </w:t>
      </w:r>
      <w:r w:rsidRPr="00F649C1">
        <w:t>available</w:t>
      </w:r>
      <w:r>
        <w:t xml:space="preserve"> </w:t>
      </w:r>
      <w:r w:rsidR="002450DE">
        <w:t xml:space="preserve">if </w:t>
      </w:r>
      <w:r>
        <w:t>the 6</w:t>
      </w:r>
      <w:r w:rsidR="00B4198F">
        <w:t>PR</w:t>
      </w:r>
      <w:r>
        <w:t xml:space="preserve"> AM service is not converted to FM</w:t>
      </w:r>
      <w:r w:rsidRPr="00F649C1">
        <w:t>.</w:t>
      </w:r>
      <w:r w:rsidR="00B7467F">
        <w:t xml:space="preserve"> </w:t>
      </w:r>
      <w:r w:rsidR="004654D7">
        <w:t>T</w:t>
      </w:r>
      <w:r w:rsidR="00B7467F">
        <w:t>o make this frequency available:</w:t>
      </w:r>
    </w:p>
    <w:p w14:paraId="33FA30B8" w14:textId="7A265789" w:rsidR="00137AF0" w:rsidRPr="00E82F16" w:rsidRDefault="00B71B83" w:rsidP="00660F76">
      <w:pPr>
        <w:pStyle w:val="Bulletlevel1last"/>
      </w:pPr>
      <w:r>
        <w:t>T</w:t>
      </w:r>
      <w:r w:rsidR="00A765DE">
        <w:t xml:space="preserve">he </w:t>
      </w:r>
      <w:r w:rsidR="00137AF0">
        <w:t xml:space="preserve">6WSM Fremantle </w:t>
      </w:r>
      <w:r w:rsidR="00A765DE">
        <w:t>c</w:t>
      </w:r>
      <w:r w:rsidR="00137AF0" w:rsidRPr="00E82F16">
        <w:t xml:space="preserve">ommunity service </w:t>
      </w:r>
      <w:r w:rsidR="00A765DE">
        <w:t xml:space="preserve">must </w:t>
      </w:r>
      <w:r w:rsidR="00137AF0" w:rsidRPr="00E82F16">
        <w:t>move from 91.3 MHz to 107.0 MHz (with the possible ERP increase from 200 W to 600 W)</w:t>
      </w:r>
      <w:r w:rsidR="00E82F16">
        <w:t xml:space="preserve"> t</w:t>
      </w:r>
      <w:r w:rsidR="00E82F16" w:rsidRPr="00E82F16">
        <w:t>o reduce potential interference from 6HFM Armadale service at 107.3 MHz.</w:t>
      </w:r>
    </w:p>
    <w:p w14:paraId="0D0B04DF" w14:textId="42F1E013" w:rsidR="00930510" w:rsidRPr="00E82F16" w:rsidRDefault="00137AF0" w:rsidP="00137AF0">
      <w:pPr>
        <w:pStyle w:val="Paragraph"/>
      </w:pPr>
      <w:r w:rsidRPr="00E82F16">
        <w:t>This would allow a high</w:t>
      </w:r>
      <w:r w:rsidR="00A765DE">
        <w:t>-</w:t>
      </w:r>
      <w:r w:rsidRPr="00E82F16">
        <w:t>power</w:t>
      </w:r>
      <w:r w:rsidR="004A51A3">
        <w:t>/</w:t>
      </w:r>
      <w:r w:rsidRPr="00E82F16">
        <w:t>wide</w:t>
      </w:r>
      <w:r w:rsidR="00A765DE">
        <w:t>-</w:t>
      </w:r>
      <w:r w:rsidRPr="00E82F16">
        <w:t xml:space="preserve">coverage </w:t>
      </w:r>
      <w:r w:rsidR="00977BE8" w:rsidRPr="00977BE8">
        <w:t xml:space="preserve">service </w:t>
      </w:r>
      <w:r w:rsidR="00977BE8">
        <w:t xml:space="preserve">of </w:t>
      </w:r>
      <w:r w:rsidR="00995ADC" w:rsidRPr="00E82F16">
        <w:t xml:space="preserve">up to 40 kW DA </w:t>
      </w:r>
      <w:r w:rsidRPr="00E82F16">
        <w:t>to be made available on 91.3 MHz.</w:t>
      </w:r>
      <w:r w:rsidR="0063346D" w:rsidRPr="00E82F16">
        <w:t xml:space="preserve"> </w:t>
      </w:r>
    </w:p>
    <w:p w14:paraId="7AC69B8D" w14:textId="02FC3DB0" w:rsidR="0063346D" w:rsidRPr="00E82F16" w:rsidRDefault="00DF16B4" w:rsidP="009A7958">
      <w:pPr>
        <w:pStyle w:val="Heading3"/>
      </w:pPr>
      <w:bookmarkStart w:id="31" w:name="_Toc51223989"/>
      <w:r w:rsidRPr="00E82F16">
        <w:t>104.9 MHz</w:t>
      </w:r>
      <w:r w:rsidR="00A765DE">
        <w:t xml:space="preserve">: </w:t>
      </w:r>
      <w:r w:rsidR="00AF27D5" w:rsidRPr="00E82F16">
        <w:t>high</w:t>
      </w:r>
      <w:r w:rsidR="00E73F59">
        <w:t>-</w:t>
      </w:r>
      <w:r w:rsidR="00AF27D5" w:rsidRPr="00E82F16">
        <w:t xml:space="preserve">power 40 kW </w:t>
      </w:r>
      <w:r w:rsidR="006B5FFE" w:rsidRPr="00E82F16">
        <w:t>directional</w:t>
      </w:r>
      <w:r w:rsidR="00AF27D5" w:rsidRPr="00E82F16">
        <w:t xml:space="preserve"> </w:t>
      </w:r>
      <w:bookmarkEnd w:id="31"/>
      <w:r w:rsidR="00977BE8" w:rsidRPr="00977BE8">
        <w:t>FM service</w:t>
      </w:r>
    </w:p>
    <w:p w14:paraId="40DD4957" w14:textId="21D7403D" w:rsidR="00F649C1" w:rsidRDefault="00F649C1" w:rsidP="00660F76">
      <w:pPr>
        <w:pStyle w:val="Paragraphbeforelist"/>
      </w:pPr>
      <w:bookmarkStart w:id="32" w:name="_Hlk65575405"/>
      <w:r w:rsidRPr="00F649C1">
        <w:t>The availability of this frequency is subject to the cessation or re-location of the FM repeaters operated by the AM commercial broadcaster 6IX</w:t>
      </w:r>
      <w:r w:rsidR="00622E92">
        <w:t xml:space="preserve">. </w:t>
      </w:r>
      <w:r w:rsidR="006C6F84">
        <w:t>In practice</w:t>
      </w:r>
      <w:r w:rsidR="00A765DE">
        <w:t>,</w:t>
      </w:r>
      <w:r w:rsidRPr="00F649C1">
        <w:t xml:space="preserve"> this frequency w</w:t>
      </w:r>
      <w:r w:rsidR="006D53D0">
        <w:t>ill</w:t>
      </w:r>
      <w:r w:rsidRPr="00F649C1">
        <w:t xml:space="preserve"> not be available</w:t>
      </w:r>
      <w:r w:rsidR="006D53D0">
        <w:t xml:space="preserve"> i</w:t>
      </w:r>
      <w:r w:rsidR="00977BE8">
        <w:t>f</w:t>
      </w:r>
      <w:r w:rsidR="006D53D0">
        <w:t xml:space="preserve"> the 6IX AM service</w:t>
      </w:r>
      <w:r w:rsidR="005A4887">
        <w:t xml:space="preserve"> is not converted to FM</w:t>
      </w:r>
      <w:r w:rsidRPr="00F649C1">
        <w:t>.</w:t>
      </w:r>
      <w:r w:rsidR="00B7467F">
        <w:t xml:space="preserve"> To make this frequency available:</w:t>
      </w:r>
    </w:p>
    <w:bookmarkEnd w:id="32"/>
    <w:p w14:paraId="1E0EBA3D" w14:textId="2BF911BD" w:rsidR="00F132D6" w:rsidRPr="00E82F16" w:rsidRDefault="00B71B83" w:rsidP="00660F76">
      <w:pPr>
        <w:pStyle w:val="Bulletlevel1"/>
      </w:pPr>
      <w:r>
        <w:t>T</w:t>
      </w:r>
      <w:r w:rsidR="00F132D6" w:rsidRPr="00E82F16">
        <w:t xml:space="preserve">he 105.7 MHz Wanneroo and Rockingham 6IX </w:t>
      </w:r>
      <w:r w:rsidR="00A765DE">
        <w:t>c</w:t>
      </w:r>
      <w:r w:rsidR="00F132D6" w:rsidRPr="00E82F16">
        <w:t>ommercial repeaters</w:t>
      </w:r>
      <w:r w:rsidR="004654D7">
        <w:t xml:space="preserve"> need to be switched off</w:t>
      </w:r>
      <w:r w:rsidR="008340A5" w:rsidRPr="00E82F16">
        <w:t xml:space="preserve"> (subject to </w:t>
      </w:r>
      <w:r w:rsidR="003863C7" w:rsidRPr="00E82F16">
        <w:t>6IX AM service converting to FM)</w:t>
      </w:r>
      <w:r w:rsidR="00F132D6" w:rsidRPr="00E82F16">
        <w:t>.</w:t>
      </w:r>
    </w:p>
    <w:p w14:paraId="360B8848" w14:textId="0D2A59F4" w:rsidR="00F132D6" w:rsidRPr="00E82F16" w:rsidRDefault="00B71B83" w:rsidP="00660F76">
      <w:pPr>
        <w:pStyle w:val="Bulletlevel1last"/>
      </w:pPr>
      <w:r>
        <w:t>T</w:t>
      </w:r>
      <w:r w:rsidR="00A765DE">
        <w:t xml:space="preserve">he </w:t>
      </w:r>
      <w:r w:rsidR="00F132D6" w:rsidRPr="00E82F16">
        <w:t xml:space="preserve">Perth City HPON </w:t>
      </w:r>
      <w:r w:rsidR="00A765DE">
        <w:t xml:space="preserve">must </w:t>
      </w:r>
      <w:r w:rsidR="00F132D6" w:rsidRPr="00E82F16">
        <w:t>move from 104.9 MHz to 105.7 MHz</w:t>
      </w:r>
      <w:r w:rsidR="004654D7">
        <w:t>,</w:t>
      </w:r>
      <w:r w:rsidR="00F132D6" w:rsidRPr="00E82F16">
        <w:t xml:space="preserve"> with </w:t>
      </w:r>
      <w:r w:rsidR="004654D7">
        <w:t>a</w:t>
      </w:r>
      <w:r w:rsidR="004654D7" w:rsidRPr="00E82F16">
        <w:t xml:space="preserve"> </w:t>
      </w:r>
      <w:r w:rsidR="00F132D6" w:rsidRPr="00E82F16">
        <w:t>possible ERP increase from 50 W to 200 W</w:t>
      </w:r>
      <w:r w:rsidR="00B77377">
        <w:t xml:space="preserve"> t</w:t>
      </w:r>
      <w:r w:rsidR="00B77377" w:rsidRPr="00B77377">
        <w:t xml:space="preserve">o minimise </w:t>
      </w:r>
      <w:r w:rsidR="00B77377">
        <w:t xml:space="preserve">potential </w:t>
      </w:r>
      <w:r w:rsidR="00B77377" w:rsidRPr="00B77377">
        <w:t xml:space="preserve">interference from </w:t>
      </w:r>
      <w:r w:rsidR="00B77377">
        <w:t xml:space="preserve">the </w:t>
      </w:r>
      <w:r w:rsidR="00EC6C8A">
        <w:t>potential</w:t>
      </w:r>
      <w:r w:rsidR="00B77377">
        <w:t xml:space="preserve"> </w:t>
      </w:r>
      <w:r w:rsidR="00B77377" w:rsidRPr="00B77377">
        <w:t>40kW service</w:t>
      </w:r>
      <w:r w:rsidR="00F132D6" w:rsidRPr="00E82F16">
        <w:t>.</w:t>
      </w:r>
    </w:p>
    <w:p w14:paraId="5FE40222" w14:textId="5A81B1A0" w:rsidR="00AA7C2B" w:rsidRDefault="00F132D6" w:rsidP="00660F76">
      <w:pPr>
        <w:pStyle w:val="Paragraph"/>
      </w:pPr>
      <w:r w:rsidRPr="00F132D6">
        <w:t>Th</w:t>
      </w:r>
      <w:r w:rsidR="008E7DA7">
        <w:t>is</w:t>
      </w:r>
      <w:r w:rsidRPr="00F132D6">
        <w:t xml:space="preserve"> would allow a 40 kW DA high power</w:t>
      </w:r>
      <w:r w:rsidR="004A51A3">
        <w:t>/</w:t>
      </w:r>
      <w:r w:rsidRPr="00F132D6">
        <w:t xml:space="preserve">wide coverage service to </w:t>
      </w:r>
      <w:r w:rsidR="00995ADC">
        <w:t>be made available</w:t>
      </w:r>
      <w:r w:rsidRPr="00F132D6">
        <w:t xml:space="preserve"> on 104.9 MHz.</w:t>
      </w:r>
    </w:p>
    <w:p w14:paraId="45C9D957" w14:textId="29279892" w:rsidR="004654D7" w:rsidRDefault="006A439B" w:rsidP="006A439B">
      <w:pPr>
        <w:pStyle w:val="Paragraph"/>
      </w:pPr>
      <w:r w:rsidRPr="006A439B">
        <w:t xml:space="preserve">Draft </w:t>
      </w:r>
      <w:r w:rsidR="00F3447C">
        <w:t>t</w:t>
      </w:r>
      <w:r w:rsidRPr="006A439B">
        <w:t xml:space="preserve">echnical </w:t>
      </w:r>
      <w:r w:rsidR="00F3447C">
        <w:t>s</w:t>
      </w:r>
      <w:r w:rsidRPr="006A439B">
        <w:t xml:space="preserve">pecifications for the </w:t>
      </w:r>
      <w:r w:rsidR="004654D7" w:rsidRPr="006A439B">
        <w:t xml:space="preserve">potential </w:t>
      </w:r>
      <w:r w:rsidRPr="006A439B">
        <w:t xml:space="preserve">new services and </w:t>
      </w:r>
      <w:r w:rsidRPr="00AC385B">
        <w:rPr>
          <w:iCs/>
        </w:rPr>
        <w:t>revised</w:t>
      </w:r>
      <w:r w:rsidRPr="006A439B">
        <w:rPr>
          <w:iCs/>
        </w:rPr>
        <w:t xml:space="preserve"> technical specifications</w:t>
      </w:r>
      <w:r w:rsidRPr="006A439B">
        <w:t xml:space="preserve"> </w:t>
      </w:r>
      <w:r>
        <w:t>are included in Appendix A.</w:t>
      </w:r>
    </w:p>
    <w:p w14:paraId="37FFA7BF" w14:textId="77777777" w:rsidR="004654D7" w:rsidRPr="006A439B" w:rsidRDefault="004654D7" w:rsidP="006A439B">
      <w:pPr>
        <w:pStyle w:val="Paragraph"/>
      </w:pPr>
    </w:p>
    <w:p w14:paraId="4329A9CD" w14:textId="77777777" w:rsidR="004654D7" w:rsidRDefault="004654D7">
      <w:pPr>
        <w:spacing w:after="0" w:line="240" w:lineRule="auto"/>
        <w:rPr>
          <w:b/>
          <w:bCs/>
          <w:iCs/>
        </w:rPr>
        <w:sectPr w:rsidR="004654D7" w:rsidSect="00BD4C36">
          <w:pgSz w:w="11906" w:h="16838" w:code="9"/>
          <w:pgMar w:top="1945" w:right="3101" w:bottom="1134" w:left="1134" w:header="709" w:footer="119" w:gutter="0"/>
          <w:pgNumType w:start="7"/>
          <w:cols w:space="708"/>
          <w:docGrid w:linePitch="360"/>
        </w:sectPr>
      </w:pPr>
    </w:p>
    <w:p w14:paraId="1E8E8918" w14:textId="77777777" w:rsidR="004654D7" w:rsidRDefault="00A765DE">
      <w:pPr>
        <w:pStyle w:val="Figureheading"/>
      </w:pPr>
      <w:r w:rsidRPr="00765A33">
        <w:t xml:space="preserve">Perth frequency </w:t>
      </w:r>
      <w:r>
        <w:t xml:space="preserve">replanning study outcomes for Option 1 </w:t>
      </w:r>
    </w:p>
    <w:p w14:paraId="7B6696D2" w14:textId="36C98D00" w:rsidR="009204EB" w:rsidRPr="00A765DE" w:rsidRDefault="00A765DE" w:rsidP="00660F76">
      <w:pPr>
        <w:pStyle w:val="Figureheading"/>
        <w:numPr>
          <w:ilvl w:val="0"/>
          <w:numId w:val="0"/>
        </w:numPr>
        <w:ind w:left="1021"/>
        <w:rPr>
          <w:iCs/>
        </w:rPr>
      </w:pPr>
      <w:r>
        <w:t>KEY: green = community services, blue = commercial services, brown = national services, dark green = HPONs, yellow = new high-power/wide-coverage services</w:t>
      </w:r>
      <w:r w:rsidR="006E6D4A">
        <w:t>.</w:t>
      </w:r>
      <w:r>
        <w:t xml:space="preserve"> </w:t>
      </w:r>
      <w:r w:rsidR="006E6D4A">
        <w:t>C</w:t>
      </w:r>
      <w:r>
        <w:t>rossed-out services either cease or change frequency</w:t>
      </w:r>
      <w:r w:rsidR="00487766">
        <w:t>.</w:t>
      </w:r>
    </w:p>
    <w:p w14:paraId="0F9A91D1" w14:textId="47B9DEBE" w:rsidR="004654D7" w:rsidRDefault="00A765DE">
      <w:pPr>
        <w:spacing w:after="0" w:line="240" w:lineRule="auto"/>
        <w:rPr>
          <w:b/>
          <w:bCs/>
          <w:iCs/>
        </w:rPr>
        <w:sectPr w:rsidR="004654D7" w:rsidSect="004654D7">
          <w:type w:val="evenPage"/>
          <w:pgSz w:w="16838" w:h="11906" w:orient="landscape" w:code="9"/>
          <w:pgMar w:top="1134" w:right="1945" w:bottom="1276" w:left="1134" w:header="709" w:footer="454" w:gutter="0"/>
          <w:cols w:space="708"/>
          <w:docGrid w:linePitch="360"/>
        </w:sectPr>
      </w:pPr>
      <w:r w:rsidRPr="00FE7226">
        <w:rPr>
          <w:b/>
          <w:bCs/>
          <w:iCs/>
          <w:noProof/>
        </w:rPr>
        <w:drawing>
          <wp:inline distT="0" distB="0" distL="0" distR="0" wp14:anchorId="5F4DDE5E" wp14:editId="43BEB352">
            <wp:extent cx="8848694" cy="4353820"/>
            <wp:effectExtent l="0" t="0" r="0" b="8890"/>
            <wp:docPr id="11" name="Picture 11" descr="Figure 2: Perth frequency replanning study outcomes for Option 1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Figure 2: Perth frequency replanning study outcomes for Option 1 "/>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8848694" cy="4353820"/>
                    </a:xfrm>
                    <a:prstGeom prst="rect">
                      <a:avLst/>
                    </a:prstGeom>
                    <a:noFill/>
                  </pic:spPr>
                </pic:pic>
              </a:graphicData>
            </a:graphic>
          </wp:inline>
        </w:drawing>
      </w:r>
    </w:p>
    <w:p w14:paraId="03573454" w14:textId="3A94FE4C" w:rsidR="007C2462" w:rsidRPr="004D4FC6" w:rsidRDefault="00C43B0F" w:rsidP="007C2462">
      <w:pPr>
        <w:pStyle w:val="Heading1"/>
      </w:pPr>
      <w:bookmarkStart w:id="33" w:name="_Toc72241307"/>
      <w:r w:rsidRPr="00FE7226">
        <w:t>Re</w:t>
      </w:r>
      <w:r w:rsidR="00D132DC" w:rsidRPr="00615E31">
        <w:t>p</w:t>
      </w:r>
      <w:r w:rsidR="00041259" w:rsidRPr="00615E31">
        <w:t xml:space="preserve">lanning </w:t>
      </w:r>
      <w:r w:rsidR="00842705" w:rsidRPr="00615E31">
        <w:t>options</w:t>
      </w:r>
      <w:bookmarkEnd w:id="33"/>
    </w:p>
    <w:p w14:paraId="57AC00DA" w14:textId="5725ECB8" w:rsidR="004F595C" w:rsidRPr="00615E31" w:rsidRDefault="004F595C" w:rsidP="00B71B83">
      <w:pPr>
        <w:pStyle w:val="ListBullet"/>
        <w:numPr>
          <w:ilvl w:val="0"/>
          <w:numId w:val="0"/>
        </w:numPr>
        <w:spacing w:before="240"/>
        <w:ind w:right="1841"/>
      </w:pPr>
      <w:bookmarkStart w:id="34" w:name="_Hlk63761867"/>
      <w:r w:rsidRPr="004D4FC6">
        <w:t>The identified frequencies could potentially be used</w:t>
      </w:r>
      <w:r w:rsidR="00946180" w:rsidRPr="004D4FC6">
        <w:t xml:space="preserve"> </w:t>
      </w:r>
      <w:r w:rsidR="00977BE8" w:rsidRPr="004D4FC6">
        <w:t xml:space="preserve">in </w:t>
      </w:r>
      <w:r w:rsidR="00320536" w:rsidRPr="004D4FC6">
        <w:t xml:space="preserve">the conversion of existing broadcasting services from AM to FM and/or </w:t>
      </w:r>
      <w:r w:rsidR="0002483E" w:rsidRPr="004D4FC6">
        <w:t xml:space="preserve">planning </w:t>
      </w:r>
      <w:r w:rsidR="00320536" w:rsidRPr="004D4FC6">
        <w:t>of new commercial, national, community or narrowcasting services.</w:t>
      </w:r>
      <w:r w:rsidR="0002483E" w:rsidRPr="004D4FC6">
        <w:t xml:space="preserve"> </w:t>
      </w:r>
      <w:r w:rsidR="00772988">
        <w:t xml:space="preserve">Taking into account </w:t>
      </w:r>
      <w:r w:rsidR="0002483E" w:rsidRPr="004D4FC6">
        <w:t>the</w:t>
      </w:r>
      <w:r w:rsidR="00DF494B" w:rsidRPr="004D4FC6">
        <w:t xml:space="preserve"> possible technical specifications for th</w:t>
      </w:r>
      <w:r w:rsidR="00635233" w:rsidRPr="004D4FC6">
        <w:t xml:space="preserve">ese frequencies and </w:t>
      </w:r>
      <w:r w:rsidR="00FE7226">
        <w:t xml:space="preserve">the </w:t>
      </w:r>
      <w:r w:rsidR="00635233" w:rsidRPr="00615E31">
        <w:t xml:space="preserve">required consequential changes, </w:t>
      </w:r>
      <w:r w:rsidR="00FE7226">
        <w:t>we have</w:t>
      </w:r>
      <w:r w:rsidR="00635233" w:rsidRPr="00615E31">
        <w:t xml:space="preserve"> identified the following planning options</w:t>
      </w:r>
      <w:r w:rsidR="00041259" w:rsidRPr="00615E31">
        <w:t>.</w:t>
      </w:r>
    </w:p>
    <w:p w14:paraId="13727687" w14:textId="20011E91" w:rsidR="00842705" w:rsidRPr="00842705" w:rsidRDefault="00842705" w:rsidP="004B3D26">
      <w:pPr>
        <w:pStyle w:val="Heading2"/>
      </w:pPr>
      <w:bookmarkStart w:id="35" w:name="_Toc72241308"/>
      <w:r w:rsidRPr="004B3D26">
        <w:t>Option</w:t>
      </w:r>
      <w:r w:rsidRPr="004D4FC6">
        <w:t xml:space="preserve"> 1</w:t>
      </w:r>
      <w:bookmarkEnd w:id="35"/>
      <w:r w:rsidRPr="00842705">
        <w:tab/>
      </w:r>
      <w:r w:rsidRPr="00842705">
        <w:tab/>
      </w:r>
    </w:p>
    <w:bookmarkEnd w:id="34"/>
    <w:p w14:paraId="45297A8A" w14:textId="11F41B7B" w:rsidR="00C431BC" w:rsidRDefault="00C43B0F" w:rsidP="00694084">
      <w:pPr>
        <w:pStyle w:val="Paragraph"/>
        <w:ind w:right="1841"/>
      </w:pPr>
      <w:r>
        <w:t>Convert</w:t>
      </w:r>
      <w:r w:rsidR="00842705" w:rsidRPr="0091335F">
        <w:t xml:space="preserve"> to FM the </w:t>
      </w:r>
      <w:r w:rsidR="006E6D4A">
        <w:t>2</w:t>
      </w:r>
      <w:r w:rsidR="006E6D4A" w:rsidRPr="0091335F">
        <w:t xml:space="preserve"> </w:t>
      </w:r>
      <w:r w:rsidR="006E6D4A">
        <w:t>c</w:t>
      </w:r>
      <w:r w:rsidR="00842705" w:rsidRPr="0091335F">
        <w:t xml:space="preserve">ommercial AM services </w:t>
      </w:r>
      <w:r w:rsidR="00842705">
        <w:t xml:space="preserve">(6IX and 6PR) </w:t>
      </w:r>
      <w:r w:rsidR="00842705" w:rsidRPr="0091335F">
        <w:t>and</w:t>
      </w:r>
      <w:r w:rsidR="00842705">
        <w:t xml:space="preserve"> the </w:t>
      </w:r>
      <w:r w:rsidR="006E6D4A">
        <w:t>3</w:t>
      </w:r>
      <w:r w:rsidR="006E6D4A" w:rsidRPr="0091335F">
        <w:t xml:space="preserve"> </w:t>
      </w:r>
      <w:r w:rsidR="006E6D4A">
        <w:t>n</w:t>
      </w:r>
      <w:r w:rsidR="00842705" w:rsidRPr="0091335F">
        <w:t>ational ABC AM services</w:t>
      </w:r>
      <w:r w:rsidR="00842705">
        <w:t xml:space="preserve"> (</w:t>
      </w:r>
      <w:bookmarkStart w:id="36" w:name="_Hlk63763637"/>
      <w:r w:rsidR="00842705">
        <w:t>6PB, 6WF and 6RN</w:t>
      </w:r>
      <w:bookmarkEnd w:id="36"/>
      <w:r w:rsidR="00842705">
        <w:t>)</w:t>
      </w:r>
      <w:r w:rsidR="00842705" w:rsidRPr="0091335F">
        <w:t>.</w:t>
      </w:r>
      <w:r w:rsidR="00174E54">
        <w:t xml:space="preserve"> </w:t>
      </w:r>
      <w:r w:rsidR="002349C9">
        <w:t>Under this option</w:t>
      </w:r>
      <w:r w:rsidR="006E6D4A">
        <w:t>,</w:t>
      </w:r>
      <w:r w:rsidR="002349C9">
        <w:t xml:space="preserve"> the </w:t>
      </w:r>
      <w:r w:rsidR="006E6D4A">
        <w:t>c</w:t>
      </w:r>
      <w:r w:rsidR="006D493F">
        <w:t>ommercial</w:t>
      </w:r>
      <w:r w:rsidR="008B7B82">
        <w:t xml:space="preserve"> services </w:t>
      </w:r>
      <w:r w:rsidR="00977BE8">
        <w:t xml:space="preserve">would </w:t>
      </w:r>
      <w:r w:rsidR="008B7B82">
        <w:t xml:space="preserve">be allocated the </w:t>
      </w:r>
      <w:r w:rsidR="00B733EA">
        <w:t xml:space="preserve">91.3 MHz and </w:t>
      </w:r>
      <w:r w:rsidR="006422C5">
        <w:t>104.9</w:t>
      </w:r>
      <w:r w:rsidR="007A1EB6">
        <w:t> </w:t>
      </w:r>
      <w:r w:rsidR="006422C5">
        <w:t>MHz frequencies to allow for</w:t>
      </w:r>
      <w:r w:rsidR="00BA25FD">
        <w:t xml:space="preserve"> new</w:t>
      </w:r>
      <w:r w:rsidR="006422C5">
        <w:t xml:space="preserve"> </w:t>
      </w:r>
      <w:r w:rsidR="002349C9" w:rsidRPr="002349C9">
        <w:t>high</w:t>
      </w:r>
      <w:r w:rsidR="007A1EB6">
        <w:t>-</w:t>
      </w:r>
      <w:r w:rsidR="002349C9" w:rsidRPr="002349C9">
        <w:t>power</w:t>
      </w:r>
      <w:r w:rsidR="00977BE8">
        <w:t>/</w:t>
      </w:r>
      <w:r w:rsidR="002349C9" w:rsidRPr="002349C9">
        <w:t>wide</w:t>
      </w:r>
      <w:r w:rsidR="007A1EB6">
        <w:t>-</w:t>
      </w:r>
      <w:r w:rsidR="002349C9" w:rsidRPr="002349C9">
        <w:t>coverage</w:t>
      </w:r>
      <w:r w:rsidR="009000AA">
        <w:t xml:space="preserve"> </w:t>
      </w:r>
      <w:r w:rsidR="002349C9" w:rsidRPr="002349C9">
        <w:t xml:space="preserve">up to </w:t>
      </w:r>
      <w:r w:rsidR="00FD4E44">
        <w:t>4</w:t>
      </w:r>
      <w:r w:rsidR="002349C9" w:rsidRPr="002349C9">
        <w:t xml:space="preserve">0 kW </w:t>
      </w:r>
      <w:r w:rsidR="00FD4E44">
        <w:t>DA</w:t>
      </w:r>
      <w:r w:rsidR="009000AA">
        <w:t xml:space="preserve"> services</w:t>
      </w:r>
      <w:r w:rsidR="00274E38">
        <w:t>,</w:t>
      </w:r>
      <w:r w:rsidR="009000AA">
        <w:t xml:space="preserve"> while</w:t>
      </w:r>
      <w:r w:rsidR="00FB28F7">
        <w:t xml:space="preserve"> </w:t>
      </w:r>
      <w:r w:rsidR="009000AA">
        <w:t>the</w:t>
      </w:r>
      <w:r w:rsidR="00FB28F7">
        <w:t xml:space="preserve"> ABC </w:t>
      </w:r>
      <w:r w:rsidR="00D84A85">
        <w:t>w</w:t>
      </w:r>
      <w:r w:rsidR="00977BE8">
        <w:t>ould</w:t>
      </w:r>
      <w:r w:rsidR="00D84A85">
        <w:t xml:space="preserve"> be allocated</w:t>
      </w:r>
      <w:r w:rsidR="003C7626">
        <w:t xml:space="preserve"> the </w:t>
      </w:r>
      <w:r w:rsidR="000E6B1A">
        <w:t>102.5 MHz, 103.3 MHZ and 104.1 MH</w:t>
      </w:r>
      <w:r w:rsidR="00E50C4C">
        <w:t>z</w:t>
      </w:r>
      <w:r w:rsidR="000E6B1A">
        <w:t xml:space="preserve"> </w:t>
      </w:r>
      <w:r w:rsidR="00BA25FD">
        <w:t>frequencies</w:t>
      </w:r>
      <w:r w:rsidR="000E6B1A">
        <w:t xml:space="preserve"> to allow</w:t>
      </w:r>
      <w:r w:rsidR="00BA25FD">
        <w:t xml:space="preserve"> for new</w:t>
      </w:r>
      <w:r w:rsidR="00FE7226">
        <w:t>-</w:t>
      </w:r>
      <w:r w:rsidR="003C7626" w:rsidRPr="003C7626">
        <w:t>high power</w:t>
      </w:r>
      <w:r w:rsidR="00977BE8">
        <w:t>/</w:t>
      </w:r>
      <w:r w:rsidR="003C7626" w:rsidRPr="003C7626">
        <w:t>wide</w:t>
      </w:r>
      <w:r w:rsidR="007A1EB6">
        <w:t>-</w:t>
      </w:r>
      <w:r w:rsidR="003C7626" w:rsidRPr="003C7626">
        <w:t>coverage up to 100 kW OD</w:t>
      </w:r>
      <w:r w:rsidR="003C7626">
        <w:t xml:space="preserve"> </w:t>
      </w:r>
      <w:r w:rsidR="003C7626" w:rsidRPr="004F0545">
        <w:rPr>
          <w:color w:val="000000" w:themeColor="text1"/>
          <w:szCs w:val="20"/>
        </w:rPr>
        <w:t>service</w:t>
      </w:r>
      <w:r w:rsidR="008B6ABD">
        <w:rPr>
          <w:color w:val="000000" w:themeColor="text1"/>
          <w:szCs w:val="20"/>
        </w:rPr>
        <w:t xml:space="preserve">s. </w:t>
      </w:r>
    </w:p>
    <w:p w14:paraId="2C6D1933" w14:textId="671D50B7" w:rsidR="00842705" w:rsidRDefault="00E06A21" w:rsidP="004B3D26">
      <w:pPr>
        <w:pStyle w:val="Heading2"/>
      </w:pPr>
      <w:bookmarkStart w:id="37" w:name="_Hlk63762004"/>
      <w:bookmarkStart w:id="38" w:name="_Toc72241309"/>
      <w:r w:rsidRPr="004B3D26">
        <w:t>Option</w:t>
      </w:r>
      <w:r w:rsidRPr="00842705">
        <w:t xml:space="preserve"> </w:t>
      </w:r>
      <w:r>
        <w:t>2</w:t>
      </w:r>
      <w:bookmarkEnd w:id="38"/>
      <w:r w:rsidR="00842705" w:rsidRPr="0091335F">
        <w:tab/>
      </w:r>
    </w:p>
    <w:p w14:paraId="706C96E3" w14:textId="0950F9CF" w:rsidR="00842705" w:rsidRPr="0091335F" w:rsidRDefault="00C43B0F" w:rsidP="00694084">
      <w:pPr>
        <w:pStyle w:val="Paragraph"/>
        <w:ind w:right="1841"/>
      </w:pPr>
      <w:bookmarkStart w:id="39" w:name="_Hlk68677015"/>
      <w:bookmarkEnd w:id="37"/>
      <w:r>
        <w:t>Convert</w:t>
      </w:r>
      <w:r w:rsidR="00842705" w:rsidRPr="0091335F">
        <w:t xml:space="preserve"> to FM </w:t>
      </w:r>
      <w:r w:rsidR="00842705">
        <w:t xml:space="preserve">the </w:t>
      </w:r>
      <w:r w:rsidR="00FE7226">
        <w:t>3</w:t>
      </w:r>
      <w:r w:rsidR="00FE7226" w:rsidRPr="0091335F">
        <w:t xml:space="preserve"> </w:t>
      </w:r>
      <w:r w:rsidR="00FE7226">
        <w:t>n</w:t>
      </w:r>
      <w:r w:rsidR="00842705" w:rsidRPr="00EE0FD9">
        <w:t>ational ABC</w:t>
      </w:r>
      <w:r w:rsidR="00842705" w:rsidRPr="0091335F">
        <w:t xml:space="preserve"> AM services </w:t>
      </w:r>
      <w:r w:rsidR="00842705">
        <w:t xml:space="preserve">(6PB, 6WF and 6RN) </w:t>
      </w:r>
      <w:r w:rsidR="00842705" w:rsidRPr="0091335F">
        <w:t>only</w:t>
      </w:r>
      <w:r w:rsidR="00842705">
        <w:t>. Under this option</w:t>
      </w:r>
      <w:r w:rsidR="00FE7226">
        <w:t>,</w:t>
      </w:r>
      <w:r w:rsidR="007A586B" w:rsidRPr="007A586B">
        <w:t xml:space="preserve"> the ABC will be allocated the 102.5 MHz, 103.3 MH</w:t>
      </w:r>
      <w:r w:rsidR="00E50C4C">
        <w:t>z</w:t>
      </w:r>
      <w:r w:rsidR="007A586B" w:rsidRPr="007A586B">
        <w:t xml:space="preserve"> and 104.1 MH</w:t>
      </w:r>
      <w:r w:rsidR="00E50C4C">
        <w:t>z</w:t>
      </w:r>
      <w:r w:rsidR="007A586B" w:rsidRPr="007A586B">
        <w:t xml:space="preserve"> frequencies to allow for new </w:t>
      </w:r>
      <w:r w:rsidR="003C7626" w:rsidRPr="003C7626">
        <w:t>high</w:t>
      </w:r>
      <w:r w:rsidR="00FE7226">
        <w:t>-</w:t>
      </w:r>
      <w:r w:rsidR="003C7626" w:rsidRPr="003C7626">
        <w:t>power</w:t>
      </w:r>
      <w:r w:rsidR="00CC4503">
        <w:t>/</w:t>
      </w:r>
      <w:r w:rsidR="003C7626" w:rsidRPr="003C7626">
        <w:t>wide</w:t>
      </w:r>
      <w:r w:rsidR="007A1EB6">
        <w:t>-</w:t>
      </w:r>
      <w:r w:rsidR="003C7626" w:rsidRPr="003C7626">
        <w:t>coverage up to 100 kW OD</w:t>
      </w:r>
      <w:r w:rsidR="007A586B" w:rsidRPr="007A586B">
        <w:t xml:space="preserve"> services</w:t>
      </w:r>
      <w:r w:rsidR="00FE7226">
        <w:t>,</w:t>
      </w:r>
      <w:r w:rsidR="00842705">
        <w:t xml:space="preserve"> </w:t>
      </w:r>
      <w:r w:rsidR="007A586B" w:rsidRPr="007A586B">
        <w:t xml:space="preserve">while </w:t>
      </w:r>
      <w:bookmarkStart w:id="40" w:name="_Hlk66974031"/>
      <w:r w:rsidR="00842705">
        <w:t>the commercial AM services would not change</w:t>
      </w:r>
      <w:bookmarkEnd w:id="40"/>
      <w:r w:rsidR="00842705">
        <w:t>.</w:t>
      </w:r>
    </w:p>
    <w:p w14:paraId="647BBACE" w14:textId="33C8773E" w:rsidR="0017283B" w:rsidRDefault="0017283B" w:rsidP="004B3D26">
      <w:pPr>
        <w:pStyle w:val="Heading2"/>
      </w:pPr>
      <w:bookmarkStart w:id="41" w:name="_Toc72241310"/>
      <w:bookmarkEnd w:id="39"/>
      <w:r w:rsidRPr="00842705">
        <w:t xml:space="preserve">Option </w:t>
      </w:r>
      <w:r>
        <w:t>3</w:t>
      </w:r>
      <w:bookmarkEnd w:id="41"/>
      <w:r w:rsidRPr="0091335F">
        <w:tab/>
      </w:r>
    </w:p>
    <w:p w14:paraId="4BF0189D" w14:textId="3B449389" w:rsidR="00842705" w:rsidRDefault="00C43B0F" w:rsidP="00694084">
      <w:pPr>
        <w:pStyle w:val="Paragraph"/>
        <w:ind w:right="1841"/>
      </w:pPr>
      <w:r>
        <w:t>Convert</w:t>
      </w:r>
      <w:r w:rsidR="00842705">
        <w:t xml:space="preserve"> to </w:t>
      </w:r>
      <w:r w:rsidR="00842705" w:rsidRPr="001E021F">
        <w:t xml:space="preserve">FM the </w:t>
      </w:r>
      <w:r w:rsidR="00F62A3A">
        <w:t>2</w:t>
      </w:r>
      <w:r w:rsidR="00F62A3A" w:rsidRPr="001E021F">
        <w:t xml:space="preserve"> </w:t>
      </w:r>
      <w:r w:rsidR="00F62A3A">
        <w:t>c</w:t>
      </w:r>
      <w:r w:rsidR="00842705" w:rsidRPr="001E021F">
        <w:t>ommercial AM services (6IX and 6PR)</w:t>
      </w:r>
      <w:r w:rsidR="00842705">
        <w:t xml:space="preserve"> and p</w:t>
      </w:r>
      <w:r w:rsidR="00842705" w:rsidRPr="00BD06BF">
        <w:t xml:space="preserve">lan </w:t>
      </w:r>
      <w:r w:rsidR="00842705">
        <w:t xml:space="preserve">for </w:t>
      </w:r>
      <w:r w:rsidR="00F62A3A">
        <w:t>3</w:t>
      </w:r>
      <w:r w:rsidR="00F62A3A" w:rsidRPr="00D00766">
        <w:t xml:space="preserve"> </w:t>
      </w:r>
      <w:r w:rsidR="00842705" w:rsidRPr="00793FB6">
        <w:t>new</w:t>
      </w:r>
      <w:r w:rsidR="00F62A3A">
        <w:t>-</w:t>
      </w:r>
      <w:r w:rsidR="00AC385B">
        <w:t xml:space="preserve">high power </w:t>
      </w:r>
      <w:r w:rsidR="00842705">
        <w:t>FM services in the Perth l</w:t>
      </w:r>
      <w:r w:rsidR="00842705" w:rsidRPr="008071A6">
        <w:t xml:space="preserve">icence </w:t>
      </w:r>
      <w:r w:rsidR="00842705">
        <w:t>a</w:t>
      </w:r>
      <w:r w:rsidR="00842705" w:rsidRPr="008071A6">
        <w:t>rea</w:t>
      </w:r>
      <w:r w:rsidR="00842705">
        <w:t xml:space="preserve"> for any category or categories of broadcasting.</w:t>
      </w:r>
      <w:r w:rsidR="00842705" w:rsidRPr="009156E8">
        <w:t xml:space="preserve"> Under this option</w:t>
      </w:r>
      <w:r w:rsidR="00A62098">
        <w:t>,</w:t>
      </w:r>
      <w:r w:rsidR="00842705" w:rsidRPr="009156E8">
        <w:t xml:space="preserve"> </w:t>
      </w:r>
      <w:r w:rsidR="00FE575D" w:rsidRPr="00FE575D">
        <w:t xml:space="preserve">the </w:t>
      </w:r>
      <w:r w:rsidR="00A62098">
        <w:t>c</w:t>
      </w:r>
      <w:r w:rsidR="00FE575D" w:rsidRPr="00FE575D">
        <w:t>ommercial services w</w:t>
      </w:r>
      <w:r w:rsidR="00CC4503">
        <w:t>ould</w:t>
      </w:r>
      <w:r w:rsidR="00FE575D" w:rsidRPr="00FE575D">
        <w:t xml:space="preserve"> be allocated the 91.</w:t>
      </w:r>
      <w:r w:rsidR="00A62098" w:rsidRPr="00FE575D">
        <w:t>3</w:t>
      </w:r>
      <w:r w:rsidR="00A62098">
        <w:t> </w:t>
      </w:r>
      <w:r w:rsidR="00FE575D" w:rsidRPr="00FE575D">
        <w:t xml:space="preserve">MHz and 104.9 MHz frequencies to allow for new </w:t>
      </w:r>
      <w:r w:rsidR="002349C9" w:rsidRPr="002349C9">
        <w:t>high</w:t>
      </w:r>
      <w:r w:rsidR="00A62098">
        <w:t>-</w:t>
      </w:r>
      <w:r w:rsidR="002349C9" w:rsidRPr="002349C9">
        <w:t>power</w:t>
      </w:r>
      <w:r w:rsidR="00CC4503">
        <w:t>/</w:t>
      </w:r>
      <w:r w:rsidR="002349C9" w:rsidRPr="002349C9">
        <w:t>wide</w:t>
      </w:r>
      <w:r w:rsidR="007A1EB6">
        <w:t>-</w:t>
      </w:r>
      <w:r w:rsidR="002349C9" w:rsidRPr="002349C9">
        <w:t>coverage</w:t>
      </w:r>
      <w:r w:rsidR="00FE575D" w:rsidRPr="00FE575D">
        <w:t xml:space="preserve"> </w:t>
      </w:r>
      <w:r w:rsidR="002349C9" w:rsidRPr="002349C9">
        <w:t xml:space="preserve">up to </w:t>
      </w:r>
      <w:r w:rsidR="00FE575D" w:rsidRPr="00FE575D">
        <w:t>4</w:t>
      </w:r>
      <w:r w:rsidR="002349C9" w:rsidRPr="002349C9">
        <w:t xml:space="preserve">0 kW </w:t>
      </w:r>
      <w:r w:rsidR="00FE575D" w:rsidRPr="00FE575D">
        <w:t>DA services</w:t>
      </w:r>
      <w:r w:rsidR="00A62098">
        <w:t>,</w:t>
      </w:r>
      <w:r w:rsidR="00FE575D" w:rsidRPr="00FE575D">
        <w:t xml:space="preserve"> while </w:t>
      </w:r>
      <w:r w:rsidR="00842705" w:rsidRPr="009156E8">
        <w:t xml:space="preserve">the </w:t>
      </w:r>
      <w:r w:rsidR="00621303">
        <w:t xml:space="preserve">new </w:t>
      </w:r>
      <w:r w:rsidR="00913ED2">
        <w:t xml:space="preserve">services would be allocated </w:t>
      </w:r>
      <w:r w:rsidR="002C0F7E" w:rsidRPr="002C0F7E">
        <w:t>the 102.5 MHz, 103.3 MHz and 104.1 MHz frequencies</w:t>
      </w:r>
      <w:r w:rsidR="002C0F7E">
        <w:t>.</w:t>
      </w:r>
      <w:r w:rsidR="00F7737F">
        <w:t xml:space="preserve"> T</w:t>
      </w:r>
      <w:r w:rsidR="00913ED2">
        <w:t xml:space="preserve">he </w:t>
      </w:r>
      <w:r w:rsidR="00842705" w:rsidRPr="009156E8">
        <w:t>ABC AM services would not change.</w:t>
      </w:r>
    </w:p>
    <w:p w14:paraId="70AF8F2C" w14:textId="77777777" w:rsidR="0054756E" w:rsidRDefault="0054756E" w:rsidP="004B3D26">
      <w:pPr>
        <w:pStyle w:val="Heading2"/>
      </w:pPr>
      <w:bookmarkStart w:id="42" w:name="_Toc72241311"/>
      <w:r w:rsidRPr="004B3D26">
        <w:t>Option</w:t>
      </w:r>
      <w:r w:rsidRPr="00842705">
        <w:t xml:space="preserve"> </w:t>
      </w:r>
      <w:r>
        <w:t>4</w:t>
      </w:r>
      <w:bookmarkEnd w:id="42"/>
    </w:p>
    <w:p w14:paraId="3861D304" w14:textId="7D6D5FA0" w:rsidR="0054756E" w:rsidRDefault="00A01C38" w:rsidP="00694084">
      <w:pPr>
        <w:pStyle w:val="Paragraph"/>
        <w:ind w:right="1841"/>
      </w:pPr>
      <w:r>
        <w:t xml:space="preserve">To minimise the </w:t>
      </w:r>
      <w:r w:rsidR="008D72FC">
        <w:t>required changes</w:t>
      </w:r>
      <w:r>
        <w:t xml:space="preserve"> </w:t>
      </w:r>
      <w:r w:rsidR="008D72FC">
        <w:t>to</w:t>
      </w:r>
      <w:r>
        <w:t xml:space="preserve"> the existing services, c</w:t>
      </w:r>
      <w:r w:rsidR="0054756E" w:rsidRPr="0054756E">
        <w:t xml:space="preserve">onvert to FM </w:t>
      </w:r>
      <w:r w:rsidR="0054756E">
        <w:t xml:space="preserve">one of </w:t>
      </w:r>
      <w:r w:rsidR="0054756E" w:rsidRPr="0054756E">
        <w:t xml:space="preserve">the </w:t>
      </w:r>
      <w:r w:rsidR="00A62098">
        <w:t>3</w:t>
      </w:r>
      <w:r w:rsidR="00A62098" w:rsidRPr="0054756E">
        <w:t xml:space="preserve"> </w:t>
      </w:r>
      <w:r w:rsidR="00A62098">
        <w:t>n</w:t>
      </w:r>
      <w:r w:rsidR="0054756E" w:rsidRPr="0054756E">
        <w:t xml:space="preserve">ational ABC AM services (6PB, 6WF </w:t>
      </w:r>
      <w:r w:rsidR="0054756E">
        <w:t>or</w:t>
      </w:r>
      <w:r w:rsidR="0054756E" w:rsidRPr="0054756E">
        <w:t xml:space="preserve"> 6RN) only. Under this option</w:t>
      </w:r>
      <w:r w:rsidR="00A62098">
        <w:t>,</w:t>
      </w:r>
      <w:r w:rsidR="0054756E" w:rsidRPr="0054756E">
        <w:t xml:space="preserve"> the ABC</w:t>
      </w:r>
      <w:r w:rsidR="0062115D">
        <w:t xml:space="preserve"> </w:t>
      </w:r>
      <w:r w:rsidR="0054756E" w:rsidRPr="0054756E">
        <w:t>will be allocated the 103.3 MHz frequenc</w:t>
      </w:r>
      <w:r w:rsidR="00245DDB">
        <w:t xml:space="preserve">y </w:t>
      </w:r>
      <w:r w:rsidR="0054756E" w:rsidRPr="0054756E">
        <w:t xml:space="preserve">to allow for </w:t>
      </w:r>
      <w:r w:rsidR="00F97E71">
        <w:t xml:space="preserve">a </w:t>
      </w:r>
      <w:r w:rsidR="0054756E" w:rsidRPr="0054756E">
        <w:t>new high</w:t>
      </w:r>
      <w:r w:rsidR="007A1EB6">
        <w:t>-</w:t>
      </w:r>
      <w:r w:rsidR="0054756E" w:rsidRPr="0054756E">
        <w:t>power/wide</w:t>
      </w:r>
      <w:r w:rsidR="007A1EB6">
        <w:t>-</w:t>
      </w:r>
      <w:r w:rsidR="0054756E" w:rsidRPr="0054756E">
        <w:t>coverage up to 100 kW OD service</w:t>
      </w:r>
      <w:r w:rsidR="007B6918">
        <w:t xml:space="preserve">. Making </w:t>
      </w:r>
      <w:r w:rsidR="002F54CE">
        <w:t xml:space="preserve">the </w:t>
      </w:r>
      <w:r w:rsidR="007B6918">
        <w:t xml:space="preserve">103.3 MHz frequency available requires only one consequential frequency change (the </w:t>
      </w:r>
      <w:r w:rsidR="007B6918" w:rsidRPr="00913CE3">
        <w:t>Perth City HPON</w:t>
      </w:r>
      <w:r w:rsidR="007B6918">
        <w:t xml:space="preserve"> frequency change). T</w:t>
      </w:r>
      <w:r w:rsidR="00F97E71">
        <w:t xml:space="preserve">he other </w:t>
      </w:r>
      <w:r w:rsidR="00733403">
        <w:t>2 n</w:t>
      </w:r>
      <w:r w:rsidR="007470B2" w:rsidRPr="007470B2">
        <w:t>ational ABC AM services</w:t>
      </w:r>
      <w:r w:rsidR="007B5F1B">
        <w:t xml:space="preserve"> and</w:t>
      </w:r>
      <w:r w:rsidR="007470B2">
        <w:t xml:space="preserve"> </w:t>
      </w:r>
      <w:r w:rsidR="0054756E" w:rsidRPr="0054756E">
        <w:t xml:space="preserve">the commercial AM services </w:t>
      </w:r>
      <w:r w:rsidR="007B5F1B" w:rsidRPr="007B5F1B">
        <w:t xml:space="preserve">(6IX and 6PR) </w:t>
      </w:r>
      <w:r w:rsidR="0054756E" w:rsidRPr="0054756E">
        <w:t>would not change.</w:t>
      </w:r>
    </w:p>
    <w:p w14:paraId="611D3821" w14:textId="17A42C83" w:rsidR="0017283B" w:rsidRDefault="0017283B" w:rsidP="004B3D26">
      <w:pPr>
        <w:pStyle w:val="Heading2"/>
      </w:pPr>
      <w:bookmarkStart w:id="43" w:name="_Toc72241312"/>
      <w:r w:rsidRPr="004B3D26">
        <w:t>Option</w:t>
      </w:r>
      <w:r w:rsidRPr="00842705">
        <w:t xml:space="preserve"> </w:t>
      </w:r>
      <w:r w:rsidR="0054756E">
        <w:t>5</w:t>
      </w:r>
      <w:bookmarkEnd w:id="43"/>
    </w:p>
    <w:p w14:paraId="28D164AD" w14:textId="40E05D07" w:rsidR="00842705" w:rsidRPr="0091335F" w:rsidRDefault="00842705" w:rsidP="00694084">
      <w:pPr>
        <w:pStyle w:val="Paragraph"/>
        <w:ind w:right="1841"/>
      </w:pPr>
      <w:r w:rsidRPr="00BD06BF">
        <w:t xml:space="preserve">Plan </w:t>
      </w:r>
      <w:r>
        <w:t xml:space="preserve">for </w:t>
      </w:r>
      <w:r w:rsidR="00733403">
        <w:t>3</w:t>
      </w:r>
      <w:r w:rsidR="00733403" w:rsidRPr="00D00766">
        <w:t xml:space="preserve"> </w:t>
      </w:r>
      <w:r w:rsidRPr="00793FB6">
        <w:t xml:space="preserve">new </w:t>
      </w:r>
      <w:r w:rsidR="00AC385B">
        <w:t>high</w:t>
      </w:r>
      <w:r w:rsidR="00733403">
        <w:t>-</w:t>
      </w:r>
      <w:r w:rsidR="00AC385B">
        <w:t xml:space="preserve">power </w:t>
      </w:r>
      <w:r>
        <w:t>FM services in the Perth l</w:t>
      </w:r>
      <w:r w:rsidRPr="008071A6">
        <w:t xml:space="preserve">icence </w:t>
      </w:r>
      <w:r>
        <w:t>a</w:t>
      </w:r>
      <w:r w:rsidRPr="008071A6">
        <w:t>rea</w:t>
      </w:r>
      <w:r>
        <w:t xml:space="preserve"> for any category or categories of broadcasting. Under this option</w:t>
      </w:r>
      <w:r w:rsidR="00733403">
        <w:t>,</w:t>
      </w:r>
      <w:r>
        <w:t xml:space="preserve"> the </w:t>
      </w:r>
      <w:r w:rsidR="000B4CFE">
        <w:t>new services w</w:t>
      </w:r>
      <w:r w:rsidR="00CC4503">
        <w:t>ould</w:t>
      </w:r>
      <w:r w:rsidR="000B4CFE">
        <w:t xml:space="preserve"> be allocated the 102.5 MHz, 103.3 MHZ and 104.</w:t>
      </w:r>
      <w:r w:rsidR="002F54CE">
        <w:t>1 </w:t>
      </w:r>
      <w:r w:rsidR="000B4CFE">
        <w:t xml:space="preserve">MHz frequencies to allow for new </w:t>
      </w:r>
      <w:r w:rsidR="003C7626" w:rsidRPr="003C7626">
        <w:t>high</w:t>
      </w:r>
      <w:r w:rsidR="008C5EFB">
        <w:t>-</w:t>
      </w:r>
      <w:r w:rsidR="003C7626" w:rsidRPr="003C7626">
        <w:t>power</w:t>
      </w:r>
      <w:r w:rsidR="002F54CE">
        <w:t>/</w:t>
      </w:r>
      <w:r w:rsidR="003C7626" w:rsidRPr="003C7626">
        <w:t>wide</w:t>
      </w:r>
      <w:r w:rsidR="002F54CE">
        <w:t>-</w:t>
      </w:r>
      <w:r w:rsidR="003C7626" w:rsidRPr="003C7626">
        <w:t>coverage up to 100 kW OD</w:t>
      </w:r>
      <w:r w:rsidR="000B4CFE">
        <w:t xml:space="preserve"> </w:t>
      </w:r>
      <w:r w:rsidR="000B4CFE" w:rsidRPr="004F0545">
        <w:rPr>
          <w:color w:val="000000" w:themeColor="text1"/>
          <w:szCs w:val="20"/>
        </w:rPr>
        <w:t>service</w:t>
      </w:r>
      <w:r w:rsidR="000B4CFE">
        <w:rPr>
          <w:color w:val="000000" w:themeColor="text1"/>
          <w:szCs w:val="20"/>
        </w:rPr>
        <w:t>s</w:t>
      </w:r>
      <w:r w:rsidR="008C5EFB">
        <w:rPr>
          <w:color w:val="000000" w:themeColor="text1"/>
          <w:szCs w:val="20"/>
        </w:rPr>
        <w:t>,</w:t>
      </w:r>
      <w:r w:rsidR="003743AB">
        <w:rPr>
          <w:color w:val="000000" w:themeColor="text1"/>
          <w:szCs w:val="20"/>
        </w:rPr>
        <w:t xml:space="preserve"> while the </w:t>
      </w:r>
      <w:r>
        <w:t>ABC and commercial AM services would not change.</w:t>
      </w:r>
    </w:p>
    <w:p w14:paraId="6776A1CC" w14:textId="6F14E0BE" w:rsidR="005F17F1" w:rsidRPr="009521E7" w:rsidRDefault="009F6637" w:rsidP="00523282">
      <w:pPr>
        <w:pStyle w:val="Heading2"/>
        <w:keepLines/>
        <w:spacing w:after="120"/>
        <w:ind w:right="1841"/>
        <w:rPr>
          <w:sz w:val="20"/>
          <w:szCs w:val="20"/>
        </w:rPr>
      </w:pPr>
      <w:bookmarkStart w:id="44" w:name="_Toc72241313"/>
      <w:r>
        <w:t xml:space="preserve">Options </w:t>
      </w:r>
      <w:r w:rsidR="003443C4">
        <w:t>assessment</w:t>
      </w:r>
      <w:bookmarkEnd w:id="44"/>
    </w:p>
    <w:p w14:paraId="056A43D2" w14:textId="12654F18" w:rsidR="005E38EF" w:rsidRDefault="007A1221" w:rsidP="00694084">
      <w:pPr>
        <w:pStyle w:val="Heading3"/>
        <w:keepLines/>
        <w:ind w:right="1841"/>
      </w:pPr>
      <w:r w:rsidRPr="00023EE7">
        <w:t>Option</w:t>
      </w:r>
      <w:r w:rsidR="00EB69E7" w:rsidRPr="00023EE7">
        <w:t xml:space="preserve"> 1</w:t>
      </w:r>
      <w:r w:rsidR="00605A27">
        <w:t xml:space="preserve"> </w:t>
      </w:r>
    </w:p>
    <w:p w14:paraId="1A01759A" w14:textId="6681D5B5" w:rsidR="003B5180" w:rsidRPr="002C300A" w:rsidRDefault="00405B88" w:rsidP="00694084">
      <w:pPr>
        <w:pStyle w:val="Bulletlevel1"/>
        <w:keepNext/>
        <w:keepLines/>
        <w:ind w:right="1841"/>
        <w:rPr>
          <w:color w:val="000000" w:themeColor="text1"/>
          <w:szCs w:val="20"/>
        </w:rPr>
      </w:pPr>
      <w:r w:rsidRPr="003B5180">
        <w:t>Converting</w:t>
      </w:r>
      <w:r w:rsidR="00AD3297" w:rsidRPr="003B5180">
        <w:rPr>
          <w:rFonts w:cs="Times New Roman"/>
        </w:rPr>
        <w:t xml:space="preserve"> </w:t>
      </w:r>
      <w:r w:rsidR="00AD3297" w:rsidRPr="003B5180">
        <w:t xml:space="preserve">the </w:t>
      </w:r>
      <w:r w:rsidR="008C5EFB">
        <w:t>c</w:t>
      </w:r>
      <w:r w:rsidR="001F4622" w:rsidRPr="003B5180">
        <w:t xml:space="preserve">ommercial and </w:t>
      </w:r>
      <w:r w:rsidR="008C5EFB">
        <w:t>n</w:t>
      </w:r>
      <w:r w:rsidR="001F4622" w:rsidRPr="003B5180">
        <w:t>ational services</w:t>
      </w:r>
      <w:r w:rsidR="00AD3297" w:rsidRPr="003B5180">
        <w:t xml:space="preserve"> w</w:t>
      </w:r>
      <w:r w:rsidR="00CC4503">
        <w:t>ould</w:t>
      </w:r>
      <w:r w:rsidR="00AD3297" w:rsidRPr="003B5180">
        <w:t xml:space="preserve"> allow </w:t>
      </w:r>
      <w:r w:rsidR="00847EF4">
        <w:t>for resolution of</w:t>
      </w:r>
      <w:r w:rsidR="00AD3297" w:rsidRPr="003B5180">
        <w:t xml:space="preserve"> a longstanding issue regarding poor AM reception in the Perth area due to its adverse environmental conditions for AM propagation</w:t>
      </w:r>
      <w:r w:rsidR="001F4622" w:rsidRPr="003B5180">
        <w:t>.</w:t>
      </w:r>
      <w:r w:rsidR="000A58C3">
        <w:t xml:space="preserve"> A</w:t>
      </w:r>
      <w:r w:rsidR="006A5C83">
        <w:t>lso</w:t>
      </w:r>
      <w:r w:rsidRPr="003B5180">
        <w:t>, the allocation of an additional repeater(s) for the 6PR service w</w:t>
      </w:r>
      <w:r w:rsidR="00CC4503">
        <w:t>ould</w:t>
      </w:r>
      <w:r w:rsidRPr="003B5180">
        <w:t xml:space="preserve"> not be necessary</w:t>
      </w:r>
      <w:r w:rsidR="00533EE8">
        <w:t>.</w:t>
      </w:r>
    </w:p>
    <w:p w14:paraId="6915729C" w14:textId="158E19DA" w:rsidR="00533EE8" w:rsidRPr="00023EE7" w:rsidRDefault="00533EE8" w:rsidP="00694084">
      <w:pPr>
        <w:pStyle w:val="Bulletlevel1"/>
        <w:keepNext/>
        <w:keepLines/>
        <w:ind w:right="1841"/>
        <w:rPr>
          <w:color w:val="000000" w:themeColor="text1"/>
          <w:szCs w:val="20"/>
        </w:rPr>
      </w:pPr>
      <w:r w:rsidRPr="00533EE8">
        <w:t xml:space="preserve">Converting all </w:t>
      </w:r>
      <w:r w:rsidR="00004DA9">
        <w:t>n</w:t>
      </w:r>
      <w:r w:rsidRPr="00533EE8">
        <w:t xml:space="preserve">ational and </w:t>
      </w:r>
      <w:r w:rsidR="002F54CE">
        <w:t>c</w:t>
      </w:r>
      <w:r w:rsidR="00E57E58">
        <w:t>ommercial</w:t>
      </w:r>
      <w:r w:rsidRPr="00533EE8">
        <w:t xml:space="preserve"> services to FM w</w:t>
      </w:r>
      <w:r w:rsidR="00CC4503">
        <w:t>ould</w:t>
      </w:r>
      <w:r w:rsidRPr="00533EE8">
        <w:t xml:space="preserve"> also allow for full </w:t>
      </w:r>
      <w:r w:rsidR="002F54CE">
        <w:t>use</w:t>
      </w:r>
      <w:r w:rsidR="002F54CE" w:rsidRPr="00533EE8">
        <w:t xml:space="preserve"> </w:t>
      </w:r>
      <w:r w:rsidRPr="00533EE8">
        <w:t>of the identified additional high</w:t>
      </w:r>
      <w:r w:rsidR="00004DA9">
        <w:t>-</w:t>
      </w:r>
      <w:r w:rsidRPr="00533EE8">
        <w:t>power/wide</w:t>
      </w:r>
      <w:r w:rsidR="00004DA9">
        <w:t>-</w:t>
      </w:r>
      <w:r w:rsidRPr="00533EE8">
        <w:t xml:space="preserve">coverage frequencies. The availability of </w:t>
      </w:r>
      <w:r w:rsidR="00004DA9">
        <w:t>2</w:t>
      </w:r>
      <w:r w:rsidR="00004DA9" w:rsidRPr="00533EE8">
        <w:t xml:space="preserve"> </w:t>
      </w:r>
      <w:r w:rsidRPr="00533EE8">
        <w:t>of the identified frequencies (91.</w:t>
      </w:r>
      <w:r w:rsidR="002F54CE" w:rsidRPr="00533EE8">
        <w:t>3</w:t>
      </w:r>
      <w:r w:rsidR="002F54CE">
        <w:t> </w:t>
      </w:r>
      <w:r w:rsidRPr="00533EE8">
        <w:t xml:space="preserve">MHz and 104.9 MHz) is subject to the AM commercial services </w:t>
      </w:r>
      <w:r w:rsidR="00847EF4">
        <w:t xml:space="preserve">being </w:t>
      </w:r>
      <w:r w:rsidRPr="00533EE8">
        <w:t>converted to FM as those frequencies are already in use for</w:t>
      </w:r>
      <w:r w:rsidR="00004DA9">
        <w:t>,</w:t>
      </w:r>
      <w:r w:rsidRPr="00533EE8">
        <w:t xml:space="preserve"> or earmarked</w:t>
      </w:r>
      <w:r w:rsidR="00004DA9">
        <w:t>,</w:t>
      </w:r>
      <w:r w:rsidRPr="00533EE8">
        <w:t xml:space="preserve"> as ‘translator’ or infill services</w:t>
      </w:r>
      <w:r>
        <w:t>.</w:t>
      </w:r>
    </w:p>
    <w:p w14:paraId="199E930B" w14:textId="36015C18" w:rsidR="00023EE7" w:rsidRPr="00023EE7" w:rsidRDefault="00004DA9" w:rsidP="00694084">
      <w:pPr>
        <w:pStyle w:val="Bulletlevel1last"/>
        <w:ind w:right="1841"/>
        <w:rPr>
          <w:color w:val="000000" w:themeColor="text1"/>
          <w:szCs w:val="20"/>
        </w:rPr>
      </w:pPr>
      <w:r>
        <w:t xml:space="preserve">This option also </w:t>
      </w:r>
      <w:r w:rsidRPr="00023EE7">
        <w:t>align</w:t>
      </w:r>
      <w:r>
        <w:t>s</w:t>
      </w:r>
      <w:r w:rsidRPr="00023EE7">
        <w:t xml:space="preserve"> </w:t>
      </w:r>
      <w:r w:rsidR="00023EE7" w:rsidRPr="00023EE7">
        <w:t xml:space="preserve">with </w:t>
      </w:r>
      <w:r w:rsidR="00ED52A3">
        <w:t xml:space="preserve">our understanding of </w:t>
      </w:r>
      <w:r w:rsidR="00023EE7" w:rsidRPr="00023EE7">
        <w:t>the ABC’s radio planning priorities</w:t>
      </w:r>
      <w:r w:rsidR="00ED52A3">
        <w:t>.</w:t>
      </w:r>
    </w:p>
    <w:p w14:paraId="443BAE94" w14:textId="220121BC" w:rsidR="00B92755" w:rsidRPr="00B92755" w:rsidRDefault="00B92755" w:rsidP="00694084">
      <w:pPr>
        <w:pStyle w:val="Heading3"/>
        <w:ind w:right="1841"/>
        <w:rPr>
          <w:color w:val="000000" w:themeColor="text1"/>
          <w:szCs w:val="20"/>
        </w:rPr>
      </w:pPr>
      <w:r w:rsidRPr="00393105">
        <w:t xml:space="preserve">Option </w:t>
      </w:r>
      <w:r>
        <w:t>2</w:t>
      </w:r>
    </w:p>
    <w:p w14:paraId="1574E0E0" w14:textId="68B492C6" w:rsidR="00023EE7" w:rsidRPr="00023EE7" w:rsidRDefault="00023EE7" w:rsidP="00694084">
      <w:pPr>
        <w:pStyle w:val="Bulletlevel1"/>
        <w:ind w:right="1841"/>
      </w:pPr>
      <w:r w:rsidRPr="00023EE7">
        <w:t xml:space="preserve">Converting the </w:t>
      </w:r>
      <w:bookmarkStart w:id="45" w:name="_Hlk66974424"/>
      <w:r w:rsidR="002F54CE">
        <w:t>n</w:t>
      </w:r>
      <w:r w:rsidR="00485328" w:rsidRPr="00023EE7">
        <w:t>ational</w:t>
      </w:r>
      <w:bookmarkEnd w:id="45"/>
      <w:r w:rsidR="00485328">
        <w:t xml:space="preserve"> AM</w:t>
      </w:r>
      <w:r w:rsidRPr="00023EE7">
        <w:t xml:space="preserve"> services w</w:t>
      </w:r>
      <w:r w:rsidR="00CC4503">
        <w:t>ould</w:t>
      </w:r>
      <w:r w:rsidRPr="00023EE7">
        <w:t xml:space="preserve"> allow</w:t>
      </w:r>
      <w:r w:rsidR="002E2186">
        <w:t xml:space="preserve"> resolution of</w:t>
      </w:r>
      <w:r w:rsidRPr="00023EE7">
        <w:t xml:space="preserve"> a longstanding issue regarding poor </w:t>
      </w:r>
      <w:r>
        <w:t xml:space="preserve">ABC </w:t>
      </w:r>
      <w:r w:rsidRPr="00023EE7">
        <w:t xml:space="preserve">AM reception in the Perth area due to its adverse environmental conditions for AM propagation. </w:t>
      </w:r>
    </w:p>
    <w:p w14:paraId="60DD5F95" w14:textId="407D611D" w:rsidR="00485328" w:rsidRDefault="00AB1816" w:rsidP="00694084">
      <w:pPr>
        <w:pStyle w:val="Bulletlevel1"/>
        <w:ind w:right="1841"/>
      </w:pPr>
      <w:r>
        <w:t xml:space="preserve">This option </w:t>
      </w:r>
      <w:r w:rsidR="00023EE7" w:rsidRPr="00023EE7">
        <w:t xml:space="preserve">also </w:t>
      </w:r>
      <w:r w:rsidRPr="00023EE7">
        <w:t>align</w:t>
      </w:r>
      <w:r>
        <w:t>s</w:t>
      </w:r>
      <w:r w:rsidRPr="00023EE7">
        <w:t xml:space="preserve"> </w:t>
      </w:r>
      <w:r w:rsidR="00023EE7" w:rsidRPr="00023EE7">
        <w:t>with</w:t>
      </w:r>
      <w:r w:rsidR="00ED52A3" w:rsidRPr="00ED52A3">
        <w:rPr>
          <w:rFonts w:cs="Times New Roman"/>
        </w:rPr>
        <w:t xml:space="preserve"> </w:t>
      </w:r>
      <w:r w:rsidR="00ED52A3" w:rsidRPr="00ED52A3">
        <w:t>our understanding</w:t>
      </w:r>
      <w:r w:rsidR="00ED52A3">
        <w:t xml:space="preserve"> of</w:t>
      </w:r>
      <w:r w:rsidR="00023EE7" w:rsidRPr="00023EE7">
        <w:t xml:space="preserve"> the ABC’s radio planning priorities.</w:t>
      </w:r>
    </w:p>
    <w:p w14:paraId="1430E664" w14:textId="6825D6A1" w:rsidR="00485328" w:rsidRPr="00485328" w:rsidRDefault="00485328" w:rsidP="00694084">
      <w:pPr>
        <w:pStyle w:val="Bulletlevel1last"/>
        <w:ind w:right="1841"/>
      </w:pPr>
      <w:r>
        <w:t>T</w:t>
      </w:r>
      <w:r w:rsidRPr="00485328">
        <w:t xml:space="preserve">he </w:t>
      </w:r>
      <w:r w:rsidR="00AB1816">
        <w:t>c</w:t>
      </w:r>
      <w:r w:rsidRPr="00485328">
        <w:t xml:space="preserve">ommercial AM services would </w:t>
      </w:r>
      <w:r>
        <w:t xml:space="preserve">continue to operate with unresolved </w:t>
      </w:r>
      <w:r w:rsidRPr="00023EE7">
        <w:t>issue</w:t>
      </w:r>
      <w:r>
        <w:t>s</w:t>
      </w:r>
      <w:r w:rsidRPr="00023EE7">
        <w:t xml:space="preserve"> regarding poor</w:t>
      </w:r>
      <w:r>
        <w:t xml:space="preserve"> </w:t>
      </w:r>
      <w:r w:rsidRPr="00023EE7">
        <w:t xml:space="preserve">AM reception in the Perth area due to its adverse environmental conditions for AM propagation. </w:t>
      </w:r>
    </w:p>
    <w:p w14:paraId="0E49C2F3" w14:textId="66EB7695" w:rsidR="00485328" w:rsidRPr="00B92755" w:rsidRDefault="00485328" w:rsidP="00694084">
      <w:pPr>
        <w:pStyle w:val="Heading3"/>
        <w:ind w:right="1841"/>
        <w:rPr>
          <w:color w:val="000000" w:themeColor="text1"/>
          <w:szCs w:val="20"/>
        </w:rPr>
      </w:pPr>
      <w:r w:rsidRPr="00393105">
        <w:t xml:space="preserve">Option </w:t>
      </w:r>
      <w:r>
        <w:t>3</w:t>
      </w:r>
    </w:p>
    <w:p w14:paraId="3EC8AF0E" w14:textId="35337F0C" w:rsidR="00485328" w:rsidRPr="00023EE7" w:rsidRDefault="00485328" w:rsidP="00694084">
      <w:pPr>
        <w:pStyle w:val="Bulletlevel1"/>
        <w:ind w:right="1841"/>
      </w:pPr>
      <w:r w:rsidRPr="00023EE7">
        <w:t xml:space="preserve">Converting the </w:t>
      </w:r>
      <w:r w:rsidR="00AB1816">
        <w:t>c</w:t>
      </w:r>
      <w:r w:rsidRPr="00485328">
        <w:t>ommercia</w:t>
      </w:r>
      <w:r>
        <w:t>l</w:t>
      </w:r>
      <w:r w:rsidRPr="00023EE7">
        <w:t xml:space="preserve"> </w:t>
      </w:r>
      <w:r>
        <w:t xml:space="preserve">AM </w:t>
      </w:r>
      <w:r w:rsidRPr="00023EE7">
        <w:t>services w</w:t>
      </w:r>
      <w:r w:rsidR="00CC4503">
        <w:t>ould</w:t>
      </w:r>
      <w:r w:rsidRPr="00023EE7">
        <w:t xml:space="preserve"> allow </w:t>
      </w:r>
      <w:r w:rsidR="00CC4503">
        <w:t>for</w:t>
      </w:r>
      <w:r w:rsidR="00CC4503" w:rsidRPr="00023EE7">
        <w:t xml:space="preserve"> </w:t>
      </w:r>
      <w:r w:rsidR="00CC4503">
        <w:t xml:space="preserve">the </w:t>
      </w:r>
      <w:r w:rsidRPr="00023EE7">
        <w:t>resol</w:t>
      </w:r>
      <w:r w:rsidR="00CC4503">
        <w:t>ution of</w:t>
      </w:r>
      <w:r w:rsidRPr="00023EE7">
        <w:t xml:space="preserve"> </w:t>
      </w:r>
      <w:r w:rsidR="006A439B">
        <w:t>the</w:t>
      </w:r>
      <w:r w:rsidR="006A439B" w:rsidRPr="00023EE7">
        <w:t xml:space="preserve"> </w:t>
      </w:r>
      <w:r w:rsidRPr="00023EE7">
        <w:t>longstanding issue regarding poor</w:t>
      </w:r>
      <w:r>
        <w:t xml:space="preserve"> </w:t>
      </w:r>
      <w:r w:rsidRPr="00023EE7">
        <w:t xml:space="preserve">AM reception in the Perth area due to its adverse environmental conditions for AM propagation. </w:t>
      </w:r>
    </w:p>
    <w:p w14:paraId="2EE6D468" w14:textId="151D80AD" w:rsidR="00485328" w:rsidRPr="00485328" w:rsidRDefault="00485328" w:rsidP="00694084">
      <w:pPr>
        <w:pStyle w:val="Bulletlevel1last"/>
        <w:ind w:right="1841"/>
      </w:pPr>
      <w:r>
        <w:t>T</w:t>
      </w:r>
      <w:r w:rsidRPr="00485328">
        <w:t xml:space="preserve">he </w:t>
      </w:r>
      <w:r w:rsidR="00AB1816">
        <w:t>n</w:t>
      </w:r>
      <w:r w:rsidRPr="00023EE7">
        <w:t>ational</w:t>
      </w:r>
      <w:r w:rsidRPr="00485328">
        <w:t xml:space="preserve"> AM services would </w:t>
      </w:r>
      <w:r>
        <w:t xml:space="preserve">continue to operate with unresolved </w:t>
      </w:r>
      <w:r w:rsidRPr="00023EE7">
        <w:t>issue</w:t>
      </w:r>
      <w:r>
        <w:t>s</w:t>
      </w:r>
      <w:r w:rsidRPr="00023EE7">
        <w:t xml:space="preserve"> regarding poor</w:t>
      </w:r>
      <w:r>
        <w:t xml:space="preserve"> </w:t>
      </w:r>
      <w:r w:rsidRPr="00023EE7">
        <w:t xml:space="preserve">AM reception in the Perth area due to its adverse environmental conditions for AM propagation. </w:t>
      </w:r>
    </w:p>
    <w:p w14:paraId="048D7673" w14:textId="77777777" w:rsidR="004E2C3D" w:rsidRPr="004E2C3D" w:rsidRDefault="004E2C3D" w:rsidP="00694084">
      <w:pPr>
        <w:pStyle w:val="Heading3"/>
        <w:ind w:right="1841"/>
      </w:pPr>
      <w:r w:rsidRPr="004E2C3D">
        <w:t>Option 4</w:t>
      </w:r>
    </w:p>
    <w:p w14:paraId="4205D6EB" w14:textId="36871CAB" w:rsidR="004E2C3D" w:rsidRPr="007B6918" w:rsidRDefault="004E2C3D" w:rsidP="00694084">
      <w:pPr>
        <w:pStyle w:val="Bulletlevel1"/>
        <w:ind w:right="1841"/>
      </w:pPr>
      <w:r w:rsidRPr="007B6918">
        <w:t>This option allow</w:t>
      </w:r>
      <w:r w:rsidR="00781B61">
        <w:t>s</w:t>
      </w:r>
      <w:r w:rsidRPr="007B6918">
        <w:t xml:space="preserve"> for</w:t>
      </w:r>
      <w:r w:rsidR="00A80C52">
        <w:t xml:space="preserve"> converting one </w:t>
      </w:r>
      <w:r w:rsidR="00AB1816">
        <w:t>n</w:t>
      </w:r>
      <w:r w:rsidR="00A80C52">
        <w:t>ational AB</w:t>
      </w:r>
      <w:r w:rsidR="002A6D25">
        <w:t>C AM service</w:t>
      </w:r>
      <w:r w:rsidRPr="007B6918">
        <w:t xml:space="preserve"> </w:t>
      </w:r>
      <w:r w:rsidR="00F22916">
        <w:t xml:space="preserve">to FM with minimal changes </w:t>
      </w:r>
      <w:r w:rsidR="007B6918">
        <w:t xml:space="preserve">to the existing services </w:t>
      </w:r>
      <w:r w:rsidR="005764A1">
        <w:t>(</w:t>
      </w:r>
      <w:r w:rsidR="002F54CE">
        <w:t xml:space="preserve">a </w:t>
      </w:r>
      <w:r w:rsidR="0042218D">
        <w:t xml:space="preserve">frequency change of the </w:t>
      </w:r>
      <w:r w:rsidR="0042218D" w:rsidRPr="00913CE3">
        <w:t xml:space="preserve">Perth City HPON </w:t>
      </w:r>
      <w:r w:rsidR="00E40FE6">
        <w:t>operating on 91.1 MHz</w:t>
      </w:r>
      <w:r w:rsidR="00781710">
        <w:t xml:space="preserve"> </w:t>
      </w:r>
      <w:r w:rsidR="0042218D">
        <w:t xml:space="preserve">is the only requirement </w:t>
      </w:r>
      <w:r w:rsidR="003534DD">
        <w:t>under this option)</w:t>
      </w:r>
      <w:r w:rsidR="0042218D">
        <w:t>.</w:t>
      </w:r>
    </w:p>
    <w:p w14:paraId="7512D799" w14:textId="51D417B8" w:rsidR="004E2C3D" w:rsidRPr="007B6918" w:rsidRDefault="004E2C3D" w:rsidP="00694084">
      <w:pPr>
        <w:pStyle w:val="Bulletlevel1last"/>
        <w:ind w:right="1841"/>
      </w:pPr>
      <w:r w:rsidRPr="007B6918">
        <w:t xml:space="preserve">The </w:t>
      </w:r>
      <w:r w:rsidR="00615E31">
        <w:t xml:space="preserve">2 </w:t>
      </w:r>
      <w:r w:rsidR="007B6918">
        <w:t xml:space="preserve">remaining </w:t>
      </w:r>
      <w:r w:rsidR="00615E31">
        <w:t>n</w:t>
      </w:r>
      <w:r w:rsidRPr="007B6918">
        <w:t xml:space="preserve">ational </w:t>
      </w:r>
      <w:r w:rsidR="007B6918">
        <w:t xml:space="preserve">services </w:t>
      </w:r>
      <w:r w:rsidRPr="007B6918">
        <w:t xml:space="preserve">and </w:t>
      </w:r>
      <w:r w:rsidR="00CE2045">
        <w:t xml:space="preserve">the </w:t>
      </w:r>
      <w:r w:rsidR="00615E31">
        <w:t>2 c</w:t>
      </w:r>
      <w:r w:rsidRPr="007B6918">
        <w:t xml:space="preserve">ommercial AM services would continue to operate with unresolved issues regarding poor AM reception in the Perth area due to its adverse environmental conditions for AM propagation. </w:t>
      </w:r>
    </w:p>
    <w:p w14:paraId="46658D06" w14:textId="5964C524" w:rsidR="00485328" w:rsidRPr="00485328" w:rsidRDefault="00485328" w:rsidP="00694084">
      <w:pPr>
        <w:pStyle w:val="Heading3"/>
        <w:ind w:right="1841"/>
      </w:pPr>
      <w:r w:rsidRPr="00615E31">
        <w:t>Option</w:t>
      </w:r>
      <w:r w:rsidRPr="00772988">
        <w:t xml:space="preserve"> </w:t>
      </w:r>
      <w:r w:rsidR="009F7AC4" w:rsidRPr="00772988">
        <w:t>5</w:t>
      </w:r>
    </w:p>
    <w:p w14:paraId="78D21936" w14:textId="509ED878" w:rsidR="001E623D" w:rsidRPr="00485328" w:rsidRDefault="002E2186" w:rsidP="00694084">
      <w:pPr>
        <w:pStyle w:val="Bulletlevel1"/>
        <w:ind w:right="1841"/>
        <w:rPr>
          <w:bCs/>
        </w:rPr>
      </w:pPr>
      <w:r>
        <w:rPr>
          <w:bCs/>
        </w:rPr>
        <w:t xml:space="preserve">This option </w:t>
      </w:r>
      <w:r w:rsidR="00CC4503">
        <w:rPr>
          <w:bCs/>
        </w:rPr>
        <w:t xml:space="preserve">would </w:t>
      </w:r>
      <w:r w:rsidR="001E623D" w:rsidRPr="00485328">
        <w:rPr>
          <w:bCs/>
        </w:rPr>
        <w:t>allow</w:t>
      </w:r>
      <w:r w:rsidR="00CC4503">
        <w:rPr>
          <w:bCs/>
        </w:rPr>
        <w:t xml:space="preserve"> for</w:t>
      </w:r>
      <w:r w:rsidR="001E623D" w:rsidRPr="00485328">
        <w:rPr>
          <w:bCs/>
        </w:rPr>
        <w:t xml:space="preserve"> new high</w:t>
      </w:r>
      <w:r w:rsidR="00615E31">
        <w:rPr>
          <w:bCs/>
        </w:rPr>
        <w:t>-</w:t>
      </w:r>
      <w:r w:rsidR="001E623D" w:rsidRPr="00485328">
        <w:rPr>
          <w:bCs/>
        </w:rPr>
        <w:t xml:space="preserve">power services </w:t>
      </w:r>
      <w:r w:rsidR="001E623D">
        <w:rPr>
          <w:bCs/>
        </w:rPr>
        <w:t xml:space="preserve">to be operated </w:t>
      </w:r>
      <w:r w:rsidR="001E623D" w:rsidRPr="00485328">
        <w:t>in the Perth licence area.</w:t>
      </w:r>
    </w:p>
    <w:p w14:paraId="6A7DF0B4" w14:textId="58FDD390" w:rsidR="00485328" w:rsidRPr="00485328" w:rsidRDefault="00485328" w:rsidP="00694084">
      <w:pPr>
        <w:pStyle w:val="Bulletlevel1last"/>
        <w:ind w:right="1841"/>
        <w:rPr>
          <w:bCs/>
        </w:rPr>
      </w:pPr>
      <w:r w:rsidRPr="00485328">
        <w:t xml:space="preserve">The </w:t>
      </w:r>
      <w:r w:rsidR="00615E31">
        <w:t>n</w:t>
      </w:r>
      <w:r w:rsidRPr="004D4FC6">
        <w:t>ational</w:t>
      </w:r>
      <w:r w:rsidRPr="00485328">
        <w:t xml:space="preserve"> </w:t>
      </w:r>
      <w:r>
        <w:t xml:space="preserve">and </w:t>
      </w:r>
      <w:r w:rsidR="00615E31">
        <w:t>c</w:t>
      </w:r>
      <w:r>
        <w:t xml:space="preserve">ommercial </w:t>
      </w:r>
      <w:r w:rsidRPr="00485328">
        <w:t>AM services would continue to operate with unresolved</w:t>
      </w:r>
      <w:r w:rsidRPr="00485328">
        <w:rPr>
          <w:bCs/>
        </w:rPr>
        <w:t xml:space="preserve"> issues regarding poor AM reception in the Perth area due to its adverse environmental conditions for AM propagation.</w:t>
      </w:r>
      <w:r w:rsidRPr="00485328">
        <w:t xml:space="preserve"> </w:t>
      </w:r>
    </w:p>
    <w:p w14:paraId="0BFB4ECC" w14:textId="50CCE9D2" w:rsidR="00023EE7" w:rsidRPr="007B6918" w:rsidRDefault="001E623D" w:rsidP="00694084">
      <w:pPr>
        <w:pStyle w:val="Heading3"/>
        <w:ind w:right="1841"/>
      </w:pPr>
      <w:r w:rsidRPr="007B6918">
        <w:t xml:space="preserve">The </w:t>
      </w:r>
      <w:r w:rsidR="00D60C05">
        <w:t>case for change</w:t>
      </w:r>
    </w:p>
    <w:p w14:paraId="61B8888E" w14:textId="6C60587B" w:rsidR="0032283C" w:rsidRPr="007B6918" w:rsidRDefault="00615E31" w:rsidP="00694084">
      <w:pPr>
        <w:pStyle w:val="Paragraphbeforelist"/>
        <w:ind w:right="1841"/>
      </w:pPr>
      <w:r>
        <w:t xml:space="preserve">We </w:t>
      </w:r>
      <w:r w:rsidR="0032283C" w:rsidRPr="007B6918">
        <w:t xml:space="preserve">consider that the potential replanning of the Perth FM frequencies is an economic and efficient use of spectrum that promotes the objects in section 3 of the BSA, particularly the availability of a diverse range of radio services (paragraph 3(1)(a) of the BSA). In putting this proposal forward, </w:t>
      </w:r>
      <w:r>
        <w:t>we</w:t>
      </w:r>
      <w:r w:rsidR="0032283C" w:rsidRPr="007B6918">
        <w:t xml:space="preserve"> </w:t>
      </w:r>
      <w:r>
        <w:t>considered</w:t>
      </w:r>
      <w:r w:rsidR="0032283C" w:rsidRPr="007B6918">
        <w:t xml:space="preserve"> the planning criteria in section 23 of the BSA, especially:</w:t>
      </w:r>
    </w:p>
    <w:p w14:paraId="7F5B9329" w14:textId="472F5A99" w:rsidR="0032283C" w:rsidRPr="007B6918" w:rsidRDefault="0032283C" w:rsidP="00694084">
      <w:pPr>
        <w:pStyle w:val="Bulletlevel1"/>
        <w:ind w:right="1841"/>
      </w:pPr>
      <w:r w:rsidRPr="007B6918">
        <w:t>relevant demographics and social and economic characteristics (paragraphs 23(a) and (b))</w:t>
      </w:r>
    </w:p>
    <w:p w14:paraId="77299B74" w14:textId="7EB3796B" w:rsidR="0032283C" w:rsidRPr="007B6918" w:rsidRDefault="0032283C" w:rsidP="00694084">
      <w:pPr>
        <w:pStyle w:val="Bulletlevel1"/>
        <w:ind w:right="1841"/>
      </w:pPr>
      <w:r w:rsidRPr="007B6918">
        <w:t>the number of existing broadcasting services and the demand for new services (paragraph 23(c))</w:t>
      </w:r>
    </w:p>
    <w:p w14:paraId="123DB23F" w14:textId="4645F5E8" w:rsidR="0032283C" w:rsidRDefault="0032283C" w:rsidP="00694084">
      <w:pPr>
        <w:pStyle w:val="Bulletlevel1last"/>
        <w:ind w:right="1841"/>
      </w:pPr>
      <w:r w:rsidRPr="007B6918">
        <w:t>the technical restraints relating to the delivery or reception of broadcasting services in the licence area (paragraph 23(e)).</w:t>
      </w:r>
    </w:p>
    <w:p w14:paraId="7388A612" w14:textId="2CC99466" w:rsidR="00946180" w:rsidRDefault="00290B05" w:rsidP="00694084">
      <w:pPr>
        <w:ind w:right="1841"/>
        <w:rPr>
          <w:iCs/>
        </w:rPr>
      </w:pPr>
      <w:r w:rsidRPr="00290B05">
        <w:t>Option 1 is intended to allow for the resolution of the longstanding issues regarding the poor AM reception in the Perth area due to its adverse environmental conditions for AM propagation</w:t>
      </w:r>
      <w:r w:rsidR="00694084">
        <w:t xml:space="preserve">. It </w:t>
      </w:r>
      <w:r w:rsidRPr="00290B05">
        <w:t>would enable better utilisation</w:t>
      </w:r>
      <w:r w:rsidR="00F3338F">
        <w:t xml:space="preserve"> </w:t>
      </w:r>
      <w:r w:rsidR="00946180" w:rsidRPr="005D0F33">
        <w:t xml:space="preserve">of the radiocommunications spectrum by utilising all </w:t>
      </w:r>
      <w:r w:rsidR="00615E31">
        <w:t>5</w:t>
      </w:r>
      <w:r w:rsidR="00615E31" w:rsidRPr="005D0F33">
        <w:t xml:space="preserve"> </w:t>
      </w:r>
      <w:r w:rsidR="00946180" w:rsidRPr="005D0F33">
        <w:t>identified</w:t>
      </w:r>
      <w:r w:rsidR="00946180" w:rsidRPr="005D0F33">
        <w:rPr>
          <w:iCs/>
        </w:rPr>
        <w:t xml:space="preserve"> additional high</w:t>
      </w:r>
      <w:r w:rsidR="00615E31">
        <w:rPr>
          <w:iCs/>
        </w:rPr>
        <w:t>-</w:t>
      </w:r>
      <w:r w:rsidR="00946180" w:rsidRPr="005D0F33">
        <w:rPr>
          <w:iCs/>
        </w:rPr>
        <w:t>power/wide</w:t>
      </w:r>
      <w:r w:rsidR="00615E31">
        <w:rPr>
          <w:iCs/>
        </w:rPr>
        <w:t>-</w:t>
      </w:r>
      <w:r w:rsidR="00946180" w:rsidRPr="005D0F33">
        <w:rPr>
          <w:iCs/>
        </w:rPr>
        <w:t>coverage frequencies.</w:t>
      </w:r>
      <w:r w:rsidR="00337250">
        <w:rPr>
          <w:iCs/>
        </w:rPr>
        <w:t xml:space="preserve"> </w:t>
      </w:r>
      <w:r w:rsidR="00781B61">
        <w:rPr>
          <w:iCs/>
        </w:rPr>
        <w:t xml:space="preserve">However, </w:t>
      </w:r>
      <w:r w:rsidR="00615E31">
        <w:rPr>
          <w:iCs/>
        </w:rPr>
        <w:t>we</w:t>
      </w:r>
      <w:r w:rsidR="00781B61">
        <w:rPr>
          <w:iCs/>
        </w:rPr>
        <w:t xml:space="preserve"> acknowledge that implementing Option 1 would require a number of changes to the existing services and the business impact to these services has to be considered.</w:t>
      </w:r>
    </w:p>
    <w:p w14:paraId="17A9951A" w14:textId="5D460444" w:rsidR="00C56F52" w:rsidRDefault="00C56F52" w:rsidP="00694084">
      <w:pPr>
        <w:pStyle w:val="Paragraph"/>
        <w:ind w:right="1841"/>
      </w:pPr>
      <w:r>
        <w:t xml:space="preserve">Option 4 is identified as </w:t>
      </w:r>
      <w:r w:rsidR="00615E31">
        <w:t xml:space="preserve">the </w:t>
      </w:r>
      <w:r>
        <w:t>least</w:t>
      </w:r>
      <w:r w:rsidR="00615E31">
        <w:t>-</w:t>
      </w:r>
      <w:r>
        <w:t xml:space="preserve">impact option, which minimises the number of changes to existing services. </w:t>
      </w:r>
    </w:p>
    <w:p w14:paraId="02F00733" w14:textId="4AAEC257" w:rsidR="00316DFD" w:rsidRDefault="00C56F52" w:rsidP="00694084">
      <w:pPr>
        <w:pStyle w:val="Paragraph"/>
        <w:ind w:right="1841"/>
      </w:pPr>
      <w:r>
        <w:t>Each of the other options explore to differing degrees the opportunities to achieve changes for national, commercial and/or community broadcasting licensees.</w:t>
      </w:r>
    </w:p>
    <w:p w14:paraId="23F7C514" w14:textId="03F1A142" w:rsidR="00781B61" w:rsidRPr="00C046EB" w:rsidRDefault="00C43FE8" w:rsidP="00694084">
      <w:pPr>
        <w:pStyle w:val="Paragraph"/>
        <w:ind w:right="1841"/>
      </w:pPr>
      <w:r w:rsidRPr="00CE778B">
        <w:rPr>
          <w:color w:val="000000" w:themeColor="text1"/>
          <w:szCs w:val="20"/>
        </w:rPr>
        <w:t>The diagram depicting</w:t>
      </w:r>
      <w:r w:rsidR="00E52BBC">
        <w:rPr>
          <w:color w:val="000000" w:themeColor="text1"/>
          <w:szCs w:val="20"/>
        </w:rPr>
        <w:t xml:space="preserve"> the</w:t>
      </w:r>
      <w:r w:rsidRPr="00CE778B">
        <w:rPr>
          <w:color w:val="000000" w:themeColor="text1"/>
          <w:szCs w:val="20"/>
        </w:rPr>
        <w:t xml:space="preserve"> </w:t>
      </w:r>
      <w:r w:rsidRPr="00CE778B">
        <w:rPr>
          <w:szCs w:val="20"/>
        </w:rPr>
        <w:t xml:space="preserve">Perth frequency plan </w:t>
      </w:r>
      <w:r>
        <w:rPr>
          <w:szCs w:val="20"/>
        </w:rPr>
        <w:t xml:space="preserve">for Option 1 </w:t>
      </w:r>
      <w:r w:rsidRPr="00CE778B">
        <w:rPr>
          <w:szCs w:val="20"/>
        </w:rPr>
        <w:t xml:space="preserve">is </w:t>
      </w:r>
      <w:r w:rsidR="00E52BBC">
        <w:rPr>
          <w:szCs w:val="20"/>
        </w:rPr>
        <w:t>in</w:t>
      </w:r>
      <w:r w:rsidRPr="00CE778B">
        <w:rPr>
          <w:szCs w:val="20"/>
        </w:rPr>
        <w:t xml:space="preserve"> Figure </w:t>
      </w:r>
      <w:r>
        <w:rPr>
          <w:szCs w:val="20"/>
        </w:rPr>
        <w:t>2</w:t>
      </w:r>
      <w:r w:rsidRPr="00CE778B">
        <w:rPr>
          <w:szCs w:val="20"/>
        </w:rPr>
        <w:t>.</w:t>
      </w:r>
    </w:p>
    <w:p w14:paraId="437F19C3" w14:textId="659B607D" w:rsidR="007C2462" w:rsidRPr="00C35CCE" w:rsidRDefault="007A4194" w:rsidP="00694084">
      <w:pPr>
        <w:pStyle w:val="Heading2"/>
        <w:ind w:right="1841"/>
      </w:pPr>
      <w:bookmarkStart w:id="46" w:name="_Toc72241314"/>
      <w:r>
        <w:t>Additional consideration</w:t>
      </w:r>
      <w:r w:rsidR="009B5468">
        <w:t>s</w:t>
      </w:r>
      <w:bookmarkEnd w:id="46"/>
    </w:p>
    <w:p w14:paraId="6F880996" w14:textId="33639D1E" w:rsidR="007A4194" w:rsidRDefault="0019545A" w:rsidP="00694084">
      <w:pPr>
        <w:pStyle w:val="Paragraph"/>
        <w:ind w:right="1841"/>
      </w:pPr>
      <w:r>
        <w:t>Depending on the final outcome of this consultation process, m</w:t>
      </w:r>
      <w:r w:rsidR="002B4E56" w:rsidRPr="002B4E56">
        <w:t xml:space="preserve">ultiple frequency changes </w:t>
      </w:r>
      <w:r w:rsidR="00CC4503">
        <w:t xml:space="preserve">would </w:t>
      </w:r>
      <w:r w:rsidR="002B4E56" w:rsidRPr="002B4E56">
        <w:t xml:space="preserve">be necessary to accommodate Perth </w:t>
      </w:r>
      <w:r w:rsidR="00893AED">
        <w:t xml:space="preserve">FM </w:t>
      </w:r>
      <w:r w:rsidR="002B4E56" w:rsidRPr="002B4E56">
        <w:t xml:space="preserve">replanning. This </w:t>
      </w:r>
      <w:r w:rsidR="002E2186">
        <w:t xml:space="preserve">may </w:t>
      </w:r>
      <w:r w:rsidR="002B4E56" w:rsidRPr="002B4E56">
        <w:t xml:space="preserve">have a cost impact on </w:t>
      </w:r>
      <w:r w:rsidR="002E2186">
        <w:t xml:space="preserve">some </w:t>
      </w:r>
      <w:r w:rsidR="009B6761">
        <w:t>broadcasters</w:t>
      </w:r>
      <w:r w:rsidR="002B4E56" w:rsidRPr="002B4E56">
        <w:t xml:space="preserve">. </w:t>
      </w:r>
      <w:r w:rsidR="00772988">
        <w:t>S</w:t>
      </w:r>
      <w:r w:rsidR="00DD7B63">
        <w:t xml:space="preserve">ome </w:t>
      </w:r>
      <w:r>
        <w:t>prior agreements between the affected parties</w:t>
      </w:r>
      <w:r w:rsidR="00DD7B63">
        <w:t xml:space="preserve"> </w:t>
      </w:r>
      <w:r w:rsidR="00772988">
        <w:t xml:space="preserve">also </w:t>
      </w:r>
      <w:r w:rsidR="002F54CE">
        <w:t>must</w:t>
      </w:r>
      <w:r w:rsidR="00DD7B63">
        <w:t xml:space="preserve"> be considered </w:t>
      </w:r>
      <w:r w:rsidR="00615E31">
        <w:t>before</w:t>
      </w:r>
      <w:r>
        <w:t xml:space="preserve"> the implementation of these changes.</w:t>
      </w:r>
    </w:p>
    <w:p w14:paraId="6722E5D8" w14:textId="5AFD2E8C" w:rsidR="00F870E9" w:rsidRPr="00C86497" w:rsidRDefault="00F870E9" w:rsidP="00694084">
      <w:pPr>
        <w:pStyle w:val="Paragraph"/>
        <w:ind w:right="1841"/>
        <w:rPr>
          <w:bCs/>
          <w:iCs/>
        </w:rPr>
      </w:pPr>
      <w:r>
        <w:rPr>
          <w:bCs/>
          <w:iCs/>
        </w:rPr>
        <w:t xml:space="preserve">Under any option, </w:t>
      </w:r>
      <w:r w:rsidR="00615E31">
        <w:rPr>
          <w:bCs/>
          <w:iCs/>
        </w:rPr>
        <w:t>we</w:t>
      </w:r>
      <w:r>
        <w:rPr>
          <w:bCs/>
          <w:iCs/>
        </w:rPr>
        <w:t xml:space="preserve"> consider it important that there is licensee agreement to the proposed changes, noting that each of the options requires to varying degrees changes to transmission towers or frequencies</w:t>
      </w:r>
      <w:r w:rsidR="009B227D">
        <w:rPr>
          <w:bCs/>
          <w:iCs/>
        </w:rPr>
        <w:t>,</w:t>
      </w:r>
      <w:r>
        <w:rPr>
          <w:bCs/>
          <w:iCs/>
        </w:rPr>
        <w:t xml:space="preserve"> which are likely to incur some costs for each of the affected broadcasters.</w:t>
      </w:r>
    </w:p>
    <w:p w14:paraId="112D7A2C" w14:textId="77777777" w:rsidR="00F870E9" w:rsidRPr="008207CD" w:rsidRDefault="00F870E9" w:rsidP="00694084">
      <w:pPr>
        <w:pStyle w:val="StyleACMABodyTextArial"/>
        <w:ind w:right="1841"/>
        <w:rPr>
          <w:sz w:val="20"/>
        </w:rPr>
      </w:pPr>
    </w:p>
    <w:p w14:paraId="118AF827" w14:textId="61110A19" w:rsidR="00D76AB8" w:rsidRDefault="00D76AB8" w:rsidP="00694084">
      <w:pPr>
        <w:pStyle w:val="StyleACMABodyTextArial"/>
        <w:ind w:right="1841"/>
        <w:rPr>
          <w:highlight w:val="yellow"/>
        </w:rPr>
      </w:pPr>
    </w:p>
    <w:p w14:paraId="65BD49C1" w14:textId="02C080E4" w:rsidR="00D76AB8" w:rsidRDefault="005F3D0F" w:rsidP="00694084">
      <w:pPr>
        <w:pStyle w:val="Heading1"/>
        <w:ind w:right="1841"/>
      </w:pPr>
      <w:bookmarkStart w:id="47" w:name="_Toc72241315"/>
      <w:r>
        <w:t xml:space="preserve">Next </w:t>
      </w:r>
      <w:r w:rsidR="009B227D">
        <w:t>s</w:t>
      </w:r>
      <w:r>
        <w:t>teps</w:t>
      </w:r>
      <w:bookmarkEnd w:id="47"/>
    </w:p>
    <w:p w14:paraId="7BAF6E27" w14:textId="27BA2F0A" w:rsidR="009B227D" w:rsidRDefault="003863DA" w:rsidP="00694084">
      <w:pPr>
        <w:ind w:right="1841"/>
      </w:pPr>
      <w:r w:rsidRPr="009A7958">
        <w:t>The o</w:t>
      </w:r>
      <w:r w:rsidR="00B14861" w:rsidRPr="003863DA">
        <w:t>utcome</w:t>
      </w:r>
      <w:r w:rsidRPr="009A7958">
        <w:t>s</w:t>
      </w:r>
      <w:r w:rsidR="00B14861" w:rsidRPr="003863DA">
        <w:t xml:space="preserve"> </w:t>
      </w:r>
      <w:r>
        <w:t xml:space="preserve">of this consultation </w:t>
      </w:r>
      <w:r w:rsidR="00B14861" w:rsidRPr="003863DA">
        <w:t xml:space="preserve">will inform </w:t>
      </w:r>
      <w:r>
        <w:t xml:space="preserve">the ACMA on </w:t>
      </w:r>
      <w:r w:rsidR="00B14861" w:rsidRPr="003863DA">
        <w:t>furt</w:t>
      </w:r>
      <w:r>
        <w:t>h</w:t>
      </w:r>
      <w:r w:rsidR="00B14861" w:rsidRPr="003863DA">
        <w:t xml:space="preserve">er </w:t>
      </w:r>
      <w:r>
        <w:t>actions for replanning</w:t>
      </w:r>
      <w:r w:rsidRPr="003863DA">
        <w:t xml:space="preserve"> the FM broadcasting services band in the Perth RA1 licence area</w:t>
      </w:r>
      <w:r>
        <w:t xml:space="preserve">. </w:t>
      </w:r>
    </w:p>
    <w:p w14:paraId="71CDD158" w14:textId="1A053604" w:rsidR="005C1EE4" w:rsidRPr="00BD24F2" w:rsidRDefault="00332B22" w:rsidP="00694084">
      <w:pPr>
        <w:ind w:right="1841"/>
      </w:pPr>
      <w:r>
        <w:t xml:space="preserve">Subject to the outcomes of this consultation, </w:t>
      </w:r>
      <w:r w:rsidR="009B227D">
        <w:t>we</w:t>
      </w:r>
      <w:r w:rsidR="005C1EE4" w:rsidRPr="003863DA">
        <w:t xml:space="preserve"> </w:t>
      </w:r>
      <w:r w:rsidR="00684B90">
        <w:t xml:space="preserve">will </w:t>
      </w:r>
      <w:r w:rsidR="005C1EE4" w:rsidRPr="003863DA">
        <w:t xml:space="preserve">consult again on the </w:t>
      </w:r>
      <w:r w:rsidR="003863DA">
        <w:t>possible</w:t>
      </w:r>
      <w:r w:rsidR="005C1EE4" w:rsidRPr="003863DA">
        <w:t xml:space="preserve"> technical proposal</w:t>
      </w:r>
      <w:r w:rsidR="005974D7" w:rsidRPr="003863DA">
        <w:t xml:space="preserve"> for </w:t>
      </w:r>
      <w:r w:rsidR="003863DA">
        <w:t xml:space="preserve">the Perth </w:t>
      </w:r>
      <w:r w:rsidR="005974D7" w:rsidRPr="003863DA">
        <w:t xml:space="preserve">replanning </w:t>
      </w:r>
      <w:r>
        <w:t>as</w:t>
      </w:r>
      <w:r w:rsidR="005C1EE4" w:rsidRPr="003863DA">
        <w:t xml:space="preserve"> a basis for a subsequent LAP variation(s). </w:t>
      </w:r>
    </w:p>
    <w:p w14:paraId="568D353C" w14:textId="77777777" w:rsidR="005C1EE4" w:rsidRPr="005C1EE4" w:rsidRDefault="005C1EE4" w:rsidP="00694084">
      <w:pPr>
        <w:ind w:right="1841"/>
        <w:rPr>
          <w:b/>
          <w:bCs/>
        </w:rPr>
      </w:pPr>
    </w:p>
    <w:p w14:paraId="29FBFEA6" w14:textId="77777777" w:rsidR="006C1631" w:rsidRDefault="006C1631" w:rsidP="00694084">
      <w:pPr>
        <w:pStyle w:val="Heading1"/>
        <w:ind w:right="1841"/>
      </w:pPr>
      <w:bookmarkStart w:id="48" w:name="_Toc72241316"/>
      <w:bookmarkEnd w:id="28"/>
      <w:bookmarkEnd w:id="29"/>
      <w:bookmarkEnd w:id="30"/>
      <w:r>
        <w:t>Invitation to comment</w:t>
      </w:r>
      <w:bookmarkEnd w:id="48"/>
    </w:p>
    <w:p w14:paraId="4364F248" w14:textId="77777777" w:rsidR="006C1631" w:rsidRDefault="006C1631" w:rsidP="00694084">
      <w:pPr>
        <w:pStyle w:val="Heading2"/>
        <w:ind w:right="1841"/>
      </w:pPr>
      <w:bookmarkStart w:id="49" w:name="_Toc433122131"/>
      <w:bookmarkStart w:id="50" w:name="_Toc348105637"/>
      <w:bookmarkStart w:id="51" w:name="_Toc300909556"/>
      <w:bookmarkStart w:id="52" w:name="_Toc298924673"/>
      <w:bookmarkStart w:id="53" w:name="_Toc348105638"/>
      <w:bookmarkStart w:id="54" w:name="_Toc300909557"/>
      <w:bookmarkStart w:id="55" w:name="_Toc298924674"/>
      <w:bookmarkStart w:id="56" w:name="_Toc274296357"/>
      <w:bookmarkStart w:id="57" w:name="_Toc72241317"/>
      <w:r>
        <w:t>Making a submission</w:t>
      </w:r>
      <w:bookmarkEnd w:id="49"/>
      <w:bookmarkEnd w:id="50"/>
      <w:bookmarkEnd w:id="51"/>
      <w:bookmarkEnd w:id="52"/>
      <w:bookmarkEnd w:id="57"/>
    </w:p>
    <w:p w14:paraId="12AF950B" w14:textId="7DAF0B2D" w:rsidR="006C1631" w:rsidRDefault="006C5FD4" w:rsidP="00694084">
      <w:pPr>
        <w:ind w:right="1841"/>
      </w:pPr>
      <w:r>
        <w:t>We</w:t>
      </w:r>
      <w:r w:rsidR="006C1631">
        <w:t xml:space="preserve"> invite comments on the </w:t>
      </w:r>
      <w:r w:rsidR="00725B8B" w:rsidRPr="00725B8B">
        <w:t>identified planning options</w:t>
      </w:r>
      <w:r w:rsidR="00725B8B">
        <w:t xml:space="preserve"> f</w:t>
      </w:r>
      <w:r w:rsidR="00292D15">
        <w:t>o</w:t>
      </w:r>
      <w:r w:rsidR="00725B8B">
        <w:t>r replanning</w:t>
      </w:r>
      <w:r w:rsidR="00292D15" w:rsidRPr="00292D15">
        <w:t xml:space="preserve"> the FM broadcasting services band in the Perth RA1 licence area</w:t>
      </w:r>
      <w:r w:rsidR="00292D15" w:rsidRPr="00292D15" w:rsidDel="00725B8B">
        <w:t xml:space="preserve"> </w:t>
      </w:r>
      <w:r w:rsidR="006C1631">
        <w:t xml:space="preserve">set out in this </w:t>
      </w:r>
      <w:r w:rsidR="009B227D">
        <w:t>o</w:t>
      </w:r>
      <w:r w:rsidR="00684B90">
        <w:t>ptions</w:t>
      </w:r>
      <w:r w:rsidR="006C1631">
        <w:t xml:space="preserve"> paper.</w:t>
      </w:r>
    </w:p>
    <w:p w14:paraId="74F57526" w14:textId="7CC794F4" w:rsidR="0070133D" w:rsidRDefault="00523282" w:rsidP="00694084">
      <w:pPr>
        <w:pStyle w:val="Bulletlevel1"/>
        <w:ind w:right="1841"/>
      </w:pPr>
      <w:hyperlink r:id="rId30" w:history="1">
        <w:r w:rsidR="0070133D">
          <w:rPr>
            <w:rStyle w:val="Hyperlink"/>
          </w:rPr>
          <w:t>Online submissions</w:t>
        </w:r>
      </w:hyperlink>
      <w:r w:rsidR="0070133D">
        <w:t xml:space="preserve"> can be made by </w:t>
      </w:r>
      <w:r w:rsidR="0070133D" w:rsidRPr="0070133D">
        <w:t>uploading</w:t>
      </w:r>
      <w:r w:rsidR="0070133D">
        <w:t xml:space="preserve"> a document. Submissions in</w:t>
      </w:r>
      <w:r w:rsidR="00396DC2">
        <w:t xml:space="preserve"> PDF, </w:t>
      </w:r>
      <w:r w:rsidR="0070133D">
        <w:t>Microsoft Word or Rich Text Format are preferred.</w:t>
      </w:r>
    </w:p>
    <w:p w14:paraId="079C2ED1" w14:textId="77777777" w:rsidR="006C1631" w:rsidRDefault="006C1631" w:rsidP="00694084">
      <w:pPr>
        <w:pStyle w:val="Bulletlevel1"/>
        <w:ind w:right="1841"/>
      </w:pPr>
      <w:r>
        <w:t xml:space="preserve">Submissions by post can be sent to: </w:t>
      </w:r>
    </w:p>
    <w:p w14:paraId="2C7B9218" w14:textId="77777777" w:rsidR="00903868" w:rsidRPr="00D35302" w:rsidRDefault="00903868" w:rsidP="00694084">
      <w:pPr>
        <w:pStyle w:val="ACMANormalTabbed"/>
        <w:tabs>
          <w:tab w:val="num" w:pos="295"/>
        </w:tabs>
        <w:spacing w:after="0"/>
        <w:ind w:left="295" w:right="1841"/>
        <w:rPr>
          <w:szCs w:val="20"/>
        </w:rPr>
      </w:pPr>
      <w:r w:rsidRPr="00D35302">
        <w:rPr>
          <w:szCs w:val="20"/>
        </w:rPr>
        <w:t>The Manager</w:t>
      </w:r>
    </w:p>
    <w:p w14:paraId="1BA05DFD" w14:textId="77777777" w:rsidR="00903868" w:rsidRPr="00D35302" w:rsidRDefault="00903868" w:rsidP="00694084">
      <w:pPr>
        <w:pStyle w:val="ACMANormalTabbed"/>
        <w:spacing w:after="0"/>
        <w:ind w:left="295" w:right="1841"/>
        <w:rPr>
          <w:szCs w:val="20"/>
        </w:rPr>
      </w:pPr>
      <w:r>
        <w:rPr>
          <w:szCs w:val="20"/>
        </w:rPr>
        <w:t>Broadcast Spectrum Planning Section</w:t>
      </w:r>
    </w:p>
    <w:p w14:paraId="72428062" w14:textId="77777777" w:rsidR="00903868" w:rsidRPr="00D35302" w:rsidRDefault="00903868" w:rsidP="00694084">
      <w:pPr>
        <w:pStyle w:val="ACMANormalTabbed"/>
        <w:spacing w:after="0"/>
        <w:ind w:left="295" w:right="1841"/>
        <w:rPr>
          <w:szCs w:val="20"/>
        </w:rPr>
      </w:pPr>
      <w:r w:rsidRPr="00D35302">
        <w:rPr>
          <w:szCs w:val="20"/>
        </w:rPr>
        <w:t>Australian Communications and Media Authority</w:t>
      </w:r>
    </w:p>
    <w:p w14:paraId="7C4428C2" w14:textId="77777777" w:rsidR="00903868" w:rsidRPr="00D35302" w:rsidRDefault="00903868" w:rsidP="00694084">
      <w:pPr>
        <w:pStyle w:val="ACMANormalTabbed"/>
        <w:spacing w:after="0"/>
        <w:ind w:left="295" w:right="1841"/>
        <w:rPr>
          <w:szCs w:val="20"/>
        </w:rPr>
      </w:pPr>
      <w:r w:rsidRPr="00D35302">
        <w:rPr>
          <w:szCs w:val="20"/>
        </w:rPr>
        <w:t>PO Box 78</w:t>
      </w:r>
    </w:p>
    <w:p w14:paraId="5DDC8FBD" w14:textId="77777777" w:rsidR="00903868" w:rsidRDefault="00903868" w:rsidP="00694084">
      <w:pPr>
        <w:pStyle w:val="ACMANormalTabbed"/>
        <w:ind w:left="295" w:right="1841"/>
        <w:rPr>
          <w:szCs w:val="20"/>
        </w:rPr>
      </w:pPr>
      <w:r w:rsidRPr="00D35302">
        <w:rPr>
          <w:szCs w:val="20"/>
        </w:rPr>
        <w:t>Belconnen ACT 2616</w:t>
      </w:r>
    </w:p>
    <w:p w14:paraId="476BDDB3" w14:textId="6B8238FA" w:rsidR="006C1631" w:rsidRDefault="006C1631" w:rsidP="00694084">
      <w:pPr>
        <w:ind w:right="1841"/>
      </w:pPr>
      <w:r>
        <w:t xml:space="preserve">The closing date for submissions is COB, </w:t>
      </w:r>
      <w:r w:rsidR="00412E5B">
        <w:rPr>
          <w:b/>
          <w:bCs/>
        </w:rPr>
        <w:t>Mon</w:t>
      </w:r>
      <w:r w:rsidR="00412E5B" w:rsidRPr="00660F76">
        <w:rPr>
          <w:b/>
          <w:bCs/>
        </w:rPr>
        <w:t xml:space="preserve">day </w:t>
      </w:r>
      <w:r w:rsidR="00412E5B">
        <w:rPr>
          <w:b/>
          <w:bCs/>
        </w:rPr>
        <w:t>2</w:t>
      </w:r>
      <w:r w:rsidR="009D7341" w:rsidRPr="00660F76">
        <w:rPr>
          <w:b/>
          <w:bCs/>
        </w:rPr>
        <w:t>1 June 2021</w:t>
      </w:r>
      <w:r w:rsidRPr="009D7341">
        <w:t>.</w:t>
      </w:r>
    </w:p>
    <w:p w14:paraId="1024E72F" w14:textId="00EF9E7E" w:rsidR="006C1631" w:rsidRDefault="006C1631" w:rsidP="00694084">
      <w:pPr>
        <w:ind w:right="1841"/>
        <w:rPr>
          <w:szCs w:val="20"/>
        </w:rPr>
      </w:pPr>
      <w:r>
        <w:t xml:space="preserve">Consultation enquiries can be emailed </w:t>
      </w:r>
      <w:r>
        <w:rPr>
          <w:szCs w:val="20"/>
        </w:rPr>
        <w:t xml:space="preserve">to </w:t>
      </w:r>
      <w:hyperlink r:id="rId31" w:history="1">
        <w:r w:rsidR="009B227D">
          <w:rPr>
            <w:rStyle w:val="Hyperlink"/>
          </w:rPr>
          <w:t>broadcastplanning@acma.gov.au</w:t>
        </w:r>
      </w:hyperlink>
      <w:r w:rsidR="008663D5">
        <w:t>.</w:t>
      </w:r>
    </w:p>
    <w:p w14:paraId="72C5B0AA" w14:textId="77777777" w:rsidR="006C1631" w:rsidRDefault="006C1631" w:rsidP="00694084">
      <w:pPr>
        <w:pStyle w:val="Heading4"/>
        <w:ind w:right="1841"/>
      </w:pPr>
      <w:bookmarkStart w:id="58" w:name="_Toc348105639"/>
      <w:bookmarkStart w:id="59" w:name="_Toc300909558"/>
      <w:bookmarkStart w:id="60" w:name="_Hlk59627494"/>
      <w:bookmarkEnd w:id="53"/>
      <w:bookmarkEnd w:id="54"/>
      <w:r>
        <w:t xml:space="preserve">Publication of </w:t>
      </w:r>
      <w:r w:rsidRPr="005B2F0D">
        <w:t>submissions</w:t>
      </w:r>
      <w:bookmarkEnd w:id="55"/>
      <w:bookmarkEnd w:id="56"/>
      <w:bookmarkEnd w:id="58"/>
      <w:bookmarkEnd w:id="59"/>
    </w:p>
    <w:p w14:paraId="25176B9C" w14:textId="77777777" w:rsidR="006C1631" w:rsidRDefault="006C5FD4" w:rsidP="00694084">
      <w:pPr>
        <w:ind w:right="1841"/>
      </w:pPr>
      <w:bookmarkStart w:id="61" w:name="_Toc348105640"/>
      <w:bookmarkStart w:id="62" w:name="_Toc300909559"/>
      <w:bookmarkStart w:id="63" w:name="_Toc265246234"/>
      <w:r>
        <w:t>We</w:t>
      </w:r>
      <w:r w:rsidR="006C1631">
        <w:t xml:space="preserve"> publish submissions on our website</w:t>
      </w:r>
      <w:r w:rsidR="006C1631">
        <w:rPr>
          <w:rFonts w:cs="Arial"/>
        </w:rPr>
        <w:t>, including personal information (such as names and contact details)</w:t>
      </w:r>
      <w:r w:rsidR="006C1631">
        <w:t xml:space="preserve">, except for information that you have claimed (and we have accepted) is confidential. </w:t>
      </w:r>
    </w:p>
    <w:p w14:paraId="0E881146" w14:textId="77777777" w:rsidR="006C1631" w:rsidRDefault="006C1631" w:rsidP="00694084">
      <w:pPr>
        <w:ind w:right="1841"/>
      </w:pPr>
      <w:r>
        <w:t>Confidential information will not be published or otherwise released unless required or authorised by law.</w:t>
      </w:r>
    </w:p>
    <w:p w14:paraId="150B567E" w14:textId="77777777" w:rsidR="006C1631" w:rsidRDefault="006C1631" w:rsidP="00694084">
      <w:pPr>
        <w:pStyle w:val="Heading4"/>
        <w:ind w:right="1841"/>
      </w:pPr>
      <w:r>
        <w:t>Privacy</w:t>
      </w:r>
    </w:p>
    <w:p w14:paraId="6F01CBC1" w14:textId="77777777" w:rsidR="006C1631" w:rsidRDefault="00E21056" w:rsidP="00694084">
      <w:pPr>
        <w:pStyle w:val="Paragraph"/>
        <w:ind w:right="1841"/>
      </w:pPr>
      <w:r>
        <w:t>View</w:t>
      </w:r>
      <w:r w:rsidR="006C1631">
        <w:t xml:space="preserve"> information about </w:t>
      </w:r>
      <w:r>
        <w:t xml:space="preserve">our policy on the </w:t>
      </w:r>
      <w:hyperlink r:id="rId32" w:history="1">
        <w:r>
          <w:rPr>
            <w:rStyle w:val="Hyperlink"/>
          </w:rPr>
          <w:t>p</w:t>
        </w:r>
        <w:r w:rsidRPr="00E21056">
          <w:rPr>
            <w:rStyle w:val="Hyperlink"/>
          </w:rPr>
          <w:t>ublication of submissions</w:t>
        </w:r>
      </w:hyperlink>
      <w:r>
        <w:t xml:space="preserve">, including </w:t>
      </w:r>
      <w:r w:rsidR="006C1631">
        <w:t>collection of personal information during consultation and how we handle that information</w:t>
      </w:r>
      <w:r>
        <w:t>.</w:t>
      </w:r>
    </w:p>
    <w:bookmarkEnd w:id="61"/>
    <w:bookmarkEnd w:id="62"/>
    <w:bookmarkEnd w:id="63"/>
    <w:p w14:paraId="32F29CDB" w14:textId="77777777" w:rsidR="00A4193E" w:rsidRPr="0041233F" w:rsidRDefault="006C1631" w:rsidP="00694084">
      <w:pPr>
        <w:pStyle w:val="Paragraph"/>
        <w:ind w:right="1841"/>
      </w:pPr>
      <w:r>
        <w:t xml:space="preserve">Information on the </w:t>
      </w:r>
      <w:r>
        <w:rPr>
          <w:i/>
        </w:rPr>
        <w:t>Privacy Act 1988</w:t>
      </w:r>
      <w:r w:rsidR="006A4CCA">
        <w:rPr>
          <w:i/>
        </w:rPr>
        <w:t xml:space="preserve">, </w:t>
      </w:r>
      <w:r>
        <w:t xml:space="preserve">how to access or correct personal information, how to make a privacy complaint and how we will deal with </w:t>
      </w:r>
      <w:r w:rsidR="006C5FD4">
        <w:t xml:space="preserve">any </w:t>
      </w:r>
      <w:r>
        <w:t>complaint</w:t>
      </w:r>
      <w:r w:rsidR="006C5FD4">
        <w:t>s</w:t>
      </w:r>
      <w:r w:rsidR="00BB6335">
        <w:t>,</w:t>
      </w:r>
      <w:r w:rsidR="00CF0BFE">
        <w:t xml:space="preserve"> </w:t>
      </w:r>
      <w:r>
        <w:t xml:space="preserve">is available </w:t>
      </w:r>
      <w:r w:rsidR="00E21056">
        <w:t xml:space="preserve">in our </w:t>
      </w:r>
      <w:hyperlink r:id="rId33" w:history="1">
        <w:r w:rsidR="00E21056" w:rsidRPr="00E21056">
          <w:rPr>
            <w:rStyle w:val="Hyperlink"/>
          </w:rPr>
          <w:t>privacy policy</w:t>
        </w:r>
      </w:hyperlink>
      <w:r>
        <w:t>.</w:t>
      </w:r>
      <w:r w:rsidR="00A4193E">
        <w:t xml:space="preserve"> </w:t>
      </w:r>
    </w:p>
    <w:p w14:paraId="20784D36" w14:textId="0FDA9131" w:rsidR="00240CE9" w:rsidRDefault="00FF3C69" w:rsidP="00FF3C69">
      <w:pPr>
        <w:pStyle w:val="Heading1"/>
      </w:pPr>
      <w:bookmarkStart w:id="64" w:name="_Toc348105641"/>
      <w:bookmarkStart w:id="65" w:name="_Toc72241318"/>
      <w:bookmarkEnd w:id="60"/>
      <w:r w:rsidRPr="006D46E5">
        <w:t>Appendix A</w:t>
      </w:r>
      <w:bookmarkEnd w:id="64"/>
      <w:r w:rsidR="00023A36">
        <w:t xml:space="preserve">: </w:t>
      </w:r>
      <w:bookmarkStart w:id="66" w:name="_Hlk67480838"/>
      <w:r w:rsidR="00A81E29">
        <w:t>Draft</w:t>
      </w:r>
      <w:r w:rsidR="00A81E29" w:rsidRPr="00392253">
        <w:t xml:space="preserve"> </w:t>
      </w:r>
      <w:r w:rsidR="004D4FC6">
        <w:t>t</w:t>
      </w:r>
      <w:r w:rsidR="00392253" w:rsidRPr="00392253">
        <w:t xml:space="preserve">echnical </w:t>
      </w:r>
      <w:r w:rsidR="004D4FC6">
        <w:t>s</w:t>
      </w:r>
      <w:r w:rsidR="00392253" w:rsidRPr="00392253">
        <w:t>pecifications</w:t>
      </w:r>
      <w:bookmarkEnd w:id="66"/>
      <w:r w:rsidR="00A96308">
        <w:t xml:space="preserve"> (TS)</w:t>
      </w:r>
      <w:bookmarkEnd w:id="65"/>
    </w:p>
    <w:tbl>
      <w:tblPr>
        <w:tblpPr w:leftFromText="180" w:rightFromText="180" w:vertAnchor="text" w:tblpY="1"/>
        <w:tblOverlap w:val="never"/>
        <w:tblW w:w="8642" w:type="dxa"/>
        <w:tblBorders>
          <w:top w:val="single" w:sz="4" w:space="0" w:color="auto"/>
          <w:bottom w:val="single" w:sz="4" w:space="0" w:color="auto"/>
          <w:insideH w:val="single" w:sz="4" w:space="0" w:color="auto"/>
        </w:tblBorders>
        <w:tblLayout w:type="fixed"/>
        <w:tblCellMar>
          <w:top w:w="85" w:type="dxa"/>
          <w:left w:w="85" w:type="dxa"/>
          <w:bottom w:w="85" w:type="dxa"/>
          <w:right w:w="85" w:type="dxa"/>
        </w:tblCellMar>
        <w:tblLook w:val="01E0" w:firstRow="1" w:lastRow="1" w:firstColumn="1" w:lastColumn="1" w:noHBand="0" w:noVBand="0"/>
        <w:tblCaption w:val="Table title to go here"/>
        <w:tblDescription w:val="Table description to go here"/>
      </w:tblPr>
      <w:tblGrid>
        <w:gridCol w:w="2547"/>
        <w:gridCol w:w="1843"/>
        <w:gridCol w:w="850"/>
        <w:gridCol w:w="1060"/>
        <w:gridCol w:w="2342"/>
      </w:tblGrid>
      <w:tr w:rsidR="00E01125" w:rsidRPr="00055498" w14:paraId="47D69A1A" w14:textId="77777777" w:rsidTr="00773CEF">
        <w:tc>
          <w:tcPr>
            <w:tcW w:w="2547" w:type="dxa"/>
            <w:tcBorders>
              <w:left w:val="single" w:sz="4" w:space="0" w:color="auto"/>
              <w:right w:val="single" w:sz="4" w:space="0" w:color="auto"/>
            </w:tcBorders>
            <w:shd w:val="clear" w:color="auto" w:fill="FFFFFF" w:themeFill="background1"/>
          </w:tcPr>
          <w:p w14:paraId="59A519B2" w14:textId="449A3EF7" w:rsidR="00E01125" w:rsidRPr="00055498" w:rsidRDefault="00E01125" w:rsidP="00773CEF">
            <w:pPr>
              <w:pStyle w:val="TableBody"/>
              <w:rPr>
                <w:rFonts w:cs="Arial"/>
              </w:rPr>
            </w:pPr>
            <w:r w:rsidRPr="00055498">
              <w:rPr>
                <w:rFonts w:cs="Arial"/>
              </w:rPr>
              <w:t>TS Number</w:t>
            </w:r>
          </w:p>
        </w:tc>
        <w:tc>
          <w:tcPr>
            <w:tcW w:w="6095" w:type="dxa"/>
            <w:gridSpan w:val="4"/>
            <w:tcBorders>
              <w:left w:val="single" w:sz="4" w:space="0" w:color="auto"/>
              <w:right w:val="single" w:sz="4" w:space="0" w:color="auto"/>
            </w:tcBorders>
            <w:shd w:val="clear" w:color="auto" w:fill="FFFFFF" w:themeFill="background1"/>
          </w:tcPr>
          <w:p w14:paraId="2DD7B8BB" w14:textId="77777777" w:rsidR="00E01125" w:rsidRPr="00C91729" w:rsidRDefault="00E01125" w:rsidP="00773CEF">
            <w:pPr>
              <w:pStyle w:val="TableBody"/>
              <w:rPr>
                <w:rFonts w:cs="Arial"/>
                <w:b/>
              </w:rPr>
            </w:pPr>
            <w:r w:rsidRPr="00C91729">
              <w:rPr>
                <w:rFonts w:cs="Arial"/>
                <w:b/>
              </w:rPr>
              <w:t xml:space="preserve">TS  </w:t>
            </w:r>
            <w:r w:rsidRPr="005D0F33">
              <w:rPr>
                <w:rFonts w:cs="Arial"/>
                <w:b/>
              </w:rPr>
              <w:t>XXXXXXXXX</w:t>
            </w:r>
          </w:p>
        </w:tc>
      </w:tr>
      <w:tr w:rsidR="00E01125" w:rsidRPr="00055498" w14:paraId="2317722D" w14:textId="77777777" w:rsidTr="00773CEF">
        <w:tc>
          <w:tcPr>
            <w:tcW w:w="2547" w:type="dxa"/>
            <w:tcBorders>
              <w:left w:val="single" w:sz="4" w:space="0" w:color="auto"/>
              <w:right w:val="single" w:sz="4" w:space="0" w:color="auto"/>
            </w:tcBorders>
            <w:shd w:val="clear" w:color="auto" w:fill="FFFFFF" w:themeFill="background1"/>
          </w:tcPr>
          <w:p w14:paraId="0EE2ABD1" w14:textId="77777777" w:rsidR="00E01125" w:rsidRPr="00055498" w:rsidRDefault="00E01125" w:rsidP="00773CEF">
            <w:pPr>
              <w:pStyle w:val="TableBody"/>
              <w:rPr>
                <w:rFonts w:cs="Arial"/>
              </w:rPr>
            </w:pPr>
            <w:r w:rsidRPr="00055498">
              <w:rPr>
                <w:rFonts w:cs="Arial"/>
              </w:rPr>
              <w:t>Callsign of licensee</w:t>
            </w:r>
          </w:p>
        </w:tc>
        <w:tc>
          <w:tcPr>
            <w:tcW w:w="6095" w:type="dxa"/>
            <w:gridSpan w:val="4"/>
            <w:tcBorders>
              <w:left w:val="single" w:sz="4" w:space="0" w:color="auto"/>
              <w:right w:val="single" w:sz="4" w:space="0" w:color="auto"/>
            </w:tcBorders>
            <w:shd w:val="clear" w:color="auto" w:fill="FFFFFF" w:themeFill="background1"/>
          </w:tcPr>
          <w:p w14:paraId="28E638A2" w14:textId="77777777" w:rsidR="00E01125" w:rsidRPr="00C91729" w:rsidRDefault="00E01125" w:rsidP="00773CEF">
            <w:pPr>
              <w:pStyle w:val="TableBody"/>
              <w:rPr>
                <w:rFonts w:cs="Arial"/>
                <w:b/>
              </w:rPr>
            </w:pPr>
            <w:r>
              <w:rPr>
                <w:rFonts w:cs="Arial"/>
                <w:b/>
              </w:rPr>
              <w:t>100 kW OD service (n</w:t>
            </w:r>
            <w:r w:rsidRPr="00C91729">
              <w:rPr>
                <w:rFonts w:cs="Arial"/>
                <w:b/>
              </w:rPr>
              <w:t>otional</w:t>
            </w:r>
            <w:r>
              <w:rPr>
                <w:rFonts w:cs="Arial"/>
                <w:b/>
              </w:rPr>
              <w:t>ly suitable for a</w:t>
            </w:r>
            <w:r w:rsidRPr="00C91729">
              <w:rPr>
                <w:rFonts w:cs="Arial"/>
                <w:b/>
              </w:rPr>
              <w:t xml:space="preserve"> national service</w:t>
            </w:r>
            <w:r>
              <w:rPr>
                <w:rFonts w:cs="Arial"/>
                <w:b/>
              </w:rPr>
              <w:t>)</w:t>
            </w:r>
          </w:p>
        </w:tc>
      </w:tr>
      <w:tr w:rsidR="00E01125" w:rsidRPr="00055498" w14:paraId="02E09D6C" w14:textId="77777777" w:rsidTr="00773CEF">
        <w:tc>
          <w:tcPr>
            <w:tcW w:w="2547" w:type="dxa"/>
            <w:tcBorders>
              <w:left w:val="single" w:sz="4" w:space="0" w:color="auto"/>
              <w:right w:val="single" w:sz="4" w:space="0" w:color="auto"/>
            </w:tcBorders>
            <w:shd w:val="clear" w:color="auto" w:fill="FFFFFF" w:themeFill="background1"/>
          </w:tcPr>
          <w:p w14:paraId="5583DB39" w14:textId="6C6E7420" w:rsidR="00E01125" w:rsidRPr="00055498" w:rsidRDefault="00E01125" w:rsidP="00773CEF">
            <w:pPr>
              <w:pStyle w:val="TableBody"/>
              <w:rPr>
                <w:rFonts w:cs="Arial"/>
              </w:rPr>
            </w:pPr>
            <w:r>
              <w:rPr>
                <w:rFonts w:cs="Arial"/>
              </w:rPr>
              <w:t>Area Served</w:t>
            </w:r>
          </w:p>
        </w:tc>
        <w:tc>
          <w:tcPr>
            <w:tcW w:w="6095" w:type="dxa"/>
            <w:gridSpan w:val="4"/>
            <w:tcBorders>
              <w:left w:val="single" w:sz="4" w:space="0" w:color="auto"/>
              <w:right w:val="single" w:sz="4" w:space="0" w:color="auto"/>
            </w:tcBorders>
            <w:shd w:val="clear" w:color="auto" w:fill="FFFFFF" w:themeFill="background1"/>
          </w:tcPr>
          <w:p w14:paraId="3E7E005C" w14:textId="77777777" w:rsidR="00E01125" w:rsidRPr="00E52AB7" w:rsidRDefault="00E01125" w:rsidP="00773CEF">
            <w:pPr>
              <w:spacing w:after="0"/>
              <w:rPr>
                <w:rFonts w:cs="Arial"/>
                <w:b/>
                <w:szCs w:val="20"/>
              </w:rPr>
            </w:pPr>
            <w:r>
              <w:rPr>
                <w:rFonts w:cs="Arial"/>
                <w:b/>
                <w:szCs w:val="20"/>
              </w:rPr>
              <w:t>Perth</w:t>
            </w:r>
          </w:p>
        </w:tc>
      </w:tr>
      <w:tr w:rsidR="00E01125" w:rsidRPr="00055498" w14:paraId="17156B19" w14:textId="77777777" w:rsidTr="00773CEF">
        <w:tc>
          <w:tcPr>
            <w:tcW w:w="2547" w:type="dxa"/>
            <w:tcBorders>
              <w:left w:val="single" w:sz="4" w:space="0" w:color="auto"/>
              <w:right w:val="single" w:sz="4" w:space="0" w:color="auto"/>
            </w:tcBorders>
            <w:shd w:val="clear" w:color="auto" w:fill="FFFFFF" w:themeFill="background1"/>
          </w:tcPr>
          <w:p w14:paraId="7E03DD18" w14:textId="77777777" w:rsidR="00E01125" w:rsidRPr="00055498" w:rsidRDefault="00E01125" w:rsidP="00773CEF">
            <w:pPr>
              <w:pStyle w:val="TableBody"/>
              <w:rPr>
                <w:rFonts w:cs="Arial"/>
              </w:rPr>
            </w:pPr>
            <w:r w:rsidRPr="00055498">
              <w:rPr>
                <w:rFonts w:cs="Arial"/>
              </w:rPr>
              <w:t>Nominal location</w:t>
            </w:r>
          </w:p>
        </w:tc>
        <w:tc>
          <w:tcPr>
            <w:tcW w:w="6095" w:type="dxa"/>
            <w:gridSpan w:val="4"/>
            <w:tcBorders>
              <w:left w:val="single" w:sz="4" w:space="0" w:color="auto"/>
              <w:right w:val="single" w:sz="4" w:space="0" w:color="auto"/>
            </w:tcBorders>
            <w:shd w:val="clear" w:color="auto" w:fill="FFFFFF" w:themeFill="background1"/>
          </w:tcPr>
          <w:p w14:paraId="7545F002" w14:textId="77777777" w:rsidR="00E01125" w:rsidRPr="00C91729" w:rsidRDefault="00E01125" w:rsidP="00773CEF">
            <w:pPr>
              <w:spacing w:after="0"/>
              <w:rPr>
                <w:rFonts w:cs="Arial"/>
                <w:b/>
                <w:szCs w:val="20"/>
              </w:rPr>
            </w:pPr>
            <w:r w:rsidRPr="00C91729">
              <w:rPr>
                <w:rFonts w:cs="Arial"/>
                <w:b/>
                <w:szCs w:val="20"/>
              </w:rPr>
              <w:t>Tower Broadcast Australia Site Television Road BICKLEY</w:t>
            </w:r>
          </w:p>
        </w:tc>
      </w:tr>
      <w:tr w:rsidR="00E01125" w:rsidRPr="00055498" w14:paraId="10B075E2" w14:textId="77777777" w:rsidTr="00773CEF">
        <w:tc>
          <w:tcPr>
            <w:tcW w:w="2547" w:type="dxa"/>
            <w:tcBorders>
              <w:left w:val="single" w:sz="4" w:space="0" w:color="auto"/>
              <w:bottom w:val="single" w:sz="4" w:space="0" w:color="auto"/>
              <w:right w:val="single" w:sz="4" w:space="0" w:color="auto"/>
            </w:tcBorders>
          </w:tcPr>
          <w:p w14:paraId="2BBA66FD" w14:textId="6469ED21" w:rsidR="00E01125" w:rsidRPr="00055498" w:rsidRDefault="00E01125" w:rsidP="00773CEF">
            <w:pPr>
              <w:pStyle w:val="TableBody"/>
              <w:rPr>
                <w:rFonts w:cs="Arial"/>
              </w:rPr>
            </w:pPr>
            <w:r w:rsidRPr="00055498">
              <w:rPr>
                <w:rFonts w:cs="Arial"/>
              </w:rPr>
              <w:t>RADCOM Site ID</w:t>
            </w:r>
          </w:p>
        </w:tc>
        <w:tc>
          <w:tcPr>
            <w:tcW w:w="6095" w:type="dxa"/>
            <w:gridSpan w:val="4"/>
            <w:tcBorders>
              <w:left w:val="single" w:sz="4" w:space="0" w:color="auto"/>
              <w:bottom w:val="single" w:sz="4" w:space="0" w:color="auto"/>
              <w:right w:val="single" w:sz="4" w:space="0" w:color="auto"/>
            </w:tcBorders>
          </w:tcPr>
          <w:p w14:paraId="290DC7A3" w14:textId="77777777" w:rsidR="00E01125" w:rsidRPr="00063673" w:rsidRDefault="00E01125" w:rsidP="00773CEF">
            <w:pPr>
              <w:spacing w:after="0"/>
              <w:rPr>
                <w:rFonts w:cs="Arial"/>
                <w:b/>
                <w:szCs w:val="20"/>
              </w:rPr>
            </w:pPr>
            <w:r w:rsidRPr="00063673">
              <w:rPr>
                <w:rFonts w:cs="Arial"/>
                <w:b/>
                <w:szCs w:val="20"/>
              </w:rPr>
              <w:t>26620</w:t>
            </w:r>
          </w:p>
        </w:tc>
      </w:tr>
      <w:tr w:rsidR="00E01125" w:rsidRPr="00055498" w14:paraId="0688718A" w14:textId="77777777" w:rsidTr="00773CEF">
        <w:tc>
          <w:tcPr>
            <w:tcW w:w="2547" w:type="dxa"/>
            <w:vMerge w:val="restart"/>
            <w:tcBorders>
              <w:left w:val="single" w:sz="4" w:space="0" w:color="auto"/>
              <w:right w:val="single" w:sz="4" w:space="0" w:color="auto"/>
            </w:tcBorders>
          </w:tcPr>
          <w:p w14:paraId="5CA72562" w14:textId="4EBAEE6B" w:rsidR="00E01125" w:rsidRPr="00055498" w:rsidRDefault="00E01125" w:rsidP="00773CEF">
            <w:pPr>
              <w:pStyle w:val="TableBody"/>
              <w:rPr>
                <w:rFonts w:cs="Arial"/>
              </w:rPr>
            </w:pPr>
            <w:r w:rsidRPr="00055498">
              <w:rPr>
                <w:rFonts w:cs="Arial"/>
              </w:rPr>
              <w:t>Coordinates Information</w:t>
            </w:r>
          </w:p>
        </w:tc>
        <w:tc>
          <w:tcPr>
            <w:tcW w:w="2693" w:type="dxa"/>
            <w:gridSpan w:val="2"/>
            <w:tcBorders>
              <w:left w:val="single" w:sz="4" w:space="0" w:color="auto"/>
              <w:bottom w:val="single" w:sz="4" w:space="0" w:color="auto"/>
              <w:right w:val="single" w:sz="4" w:space="0" w:color="auto"/>
            </w:tcBorders>
          </w:tcPr>
          <w:p w14:paraId="135208FB" w14:textId="77777777" w:rsidR="00E01125" w:rsidRPr="00063673" w:rsidRDefault="00E01125" w:rsidP="00773CEF">
            <w:pPr>
              <w:pStyle w:val="TableBody"/>
              <w:rPr>
                <w:rFonts w:cs="Arial"/>
                <w:b/>
              </w:rPr>
            </w:pPr>
            <w:r w:rsidRPr="00063673">
              <w:rPr>
                <w:rFonts w:cs="Arial"/>
                <w:b/>
              </w:rPr>
              <w:t>Latitude (GDA94)</w:t>
            </w:r>
          </w:p>
          <w:p w14:paraId="4D2F39A2" w14:textId="77777777" w:rsidR="00E01125" w:rsidRPr="00063673" w:rsidRDefault="00E01125" w:rsidP="00773CEF">
            <w:pPr>
              <w:spacing w:after="0"/>
              <w:rPr>
                <w:rFonts w:cs="Arial"/>
                <w:b/>
                <w:szCs w:val="20"/>
              </w:rPr>
            </w:pPr>
            <w:r w:rsidRPr="00063673">
              <w:rPr>
                <w:rFonts w:cs="Arial"/>
                <w:b/>
                <w:szCs w:val="20"/>
              </w:rPr>
              <w:t>-32.01073</w:t>
            </w:r>
          </w:p>
        </w:tc>
        <w:tc>
          <w:tcPr>
            <w:tcW w:w="3402" w:type="dxa"/>
            <w:gridSpan w:val="2"/>
            <w:tcBorders>
              <w:left w:val="single" w:sz="4" w:space="0" w:color="auto"/>
              <w:bottom w:val="single" w:sz="4" w:space="0" w:color="auto"/>
              <w:right w:val="single" w:sz="4" w:space="0" w:color="auto"/>
            </w:tcBorders>
          </w:tcPr>
          <w:p w14:paraId="27C2DB63" w14:textId="77777777" w:rsidR="00E01125" w:rsidRPr="00063673" w:rsidRDefault="00E01125" w:rsidP="00773CEF">
            <w:pPr>
              <w:pStyle w:val="TableBody"/>
              <w:rPr>
                <w:rFonts w:cs="Arial"/>
                <w:b/>
              </w:rPr>
            </w:pPr>
            <w:r w:rsidRPr="00063673">
              <w:rPr>
                <w:rFonts w:cs="Arial"/>
                <w:b/>
              </w:rPr>
              <w:t>Longitude (GDA94)</w:t>
            </w:r>
          </w:p>
          <w:p w14:paraId="79672F24" w14:textId="77777777" w:rsidR="00E01125" w:rsidRPr="00063673" w:rsidRDefault="00E01125" w:rsidP="00773CEF">
            <w:pPr>
              <w:spacing w:after="0"/>
              <w:rPr>
                <w:rFonts w:cs="Arial"/>
                <w:b/>
                <w:szCs w:val="20"/>
              </w:rPr>
            </w:pPr>
            <w:r w:rsidRPr="00063673">
              <w:rPr>
                <w:rFonts w:cs="Arial"/>
                <w:b/>
                <w:szCs w:val="20"/>
              </w:rPr>
              <w:t>116.08452</w:t>
            </w:r>
          </w:p>
        </w:tc>
      </w:tr>
      <w:tr w:rsidR="00E01125" w:rsidRPr="00055498" w14:paraId="611076B7" w14:textId="77777777" w:rsidTr="00773CEF">
        <w:tc>
          <w:tcPr>
            <w:tcW w:w="2547" w:type="dxa"/>
            <w:vMerge/>
            <w:tcBorders>
              <w:left w:val="single" w:sz="4" w:space="0" w:color="auto"/>
              <w:right w:val="single" w:sz="4" w:space="0" w:color="auto"/>
            </w:tcBorders>
            <w:shd w:val="clear" w:color="auto" w:fill="FFFFFF" w:themeFill="background1"/>
          </w:tcPr>
          <w:p w14:paraId="3B787F8B" w14:textId="77777777" w:rsidR="00E01125" w:rsidRPr="00055498" w:rsidRDefault="00E01125" w:rsidP="00773CEF">
            <w:pPr>
              <w:pStyle w:val="TableBody"/>
              <w:rPr>
                <w:rFonts w:cs="Arial"/>
              </w:rPr>
            </w:pPr>
          </w:p>
        </w:tc>
        <w:tc>
          <w:tcPr>
            <w:tcW w:w="1843" w:type="dxa"/>
            <w:tcBorders>
              <w:left w:val="single" w:sz="4" w:space="0" w:color="auto"/>
              <w:right w:val="single" w:sz="4" w:space="0" w:color="auto"/>
            </w:tcBorders>
            <w:shd w:val="clear" w:color="auto" w:fill="FFFFFF" w:themeFill="background1"/>
          </w:tcPr>
          <w:p w14:paraId="18C1CB1E" w14:textId="77777777" w:rsidR="00E01125" w:rsidRPr="00063673" w:rsidRDefault="00E01125" w:rsidP="00773CEF">
            <w:pPr>
              <w:pStyle w:val="TableBody"/>
              <w:rPr>
                <w:rFonts w:cs="Arial"/>
                <w:b/>
              </w:rPr>
            </w:pPr>
            <w:r w:rsidRPr="00063673">
              <w:rPr>
                <w:rFonts w:cs="Arial"/>
                <w:b/>
              </w:rPr>
              <w:t>Zone (AMG66)</w:t>
            </w:r>
          </w:p>
          <w:p w14:paraId="5D9A0CA6" w14:textId="77777777" w:rsidR="00E01125" w:rsidRPr="00063673" w:rsidRDefault="00E01125" w:rsidP="00773CEF">
            <w:pPr>
              <w:pStyle w:val="TableBody"/>
              <w:rPr>
                <w:rFonts w:cs="Arial"/>
                <w:b/>
              </w:rPr>
            </w:pPr>
            <w:r w:rsidRPr="00063673">
              <w:rPr>
                <w:rFonts w:cs="Arial"/>
                <w:b/>
              </w:rPr>
              <w:t>50</w:t>
            </w:r>
          </w:p>
        </w:tc>
        <w:tc>
          <w:tcPr>
            <w:tcW w:w="1910" w:type="dxa"/>
            <w:gridSpan w:val="2"/>
            <w:tcBorders>
              <w:left w:val="single" w:sz="4" w:space="0" w:color="auto"/>
              <w:right w:val="single" w:sz="4" w:space="0" w:color="auto"/>
            </w:tcBorders>
            <w:shd w:val="clear" w:color="auto" w:fill="FFFFFF" w:themeFill="background1"/>
          </w:tcPr>
          <w:p w14:paraId="79E41278" w14:textId="77777777" w:rsidR="00E01125" w:rsidRPr="00063673" w:rsidRDefault="00E01125" w:rsidP="00773CEF">
            <w:pPr>
              <w:pStyle w:val="TableBody"/>
              <w:rPr>
                <w:rFonts w:cs="Arial"/>
                <w:b/>
              </w:rPr>
            </w:pPr>
            <w:r w:rsidRPr="00063673">
              <w:rPr>
                <w:rFonts w:cs="Arial"/>
                <w:b/>
              </w:rPr>
              <w:t>Easting (AMG66)</w:t>
            </w:r>
          </w:p>
          <w:p w14:paraId="3DA58173" w14:textId="77777777" w:rsidR="00E01125" w:rsidRPr="00063673" w:rsidRDefault="00E01125" w:rsidP="00773CEF">
            <w:pPr>
              <w:spacing w:after="0"/>
              <w:rPr>
                <w:rFonts w:cs="Arial"/>
                <w:b/>
                <w:szCs w:val="20"/>
              </w:rPr>
            </w:pPr>
            <w:r w:rsidRPr="00063673">
              <w:rPr>
                <w:rFonts w:cs="Arial"/>
                <w:b/>
                <w:szCs w:val="20"/>
              </w:rPr>
              <w:t>413397</w:t>
            </w:r>
          </w:p>
        </w:tc>
        <w:tc>
          <w:tcPr>
            <w:tcW w:w="2342" w:type="dxa"/>
            <w:tcBorders>
              <w:left w:val="single" w:sz="4" w:space="0" w:color="auto"/>
              <w:right w:val="single" w:sz="4" w:space="0" w:color="auto"/>
            </w:tcBorders>
            <w:shd w:val="clear" w:color="auto" w:fill="FFFFFF" w:themeFill="background1"/>
          </w:tcPr>
          <w:p w14:paraId="1163FC5C" w14:textId="77777777" w:rsidR="00E01125" w:rsidRPr="00063673" w:rsidRDefault="00E01125" w:rsidP="00773CEF">
            <w:pPr>
              <w:pStyle w:val="TableBody"/>
              <w:rPr>
                <w:rFonts w:cs="Arial"/>
                <w:b/>
              </w:rPr>
            </w:pPr>
            <w:r w:rsidRPr="00063673">
              <w:rPr>
                <w:rFonts w:cs="Arial"/>
                <w:b/>
              </w:rPr>
              <w:t>Northing (AMG66)</w:t>
            </w:r>
          </w:p>
          <w:p w14:paraId="43D51842" w14:textId="77777777" w:rsidR="00E01125" w:rsidRPr="00063673" w:rsidRDefault="00E01125" w:rsidP="00773CEF">
            <w:pPr>
              <w:spacing w:after="0"/>
              <w:rPr>
                <w:rFonts w:cs="Arial"/>
                <w:b/>
                <w:szCs w:val="20"/>
              </w:rPr>
            </w:pPr>
            <w:r w:rsidRPr="00063673">
              <w:rPr>
                <w:rFonts w:cs="Arial"/>
                <w:b/>
                <w:szCs w:val="20"/>
              </w:rPr>
              <w:t>6457863</w:t>
            </w:r>
          </w:p>
        </w:tc>
      </w:tr>
      <w:tr w:rsidR="00E01125" w:rsidRPr="00055498" w14:paraId="2661931E" w14:textId="77777777" w:rsidTr="00773CEF">
        <w:tc>
          <w:tcPr>
            <w:tcW w:w="2547" w:type="dxa"/>
            <w:tcBorders>
              <w:left w:val="single" w:sz="4" w:space="0" w:color="auto"/>
              <w:right w:val="single" w:sz="4" w:space="0" w:color="auto"/>
            </w:tcBorders>
            <w:shd w:val="clear" w:color="auto" w:fill="FFFFFF" w:themeFill="background1"/>
          </w:tcPr>
          <w:p w14:paraId="4FA7230C" w14:textId="77777777" w:rsidR="00E01125" w:rsidRPr="00055498" w:rsidRDefault="00E01125" w:rsidP="00773CEF">
            <w:pPr>
              <w:pStyle w:val="TableBody"/>
              <w:rPr>
                <w:rFonts w:cs="Arial"/>
              </w:rPr>
            </w:pPr>
            <w:r w:rsidRPr="00055498">
              <w:rPr>
                <w:rFonts w:cs="Arial"/>
              </w:rPr>
              <w:t>Frequency</w:t>
            </w:r>
          </w:p>
        </w:tc>
        <w:tc>
          <w:tcPr>
            <w:tcW w:w="6095" w:type="dxa"/>
            <w:gridSpan w:val="4"/>
            <w:tcBorders>
              <w:left w:val="single" w:sz="4" w:space="0" w:color="auto"/>
              <w:right w:val="single" w:sz="4" w:space="0" w:color="auto"/>
            </w:tcBorders>
            <w:shd w:val="clear" w:color="auto" w:fill="FFFFFF" w:themeFill="background1"/>
          </w:tcPr>
          <w:p w14:paraId="59F851A8" w14:textId="77777777" w:rsidR="00E01125" w:rsidRPr="00063673" w:rsidRDefault="00E01125" w:rsidP="00773CEF">
            <w:pPr>
              <w:pStyle w:val="TableBody"/>
              <w:rPr>
                <w:rFonts w:cs="Arial"/>
                <w:b/>
              </w:rPr>
            </w:pPr>
            <w:r w:rsidRPr="00063673">
              <w:rPr>
                <w:rFonts w:cs="Arial"/>
                <w:b/>
              </w:rPr>
              <w:t xml:space="preserve">102.5 MHz </w:t>
            </w:r>
          </w:p>
        </w:tc>
      </w:tr>
      <w:tr w:rsidR="00E01125" w:rsidRPr="00055498" w14:paraId="4AE171A1" w14:textId="77777777" w:rsidTr="00773CEF">
        <w:tc>
          <w:tcPr>
            <w:tcW w:w="2547" w:type="dxa"/>
            <w:vMerge w:val="restart"/>
            <w:tcBorders>
              <w:left w:val="single" w:sz="4" w:space="0" w:color="auto"/>
              <w:right w:val="single" w:sz="4" w:space="0" w:color="auto"/>
            </w:tcBorders>
          </w:tcPr>
          <w:p w14:paraId="0855ADC2" w14:textId="22E3AD55" w:rsidR="00E01125" w:rsidRPr="00055498" w:rsidRDefault="00E01125" w:rsidP="00773CEF">
            <w:pPr>
              <w:pStyle w:val="TableBody"/>
              <w:rPr>
                <w:rFonts w:cs="Arial"/>
              </w:rPr>
            </w:pPr>
            <w:r w:rsidRPr="00055498">
              <w:rPr>
                <w:rFonts w:cs="Arial"/>
              </w:rPr>
              <w:t>Output Radiation Pattern</w:t>
            </w:r>
          </w:p>
        </w:tc>
        <w:tc>
          <w:tcPr>
            <w:tcW w:w="2693" w:type="dxa"/>
            <w:gridSpan w:val="2"/>
            <w:tcBorders>
              <w:left w:val="single" w:sz="4" w:space="0" w:color="auto"/>
              <w:bottom w:val="single" w:sz="4" w:space="0" w:color="auto"/>
              <w:right w:val="single" w:sz="4" w:space="0" w:color="auto"/>
            </w:tcBorders>
          </w:tcPr>
          <w:p w14:paraId="59F7A65E" w14:textId="137D6DC6" w:rsidR="00E01125" w:rsidRPr="00063673" w:rsidRDefault="00E01125" w:rsidP="00773CEF">
            <w:pPr>
              <w:pStyle w:val="TableBody"/>
              <w:rPr>
                <w:rFonts w:cs="Arial"/>
                <w:b/>
              </w:rPr>
            </w:pPr>
            <w:r w:rsidRPr="00063673">
              <w:rPr>
                <w:rFonts w:cs="Arial"/>
                <w:b/>
              </w:rPr>
              <w:t>Azimuth Bearing (clockwise direction)</w:t>
            </w:r>
          </w:p>
        </w:tc>
        <w:tc>
          <w:tcPr>
            <w:tcW w:w="3402" w:type="dxa"/>
            <w:gridSpan w:val="2"/>
            <w:tcBorders>
              <w:left w:val="single" w:sz="4" w:space="0" w:color="auto"/>
              <w:bottom w:val="single" w:sz="4" w:space="0" w:color="auto"/>
              <w:right w:val="single" w:sz="4" w:space="0" w:color="auto"/>
            </w:tcBorders>
          </w:tcPr>
          <w:p w14:paraId="0CB65B83" w14:textId="77777777" w:rsidR="00E01125" w:rsidRPr="00063673" w:rsidRDefault="00E01125" w:rsidP="00773CEF">
            <w:pPr>
              <w:pStyle w:val="TableBody"/>
              <w:rPr>
                <w:rFonts w:cs="Arial"/>
                <w:b/>
              </w:rPr>
            </w:pPr>
            <w:r w:rsidRPr="00063673">
              <w:rPr>
                <w:rFonts w:cs="Arial"/>
                <w:b/>
              </w:rPr>
              <w:t xml:space="preserve">Maximum ERP </w:t>
            </w:r>
          </w:p>
        </w:tc>
      </w:tr>
      <w:tr w:rsidR="00E01125" w:rsidRPr="00055498" w14:paraId="43F21D71" w14:textId="77777777" w:rsidTr="00773CEF">
        <w:tc>
          <w:tcPr>
            <w:tcW w:w="2547" w:type="dxa"/>
            <w:vMerge/>
            <w:tcBorders>
              <w:left w:val="single" w:sz="4" w:space="0" w:color="auto"/>
              <w:right w:val="single" w:sz="4" w:space="0" w:color="auto"/>
            </w:tcBorders>
          </w:tcPr>
          <w:p w14:paraId="45D0FA71" w14:textId="77777777" w:rsidR="00E01125" w:rsidRPr="00055498" w:rsidRDefault="00E01125" w:rsidP="00773CEF">
            <w:pPr>
              <w:pStyle w:val="TableBody"/>
              <w:rPr>
                <w:rFonts w:cs="Arial"/>
              </w:rPr>
            </w:pPr>
          </w:p>
        </w:tc>
        <w:tc>
          <w:tcPr>
            <w:tcW w:w="2693" w:type="dxa"/>
            <w:gridSpan w:val="2"/>
            <w:tcBorders>
              <w:left w:val="single" w:sz="4" w:space="0" w:color="auto"/>
              <w:bottom w:val="single" w:sz="4" w:space="0" w:color="auto"/>
              <w:right w:val="single" w:sz="4" w:space="0" w:color="auto"/>
            </w:tcBorders>
          </w:tcPr>
          <w:p w14:paraId="7D24896E" w14:textId="77777777" w:rsidR="00E01125" w:rsidRPr="00063673" w:rsidRDefault="00E01125" w:rsidP="00660F76">
            <w:pPr>
              <w:spacing w:after="0"/>
              <w:rPr>
                <w:rFonts w:cs="Arial"/>
                <w:b/>
                <w:szCs w:val="20"/>
              </w:rPr>
            </w:pPr>
            <w:r w:rsidRPr="00063673">
              <w:rPr>
                <w:rFonts w:cs="Arial"/>
                <w:b/>
                <w:szCs w:val="20"/>
              </w:rPr>
              <w:t>At all angles of azimuth</w:t>
            </w:r>
          </w:p>
        </w:tc>
        <w:tc>
          <w:tcPr>
            <w:tcW w:w="3402" w:type="dxa"/>
            <w:gridSpan w:val="2"/>
            <w:tcBorders>
              <w:left w:val="single" w:sz="4" w:space="0" w:color="auto"/>
              <w:bottom w:val="single" w:sz="4" w:space="0" w:color="auto"/>
              <w:right w:val="single" w:sz="4" w:space="0" w:color="auto"/>
            </w:tcBorders>
          </w:tcPr>
          <w:p w14:paraId="7DB92CA1" w14:textId="77777777" w:rsidR="00E01125" w:rsidRPr="00063673" w:rsidRDefault="00E01125" w:rsidP="00773CEF">
            <w:pPr>
              <w:pStyle w:val="TableBody"/>
              <w:tabs>
                <w:tab w:val="right" w:pos="1309"/>
              </w:tabs>
              <w:rPr>
                <w:rFonts w:cs="Arial"/>
                <w:b/>
              </w:rPr>
            </w:pPr>
            <w:r w:rsidRPr="00063673">
              <w:rPr>
                <w:rFonts w:cs="Arial"/>
                <w:b/>
              </w:rPr>
              <w:tab/>
              <w:t>100 kW</w:t>
            </w:r>
          </w:p>
        </w:tc>
      </w:tr>
      <w:tr w:rsidR="00E01125" w:rsidRPr="00055498" w14:paraId="51769EFA" w14:textId="77777777" w:rsidTr="00773CEF">
        <w:tc>
          <w:tcPr>
            <w:tcW w:w="2547" w:type="dxa"/>
            <w:tcBorders>
              <w:left w:val="single" w:sz="4" w:space="0" w:color="auto"/>
              <w:right w:val="single" w:sz="4" w:space="0" w:color="auto"/>
            </w:tcBorders>
            <w:shd w:val="clear" w:color="auto" w:fill="FFFFFF" w:themeFill="background1"/>
          </w:tcPr>
          <w:p w14:paraId="3A6042C1" w14:textId="77777777" w:rsidR="00E01125" w:rsidRPr="00055498" w:rsidRDefault="00E01125" w:rsidP="00773CEF">
            <w:pPr>
              <w:pStyle w:val="TableBody"/>
              <w:rPr>
                <w:rFonts w:cs="Arial"/>
              </w:rPr>
            </w:pPr>
            <w:r w:rsidRPr="00055498">
              <w:rPr>
                <w:rFonts w:cs="Arial"/>
              </w:rPr>
              <w:t>Polarisation</w:t>
            </w:r>
          </w:p>
        </w:tc>
        <w:tc>
          <w:tcPr>
            <w:tcW w:w="6095" w:type="dxa"/>
            <w:gridSpan w:val="4"/>
            <w:tcBorders>
              <w:left w:val="single" w:sz="4" w:space="0" w:color="auto"/>
              <w:right w:val="single" w:sz="4" w:space="0" w:color="auto"/>
            </w:tcBorders>
            <w:shd w:val="clear" w:color="auto" w:fill="FFFFFF" w:themeFill="background1"/>
          </w:tcPr>
          <w:p w14:paraId="19EDC3A0" w14:textId="77777777" w:rsidR="00E01125" w:rsidRPr="00063673" w:rsidRDefault="00E01125" w:rsidP="00773CEF">
            <w:pPr>
              <w:pStyle w:val="TableBody"/>
              <w:rPr>
                <w:rFonts w:cs="Arial"/>
                <w:b/>
              </w:rPr>
            </w:pPr>
            <w:r w:rsidRPr="00063673">
              <w:rPr>
                <w:rFonts w:cs="Arial"/>
                <w:b/>
              </w:rPr>
              <w:t>Mixed</w:t>
            </w:r>
          </w:p>
        </w:tc>
      </w:tr>
      <w:tr w:rsidR="00E01125" w:rsidRPr="00055498" w14:paraId="10F269FC" w14:textId="77777777" w:rsidTr="00773CEF">
        <w:tc>
          <w:tcPr>
            <w:tcW w:w="2547" w:type="dxa"/>
            <w:tcBorders>
              <w:left w:val="single" w:sz="4" w:space="0" w:color="auto"/>
              <w:right w:val="single" w:sz="4" w:space="0" w:color="auto"/>
            </w:tcBorders>
            <w:shd w:val="clear" w:color="auto" w:fill="auto"/>
          </w:tcPr>
          <w:p w14:paraId="4EBDAC18" w14:textId="7DED5B2F" w:rsidR="00E01125" w:rsidRPr="00055498" w:rsidRDefault="00E01125" w:rsidP="00773CEF">
            <w:pPr>
              <w:pStyle w:val="TableBody"/>
              <w:rPr>
                <w:rFonts w:cs="Arial"/>
              </w:rPr>
            </w:pPr>
            <w:r w:rsidRPr="00055498">
              <w:rPr>
                <w:rFonts w:cs="Arial"/>
              </w:rPr>
              <w:t>Maximum Antenna Height</w:t>
            </w:r>
          </w:p>
        </w:tc>
        <w:tc>
          <w:tcPr>
            <w:tcW w:w="6095" w:type="dxa"/>
            <w:gridSpan w:val="4"/>
            <w:tcBorders>
              <w:left w:val="single" w:sz="4" w:space="0" w:color="auto"/>
              <w:right w:val="single" w:sz="4" w:space="0" w:color="auto"/>
            </w:tcBorders>
            <w:shd w:val="clear" w:color="auto" w:fill="auto"/>
          </w:tcPr>
          <w:p w14:paraId="5D7FF54D" w14:textId="77777777" w:rsidR="00E01125" w:rsidRPr="000F08F5" w:rsidRDefault="00E01125" w:rsidP="00773CEF">
            <w:pPr>
              <w:pStyle w:val="TableBody"/>
              <w:rPr>
                <w:rFonts w:cs="Arial"/>
                <w:b/>
              </w:rPr>
            </w:pPr>
            <w:r w:rsidRPr="000F08F5">
              <w:rPr>
                <w:rFonts w:cs="Arial"/>
                <w:b/>
              </w:rPr>
              <w:t>120 metres</w:t>
            </w:r>
            <w:r w:rsidRPr="000F08F5">
              <w:rPr>
                <w:rStyle w:val="FootnoteReference"/>
                <w:rFonts w:cs="Arial"/>
                <w:b/>
              </w:rPr>
              <w:footnoteReference w:id="7"/>
            </w:r>
          </w:p>
        </w:tc>
      </w:tr>
      <w:tr w:rsidR="00E01125" w:rsidRPr="00055498" w14:paraId="482258F9" w14:textId="77777777" w:rsidTr="00773CEF">
        <w:tc>
          <w:tcPr>
            <w:tcW w:w="2547" w:type="dxa"/>
            <w:tcBorders>
              <w:left w:val="single" w:sz="4" w:space="0" w:color="auto"/>
              <w:right w:val="single" w:sz="4" w:space="0" w:color="auto"/>
            </w:tcBorders>
            <w:shd w:val="clear" w:color="auto" w:fill="FFFFFF" w:themeFill="background1"/>
          </w:tcPr>
          <w:p w14:paraId="3ED8A850" w14:textId="15D004ED" w:rsidR="00E01125" w:rsidRPr="00055498" w:rsidRDefault="00E01125" w:rsidP="00773CEF">
            <w:pPr>
              <w:pStyle w:val="TableBody"/>
              <w:rPr>
                <w:rFonts w:cs="Arial"/>
              </w:rPr>
            </w:pPr>
            <w:r w:rsidRPr="00055498">
              <w:rPr>
                <w:rFonts w:cs="Arial"/>
              </w:rPr>
              <w:t>Special Conditions/</w:t>
            </w:r>
          </w:p>
          <w:p w14:paraId="18BDCEA5" w14:textId="6859AC78" w:rsidR="00E01125" w:rsidRPr="00055498" w:rsidRDefault="00E01125" w:rsidP="00773CEF">
            <w:pPr>
              <w:pStyle w:val="TableBody"/>
              <w:rPr>
                <w:rFonts w:cs="Arial"/>
              </w:rPr>
            </w:pPr>
            <w:r w:rsidRPr="00055498">
              <w:rPr>
                <w:rFonts w:cs="Arial"/>
              </w:rPr>
              <w:t>Advisory Notes</w:t>
            </w:r>
          </w:p>
        </w:tc>
        <w:tc>
          <w:tcPr>
            <w:tcW w:w="6095" w:type="dxa"/>
            <w:gridSpan w:val="4"/>
            <w:tcBorders>
              <w:left w:val="single" w:sz="4" w:space="0" w:color="auto"/>
              <w:right w:val="single" w:sz="4" w:space="0" w:color="auto"/>
            </w:tcBorders>
            <w:shd w:val="clear" w:color="auto" w:fill="FFFFFF" w:themeFill="background1"/>
          </w:tcPr>
          <w:p w14:paraId="44AD51A7" w14:textId="04E1C0FC" w:rsidR="00E01125" w:rsidRPr="000F08F5" w:rsidRDefault="00E01125" w:rsidP="00773CEF">
            <w:pPr>
              <w:pStyle w:val="ACMABodyText"/>
              <w:spacing w:before="0" w:after="0"/>
              <w:rPr>
                <w:rFonts w:ascii="Arial" w:hAnsi="Arial" w:cs="Arial"/>
                <w:b/>
                <w:sz w:val="20"/>
              </w:rPr>
            </w:pPr>
            <w:r w:rsidRPr="00AA1779">
              <w:rPr>
                <w:rFonts w:ascii="Arial" w:hAnsi="Arial" w:cs="Arial"/>
                <w:b/>
                <w:sz w:val="20"/>
              </w:rPr>
              <w:t>Availability of TS</w:t>
            </w:r>
            <w:r>
              <w:rPr>
                <w:rFonts w:ascii="Arial" w:hAnsi="Arial" w:cs="Arial"/>
                <w:b/>
                <w:sz w:val="20"/>
              </w:rPr>
              <w:t xml:space="preserve"> (this TS)</w:t>
            </w:r>
            <w:r w:rsidRPr="00AA1779">
              <w:rPr>
                <w:rFonts w:ascii="Arial" w:hAnsi="Arial" w:cs="Arial"/>
                <w:b/>
                <w:sz w:val="20"/>
              </w:rPr>
              <w:t>: TS</w:t>
            </w:r>
            <w:r>
              <w:rPr>
                <w:rFonts w:ascii="Arial" w:hAnsi="Arial" w:cs="Arial"/>
                <w:b/>
                <w:sz w:val="20"/>
              </w:rPr>
              <w:t xml:space="preserve"> (this TS)</w:t>
            </w:r>
            <w:r w:rsidRPr="00AA1779">
              <w:rPr>
                <w:rFonts w:ascii="Arial" w:hAnsi="Arial" w:cs="Arial"/>
                <w:b/>
                <w:sz w:val="20"/>
              </w:rPr>
              <w:t xml:space="preserve"> is only available </w:t>
            </w:r>
            <w:r>
              <w:rPr>
                <w:rFonts w:ascii="Arial" w:hAnsi="Arial" w:cs="Arial"/>
                <w:b/>
                <w:sz w:val="20"/>
              </w:rPr>
              <w:t>once</w:t>
            </w:r>
            <w:r w:rsidRPr="00AA1779">
              <w:rPr>
                <w:rFonts w:ascii="Arial" w:hAnsi="Arial" w:cs="Arial"/>
                <w:b/>
                <w:sz w:val="20"/>
              </w:rPr>
              <w:t xml:space="preserve"> </w:t>
            </w:r>
            <w:r>
              <w:rPr>
                <w:rFonts w:ascii="Arial" w:hAnsi="Arial" w:cs="Arial"/>
                <w:b/>
                <w:sz w:val="20"/>
              </w:rPr>
              <w:t xml:space="preserve">(a) </w:t>
            </w:r>
            <w:r w:rsidRPr="00AA1779">
              <w:rPr>
                <w:rFonts w:ascii="Arial" w:hAnsi="Arial" w:cs="Arial"/>
                <w:b/>
                <w:sz w:val="20"/>
              </w:rPr>
              <w:t xml:space="preserve">the </w:t>
            </w:r>
            <w:r>
              <w:rPr>
                <w:rFonts w:ascii="Arial" w:hAnsi="Arial" w:cs="Arial"/>
                <w:b/>
                <w:sz w:val="20"/>
              </w:rPr>
              <w:t xml:space="preserve">transmitter authorised under </w:t>
            </w:r>
            <w:r w:rsidRPr="00AA1779">
              <w:rPr>
                <w:rFonts w:ascii="Arial" w:hAnsi="Arial" w:cs="Arial"/>
                <w:b/>
                <w:sz w:val="20"/>
              </w:rPr>
              <w:t>TS</w:t>
            </w:r>
            <w:r w:rsidRPr="000F08F5">
              <w:rPr>
                <w:rFonts w:ascii="Arial" w:hAnsi="Arial" w:cs="Arial"/>
                <w:b/>
                <w:sz w:val="20"/>
              </w:rPr>
              <w:t>10002393</w:t>
            </w:r>
            <w:r w:rsidRPr="00AA1779">
              <w:rPr>
                <w:rFonts w:ascii="Arial" w:hAnsi="Arial" w:cs="Arial"/>
                <w:b/>
                <w:sz w:val="20"/>
              </w:rPr>
              <w:t xml:space="preserve"> </w:t>
            </w:r>
            <w:r>
              <w:rPr>
                <w:rFonts w:ascii="Arial" w:hAnsi="Arial" w:cs="Arial"/>
                <w:b/>
                <w:sz w:val="20"/>
              </w:rPr>
              <w:t xml:space="preserve">in the Remote Western Australia LAP which operates on 102.3 MHz to serve Lancelin ceases operation on that frequency and </w:t>
            </w:r>
            <w:r w:rsidRPr="00B205A3">
              <w:rPr>
                <w:rFonts w:ascii="Arial" w:hAnsi="Arial" w:cs="Arial"/>
                <w:b/>
                <w:sz w:val="20"/>
              </w:rPr>
              <w:t>(b) the transmitter authorised under TS</w:t>
            </w:r>
            <w:r w:rsidRPr="00B205A3">
              <w:rPr>
                <w:rFonts w:ascii="Arial" w:hAnsi="Arial" w:cs="Arial"/>
                <w:sz w:val="20"/>
              </w:rPr>
              <w:t xml:space="preserve"> </w:t>
            </w:r>
            <w:r w:rsidRPr="00B205A3">
              <w:rPr>
                <w:rFonts w:ascii="Arial" w:hAnsi="Arial" w:cs="Arial"/>
                <w:b/>
                <w:sz w:val="20"/>
              </w:rPr>
              <w:t>10010</w:t>
            </w:r>
            <w:r>
              <w:rPr>
                <w:rFonts w:ascii="Arial" w:hAnsi="Arial" w:cs="Arial"/>
                <w:b/>
                <w:sz w:val="20"/>
              </w:rPr>
              <w:t>199</w:t>
            </w:r>
            <w:r w:rsidRPr="00B205A3">
              <w:rPr>
                <w:rFonts w:ascii="Arial" w:hAnsi="Arial" w:cs="Arial"/>
                <w:b/>
                <w:sz w:val="20"/>
              </w:rPr>
              <w:t xml:space="preserve"> in the Perth Radio LAP which operates on 10</w:t>
            </w:r>
            <w:r>
              <w:rPr>
                <w:rFonts w:ascii="Arial" w:hAnsi="Arial" w:cs="Arial"/>
                <w:b/>
                <w:sz w:val="20"/>
              </w:rPr>
              <w:t>2</w:t>
            </w:r>
            <w:r w:rsidRPr="00B205A3">
              <w:rPr>
                <w:rFonts w:ascii="Arial" w:hAnsi="Arial" w:cs="Arial"/>
                <w:b/>
                <w:sz w:val="20"/>
              </w:rPr>
              <w:t>.</w:t>
            </w:r>
            <w:r>
              <w:rPr>
                <w:rFonts w:ascii="Arial" w:hAnsi="Arial" w:cs="Arial"/>
                <w:b/>
                <w:sz w:val="20"/>
              </w:rPr>
              <w:t>5</w:t>
            </w:r>
            <w:r w:rsidRPr="00B205A3">
              <w:rPr>
                <w:rFonts w:ascii="Arial" w:hAnsi="Arial" w:cs="Arial"/>
                <w:b/>
                <w:sz w:val="20"/>
              </w:rPr>
              <w:t xml:space="preserve"> MHz to serve </w:t>
            </w:r>
            <w:r>
              <w:rPr>
                <w:rFonts w:ascii="Arial" w:hAnsi="Arial" w:cs="Arial"/>
                <w:b/>
                <w:sz w:val="20"/>
              </w:rPr>
              <w:t>Kalamunda</w:t>
            </w:r>
            <w:r w:rsidRPr="00B205A3">
              <w:rPr>
                <w:rFonts w:ascii="Arial" w:hAnsi="Arial" w:cs="Arial"/>
                <w:b/>
                <w:sz w:val="20"/>
              </w:rPr>
              <w:t xml:space="preserve"> ceases operation </w:t>
            </w:r>
            <w:r>
              <w:rPr>
                <w:rFonts w:ascii="Arial" w:hAnsi="Arial" w:cs="Arial"/>
                <w:b/>
                <w:sz w:val="20"/>
              </w:rPr>
              <w:t>on that frequency.</w:t>
            </w:r>
          </w:p>
        </w:tc>
      </w:tr>
    </w:tbl>
    <w:p w14:paraId="36054034" w14:textId="77777777" w:rsidR="00783DF9" w:rsidRPr="001E2C70" w:rsidRDefault="00783DF9" w:rsidP="00783DF9"/>
    <w:p w14:paraId="7B687628" w14:textId="77777777" w:rsidR="00783DF9" w:rsidRDefault="00783DF9" w:rsidP="00783DF9"/>
    <w:p w14:paraId="7189C727" w14:textId="77777777" w:rsidR="00783DF9" w:rsidRDefault="00783DF9" w:rsidP="00783DF9">
      <w:pPr>
        <w:spacing w:after="0"/>
      </w:pPr>
      <w:r>
        <w:br w:type="page"/>
      </w:r>
    </w:p>
    <w:tbl>
      <w:tblPr>
        <w:tblpPr w:leftFromText="180" w:rightFromText="180" w:vertAnchor="text" w:tblpY="1"/>
        <w:tblOverlap w:val="never"/>
        <w:tblW w:w="8642" w:type="dxa"/>
        <w:tblBorders>
          <w:top w:val="single" w:sz="4" w:space="0" w:color="auto"/>
          <w:bottom w:val="single" w:sz="4" w:space="0" w:color="auto"/>
          <w:insideH w:val="single" w:sz="4" w:space="0" w:color="auto"/>
        </w:tblBorders>
        <w:tblLayout w:type="fixed"/>
        <w:tblCellMar>
          <w:top w:w="85" w:type="dxa"/>
          <w:left w:w="85" w:type="dxa"/>
          <w:bottom w:w="85" w:type="dxa"/>
          <w:right w:w="85" w:type="dxa"/>
        </w:tblCellMar>
        <w:tblLook w:val="01E0" w:firstRow="1" w:lastRow="1" w:firstColumn="1" w:lastColumn="1" w:noHBand="0" w:noVBand="0"/>
        <w:tblCaption w:val="Table title to go here"/>
        <w:tblDescription w:val="Table description to go here"/>
      </w:tblPr>
      <w:tblGrid>
        <w:gridCol w:w="2547"/>
        <w:gridCol w:w="1843"/>
        <w:gridCol w:w="850"/>
        <w:gridCol w:w="1060"/>
        <w:gridCol w:w="2342"/>
      </w:tblGrid>
      <w:tr w:rsidR="00E01125" w:rsidRPr="004813DB" w14:paraId="4A53FD86" w14:textId="77777777" w:rsidTr="00773CEF">
        <w:tc>
          <w:tcPr>
            <w:tcW w:w="2547" w:type="dxa"/>
            <w:tcBorders>
              <w:left w:val="single" w:sz="4" w:space="0" w:color="auto"/>
              <w:right w:val="single" w:sz="4" w:space="0" w:color="auto"/>
            </w:tcBorders>
            <w:shd w:val="clear" w:color="auto" w:fill="FFFFFF" w:themeFill="background1"/>
          </w:tcPr>
          <w:p w14:paraId="695481CD" w14:textId="63B52FE7" w:rsidR="00E01125" w:rsidRPr="004813DB" w:rsidRDefault="00E01125" w:rsidP="00773CEF">
            <w:pPr>
              <w:spacing w:after="0"/>
            </w:pPr>
            <w:r w:rsidRPr="004813DB">
              <w:t>TS Number</w:t>
            </w:r>
          </w:p>
        </w:tc>
        <w:tc>
          <w:tcPr>
            <w:tcW w:w="6095" w:type="dxa"/>
            <w:gridSpan w:val="4"/>
            <w:tcBorders>
              <w:left w:val="single" w:sz="4" w:space="0" w:color="auto"/>
              <w:right w:val="single" w:sz="4" w:space="0" w:color="auto"/>
            </w:tcBorders>
            <w:shd w:val="clear" w:color="auto" w:fill="FFFFFF" w:themeFill="background1"/>
          </w:tcPr>
          <w:p w14:paraId="6A04844A" w14:textId="77777777" w:rsidR="00E01125" w:rsidRPr="004813DB" w:rsidRDefault="00E01125" w:rsidP="00773CEF">
            <w:pPr>
              <w:spacing w:after="0"/>
              <w:rPr>
                <w:b/>
              </w:rPr>
            </w:pPr>
            <w:r w:rsidRPr="004813DB">
              <w:rPr>
                <w:b/>
              </w:rPr>
              <w:t>TS  XXXXXXXXX</w:t>
            </w:r>
          </w:p>
        </w:tc>
      </w:tr>
      <w:tr w:rsidR="00E01125" w:rsidRPr="004813DB" w14:paraId="48A7EE54" w14:textId="77777777" w:rsidTr="00773CEF">
        <w:tc>
          <w:tcPr>
            <w:tcW w:w="2547" w:type="dxa"/>
            <w:tcBorders>
              <w:left w:val="single" w:sz="4" w:space="0" w:color="auto"/>
              <w:right w:val="single" w:sz="4" w:space="0" w:color="auto"/>
            </w:tcBorders>
            <w:shd w:val="clear" w:color="auto" w:fill="FFFFFF" w:themeFill="background1"/>
          </w:tcPr>
          <w:p w14:paraId="1331D413" w14:textId="77777777" w:rsidR="00E01125" w:rsidRPr="004813DB" w:rsidRDefault="00E01125" w:rsidP="00773CEF">
            <w:pPr>
              <w:spacing w:after="0"/>
            </w:pPr>
            <w:r w:rsidRPr="004813DB">
              <w:t>Callsign of licensee</w:t>
            </w:r>
          </w:p>
        </w:tc>
        <w:tc>
          <w:tcPr>
            <w:tcW w:w="6095" w:type="dxa"/>
            <w:gridSpan w:val="4"/>
            <w:tcBorders>
              <w:left w:val="single" w:sz="4" w:space="0" w:color="auto"/>
              <w:right w:val="single" w:sz="4" w:space="0" w:color="auto"/>
            </w:tcBorders>
            <w:shd w:val="clear" w:color="auto" w:fill="FFFFFF" w:themeFill="background1"/>
          </w:tcPr>
          <w:p w14:paraId="79A1A0EF" w14:textId="77777777" w:rsidR="00E01125" w:rsidRPr="004813DB" w:rsidRDefault="00E01125" w:rsidP="00773CEF">
            <w:pPr>
              <w:spacing w:after="0"/>
              <w:rPr>
                <w:b/>
              </w:rPr>
            </w:pPr>
            <w:r w:rsidRPr="004813DB">
              <w:rPr>
                <w:b/>
              </w:rPr>
              <w:t>100 kW OD service (notionally suitable for a national service)</w:t>
            </w:r>
          </w:p>
        </w:tc>
      </w:tr>
      <w:tr w:rsidR="00E01125" w:rsidRPr="004813DB" w14:paraId="6A128B7A" w14:textId="77777777" w:rsidTr="00773CEF">
        <w:tc>
          <w:tcPr>
            <w:tcW w:w="2547" w:type="dxa"/>
            <w:tcBorders>
              <w:left w:val="single" w:sz="4" w:space="0" w:color="auto"/>
              <w:right w:val="single" w:sz="4" w:space="0" w:color="auto"/>
            </w:tcBorders>
            <w:shd w:val="clear" w:color="auto" w:fill="FFFFFF" w:themeFill="background1"/>
          </w:tcPr>
          <w:p w14:paraId="6D6EEFF1" w14:textId="38FB9F23" w:rsidR="00E01125" w:rsidRPr="004813DB" w:rsidRDefault="00E01125" w:rsidP="00773CEF">
            <w:pPr>
              <w:spacing w:after="0"/>
            </w:pPr>
            <w:r w:rsidRPr="004813DB">
              <w:t>Area Served</w:t>
            </w:r>
          </w:p>
        </w:tc>
        <w:tc>
          <w:tcPr>
            <w:tcW w:w="6095" w:type="dxa"/>
            <w:gridSpan w:val="4"/>
            <w:tcBorders>
              <w:left w:val="single" w:sz="4" w:space="0" w:color="auto"/>
              <w:right w:val="single" w:sz="4" w:space="0" w:color="auto"/>
            </w:tcBorders>
            <w:shd w:val="clear" w:color="auto" w:fill="FFFFFF" w:themeFill="background1"/>
          </w:tcPr>
          <w:p w14:paraId="53F7F22D" w14:textId="77777777" w:rsidR="00E01125" w:rsidRPr="004813DB" w:rsidRDefault="00E01125" w:rsidP="00773CEF">
            <w:pPr>
              <w:spacing w:after="0"/>
              <w:rPr>
                <w:b/>
              </w:rPr>
            </w:pPr>
            <w:r w:rsidRPr="004813DB">
              <w:rPr>
                <w:b/>
              </w:rPr>
              <w:t>Perth</w:t>
            </w:r>
          </w:p>
        </w:tc>
      </w:tr>
      <w:tr w:rsidR="00E01125" w:rsidRPr="004813DB" w14:paraId="04C61FAF" w14:textId="77777777" w:rsidTr="00773CEF">
        <w:tc>
          <w:tcPr>
            <w:tcW w:w="2547" w:type="dxa"/>
            <w:tcBorders>
              <w:left w:val="single" w:sz="4" w:space="0" w:color="auto"/>
              <w:right w:val="single" w:sz="4" w:space="0" w:color="auto"/>
            </w:tcBorders>
            <w:shd w:val="clear" w:color="auto" w:fill="FFFFFF" w:themeFill="background1"/>
          </w:tcPr>
          <w:p w14:paraId="647DAD12" w14:textId="77777777" w:rsidR="00E01125" w:rsidRPr="004813DB" w:rsidRDefault="00E01125" w:rsidP="00773CEF">
            <w:pPr>
              <w:spacing w:after="0"/>
            </w:pPr>
            <w:r w:rsidRPr="004813DB">
              <w:t>Nominal location</w:t>
            </w:r>
          </w:p>
        </w:tc>
        <w:tc>
          <w:tcPr>
            <w:tcW w:w="6095" w:type="dxa"/>
            <w:gridSpan w:val="4"/>
            <w:tcBorders>
              <w:left w:val="single" w:sz="4" w:space="0" w:color="auto"/>
              <w:right w:val="single" w:sz="4" w:space="0" w:color="auto"/>
            </w:tcBorders>
            <w:shd w:val="clear" w:color="auto" w:fill="FFFFFF" w:themeFill="background1"/>
          </w:tcPr>
          <w:p w14:paraId="44657F01" w14:textId="77777777" w:rsidR="00E01125" w:rsidRPr="004813DB" w:rsidRDefault="00E01125" w:rsidP="00773CEF">
            <w:pPr>
              <w:spacing w:after="0"/>
              <w:rPr>
                <w:b/>
              </w:rPr>
            </w:pPr>
            <w:r w:rsidRPr="004813DB">
              <w:rPr>
                <w:b/>
              </w:rPr>
              <w:t>Tower Broadcast Australia Site Television Road BICKLEY</w:t>
            </w:r>
          </w:p>
        </w:tc>
      </w:tr>
      <w:tr w:rsidR="00E01125" w:rsidRPr="004813DB" w14:paraId="1265D217" w14:textId="77777777" w:rsidTr="00773CEF">
        <w:tc>
          <w:tcPr>
            <w:tcW w:w="2547" w:type="dxa"/>
            <w:tcBorders>
              <w:left w:val="single" w:sz="4" w:space="0" w:color="auto"/>
              <w:bottom w:val="single" w:sz="4" w:space="0" w:color="auto"/>
              <w:right w:val="single" w:sz="4" w:space="0" w:color="auto"/>
            </w:tcBorders>
          </w:tcPr>
          <w:p w14:paraId="3FBA39A4" w14:textId="2814E2F9" w:rsidR="00E01125" w:rsidRPr="004813DB" w:rsidRDefault="00E01125" w:rsidP="00773CEF">
            <w:pPr>
              <w:spacing w:after="0"/>
            </w:pPr>
            <w:r w:rsidRPr="004813DB">
              <w:t>RADCOM Site ID</w:t>
            </w:r>
          </w:p>
        </w:tc>
        <w:tc>
          <w:tcPr>
            <w:tcW w:w="6095" w:type="dxa"/>
            <w:gridSpan w:val="4"/>
            <w:tcBorders>
              <w:left w:val="single" w:sz="4" w:space="0" w:color="auto"/>
              <w:bottom w:val="single" w:sz="4" w:space="0" w:color="auto"/>
              <w:right w:val="single" w:sz="4" w:space="0" w:color="auto"/>
            </w:tcBorders>
          </w:tcPr>
          <w:p w14:paraId="664223D7" w14:textId="77777777" w:rsidR="00E01125" w:rsidRPr="004813DB" w:rsidRDefault="00E01125" w:rsidP="00773CEF">
            <w:pPr>
              <w:spacing w:after="0"/>
              <w:rPr>
                <w:b/>
              </w:rPr>
            </w:pPr>
            <w:r w:rsidRPr="004813DB">
              <w:rPr>
                <w:b/>
              </w:rPr>
              <w:t>26620</w:t>
            </w:r>
          </w:p>
        </w:tc>
      </w:tr>
      <w:tr w:rsidR="00E01125" w:rsidRPr="004813DB" w14:paraId="10A5DABA" w14:textId="77777777" w:rsidTr="00773CEF">
        <w:tc>
          <w:tcPr>
            <w:tcW w:w="2547" w:type="dxa"/>
            <w:vMerge w:val="restart"/>
            <w:tcBorders>
              <w:left w:val="single" w:sz="4" w:space="0" w:color="auto"/>
              <w:right w:val="single" w:sz="4" w:space="0" w:color="auto"/>
            </w:tcBorders>
          </w:tcPr>
          <w:p w14:paraId="67396DCE" w14:textId="44543B74" w:rsidR="00E01125" w:rsidRPr="004813DB" w:rsidRDefault="00E01125" w:rsidP="00773CEF">
            <w:pPr>
              <w:spacing w:after="0"/>
            </w:pPr>
            <w:r w:rsidRPr="004813DB">
              <w:t>Coordinates Information</w:t>
            </w:r>
          </w:p>
        </w:tc>
        <w:tc>
          <w:tcPr>
            <w:tcW w:w="2693" w:type="dxa"/>
            <w:gridSpan w:val="2"/>
            <w:tcBorders>
              <w:left w:val="single" w:sz="4" w:space="0" w:color="auto"/>
              <w:bottom w:val="single" w:sz="4" w:space="0" w:color="auto"/>
              <w:right w:val="single" w:sz="4" w:space="0" w:color="auto"/>
            </w:tcBorders>
          </w:tcPr>
          <w:p w14:paraId="2136738B" w14:textId="77777777" w:rsidR="00E01125" w:rsidRPr="004813DB" w:rsidRDefault="00E01125" w:rsidP="00773CEF">
            <w:pPr>
              <w:spacing w:after="0"/>
              <w:rPr>
                <w:b/>
              </w:rPr>
            </w:pPr>
            <w:r w:rsidRPr="004813DB">
              <w:rPr>
                <w:b/>
              </w:rPr>
              <w:t>Latitude (GDA94)</w:t>
            </w:r>
          </w:p>
          <w:p w14:paraId="40FB7111" w14:textId="77777777" w:rsidR="00E01125" w:rsidRPr="004813DB" w:rsidRDefault="00E01125" w:rsidP="00773CEF">
            <w:pPr>
              <w:spacing w:after="0"/>
              <w:rPr>
                <w:b/>
              </w:rPr>
            </w:pPr>
            <w:r w:rsidRPr="004813DB">
              <w:rPr>
                <w:b/>
              </w:rPr>
              <w:t>-32.01073</w:t>
            </w:r>
          </w:p>
        </w:tc>
        <w:tc>
          <w:tcPr>
            <w:tcW w:w="3402" w:type="dxa"/>
            <w:gridSpan w:val="2"/>
            <w:tcBorders>
              <w:left w:val="single" w:sz="4" w:space="0" w:color="auto"/>
              <w:bottom w:val="single" w:sz="4" w:space="0" w:color="auto"/>
              <w:right w:val="single" w:sz="4" w:space="0" w:color="auto"/>
            </w:tcBorders>
          </w:tcPr>
          <w:p w14:paraId="092D5D4A" w14:textId="77777777" w:rsidR="00E01125" w:rsidRPr="004813DB" w:rsidRDefault="00E01125" w:rsidP="00773CEF">
            <w:pPr>
              <w:spacing w:after="0"/>
              <w:rPr>
                <w:b/>
              </w:rPr>
            </w:pPr>
            <w:r w:rsidRPr="004813DB">
              <w:rPr>
                <w:b/>
              </w:rPr>
              <w:t>Longitude (GDA94)</w:t>
            </w:r>
          </w:p>
          <w:p w14:paraId="2C6097A2" w14:textId="77777777" w:rsidR="00E01125" w:rsidRPr="004813DB" w:rsidRDefault="00E01125" w:rsidP="00773CEF">
            <w:pPr>
              <w:spacing w:after="0"/>
              <w:rPr>
                <w:b/>
              </w:rPr>
            </w:pPr>
            <w:r w:rsidRPr="004813DB">
              <w:rPr>
                <w:b/>
              </w:rPr>
              <w:t>116.08452</w:t>
            </w:r>
          </w:p>
        </w:tc>
      </w:tr>
      <w:tr w:rsidR="00E01125" w:rsidRPr="004813DB" w14:paraId="061BE812" w14:textId="77777777" w:rsidTr="00773CEF">
        <w:tc>
          <w:tcPr>
            <w:tcW w:w="2547" w:type="dxa"/>
            <w:vMerge/>
            <w:tcBorders>
              <w:left w:val="single" w:sz="4" w:space="0" w:color="auto"/>
              <w:right w:val="single" w:sz="4" w:space="0" w:color="auto"/>
            </w:tcBorders>
            <w:shd w:val="clear" w:color="auto" w:fill="FFFFFF" w:themeFill="background1"/>
          </w:tcPr>
          <w:p w14:paraId="45C4BFE0" w14:textId="77777777" w:rsidR="00E01125" w:rsidRPr="004813DB" w:rsidRDefault="00E01125" w:rsidP="00773CEF">
            <w:pPr>
              <w:spacing w:after="0"/>
            </w:pPr>
          </w:p>
        </w:tc>
        <w:tc>
          <w:tcPr>
            <w:tcW w:w="1843" w:type="dxa"/>
            <w:tcBorders>
              <w:left w:val="single" w:sz="4" w:space="0" w:color="auto"/>
              <w:right w:val="single" w:sz="4" w:space="0" w:color="auto"/>
            </w:tcBorders>
            <w:shd w:val="clear" w:color="auto" w:fill="FFFFFF" w:themeFill="background1"/>
          </w:tcPr>
          <w:p w14:paraId="2801D7F5" w14:textId="77777777" w:rsidR="00E01125" w:rsidRPr="004813DB" w:rsidRDefault="00E01125" w:rsidP="00773CEF">
            <w:pPr>
              <w:spacing w:after="0"/>
              <w:rPr>
                <w:b/>
              </w:rPr>
            </w:pPr>
            <w:r w:rsidRPr="004813DB">
              <w:rPr>
                <w:b/>
              </w:rPr>
              <w:t>Zone (AMG66)</w:t>
            </w:r>
          </w:p>
          <w:p w14:paraId="69C694D6" w14:textId="77777777" w:rsidR="00E01125" w:rsidRPr="004813DB" w:rsidRDefault="00E01125" w:rsidP="00773CEF">
            <w:pPr>
              <w:spacing w:after="0"/>
              <w:rPr>
                <w:b/>
              </w:rPr>
            </w:pPr>
            <w:r w:rsidRPr="004813DB">
              <w:rPr>
                <w:b/>
              </w:rPr>
              <w:t>50</w:t>
            </w:r>
          </w:p>
        </w:tc>
        <w:tc>
          <w:tcPr>
            <w:tcW w:w="1910" w:type="dxa"/>
            <w:gridSpan w:val="2"/>
            <w:tcBorders>
              <w:left w:val="single" w:sz="4" w:space="0" w:color="auto"/>
              <w:right w:val="single" w:sz="4" w:space="0" w:color="auto"/>
            </w:tcBorders>
            <w:shd w:val="clear" w:color="auto" w:fill="FFFFFF" w:themeFill="background1"/>
          </w:tcPr>
          <w:p w14:paraId="0248D6D9" w14:textId="77777777" w:rsidR="00E01125" w:rsidRPr="004813DB" w:rsidRDefault="00E01125" w:rsidP="00773CEF">
            <w:pPr>
              <w:spacing w:after="0"/>
              <w:rPr>
                <w:b/>
              </w:rPr>
            </w:pPr>
            <w:r w:rsidRPr="004813DB">
              <w:rPr>
                <w:b/>
              </w:rPr>
              <w:t>Easting (AMG66)</w:t>
            </w:r>
          </w:p>
          <w:p w14:paraId="3F66F509" w14:textId="77777777" w:rsidR="00E01125" w:rsidRPr="004813DB" w:rsidRDefault="00E01125" w:rsidP="00773CEF">
            <w:pPr>
              <w:spacing w:after="0"/>
              <w:rPr>
                <w:b/>
              </w:rPr>
            </w:pPr>
            <w:r w:rsidRPr="004813DB">
              <w:rPr>
                <w:b/>
              </w:rPr>
              <w:t>413397</w:t>
            </w:r>
          </w:p>
        </w:tc>
        <w:tc>
          <w:tcPr>
            <w:tcW w:w="2342" w:type="dxa"/>
            <w:tcBorders>
              <w:left w:val="single" w:sz="4" w:space="0" w:color="auto"/>
              <w:right w:val="single" w:sz="4" w:space="0" w:color="auto"/>
            </w:tcBorders>
            <w:shd w:val="clear" w:color="auto" w:fill="FFFFFF" w:themeFill="background1"/>
          </w:tcPr>
          <w:p w14:paraId="6BD32892" w14:textId="77777777" w:rsidR="00E01125" w:rsidRPr="004813DB" w:rsidRDefault="00E01125" w:rsidP="00773CEF">
            <w:pPr>
              <w:spacing w:after="0"/>
              <w:rPr>
                <w:b/>
              </w:rPr>
            </w:pPr>
            <w:r w:rsidRPr="004813DB">
              <w:rPr>
                <w:b/>
              </w:rPr>
              <w:t>Northing (AMG66)</w:t>
            </w:r>
          </w:p>
          <w:p w14:paraId="1EC852C4" w14:textId="77777777" w:rsidR="00E01125" w:rsidRPr="004813DB" w:rsidRDefault="00E01125" w:rsidP="00773CEF">
            <w:pPr>
              <w:spacing w:after="0"/>
              <w:rPr>
                <w:b/>
              </w:rPr>
            </w:pPr>
            <w:r w:rsidRPr="004813DB">
              <w:rPr>
                <w:b/>
              </w:rPr>
              <w:t>6457863</w:t>
            </w:r>
          </w:p>
        </w:tc>
      </w:tr>
      <w:tr w:rsidR="00E01125" w:rsidRPr="004813DB" w14:paraId="39DA19E5" w14:textId="77777777" w:rsidTr="00773CEF">
        <w:tc>
          <w:tcPr>
            <w:tcW w:w="2547" w:type="dxa"/>
            <w:tcBorders>
              <w:left w:val="single" w:sz="4" w:space="0" w:color="auto"/>
              <w:right w:val="single" w:sz="4" w:space="0" w:color="auto"/>
            </w:tcBorders>
            <w:shd w:val="clear" w:color="auto" w:fill="FFFFFF" w:themeFill="background1"/>
          </w:tcPr>
          <w:p w14:paraId="77A2BD39" w14:textId="77777777" w:rsidR="00E01125" w:rsidRPr="004813DB" w:rsidRDefault="00E01125" w:rsidP="00773CEF">
            <w:pPr>
              <w:spacing w:after="0"/>
            </w:pPr>
            <w:r w:rsidRPr="004813DB">
              <w:t>Frequency</w:t>
            </w:r>
          </w:p>
        </w:tc>
        <w:tc>
          <w:tcPr>
            <w:tcW w:w="6095" w:type="dxa"/>
            <w:gridSpan w:val="4"/>
            <w:tcBorders>
              <w:left w:val="single" w:sz="4" w:space="0" w:color="auto"/>
              <w:right w:val="single" w:sz="4" w:space="0" w:color="auto"/>
            </w:tcBorders>
            <w:shd w:val="clear" w:color="auto" w:fill="FFFFFF" w:themeFill="background1"/>
          </w:tcPr>
          <w:p w14:paraId="394226DF" w14:textId="77777777" w:rsidR="00E01125" w:rsidRPr="004813DB" w:rsidRDefault="00E01125" w:rsidP="00773CEF">
            <w:pPr>
              <w:spacing w:after="0"/>
              <w:rPr>
                <w:b/>
              </w:rPr>
            </w:pPr>
            <w:r w:rsidRPr="004813DB">
              <w:rPr>
                <w:b/>
              </w:rPr>
              <w:t xml:space="preserve">103.3 MHz </w:t>
            </w:r>
          </w:p>
        </w:tc>
      </w:tr>
      <w:tr w:rsidR="00E01125" w:rsidRPr="004813DB" w14:paraId="40455D3B" w14:textId="77777777" w:rsidTr="00773CEF">
        <w:tc>
          <w:tcPr>
            <w:tcW w:w="2547" w:type="dxa"/>
            <w:vMerge w:val="restart"/>
            <w:tcBorders>
              <w:left w:val="single" w:sz="4" w:space="0" w:color="auto"/>
              <w:right w:val="single" w:sz="4" w:space="0" w:color="auto"/>
            </w:tcBorders>
          </w:tcPr>
          <w:p w14:paraId="7F203AB5" w14:textId="4EA97972" w:rsidR="00E01125" w:rsidRPr="004813DB" w:rsidRDefault="00E01125" w:rsidP="00773CEF">
            <w:pPr>
              <w:spacing w:after="0"/>
            </w:pPr>
            <w:r w:rsidRPr="004813DB">
              <w:t>Output Radiation Pattern</w:t>
            </w:r>
          </w:p>
        </w:tc>
        <w:tc>
          <w:tcPr>
            <w:tcW w:w="2693" w:type="dxa"/>
            <w:gridSpan w:val="2"/>
            <w:tcBorders>
              <w:left w:val="single" w:sz="4" w:space="0" w:color="auto"/>
              <w:bottom w:val="single" w:sz="4" w:space="0" w:color="auto"/>
              <w:right w:val="single" w:sz="4" w:space="0" w:color="auto"/>
            </w:tcBorders>
          </w:tcPr>
          <w:p w14:paraId="12792DC3" w14:textId="56A4F93B" w:rsidR="00E01125" w:rsidRPr="004813DB" w:rsidRDefault="00E01125" w:rsidP="00773CEF">
            <w:pPr>
              <w:spacing w:after="0"/>
              <w:rPr>
                <w:b/>
              </w:rPr>
            </w:pPr>
            <w:r w:rsidRPr="004813DB">
              <w:rPr>
                <w:b/>
              </w:rPr>
              <w:t>Azimuth Bearing (clockwise direction)</w:t>
            </w:r>
          </w:p>
        </w:tc>
        <w:tc>
          <w:tcPr>
            <w:tcW w:w="3402" w:type="dxa"/>
            <w:gridSpan w:val="2"/>
            <w:tcBorders>
              <w:left w:val="single" w:sz="4" w:space="0" w:color="auto"/>
              <w:bottom w:val="single" w:sz="4" w:space="0" w:color="auto"/>
              <w:right w:val="single" w:sz="4" w:space="0" w:color="auto"/>
            </w:tcBorders>
          </w:tcPr>
          <w:p w14:paraId="4DDD5CFE" w14:textId="77777777" w:rsidR="00E01125" w:rsidRPr="004813DB" w:rsidRDefault="00E01125" w:rsidP="00773CEF">
            <w:pPr>
              <w:spacing w:after="0"/>
              <w:rPr>
                <w:b/>
              </w:rPr>
            </w:pPr>
            <w:r w:rsidRPr="004813DB">
              <w:rPr>
                <w:b/>
              </w:rPr>
              <w:t xml:space="preserve">Maximum ERP </w:t>
            </w:r>
          </w:p>
        </w:tc>
      </w:tr>
      <w:tr w:rsidR="00E01125" w:rsidRPr="004813DB" w14:paraId="7E65336D" w14:textId="77777777" w:rsidTr="00773CEF">
        <w:tc>
          <w:tcPr>
            <w:tcW w:w="2547" w:type="dxa"/>
            <w:vMerge/>
            <w:tcBorders>
              <w:left w:val="single" w:sz="4" w:space="0" w:color="auto"/>
              <w:right w:val="single" w:sz="4" w:space="0" w:color="auto"/>
            </w:tcBorders>
          </w:tcPr>
          <w:p w14:paraId="40167BEC" w14:textId="77777777" w:rsidR="00E01125" w:rsidRPr="004813DB" w:rsidRDefault="00E01125" w:rsidP="00773CEF">
            <w:pPr>
              <w:spacing w:after="0"/>
            </w:pPr>
          </w:p>
        </w:tc>
        <w:tc>
          <w:tcPr>
            <w:tcW w:w="2693" w:type="dxa"/>
            <w:gridSpan w:val="2"/>
            <w:tcBorders>
              <w:left w:val="single" w:sz="4" w:space="0" w:color="auto"/>
              <w:bottom w:val="single" w:sz="4" w:space="0" w:color="auto"/>
              <w:right w:val="single" w:sz="4" w:space="0" w:color="auto"/>
            </w:tcBorders>
          </w:tcPr>
          <w:p w14:paraId="399CDE42" w14:textId="77777777" w:rsidR="00E01125" w:rsidRPr="004813DB" w:rsidRDefault="00E01125" w:rsidP="00773CEF">
            <w:pPr>
              <w:spacing w:after="0"/>
              <w:rPr>
                <w:b/>
              </w:rPr>
            </w:pPr>
            <w:r w:rsidRPr="004813DB">
              <w:rPr>
                <w:b/>
              </w:rPr>
              <w:t>At all angles of azimuth</w:t>
            </w:r>
          </w:p>
        </w:tc>
        <w:tc>
          <w:tcPr>
            <w:tcW w:w="3402" w:type="dxa"/>
            <w:gridSpan w:val="2"/>
            <w:tcBorders>
              <w:left w:val="single" w:sz="4" w:space="0" w:color="auto"/>
              <w:bottom w:val="single" w:sz="4" w:space="0" w:color="auto"/>
              <w:right w:val="single" w:sz="4" w:space="0" w:color="auto"/>
            </w:tcBorders>
          </w:tcPr>
          <w:p w14:paraId="5207556E" w14:textId="77777777" w:rsidR="00E01125" w:rsidRPr="004813DB" w:rsidRDefault="00E01125" w:rsidP="00773CEF">
            <w:pPr>
              <w:spacing w:after="0"/>
              <w:rPr>
                <w:b/>
              </w:rPr>
            </w:pPr>
            <w:r w:rsidRPr="004813DB">
              <w:rPr>
                <w:b/>
              </w:rPr>
              <w:tab/>
              <w:t>100 kW</w:t>
            </w:r>
          </w:p>
        </w:tc>
      </w:tr>
      <w:tr w:rsidR="00E01125" w:rsidRPr="004813DB" w14:paraId="13873C5A" w14:textId="77777777" w:rsidTr="00773CEF">
        <w:tc>
          <w:tcPr>
            <w:tcW w:w="2547" w:type="dxa"/>
            <w:tcBorders>
              <w:left w:val="single" w:sz="4" w:space="0" w:color="auto"/>
              <w:right w:val="single" w:sz="4" w:space="0" w:color="auto"/>
            </w:tcBorders>
            <w:shd w:val="clear" w:color="auto" w:fill="FFFFFF" w:themeFill="background1"/>
          </w:tcPr>
          <w:p w14:paraId="0B72CDF8" w14:textId="77777777" w:rsidR="00E01125" w:rsidRPr="004813DB" w:rsidRDefault="00E01125" w:rsidP="00773CEF">
            <w:pPr>
              <w:spacing w:after="0"/>
            </w:pPr>
            <w:r w:rsidRPr="004813DB">
              <w:t>Polarisation</w:t>
            </w:r>
          </w:p>
        </w:tc>
        <w:tc>
          <w:tcPr>
            <w:tcW w:w="6095" w:type="dxa"/>
            <w:gridSpan w:val="4"/>
            <w:tcBorders>
              <w:left w:val="single" w:sz="4" w:space="0" w:color="auto"/>
              <w:right w:val="single" w:sz="4" w:space="0" w:color="auto"/>
            </w:tcBorders>
            <w:shd w:val="clear" w:color="auto" w:fill="FFFFFF" w:themeFill="background1"/>
          </w:tcPr>
          <w:p w14:paraId="4E544FD3" w14:textId="77777777" w:rsidR="00E01125" w:rsidRPr="004813DB" w:rsidRDefault="00E01125" w:rsidP="00773CEF">
            <w:pPr>
              <w:spacing w:after="0"/>
              <w:rPr>
                <w:b/>
              </w:rPr>
            </w:pPr>
            <w:r w:rsidRPr="004813DB">
              <w:rPr>
                <w:b/>
              </w:rPr>
              <w:t>Mixed</w:t>
            </w:r>
          </w:p>
        </w:tc>
      </w:tr>
      <w:tr w:rsidR="00E01125" w:rsidRPr="004813DB" w14:paraId="78B802AE" w14:textId="77777777" w:rsidTr="00773CEF">
        <w:tc>
          <w:tcPr>
            <w:tcW w:w="2547" w:type="dxa"/>
            <w:tcBorders>
              <w:left w:val="single" w:sz="4" w:space="0" w:color="auto"/>
              <w:right w:val="single" w:sz="4" w:space="0" w:color="auto"/>
            </w:tcBorders>
          </w:tcPr>
          <w:p w14:paraId="46231559" w14:textId="4852924B" w:rsidR="00E01125" w:rsidRPr="004813DB" w:rsidRDefault="00E01125" w:rsidP="00773CEF">
            <w:pPr>
              <w:spacing w:after="0"/>
            </w:pPr>
            <w:r w:rsidRPr="004813DB">
              <w:t>Maximum Antenna Height</w:t>
            </w:r>
          </w:p>
        </w:tc>
        <w:tc>
          <w:tcPr>
            <w:tcW w:w="6095" w:type="dxa"/>
            <w:gridSpan w:val="4"/>
            <w:tcBorders>
              <w:left w:val="single" w:sz="4" w:space="0" w:color="auto"/>
              <w:right w:val="single" w:sz="4" w:space="0" w:color="auto"/>
            </w:tcBorders>
            <w:shd w:val="clear" w:color="auto" w:fill="auto"/>
          </w:tcPr>
          <w:p w14:paraId="4AF6CA34" w14:textId="77777777" w:rsidR="00E01125" w:rsidRPr="004813DB" w:rsidRDefault="00E01125" w:rsidP="00773CEF">
            <w:pPr>
              <w:spacing w:after="0"/>
              <w:rPr>
                <w:b/>
              </w:rPr>
            </w:pPr>
            <w:r w:rsidRPr="004813DB">
              <w:rPr>
                <w:b/>
              </w:rPr>
              <w:t>120 metres</w:t>
            </w:r>
            <w:r>
              <w:rPr>
                <w:rStyle w:val="FootnoteReference"/>
                <w:b/>
              </w:rPr>
              <w:footnoteReference w:id="8"/>
            </w:r>
          </w:p>
        </w:tc>
      </w:tr>
      <w:tr w:rsidR="00E01125" w:rsidRPr="004813DB" w14:paraId="10399C71" w14:textId="77777777" w:rsidTr="00773CEF">
        <w:tc>
          <w:tcPr>
            <w:tcW w:w="2547" w:type="dxa"/>
            <w:tcBorders>
              <w:left w:val="single" w:sz="4" w:space="0" w:color="auto"/>
              <w:right w:val="single" w:sz="4" w:space="0" w:color="auto"/>
            </w:tcBorders>
            <w:shd w:val="clear" w:color="auto" w:fill="FFFFFF" w:themeFill="background1"/>
          </w:tcPr>
          <w:p w14:paraId="464BCC97" w14:textId="22C331A5" w:rsidR="00E01125" w:rsidRPr="004813DB" w:rsidRDefault="00E01125" w:rsidP="00773CEF">
            <w:pPr>
              <w:spacing w:after="0"/>
            </w:pPr>
            <w:r w:rsidRPr="004813DB">
              <w:t>Special Conditions/</w:t>
            </w:r>
          </w:p>
          <w:p w14:paraId="64F48E9A" w14:textId="35545E16" w:rsidR="00E01125" w:rsidRPr="004813DB" w:rsidRDefault="00E01125" w:rsidP="00773CEF">
            <w:pPr>
              <w:spacing w:after="0"/>
            </w:pPr>
            <w:r w:rsidRPr="004813DB">
              <w:t>Advisory Notes</w:t>
            </w:r>
          </w:p>
        </w:tc>
        <w:tc>
          <w:tcPr>
            <w:tcW w:w="6095" w:type="dxa"/>
            <w:gridSpan w:val="4"/>
            <w:tcBorders>
              <w:left w:val="single" w:sz="4" w:space="0" w:color="auto"/>
              <w:right w:val="single" w:sz="4" w:space="0" w:color="auto"/>
            </w:tcBorders>
            <w:shd w:val="clear" w:color="auto" w:fill="FFFFFF" w:themeFill="background1"/>
          </w:tcPr>
          <w:p w14:paraId="150F8A4E" w14:textId="1BD94DD8" w:rsidR="00E01125" w:rsidRPr="004813DB" w:rsidRDefault="00E01125" w:rsidP="00773CEF">
            <w:pPr>
              <w:spacing w:after="0"/>
              <w:rPr>
                <w:b/>
              </w:rPr>
            </w:pPr>
            <w:r w:rsidRPr="00455038">
              <w:rPr>
                <w:b/>
              </w:rPr>
              <w:t xml:space="preserve">Availability of TS (this TS): TS (this TS) is only available once </w:t>
            </w:r>
            <w:r>
              <w:rPr>
                <w:b/>
              </w:rPr>
              <w:t xml:space="preserve">(a) </w:t>
            </w:r>
            <w:r w:rsidRPr="00455038">
              <w:rPr>
                <w:b/>
              </w:rPr>
              <w:t>the transmitter authorised under TS</w:t>
            </w:r>
            <w:r>
              <w:t xml:space="preserve"> </w:t>
            </w:r>
            <w:r w:rsidRPr="0088103E">
              <w:rPr>
                <w:b/>
              </w:rPr>
              <w:t>10010301</w:t>
            </w:r>
            <w:r w:rsidRPr="00455038">
              <w:rPr>
                <w:b/>
              </w:rPr>
              <w:t xml:space="preserve"> in </w:t>
            </w:r>
            <w:r w:rsidRPr="00FC7C5B">
              <w:rPr>
                <w:b/>
              </w:rPr>
              <w:t xml:space="preserve">the Perth Radio LAP </w:t>
            </w:r>
            <w:r w:rsidRPr="00455038">
              <w:rPr>
                <w:b/>
              </w:rPr>
              <w:t>which operates on 10</w:t>
            </w:r>
            <w:r>
              <w:rPr>
                <w:b/>
              </w:rPr>
              <w:t>3</w:t>
            </w:r>
            <w:r w:rsidRPr="00455038">
              <w:rPr>
                <w:b/>
              </w:rPr>
              <w:t xml:space="preserve">.3 MHz to serve </w:t>
            </w:r>
            <w:r>
              <w:rPr>
                <w:b/>
              </w:rPr>
              <w:t>Perth City</w:t>
            </w:r>
            <w:r w:rsidRPr="00455038">
              <w:rPr>
                <w:b/>
              </w:rPr>
              <w:t xml:space="preserve"> ceases operation on that frequency</w:t>
            </w:r>
            <w:r>
              <w:rPr>
                <w:b/>
              </w:rPr>
              <w:t>.</w:t>
            </w:r>
          </w:p>
        </w:tc>
      </w:tr>
    </w:tbl>
    <w:p w14:paraId="25663B5B" w14:textId="4A817F8C" w:rsidR="004813DB" w:rsidRPr="004813DB" w:rsidRDefault="004813DB" w:rsidP="004813DB"/>
    <w:p w14:paraId="6E2A12FF" w14:textId="77777777" w:rsidR="004813DB" w:rsidRPr="004813DB" w:rsidRDefault="004813DB" w:rsidP="004813DB"/>
    <w:p w14:paraId="5F27BEF7" w14:textId="77777777" w:rsidR="004813DB" w:rsidRPr="004813DB" w:rsidRDefault="004813DB" w:rsidP="004813DB">
      <w:r w:rsidRPr="004813DB">
        <w:br w:type="page"/>
      </w:r>
    </w:p>
    <w:tbl>
      <w:tblPr>
        <w:tblpPr w:leftFromText="180" w:rightFromText="180" w:vertAnchor="text" w:tblpY="1"/>
        <w:tblOverlap w:val="never"/>
        <w:tblW w:w="8642" w:type="dxa"/>
        <w:tblBorders>
          <w:top w:val="single" w:sz="4" w:space="0" w:color="auto"/>
          <w:bottom w:val="single" w:sz="4" w:space="0" w:color="auto"/>
          <w:insideH w:val="single" w:sz="4" w:space="0" w:color="auto"/>
        </w:tblBorders>
        <w:tblLayout w:type="fixed"/>
        <w:tblCellMar>
          <w:top w:w="85" w:type="dxa"/>
          <w:left w:w="85" w:type="dxa"/>
          <w:bottom w:w="85" w:type="dxa"/>
          <w:right w:w="85" w:type="dxa"/>
        </w:tblCellMar>
        <w:tblLook w:val="01E0" w:firstRow="1" w:lastRow="1" w:firstColumn="1" w:lastColumn="1" w:noHBand="0" w:noVBand="0"/>
        <w:tblCaption w:val="Table title to go here"/>
        <w:tblDescription w:val="Table description to go here"/>
      </w:tblPr>
      <w:tblGrid>
        <w:gridCol w:w="2547"/>
        <w:gridCol w:w="1843"/>
        <w:gridCol w:w="850"/>
        <w:gridCol w:w="1060"/>
        <w:gridCol w:w="2342"/>
      </w:tblGrid>
      <w:tr w:rsidR="00E01125" w:rsidRPr="004813DB" w14:paraId="1C45D44F" w14:textId="77777777" w:rsidTr="00773CEF">
        <w:tc>
          <w:tcPr>
            <w:tcW w:w="2547" w:type="dxa"/>
            <w:tcBorders>
              <w:left w:val="single" w:sz="4" w:space="0" w:color="auto"/>
              <w:right w:val="single" w:sz="4" w:space="0" w:color="auto"/>
            </w:tcBorders>
            <w:shd w:val="clear" w:color="auto" w:fill="FFFFFF" w:themeFill="background1"/>
          </w:tcPr>
          <w:p w14:paraId="55D5CD89" w14:textId="1669B588" w:rsidR="00E01125" w:rsidRPr="004813DB" w:rsidRDefault="006A60C5" w:rsidP="00773CEF">
            <w:pPr>
              <w:spacing w:after="0"/>
            </w:pPr>
            <w:r>
              <w:t>T</w:t>
            </w:r>
            <w:r w:rsidR="00E01125" w:rsidRPr="004813DB">
              <w:t>S Number</w:t>
            </w:r>
          </w:p>
        </w:tc>
        <w:tc>
          <w:tcPr>
            <w:tcW w:w="6095" w:type="dxa"/>
            <w:gridSpan w:val="4"/>
            <w:tcBorders>
              <w:left w:val="single" w:sz="4" w:space="0" w:color="auto"/>
              <w:right w:val="single" w:sz="4" w:space="0" w:color="auto"/>
            </w:tcBorders>
            <w:shd w:val="clear" w:color="auto" w:fill="FFFFFF" w:themeFill="background1"/>
          </w:tcPr>
          <w:p w14:paraId="063AE3E7" w14:textId="77777777" w:rsidR="00E01125" w:rsidRPr="004813DB" w:rsidRDefault="00E01125" w:rsidP="00773CEF">
            <w:pPr>
              <w:spacing w:after="0"/>
              <w:rPr>
                <w:b/>
              </w:rPr>
            </w:pPr>
            <w:r w:rsidRPr="004813DB">
              <w:rPr>
                <w:b/>
              </w:rPr>
              <w:t>TS  XXXXXXXXX</w:t>
            </w:r>
          </w:p>
        </w:tc>
      </w:tr>
      <w:tr w:rsidR="00E01125" w:rsidRPr="004813DB" w14:paraId="5BBDDDD0" w14:textId="77777777" w:rsidTr="00773CEF">
        <w:tc>
          <w:tcPr>
            <w:tcW w:w="2547" w:type="dxa"/>
            <w:tcBorders>
              <w:left w:val="single" w:sz="4" w:space="0" w:color="auto"/>
              <w:right w:val="single" w:sz="4" w:space="0" w:color="auto"/>
            </w:tcBorders>
            <w:shd w:val="clear" w:color="auto" w:fill="FFFFFF" w:themeFill="background1"/>
          </w:tcPr>
          <w:p w14:paraId="3DEEA7CD" w14:textId="77777777" w:rsidR="00E01125" w:rsidRPr="004813DB" w:rsidRDefault="00E01125" w:rsidP="00773CEF">
            <w:pPr>
              <w:spacing w:after="0"/>
            </w:pPr>
            <w:r w:rsidRPr="004813DB">
              <w:t>Callsign of licensee</w:t>
            </w:r>
          </w:p>
        </w:tc>
        <w:tc>
          <w:tcPr>
            <w:tcW w:w="6095" w:type="dxa"/>
            <w:gridSpan w:val="4"/>
            <w:tcBorders>
              <w:left w:val="single" w:sz="4" w:space="0" w:color="auto"/>
              <w:right w:val="single" w:sz="4" w:space="0" w:color="auto"/>
            </w:tcBorders>
            <w:shd w:val="clear" w:color="auto" w:fill="FFFFFF" w:themeFill="background1"/>
          </w:tcPr>
          <w:p w14:paraId="07A839CB" w14:textId="7FCFCF8C" w:rsidR="00E01125" w:rsidRPr="004813DB" w:rsidRDefault="00E01125" w:rsidP="00773CEF">
            <w:pPr>
              <w:spacing w:after="0"/>
              <w:rPr>
                <w:b/>
              </w:rPr>
            </w:pPr>
            <w:r w:rsidRPr="004813DB">
              <w:rPr>
                <w:b/>
              </w:rPr>
              <w:t>100 kW OD service (notionally suitable for a national service)</w:t>
            </w:r>
            <w:r w:rsidRPr="004813DB">
              <w:rPr>
                <w:b/>
              </w:rPr>
              <w:br/>
              <w:t>OR</w:t>
            </w:r>
            <w:r w:rsidRPr="004813DB">
              <w:rPr>
                <w:b/>
              </w:rPr>
              <w:br/>
              <w:t>40 kW DA service if 104.9 MHz not made available for a high power service</w:t>
            </w:r>
          </w:p>
        </w:tc>
      </w:tr>
      <w:tr w:rsidR="00E01125" w:rsidRPr="004813DB" w14:paraId="2BD202AB" w14:textId="77777777" w:rsidTr="00773CEF">
        <w:tc>
          <w:tcPr>
            <w:tcW w:w="2547" w:type="dxa"/>
            <w:tcBorders>
              <w:left w:val="single" w:sz="4" w:space="0" w:color="auto"/>
              <w:right w:val="single" w:sz="4" w:space="0" w:color="auto"/>
            </w:tcBorders>
            <w:shd w:val="clear" w:color="auto" w:fill="FFFFFF" w:themeFill="background1"/>
          </w:tcPr>
          <w:p w14:paraId="1DF34FD4" w14:textId="625A17E2" w:rsidR="00E01125" w:rsidRPr="004813DB" w:rsidRDefault="00E01125" w:rsidP="00773CEF">
            <w:pPr>
              <w:spacing w:after="0"/>
            </w:pPr>
            <w:r w:rsidRPr="004813DB">
              <w:t>Area Served</w:t>
            </w:r>
          </w:p>
        </w:tc>
        <w:tc>
          <w:tcPr>
            <w:tcW w:w="6095" w:type="dxa"/>
            <w:gridSpan w:val="4"/>
            <w:tcBorders>
              <w:left w:val="single" w:sz="4" w:space="0" w:color="auto"/>
              <w:right w:val="single" w:sz="4" w:space="0" w:color="auto"/>
            </w:tcBorders>
            <w:shd w:val="clear" w:color="auto" w:fill="FFFFFF" w:themeFill="background1"/>
          </w:tcPr>
          <w:p w14:paraId="1A4A34A3" w14:textId="77777777" w:rsidR="00E01125" w:rsidRPr="004813DB" w:rsidRDefault="00E01125" w:rsidP="00773CEF">
            <w:pPr>
              <w:spacing w:after="0"/>
              <w:rPr>
                <w:b/>
              </w:rPr>
            </w:pPr>
            <w:r w:rsidRPr="004813DB">
              <w:rPr>
                <w:b/>
              </w:rPr>
              <w:t>Perth</w:t>
            </w:r>
          </w:p>
        </w:tc>
      </w:tr>
      <w:tr w:rsidR="00E01125" w:rsidRPr="004813DB" w14:paraId="15C82596" w14:textId="77777777" w:rsidTr="00773CEF">
        <w:tc>
          <w:tcPr>
            <w:tcW w:w="2547" w:type="dxa"/>
            <w:tcBorders>
              <w:left w:val="single" w:sz="4" w:space="0" w:color="auto"/>
              <w:right w:val="single" w:sz="4" w:space="0" w:color="auto"/>
            </w:tcBorders>
            <w:shd w:val="clear" w:color="auto" w:fill="FFFFFF" w:themeFill="background1"/>
          </w:tcPr>
          <w:p w14:paraId="32BD2F77" w14:textId="77777777" w:rsidR="00E01125" w:rsidRPr="004813DB" w:rsidRDefault="00E01125" w:rsidP="00773CEF">
            <w:pPr>
              <w:spacing w:after="0"/>
            </w:pPr>
            <w:r w:rsidRPr="004813DB">
              <w:t>Nominal location</w:t>
            </w:r>
          </w:p>
        </w:tc>
        <w:tc>
          <w:tcPr>
            <w:tcW w:w="6095" w:type="dxa"/>
            <w:gridSpan w:val="4"/>
            <w:tcBorders>
              <w:left w:val="single" w:sz="4" w:space="0" w:color="auto"/>
              <w:right w:val="single" w:sz="4" w:space="0" w:color="auto"/>
            </w:tcBorders>
            <w:shd w:val="clear" w:color="auto" w:fill="FFFFFF" w:themeFill="background1"/>
          </w:tcPr>
          <w:p w14:paraId="1ED2BDCD" w14:textId="77777777" w:rsidR="00E01125" w:rsidRPr="004813DB" w:rsidRDefault="00E01125" w:rsidP="00773CEF">
            <w:pPr>
              <w:spacing w:after="0"/>
              <w:rPr>
                <w:b/>
              </w:rPr>
            </w:pPr>
            <w:r w:rsidRPr="004813DB">
              <w:rPr>
                <w:b/>
              </w:rPr>
              <w:t>Tower Broadcast Australia Site Television Road BICKLEY</w:t>
            </w:r>
          </w:p>
        </w:tc>
      </w:tr>
      <w:tr w:rsidR="00E01125" w:rsidRPr="004813DB" w14:paraId="17EA095D" w14:textId="77777777" w:rsidTr="00773CEF">
        <w:tc>
          <w:tcPr>
            <w:tcW w:w="2547" w:type="dxa"/>
            <w:tcBorders>
              <w:left w:val="single" w:sz="4" w:space="0" w:color="auto"/>
              <w:bottom w:val="single" w:sz="4" w:space="0" w:color="auto"/>
              <w:right w:val="single" w:sz="4" w:space="0" w:color="auto"/>
            </w:tcBorders>
          </w:tcPr>
          <w:p w14:paraId="3A56A33D" w14:textId="355313D7" w:rsidR="00E01125" w:rsidRPr="004813DB" w:rsidRDefault="00E01125" w:rsidP="00773CEF">
            <w:pPr>
              <w:spacing w:after="0"/>
            </w:pPr>
            <w:r w:rsidRPr="004813DB">
              <w:t>RADCOM Site ID</w:t>
            </w:r>
          </w:p>
        </w:tc>
        <w:tc>
          <w:tcPr>
            <w:tcW w:w="6095" w:type="dxa"/>
            <w:gridSpan w:val="4"/>
            <w:tcBorders>
              <w:left w:val="single" w:sz="4" w:space="0" w:color="auto"/>
              <w:bottom w:val="single" w:sz="4" w:space="0" w:color="auto"/>
              <w:right w:val="single" w:sz="4" w:space="0" w:color="auto"/>
            </w:tcBorders>
          </w:tcPr>
          <w:p w14:paraId="28C13A65" w14:textId="77777777" w:rsidR="00E01125" w:rsidRPr="004813DB" w:rsidRDefault="00E01125" w:rsidP="00773CEF">
            <w:pPr>
              <w:spacing w:after="0"/>
              <w:rPr>
                <w:b/>
              </w:rPr>
            </w:pPr>
            <w:r w:rsidRPr="004813DB">
              <w:rPr>
                <w:b/>
              </w:rPr>
              <w:t>26620</w:t>
            </w:r>
          </w:p>
        </w:tc>
      </w:tr>
      <w:tr w:rsidR="00E01125" w:rsidRPr="004813DB" w14:paraId="6D8D28DE" w14:textId="77777777" w:rsidTr="00773CEF">
        <w:tc>
          <w:tcPr>
            <w:tcW w:w="2547" w:type="dxa"/>
            <w:vMerge w:val="restart"/>
            <w:tcBorders>
              <w:left w:val="single" w:sz="4" w:space="0" w:color="auto"/>
              <w:right w:val="single" w:sz="4" w:space="0" w:color="auto"/>
            </w:tcBorders>
          </w:tcPr>
          <w:p w14:paraId="0875F201" w14:textId="4F2CF7AC" w:rsidR="00E01125" w:rsidRPr="004813DB" w:rsidRDefault="00E01125" w:rsidP="00773CEF">
            <w:pPr>
              <w:spacing w:after="0"/>
            </w:pPr>
            <w:r w:rsidRPr="004813DB">
              <w:t>Coordinates Information</w:t>
            </w:r>
          </w:p>
        </w:tc>
        <w:tc>
          <w:tcPr>
            <w:tcW w:w="2693" w:type="dxa"/>
            <w:gridSpan w:val="2"/>
            <w:tcBorders>
              <w:left w:val="single" w:sz="4" w:space="0" w:color="auto"/>
              <w:bottom w:val="single" w:sz="4" w:space="0" w:color="auto"/>
              <w:right w:val="single" w:sz="4" w:space="0" w:color="auto"/>
            </w:tcBorders>
          </w:tcPr>
          <w:p w14:paraId="2FD1D333" w14:textId="77777777" w:rsidR="00E01125" w:rsidRPr="004813DB" w:rsidRDefault="00E01125" w:rsidP="00773CEF">
            <w:pPr>
              <w:spacing w:after="0"/>
              <w:rPr>
                <w:b/>
              </w:rPr>
            </w:pPr>
            <w:r w:rsidRPr="004813DB">
              <w:rPr>
                <w:b/>
              </w:rPr>
              <w:t>Latitude (GDA94)</w:t>
            </w:r>
          </w:p>
          <w:p w14:paraId="1FA02645" w14:textId="77777777" w:rsidR="00E01125" w:rsidRPr="004813DB" w:rsidRDefault="00E01125" w:rsidP="00773CEF">
            <w:pPr>
              <w:spacing w:after="0"/>
              <w:rPr>
                <w:b/>
              </w:rPr>
            </w:pPr>
            <w:r w:rsidRPr="004813DB">
              <w:rPr>
                <w:b/>
              </w:rPr>
              <w:t>-32.01073</w:t>
            </w:r>
          </w:p>
        </w:tc>
        <w:tc>
          <w:tcPr>
            <w:tcW w:w="3402" w:type="dxa"/>
            <w:gridSpan w:val="2"/>
            <w:tcBorders>
              <w:left w:val="single" w:sz="4" w:space="0" w:color="auto"/>
              <w:bottom w:val="single" w:sz="4" w:space="0" w:color="auto"/>
              <w:right w:val="single" w:sz="4" w:space="0" w:color="auto"/>
            </w:tcBorders>
          </w:tcPr>
          <w:p w14:paraId="5DE8D744" w14:textId="77777777" w:rsidR="00E01125" w:rsidRPr="004813DB" w:rsidRDefault="00E01125" w:rsidP="00773CEF">
            <w:pPr>
              <w:spacing w:after="0"/>
              <w:rPr>
                <w:b/>
              </w:rPr>
            </w:pPr>
            <w:r w:rsidRPr="004813DB">
              <w:rPr>
                <w:b/>
              </w:rPr>
              <w:t>Longitude (GDA94)</w:t>
            </w:r>
          </w:p>
          <w:p w14:paraId="4897405E" w14:textId="77777777" w:rsidR="00E01125" w:rsidRPr="004813DB" w:rsidRDefault="00E01125" w:rsidP="00773CEF">
            <w:pPr>
              <w:spacing w:after="0"/>
              <w:rPr>
                <w:b/>
              </w:rPr>
            </w:pPr>
            <w:r w:rsidRPr="004813DB">
              <w:rPr>
                <w:b/>
              </w:rPr>
              <w:t>116.08452</w:t>
            </w:r>
          </w:p>
        </w:tc>
      </w:tr>
      <w:tr w:rsidR="00E01125" w:rsidRPr="004813DB" w14:paraId="3A30342D" w14:textId="77777777" w:rsidTr="00773CEF">
        <w:tc>
          <w:tcPr>
            <w:tcW w:w="2547" w:type="dxa"/>
            <w:vMerge/>
            <w:tcBorders>
              <w:left w:val="single" w:sz="4" w:space="0" w:color="auto"/>
              <w:right w:val="single" w:sz="4" w:space="0" w:color="auto"/>
            </w:tcBorders>
            <w:shd w:val="clear" w:color="auto" w:fill="FFFFFF" w:themeFill="background1"/>
          </w:tcPr>
          <w:p w14:paraId="5B65BADE" w14:textId="77777777" w:rsidR="00E01125" w:rsidRPr="004813DB" w:rsidRDefault="00E01125" w:rsidP="00773CEF">
            <w:pPr>
              <w:spacing w:after="0"/>
            </w:pPr>
          </w:p>
        </w:tc>
        <w:tc>
          <w:tcPr>
            <w:tcW w:w="1843" w:type="dxa"/>
            <w:tcBorders>
              <w:left w:val="single" w:sz="4" w:space="0" w:color="auto"/>
              <w:right w:val="single" w:sz="4" w:space="0" w:color="auto"/>
            </w:tcBorders>
            <w:shd w:val="clear" w:color="auto" w:fill="FFFFFF" w:themeFill="background1"/>
          </w:tcPr>
          <w:p w14:paraId="68BEB7FA" w14:textId="77777777" w:rsidR="00E01125" w:rsidRPr="004813DB" w:rsidRDefault="00E01125" w:rsidP="00773CEF">
            <w:pPr>
              <w:spacing w:after="0"/>
              <w:rPr>
                <w:b/>
              </w:rPr>
            </w:pPr>
            <w:r w:rsidRPr="004813DB">
              <w:rPr>
                <w:b/>
              </w:rPr>
              <w:t>Zone (AMG66)</w:t>
            </w:r>
          </w:p>
          <w:p w14:paraId="77A4F025" w14:textId="77777777" w:rsidR="00E01125" w:rsidRPr="004813DB" w:rsidRDefault="00E01125" w:rsidP="00773CEF">
            <w:pPr>
              <w:spacing w:after="0"/>
              <w:rPr>
                <w:b/>
              </w:rPr>
            </w:pPr>
            <w:r w:rsidRPr="004813DB">
              <w:rPr>
                <w:b/>
              </w:rPr>
              <w:t>50</w:t>
            </w:r>
          </w:p>
        </w:tc>
        <w:tc>
          <w:tcPr>
            <w:tcW w:w="1910" w:type="dxa"/>
            <w:gridSpan w:val="2"/>
            <w:tcBorders>
              <w:left w:val="single" w:sz="4" w:space="0" w:color="auto"/>
              <w:right w:val="single" w:sz="4" w:space="0" w:color="auto"/>
            </w:tcBorders>
            <w:shd w:val="clear" w:color="auto" w:fill="FFFFFF" w:themeFill="background1"/>
          </w:tcPr>
          <w:p w14:paraId="0D9DC517" w14:textId="77777777" w:rsidR="00E01125" w:rsidRPr="004813DB" w:rsidRDefault="00E01125" w:rsidP="00773CEF">
            <w:pPr>
              <w:spacing w:after="0"/>
              <w:rPr>
                <w:b/>
              </w:rPr>
            </w:pPr>
            <w:r w:rsidRPr="004813DB">
              <w:rPr>
                <w:b/>
              </w:rPr>
              <w:t>Easting (AMG66)</w:t>
            </w:r>
          </w:p>
          <w:p w14:paraId="789EAA64" w14:textId="77777777" w:rsidR="00E01125" w:rsidRPr="004813DB" w:rsidRDefault="00E01125" w:rsidP="00773CEF">
            <w:pPr>
              <w:spacing w:after="0"/>
              <w:rPr>
                <w:b/>
              </w:rPr>
            </w:pPr>
            <w:r w:rsidRPr="004813DB">
              <w:rPr>
                <w:b/>
              </w:rPr>
              <w:t>413397</w:t>
            </w:r>
          </w:p>
        </w:tc>
        <w:tc>
          <w:tcPr>
            <w:tcW w:w="2342" w:type="dxa"/>
            <w:tcBorders>
              <w:left w:val="single" w:sz="4" w:space="0" w:color="auto"/>
              <w:right w:val="single" w:sz="4" w:space="0" w:color="auto"/>
            </w:tcBorders>
            <w:shd w:val="clear" w:color="auto" w:fill="FFFFFF" w:themeFill="background1"/>
          </w:tcPr>
          <w:p w14:paraId="79FBB084" w14:textId="77777777" w:rsidR="00E01125" w:rsidRPr="004813DB" w:rsidRDefault="00E01125" w:rsidP="00773CEF">
            <w:pPr>
              <w:spacing w:after="0"/>
              <w:rPr>
                <w:b/>
              </w:rPr>
            </w:pPr>
            <w:r w:rsidRPr="004813DB">
              <w:rPr>
                <w:b/>
              </w:rPr>
              <w:t>Northing (AMG66)</w:t>
            </w:r>
          </w:p>
          <w:p w14:paraId="47AFB143" w14:textId="77777777" w:rsidR="00E01125" w:rsidRPr="004813DB" w:rsidRDefault="00E01125" w:rsidP="00773CEF">
            <w:pPr>
              <w:spacing w:after="0"/>
              <w:rPr>
                <w:b/>
              </w:rPr>
            </w:pPr>
            <w:r w:rsidRPr="004813DB">
              <w:rPr>
                <w:b/>
              </w:rPr>
              <w:t>6457863</w:t>
            </w:r>
          </w:p>
        </w:tc>
      </w:tr>
      <w:tr w:rsidR="00E01125" w:rsidRPr="004813DB" w14:paraId="5460A99C" w14:textId="77777777" w:rsidTr="00773CEF">
        <w:tc>
          <w:tcPr>
            <w:tcW w:w="2547" w:type="dxa"/>
            <w:tcBorders>
              <w:left w:val="single" w:sz="4" w:space="0" w:color="auto"/>
              <w:right w:val="single" w:sz="4" w:space="0" w:color="auto"/>
            </w:tcBorders>
            <w:shd w:val="clear" w:color="auto" w:fill="FFFFFF" w:themeFill="background1"/>
          </w:tcPr>
          <w:p w14:paraId="664E7E35" w14:textId="77777777" w:rsidR="00E01125" w:rsidRPr="004813DB" w:rsidRDefault="00E01125" w:rsidP="00773CEF">
            <w:pPr>
              <w:spacing w:after="0"/>
            </w:pPr>
            <w:r w:rsidRPr="004813DB">
              <w:t>Frequency</w:t>
            </w:r>
          </w:p>
        </w:tc>
        <w:tc>
          <w:tcPr>
            <w:tcW w:w="6095" w:type="dxa"/>
            <w:gridSpan w:val="4"/>
            <w:tcBorders>
              <w:left w:val="single" w:sz="4" w:space="0" w:color="auto"/>
              <w:right w:val="single" w:sz="4" w:space="0" w:color="auto"/>
            </w:tcBorders>
            <w:shd w:val="clear" w:color="auto" w:fill="FFFFFF" w:themeFill="background1"/>
          </w:tcPr>
          <w:p w14:paraId="6C4CAB9D" w14:textId="77777777" w:rsidR="00E01125" w:rsidRPr="004813DB" w:rsidRDefault="00E01125" w:rsidP="00773CEF">
            <w:pPr>
              <w:spacing w:after="0"/>
              <w:rPr>
                <w:b/>
              </w:rPr>
            </w:pPr>
            <w:r w:rsidRPr="004813DB">
              <w:rPr>
                <w:b/>
              </w:rPr>
              <w:t xml:space="preserve">104.1 MHz </w:t>
            </w:r>
          </w:p>
        </w:tc>
      </w:tr>
      <w:tr w:rsidR="00E01125" w:rsidRPr="004813DB" w14:paraId="2E846D1B" w14:textId="77777777" w:rsidTr="00773CEF">
        <w:tc>
          <w:tcPr>
            <w:tcW w:w="2547" w:type="dxa"/>
            <w:vMerge w:val="restart"/>
            <w:tcBorders>
              <w:left w:val="single" w:sz="4" w:space="0" w:color="auto"/>
              <w:right w:val="single" w:sz="4" w:space="0" w:color="auto"/>
            </w:tcBorders>
          </w:tcPr>
          <w:p w14:paraId="1B579E04" w14:textId="57CFA4BD" w:rsidR="00E01125" w:rsidRPr="004813DB" w:rsidRDefault="00E01125" w:rsidP="00773CEF">
            <w:pPr>
              <w:spacing w:after="0"/>
            </w:pPr>
            <w:r w:rsidRPr="004813DB">
              <w:t>Output Radiation Pattern</w:t>
            </w:r>
          </w:p>
        </w:tc>
        <w:tc>
          <w:tcPr>
            <w:tcW w:w="2693" w:type="dxa"/>
            <w:gridSpan w:val="2"/>
            <w:tcBorders>
              <w:left w:val="single" w:sz="4" w:space="0" w:color="auto"/>
              <w:bottom w:val="single" w:sz="4" w:space="0" w:color="auto"/>
              <w:right w:val="single" w:sz="4" w:space="0" w:color="auto"/>
            </w:tcBorders>
          </w:tcPr>
          <w:p w14:paraId="0B55B8DA" w14:textId="53EFD4E1" w:rsidR="00E01125" w:rsidRPr="004813DB" w:rsidRDefault="00E01125" w:rsidP="00773CEF">
            <w:pPr>
              <w:spacing w:after="0"/>
              <w:rPr>
                <w:b/>
              </w:rPr>
            </w:pPr>
            <w:r w:rsidRPr="004813DB">
              <w:rPr>
                <w:b/>
              </w:rPr>
              <w:t>Azimuth Bearing (clockwise direction)</w:t>
            </w:r>
          </w:p>
        </w:tc>
        <w:tc>
          <w:tcPr>
            <w:tcW w:w="3402" w:type="dxa"/>
            <w:gridSpan w:val="2"/>
            <w:tcBorders>
              <w:left w:val="single" w:sz="4" w:space="0" w:color="auto"/>
              <w:bottom w:val="single" w:sz="4" w:space="0" w:color="auto"/>
              <w:right w:val="single" w:sz="4" w:space="0" w:color="auto"/>
            </w:tcBorders>
          </w:tcPr>
          <w:p w14:paraId="72A13BEA" w14:textId="77777777" w:rsidR="00E01125" w:rsidRPr="004813DB" w:rsidRDefault="00E01125" w:rsidP="00773CEF">
            <w:pPr>
              <w:spacing w:after="0"/>
              <w:rPr>
                <w:b/>
              </w:rPr>
            </w:pPr>
            <w:r w:rsidRPr="004813DB">
              <w:rPr>
                <w:b/>
              </w:rPr>
              <w:t xml:space="preserve">Maximum ERP </w:t>
            </w:r>
          </w:p>
        </w:tc>
      </w:tr>
      <w:tr w:rsidR="00E01125" w:rsidRPr="004813DB" w14:paraId="01A02DB2" w14:textId="77777777" w:rsidTr="00773CEF">
        <w:tc>
          <w:tcPr>
            <w:tcW w:w="2547" w:type="dxa"/>
            <w:vMerge/>
            <w:tcBorders>
              <w:left w:val="single" w:sz="4" w:space="0" w:color="auto"/>
              <w:right w:val="single" w:sz="4" w:space="0" w:color="auto"/>
            </w:tcBorders>
          </w:tcPr>
          <w:p w14:paraId="295A6A45" w14:textId="77777777" w:rsidR="00E01125" w:rsidRPr="004813DB" w:rsidRDefault="00E01125" w:rsidP="00773CEF">
            <w:pPr>
              <w:spacing w:after="0"/>
            </w:pPr>
          </w:p>
        </w:tc>
        <w:tc>
          <w:tcPr>
            <w:tcW w:w="2693" w:type="dxa"/>
            <w:gridSpan w:val="2"/>
            <w:tcBorders>
              <w:left w:val="single" w:sz="4" w:space="0" w:color="auto"/>
              <w:bottom w:val="single" w:sz="4" w:space="0" w:color="auto"/>
              <w:right w:val="single" w:sz="4" w:space="0" w:color="auto"/>
            </w:tcBorders>
          </w:tcPr>
          <w:p w14:paraId="0CAB9B28" w14:textId="77777777" w:rsidR="00E01125" w:rsidRPr="004813DB" w:rsidRDefault="00E01125" w:rsidP="00773CEF">
            <w:pPr>
              <w:spacing w:after="0"/>
              <w:rPr>
                <w:b/>
              </w:rPr>
            </w:pPr>
            <w:r w:rsidRPr="004813DB">
              <w:rPr>
                <w:b/>
              </w:rPr>
              <w:t>At all angles of azimuth</w:t>
            </w:r>
          </w:p>
        </w:tc>
        <w:tc>
          <w:tcPr>
            <w:tcW w:w="3402" w:type="dxa"/>
            <w:gridSpan w:val="2"/>
            <w:tcBorders>
              <w:left w:val="single" w:sz="4" w:space="0" w:color="auto"/>
              <w:bottom w:val="single" w:sz="4" w:space="0" w:color="auto"/>
              <w:right w:val="single" w:sz="4" w:space="0" w:color="auto"/>
            </w:tcBorders>
          </w:tcPr>
          <w:p w14:paraId="2E6C08F3" w14:textId="13DA7942" w:rsidR="00E01125" w:rsidRPr="004813DB" w:rsidRDefault="00E01125" w:rsidP="00773CEF">
            <w:pPr>
              <w:spacing w:after="0"/>
              <w:rPr>
                <w:b/>
              </w:rPr>
            </w:pPr>
            <w:r w:rsidRPr="004813DB">
              <w:rPr>
                <w:b/>
              </w:rPr>
              <w:tab/>
              <w:t>100 kW</w:t>
            </w:r>
          </w:p>
        </w:tc>
      </w:tr>
      <w:tr w:rsidR="00E01125" w:rsidRPr="004813DB" w14:paraId="0AC227FD" w14:textId="77777777" w:rsidTr="00773CEF">
        <w:tc>
          <w:tcPr>
            <w:tcW w:w="2547" w:type="dxa"/>
            <w:tcBorders>
              <w:left w:val="single" w:sz="4" w:space="0" w:color="auto"/>
              <w:right w:val="single" w:sz="4" w:space="0" w:color="auto"/>
            </w:tcBorders>
            <w:shd w:val="clear" w:color="auto" w:fill="FFFFFF" w:themeFill="background1"/>
          </w:tcPr>
          <w:p w14:paraId="7905A9DA" w14:textId="77777777" w:rsidR="00E01125" w:rsidRPr="004813DB" w:rsidRDefault="00E01125" w:rsidP="00773CEF">
            <w:pPr>
              <w:spacing w:after="0"/>
            </w:pPr>
            <w:r w:rsidRPr="004813DB">
              <w:t>Polarisation</w:t>
            </w:r>
          </w:p>
        </w:tc>
        <w:tc>
          <w:tcPr>
            <w:tcW w:w="6095" w:type="dxa"/>
            <w:gridSpan w:val="4"/>
            <w:tcBorders>
              <w:left w:val="single" w:sz="4" w:space="0" w:color="auto"/>
              <w:right w:val="single" w:sz="4" w:space="0" w:color="auto"/>
            </w:tcBorders>
            <w:shd w:val="clear" w:color="auto" w:fill="FFFFFF" w:themeFill="background1"/>
          </w:tcPr>
          <w:p w14:paraId="69520622" w14:textId="77777777" w:rsidR="00E01125" w:rsidRPr="004813DB" w:rsidRDefault="00E01125" w:rsidP="00773CEF">
            <w:pPr>
              <w:spacing w:after="0"/>
              <w:rPr>
                <w:b/>
              </w:rPr>
            </w:pPr>
            <w:r w:rsidRPr="004813DB">
              <w:rPr>
                <w:b/>
              </w:rPr>
              <w:t>Mixed</w:t>
            </w:r>
          </w:p>
        </w:tc>
      </w:tr>
      <w:tr w:rsidR="00E01125" w:rsidRPr="004813DB" w14:paraId="6081B9A5" w14:textId="77777777" w:rsidTr="00773CEF">
        <w:tc>
          <w:tcPr>
            <w:tcW w:w="2547" w:type="dxa"/>
            <w:tcBorders>
              <w:left w:val="single" w:sz="4" w:space="0" w:color="auto"/>
              <w:right w:val="single" w:sz="4" w:space="0" w:color="auto"/>
            </w:tcBorders>
          </w:tcPr>
          <w:p w14:paraId="5584BC06" w14:textId="0881B3A3" w:rsidR="00E01125" w:rsidRPr="004813DB" w:rsidRDefault="00E01125" w:rsidP="00773CEF">
            <w:pPr>
              <w:spacing w:after="0"/>
            </w:pPr>
            <w:r w:rsidRPr="004813DB">
              <w:t>Maximum Antenna Height</w:t>
            </w:r>
          </w:p>
        </w:tc>
        <w:tc>
          <w:tcPr>
            <w:tcW w:w="6095" w:type="dxa"/>
            <w:gridSpan w:val="4"/>
            <w:tcBorders>
              <w:left w:val="single" w:sz="4" w:space="0" w:color="auto"/>
              <w:right w:val="single" w:sz="4" w:space="0" w:color="auto"/>
            </w:tcBorders>
            <w:shd w:val="clear" w:color="auto" w:fill="auto"/>
          </w:tcPr>
          <w:p w14:paraId="602E04F9" w14:textId="77777777" w:rsidR="00E01125" w:rsidRPr="004813DB" w:rsidRDefault="00E01125" w:rsidP="00773CEF">
            <w:pPr>
              <w:spacing w:after="0"/>
              <w:rPr>
                <w:b/>
              </w:rPr>
            </w:pPr>
            <w:r w:rsidRPr="004813DB">
              <w:rPr>
                <w:b/>
              </w:rPr>
              <w:t>120 metres</w:t>
            </w:r>
            <w:r>
              <w:rPr>
                <w:rStyle w:val="FootnoteReference"/>
                <w:b/>
              </w:rPr>
              <w:footnoteReference w:id="9"/>
            </w:r>
          </w:p>
        </w:tc>
      </w:tr>
      <w:tr w:rsidR="00E01125" w:rsidRPr="004813DB" w14:paraId="13AFF02C" w14:textId="77777777" w:rsidTr="00773CEF">
        <w:tc>
          <w:tcPr>
            <w:tcW w:w="2547" w:type="dxa"/>
            <w:tcBorders>
              <w:left w:val="single" w:sz="4" w:space="0" w:color="auto"/>
              <w:right w:val="single" w:sz="4" w:space="0" w:color="auto"/>
            </w:tcBorders>
            <w:shd w:val="clear" w:color="auto" w:fill="FFFFFF" w:themeFill="background1"/>
          </w:tcPr>
          <w:p w14:paraId="6BBBCC13" w14:textId="72D53540" w:rsidR="00E01125" w:rsidRPr="004813DB" w:rsidRDefault="00E01125" w:rsidP="00773CEF">
            <w:pPr>
              <w:spacing w:after="0"/>
            </w:pPr>
            <w:r w:rsidRPr="004813DB">
              <w:t>Special Conditions/</w:t>
            </w:r>
          </w:p>
          <w:p w14:paraId="1E90ECA4" w14:textId="7868CB90" w:rsidR="00E01125" w:rsidRPr="004813DB" w:rsidRDefault="00E01125" w:rsidP="00773CEF">
            <w:pPr>
              <w:spacing w:after="0"/>
            </w:pPr>
            <w:r w:rsidRPr="004813DB">
              <w:t>Advisory Notes</w:t>
            </w:r>
          </w:p>
        </w:tc>
        <w:tc>
          <w:tcPr>
            <w:tcW w:w="6095" w:type="dxa"/>
            <w:gridSpan w:val="4"/>
            <w:tcBorders>
              <w:left w:val="single" w:sz="4" w:space="0" w:color="auto"/>
              <w:right w:val="single" w:sz="4" w:space="0" w:color="auto"/>
            </w:tcBorders>
            <w:shd w:val="clear" w:color="auto" w:fill="FFFFFF" w:themeFill="background1"/>
          </w:tcPr>
          <w:p w14:paraId="38D30D3F" w14:textId="4C4ECDB8" w:rsidR="00E01125" w:rsidRPr="004813DB" w:rsidRDefault="00E01125" w:rsidP="00773CEF">
            <w:pPr>
              <w:spacing w:after="0"/>
              <w:rPr>
                <w:b/>
              </w:rPr>
            </w:pPr>
            <w:r w:rsidRPr="004813DB">
              <w:rPr>
                <w:b/>
              </w:rPr>
              <w:t xml:space="preserve">Availability of TS (this TS): TS (this TS) is only available </w:t>
            </w:r>
            <w:r w:rsidR="00222E54" w:rsidRPr="004813DB">
              <w:rPr>
                <w:b/>
              </w:rPr>
              <w:t>once the</w:t>
            </w:r>
            <w:r w:rsidRPr="004813DB">
              <w:rPr>
                <w:b/>
              </w:rPr>
              <w:t xml:space="preserve"> transmitter authorised under TS10002394 in the Remote Western Australia LAP which operates on 103.9 MHz to serve Lancelin ceases operation </w:t>
            </w:r>
            <w:r>
              <w:rPr>
                <w:b/>
              </w:rPr>
              <w:t>on that</w:t>
            </w:r>
            <w:r w:rsidRPr="004813DB">
              <w:rPr>
                <w:b/>
              </w:rPr>
              <w:t xml:space="preserve"> frequency.</w:t>
            </w:r>
          </w:p>
        </w:tc>
      </w:tr>
    </w:tbl>
    <w:p w14:paraId="12D5ED2A" w14:textId="07439FCA" w:rsidR="004813DB" w:rsidRPr="004813DB" w:rsidRDefault="004813DB" w:rsidP="00E01125">
      <w:pPr>
        <w:pStyle w:val="Paragraph"/>
      </w:pPr>
    </w:p>
    <w:p w14:paraId="493FFF03" w14:textId="739BC93D" w:rsidR="004813DB" w:rsidRPr="004813DB" w:rsidRDefault="004813DB" w:rsidP="00E01125">
      <w:pPr>
        <w:pStyle w:val="Paragraph"/>
      </w:pPr>
      <w:r w:rsidRPr="004813DB">
        <w:br w:type="page"/>
      </w:r>
    </w:p>
    <w:p w14:paraId="39B910FE" w14:textId="77777777" w:rsidR="0037303D" w:rsidRPr="0037303D" w:rsidRDefault="0037303D" w:rsidP="0037303D">
      <w:pPr>
        <w:pStyle w:val="Paragraph"/>
      </w:pPr>
    </w:p>
    <w:tbl>
      <w:tblPr>
        <w:tblpPr w:leftFromText="180" w:rightFromText="180" w:vertAnchor="text" w:tblpY="1"/>
        <w:tblOverlap w:val="never"/>
        <w:tblW w:w="8642" w:type="dxa"/>
        <w:tblBorders>
          <w:top w:val="single" w:sz="4" w:space="0" w:color="auto"/>
          <w:bottom w:val="single" w:sz="4" w:space="0" w:color="auto"/>
          <w:insideH w:val="single" w:sz="4" w:space="0" w:color="auto"/>
        </w:tblBorders>
        <w:tblLayout w:type="fixed"/>
        <w:tblCellMar>
          <w:top w:w="85" w:type="dxa"/>
          <w:bottom w:w="85" w:type="dxa"/>
        </w:tblCellMar>
        <w:tblLook w:val="01E0" w:firstRow="1" w:lastRow="1" w:firstColumn="1" w:lastColumn="1" w:noHBand="0" w:noVBand="0"/>
        <w:tblCaption w:val="Table title to go here"/>
        <w:tblDescription w:val="Table description to go here"/>
      </w:tblPr>
      <w:tblGrid>
        <w:gridCol w:w="2547"/>
        <w:gridCol w:w="1843"/>
        <w:gridCol w:w="708"/>
        <w:gridCol w:w="1202"/>
        <w:gridCol w:w="2342"/>
      </w:tblGrid>
      <w:tr w:rsidR="0037303D" w:rsidRPr="0037303D" w14:paraId="154E9EDE" w14:textId="77777777" w:rsidTr="00B71B83">
        <w:tc>
          <w:tcPr>
            <w:tcW w:w="2547" w:type="dxa"/>
            <w:tcBorders>
              <w:left w:val="single" w:sz="4" w:space="0" w:color="auto"/>
              <w:right w:val="single" w:sz="4" w:space="0" w:color="auto"/>
            </w:tcBorders>
            <w:shd w:val="clear" w:color="auto" w:fill="FFFFFF" w:themeFill="background1"/>
            <w:tcMar>
              <w:top w:w="57" w:type="dxa"/>
              <w:bottom w:w="57" w:type="dxa"/>
            </w:tcMar>
          </w:tcPr>
          <w:p w14:paraId="0BCDA2AA" w14:textId="77777777" w:rsidR="0037303D" w:rsidRPr="0037303D" w:rsidRDefault="0037303D" w:rsidP="0037303D">
            <w:pPr>
              <w:pStyle w:val="Paragraph"/>
            </w:pPr>
            <w:r w:rsidRPr="0037303D">
              <w:t>TS Number</w:t>
            </w:r>
          </w:p>
        </w:tc>
        <w:tc>
          <w:tcPr>
            <w:tcW w:w="6095" w:type="dxa"/>
            <w:gridSpan w:val="4"/>
            <w:tcBorders>
              <w:left w:val="single" w:sz="4" w:space="0" w:color="auto"/>
              <w:right w:val="single" w:sz="4" w:space="0" w:color="auto"/>
            </w:tcBorders>
            <w:shd w:val="clear" w:color="auto" w:fill="FFFFFF" w:themeFill="background1"/>
            <w:tcMar>
              <w:top w:w="57" w:type="dxa"/>
              <w:bottom w:w="57" w:type="dxa"/>
            </w:tcMar>
          </w:tcPr>
          <w:p w14:paraId="6AE604AF" w14:textId="77777777" w:rsidR="0037303D" w:rsidRPr="0037303D" w:rsidRDefault="0037303D" w:rsidP="0037303D">
            <w:pPr>
              <w:pStyle w:val="Paragraph"/>
              <w:rPr>
                <w:b/>
              </w:rPr>
            </w:pPr>
            <w:r w:rsidRPr="0037303D">
              <w:rPr>
                <w:b/>
              </w:rPr>
              <w:t>TS  XXXXXXXXX</w:t>
            </w:r>
          </w:p>
        </w:tc>
      </w:tr>
      <w:tr w:rsidR="0037303D" w:rsidRPr="0037303D" w14:paraId="372CC023" w14:textId="77777777" w:rsidTr="00B71B83">
        <w:tc>
          <w:tcPr>
            <w:tcW w:w="2547" w:type="dxa"/>
            <w:tcBorders>
              <w:left w:val="single" w:sz="4" w:space="0" w:color="auto"/>
              <w:right w:val="single" w:sz="4" w:space="0" w:color="auto"/>
            </w:tcBorders>
            <w:shd w:val="clear" w:color="auto" w:fill="FFFFFF" w:themeFill="background1"/>
            <w:tcMar>
              <w:top w:w="57" w:type="dxa"/>
              <w:bottom w:w="57" w:type="dxa"/>
            </w:tcMar>
          </w:tcPr>
          <w:p w14:paraId="043176B4" w14:textId="77777777" w:rsidR="0037303D" w:rsidRPr="0037303D" w:rsidRDefault="0037303D" w:rsidP="0037303D">
            <w:pPr>
              <w:pStyle w:val="Paragraph"/>
            </w:pPr>
            <w:r w:rsidRPr="0037303D">
              <w:t>Callsign of licensee</w:t>
            </w:r>
          </w:p>
        </w:tc>
        <w:tc>
          <w:tcPr>
            <w:tcW w:w="6095" w:type="dxa"/>
            <w:gridSpan w:val="4"/>
            <w:tcBorders>
              <w:left w:val="single" w:sz="4" w:space="0" w:color="auto"/>
              <w:right w:val="single" w:sz="4" w:space="0" w:color="auto"/>
            </w:tcBorders>
            <w:shd w:val="clear" w:color="auto" w:fill="FFFFFF" w:themeFill="background1"/>
            <w:tcMar>
              <w:top w:w="57" w:type="dxa"/>
              <w:bottom w:w="57" w:type="dxa"/>
            </w:tcMar>
          </w:tcPr>
          <w:p w14:paraId="78A398E0" w14:textId="77777777" w:rsidR="0037303D" w:rsidRPr="0037303D" w:rsidRDefault="0037303D" w:rsidP="0037303D">
            <w:pPr>
              <w:pStyle w:val="Paragraph"/>
              <w:rPr>
                <w:b/>
              </w:rPr>
            </w:pPr>
            <w:r w:rsidRPr="0037303D">
              <w:rPr>
                <w:b/>
              </w:rPr>
              <w:t>Notional commercial service (nominally for 6PR)</w:t>
            </w:r>
          </w:p>
        </w:tc>
      </w:tr>
      <w:tr w:rsidR="0037303D" w:rsidRPr="0037303D" w14:paraId="4B3BBBD5" w14:textId="77777777" w:rsidTr="00B71B83">
        <w:tc>
          <w:tcPr>
            <w:tcW w:w="2547" w:type="dxa"/>
            <w:tcBorders>
              <w:left w:val="single" w:sz="4" w:space="0" w:color="auto"/>
              <w:right w:val="single" w:sz="4" w:space="0" w:color="auto"/>
            </w:tcBorders>
            <w:shd w:val="clear" w:color="auto" w:fill="FFFFFF" w:themeFill="background1"/>
            <w:tcMar>
              <w:top w:w="57" w:type="dxa"/>
              <w:bottom w:w="57" w:type="dxa"/>
            </w:tcMar>
          </w:tcPr>
          <w:p w14:paraId="4AD3D4CF" w14:textId="77777777" w:rsidR="0037303D" w:rsidRPr="0037303D" w:rsidRDefault="0037303D" w:rsidP="0037303D">
            <w:pPr>
              <w:pStyle w:val="Paragraph"/>
            </w:pPr>
            <w:r w:rsidRPr="0037303D">
              <w:t>Area Served</w:t>
            </w:r>
          </w:p>
        </w:tc>
        <w:tc>
          <w:tcPr>
            <w:tcW w:w="6095" w:type="dxa"/>
            <w:gridSpan w:val="4"/>
            <w:tcBorders>
              <w:left w:val="single" w:sz="4" w:space="0" w:color="auto"/>
              <w:right w:val="single" w:sz="4" w:space="0" w:color="auto"/>
            </w:tcBorders>
            <w:shd w:val="clear" w:color="auto" w:fill="FFFFFF" w:themeFill="background1"/>
            <w:tcMar>
              <w:top w:w="57" w:type="dxa"/>
              <w:bottom w:w="57" w:type="dxa"/>
            </w:tcMar>
          </w:tcPr>
          <w:p w14:paraId="3B97D7BA" w14:textId="77777777" w:rsidR="0037303D" w:rsidRPr="0037303D" w:rsidRDefault="0037303D" w:rsidP="0037303D">
            <w:pPr>
              <w:pStyle w:val="Paragraph"/>
              <w:rPr>
                <w:b/>
              </w:rPr>
            </w:pPr>
            <w:r w:rsidRPr="0037303D">
              <w:rPr>
                <w:b/>
              </w:rPr>
              <w:t>Perth</w:t>
            </w:r>
          </w:p>
        </w:tc>
      </w:tr>
      <w:tr w:rsidR="0037303D" w:rsidRPr="0037303D" w14:paraId="510EA725" w14:textId="77777777" w:rsidTr="00B71B83">
        <w:tc>
          <w:tcPr>
            <w:tcW w:w="2547" w:type="dxa"/>
            <w:tcBorders>
              <w:left w:val="single" w:sz="4" w:space="0" w:color="auto"/>
              <w:right w:val="single" w:sz="4" w:space="0" w:color="auto"/>
            </w:tcBorders>
            <w:shd w:val="clear" w:color="auto" w:fill="FFFFFF" w:themeFill="background1"/>
            <w:tcMar>
              <w:top w:w="57" w:type="dxa"/>
              <w:bottom w:w="57" w:type="dxa"/>
            </w:tcMar>
          </w:tcPr>
          <w:p w14:paraId="4DA1BC3C" w14:textId="77777777" w:rsidR="0037303D" w:rsidRPr="0037303D" w:rsidRDefault="0037303D" w:rsidP="0037303D">
            <w:pPr>
              <w:pStyle w:val="Paragraph"/>
            </w:pPr>
            <w:r w:rsidRPr="0037303D">
              <w:t>Nominal location</w:t>
            </w:r>
          </w:p>
        </w:tc>
        <w:tc>
          <w:tcPr>
            <w:tcW w:w="6095" w:type="dxa"/>
            <w:gridSpan w:val="4"/>
            <w:tcBorders>
              <w:left w:val="single" w:sz="4" w:space="0" w:color="auto"/>
              <w:right w:val="single" w:sz="4" w:space="0" w:color="auto"/>
            </w:tcBorders>
            <w:shd w:val="clear" w:color="auto" w:fill="FFFFFF" w:themeFill="background1"/>
            <w:tcMar>
              <w:top w:w="57" w:type="dxa"/>
              <w:bottom w:w="57" w:type="dxa"/>
            </w:tcMar>
          </w:tcPr>
          <w:p w14:paraId="50BF2C2D" w14:textId="77777777" w:rsidR="0037303D" w:rsidRPr="0037303D" w:rsidRDefault="0037303D" w:rsidP="0037303D">
            <w:pPr>
              <w:pStyle w:val="Paragraph"/>
              <w:rPr>
                <w:b/>
              </w:rPr>
            </w:pPr>
            <w:r w:rsidRPr="0037303D">
              <w:rPr>
                <w:b/>
              </w:rPr>
              <w:t>FM Mast  TXA Bickley Site Television Rd BICKLEY</w:t>
            </w:r>
          </w:p>
        </w:tc>
      </w:tr>
      <w:tr w:rsidR="0037303D" w:rsidRPr="0037303D" w14:paraId="7536E3D6" w14:textId="77777777" w:rsidTr="00B71B83">
        <w:tc>
          <w:tcPr>
            <w:tcW w:w="2547" w:type="dxa"/>
            <w:tcBorders>
              <w:left w:val="single" w:sz="4" w:space="0" w:color="auto"/>
              <w:bottom w:val="single" w:sz="4" w:space="0" w:color="auto"/>
              <w:right w:val="single" w:sz="4" w:space="0" w:color="auto"/>
            </w:tcBorders>
            <w:tcMar>
              <w:top w:w="57" w:type="dxa"/>
              <w:bottom w:w="57" w:type="dxa"/>
            </w:tcMar>
          </w:tcPr>
          <w:p w14:paraId="3A2F0664" w14:textId="77777777" w:rsidR="0037303D" w:rsidRPr="0037303D" w:rsidRDefault="0037303D" w:rsidP="0037303D">
            <w:pPr>
              <w:pStyle w:val="Paragraph"/>
            </w:pPr>
            <w:r w:rsidRPr="0037303D">
              <w:t>RADCOM Site ID</w:t>
            </w:r>
          </w:p>
        </w:tc>
        <w:tc>
          <w:tcPr>
            <w:tcW w:w="6095" w:type="dxa"/>
            <w:gridSpan w:val="4"/>
            <w:tcBorders>
              <w:left w:val="single" w:sz="4" w:space="0" w:color="auto"/>
              <w:bottom w:val="single" w:sz="4" w:space="0" w:color="auto"/>
              <w:right w:val="single" w:sz="4" w:space="0" w:color="auto"/>
            </w:tcBorders>
            <w:tcMar>
              <w:top w:w="57" w:type="dxa"/>
              <w:bottom w:w="57" w:type="dxa"/>
            </w:tcMar>
          </w:tcPr>
          <w:p w14:paraId="3914FCE6" w14:textId="77777777" w:rsidR="0037303D" w:rsidRPr="0037303D" w:rsidRDefault="0037303D" w:rsidP="0037303D">
            <w:pPr>
              <w:pStyle w:val="Paragraph"/>
              <w:rPr>
                <w:b/>
              </w:rPr>
            </w:pPr>
            <w:r w:rsidRPr="0037303D">
              <w:rPr>
                <w:b/>
              </w:rPr>
              <w:t>26627</w:t>
            </w:r>
          </w:p>
        </w:tc>
      </w:tr>
      <w:tr w:rsidR="0037303D" w:rsidRPr="0037303D" w14:paraId="0C824465" w14:textId="77777777" w:rsidTr="00B71B83">
        <w:tc>
          <w:tcPr>
            <w:tcW w:w="2547" w:type="dxa"/>
            <w:vMerge w:val="restart"/>
            <w:tcBorders>
              <w:left w:val="single" w:sz="4" w:space="0" w:color="auto"/>
              <w:right w:val="single" w:sz="4" w:space="0" w:color="auto"/>
            </w:tcBorders>
            <w:tcMar>
              <w:top w:w="57" w:type="dxa"/>
              <w:bottom w:w="57" w:type="dxa"/>
            </w:tcMar>
          </w:tcPr>
          <w:p w14:paraId="55CF723D" w14:textId="77777777" w:rsidR="0037303D" w:rsidRPr="0037303D" w:rsidRDefault="0037303D" w:rsidP="0037303D">
            <w:pPr>
              <w:pStyle w:val="Paragraph"/>
            </w:pPr>
            <w:r w:rsidRPr="0037303D">
              <w:t>Coordinates Information</w:t>
            </w:r>
          </w:p>
        </w:tc>
        <w:tc>
          <w:tcPr>
            <w:tcW w:w="2551" w:type="dxa"/>
            <w:gridSpan w:val="2"/>
            <w:tcBorders>
              <w:left w:val="single" w:sz="4" w:space="0" w:color="auto"/>
              <w:bottom w:val="single" w:sz="4" w:space="0" w:color="auto"/>
              <w:right w:val="single" w:sz="4" w:space="0" w:color="auto"/>
            </w:tcBorders>
            <w:tcMar>
              <w:top w:w="57" w:type="dxa"/>
              <w:bottom w:w="57" w:type="dxa"/>
            </w:tcMar>
          </w:tcPr>
          <w:p w14:paraId="125E84C6" w14:textId="77777777" w:rsidR="0037303D" w:rsidRPr="0037303D" w:rsidRDefault="0037303D" w:rsidP="0037303D">
            <w:pPr>
              <w:pStyle w:val="Paragraph"/>
              <w:rPr>
                <w:b/>
              </w:rPr>
            </w:pPr>
            <w:r w:rsidRPr="0037303D">
              <w:rPr>
                <w:b/>
              </w:rPr>
              <w:t>Latitude (GDA94)</w:t>
            </w:r>
          </w:p>
          <w:p w14:paraId="4F186803" w14:textId="77777777" w:rsidR="0037303D" w:rsidRPr="0037303D" w:rsidRDefault="0037303D" w:rsidP="0037303D">
            <w:pPr>
              <w:pStyle w:val="Paragraph"/>
              <w:rPr>
                <w:b/>
              </w:rPr>
            </w:pPr>
            <w:r w:rsidRPr="0037303D">
              <w:rPr>
                <w:b/>
              </w:rPr>
              <w:t>-32.00714</w:t>
            </w:r>
          </w:p>
        </w:tc>
        <w:tc>
          <w:tcPr>
            <w:tcW w:w="3544" w:type="dxa"/>
            <w:gridSpan w:val="2"/>
            <w:tcBorders>
              <w:left w:val="single" w:sz="4" w:space="0" w:color="auto"/>
              <w:bottom w:val="single" w:sz="4" w:space="0" w:color="auto"/>
              <w:right w:val="single" w:sz="4" w:space="0" w:color="auto"/>
            </w:tcBorders>
            <w:tcMar>
              <w:top w:w="57" w:type="dxa"/>
              <w:bottom w:w="57" w:type="dxa"/>
            </w:tcMar>
          </w:tcPr>
          <w:p w14:paraId="765B0AE3" w14:textId="77777777" w:rsidR="0037303D" w:rsidRPr="0037303D" w:rsidRDefault="0037303D" w:rsidP="0037303D">
            <w:pPr>
              <w:pStyle w:val="Paragraph"/>
              <w:rPr>
                <w:b/>
              </w:rPr>
            </w:pPr>
            <w:r w:rsidRPr="0037303D">
              <w:rPr>
                <w:b/>
              </w:rPr>
              <w:t>Longitude (GDA94)</w:t>
            </w:r>
          </w:p>
          <w:p w14:paraId="1DBD9177" w14:textId="77777777" w:rsidR="0037303D" w:rsidRPr="0037303D" w:rsidRDefault="0037303D" w:rsidP="0037303D">
            <w:pPr>
              <w:pStyle w:val="Paragraph"/>
              <w:rPr>
                <w:b/>
              </w:rPr>
            </w:pPr>
            <w:r w:rsidRPr="0037303D">
              <w:rPr>
                <w:b/>
              </w:rPr>
              <w:t>116.08395</w:t>
            </w:r>
          </w:p>
        </w:tc>
      </w:tr>
      <w:tr w:rsidR="0037303D" w:rsidRPr="0037303D" w14:paraId="2FB2768A" w14:textId="77777777" w:rsidTr="00B71B83">
        <w:tc>
          <w:tcPr>
            <w:tcW w:w="2547" w:type="dxa"/>
            <w:vMerge/>
            <w:tcBorders>
              <w:left w:val="single" w:sz="4" w:space="0" w:color="auto"/>
              <w:right w:val="single" w:sz="4" w:space="0" w:color="auto"/>
            </w:tcBorders>
            <w:shd w:val="clear" w:color="auto" w:fill="FFFFFF" w:themeFill="background1"/>
            <w:tcMar>
              <w:top w:w="57" w:type="dxa"/>
              <w:bottom w:w="57" w:type="dxa"/>
            </w:tcMar>
          </w:tcPr>
          <w:p w14:paraId="7C869913" w14:textId="77777777" w:rsidR="0037303D" w:rsidRPr="0037303D" w:rsidRDefault="0037303D" w:rsidP="0037303D">
            <w:pPr>
              <w:pStyle w:val="Paragraph"/>
            </w:pPr>
          </w:p>
        </w:tc>
        <w:tc>
          <w:tcPr>
            <w:tcW w:w="1843" w:type="dxa"/>
            <w:tcBorders>
              <w:left w:val="single" w:sz="4" w:space="0" w:color="auto"/>
              <w:right w:val="single" w:sz="4" w:space="0" w:color="auto"/>
            </w:tcBorders>
            <w:shd w:val="clear" w:color="auto" w:fill="FFFFFF" w:themeFill="background1"/>
            <w:tcMar>
              <w:top w:w="57" w:type="dxa"/>
              <w:bottom w:w="57" w:type="dxa"/>
            </w:tcMar>
          </w:tcPr>
          <w:p w14:paraId="52AB6B8E" w14:textId="77777777" w:rsidR="0037303D" w:rsidRPr="0037303D" w:rsidRDefault="0037303D" w:rsidP="0037303D">
            <w:pPr>
              <w:pStyle w:val="Paragraph"/>
              <w:rPr>
                <w:b/>
              </w:rPr>
            </w:pPr>
            <w:r w:rsidRPr="0037303D">
              <w:rPr>
                <w:b/>
              </w:rPr>
              <w:t>Zone (AMG66)</w:t>
            </w:r>
          </w:p>
          <w:p w14:paraId="154A17F5" w14:textId="77777777" w:rsidR="0037303D" w:rsidRPr="0037303D" w:rsidRDefault="0037303D" w:rsidP="0037303D">
            <w:pPr>
              <w:pStyle w:val="Paragraph"/>
              <w:rPr>
                <w:b/>
              </w:rPr>
            </w:pPr>
            <w:r w:rsidRPr="0037303D">
              <w:rPr>
                <w:b/>
              </w:rPr>
              <w:t>50</w:t>
            </w:r>
          </w:p>
        </w:tc>
        <w:tc>
          <w:tcPr>
            <w:tcW w:w="1910" w:type="dxa"/>
            <w:gridSpan w:val="2"/>
            <w:tcBorders>
              <w:left w:val="single" w:sz="4" w:space="0" w:color="auto"/>
              <w:right w:val="single" w:sz="4" w:space="0" w:color="auto"/>
            </w:tcBorders>
            <w:shd w:val="clear" w:color="auto" w:fill="FFFFFF" w:themeFill="background1"/>
            <w:tcMar>
              <w:top w:w="57" w:type="dxa"/>
              <w:bottom w:w="57" w:type="dxa"/>
            </w:tcMar>
          </w:tcPr>
          <w:p w14:paraId="5685BEA9" w14:textId="77777777" w:rsidR="0037303D" w:rsidRPr="0037303D" w:rsidRDefault="0037303D" w:rsidP="0037303D">
            <w:pPr>
              <w:pStyle w:val="Paragraph"/>
              <w:rPr>
                <w:b/>
              </w:rPr>
            </w:pPr>
            <w:r w:rsidRPr="0037303D">
              <w:rPr>
                <w:b/>
              </w:rPr>
              <w:t>Easting (AMG66)</w:t>
            </w:r>
          </w:p>
          <w:p w14:paraId="63F03D1F" w14:textId="77777777" w:rsidR="0037303D" w:rsidRPr="0037303D" w:rsidRDefault="0037303D" w:rsidP="0037303D">
            <w:pPr>
              <w:pStyle w:val="Paragraph"/>
              <w:rPr>
                <w:b/>
              </w:rPr>
            </w:pPr>
            <w:r w:rsidRPr="0037303D">
              <w:rPr>
                <w:b/>
              </w:rPr>
              <w:t>413340</w:t>
            </w:r>
          </w:p>
        </w:tc>
        <w:tc>
          <w:tcPr>
            <w:tcW w:w="2342" w:type="dxa"/>
            <w:tcBorders>
              <w:left w:val="single" w:sz="4" w:space="0" w:color="auto"/>
              <w:right w:val="single" w:sz="4" w:space="0" w:color="auto"/>
            </w:tcBorders>
            <w:shd w:val="clear" w:color="auto" w:fill="FFFFFF" w:themeFill="background1"/>
            <w:tcMar>
              <w:top w:w="57" w:type="dxa"/>
              <w:bottom w:w="57" w:type="dxa"/>
            </w:tcMar>
          </w:tcPr>
          <w:p w14:paraId="1265C567" w14:textId="77777777" w:rsidR="0037303D" w:rsidRPr="0037303D" w:rsidRDefault="0037303D" w:rsidP="0037303D">
            <w:pPr>
              <w:pStyle w:val="Paragraph"/>
              <w:rPr>
                <w:b/>
              </w:rPr>
            </w:pPr>
            <w:r w:rsidRPr="0037303D">
              <w:rPr>
                <w:b/>
              </w:rPr>
              <w:t>Northing (AMG66)</w:t>
            </w:r>
          </w:p>
          <w:p w14:paraId="6552AC8C" w14:textId="77777777" w:rsidR="0037303D" w:rsidRPr="0037303D" w:rsidRDefault="0037303D" w:rsidP="0037303D">
            <w:pPr>
              <w:pStyle w:val="Paragraph"/>
              <w:rPr>
                <w:b/>
              </w:rPr>
            </w:pPr>
            <w:r w:rsidRPr="0037303D">
              <w:rPr>
                <w:b/>
              </w:rPr>
              <w:t>6458261</w:t>
            </w:r>
          </w:p>
        </w:tc>
      </w:tr>
      <w:tr w:rsidR="0037303D" w:rsidRPr="0037303D" w14:paraId="7CC7DDA4" w14:textId="77777777" w:rsidTr="00B71B83">
        <w:tc>
          <w:tcPr>
            <w:tcW w:w="2547" w:type="dxa"/>
            <w:tcBorders>
              <w:left w:val="single" w:sz="4" w:space="0" w:color="auto"/>
              <w:right w:val="single" w:sz="4" w:space="0" w:color="auto"/>
            </w:tcBorders>
            <w:shd w:val="clear" w:color="auto" w:fill="FFFFFF" w:themeFill="background1"/>
            <w:tcMar>
              <w:top w:w="57" w:type="dxa"/>
              <w:bottom w:w="57" w:type="dxa"/>
            </w:tcMar>
          </w:tcPr>
          <w:p w14:paraId="6C7A5363" w14:textId="77777777" w:rsidR="0037303D" w:rsidRPr="0037303D" w:rsidRDefault="0037303D" w:rsidP="0037303D">
            <w:pPr>
              <w:pStyle w:val="Paragraph"/>
            </w:pPr>
            <w:r w:rsidRPr="0037303D">
              <w:t>Frequency</w:t>
            </w:r>
          </w:p>
        </w:tc>
        <w:tc>
          <w:tcPr>
            <w:tcW w:w="6095" w:type="dxa"/>
            <w:gridSpan w:val="4"/>
            <w:tcBorders>
              <w:left w:val="single" w:sz="4" w:space="0" w:color="auto"/>
              <w:right w:val="single" w:sz="4" w:space="0" w:color="auto"/>
            </w:tcBorders>
            <w:shd w:val="clear" w:color="auto" w:fill="FFFFFF" w:themeFill="background1"/>
            <w:tcMar>
              <w:top w:w="57" w:type="dxa"/>
              <w:bottom w:w="57" w:type="dxa"/>
            </w:tcMar>
          </w:tcPr>
          <w:p w14:paraId="2BDDF334" w14:textId="77777777" w:rsidR="0037303D" w:rsidRPr="0037303D" w:rsidRDefault="0037303D" w:rsidP="0037303D">
            <w:pPr>
              <w:pStyle w:val="Paragraph"/>
              <w:rPr>
                <w:b/>
              </w:rPr>
            </w:pPr>
            <w:r w:rsidRPr="0037303D">
              <w:rPr>
                <w:b/>
              </w:rPr>
              <w:t>91.3 MHz</w:t>
            </w:r>
          </w:p>
        </w:tc>
      </w:tr>
      <w:tr w:rsidR="0037303D" w:rsidRPr="0037303D" w14:paraId="4AB2A9ED" w14:textId="77777777" w:rsidTr="00B71B83">
        <w:tc>
          <w:tcPr>
            <w:tcW w:w="2547" w:type="dxa"/>
            <w:vMerge w:val="restart"/>
            <w:tcBorders>
              <w:left w:val="single" w:sz="4" w:space="0" w:color="auto"/>
              <w:right w:val="single" w:sz="4" w:space="0" w:color="auto"/>
            </w:tcBorders>
            <w:tcMar>
              <w:top w:w="57" w:type="dxa"/>
              <w:bottom w:w="57" w:type="dxa"/>
            </w:tcMar>
          </w:tcPr>
          <w:p w14:paraId="1A8ECEEC" w14:textId="77777777" w:rsidR="0037303D" w:rsidRPr="0037303D" w:rsidRDefault="0037303D" w:rsidP="0037303D">
            <w:pPr>
              <w:pStyle w:val="Paragraph"/>
            </w:pPr>
            <w:r w:rsidRPr="0037303D">
              <w:t>Output Radiation Pattern</w:t>
            </w:r>
          </w:p>
        </w:tc>
        <w:tc>
          <w:tcPr>
            <w:tcW w:w="2551" w:type="dxa"/>
            <w:gridSpan w:val="2"/>
            <w:tcBorders>
              <w:left w:val="single" w:sz="4" w:space="0" w:color="auto"/>
              <w:bottom w:val="single" w:sz="4" w:space="0" w:color="auto"/>
              <w:right w:val="single" w:sz="4" w:space="0" w:color="auto"/>
            </w:tcBorders>
            <w:tcMar>
              <w:top w:w="57" w:type="dxa"/>
              <w:bottom w:w="57" w:type="dxa"/>
            </w:tcMar>
          </w:tcPr>
          <w:p w14:paraId="73A4EE67" w14:textId="77777777" w:rsidR="0037303D" w:rsidRPr="0037303D" w:rsidRDefault="0037303D" w:rsidP="0037303D">
            <w:pPr>
              <w:pStyle w:val="Paragraph"/>
              <w:rPr>
                <w:b/>
              </w:rPr>
            </w:pPr>
            <w:r w:rsidRPr="0037303D">
              <w:rPr>
                <w:b/>
              </w:rPr>
              <w:t>Azimuth Bearing (clockwise direction)</w:t>
            </w:r>
          </w:p>
        </w:tc>
        <w:tc>
          <w:tcPr>
            <w:tcW w:w="3544" w:type="dxa"/>
            <w:gridSpan w:val="2"/>
            <w:tcBorders>
              <w:left w:val="single" w:sz="4" w:space="0" w:color="auto"/>
              <w:bottom w:val="single" w:sz="4" w:space="0" w:color="auto"/>
              <w:right w:val="single" w:sz="4" w:space="0" w:color="auto"/>
            </w:tcBorders>
            <w:tcMar>
              <w:top w:w="57" w:type="dxa"/>
              <w:bottom w:w="57" w:type="dxa"/>
            </w:tcMar>
          </w:tcPr>
          <w:p w14:paraId="195AC7E0" w14:textId="77777777" w:rsidR="0037303D" w:rsidRPr="0037303D" w:rsidRDefault="0037303D" w:rsidP="0037303D">
            <w:pPr>
              <w:pStyle w:val="Paragraph"/>
              <w:rPr>
                <w:b/>
              </w:rPr>
            </w:pPr>
            <w:r w:rsidRPr="0037303D">
              <w:rPr>
                <w:b/>
              </w:rPr>
              <w:t xml:space="preserve">Maximum ERP </w:t>
            </w:r>
          </w:p>
        </w:tc>
      </w:tr>
      <w:tr w:rsidR="0037303D" w:rsidRPr="0037303D" w14:paraId="07AC1743" w14:textId="77777777" w:rsidTr="00B71B83">
        <w:tc>
          <w:tcPr>
            <w:tcW w:w="2547" w:type="dxa"/>
            <w:vMerge/>
            <w:tcBorders>
              <w:left w:val="single" w:sz="4" w:space="0" w:color="auto"/>
              <w:right w:val="single" w:sz="4" w:space="0" w:color="auto"/>
            </w:tcBorders>
            <w:tcMar>
              <w:top w:w="57" w:type="dxa"/>
              <w:bottom w:w="57" w:type="dxa"/>
            </w:tcMar>
          </w:tcPr>
          <w:p w14:paraId="432DC2DD" w14:textId="77777777" w:rsidR="0037303D" w:rsidRPr="0037303D" w:rsidRDefault="0037303D" w:rsidP="0037303D">
            <w:pPr>
              <w:pStyle w:val="Paragraph"/>
            </w:pPr>
          </w:p>
        </w:tc>
        <w:tc>
          <w:tcPr>
            <w:tcW w:w="2551" w:type="dxa"/>
            <w:gridSpan w:val="2"/>
            <w:tcBorders>
              <w:left w:val="single" w:sz="4" w:space="0" w:color="auto"/>
              <w:bottom w:val="single" w:sz="4" w:space="0" w:color="auto"/>
              <w:right w:val="single" w:sz="4" w:space="0" w:color="auto"/>
            </w:tcBorders>
            <w:tcMar>
              <w:top w:w="57" w:type="dxa"/>
              <w:bottom w:w="57" w:type="dxa"/>
            </w:tcMar>
          </w:tcPr>
          <w:p w14:paraId="4D9962FD" w14:textId="77777777" w:rsidR="0037303D" w:rsidRPr="0037303D" w:rsidRDefault="0037303D" w:rsidP="0037303D">
            <w:pPr>
              <w:pStyle w:val="Paragraph"/>
              <w:rPr>
                <w:b/>
              </w:rPr>
            </w:pPr>
            <w:r w:rsidRPr="0037303D">
              <w:rPr>
                <w:b/>
              </w:rPr>
              <w:t>0º T – 70º T</w:t>
            </w:r>
          </w:p>
          <w:p w14:paraId="1077616D" w14:textId="77777777" w:rsidR="0037303D" w:rsidRPr="0037303D" w:rsidRDefault="0037303D" w:rsidP="0037303D">
            <w:pPr>
              <w:pStyle w:val="Paragraph"/>
              <w:rPr>
                <w:b/>
              </w:rPr>
            </w:pPr>
            <w:r w:rsidRPr="0037303D">
              <w:rPr>
                <w:b/>
              </w:rPr>
              <w:t>70º T – 180º T</w:t>
            </w:r>
          </w:p>
          <w:p w14:paraId="4EE13A16" w14:textId="77777777" w:rsidR="0037303D" w:rsidRPr="0037303D" w:rsidRDefault="0037303D" w:rsidP="0037303D">
            <w:pPr>
              <w:pStyle w:val="Paragraph"/>
              <w:rPr>
                <w:b/>
              </w:rPr>
            </w:pPr>
            <w:r w:rsidRPr="0037303D">
              <w:rPr>
                <w:b/>
              </w:rPr>
              <w:t>180º T – 200º T</w:t>
            </w:r>
          </w:p>
          <w:p w14:paraId="317E2D44" w14:textId="77777777" w:rsidR="0037303D" w:rsidRPr="0037303D" w:rsidRDefault="0037303D" w:rsidP="0037303D">
            <w:pPr>
              <w:pStyle w:val="Paragraph"/>
              <w:rPr>
                <w:b/>
              </w:rPr>
            </w:pPr>
            <w:r w:rsidRPr="0037303D">
              <w:rPr>
                <w:b/>
              </w:rPr>
              <w:t>200º T – 360º T</w:t>
            </w:r>
          </w:p>
        </w:tc>
        <w:tc>
          <w:tcPr>
            <w:tcW w:w="3544" w:type="dxa"/>
            <w:gridSpan w:val="2"/>
            <w:tcBorders>
              <w:left w:val="single" w:sz="4" w:space="0" w:color="auto"/>
              <w:bottom w:val="single" w:sz="4" w:space="0" w:color="auto"/>
              <w:right w:val="single" w:sz="4" w:space="0" w:color="auto"/>
            </w:tcBorders>
            <w:tcMar>
              <w:top w:w="57" w:type="dxa"/>
              <w:bottom w:w="57" w:type="dxa"/>
            </w:tcMar>
          </w:tcPr>
          <w:p w14:paraId="509B6A49" w14:textId="77777777" w:rsidR="0037303D" w:rsidRPr="0037303D" w:rsidRDefault="0037303D" w:rsidP="0037303D">
            <w:pPr>
              <w:pStyle w:val="Paragraph"/>
              <w:rPr>
                <w:b/>
              </w:rPr>
            </w:pPr>
            <w:r w:rsidRPr="0037303D">
              <w:rPr>
                <w:b/>
              </w:rPr>
              <w:tab/>
              <w:t>40 kW</w:t>
            </w:r>
          </w:p>
          <w:p w14:paraId="75495187" w14:textId="77777777" w:rsidR="0037303D" w:rsidRPr="0037303D" w:rsidRDefault="0037303D" w:rsidP="0037303D">
            <w:pPr>
              <w:pStyle w:val="Paragraph"/>
              <w:rPr>
                <w:b/>
              </w:rPr>
            </w:pPr>
            <w:r w:rsidRPr="0037303D">
              <w:rPr>
                <w:b/>
              </w:rPr>
              <w:tab/>
              <w:t>1 kW</w:t>
            </w:r>
          </w:p>
          <w:p w14:paraId="18C98E2C" w14:textId="77777777" w:rsidR="0037303D" w:rsidRPr="0037303D" w:rsidRDefault="0037303D" w:rsidP="0037303D">
            <w:pPr>
              <w:pStyle w:val="Paragraph"/>
              <w:rPr>
                <w:b/>
              </w:rPr>
            </w:pPr>
            <w:r w:rsidRPr="0037303D">
              <w:rPr>
                <w:b/>
              </w:rPr>
              <w:tab/>
              <w:t>5 kW</w:t>
            </w:r>
          </w:p>
          <w:p w14:paraId="075FF7A5" w14:textId="77777777" w:rsidR="0037303D" w:rsidRPr="0037303D" w:rsidRDefault="0037303D" w:rsidP="0037303D">
            <w:pPr>
              <w:pStyle w:val="Paragraph"/>
              <w:rPr>
                <w:b/>
              </w:rPr>
            </w:pPr>
            <w:r w:rsidRPr="0037303D">
              <w:rPr>
                <w:b/>
              </w:rPr>
              <w:tab/>
              <w:t>40 kW</w:t>
            </w:r>
          </w:p>
        </w:tc>
      </w:tr>
      <w:tr w:rsidR="0037303D" w:rsidRPr="0037303D" w14:paraId="5D0ADF41" w14:textId="77777777" w:rsidTr="00B71B83">
        <w:tc>
          <w:tcPr>
            <w:tcW w:w="2547" w:type="dxa"/>
            <w:tcBorders>
              <w:left w:val="single" w:sz="4" w:space="0" w:color="auto"/>
              <w:right w:val="single" w:sz="4" w:space="0" w:color="auto"/>
            </w:tcBorders>
            <w:shd w:val="clear" w:color="auto" w:fill="FFFFFF" w:themeFill="background1"/>
            <w:tcMar>
              <w:top w:w="57" w:type="dxa"/>
              <w:bottom w:w="57" w:type="dxa"/>
            </w:tcMar>
          </w:tcPr>
          <w:p w14:paraId="70052028" w14:textId="77777777" w:rsidR="0037303D" w:rsidRPr="0037303D" w:rsidRDefault="0037303D" w:rsidP="0037303D">
            <w:pPr>
              <w:pStyle w:val="Paragraph"/>
            </w:pPr>
            <w:r w:rsidRPr="0037303D">
              <w:t>Polarisation</w:t>
            </w:r>
          </w:p>
        </w:tc>
        <w:tc>
          <w:tcPr>
            <w:tcW w:w="6095" w:type="dxa"/>
            <w:gridSpan w:val="4"/>
            <w:tcBorders>
              <w:left w:val="single" w:sz="4" w:space="0" w:color="auto"/>
              <w:right w:val="single" w:sz="4" w:space="0" w:color="auto"/>
            </w:tcBorders>
            <w:shd w:val="clear" w:color="auto" w:fill="FFFFFF" w:themeFill="background1"/>
            <w:tcMar>
              <w:top w:w="57" w:type="dxa"/>
              <w:bottom w:w="57" w:type="dxa"/>
            </w:tcMar>
          </w:tcPr>
          <w:p w14:paraId="0FAF8EED" w14:textId="77777777" w:rsidR="0037303D" w:rsidRPr="0037303D" w:rsidRDefault="0037303D" w:rsidP="0037303D">
            <w:pPr>
              <w:pStyle w:val="Paragraph"/>
              <w:rPr>
                <w:b/>
              </w:rPr>
            </w:pPr>
            <w:r w:rsidRPr="0037303D">
              <w:rPr>
                <w:b/>
              </w:rPr>
              <w:t>Mixed</w:t>
            </w:r>
          </w:p>
        </w:tc>
      </w:tr>
      <w:tr w:rsidR="0037303D" w:rsidRPr="0037303D" w14:paraId="76810752" w14:textId="77777777" w:rsidTr="00B71B83">
        <w:tc>
          <w:tcPr>
            <w:tcW w:w="2547" w:type="dxa"/>
            <w:tcBorders>
              <w:left w:val="single" w:sz="4" w:space="0" w:color="auto"/>
              <w:right w:val="single" w:sz="4" w:space="0" w:color="auto"/>
            </w:tcBorders>
            <w:shd w:val="clear" w:color="auto" w:fill="auto"/>
            <w:tcMar>
              <w:top w:w="57" w:type="dxa"/>
              <w:bottom w:w="57" w:type="dxa"/>
            </w:tcMar>
          </w:tcPr>
          <w:p w14:paraId="0523B38F" w14:textId="77777777" w:rsidR="0037303D" w:rsidRPr="0037303D" w:rsidRDefault="0037303D" w:rsidP="0037303D">
            <w:pPr>
              <w:pStyle w:val="Paragraph"/>
            </w:pPr>
            <w:r w:rsidRPr="0037303D">
              <w:t>Maximum Antenna Height</w:t>
            </w:r>
          </w:p>
        </w:tc>
        <w:tc>
          <w:tcPr>
            <w:tcW w:w="6095" w:type="dxa"/>
            <w:gridSpan w:val="4"/>
            <w:tcBorders>
              <w:left w:val="single" w:sz="4" w:space="0" w:color="auto"/>
              <w:right w:val="single" w:sz="4" w:space="0" w:color="auto"/>
            </w:tcBorders>
            <w:shd w:val="clear" w:color="auto" w:fill="auto"/>
            <w:tcMar>
              <w:top w:w="57" w:type="dxa"/>
              <w:bottom w:w="57" w:type="dxa"/>
            </w:tcMar>
          </w:tcPr>
          <w:p w14:paraId="45AC1A7D" w14:textId="77777777" w:rsidR="0037303D" w:rsidRPr="0037303D" w:rsidRDefault="0037303D" w:rsidP="0037303D">
            <w:pPr>
              <w:pStyle w:val="Paragraph"/>
              <w:rPr>
                <w:b/>
              </w:rPr>
            </w:pPr>
            <w:r w:rsidRPr="0037303D">
              <w:rPr>
                <w:b/>
              </w:rPr>
              <w:t>105 metres</w:t>
            </w:r>
          </w:p>
        </w:tc>
      </w:tr>
      <w:tr w:rsidR="0037303D" w:rsidRPr="0037303D" w14:paraId="467D3B35" w14:textId="77777777" w:rsidTr="00B71B83">
        <w:tc>
          <w:tcPr>
            <w:tcW w:w="2547" w:type="dxa"/>
            <w:tcBorders>
              <w:left w:val="single" w:sz="4" w:space="0" w:color="auto"/>
              <w:right w:val="single" w:sz="4" w:space="0" w:color="auto"/>
            </w:tcBorders>
            <w:shd w:val="clear" w:color="auto" w:fill="FFFFFF" w:themeFill="background1"/>
            <w:tcMar>
              <w:top w:w="57" w:type="dxa"/>
              <w:bottom w:w="57" w:type="dxa"/>
            </w:tcMar>
          </w:tcPr>
          <w:p w14:paraId="4F02D3CB" w14:textId="77777777" w:rsidR="0037303D" w:rsidRPr="0037303D" w:rsidRDefault="0037303D" w:rsidP="0037303D">
            <w:pPr>
              <w:pStyle w:val="Paragraph"/>
            </w:pPr>
            <w:r w:rsidRPr="0037303D">
              <w:t>Special Conditions/</w:t>
            </w:r>
          </w:p>
          <w:p w14:paraId="3A83E817" w14:textId="77777777" w:rsidR="0037303D" w:rsidRPr="0037303D" w:rsidRDefault="0037303D" w:rsidP="0037303D">
            <w:pPr>
              <w:pStyle w:val="Paragraph"/>
            </w:pPr>
            <w:r w:rsidRPr="0037303D">
              <w:t>Advisory Notes</w:t>
            </w:r>
          </w:p>
        </w:tc>
        <w:tc>
          <w:tcPr>
            <w:tcW w:w="6095" w:type="dxa"/>
            <w:gridSpan w:val="4"/>
            <w:tcBorders>
              <w:left w:val="single" w:sz="4" w:space="0" w:color="auto"/>
              <w:right w:val="single" w:sz="4" w:space="0" w:color="auto"/>
            </w:tcBorders>
            <w:shd w:val="clear" w:color="auto" w:fill="FFFFFF" w:themeFill="background1"/>
            <w:tcMar>
              <w:top w:w="57" w:type="dxa"/>
              <w:bottom w:w="57" w:type="dxa"/>
            </w:tcMar>
          </w:tcPr>
          <w:p w14:paraId="716B8FEC" w14:textId="77777777" w:rsidR="0037303D" w:rsidRPr="0037303D" w:rsidRDefault="0037303D" w:rsidP="0037303D">
            <w:pPr>
              <w:pStyle w:val="Paragraph"/>
              <w:rPr>
                <w:b/>
              </w:rPr>
            </w:pPr>
            <w:r w:rsidRPr="0037303D">
              <w:rPr>
                <w:b/>
              </w:rPr>
              <w:t>Availability of TS (this TS): TS (this TS) is only available once the transmitter authorised under  TS10010710 in the Perth Radio LAP which operates on 91.3 MHz to serve Fremantle ceases operation on that frequency.</w:t>
            </w:r>
          </w:p>
        </w:tc>
      </w:tr>
    </w:tbl>
    <w:p w14:paraId="4D553E70" w14:textId="77777777" w:rsidR="0037303D" w:rsidRPr="0037303D" w:rsidRDefault="0037303D" w:rsidP="0037303D">
      <w:pPr>
        <w:pStyle w:val="Paragraph"/>
      </w:pPr>
    </w:p>
    <w:p w14:paraId="5A4934E3" w14:textId="77777777" w:rsidR="0037303D" w:rsidRPr="0037303D" w:rsidRDefault="0037303D" w:rsidP="0037303D">
      <w:pPr>
        <w:pStyle w:val="Paragraph"/>
      </w:pPr>
      <w:r w:rsidRPr="0037303D">
        <w:br w:type="page"/>
      </w:r>
    </w:p>
    <w:p w14:paraId="728CC7EC" w14:textId="27F37CC1" w:rsidR="004813DB" w:rsidRPr="004813DB" w:rsidRDefault="004813DB" w:rsidP="00166C7E">
      <w:pPr>
        <w:ind w:right="1841"/>
      </w:pPr>
      <w:r w:rsidRPr="004813DB">
        <w:t>Assuming that existing Technical Specifications for 6IX Wanneroo (TS10010200) and 6IX Rockingham (TS 10010930) are removed</w:t>
      </w:r>
      <w:r w:rsidR="00684B90">
        <w:t>,</w:t>
      </w:r>
      <w:r w:rsidRPr="004813DB">
        <w:t xml:space="preserve"> the following TS could be added for 6IX.</w:t>
      </w:r>
    </w:p>
    <w:tbl>
      <w:tblPr>
        <w:tblpPr w:leftFromText="180" w:rightFromText="180" w:vertAnchor="text" w:tblpY="1"/>
        <w:tblOverlap w:val="never"/>
        <w:tblW w:w="8642" w:type="dxa"/>
        <w:tblBorders>
          <w:top w:val="single" w:sz="4" w:space="0" w:color="auto"/>
          <w:bottom w:val="single" w:sz="4" w:space="0" w:color="auto"/>
          <w:insideH w:val="single" w:sz="4" w:space="0" w:color="auto"/>
        </w:tblBorders>
        <w:tblLayout w:type="fixed"/>
        <w:tblCellMar>
          <w:top w:w="85" w:type="dxa"/>
          <w:left w:w="85" w:type="dxa"/>
          <w:bottom w:w="85" w:type="dxa"/>
          <w:right w:w="85" w:type="dxa"/>
        </w:tblCellMar>
        <w:tblLook w:val="01E0" w:firstRow="1" w:lastRow="1" w:firstColumn="1" w:lastColumn="1" w:noHBand="0" w:noVBand="0"/>
        <w:tblCaption w:val="Table title to go here"/>
        <w:tblDescription w:val="Table description to go here"/>
      </w:tblPr>
      <w:tblGrid>
        <w:gridCol w:w="2547"/>
        <w:gridCol w:w="1843"/>
        <w:gridCol w:w="708"/>
        <w:gridCol w:w="1202"/>
        <w:gridCol w:w="2342"/>
      </w:tblGrid>
      <w:tr w:rsidR="004813DB" w:rsidRPr="004813DB" w14:paraId="6773412E" w14:textId="77777777" w:rsidTr="00773CEF">
        <w:tc>
          <w:tcPr>
            <w:tcW w:w="2547" w:type="dxa"/>
            <w:tcBorders>
              <w:left w:val="single" w:sz="4" w:space="0" w:color="auto"/>
              <w:right w:val="single" w:sz="4" w:space="0" w:color="auto"/>
            </w:tcBorders>
            <w:shd w:val="clear" w:color="auto" w:fill="FFFFFF" w:themeFill="background1"/>
          </w:tcPr>
          <w:p w14:paraId="1DDEA8F0" w14:textId="4305B82D" w:rsidR="004813DB" w:rsidRPr="004813DB" w:rsidRDefault="004813DB" w:rsidP="005F53A8">
            <w:pPr>
              <w:spacing w:after="0"/>
            </w:pPr>
            <w:r w:rsidRPr="004813DB">
              <w:t>TS Number</w:t>
            </w:r>
          </w:p>
        </w:tc>
        <w:tc>
          <w:tcPr>
            <w:tcW w:w="6095" w:type="dxa"/>
            <w:gridSpan w:val="4"/>
            <w:tcBorders>
              <w:left w:val="single" w:sz="4" w:space="0" w:color="auto"/>
              <w:right w:val="single" w:sz="4" w:space="0" w:color="auto"/>
            </w:tcBorders>
            <w:shd w:val="clear" w:color="auto" w:fill="FFFFFF" w:themeFill="background1"/>
          </w:tcPr>
          <w:p w14:paraId="0203D0F0" w14:textId="77777777" w:rsidR="004813DB" w:rsidRPr="004813DB" w:rsidRDefault="004813DB" w:rsidP="005F53A8">
            <w:pPr>
              <w:spacing w:after="0"/>
              <w:rPr>
                <w:b/>
              </w:rPr>
            </w:pPr>
            <w:r w:rsidRPr="004813DB">
              <w:rPr>
                <w:b/>
              </w:rPr>
              <w:t>TS  XXXXXXXXX</w:t>
            </w:r>
          </w:p>
        </w:tc>
      </w:tr>
      <w:tr w:rsidR="004813DB" w:rsidRPr="004813DB" w14:paraId="55C1EADB" w14:textId="77777777" w:rsidTr="00773CEF">
        <w:tc>
          <w:tcPr>
            <w:tcW w:w="2547" w:type="dxa"/>
            <w:tcBorders>
              <w:left w:val="single" w:sz="4" w:space="0" w:color="auto"/>
              <w:right w:val="single" w:sz="4" w:space="0" w:color="auto"/>
            </w:tcBorders>
            <w:shd w:val="clear" w:color="auto" w:fill="FFFFFF" w:themeFill="background1"/>
          </w:tcPr>
          <w:p w14:paraId="4B98722E" w14:textId="77777777" w:rsidR="004813DB" w:rsidRPr="004813DB" w:rsidRDefault="004813DB" w:rsidP="005F53A8">
            <w:pPr>
              <w:spacing w:after="0"/>
            </w:pPr>
            <w:r w:rsidRPr="004813DB">
              <w:t>Callsign of licensee</w:t>
            </w:r>
          </w:p>
        </w:tc>
        <w:tc>
          <w:tcPr>
            <w:tcW w:w="6095" w:type="dxa"/>
            <w:gridSpan w:val="4"/>
            <w:tcBorders>
              <w:left w:val="single" w:sz="4" w:space="0" w:color="auto"/>
              <w:right w:val="single" w:sz="4" w:space="0" w:color="auto"/>
            </w:tcBorders>
            <w:shd w:val="clear" w:color="auto" w:fill="FFFFFF" w:themeFill="background1"/>
          </w:tcPr>
          <w:p w14:paraId="326131D8" w14:textId="77777777" w:rsidR="004813DB" w:rsidRPr="004813DB" w:rsidRDefault="004813DB" w:rsidP="005F53A8">
            <w:pPr>
              <w:spacing w:after="0"/>
              <w:rPr>
                <w:b/>
              </w:rPr>
            </w:pPr>
            <w:r w:rsidRPr="004813DB">
              <w:rPr>
                <w:b/>
              </w:rPr>
              <w:t>Notional commercial service (nominally for 6IX)</w:t>
            </w:r>
          </w:p>
        </w:tc>
      </w:tr>
      <w:tr w:rsidR="004813DB" w:rsidRPr="004813DB" w14:paraId="1EFF7692" w14:textId="77777777" w:rsidTr="00773CEF">
        <w:tc>
          <w:tcPr>
            <w:tcW w:w="2547" w:type="dxa"/>
            <w:tcBorders>
              <w:left w:val="single" w:sz="4" w:space="0" w:color="auto"/>
              <w:right w:val="single" w:sz="4" w:space="0" w:color="auto"/>
            </w:tcBorders>
            <w:shd w:val="clear" w:color="auto" w:fill="FFFFFF" w:themeFill="background1"/>
          </w:tcPr>
          <w:p w14:paraId="0B5BC707" w14:textId="4D777BCD" w:rsidR="004813DB" w:rsidRPr="004813DB" w:rsidRDefault="004813DB" w:rsidP="005F53A8">
            <w:pPr>
              <w:spacing w:after="0"/>
            </w:pPr>
            <w:r w:rsidRPr="004813DB">
              <w:t>Area Served</w:t>
            </w:r>
          </w:p>
        </w:tc>
        <w:tc>
          <w:tcPr>
            <w:tcW w:w="6095" w:type="dxa"/>
            <w:gridSpan w:val="4"/>
            <w:tcBorders>
              <w:left w:val="single" w:sz="4" w:space="0" w:color="auto"/>
              <w:right w:val="single" w:sz="4" w:space="0" w:color="auto"/>
            </w:tcBorders>
            <w:shd w:val="clear" w:color="auto" w:fill="FFFFFF" w:themeFill="background1"/>
          </w:tcPr>
          <w:p w14:paraId="5AEF077F" w14:textId="77777777" w:rsidR="004813DB" w:rsidRPr="004813DB" w:rsidRDefault="004813DB" w:rsidP="005F53A8">
            <w:pPr>
              <w:spacing w:after="0"/>
              <w:rPr>
                <w:b/>
              </w:rPr>
            </w:pPr>
            <w:r w:rsidRPr="004813DB">
              <w:rPr>
                <w:b/>
              </w:rPr>
              <w:t>Perth</w:t>
            </w:r>
          </w:p>
        </w:tc>
      </w:tr>
      <w:tr w:rsidR="004813DB" w:rsidRPr="004813DB" w14:paraId="2E83C670" w14:textId="77777777" w:rsidTr="00773CEF">
        <w:tc>
          <w:tcPr>
            <w:tcW w:w="2547" w:type="dxa"/>
            <w:tcBorders>
              <w:left w:val="single" w:sz="4" w:space="0" w:color="auto"/>
              <w:right w:val="single" w:sz="4" w:space="0" w:color="auto"/>
            </w:tcBorders>
            <w:shd w:val="clear" w:color="auto" w:fill="FFFFFF" w:themeFill="background1"/>
          </w:tcPr>
          <w:p w14:paraId="497473F0" w14:textId="77777777" w:rsidR="004813DB" w:rsidRPr="004813DB" w:rsidRDefault="004813DB" w:rsidP="005F53A8">
            <w:pPr>
              <w:spacing w:after="0"/>
            </w:pPr>
            <w:r w:rsidRPr="004813DB">
              <w:t>Nominal location</w:t>
            </w:r>
          </w:p>
        </w:tc>
        <w:tc>
          <w:tcPr>
            <w:tcW w:w="6095" w:type="dxa"/>
            <w:gridSpan w:val="4"/>
            <w:tcBorders>
              <w:left w:val="single" w:sz="4" w:space="0" w:color="auto"/>
              <w:right w:val="single" w:sz="4" w:space="0" w:color="auto"/>
            </w:tcBorders>
            <w:shd w:val="clear" w:color="auto" w:fill="FFFFFF" w:themeFill="background1"/>
          </w:tcPr>
          <w:p w14:paraId="1390A12C" w14:textId="77777777" w:rsidR="004813DB" w:rsidRPr="004813DB" w:rsidRDefault="004813DB" w:rsidP="005F53A8">
            <w:pPr>
              <w:spacing w:after="0"/>
              <w:rPr>
                <w:b/>
              </w:rPr>
            </w:pPr>
            <w:r w:rsidRPr="004813DB">
              <w:rPr>
                <w:b/>
              </w:rPr>
              <w:t>FM Mast  TXA Bickley Site Television Rd BICKLEY</w:t>
            </w:r>
          </w:p>
        </w:tc>
      </w:tr>
      <w:tr w:rsidR="004813DB" w:rsidRPr="004813DB" w14:paraId="1B91E06F" w14:textId="77777777" w:rsidTr="00773CEF">
        <w:tc>
          <w:tcPr>
            <w:tcW w:w="2547" w:type="dxa"/>
            <w:tcBorders>
              <w:left w:val="single" w:sz="4" w:space="0" w:color="auto"/>
              <w:bottom w:val="single" w:sz="4" w:space="0" w:color="auto"/>
              <w:right w:val="single" w:sz="4" w:space="0" w:color="auto"/>
            </w:tcBorders>
          </w:tcPr>
          <w:p w14:paraId="10608C09" w14:textId="7BD53F0F" w:rsidR="004813DB" w:rsidRPr="004813DB" w:rsidRDefault="004813DB" w:rsidP="005F53A8">
            <w:pPr>
              <w:spacing w:after="0"/>
            </w:pPr>
            <w:r w:rsidRPr="004813DB">
              <w:t>RADCOM Site ID</w:t>
            </w:r>
          </w:p>
        </w:tc>
        <w:tc>
          <w:tcPr>
            <w:tcW w:w="6095" w:type="dxa"/>
            <w:gridSpan w:val="4"/>
            <w:tcBorders>
              <w:left w:val="single" w:sz="4" w:space="0" w:color="auto"/>
              <w:bottom w:val="single" w:sz="4" w:space="0" w:color="auto"/>
              <w:right w:val="single" w:sz="4" w:space="0" w:color="auto"/>
            </w:tcBorders>
          </w:tcPr>
          <w:p w14:paraId="62E8E479" w14:textId="77777777" w:rsidR="004813DB" w:rsidRPr="004813DB" w:rsidRDefault="004813DB" w:rsidP="005F53A8">
            <w:pPr>
              <w:spacing w:after="0"/>
              <w:rPr>
                <w:b/>
              </w:rPr>
            </w:pPr>
            <w:r w:rsidRPr="004813DB">
              <w:rPr>
                <w:b/>
              </w:rPr>
              <w:t>26627</w:t>
            </w:r>
          </w:p>
        </w:tc>
      </w:tr>
      <w:tr w:rsidR="004813DB" w:rsidRPr="004813DB" w14:paraId="16E39555" w14:textId="77777777" w:rsidTr="00773CEF">
        <w:tc>
          <w:tcPr>
            <w:tcW w:w="2547" w:type="dxa"/>
            <w:vMerge w:val="restart"/>
            <w:tcBorders>
              <w:left w:val="single" w:sz="4" w:space="0" w:color="auto"/>
              <w:right w:val="single" w:sz="4" w:space="0" w:color="auto"/>
            </w:tcBorders>
          </w:tcPr>
          <w:p w14:paraId="465BBA12" w14:textId="3EE12F9D" w:rsidR="004813DB" w:rsidRPr="004813DB" w:rsidRDefault="004813DB" w:rsidP="005F53A8">
            <w:pPr>
              <w:spacing w:after="0"/>
            </w:pPr>
            <w:r w:rsidRPr="004813DB">
              <w:t>Coordinates Information</w:t>
            </w:r>
          </w:p>
        </w:tc>
        <w:tc>
          <w:tcPr>
            <w:tcW w:w="2551" w:type="dxa"/>
            <w:gridSpan w:val="2"/>
            <w:tcBorders>
              <w:left w:val="single" w:sz="4" w:space="0" w:color="auto"/>
              <w:bottom w:val="single" w:sz="4" w:space="0" w:color="auto"/>
              <w:right w:val="single" w:sz="4" w:space="0" w:color="auto"/>
            </w:tcBorders>
          </w:tcPr>
          <w:p w14:paraId="47FE23C6" w14:textId="77777777" w:rsidR="004813DB" w:rsidRPr="004813DB" w:rsidRDefault="004813DB" w:rsidP="005F53A8">
            <w:pPr>
              <w:spacing w:after="0"/>
              <w:rPr>
                <w:b/>
              </w:rPr>
            </w:pPr>
            <w:r w:rsidRPr="004813DB">
              <w:rPr>
                <w:b/>
              </w:rPr>
              <w:t>Latitude (GDA94)</w:t>
            </w:r>
          </w:p>
          <w:p w14:paraId="7BAF3798" w14:textId="77777777" w:rsidR="004813DB" w:rsidRPr="004813DB" w:rsidRDefault="004813DB" w:rsidP="005F53A8">
            <w:pPr>
              <w:spacing w:after="0"/>
              <w:rPr>
                <w:b/>
              </w:rPr>
            </w:pPr>
            <w:r w:rsidRPr="004813DB">
              <w:rPr>
                <w:b/>
              </w:rPr>
              <w:t>-32.00714</w:t>
            </w:r>
          </w:p>
        </w:tc>
        <w:tc>
          <w:tcPr>
            <w:tcW w:w="3544" w:type="dxa"/>
            <w:gridSpan w:val="2"/>
            <w:tcBorders>
              <w:left w:val="single" w:sz="4" w:space="0" w:color="auto"/>
              <w:bottom w:val="single" w:sz="4" w:space="0" w:color="auto"/>
              <w:right w:val="single" w:sz="4" w:space="0" w:color="auto"/>
            </w:tcBorders>
          </w:tcPr>
          <w:p w14:paraId="0BF4CC2A" w14:textId="77777777" w:rsidR="004813DB" w:rsidRPr="004813DB" w:rsidRDefault="004813DB" w:rsidP="005F53A8">
            <w:pPr>
              <w:spacing w:after="0"/>
              <w:rPr>
                <w:b/>
              </w:rPr>
            </w:pPr>
            <w:r w:rsidRPr="004813DB">
              <w:rPr>
                <w:b/>
              </w:rPr>
              <w:t>Longitude (GDA94)</w:t>
            </w:r>
          </w:p>
          <w:p w14:paraId="49492A2B" w14:textId="77777777" w:rsidR="004813DB" w:rsidRPr="004813DB" w:rsidRDefault="004813DB" w:rsidP="005F53A8">
            <w:pPr>
              <w:spacing w:after="0"/>
              <w:rPr>
                <w:b/>
              </w:rPr>
            </w:pPr>
            <w:r w:rsidRPr="004813DB">
              <w:rPr>
                <w:b/>
              </w:rPr>
              <w:t>116.08395</w:t>
            </w:r>
          </w:p>
        </w:tc>
      </w:tr>
      <w:tr w:rsidR="004813DB" w:rsidRPr="004813DB" w14:paraId="48A84C26" w14:textId="77777777" w:rsidTr="00773CEF">
        <w:tc>
          <w:tcPr>
            <w:tcW w:w="2547" w:type="dxa"/>
            <w:vMerge/>
            <w:tcBorders>
              <w:left w:val="single" w:sz="4" w:space="0" w:color="auto"/>
              <w:right w:val="single" w:sz="4" w:space="0" w:color="auto"/>
            </w:tcBorders>
            <w:shd w:val="clear" w:color="auto" w:fill="FFFFFF" w:themeFill="background1"/>
          </w:tcPr>
          <w:p w14:paraId="33E48BF6" w14:textId="77777777" w:rsidR="004813DB" w:rsidRPr="004813DB" w:rsidRDefault="004813DB" w:rsidP="005F53A8">
            <w:pPr>
              <w:spacing w:after="0"/>
            </w:pPr>
          </w:p>
        </w:tc>
        <w:tc>
          <w:tcPr>
            <w:tcW w:w="1843" w:type="dxa"/>
            <w:tcBorders>
              <w:left w:val="single" w:sz="4" w:space="0" w:color="auto"/>
              <w:right w:val="single" w:sz="4" w:space="0" w:color="auto"/>
            </w:tcBorders>
            <w:shd w:val="clear" w:color="auto" w:fill="FFFFFF" w:themeFill="background1"/>
          </w:tcPr>
          <w:p w14:paraId="61DA2B0A" w14:textId="77777777" w:rsidR="004813DB" w:rsidRPr="004813DB" w:rsidRDefault="004813DB" w:rsidP="005F53A8">
            <w:pPr>
              <w:spacing w:after="0"/>
              <w:rPr>
                <w:b/>
              </w:rPr>
            </w:pPr>
            <w:r w:rsidRPr="004813DB">
              <w:rPr>
                <w:b/>
              </w:rPr>
              <w:t>Zone (AMG66)</w:t>
            </w:r>
          </w:p>
          <w:p w14:paraId="09B21433" w14:textId="77777777" w:rsidR="004813DB" w:rsidRPr="004813DB" w:rsidRDefault="004813DB" w:rsidP="005F53A8">
            <w:pPr>
              <w:spacing w:after="0"/>
              <w:rPr>
                <w:b/>
              </w:rPr>
            </w:pPr>
            <w:r w:rsidRPr="004813DB">
              <w:rPr>
                <w:b/>
              </w:rPr>
              <w:t>50</w:t>
            </w:r>
          </w:p>
        </w:tc>
        <w:tc>
          <w:tcPr>
            <w:tcW w:w="1910" w:type="dxa"/>
            <w:gridSpan w:val="2"/>
            <w:tcBorders>
              <w:left w:val="single" w:sz="4" w:space="0" w:color="auto"/>
              <w:right w:val="single" w:sz="4" w:space="0" w:color="auto"/>
            </w:tcBorders>
            <w:shd w:val="clear" w:color="auto" w:fill="FFFFFF" w:themeFill="background1"/>
          </w:tcPr>
          <w:p w14:paraId="0FBD9BC8" w14:textId="77777777" w:rsidR="004813DB" w:rsidRPr="004813DB" w:rsidRDefault="004813DB" w:rsidP="005F53A8">
            <w:pPr>
              <w:spacing w:after="0"/>
              <w:rPr>
                <w:b/>
              </w:rPr>
            </w:pPr>
            <w:r w:rsidRPr="004813DB">
              <w:rPr>
                <w:b/>
              </w:rPr>
              <w:t>Easting (AMG66)</w:t>
            </w:r>
          </w:p>
          <w:p w14:paraId="780E046C" w14:textId="77777777" w:rsidR="004813DB" w:rsidRPr="004813DB" w:rsidRDefault="004813DB" w:rsidP="005F53A8">
            <w:pPr>
              <w:spacing w:after="0"/>
              <w:rPr>
                <w:b/>
              </w:rPr>
            </w:pPr>
            <w:r w:rsidRPr="004813DB">
              <w:rPr>
                <w:b/>
              </w:rPr>
              <w:t>413340</w:t>
            </w:r>
          </w:p>
        </w:tc>
        <w:tc>
          <w:tcPr>
            <w:tcW w:w="2342" w:type="dxa"/>
            <w:tcBorders>
              <w:left w:val="single" w:sz="4" w:space="0" w:color="auto"/>
              <w:right w:val="single" w:sz="4" w:space="0" w:color="auto"/>
            </w:tcBorders>
            <w:shd w:val="clear" w:color="auto" w:fill="FFFFFF" w:themeFill="background1"/>
          </w:tcPr>
          <w:p w14:paraId="4CCC88FD" w14:textId="77777777" w:rsidR="004813DB" w:rsidRPr="004813DB" w:rsidRDefault="004813DB" w:rsidP="005F53A8">
            <w:pPr>
              <w:spacing w:after="0"/>
              <w:rPr>
                <w:b/>
              </w:rPr>
            </w:pPr>
            <w:r w:rsidRPr="004813DB">
              <w:rPr>
                <w:b/>
              </w:rPr>
              <w:t>Northing (AMG66)</w:t>
            </w:r>
          </w:p>
          <w:p w14:paraId="5DB01F29" w14:textId="77777777" w:rsidR="004813DB" w:rsidRPr="004813DB" w:rsidRDefault="004813DB" w:rsidP="005F53A8">
            <w:pPr>
              <w:spacing w:after="0"/>
              <w:rPr>
                <w:b/>
              </w:rPr>
            </w:pPr>
            <w:r w:rsidRPr="004813DB">
              <w:rPr>
                <w:b/>
              </w:rPr>
              <w:t>6458261</w:t>
            </w:r>
          </w:p>
        </w:tc>
      </w:tr>
      <w:tr w:rsidR="004813DB" w:rsidRPr="004813DB" w14:paraId="7D34F074" w14:textId="77777777" w:rsidTr="00773CEF">
        <w:tc>
          <w:tcPr>
            <w:tcW w:w="2547" w:type="dxa"/>
            <w:tcBorders>
              <w:left w:val="single" w:sz="4" w:space="0" w:color="auto"/>
              <w:right w:val="single" w:sz="4" w:space="0" w:color="auto"/>
            </w:tcBorders>
            <w:shd w:val="clear" w:color="auto" w:fill="FFFFFF" w:themeFill="background1"/>
          </w:tcPr>
          <w:p w14:paraId="7B7E28FD" w14:textId="77777777" w:rsidR="004813DB" w:rsidRPr="004813DB" w:rsidRDefault="004813DB" w:rsidP="005F53A8">
            <w:pPr>
              <w:spacing w:after="0"/>
            </w:pPr>
            <w:r w:rsidRPr="004813DB">
              <w:t>Frequency</w:t>
            </w:r>
          </w:p>
        </w:tc>
        <w:tc>
          <w:tcPr>
            <w:tcW w:w="6095" w:type="dxa"/>
            <w:gridSpan w:val="4"/>
            <w:tcBorders>
              <w:left w:val="single" w:sz="4" w:space="0" w:color="auto"/>
              <w:right w:val="single" w:sz="4" w:space="0" w:color="auto"/>
            </w:tcBorders>
            <w:shd w:val="clear" w:color="auto" w:fill="FFFFFF" w:themeFill="background1"/>
          </w:tcPr>
          <w:p w14:paraId="31F77449" w14:textId="77777777" w:rsidR="004813DB" w:rsidRPr="004813DB" w:rsidRDefault="004813DB" w:rsidP="005F53A8">
            <w:pPr>
              <w:spacing w:after="0"/>
              <w:rPr>
                <w:b/>
              </w:rPr>
            </w:pPr>
            <w:r w:rsidRPr="004813DB">
              <w:rPr>
                <w:b/>
              </w:rPr>
              <w:t xml:space="preserve">104.9 MHz </w:t>
            </w:r>
          </w:p>
        </w:tc>
      </w:tr>
      <w:tr w:rsidR="004813DB" w:rsidRPr="004813DB" w14:paraId="54192DCA" w14:textId="77777777" w:rsidTr="00773CEF">
        <w:tc>
          <w:tcPr>
            <w:tcW w:w="2547" w:type="dxa"/>
            <w:vMerge w:val="restart"/>
            <w:tcBorders>
              <w:left w:val="single" w:sz="4" w:space="0" w:color="auto"/>
              <w:right w:val="single" w:sz="4" w:space="0" w:color="auto"/>
            </w:tcBorders>
          </w:tcPr>
          <w:p w14:paraId="72F98D78" w14:textId="0E5C9C15" w:rsidR="004813DB" w:rsidRPr="004813DB" w:rsidRDefault="004813DB" w:rsidP="005F53A8">
            <w:pPr>
              <w:spacing w:after="0"/>
            </w:pPr>
            <w:r w:rsidRPr="004813DB">
              <w:t>Output Radiation Pattern</w:t>
            </w:r>
          </w:p>
        </w:tc>
        <w:tc>
          <w:tcPr>
            <w:tcW w:w="2551" w:type="dxa"/>
            <w:gridSpan w:val="2"/>
            <w:tcBorders>
              <w:left w:val="single" w:sz="4" w:space="0" w:color="auto"/>
              <w:bottom w:val="single" w:sz="4" w:space="0" w:color="auto"/>
              <w:right w:val="single" w:sz="4" w:space="0" w:color="auto"/>
            </w:tcBorders>
          </w:tcPr>
          <w:p w14:paraId="6AB53432" w14:textId="11DC93F2" w:rsidR="004813DB" w:rsidRPr="004813DB" w:rsidRDefault="004813DB" w:rsidP="005F53A8">
            <w:pPr>
              <w:spacing w:after="0"/>
              <w:rPr>
                <w:b/>
              </w:rPr>
            </w:pPr>
            <w:r w:rsidRPr="004813DB">
              <w:rPr>
                <w:b/>
              </w:rPr>
              <w:t>Azimuth Bearing (clockwise direction)</w:t>
            </w:r>
          </w:p>
        </w:tc>
        <w:tc>
          <w:tcPr>
            <w:tcW w:w="3544" w:type="dxa"/>
            <w:gridSpan w:val="2"/>
            <w:tcBorders>
              <w:left w:val="single" w:sz="4" w:space="0" w:color="auto"/>
              <w:bottom w:val="single" w:sz="4" w:space="0" w:color="auto"/>
              <w:right w:val="single" w:sz="4" w:space="0" w:color="auto"/>
            </w:tcBorders>
          </w:tcPr>
          <w:p w14:paraId="44A048E4" w14:textId="77777777" w:rsidR="004813DB" w:rsidRPr="004813DB" w:rsidRDefault="004813DB" w:rsidP="005F53A8">
            <w:pPr>
              <w:spacing w:after="0"/>
              <w:rPr>
                <w:b/>
              </w:rPr>
            </w:pPr>
            <w:r w:rsidRPr="004813DB">
              <w:rPr>
                <w:b/>
              </w:rPr>
              <w:t xml:space="preserve">Maximum ERP </w:t>
            </w:r>
          </w:p>
        </w:tc>
      </w:tr>
      <w:tr w:rsidR="004813DB" w:rsidRPr="004813DB" w14:paraId="4EE72511" w14:textId="77777777" w:rsidTr="00773CEF">
        <w:tc>
          <w:tcPr>
            <w:tcW w:w="2547" w:type="dxa"/>
            <w:vMerge/>
            <w:tcBorders>
              <w:left w:val="single" w:sz="4" w:space="0" w:color="auto"/>
              <w:right w:val="single" w:sz="4" w:space="0" w:color="auto"/>
            </w:tcBorders>
          </w:tcPr>
          <w:p w14:paraId="64FE8BDA" w14:textId="77777777" w:rsidR="004813DB" w:rsidRPr="004813DB" w:rsidRDefault="004813DB" w:rsidP="005F53A8">
            <w:pPr>
              <w:spacing w:after="0"/>
            </w:pPr>
          </w:p>
        </w:tc>
        <w:tc>
          <w:tcPr>
            <w:tcW w:w="2551" w:type="dxa"/>
            <w:gridSpan w:val="2"/>
            <w:tcBorders>
              <w:left w:val="single" w:sz="4" w:space="0" w:color="auto"/>
              <w:bottom w:val="single" w:sz="4" w:space="0" w:color="auto"/>
              <w:right w:val="single" w:sz="4" w:space="0" w:color="auto"/>
            </w:tcBorders>
          </w:tcPr>
          <w:p w14:paraId="14481280" w14:textId="77777777" w:rsidR="004813DB" w:rsidRPr="004813DB" w:rsidRDefault="004813DB" w:rsidP="005F53A8">
            <w:pPr>
              <w:spacing w:after="0"/>
              <w:rPr>
                <w:b/>
              </w:rPr>
            </w:pPr>
            <w:r w:rsidRPr="004813DB">
              <w:rPr>
                <w:b/>
              </w:rPr>
              <w:t>0º T – 70º T</w:t>
            </w:r>
          </w:p>
          <w:p w14:paraId="2BFA65FC" w14:textId="77777777" w:rsidR="004813DB" w:rsidRPr="004813DB" w:rsidRDefault="004813DB" w:rsidP="005F53A8">
            <w:pPr>
              <w:spacing w:after="0"/>
              <w:rPr>
                <w:b/>
              </w:rPr>
            </w:pPr>
            <w:r w:rsidRPr="004813DB">
              <w:rPr>
                <w:b/>
              </w:rPr>
              <w:t>70º T – 180º T</w:t>
            </w:r>
          </w:p>
          <w:p w14:paraId="402731D7" w14:textId="77777777" w:rsidR="004813DB" w:rsidRPr="004813DB" w:rsidRDefault="004813DB" w:rsidP="005F53A8">
            <w:pPr>
              <w:spacing w:after="0"/>
              <w:rPr>
                <w:b/>
              </w:rPr>
            </w:pPr>
            <w:r w:rsidRPr="004813DB">
              <w:rPr>
                <w:b/>
              </w:rPr>
              <w:t>180º T – 200º T</w:t>
            </w:r>
          </w:p>
          <w:p w14:paraId="3AAFCEE9" w14:textId="77777777" w:rsidR="004813DB" w:rsidRPr="004813DB" w:rsidRDefault="004813DB" w:rsidP="005F53A8">
            <w:pPr>
              <w:spacing w:after="0"/>
              <w:rPr>
                <w:b/>
              </w:rPr>
            </w:pPr>
            <w:r w:rsidRPr="004813DB">
              <w:rPr>
                <w:b/>
              </w:rPr>
              <w:t>200º T – 360º T</w:t>
            </w:r>
          </w:p>
        </w:tc>
        <w:tc>
          <w:tcPr>
            <w:tcW w:w="3544" w:type="dxa"/>
            <w:gridSpan w:val="2"/>
            <w:tcBorders>
              <w:left w:val="single" w:sz="4" w:space="0" w:color="auto"/>
              <w:bottom w:val="single" w:sz="4" w:space="0" w:color="auto"/>
              <w:right w:val="single" w:sz="4" w:space="0" w:color="auto"/>
            </w:tcBorders>
          </w:tcPr>
          <w:p w14:paraId="05A19744" w14:textId="77777777" w:rsidR="004813DB" w:rsidRPr="004813DB" w:rsidRDefault="004813DB" w:rsidP="005F53A8">
            <w:pPr>
              <w:spacing w:after="0"/>
              <w:rPr>
                <w:b/>
              </w:rPr>
            </w:pPr>
            <w:r w:rsidRPr="004813DB">
              <w:rPr>
                <w:b/>
              </w:rPr>
              <w:tab/>
              <w:t>40 kW</w:t>
            </w:r>
          </w:p>
          <w:p w14:paraId="2334BE48" w14:textId="77777777" w:rsidR="004813DB" w:rsidRPr="004813DB" w:rsidRDefault="004813DB" w:rsidP="005F53A8">
            <w:pPr>
              <w:spacing w:after="0"/>
              <w:rPr>
                <w:b/>
              </w:rPr>
            </w:pPr>
            <w:r w:rsidRPr="004813DB">
              <w:rPr>
                <w:b/>
              </w:rPr>
              <w:tab/>
              <w:t>1 kW</w:t>
            </w:r>
          </w:p>
          <w:p w14:paraId="39749AEF" w14:textId="77777777" w:rsidR="004813DB" w:rsidRPr="004813DB" w:rsidRDefault="004813DB" w:rsidP="005F53A8">
            <w:pPr>
              <w:spacing w:after="0"/>
              <w:rPr>
                <w:b/>
              </w:rPr>
            </w:pPr>
            <w:r w:rsidRPr="004813DB">
              <w:rPr>
                <w:b/>
              </w:rPr>
              <w:tab/>
              <w:t>5 kW</w:t>
            </w:r>
          </w:p>
          <w:p w14:paraId="4968A74E" w14:textId="77777777" w:rsidR="004813DB" w:rsidRPr="004813DB" w:rsidRDefault="004813DB" w:rsidP="005F53A8">
            <w:pPr>
              <w:spacing w:after="0"/>
              <w:rPr>
                <w:b/>
              </w:rPr>
            </w:pPr>
            <w:r w:rsidRPr="004813DB">
              <w:rPr>
                <w:b/>
              </w:rPr>
              <w:tab/>
              <w:t>40  kW</w:t>
            </w:r>
          </w:p>
        </w:tc>
      </w:tr>
      <w:tr w:rsidR="004813DB" w:rsidRPr="004813DB" w14:paraId="2D3C11E3" w14:textId="77777777" w:rsidTr="00773CEF">
        <w:tc>
          <w:tcPr>
            <w:tcW w:w="2547" w:type="dxa"/>
            <w:tcBorders>
              <w:left w:val="single" w:sz="4" w:space="0" w:color="auto"/>
              <w:right w:val="single" w:sz="4" w:space="0" w:color="auto"/>
            </w:tcBorders>
            <w:shd w:val="clear" w:color="auto" w:fill="FFFFFF" w:themeFill="background1"/>
          </w:tcPr>
          <w:p w14:paraId="1485CCD4" w14:textId="77777777" w:rsidR="004813DB" w:rsidRPr="004813DB" w:rsidRDefault="004813DB" w:rsidP="005F53A8">
            <w:pPr>
              <w:spacing w:after="0"/>
            </w:pPr>
            <w:r w:rsidRPr="004813DB">
              <w:t>Polarisation</w:t>
            </w:r>
          </w:p>
        </w:tc>
        <w:tc>
          <w:tcPr>
            <w:tcW w:w="6095" w:type="dxa"/>
            <w:gridSpan w:val="4"/>
            <w:tcBorders>
              <w:left w:val="single" w:sz="4" w:space="0" w:color="auto"/>
              <w:right w:val="single" w:sz="4" w:space="0" w:color="auto"/>
            </w:tcBorders>
            <w:shd w:val="clear" w:color="auto" w:fill="FFFFFF" w:themeFill="background1"/>
          </w:tcPr>
          <w:p w14:paraId="6C0F97B6" w14:textId="77777777" w:rsidR="004813DB" w:rsidRPr="004813DB" w:rsidRDefault="004813DB" w:rsidP="005F53A8">
            <w:pPr>
              <w:spacing w:after="0"/>
              <w:rPr>
                <w:b/>
              </w:rPr>
            </w:pPr>
            <w:r w:rsidRPr="004813DB">
              <w:rPr>
                <w:b/>
              </w:rPr>
              <w:t>Mixed</w:t>
            </w:r>
          </w:p>
        </w:tc>
      </w:tr>
      <w:tr w:rsidR="004813DB" w:rsidRPr="004813DB" w14:paraId="47D5D253" w14:textId="77777777" w:rsidTr="00773CEF">
        <w:tc>
          <w:tcPr>
            <w:tcW w:w="2547" w:type="dxa"/>
            <w:tcBorders>
              <w:left w:val="single" w:sz="4" w:space="0" w:color="auto"/>
              <w:right w:val="single" w:sz="4" w:space="0" w:color="auto"/>
            </w:tcBorders>
            <w:shd w:val="clear" w:color="auto" w:fill="auto"/>
          </w:tcPr>
          <w:p w14:paraId="7486F32D" w14:textId="4AD8E46D" w:rsidR="004813DB" w:rsidRPr="004813DB" w:rsidRDefault="004813DB" w:rsidP="005F53A8">
            <w:pPr>
              <w:spacing w:after="0"/>
            </w:pPr>
            <w:r w:rsidRPr="004813DB">
              <w:t>Maximum Antenna Height</w:t>
            </w:r>
          </w:p>
        </w:tc>
        <w:tc>
          <w:tcPr>
            <w:tcW w:w="6095" w:type="dxa"/>
            <w:gridSpan w:val="4"/>
            <w:tcBorders>
              <w:left w:val="single" w:sz="4" w:space="0" w:color="auto"/>
              <w:right w:val="single" w:sz="4" w:space="0" w:color="auto"/>
            </w:tcBorders>
            <w:shd w:val="clear" w:color="auto" w:fill="auto"/>
          </w:tcPr>
          <w:p w14:paraId="782BEAA6" w14:textId="77777777" w:rsidR="004813DB" w:rsidRPr="004813DB" w:rsidRDefault="004813DB" w:rsidP="005F53A8">
            <w:pPr>
              <w:spacing w:after="0"/>
              <w:rPr>
                <w:b/>
              </w:rPr>
            </w:pPr>
            <w:r w:rsidRPr="004813DB">
              <w:rPr>
                <w:b/>
              </w:rPr>
              <w:t>105 metres</w:t>
            </w:r>
          </w:p>
        </w:tc>
      </w:tr>
      <w:tr w:rsidR="004813DB" w:rsidRPr="004813DB" w14:paraId="00F0E113" w14:textId="77777777" w:rsidTr="00773CEF">
        <w:tc>
          <w:tcPr>
            <w:tcW w:w="2547" w:type="dxa"/>
            <w:tcBorders>
              <w:left w:val="single" w:sz="4" w:space="0" w:color="auto"/>
              <w:right w:val="single" w:sz="4" w:space="0" w:color="auto"/>
            </w:tcBorders>
            <w:shd w:val="clear" w:color="auto" w:fill="FFFFFF" w:themeFill="background1"/>
          </w:tcPr>
          <w:p w14:paraId="70F282E8" w14:textId="7DBFF546" w:rsidR="004813DB" w:rsidRPr="004813DB" w:rsidRDefault="004813DB" w:rsidP="005F53A8">
            <w:pPr>
              <w:spacing w:after="0"/>
            </w:pPr>
            <w:r w:rsidRPr="004813DB">
              <w:t>Special Conditions/</w:t>
            </w:r>
          </w:p>
          <w:p w14:paraId="2294E66F" w14:textId="483169CD" w:rsidR="004813DB" w:rsidRPr="004813DB" w:rsidRDefault="004813DB" w:rsidP="005F53A8">
            <w:pPr>
              <w:spacing w:after="0"/>
            </w:pPr>
            <w:r w:rsidRPr="004813DB">
              <w:t>Advisory Notes</w:t>
            </w:r>
          </w:p>
        </w:tc>
        <w:tc>
          <w:tcPr>
            <w:tcW w:w="6095" w:type="dxa"/>
            <w:gridSpan w:val="4"/>
            <w:tcBorders>
              <w:left w:val="single" w:sz="4" w:space="0" w:color="auto"/>
              <w:right w:val="single" w:sz="4" w:space="0" w:color="auto"/>
            </w:tcBorders>
            <w:shd w:val="clear" w:color="auto" w:fill="FFFFFF" w:themeFill="background1"/>
          </w:tcPr>
          <w:p w14:paraId="4558F662" w14:textId="0636DC52" w:rsidR="004813DB" w:rsidRPr="004813DB" w:rsidRDefault="004813DB" w:rsidP="005F53A8">
            <w:pPr>
              <w:spacing w:after="0"/>
              <w:rPr>
                <w:b/>
              </w:rPr>
            </w:pPr>
            <w:r w:rsidRPr="004813DB">
              <w:rPr>
                <w:b/>
              </w:rPr>
              <w:t xml:space="preserve">Availability of TS (this TS): TS (this TS) is only available once </w:t>
            </w:r>
            <w:r w:rsidR="00684B90">
              <w:rPr>
                <w:b/>
              </w:rPr>
              <w:t>(</w:t>
            </w:r>
            <w:r w:rsidRPr="004813DB">
              <w:rPr>
                <w:b/>
              </w:rPr>
              <w:t xml:space="preserve">a) the transmitter authorised under TS10010302 in the Perth Radio LAP which operates on 104.9 MHz to serve Perth City ceases operation </w:t>
            </w:r>
            <w:r w:rsidR="00190F08">
              <w:rPr>
                <w:b/>
              </w:rPr>
              <w:t>on that</w:t>
            </w:r>
            <w:r w:rsidRPr="004813DB">
              <w:rPr>
                <w:b/>
              </w:rPr>
              <w:t xml:space="preserve"> frequency; </w:t>
            </w:r>
            <w:r w:rsidR="00684B90">
              <w:rPr>
                <w:b/>
              </w:rPr>
              <w:t>(</w:t>
            </w:r>
            <w:r w:rsidRPr="004813DB">
              <w:rPr>
                <w:b/>
              </w:rPr>
              <w:t>b) the transmitter authorised under TS</w:t>
            </w:r>
            <w:r w:rsidRPr="004813DB">
              <w:t xml:space="preserve"> </w:t>
            </w:r>
            <w:r w:rsidRPr="004813DB">
              <w:rPr>
                <w:b/>
              </w:rPr>
              <w:t xml:space="preserve">10010200 in the Perth Radio LAP which operates on 105.7 MHz to serve Wanneroo ceases operation and </w:t>
            </w:r>
            <w:r w:rsidR="00684B90">
              <w:rPr>
                <w:b/>
              </w:rPr>
              <w:t>(</w:t>
            </w:r>
            <w:r w:rsidRPr="004813DB">
              <w:rPr>
                <w:b/>
              </w:rPr>
              <w:t>c) the transmitter authorised under TS</w:t>
            </w:r>
            <w:r w:rsidR="00222E54" w:rsidRPr="004813DB">
              <w:rPr>
                <w:b/>
              </w:rPr>
              <w:t>10010930 in</w:t>
            </w:r>
            <w:r w:rsidRPr="004813DB">
              <w:rPr>
                <w:b/>
              </w:rPr>
              <w:t xml:space="preserve"> the Perth Radio LAP which operates on 105.7 MHz to serve Rockingham ceases operation.</w:t>
            </w:r>
          </w:p>
        </w:tc>
      </w:tr>
    </w:tbl>
    <w:p w14:paraId="33F756B7" w14:textId="77777777" w:rsidR="004813DB" w:rsidRPr="004813DB" w:rsidRDefault="004813DB" w:rsidP="004813DB">
      <w:pPr>
        <w:rPr>
          <w:b/>
          <w:bCs/>
          <w:iCs/>
        </w:rPr>
      </w:pPr>
    </w:p>
    <w:p w14:paraId="32C688E4" w14:textId="77777777" w:rsidR="004813DB" w:rsidRPr="004813DB" w:rsidRDefault="004813DB" w:rsidP="004813DB">
      <w:pPr>
        <w:rPr>
          <w:b/>
          <w:bCs/>
          <w:iCs/>
        </w:rPr>
      </w:pPr>
      <w:r w:rsidRPr="004813DB">
        <w:br w:type="page"/>
      </w:r>
    </w:p>
    <w:p w14:paraId="4E6D59EA" w14:textId="40C9F60D" w:rsidR="00FE14B5" w:rsidRDefault="00EC6C8A" w:rsidP="00FE14B5">
      <w:pPr>
        <w:keepNext/>
        <w:spacing w:after="120" w:line="240" w:lineRule="auto"/>
        <w:outlineLvl w:val="1"/>
        <w:rPr>
          <w:rFonts w:cs="Arial"/>
          <w:b/>
          <w:bCs/>
          <w:iCs/>
          <w:sz w:val="28"/>
          <w:szCs w:val="28"/>
        </w:rPr>
      </w:pPr>
      <w:bookmarkStart w:id="67" w:name="_Toc525030576"/>
      <w:r w:rsidRPr="00FE14B5">
        <w:rPr>
          <w:rFonts w:cs="Arial"/>
          <w:b/>
          <w:bCs/>
          <w:iCs/>
          <w:sz w:val="28"/>
          <w:szCs w:val="28"/>
        </w:rPr>
        <w:t>P</w:t>
      </w:r>
      <w:r>
        <w:rPr>
          <w:rFonts w:cs="Arial"/>
          <w:b/>
          <w:bCs/>
          <w:iCs/>
          <w:sz w:val="28"/>
          <w:szCs w:val="28"/>
        </w:rPr>
        <w:t>otential</w:t>
      </w:r>
      <w:r w:rsidRPr="00FE14B5">
        <w:rPr>
          <w:rFonts w:cs="Arial"/>
          <w:b/>
          <w:bCs/>
          <w:iCs/>
          <w:sz w:val="28"/>
          <w:szCs w:val="28"/>
        </w:rPr>
        <w:t xml:space="preserve"> </w:t>
      </w:r>
      <w:r w:rsidR="00FE14B5" w:rsidRPr="006A439B">
        <w:rPr>
          <w:rFonts w:cs="Arial"/>
          <w:b/>
          <w:bCs/>
          <w:iCs/>
          <w:sz w:val="28"/>
          <w:szCs w:val="28"/>
        </w:rPr>
        <w:t xml:space="preserve">revised </w:t>
      </w:r>
      <w:r w:rsidR="00FE14B5" w:rsidRPr="00FE14B5">
        <w:rPr>
          <w:rFonts w:cs="Arial"/>
          <w:b/>
          <w:bCs/>
          <w:iCs/>
          <w:sz w:val="28"/>
          <w:szCs w:val="28"/>
        </w:rPr>
        <w:t>technical specifications</w:t>
      </w:r>
      <w:bookmarkEnd w:id="67"/>
    </w:p>
    <w:p w14:paraId="5AF3A8A8" w14:textId="732FAE23" w:rsidR="00A96308" w:rsidRPr="00FE14B5" w:rsidRDefault="00A96308" w:rsidP="00772988">
      <w:pPr>
        <w:pStyle w:val="Paragraph"/>
        <w:rPr>
          <w:b/>
          <w:bCs/>
          <w:iCs/>
          <w:sz w:val="28"/>
          <w:szCs w:val="28"/>
        </w:rPr>
      </w:pPr>
      <w:r>
        <w:t xml:space="preserve">Changed parameter values are indicated with </w:t>
      </w:r>
      <w:r w:rsidRPr="00B37775">
        <w:rPr>
          <w:b/>
          <w:color w:val="FF0000"/>
        </w:rPr>
        <w:t>red bold</w:t>
      </w:r>
      <w:r w:rsidRPr="00B37775">
        <w:rPr>
          <w:color w:val="FF0000"/>
        </w:rPr>
        <w:t xml:space="preserve"> </w:t>
      </w:r>
      <w:r>
        <w:t>text.</w:t>
      </w:r>
    </w:p>
    <w:tbl>
      <w:tblPr>
        <w:tblpPr w:leftFromText="180" w:rightFromText="180" w:vertAnchor="text" w:tblpY="1"/>
        <w:tblOverlap w:val="never"/>
        <w:tblW w:w="8642" w:type="dxa"/>
        <w:tblBorders>
          <w:top w:val="single" w:sz="4" w:space="0" w:color="auto"/>
          <w:bottom w:val="single" w:sz="4" w:space="0" w:color="auto"/>
          <w:insideH w:val="single" w:sz="4" w:space="0" w:color="auto"/>
        </w:tblBorders>
        <w:tblLayout w:type="fixed"/>
        <w:tblCellMar>
          <w:top w:w="85" w:type="dxa"/>
          <w:left w:w="85" w:type="dxa"/>
          <w:bottom w:w="85" w:type="dxa"/>
          <w:right w:w="85" w:type="dxa"/>
        </w:tblCellMar>
        <w:tblLook w:val="01E0" w:firstRow="1" w:lastRow="1" w:firstColumn="1" w:lastColumn="1" w:noHBand="0" w:noVBand="0"/>
        <w:tblCaption w:val="Table title to go here"/>
        <w:tblDescription w:val="Table description to go here"/>
      </w:tblPr>
      <w:tblGrid>
        <w:gridCol w:w="2547"/>
        <w:gridCol w:w="1978"/>
        <w:gridCol w:w="715"/>
        <w:gridCol w:w="1060"/>
        <w:gridCol w:w="2342"/>
      </w:tblGrid>
      <w:tr w:rsidR="00FE14B5" w:rsidRPr="00FE14B5" w14:paraId="56AC1EA3" w14:textId="77777777" w:rsidTr="00773CEF">
        <w:tc>
          <w:tcPr>
            <w:tcW w:w="2547" w:type="dxa"/>
            <w:tcBorders>
              <w:left w:val="single" w:sz="4" w:space="0" w:color="auto"/>
              <w:right w:val="single" w:sz="4" w:space="0" w:color="auto"/>
            </w:tcBorders>
            <w:shd w:val="clear" w:color="auto" w:fill="FFFFFF" w:themeFill="background1"/>
            <w:tcMar>
              <w:top w:w="57" w:type="dxa"/>
              <w:bottom w:w="57" w:type="dxa"/>
            </w:tcMar>
          </w:tcPr>
          <w:p w14:paraId="541F33EF" w14:textId="77777777" w:rsidR="00FE14B5" w:rsidRPr="00FE14B5" w:rsidRDefault="00FE14B5" w:rsidP="00FE14B5">
            <w:pPr>
              <w:spacing w:after="0" w:line="240" w:lineRule="auto"/>
              <w:rPr>
                <w:rFonts w:cs="Arial"/>
              </w:rPr>
            </w:pPr>
            <w:r w:rsidRPr="00FE14B5">
              <w:rPr>
                <w:rFonts w:cs="Arial"/>
              </w:rPr>
              <w:t>Current TS number</w:t>
            </w:r>
          </w:p>
        </w:tc>
        <w:tc>
          <w:tcPr>
            <w:tcW w:w="6095" w:type="dxa"/>
            <w:gridSpan w:val="4"/>
            <w:tcBorders>
              <w:left w:val="single" w:sz="4" w:space="0" w:color="auto"/>
              <w:right w:val="single" w:sz="4" w:space="0" w:color="auto"/>
            </w:tcBorders>
            <w:shd w:val="clear" w:color="auto" w:fill="FFFFFF" w:themeFill="background1"/>
            <w:tcMar>
              <w:top w:w="57" w:type="dxa"/>
              <w:bottom w:w="57" w:type="dxa"/>
            </w:tcMar>
          </w:tcPr>
          <w:p w14:paraId="4C182E11" w14:textId="77777777" w:rsidR="00FE14B5" w:rsidRPr="00FE14B5" w:rsidRDefault="00FE14B5" w:rsidP="00FE14B5">
            <w:pPr>
              <w:spacing w:after="0"/>
              <w:rPr>
                <w:rFonts w:cs="Arial"/>
                <w:color w:val="FF0000"/>
                <w:szCs w:val="20"/>
              </w:rPr>
            </w:pPr>
            <w:r w:rsidRPr="00FE14B5">
              <w:rPr>
                <w:rFonts w:cs="Arial"/>
                <w:szCs w:val="20"/>
              </w:rPr>
              <w:t>10010710</w:t>
            </w:r>
          </w:p>
        </w:tc>
      </w:tr>
      <w:tr w:rsidR="00FE14B5" w:rsidRPr="00FE14B5" w14:paraId="3827DEC7" w14:textId="77777777" w:rsidTr="00773CEF">
        <w:tc>
          <w:tcPr>
            <w:tcW w:w="2547" w:type="dxa"/>
            <w:tcBorders>
              <w:left w:val="single" w:sz="4" w:space="0" w:color="auto"/>
              <w:right w:val="single" w:sz="4" w:space="0" w:color="auto"/>
            </w:tcBorders>
            <w:shd w:val="clear" w:color="auto" w:fill="FFFFFF" w:themeFill="background1"/>
            <w:tcMar>
              <w:top w:w="57" w:type="dxa"/>
              <w:bottom w:w="57" w:type="dxa"/>
            </w:tcMar>
          </w:tcPr>
          <w:p w14:paraId="2420329A" w14:textId="33477C91" w:rsidR="00FE14B5" w:rsidRPr="00FE14B5" w:rsidRDefault="00FE14B5" w:rsidP="00FE14B5">
            <w:pPr>
              <w:spacing w:after="0" w:line="240" w:lineRule="auto"/>
              <w:rPr>
                <w:rFonts w:cs="Arial"/>
              </w:rPr>
            </w:pPr>
            <w:r w:rsidRPr="00FE14B5">
              <w:rPr>
                <w:rFonts w:cs="Arial"/>
              </w:rPr>
              <w:t>TS Number</w:t>
            </w:r>
          </w:p>
        </w:tc>
        <w:tc>
          <w:tcPr>
            <w:tcW w:w="6095" w:type="dxa"/>
            <w:gridSpan w:val="4"/>
            <w:tcBorders>
              <w:left w:val="single" w:sz="4" w:space="0" w:color="auto"/>
              <w:right w:val="single" w:sz="4" w:space="0" w:color="auto"/>
            </w:tcBorders>
            <w:shd w:val="clear" w:color="auto" w:fill="FFFFFF" w:themeFill="background1"/>
            <w:tcMar>
              <w:top w:w="57" w:type="dxa"/>
              <w:bottom w:w="57" w:type="dxa"/>
            </w:tcMar>
          </w:tcPr>
          <w:p w14:paraId="0241FA31" w14:textId="77777777" w:rsidR="00FE14B5" w:rsidRPr="00FE14B5" w:rsidRDefault="00FE14B5" w:rsidP="00FE14B5">
            <w:pPr>
              <w:spacing w:after="0" w:line="240" w:lineRule="auto"/>
              <w:rPr>
                <w:rFonts w:cs="Arial"/>
              </w:rPr>
            </w:pPr>
            <w:r w:rsidRPr="00FE14B5">
              <w:rPr>
                <w:rFonts w:cs="Arial"/>
                <w:b/>
                <w:color w:val="FF0000"/>
              </w:rPr>
              <w:t xml:space="preserve">TS  </w:t>
            </w:r>
            <w:r w:rsidRPr="00166C7E">
              <w:rPr>
                <w:rFonts w:cs="Arial"/>
                <w:b/>
                <w:color w:val="FF0000"/>
              </w:rPr>
              <w:t>XXXXXXXXX</w:t>
            </w:r>
          </w:p>
        </w:tc>
      </w:tr>
      <w:tr w:rsidR="00FE14B5" w:rsidRPr="00FE14B5" w14:paraId="0EC1C258" w14:textId="77777777" w:rsidTr="00773CEF">
        <w:tc>
          <w:tcPr>
            <w:tcW w:w="2547" w:type="dxa"/>
            <w:tcBorders>
              <w:left w:val="single" w:sz="4" w:space="0" w:color="auto"/>
              <w:right w:val="single" w:sz="4" w:space="0" w:color="auto"/>
            </w:tcBorders>
            <w:shd w:val="clear" w:color="auto" w:fill="FFFFFF" w:themeFill="background1"/>
            <w:tcMar>
              <w:top w:w="57" w:type="dxa"/>
              <w:bottom w:w="57" w:type="dxa"/>
            </w:tcMar>
          </w:tcPr>
          <w:p w14:paraId="6C9A3BE1" w14:textId="77777777" w:rsidR="00FE14B5" w:rsidRPr="00FE14B5" w:rsidRDefault="00FE14B5" w:rsidP="00FE14B5">
            <w:pPr>
              <w:spacing w:after="0" w:line="240" w:lineRule="auto"/>
              <w:rPr>
                <w:rFonts w:cs="Arial"/>
              </w:rPr>
            </w:pPr>
            <w:r w:rsidRPr="00FE14B5">
              <w:rPr>
                <w:rFonts w:cs="Arial"/>
              </w:rPr>
              <w:t>Callsign of licensee</w:t>
            </w:r>
          </w:p>
        </w:tc>
        <w:tc>
          <w:tcPr>
            <w:tcW w:w="6095" w:type="dxa"/>
            <w:gridSpan w:val="4"/>
            <w:tcBorders>
              <w:left w:val="single" w:sz="4" w:space="0" w:color="auto"/>
              <w:right w:val="single" w:sz="4" w:space="0" w:color="auto"/>
            </w:tcBorders>
            <w:shd w:val="clear" w:color="auto" w:fill="FFFFFF" w:themeFill="background1"/>
            <w:tcMar>
              <w:top w:w="57" w:type="dxa"/>
              <w:bottom w:w="57" w:type="dxa"/>
            </w:tcMar>
          </w:tcPr>
          <w:p w14:paraId="73F8116F" w14:textId="77777777" w:rsidR="00FE14B5" w:rsidRPr="00FE14B5" w:rsidRDefault="00FE14B5" w:rsidP="00FE14B5">
            <w:pPr>
              <w:spacing w:after="0" w:line="240" w:lineRule="auto"/>
              <w:rPr>
                <w:rFonts w:cs="Arial"/>
              </w:rPr>
            </w:pPr>
            <w:r w:rsidRPr="00FE14B5">
              <w:rPr>
                <w:rFonts w:cs="Arial"/>
              </w:rPr>
              <w:t>6WSM</w:t>
            </w:r>
          </w:p>
        </w:tc>
      </w:tr>
      <w:tr w:rsidR="00FE14B5" w:rsidRPr="00FE14B5" w14:paraId="142C0772" w14:textId="77777777" w:rsidTr="00773CEF">
        <w:tc>
          <w:tcPr>
            <w:tcW w:w="2547" w:type="dxa"/>
            <w:tcBorders>
              <w:left w:val="single" w:sz="4" w:space="0" w:color="auto"/>
              <w:right w:val="single" w:sz="4" w:space="0" w:color="auto"/>
            </w:tcBorders>
            <w:shd w:val="clear" w:color="auto" w:fill="FFFFFF" w:themeFill="background1"/>
            <w:tcMar>
              <w:top w:w="57" w:type="dxa"/>
              <w:bottom w:w="57" w:type="dxa"/>
            </w:tcMar>
          </w:tcPr>
          <w:p w14:paraId="3A49568D" w14:textId="2EA4B44B" w:rsidR="00FE14B5" w:rsidRPr="00FE14B5" w:rsidRDefault="00FE14B5" w:rsidP="00FE14B5">
            <w:pPr>
              <w:spacing w:after="0" w:line="240" w:lineRule="auto"/>
              <w:rPr>
                <w:rFonts w:cs="Arial"/>
              </w:rPr>
            </w:pPr>
            <w:r w:rsidRPr="00FE14B5">
              <w:rPr>
                <w:rFonts w:cs="Arial"/>
              </w:rPr>
              <w:t>Area Served</w:t>
            </w:r>
          </w:p>
        </w:tc>
        <w:tc>
          <w:tcPr>
            <w:tcW w:w="6095" w:type="dxa"/>
            <w:gridSpan w:val="4"/>
            <w:tcBorders>
              <w:left w:val="single" w:sz="4" w:space="0" w:color="auto"/>
              <w:right w:val="single" w:sz="4" w:space="0" w:color="auto"/>
            </w:tcBorders>
            <w:shd w:val="clear" w:color="auto" w:fill="FFFFFF" w:themeFill="background1"/>
            <w:tcMar>
              <w:top w:w="57" w:type="dxa"/>
              <w:bottom w:w="57" w:type="dxa"/>
            </w:tcMar>
          </w:tcPr>
          <w:p w14:paraId="2A8A3BFC" w14:textId="77777777" w:rsidR="00FE14B5" w:rsidRPr="00FE14B5" w:rsidRDefault="00FE14B5" w:rsidP="00FE14B5">
            <w:pPr>
              <w:spacing w:after="0"/>
              <w:rPr>
                <w:rFonts w:cs="Arial"/>
                <w:szCs w:val="20"/>
              </w:rPr>
            </w:pPr>
            <w:r w:rsidRPr="00FE14B5">
              <w:rPr>
                <w:rFonts w:cs="Arial"/>
                <w:szCs w:val="20"/>
              </w:rPr>
              <w:t>Fremantle</w:t>
            </w:r>
          </w:p>
        </w:tc>
      </w:tr>
      <w:tr w:rsidR="00FE14B5" w:rsidRPr="00FE14B5" w14:paraId="24A3243A" w14:textId="77777777" w:rsidTr="00773CEF">
        <w:tc>
          <w:tcPr>
            <w:tcW w:w="2547" w:type="dxa"/>
            <w:tcBorders>
              <w:left w:val="single" w:sz="4" w:space="0" w:color="auto"/>
              <w:right w:val="single" w:sz="4" w:space="0" w:color="auto"/>
            </w:tcBorders>
            <w:shd w:val="clear" w:color="auto" w:fill="FFFFFF" w:themeFill="background1"/>
            <w:tcMar>
              <w:top w:w="57" w:type="dxa"/>
              <w:bottom w:w="57" w:type="dxa"/>
            </w:tcMar>
          </w:tcPr>
          <w:p w14:paraId="78264C2B" w14:textId="77777777" w:rsidR="00FE14B5" w:rsidRPr="00FE14B5" w:rsidRDefault="00FE14B5" w:rsidP="00FE14B5">
            <w:pPr>
              <w:spacing w:after="0" w:line="240" w:lineRule="auto"/>
              <w:rPr>
                <w:rFonts w:cs="Arial"/>
              </w:rPr>
            </w:pPr>
            <w:r w:rsidRPr="00FE14B5">
              <w:rPr>
                <w:rFonts w:cs="Arial"/>
              </w:rPr>
              <w:t>Nominal location</w:t>
            </w:r>
          </w:p>
        </w:tc>
        <w:tc>
          <w:tcPr>
            <w:tcW w:w="6095" w:type="dxa"/>
            <w:gridSpan w:val="4"/>
            <w:tcBorders>
              <w:left w:val="single" w:sz="4" w:space="0" w:color="auto"/>
              <w:right w:val="single" w:sz="4" w:space="0" w:color="auto"/>
            </w:tcBorders>
            <w:shd w:val="clear" w:color="auto" w:fill="FFFFFF" w:themeFill="background1"/>
            <w:tcMar>
              <w:top w:w="57" w:type="dxa"/>
              <w:bottom w:w="57" w:type="dxa"/>
            </w:tcMar>
          </w:tcPr>
          <w:p w14:paraId="704510D1" w14:textId="77777777" w:rsidR="00FE14B5" w:rsidRPr="00FE14B5" w:rsidRDefault="00FE14B5" w:rsidP="00FE14B5">
            <w:pPr>
              <w:spacing w:after="0"/>
              <w:rPr>
                <w:rFonts w:cs="Arial"/>
                <w:szCs w:val="20"/>
              </w:rPr>
            </w:pPr>
            <w:r w:rsidRPr="00FE14B5">
              <w:rPr>
                <w:rFonts w:cs="Arial"/>
                <w:szCs w:val="20"/>
              </w:rPr>
              <w:t>Community Radio Broadcast Site View Tce EAST FREMANTLE</w:t>
            </w:r>
          </w:p>
        </w:tc>
      </w:tr>
      <w:tr w:rsidR="00FE14B5" w:rsidRPr="00FE14B5" w14:paraId="77D8DDCF" w14:textId="77777777" w:rsidTr="00773CEF">
        <w:tc>
          <w:tcPr>
            <w:tcW w:w="2547" w:type="dxa"/>
            <w:tcBorders>
              <w:left w:val="single" w:sz="4" w:space="0" w:color="auto"/>
              <w:bottom w:val="single" w:sz="4" w:space="0" w:color="auto"/>
              <w:right w:val="single" w:sz="4" w:space="0" w:color="auto"/>
            </w:tcBorders>
            <w:tcMar>
              <w:top w:w="57" w:type="dxa"/>
              <w:bottom w:w="57" w:type="dxa"/>
            </w:tcMar>
          </w:tcPr>
          <w:p w14:paraId="21B19A1E" w14:textId="7FA5698C" w:rsidR="00FE14B5" w:rsidRPr="00FE14B5" w:rsidRDefault="00FE14B5" w:rsidP="00FE14B5">
            <w:pPr>
              <w:spacing w:after="0" w:line="240" w:lineRule="auto"/>
              <w:rPr>
                <w:rFonts w:cs="Arial"/>
              </w:rPr>
            </w:pPr>
            <w:r w:rsidRPr="00FE14B5">
              <w:rPr>
                <w:rFonts w:cs="Arial"/>
              </w:rPr>
              <w:t>RADCOM Site ID</w:t>
            </w:r>
          </w:p>
        </w:tc>
        <w:tc>
          <w:tcPr>
            <w:tcW w:w="6095" w:type="dxa"/>
            <w:gridSpan w:val="4"/>
            <w:tcBorders>
              <w:left w:val="single" w:sz="4" w:space="0" w:color="auto"/>
              <w:bottom w:val="single" w:sz="4" w:space="0" w:color="auto"/>
              <w:right w:val="single" w:sz="4" w:space="0" w:color="auto"/>
            </w:tcBorders>
            <w:tcMar>
              <w:top w:w="57" w:type="dxa"/>
              <w:bottom w:w="57" w:type="dxa"/>
            </w:tcMar>
          </w:tcPr>
          <w:p w14:paraId="35722A98" w14:textId="77777777" w:rsidR="00FE14B5" w:rsidRPr="00FE14B5" w:rsidRDefault="00FE14B5" w:rsidP="00FE14B5">
            <w:pPr>
              <w:spacing w:after="0"/>
              <w:rPr>
                <w:rFonts w:cs="Arial"/>
                <w:szCs w:val="20"/>
              </w:rPr>
            </w:pPr>
            <w:r w:rsidRPr="00FE14B5">
              <w:rPr>
                <w:rFonts w:cs="Arial"/>
                <w:szCs w:val="20"/>
              </w:rPr>
              <w:t>151225</w:t>
            </w:r>
          </w:p>
        </w:tc>
      </w:tr>
      <w:tr w:rsidR="00FE14B5" w:rsidRPr="00FE14B5" w14:paraId="5B9BD9E6" w14:textId="77777777" w:rsidTr="00773CEF">
        <w:tc>
          <w:tcPr>
            <w:tcW w:w="2547" w:type="dxa"/>
            <w:vMerge w:val="restart"/>
            <w:tcBorders>
              <w:left w:val="single" w:sz="4" w:space="0" w:color="auto"/>
              <w:right w:val="single" w:sz="4" w:space="0" w:color="auto"/>
            </w:tcBorders>
            <w:tcMar>
              <w:top w:w="57" w:type="dxa"/>
              <w:bottom w:w="57" w:type="dxa"/>
            </w:tcMar>
          </w:tcPr>
          <w:p w14:paraId="55C2512C" w14:textId="07CF2AEE" w:rsidR="00FE14B5" w:rsidRPr="00FE14B5" w:rsidRDefault="00FE14B5" w:rsidP="00FE14B5">
            <w:pPr>
              <w:spacing w:after="0" w:line="240" w:lineRule="auto"/>
              <w:rPr>
                <w:rFonts w:cs="Arial"/>
              </w:rPr>
            </w:pPr>
            <w:r w:rsidRPr="00FE14B5">
              <w:rPr>
                <w:rFonts w:cs="Arial"/>
              </w:rPr>
              <w:t>Coordinates Information</w:t>
            </w:r>
          </w:p>
        </w:tc>
        <w:tc>
          <w:tcPr>
            <w:tcW w:w="2693" w:type="dxa"/>
            <w:gridSpan w:val="2"/>
            <w:tcBorders>
              <w:left w:val="single" w:sz="4" w:space="0" w:color="auto"/>
              <w:bottom w:val="single" w:sz="4" w:space="0" w:color="auto"/>
              <w:right w:val="single" w:sz="4" w:space="0" w:color="auto"/>
            </w:tcBorders>
            <w:tcMar>
              <w:top w:w="57" w:type="dxa"/>
              <w:bottom w:w="57" w:type="dxa"/>
            </w:tcMar>
          </w:tcPr>
          <w:p w14:paraId="1AB0F24F" w14:textId="77777777" w:rsidR="00FE14B5" w:rsidRPr="00FE14B5" w:rsidRDefault="00FE14B5" w:rsidP="00FE14B5">
            <w:pPr>
              <w:spacing w:after="0" w:line="240" w:lineRule="auto"/>
              <w:rPr>
                <w:rFonts w:cs="Arial"/>
              </w:rPr>
            </w:pPr>
            <w:r w:rsidRPr="00FE14B5">
              <w:rPr>
                <w:rFonts w:cs="Arial"/>
              </w:rPr>
              <w:t>Latitude (GDA94)</w:t>
            </w:r>
          </w:p>
          <w:p w14:paraId="114C74B4" w14:textId="77777777" w:rsidR="00FE14B5" w:rsidRPr="00FE14B5" w:rsidRDefault="00FE14B5" w:rsidP="00FE14B5">
            <w:pPr>
              <w:spacing w:after="0"/>
              <w:rPr>
                <w:rFonts w:cs="Arial"/>
                <w:szCs w:val="20"/>
              </w:rPr>
            </w:pPr>
            <w:r w:rsidRPr="00FE14B5">
              <w:rPr>
                <w:rFonts w:cs="Arial"/>
                <w:szCs w:val="20"/>
              </w:rPr>
              <w:t>-32.03327</w:t>
            </w:r>
          </w:p>
        </w:tc>
        <w:tc>
          <w:tcPr>
            <w:tcW w:w="3402" w:type="dxa"/>
            <w:gridSpan w:val="2"/>
            <w:tcBorders>
              <w:left w:val="single" w:sz="4" w:space="0" w:color="auto"/>
              <w:bottom w:val="single" w:sz="4" w:space="0" w:color="auto"/>
              <w:right w:val="single" w:sz="4" w:space="0" w:color="auto"/>
            </w:tcBorders>
            <w:tcMar>
              <w:top w:w="57" w:type="dxa"/>
              <w:bottom w:w="57" w:type="dxa"/>
            </w:tcMar>
          </w:tcPr>
          <w:p w14:paraId="3D25D31D" w14:textId="77777777" w:rsidR="00FE14B5" w:rsidRPr="00FE14B5" w:rsidRDefault="00FE14B5" w:rsidP="00FE14B5">
            <w:pPr>
              <w:spacing w:after="0" w:line="240" w:lineRule="auto"/>
              <w:rPr>
                <w:rFonts w:cs="Arial"/>
              </w:rPr>
            </w:pPr>
            <w:r w:rsidRPr="00FE14B5">
              <w:rPr>
                <w:rFonts w:cs="Arial"/>
              </w:rPr>
              <w:t>Longitude (GDA94)</w:t>
            </w:r>
          </w:p>
          <w:p w14:paraId="6F20E270" w14:textId="77777777" w:rsidR="00FE14B5" w:rsidRPr="00FE14B5" w:rsidRDefault="00FE14B5" w:rsidP="00FE14B5">
            <w:pPr>
              <w:spacing w:after="0"/>
              <w:rPr>
                <w:rFonts w:cs="Arial"/>
                <w:szCs w:val="20"/>
              </w:rPr>
            </w:pPr>
            <w:r w:rsidRPr="00FE14B5">
              <w:rPr>
                <w:rFonts w:cs="Arial"/>
                <w:szCs w:val="20"/>
              </w:rPr>
              <w:t>115.77060</w:t>
            </w:r>
          </w:p>
        </w:tc>
      </w:tr>
      <w:tr w:rsidR="00FE14B5" w:rsidRPr="00FE14B5" w14:paraId="6F4CCB12" w14:textId="77777777" w:rsidTr="00773CEF">
        <w:tc>
          <w:tcPr>
            <w:tcW w:w="2547" w:type="dxa"/>
            <w:vMerge/>
            <w:tcBorders>
              <w:left w:val="single" w:sz="4" w:space="0" w:color="auto"/>
              <w:right w:val="single" w:sz="4" w:space="0" w:color="auto"/>
            </w:tcBorders>
            <w:shd w:val="clear" w:color="auto" w:fill="FFFFFF" w:themeFill="background1"/>
            <w:tcMar>
              <w:top w:w="57" w:type="dxa"/>
              <w:bottom w:w="57" w:type="dxa"/>
            </w:tcMar>
          </w:tcPr>
          <w:p w14:paraId="05032619" w14:textId="77777777" w:rsidR="00FE14B5" w:rsidRPr="00FE14B5" w:rsidRDefault="00FE14B5" w:rsidP="00FE14B5">
            <w:pPr>
              <w:spacing w:after="0" w:line="240" w:lineRule="auto"/>
              <w:rPr>
                <w:rFonts w:cs="Arial"/>
              </w:rPr>
            </w:pPr>
          </w:p>
        </w:tc>
        <w:tc>
          <w:tcPr>
            <w:tcW w:w="1978" w:type="dxa"/>
            <w:tcBorders>
              <w:left w:val="single" w:sz="4" w:space="0" w:color="auto"/>
              <w:right w:val="single" w:sz="4" w:space="0" w:color="auto"/>
            </w:tcBorders>
            <w:shd w:val="clear" w:color="auto" w:fill="FFFFFF" w:themeFill="background1"/>
            <w:tcMar>
              <w:top w:w="57" w:type="dxa"/>
              <w:bottom w:w="57" w:type="dxa"/>
            </w:tcMar>
          </w:tcPr>
          <w:p w14:paraId="64D942E1" w14:textId="77777777" w:rsidR="00FE14B5" w:rsidRPr="00FE14B5" w:rsidRDefault="00FE14B5" w:rsidP="00FE14B5">
            <w:pPr>
              <w:spacing w:after="0" w:line="240" w:lineRule="auto"/>
              <w:rPr>
                <w:rFonts w:cs="Arial"/>
              </w:rPr>
            </w:pPr>
            <w:r w:rsidRPr="00FE14B5">
              <w:rPr>
                <w:rFonts w:cs="Arial"/>
              </w:rPr>
              <w:t>Zone (AMG66)</w:t>
            </w:r>
          </w:p>
          <w:p w14:paraId="7DE79B9C" w14:textId="77777777" w:rsidR="00FE14B5" w:rsidRPr="00FE14B5" w:rsidRDefault="00FE14B5" w:rsidP="00FE14B5">
            <w:pPr>
              <w:spacing w:after="0" w:line="240" w:lineRule="auto"/>
              <w:rPr>
                <w:rFonts w:cs="Arial"/>
              </w:rPr>
            </w:pPr>
            <w:r w:rsidRPr="00FE14B5">
              <w:rPr>
                <w:rFonts w:cs="Arial"/>
              </w:rPr>
              <w:t>50</w:t>
            </w:r>
          </w:p>
        </w:tc>
        <w:tc>
          <w:tcPr>
            <w:tcW w:w="1775" w:type="dxa"/>
            <w:gridSpan w:val="2"/>
            <w:tcBorders>
              <w:left w:val="single" w:sz="4" w:space="0" w:color="auto"/>
              <w:right w:val="single" w:sz="4" w:space="0" w:color="auto"/>
            </w:tcBorders>
            <w:shd w:val="clear" w:color="auto" w:fill="FFFFFF" w:themeFill="background1"/>
            <w:tcMar>
              <w:top w:w="57" w:type="dxa"/>
              <w:bottom w:w="57" w:type="dxa"/>
            </w:tcMar>
          </w:tcPr>
          <w:p w14:paraId="3949A2C3" w14:textId="77777777" w:rsidR="00FE14B5" w:rsidRPr="00FE14B5" w:rsidRDefault="00FE14B5" w:rsidP="00FE14B5">
            <w:pPr>
              <w:spacing w:after="0" w:line="240" w:lineRule="auto"/>
              <w:rPr>
                <w:rFonts w:cs="Arial"/>
              </w:rPr>
            </w:pPr>
            <w:r w:rsidRPr="00FE14B5">
              <w:rPr>
                <w:rFonts w:cs="Arial"/>
              </w:rPr>
              <w:t>Easting (AMG66)</w:t>
            </w:r>
          </w:p>
          <w:p w14:paraId="58F5ECAD" w14:textId="77777777" w:rsidR="00FE14B5" w:rsidRPr="00FE14B5" w:rsidRDefault="00FE14B5" w:rsidP="00FE14B5">
            <w:pPr>
              <w:spacing w:after="0"/>
              <w:rPr>
                <w:rFonts w:cs="Arial"/>
                <w:szCs w:val="20"/>
              </w:rPr>
            </w:pPr>
            <w:r w:rsidRPr="00FE14B5">
              <w:rPr>
                <w:rFonts w:cs="Arial"/>
                <w:szCs w:val="20"/>
              </w:rPr>
              <w:t>383775</w:t>
            </w:r>
          </w:p>
        </w:tc>
        <w:tc>
          <w:tcPr>
            <w:tcW w:w="2342" w:type="dxa"/>
            <w:tcBorders>
              <w:left w:val="single" w:sz="4" w:space="0" w:color="auto"/>
              <w:right w:val="single" w:sz="4" w:space="0" w:color="auto"/>
            </w:tcBorders>
            <w:shd w:val="clear" w:color="auto" w:fill="FFFFFF" w:themeFill="background1"/>
            <w:tcMar>
              <w:top w:w="57" w:type="dxa"/>
              <w:bottom w:w="57" w:type="dxa"/>
            </w:tcMar>
          </w:tcPr>
          <w:p w14:paraId="6D85A0E1" w14:textId="77777777" w:rsidR="00FE14B5" w:rsidRPr="00FE14B5" w:rsidRDefault="00FE14B5" w:rsidP="00FE14B5">
            <w:pPr>
              <w:spacing w:after="0" w:line="240" w:lineRule="auto"/>
              <w:rPr>
                <w:rFonts w:cs="Arial"/>
              </w:rPr>
            </w:pPr>
            <w:r w:rsidRPr="00FE14B5">
              <w:rPr>
                <w:rFonts w:cs="Arial"/>
              </w:rPr>
              <w:t>Northing (AMG66)</w:t>
            </w:r>
          </w:p>
          <w:p w14:paraId="3A79D77E" w14:textId="77777777" w:rsidR="00FE14B5" w:rsidRPr="00FE14B5" w:rsidRDefault="00FE14B5" w:rsidP="00FE14B5">
            <w:pPr>
              <w:spacing w:after="0"/>
              <w:rPr>
                <w:rFonts w:cs="Arial"/>
                <w:szCs w:val="20"/>
              </w:rPr>
            </w:pPr>
            <w:r w:rsidRPr="00FE14B5">
              <w:rPr>
                <w:rFonts w:cs="Arial"/>
                <w:szCs w:val="20"/>
              </w:rPr>
              <w:t>6455070</w:t>
            </w:r>
          </w:p>
        </w:tc>
      </w:tr>
      <w:tr w:rsidR="00FE14B5" w:rsidRPr="00FE14B5" w14:paraId="4DD6D584" w14:textId="77777777" w:rsidTr="00773CEF">
        <w:tc>
          <w:tcPr>
            <w:tcW w:w="2547" w:type="dxa"/>
            <w:tcBorders>
              <w:left w:val="single" w:sz="4" w:space="0" w:color="auto"/>
              <w:right w:val="single" w:sz="4" w:space="0" w:color="auto"/>
            </w:tcBorders>
            <w:shd w:val="clear" w:color="auto" w:fill="FFFFFF" w:themeFill="background1"/>
            <w:tcMar>
              <w:top w:w="57" w:type="dxa"/>
              <w:bottom w:w="57" w:type="dxa"/>
            </w:tcMar>
          </w:tcPr>
          <w:p w14:paraId="70176A9F" w14:textId="77777777" w:rsidR="00FE14B5" w:rsidRPr="00FE14B5" w:rsidRDefault="00FE14B5" w:rsidP="00FE14B5">
            <w:pPr>
              <w:spacing w:after="0" w:line="240" w:lineRule="auto"/>
              <w:rPr>
                <w:rFonts w:cs="Arial"/>
              </w:rPr>
            </w:pPr>
            <w:r w:rsidRPr="00FE14B5">
              <w:rPr>
                <w:rFonts w:cs="Arial"/>
              </w:rPr>
              <w:t>Frequency</w:t>
            </w:r>
          </w:p>
        </w:tc>
        <w:tc>
          <w:tcPr>
            <w:tcW w:w="6095" w:type="dxa"/>
            <w:gridSpan w:val="4"/>
            <w:tcBorders>
              <w:left w:val="single" w:sz="4" w:space="0" w:color="auto"/>
              <w:right w:val="single" w:sz="4" w:space="0" w:color="auto"/>
            </w:tcBorders>
            <w:shd w:val="clear" w:color="auto" w:fill="FFFFFF" w:themeFill="background1"/>
            <w:tcMar>
              <w:top w:w="57" w:type="dxa"/>
              <w:bottom w:w="57" w:type="dxa"/>
            </w:tcMar>
          </w:tcPr>
          <w:p w14:paraId="4D6243FB" w14:textId="77777777" w:rsidR="00FE14B5" w:rsidRPr="00FE14B5" w:rsidRDefault="00FE14B5" w:rsidP="00FE14B5">
            <w:pPr>
              <w:spacing w:after="0" w:line="240" w:lineRule="auto"/>
              <w:rPr>
                <w:rFonts w:cs="Arial"/>
                <w:b/>
              </w:rPr>
            </w:pPr>
            <w:r w:rsidRPr="00FE14B5">
              <w:rPr>
                <w:rFonts w:cs="Arial"/>
                <w:b/>
                <w:color w:val="FF0000"/>
              </w:rPr>
              <w:t xml:space="preserve">107.0 MHz </w:t>
            </w:r>
          </w:p>
        </w:tc>
      </w:tr>
      <w:tr w:rsidR="00FE14B5" w:rsidRPr="00FE14B5" w14:paraId="042B0C80" w14:textId="77777777" w:rsidTr="00773CEF">
        <w:tc>
          <w:tcPr>
            <w:tcW w:w="2547" w:type="dxa"/>
            <w:vMerge w:val="restart"/>
            <w:tcBorders>
              <w:left w:val="single" w:sz="4" w:space="0" w:color="auto"/>
              <w:right w:val="single" w:sz="4" w:space="0" w:color="auto"/>
            </w:tcBorders>
            <w:tcMar>
              <w:top w:w="57" w:type="dxa"/>
              <w:bottom w:w="57" w:type="dxa"/>
            </w:tcMar>
          </w:tcPr>
          <w:p w14:paraId="45CA00EB" w14:textId="77777777" w:rsidR="00FE14B5" w:rsidRPr="00FE14B5" w:rsidRDefault="00FE14B5" w:rsidP="00FE14B5">
            <w:pPr>
              <w:spacing w:after="0" w:line="240" w:lineRule="auto"/>
              <w:rPr>
                <w:rFonts w:cs="Arial"/>
              </w:rPr>
            </w:pPr>
            <w:r w:rsidRPr="00FE14B5">
              <w:rPr>
                <w:rFonts w:cs="Arial"/>
              </w:rPr>
              <w:t>Maximum ERP and Radiation Pattern</w:t>
            </w:r>
          </w:p>
        </w:tc>
        <w:tc>
          <w:tcPr>
            <w:tcW w:w="2693" w:type="dxa"/>
            <w:gridSpan w:val="2"/>
            <w:tcBorders>
              <w:left w:val="single" w:sz="4" w:space="0" w:color="auto"/>
              <w:bottom w:val="single" w:sz="4" w:space="0" w:color="auto"/>
              <w:right w:val="single" w:sz="4" w:space="0" w:color="auto"/>
            </w:tcBorders>
            <w:tcMar>
              <w:top w:w="57" w:type="dxa"/>
              <w:bottom w:w="57" w:type="dxa"/>
            </w:tcMar>
          </w:tcPr>
          <w:p w14:paraId="71921AA6" w14:textId="59AEC950" w:rsidR="00FE14B5" w:rsidRPr="00FE14B5" w:rsidRDefault="00FE14B5" w:rsidP="00FE14B5">
            <w:pPr>
              <w:spacing w:after="0" w:line="240" w:lineRule="auto"/>
              <w:rPr>
                <w:rFonts w:cs="Arial"/>
              </w:rPr>
            </w:pPr>
            <w:r w:rsidRPr="00FE14B5">
              <w:rPr>
                <w:rFonts w:cs="Arial"/>
              </w:rPr>
              <w:t>Azimuth Bearing (clockwise direction)</w:t>
            </w:r>
          </w:p>
        </w:tc>
        <w:tc>
          <w:tcPr>
            <w:tcW w:w="3402" w:type="dxa"/>
            <w:gridSpan w:val="2"/>
            <w:tcBorders>
              <w:left w:val="single" w:sz="4" w:space="0" w:color="auto"/>
              <w:bottom w:val="single" w:sz="4" w:space="0" w:color="auto"/>
              <w:right w:val="single" w:sz="4" w:space="0" w:color="auto"/>
            </w:tcBorders>
            <w:tcMar>
              <w:top w:w="57" w:type="dxa"/>
              <w:bottom w:w="57" w:type="dxa"/>
            </w:tcMar>
          </w:tcPr>
          <w:p w14:paraId="0D1545FF" w14:textId="77777777" w:rsidR="00FE14B5" w:rsidRPr="00FE14B5" w:rsidRDefault="00FE14B5" w:rsidP="00FE14B5">
            <w:pPr>
              <w:spacing w:after="0" w:line="240" w:lineRule="auto"/>
              <w:rPr>
                <w:rFonts w:cs="Arial"/>
              </w:rPr>
            </w:pPr>
            <w:r w:rsidRPr="00FE14B5">
              <w:rPr>
                <w:rFonts w:cs="Arial"/>
              </w:rPr>
              <w:t>Maximum ERP</w:t>
            </w:r>
          </w:p>
        </w:tc>
      </w:tr>
      <w:tr w:rsidR="00FE14B5" w:rsidRPr="00FE14B5" w14:paraId="7E5740FB" w14:textId="77777777" w:rsidTr="00773CEF">
        <w:tc>
          <w:tcPr>
            <w:tcW w:w="2547" w:type="dxa"/>
            <w:vMerge/>
            <w:tcBorders>
              <w:left w:val="single" w:sz="4" w:space="0" w:color="auto"/>
              <w:right w:val="single" w:sz="4" w:space="0" w:color="auto"/>
            </w:tcBorders>
            <w:tcMar>
              <w:top w:w="57" w:type="dxa"/>
              <w:bottom w:w="57" w:type="dxa"/>
            </w:tcMar>
          </w:tcPr>
          <w:p w14:paraId="028B3B35" w14:textId="77777777" w:rsidR="00FE14B5" w:rsidRPr="00FE14B5" w:rsidRDefault="00FE14B5" w:rsidP="00FE14B5">
            <w:pPr>
              <w:spacing w:after="0" w:line="240" w:lineRule="auto"/>
              <w:rPr>
                <w:rFonts w:cs="Arial"/>
              </w:rPr>
            </w:pPr>
          </w:p>
        </w:tc>
        <w:tc>
          <w:tcPr>
            <w:tcW w:w="2693" w:type="dxa"/>
            <w:gridSpan w:val="2"/>
            <w:tcBorders>
              <w:left w:val="single" w:sz="4" w:space="0" w:color="auto"/>
              <w:bottom w:val="single" w:sz="4" w:space="0" w:color="auto"/>
              <w:right w:val="single" w:sz="4" w:space="0" w:color="auto"/>
            </w:tcBorders>
            <w:tcMar>
              <w:top w:w="57" w:type="dxa"/>
              <w:bottom w:w="57" w:type="dxa"/>
            </w:tcMar>
          </w:tcPr>
          <w:p w14:paraId="326B1647" w14:textId="77777777" w:rsidR="00FE14B5" w:rsidRPr="00FE14B5" w:rsidRDefault="00FE14B5" w:rsidP="00660F76">
            <w:pPr>
              <w:spacing w:after="0"/>
              <w:rPr>
                <w:rFonts w:cs="Arial"/>
                <w:szCs w:val="20"/>
              </w:rPr>
            </w:pPr>
            <w:r w:rsidRPr="00FE14B5">
              <w:rPr>
                <w:rFonts w:cs="Arial"/>
                <w:szCs w:val="20"/>
              </w:rPr>
              <w:t>At all angles of azimuth</w:t>
            </w:r>
          </w:p>
        </w:tc>
        <w:tc>
          <w:tcPr>
            <w:tcW w:w="3402" w:type="dxa"/>
            <w:gridSpan w:val="2"/>
            <w:tcBorders>
              <w:left w:val="single" w:sz="4" w:space="0" w:color="auto"/>
              <w:bottom w:val="single" w:sz="4" w:space="0" w:color="auto"/>
              <w:right w:val="single" w:sz="4" w:space="0" w:color="auto"/>
            </w:tcBorders>
            <w:tcMar>
              <w:top w:w="57" w:type="dxa"/>
              <w:bottom w:w="57" w:type="dxa"/>
            </w:tcMar>
          </w:tcPr>
          <w:p w14:paraId="51427A36" w14:textId="77777777" w:rsidR="00FE14B5" w:rsidRPr="00FE14B5" w:rsidRDefault="00FE14B5" w:rsidP="00FE14B5">
            <w:pPr>
              <w:tabs>
                <w:tab w:val="right" w:pos="1309"/>
              </w:tabs>
              <w:spacing w:after="0" w:line="240" w:lineRule="auto"/>
              <w:rPr>
                <w:rFonts w:cs="Arial"/>
                <w:b/>
              </w:rPr>
            </w:pPr>
            <w:r w:rsidRPr="00FE14B5">
              <w:rPr>
                <w:rFonts w:cs="Arial"/>
              </w:rPr>
              <w:tab/>
            </w:r>
            <w:r w:rsidRPr="00FE14B5">
              <w:rPr>
                <w:rFonts w:cs="Arial"/>
                <w:b/>
                <w:color w:val="FF0000"/>
              </w:rPr>
              <w:t>600 W</w:t>
            </w:r>
          </w:p>
        </w:tc>
      </w:tr>
      <w:tr w:rsidR="00FE14B5" w:rsidRPr="00FE14B5" w14:paraId="23307E24" w14:textId="77777777" w:rsidTr="00773CEF">
        <w:tc>
          <w:tcPr>
            <w:tcW w:w="2547" w:type="dxa"/>
            <w:tcBorders>
              <w:left w:val="single" w:sz="4" w:space="0" w:color="auto"/>
              <w:right w:val="single" w:sz="4" w:space="0" w:color="auto"/>
            </w:tcBorders>
            <w:shd w:val="clear" w:color="auto" w:fill="FFFFFF" w:themeFill="background1"/>
            <w:tcMar>
              <w:top w:w="57" w:type="dxa"/>
              <w:bottom w:w="57" w:type="dxa"/>
            </w:tcMar>
          </w:tcPr>
          <w:p w14:paraId="7464D571" w14:textId="77777777" w:rsidR="00FE14B5" w:rsidRPr="00FE14B5" w:rsidRDefault="00FE14B5" w:rsidP="00FE14B5">
            <w:pPr>
              <w:spacing w:after="0" w:line="240" w:lineRule="auto"/>
              <w:rPr>
                <w:rFonts w:cs="Arial"/>
              </w:rPr>
            </w:pPr>
            <w:r w:rsidRPr="00FE14B5">
              <w:rPr>
                <w:rFonts w:cs="Arial"/>
              </w:rPr>
              <w:t>Polarisation</w:t>
            </w:r>
          </w:p>
        </w:tc>
        <w:tc>
          <w:tcPr>
            <w:tcW w:w="6095" w:type="dxa"/>
            <w:gridSpan w:val="4"/>
            <w:tcBorders>
              <w:left w:val="single" w:sz="4" w:space="0" w:color="auto"/>
              <w:right w:val="single" w:sz="4" w:space="0" w:color="auto"/>
            </w:tcBorders>
            <w:shd w:val="clear" w:color="auto" w:fill="FFFFFF" w:themeFill="background1"/>
            <w:tcMar>
              <w:top w:w="57" w:type="dxa"/>
              <w:bottom w:w="57" w:type="dxa"/>
            </w:tcMar>
          </w:tcPr>
          <w:p w14:paraId="5B5D3E6B" w14:textId="77777777" w:rsidR="00FE14B5" w:rsidRPr="00FE14B5" w:rsidRDefault="00FE14B5" w:rsidP="00FE14B5">
            <w:pPr>
              <w:spacing w:after="0" w:line="240" w:lineRule="auto"/>
              <w:rPr>
                <w:rFonts w:cs="Arial"/>
              </w:rPr>
            </w:pPr>
            <w:r w:rsidRPr="00FE14B5">
              <w:rPr>
                <w:rFonts w:cs="Arial"/>
              </w:rPr>
              <w:t>Vertical</w:t>
            </w:r>
          </w:p>
        </w:tc>
      </w:tr>
      <w:tr w:rsidR="00FE14B5" w:rsidRPr="00FE14B5" w14:paraId="5D311125" w14:textId="77777777" w:rsidTr="00773CEF">
        <w:tc>
          <w:tcPr>
            <w:tcW w:w="2547" w:type="dxa"/>
            <w:tcBorders>
              <w:left w:val="single" w:sz="4" w:space="0" w:color="auto"/>
              <w:right w:val="single" w:sz="4" w:space="0" w:color="auto"/>
            </w:tcBorders>
            <w:shd w:val="clear" w:color="auto" w:fill="auto"/>
            <w:tcMar>
              <w:top w:w="57" w:type="dxa"/>
              <w:bottom w:w="57" w:type="dxa"/>
            </w:tcMar>
          </w:tcPr>
          <w:p w14:paraId="1663FACE" w14:textId="10744941" w:rsidR="00FE14B5" w:rsidRPr="00FE14B5" w:rsidRDefault="00FE14B5" w:rsidP="00FE14B5">
            <w:pPr>
              <w:spacing w:after="0" w:line="240" w:lineRule="auto"/>
              <w:rPr>
                <w:rFonts w:cs="Arial"/>
              </w:rPr>
            </w:pPr>
            <w:r w:rsidRPr="00FE14B5">
              <w:rPr>
                <w:rFonts w:cs="Arial"/>
              </w:rPr>
              <w:t>Maximum Antenna Height</w:t>
            </w:r>
          </w:p>
        </w:tc>
        <w:tc>
          <w:tcPr>
            <w:tcW w:w="6095" w:type="dxa"/>
            <w:gridSpan w:val="4"/>
            <w:tcBorders>
              <w:left w:val="single" w:sz="4" w:space="0" w:color="auto"/>
              <w:right w:val="single" w:sz="4" w:space="0" w:color="auto"/>
            </w:tcBorders>
            <w:shd w:val="clear" w:color="auto" w:fill="auto"/>
            <w:tcMar>
              <w:top w:w="57" w:type="dxa"/>
              <w:bottom w:w="57" w:type="dxa"/>
            </w:tcMar>
          </w:tcPr>
          <w:p w14:paraId="14996E81" w14:textId="77777777" w:rsidR="00FE14B5" w:rsidRPr="00FE14B5" w:rsidRDefault="00FE14B5" w:rsidP="00FE14B5">
            <w:pPr>
              <w:spacing w:after="0" w:line="240" w:lineRule="auto"/>
              <w:rPr>
                <w:rFonts w:cs="Arial"/>
              </w:rPr>
            </w:pPr>
            <w:r w:rsidRPr="00FE14B5">
              <w:rPr>
                <w:rFonts w:cs="Arial"/>
              </w:rPr>
              <w:t>20 metres</w:t>
            </w:r>
          </w:p>
        </w:tc>
      </w:tr>
      <w:tr w:rsidR="00FE14B5" w:rsidRPr="00FE14B5" w14:paraId="09BC1E59" w14:textId="77777777" w:rsidTr="00773CEF">
        <w:tc>
          <w:tcPr>
            <w:tcW w:w="2547" w:type="dxa"/>
            <w:tcBorders>
              <w:left w:val="single" w:sz="4" w:space="0" w:color="auto"/>
              <w:right w:val="single" w:sz="4" w:space="0" w:color="auto"/>
            </w:tcBorders>
            <w:shd w:val="clear" w:color="auto" w:fill="FFFFFF" w:themeFill="background1"/>
            <w:tcMar>
              <w:top w:w="57" w:type="dxa"/>
              <w:bottom w:w="57" w:type="dxa"/>
            </w:tcMar>
          </w:tcPr>
          <w:p w14:paraId="3E6BA0D1" w14:textId="582B0034" w:rsidR="00FE14B5" w:rsidRPr="00FE14B5" w:rsidRDefault="00FE14B5" w:rsidP="00FE14B5">
            <w:pPr>
              <w:spacing w:after="0" w:line="240" w:lineRule="auto"/>
              <w:rPr>
                <w:rFonts w:cs="Arial"/>
              </w:rPr>
            </w:pPr>
            <w:r w:rsidRPr="00FE14B5">
              <w:rPr>
                <w:rFonts w:cs="Arial"/>
              </w:rPr>
              <w:t>Special Conditions/</w:t>
            </w:r>
          </w:p>
          <w:p w14:paraId="42054CBD" w14:textId="04B3B092" w:rsidR="00FE14B5" w:rsidRPr="00FE14B5" w:rsidRDefault="00FE14B5" w:rsidP="00FE14B5">
            <w:pPr>
              <w:spacing w:after="0" w:line="240" w:lineRule="auto"/>
              <w:rPr>
                <w:rFonts w:cs="Arial"/>
              </w:rPr>
            </w:pPr>
            <w:r w:rsidRPr="00FE14B5">
              <w:rPr>
                <w:rFonts w:cs="Arial"/>
              </w:rPr>
              <w:t>Advisory Notes</w:t>
            </w:r>
          </w:p>
        </w:tc>
        <w:tc>
          <w:tcPr>
            <w:tcW w:w="6095" w:type="dxa"/>
            <w:gridSpan w:val="4"/>
            <w:tcBorders>
              <w:left w:val="single" w:sz="4" w:space="0" w:color="auto"/>
              <w:right w:val="single" w:sz="4" w:space="0" w:color="auto"/>
            </w:tcBorders>
            <w:shd w:val="clear" w:color="auto" w:fill="FFFFFF" w:themeFill="background1"/>
            <w:tcMar>
              <w:top w:w="57" w:type="dxa"/>
              <w:bottom w:w="57" w:type="dxa"/>
            </w:tcMar>
          </w:tcPr>
          <w:p w14:paraId="605DCE31" w14:textId="77777777" w:rsidR="00FE14B5" w:rsidRPr="00FE14B5" w:rsidRDefault="00FE14B5" w:rsidP="00513918">
            <w:pPr>
              <w:suppressAutoHyphens/>
              <w:spacing w:after="0" w:line="280" w:lineRule="atLeast"/>
              <w:rPr>
                <w:rFonts w:cs="Arial"/>
                <w:b/>
                <w:snapToGrid w:val="0"/>
                <w:szCs w:val="20"/>
                <w:lang w:eastAsia="en-US"/>
              </w:rPr>
            </w:pPr>
            <w:r w:rsidRPr="00FE14B5">
              <w:rPr>
                <w:rFonts w:cs="Arial"/>
                <w:snapToGrid w:val="0"/>
                <w:color w:val="FF0000"/>
                <w:szCs w:val="20"/>
                <w:lang w:eastAsia="en-US"/>
              </w:rPr>
              <w:t>None</w:t>
            </w:r>
            <w:r w:rsidRPr="00FE14B5">
              <w:rPr>
                <w:rFonts w:cs="Arial"/>
                <w:b/>
                <w:snapToGrid w:val="0"/>
                <w:color w:val="FF0000"/>
                <w:szCs w:val="20"/>
                <w:lang w:eastAsia="en-US"/>
              </w:rPr>
              <w:t xml:space="preserve"> </w:t>
            </w:r>
          </w:p>
        </w:tc>
      </w:tr>
    </w:tbl>
    <w:p w14:paraId="10E4E911" w14:textId="77777777" w:rsidR="00FE14B5" w:rsidRPr="00FE14B5" w:rsidRDefault="00FE14B5" w:rsidP="00FE14B5">
      <w:pPr>
        <w:spacing w:before="120" w:after="120" w:line="240" w:lineRule="auto"/>
        <w:rPr>
          <w:sz w:val="12"/>
          <w:szCs w:val="12"/>
          <w:highlight w:val="yellow"/>
        </w:rPr>
      </w:pPr>
    </w:p>
    <w:p w14:paraId="38CDF583" w14:textId="77777777" w:rsidR="00FE14B5" w:rsidRPr="00FE14B5" w:rsidRDefault="00FE14B5" w:rsidP="00FE14B5">
      <w:pPr>
        <w:spacing w:after="0"/>
        <w:rPr>
          <w:sz w:val="12"/>
          <w:szCs w:val="12"/>
          <w:highlight w:val="yellow"/>
        </w:rPr>
      </w:pPr>
      <w:r w:rsidRPr="00FE14B5">
        <w:rPr>
          <w:sz w:val="12"/>
          <w:szCs w:val="12"/>
          <w:highlight w:val="yellow"/>
        </w:rPr>
        <w:br w:type="page"/>
      </w:r>
    </w:p>
    <w:tbl>
      <w:tblPr>
        <w:tblpPr w:leftFromText="180" w:rightFromText="180" w:vertAnchor="text" w:tblpY="1"/>
        <w:tblOverlap w:val="never"/>
        <w:tblW w:w="8642" w:type="dxa"/>
        <w:tblBorders>
          <w:top w:val="single" w:sz="4" w:space="0" w:color="auto"/>
          <w:bottom w:val="single" w:sz="4" w:space="0" w:color="auto"/>
          <w:insideH w:val="single" w:sz="4" w:space="0" w:color="auto"/>
        </w:tblBorders>
        <w:tblLayout w:type="fixed"/>
        <w:tblCellMar>
          <w:top w:w="85" w:type="dxa"/>
          <w:left w:w="85" w:type="dxa"/>
          <w:bottom w:w="85" w:type="dxa"/>
          <w:right w:w="85" w:type="dxa"/>
        </w:tblCellMar>
        <w:tblLook w:val="01E0" w:firstRow="1" w:lastRow="1" w:firstColumn="1" w:lastColumn="1" w:noHBand="0" w:noVBand="0"/>
        <w:tblCaption w:val="Table title to go here"/>
        <w:tblDescription w:val="Table description to go here"/>
      </w:tblPr>
      <w:tblGrid>
        <w:gridCol w:w="2547"/>
        <w:gridCol w:w="1978"/>
        <w:gridCol w:w="715"/>
        <w:gridCol w:w="1060"/>
        <w:gridCol w:w="2342"/>
      </w:tblGrid>
      <w:tr w:rsidR="00773CEF" w:rsidRPr="00FE14B5" w14:paraId="79689A58" w14:textId="77777777" w:rsidTr="00773CEF">
        <w:tc>
          <w:tcPr>
            <w:tcW w:w="2547" w:type="dxa"/>
            <w:tcBorders>
              <w:left w:val="single" w:sz="4" w:space="0" w:color="auto"/>
              <w:right w:val="single" w:sz="4" w:space="0" w:color="auto"/>
            </w:tcBorders>
            <w:shd w:val="clear" w:color="auto" w:fill="FFFFFF" w:themeFill="background1"/>
            <w:tcMar>
              <w:top w:w="57" w:type="dxa"/>
              <w:bottom w:w="57" w:type="dxa"/>
            </w:tcMar>
          </w:tcPr>
          <w:p w14:paraId="4CDAA043" w14:textId="77777777" w:rsidR="00773CEF" w:rsidRPr="00FE14B5" w:rsidRDefault="00773CEF" w:rsidP="00FF2CB1">
            <w:pPr>
              <w:spacing w:after="0" w:line="240" w:lineRule="auto"/>
              <w:rPr>
                <w:rFonts w:cs="Arial"/>
              </w:rPr>
            </w:pPr>
            <w:r w:rsidRPr="00FE14B5">
              <w:rPr>
                <w:rFonts w:cs="Arial"/>
              </w:rPr>
              <w:t>Current TS number</w:t>
            </w:r>
          </w:p>
        </w:tc>
        <w:tc>
          <w:tcPr>
            <w:tcW w:w="6095" w:type="dxa"/>
            <w:gridSpan w:val="4"/>
            <w:tcBorders>
              <w:left w:val="single" w:sz="4" w:space="0" w:color="auto"/>
              <w:right w:val="single" w:sz="4" w:space="0" w:color="auto"/>
            </w:tcBorders>
            <w:shd w:val="clear" w:color="auto" w:fill="FFFFFF" w:themeFill="background1"/>
            <w:tcMar>
              <w:top w:w="57" w:type="dxa"/>
              <w:bottom w:w="57" w:type="dxa"/>
            </w:tcMar>
          </w:tcPr>
          <w:p w14:paraId="7A430D77" w14:textId="77777777" w:rsidR="00773CEF" w:rsidRPr="00FE14B5" w:rsidRDefault="00773CEF" w:rsidP="00FF2CB1">
            <w:pPr>
              <w:spacing w:after="0"/>
              <w:rPr>
                <w:rFonts w:cs="Arial"/>
                <w:color w:val="FF0000"/>
                <w:szCs w:val="20"/>
              </w:rPr>
            </w:pPr>
            <w:r w:rsidRPr="00FE14B5">
              <w:rPr>
                <w:rFonts w:cs="Arial"/>
                <w:szCs w:val="20"/>
              </w:rPr>
              <w:t>10010302</w:t>
            </w:r>
          </w:p>
        </w:tc>
      </w:tr>
      <w:tr w:rsidR="00773CEF" w:rsidRPr="00FE14B5" w14:paraId="66F13FA8" w14:textId="77777777" w:rsidTr="00773CEF">
        <w:tc>
          <w:tcPr>
            <w:tcW w:w="2547" w:type="dxa"/>
            <w:tcBorders>
              <w:left w:val="single" w:sz="4" w:space="0" w:color="auto"/>
              <w:right w:val="single" w:sz="4" w:space="0" w:color="auto"/>
            </w:tcBorders>
            <w:shd w:val="clear" w:color="auto" w:fill="FFFFFF" w:themeFill="background1"/>
            <w:tcMar>
              <w:top w:w="57" w:type="dxa"/>
              <w:bottom w:w="57" w:type="dxa"/>
            </w:tcMar>
          </w:tcPr>
          <w:p w14:paraId="3CF61595" w14:textId="7C89972B" w:rsidR="00773CEF" w:rsidRPr="00FE14B5" w:rsidRDefault="00773CEF" w:rsidP="00FF2CB1">
            <w:pPr>
              <w:spacing w:after="0" w:line="240" w:lineRule="auto"/>
              <w:rPr>
                <w:rFonts w:cs="Arial"/>
              </w:rPr>
            </w:pPr>
            <w:r w:rsidRPr="00FE14B5">
              <w:rPr>
                <w:rFonts w:cs="Arial"/>
              </w:rPr>
              <w:t>TS Number</w:t>
            </w:r>
          </w:p>
        </w:tc>
        <w:tc>
          <w:tcPr>
            <w:tcW w:w="6095" w:type="dxa"/>
            <w:gridSpan w:val="4"/>
            <w:tcBorders>
              <w:left w:val="single" w:sz="4" w:space="0" w:color="auto"/>
              <w:right w:val="single" w:sz="4" w:space="0" w:color="auto"/>
            </w:tcBorders>
            <w:shd w:val="clear" w:color="auto" w:fill="FFFFFF" w:themeFill="background1"/>
            <w:tcMar>
              <w:top w:w="57" w:type="dxa"/>
              <w:bottom w:w="57" w:type="dxa"/>
            </w:tcMar>
          </w:tcPr>
          <w:p w14:paraId="47A6D975" w14:textId="77777777" w:rsidR="00773CEF" w:rsidRPr="00FE14B5" w:rsidRDefault="00773CEF" w:rsidP="00FF2CB1">
            <w:pPr>
              <w:spacing w:after="0" w:line="240" w:lineRule="auto"/>
              <w:rPr>
                <w:rFonts w:cs="Arial"/>
              </w:rPr>
            </w:pPr>
            <w:r w:rsidRPr="00FE14B5">
              <w:rPr>
                <w:rFonts w:cs="Arial"/>
                <w:b/>
                <w:color w:val="FF0000"/>
              </w:rPr>
              <w:t xml:space="preserve">TS  </w:t>
            </w:r>
            <w:r w:rsidRPr="00166C7E">
              <w:rPr>
                <w:rFonts w:cs="Arial"/>
                <w:b/>
                <w:color w:val="FF0000"/>
              </w:rPr>
              <w:t>XXXXXXXXX</w:t>
            </w:r>
          </w:p>
        </w:tc>
      </w:tr>
      <w:tr w:rsidR="00773CEF" w:rsidRPr="00FE14B5" w14:paraId="77BED6D3" w14:textId="77777777" w:rsidTr="00773CEF">
        <w:tc>
          <w:tcPr>
            <w:tcW w:w="2547" w:type="dxa"/>
            <w:tcBorders>
              <w:left w:val="single" w:sz="4" w:space="0" w:color="auto"/>
              <w:right w:val="single" w:sz="4" w:space="0" w:color="auto"/>
            </w:tcBorders>
            <w:shd w:val="clear" w:color="auto" w:fill="FFFFFF" w:themeFill="background1"/>
            <w:tcMar>
              <w:top w:w="57" w:type="dxa"/>
              <w:bottom w:w="57" w:type="dxa"/>
            </w:tcMar>
          </w:tcPr>
          <w:p w14:paraId="50240E49" w14:textId="77777777" w:rsidR="00773CEF" w:rsidRPr="00FE14B5" w:rsidRDefault="00773CEF" w:rsidP="00FF2CB1">
            <w:pPr>
              <w:spacing w:after="0" w:line="240" w:lineRule="auto"/>
              <w:rPr>
                <w:rFonts w:cs="Arial"/>
              </w:rPr>
            </w:pPr>
            <w:r w:rsidRPr="00FE14B5">
              <w:rPr>
                <w:rFonts w:cs="Arial"/>
              </w:rPr>
              <w:t>Callsign of licensee</w:t>
            </w:r>
          </w:p>
        </w:tc>
        <w:tc>
          <w:tcPr>
            <w:tcW w:w="6095" w:type="dxa"/>
            <w:gridSpan w:val="4"/>
            <w:tcBorders>
              <w:left w:val="single" w:sz="4" w:space="0" w:color="auto"/>
              <w:right w:val="single" w:sz="4" w:space="0" w:color="auto"/>
            </w:tcBorders>
            <w:shd w:val="clear" w:color="auto" w:fill="FFFFFF" w:themeFill="background1"/>
            <w:tcMar>
              <w:top w:w="57" w:type="dxa"/>
              <w:bottom w:w="57" w:type="dxa"/>
            </w:tcMar>
          </w:tcPr>
          <w:p w14:paraId="1244E2D6" w14:textId="77777777" w:rsidR="00773CEF" w:rsidRPr="00FE14B5" w:rsidRDefault="00773CEF" w:rsidP="00FF2CB1">
            <w:pPr>
              <w:spacing w:after="0" w:line="240" w:lineRule="auto"/>
              <w:rPr>
                <w:rFonts w:cs="Arial"/>
              </w:rPr>
            </w:pPr>
            <w:r w:rsidRPr="00FE14B5">
              <w:rPr>
                <w:rFonts w:cs="Arial"/>
              </w:rPr>
              <w:t xml:space="preserve">HPON </w:t>
            </w:r>
          </w:p>
        </w:tc>
      </w:tr>
      <w:tr w:rsidR="00773CEF" w:rsidRPr="00FE14B5" w14:paraId="751600CC" w14:textId="77777777" w:rsidTr="00773CEF">
        <w:tc>
          <w:tcPr>
            <w:tcW w:w="2547" w:type="dxa"/>
            <w:tcBorders>
              <w:left w:val="single" w:sz="4" w:space="0" w:color="auto"/>
              <w:right w:val="single" w:sz="4" w:space="0" w:color="auto"/>
            </w:tcBorders>
            <w:shd w:val="clear" w:color="auto" w:fill="FFFFFF" w:themeFill="background1"/>
            <w:tcMar>
              <w:top w:w="57" w:type="dxa"/>
              <w:bottom w:w="57" w:type="dxa"/>
            </w:tcMar>
          </w:tcPr>
          <w:p w14:paraId="6F44477F" w14:textId="45794D6C" w:rsidR="00773CEF" w:rsidRPr="00FE14B5" w:rsidRDefault="00773CEF" w:rsidP="00FF2CB1">
            <w:pPr>
              <w:spacing w:after="0" w:line="240" w:lineRule="auto"/>
              <w:rPr>
                <w:rFonts w:cs="Arial"/>
              </w:rPr>
            </w:pPr>
            <w:r w:rsidRPr="00FE14B5">
              <w:rPr>
                <w:rFonts w:cs="Arial"/>
              </w:rPr>
              <w:t>Area Served</w:t>
            </w:r>
          </w:p>
        </w:tc>
        <w:tc>
          <w:tcPr>
            <w:tcW w:w="6095" w:type="dxa"/>
            <w:gridSpan w:val="4"/>
            <w:tcBorders>
              <w:left w:val="single" w:sz="4" w:space="0" w:color="auto"/>
              <w:right w:val="single" w:sz="4" w:space="0" w:color="auto"/>
            </w:tcBorders>
            <w:shd w:val="clear" w:color="auto" w:fill="FFFFFF" w:themeFill="background1"/>
            <w:tcMar>
              <w:top w:w="57" w:type="dxa"/>
              <w:bottom w:w="57" w:type="dxa"/>
            </w:tcMar>
          </w:tcPr>
          <w:p w14:paraId="2977D43D" w14:textId="77777777" w:rsidR="00773CEF" w:rsidRPr="00FE14B5" w:rsidRDefault="00773CEF" w:rsidP="00FF2CB1">
            <w:pPr>
              <w:spacing w:after="0"/>
              <w:rPr>
                <w:rFonts w:cs="Arial"/>
                <w:szCs w:val="20"/>
              </w:rPr>
            </w:pPr>
            <w:r w:rsidRPr="00FE14B5">
              <w:rPr>
                <w:rFonts w:cs="Arial"/>
                <w:szCs w:val="20"/>
              </w:rPr>
              <w:t>Perth City</w:t>
            </w:r>
          </w:p>
        </w:tc>
      </w:tr>
      <w:tr w:rsidR="00773CEF" w:rsidRPr="00FE14B5" w14:paraId="426C0219" w14:textId="77777777" w:rsidTr="00773CEF">
        <w:tc>
          <w:tcPr>
            <w:tcW w:w="2547" w:type="dxa"/>
            <w:tcBorders>
              <w:left w:val="single" w:sz="4" w:space="0" w:color="auto"/>
              <w:right w:val="single" w:sz="4" w:space="0" w:color="auto"/>
            </w:tcBorders>
            <w:shd w:val="clear" w:color="auto" w:fill="FFFFFF" w:themeFill="background1"/>
            <w:tcMar>
              <w:top w:w="57" w:type="dxa"/>
              <w:bottom w:w="57" w:type="dxa"/>
            </w:tcMar>
          </w:tcPr>
          <w:p w14:paraId="68298DBD" w14:textId="77777777" w:rsidR="00773CEF" w:rsidRPr="00FE14B5" w:rsidRDefault="00773CEF" w:rsidP="00FF2CB1">
            <w:pPr>
              <w:spacing w:after="0" w:line="240" w:lineRule="auto"/>
              <w:rPr>
                <w:rFonts w:cs="Arial"/>
              </w:rPr>
            </w:pPr>
            <w:r w:rsidRPr="00FE14B5">
              <w:rPr>
                <w:rFonts w:cs="Arial"/>
              </w:rPr>
              <w:t>Nominal location</w:t>
            </w:r>
          </w:p>
        </w:tc>
        <w:tc>
          <w:tcPr>
            <w:tcW w:w="6095" w:type="dxa"/>
            <w:gridSpan w:val="4"/>
            <w:tcBorders>
              <w:left w:val="single" w:sz="4" w:space="0" w:color="auto"/>
              <w:right w:val="single" w:sz="4" w:space="0" w:color="auto"/>
            </w:tcBorders>
            <w:shd w:val="clear" w:color="auto" w:fill="FFFFFF" w:themeFill="background1"/>
            <w:tcMar>
              <w:top w:w="57" w:type="dxa"/>
              <w:bottom w:w="57" w:type="dxa"/>
            </w:tcMar>
          </w:tcPr>
          <w:p w14:paraId="1D2F80C7" w14:textId="77777777" w:rsidR="00773CEF" w:rsidRPr="00FE14B5" w:rsidRDefault="00773CEF" w:rsidP="00FF2CB1">
            <w:pPr>
              <w:spacing w:after="0"/>
              <w:rPr>
                <w:rFonts w:cs="Arial"/>
                <w:szCs w:val="20"/>
              </w:rPr>
            </w:pPr>
            <w:r w:rsidRPr="00FE14B5">
              <w:rPr>
                <w:rFonts w:cs="Arial"/>
                <w:szCs w:val="20"/>
              </w:rPr>
              <w:t>Nominal Planning site Adj Reservoir  McDonald St JOONDANNA</w:t>
            </w:r>
          </w:p>
        </w:tc>
      </w:tr>
      <w:tr w:rsidR="00773CEF" w:rsidRPr="00FE14B5" w14:paraId="628EE683" w14:textId="77777777" w:rsidTr="00773CEF">
        <w:tc>
          <w:tcPr>
            <w:tcW w:w="2547" w:type="dxa"/>
            <w:tcBorders>
              <w:left w:val="single" w:sz="4" w:space="0" w:color="auto"/>
              <w:bottom w:val="single" w:sz="4" w:space="0" w:color="auto"/>
              <w:right w:val="single" w:sz="4" w:space="0" w:color="auto"/>
            </w:tcBorders>
            <w:tcMar>
              <w:top w:w="57" w:type="dxa"/>
              <w:bottom w:w="57" w:type="dxa"/>
            </w:tcMar>
          </w:tcPr>
          <w:p w14:paraId="44994E93" w14:textId="599C0B5D" w:rsidR="00773CEF" w:rsidRPr="00FE14B5" w:rsidRDefault="00773CEF" w:rsidP="00FF2CB1">
            <w:pPr>
              <w:spacing w:after="0" w:line="240" w:lineRule="auto"/>
              <w:rPr>
                <w:rFonts w:cs="Arial"/>
              </w:rPr>
            </w:pPr>
            <w:r w:rsidRPr="00FE14B5">
              <w:rPr>
                <w:rFonts w:cs="Arial"/>
              </w:rPr>
              <w:t>RADCOM Site ID</w:t>
            </w:r>
          </w:p>
        </w:tc>
        <w:tc>
          <w:tcPr>
            <w:tcW w:w="6095" w:type="dxa"/>
            <w:gridSpan w:val="4"/>
            <w:tcBorders>
              <w:left w:val="single" w:sz="4" w:space="0" w:color="auto"/>
              <w:bottom w:val="single" w:sz="4" w:space="0" w:color="auto"/>
              <w:right w:val="single" w:sz="4" w:space="0" w:color="auto"/>
            </w:tcBorders>
            <w:tcMar>
              <w:top w:w="57" w:type="dxa"/>
              <w:bottom w:w="57" w:type="dxa"/>
            </w:tcMar>
          </w:tcPr>
          <w:p w14:paraId="486840E8" w14:textId="77777777" w:rsidR="00773CEF" w:rsidRPr="00FE14B5" w:rsidRDefault="00773CEF" w:rsidP="00FF2CB1">
            <w:pPr>
              <w:spacing w:after="0"/>
              <w:rPr>
                <w:rFonts w:cs="Arial"/>
                <w:szCs w:val="20"/>
              </w:rPr>
            </w:pPr>
            <w:r w:rsidRPr="00FE14B5">
              <w:rPr>
                <w:rFonts w:cs="Arial"/>
                <w:szCs w:val="20"/>
              </w:rPr>
              <w:t>132270</w:t>
            </w:r>
          </w:p>
        </w:tc>
      </w:tr>
      <w:tr w:rsidR="00773CEF" w:rsidRPr="00FE14B5" w14:paraId="536EFA92" w14:textId="77777777" w:rsidTr="00773CEF">
        <w:tc>
          <w:tcPr>
            <w:tcW w:w="2547" w:type="dxa"/>
            <w:vMerge w:val="restart"/>
            <w:tcBorders>
              <w:left w:val="single" w:sz="4" w:space="0" w:color="auto"/>
              <w:right w:val="single" w:sz="4" w:space="0" w:color="auto"/>
            </w:tcBorders>
            <w:tcMar>
              <w:top w:w="57" w:type="dxa"/>
              <w:bottom w:w="57" w:type="dxa"/>
            </w:tcMar>
          </w:tcPr>
          <w:p w14:paraId="1F2E0E74" w14:textId="526CD489" w:rsidR="00773CEF" w:rsidRPr="00FE14B5" w:rsidRDefault="00773CEF" w:rsidP="00FF2CB1">
            <w:pPr>
              <w:spacing w:after="0" w:line="240" w:lineRule="auto"/>
              <w:rPr>
                <w:rFonts w:cs="Arial"/>
              </w:rPr>
            </w:pPr>
            <w:r w:rsidRPr="00FE14B5">
              <w:rPr>
                <w:rFonts w:cs="Arial"/>
              </w:rPr>
              <w:t>Coordinates Information</w:t>
            </w:r>
          </w:p>
        </w:tc>
        <w:tc>
          <w:tcPr>
            <w:tcW w:w="2693" w:type="dxa"/>
            <w:gridSpan w:val="2"/>
            <w:tcBorders>
              <w:left w:val="single" w:sz="4" w:space="0" w:color="auto"/>
              <w:bottom w:val="single" w:sz="4" w:space="0" w:color="auto"/>
              <w:right w:val="single" w:sz="4" w:space="0" w:color="auto"/>
            </w:tcBorders>
            <w:tcMar>
              <w:top w:w="57" w:type="dxa"/>
              <w:bottom w:w="57" w:type="dxa"/>
            </w:tcMar>
          </w:tcPr>
          <w:p w14:paraId="44ED29F8" w14:textId="77777777" w:rsidR="00773CEF" w:rsidRPr="00FE14B5" w:rsidRDefault="00773CEF" w:rsidP="00FF2CB1">
            <w:pPr>
              <w:spacing w:after="0" w:line="240" w:lineRule="auto"/>
              <w:rPr>
                <w:rFonts w:cs="Arial"/>
              </w:rPr>
            </w:pPr>
            <w:r w:rsidRPr="00FE14B5">
              <w:rPr>
                <w:rFonts w:cs="Arial"/>
              </w:rPr>
              <w:t>Latitude (GDA94)</w:t>
            </w:r>
          </w:p>
          <w:p w14:paraId="596FE0EA" w14:textId="77777777" w:rsidR="00773CEF" w:rsidRPr="00FE14B5" w:rsidRDefault="00773CEF" w:rsidP="00FF2CB1">
            <w:pPr>
              <w:spacing w:after="0"/>
              <w:rPr>
                <w:rFonts w:cs="Arial"/>
                <w:szCs w:val="20"/>
              </w:rPr>
            </w:pPr>
            <w:r w:rsidRPr="00FE14B5">
              <w:rPr>
                <w:rFonts w:cs="Arial"/>
                <w:szCs w:val="20"/>
              </w:rPr>
              <w:t>-31.90690</w:t>
            </w:r>
          </w:p>
        </w:tc>
        <w:tc>
          <w:tcPr>
            <w:tcW w:w="3402" w:type="dxa"/>
            <w:gridSpan w:val="2"/>
            <w:tcBorders>
              <w:left w:val="single" w:sz="4" w:space="0" w:color="auto"/>
              <w:bottom w:val="single" w:sz="4" w:space="0" w:color="auto"/>
              <w:right w:val="single" w:sz="4" w:space="0" w:color="auto"/>
            </w:tcBorders>
            <w:tcMar>
              <w:top w:w="57" w:type="dxa"/>
              <w:bottom w:w="57" w:type="dxa"/>
            </w:tcMar>
          </w:tcPr>
          <w:p w14:paraId="34145856" w14:textId="77777777" w:rsidR="00773CEF" w:rsidRPr="00FE14B5" w:rsidRDefault="00773CEF" w:rsidP="00FF2CB1">
            <w:pPr>
              <w:spacing w:after="0" w:line="240" w:lineRule="auto"/>
              <w:rPr>
                <w:rFonts w:cs="Arial"/>
              </w:rPr>
            </w:pPr>
            <w:r w:rsidRPr="00FE14B5">
              <w:rPr>
                <w:rFonts w:cs="Arial"/>
              </w:rPr>
              <w:t>Longitude (GDA94)</w:t>
            </w:r>
          </w:p>
          <w:p w14:paraId="0B8DA13B" w14:textId="77777777" w:rsidR="00773CEF" w:rsidRPr="00FE14B5" w:rsidRDefault="00773CEF" w:rsidP="00FF2CB1">
            <w:pPr>
              <w:spacing w:after="0"/>
              <w:rPr>
                <w:rFonts w:cs="Arial"/>
                <w:szCs w:val="20"/>
              </w:rPr>
            </w:pPr>
            <w:r w:rsidRPr="00FE14B5">
              <w:rPr>
                <w:rFonts w:cs="Arial"/>
                <w:szCs w:val="20"/>
              </w:rPr>
              <w:t>115.83873</w:t>
            </w:r>
          </w:p>
        </w:tc>
      </w:tr>
      <w:tr w:rsidR="00773CEF" w:rsidRPr="00FE14B5" w14:paraId="1BF48DF3" w14:textId="77777777" w:rsidTr="00773CEF">
        <w:tc>
          <w:tcPr>
            <w:tcW w:w="2547" w:type="dxa"/>
            <w:vMerge/>
            <w:tcBorders>
              <w:left w:val="single" w:sz="4" w:space="0" w:color="auto"/>
              <w:right w:val="single" w:sz="4" w:space="0" w:color="auto"/>
            </w:tcBorders>
            <w:shd w:val="clear" w:color="auto" w:fill="FFFFFF" w:themeFill="background1"/>
            <w:tcMar>
              <w:top w:w="57" w:type="dxa"/>
              <w:bottom w:w="57" w:type="dxa"/>
            </w:tcMar>
          </w:tcPr>
          <w:p w14:paraId="638F9E56" w14:textId="77777777" w:rsidR="00773CEF" w:rsidRPr="00FE14B5" w:rsidRDefault="00773CEF" w:rsidP="00FF2CB1">
            <w:pPr>
              <w:spacing w:after="0" w:line="240" w:lineRule="auto"/>
              <w:rPr>
                <w:rFonts w:cs="Arial"/>
              </w:rPr>
            </w:pPr>
          </w:p>
        </w:tc>
        <w:tc>
          <w:tcPr>
            <w:tcW w:w="1978" w:type="dxa"/>
            <w:tcBorders>
              <w:left w:val="single" w:sz="4" w:space="0" w:color="auto"/>
              <w:right w:val="single" w:sz="4" w:space="0" w:color="auto"/>
            </w:tcBorders>
            <w:shd w:val="clear" w:color="auto" w:fill="FFFFFF" w:themeFill="background1"/>
            <w:tcMar>
              <w:top w:w="57" w:type="dxa"/>
              <w:bottom w:w="57" w:type="dxa"/>
            </w:tcMar>
          </w:tcPr>
          <w:p w14:paraId="17BA2748" w14:textId="77777777" w:rsidR="00773CEF" w:rsidRPr="00FE14B5" w:rsidRDefault="00773CEF" w:rsidP="00FF2CB1">
            <w:pPr>
              <w:spacing w:after="0" w:line="240" w:lineRule="auto"/>
              <w:rPr>
                <w:rFonts w:cs="Arial"/>
              </w:rPr>
            </w:pPr>
            <w:r w:rsidRPr="00FE14B5">
              <w:rPr>
                <w:rFonts w:cs="Arial"/>
              </w:rPr>
              <w:t>Zone (AMG66)</w:t>
            </w:r>
          </w:p>
          <w:p w14:paraId="5B81A70F" w14:textId="77777777" w:rsidR="00773CEF" w:rsidRPr="00FE14B5" w:rsidRDefault="00773CEF" w:rsidP="00FF2CB1">
            <w:pPr>
              <w:spacing w:after="0" w:line="240" w:lineRule="auto"/>
              <w:rPr>
                <w:rFonts w:cs="Arial"/>
              </w:rPr>
            </w:pPr>
            <w:r w:rsidRPr="00FE14B5">
              <w:rPr>
                <w:rFonts w:cs="Arial"/>
              </w:rPr>
              <w:t>50</w:t>
            </w:r>
          </w:p>
        </w:tc>
        <w:tc>
          <w:tcPr>
            <w:tcW w:w="1775" w:type="dxa"/>
            <w:gridSpan w:val="2"/>
            <w:tcBorders>
              <w:left w:val="single" w:sz="4" w:space="0" w:color="auto"/>
              <w:right w:val="single" w:sz="4" w:space="0" w:color="auto"/>
            </w:tcBorders>
            <w:shd w:val="clear" w:color="auto" w:fill="FFFFFF" w:themeFill="background1"/>
            <w:tcMar>
              <w:top w:w="57" w:type="dxa"/>
              <w:bottom w:w="57" w:type="dxa"/>
            </w:tcMar>
          </w:tcPr>
          <w:p w14:paraId="17F2C33E" w14:textId="77777777" w:rsidR="00773CEF" w:rsidRPr="00FE14B5" w:rsidRDefault="00773CEF" w:rsidP="00FF2CB1">
            <w:pPr>
              <w:spacing w:after="0" w:line="240" w:lineRule="auto"/>
              <w:rPr>
                <w:rFonts w:cs="Arial"/>
              </w:rPr>
            </w:pPr>
            <w:r w:rsidRPr="00FE14B5">
              <w:rPr>
                <w:rFonts w:cs="Arial"/>
              </w:rPr>
              <w:t>Easting (AMG66)</w:t>
            </w:r>
          </w:p>
          <w:p w14:paraId="5738DE5D" w14:textId="77777777" w:rsidR="00773CEF" w:rsidRPr="00FE14B5" w:rsidRDefault="00773CEF" w:rsidP="00FF2CB1">
            <w:pPr>
              <w:spacing w:after="0"/>
              <w:rPr>
                <w:rFonts w:cs="Arial"/>
                <w:szCs w:val="20"/>
              </w:rPr>
            </w:pPr>
            <w:r w:rsidRPr="00FE14B5">
              <w:rPr>
                <w:rFonts w:cs="Arial"/>
                <w:szCs w:val="20"/>
              </w:rPr>
              <w:t>390058</w:t>
            </w:r>
          </w:p>
        </w:tc>
        <w:tc>
          <w:tcPr>
            <w:tcW w:w="2342" w:type="dxa"/>
            <w:tcBorders>
              <w:left w:val="single" w:sz="4" w:space="0" w:color="auto"/>
              <w:right w:val="single" w:sz="4" w:space="0" w:color="auto"/>
            </w:tcBorders>
            <w:shd w:val="clear" w:color="auto" w:fill="FFFFFF" w:themeFill="background1"/>
            <w:tcMar>
              <w:top w:w="57" w:type="dxa"/>
              <w:bottom w:w="57" w:type="dxa"/>
            </w:tcMar>
          </w:tcPr>
          <w:p w14:paraId="3BB78282" w14:textId="77777777" w:rsidR="00773CEF" w:rsidRPr="00FE14B5" w:rsidRDefault="00773CEF" w:rsidP="00FF2CB1">
            <w:pPr>
              <w:spacing w:after="0" w:line="240" w:lineRule="auto"/>
              <w:rPr>
                <w:rFonts w:cs="Arial"/>
              </w:rPr>
            </w:pPr>
            <w:r w:rsidRPr="00FE14B5">
              <w:rPr>
                <w:rFonts w:cs="Arial"/>
              </w:rPr>
              <w:t>Northing (AMG66)</w:t>
            </w:r>
          </w:p>
          <w:p w14:paraId="0A167E36" w14:textId="77777777" w:rsidR="00773CEF" w:rsidRPr="00FE14B5" w:rsidRDefault="00773CEF" w:rsidP="00FF2CB1">
            <w:pPr>
              <w:spacing w:after="0"/>
              <w:rPr>
                <w:rFonts w:cs="Arial"/>
                <w:szCs w:val="20"/>
              </w:rPr>
            </w:pPr>
            <w:r w:rsidRPr="00FE14B5">
              <w:rPr>
                <w:rFonts w:cs="Arial"/>
                <w:szCs w:val="20"/>
              </w:rPr>
              <w:t>6469150</w:t>
            </w:r>
          </w:p>
        </w:tc>
      </w:tr>
      <w:tr w:rsidR="00773CEF" w:rsidRPr="00FE14B5" w14:paraId="1F91A88E" w14:textId="77777777" w:rsidTr="00773CEF">
        <w:tc>
          <w:tcPr>
            <w:tcW w:w="2547" w:type="dxa"/>
            <w:tcBorders>
              <w:left w:val="single" w:sz="4" w:space="0" w:color="auto"/>
              <w:right w:val="single" w:sz="4" w:space="0" w:color="auto"/>
            </w:tcBorders>
            <w:shd w:val="clear" w:color="auto" w:fill="FFFFFF" w:themeFill="background1"/>
            <w:tcMar>
              <w:top w:w="57" w:type="dxa"/>
              <w:bottom w:w="57" w:type="dxa"/>
            </w:tcMar>
          </w:tcPr>
          <w:p w14:paraId="0FF65CD3" w14:textId="77777777" w:rsidR="00773CEF" w:rsidRPr="00FE14B5" w:rsidRDefault="00773CEF" w:rsidP="00FF2CB1">
            <w:pPr>
              <w:spacing w:after="0" w:line="240" w:lineRule="auto"/>
              <w:rPr>
                <w:rFonts w:cs="Arial"/>
              </w:rPr>
            </w:pPr>
            <w:r w:rsidRPr="00FE14B5">
              <w:rPr>
                <w:rFonts w:cs="Arial"/>
              </w:rPr>
              <w:t>Frequency</w:t>
            </w:r>
          </w:p>
        </w:tc>
        <w:tc>
          <w:tcPr>
            <w:tcW w:w="6095" w:type="dxa"/>
            <w:gridSpan w:val="4"/>
            <w:tcBorders>
              <w:left w:val="single" w:sz="4" w:space="0" w:color="auto"/>
              <w:right w:val="single" w:sz="4" w:space="0" w:color="auto"/>
            </w:tcBorders>
            <w:shd w:val="clear" w:color="auto" w:fill="FFFFFF" w:themeFill="background1"/>
            <w:tcMar>
              <w:top w:w="57" w:type="dxa"/>
              <w:bottom w:w="57" w:type="dxa"/>
            </w:tcMar>
          </w:tcPr>
          <w:p w14:paraId="7953D14E" w14:textId="77777777" w:rsidR="00773CEF" w:rsidRPr="00FE14B5" w:rsidRDefault="00773CEF" w:rsidP="00FF2CB1">
            <w:pPr>
              <w:spacing w:after="0" w:line="240" w:lineRule="auto"/>
              <w:rPr>
                <w:rFonts w:cs="Arial"/>
                <w:b/>
              </w:rPr>
            </w:pPr>
            <w:r w:rsidRPr="00FE14B5">
              <w:rPr>
                <w:rFonts w:cs="Arial"/>
                <w:b/>
                <w:color w:val="FF0000"/>
              </w:rPr>
              <w:t xml:space="preserve">106.5 MHz </w:t>
            </w:r>
          </w:p>
        </w:tc>
      </w:tr>
      <w:tr w:rsidR="00773CEF" w:rsidRPr="00FE14B5" w14:paraId="37CCBE03" w14:textId="77777777" w:rsidTr="00773CEF">
        <w:tc>
          <w:tcPr>
            <w:tcW w:w="2547" w:type="dxa"/>
            <w:vMerge w:val="restart"/>
            <w:tcBorders>
              <w:left w:val="single" w:sz="4" w:space="0" w:color="auto"/>
              <w:right w:val="single" w:sz="4" w:space="0" w:color="auto"/>
            </w:tcBorders>
            <w:tcMar>
              <w:top w:w="57" w:type="dxa"/>
              <w:bottom w:w="57" w:type="dxa"/>
            </w:tcMar>
          </w:tcPr>
          <w:p w14:paraId="31FC15F2" w14:textId="2A77F71E" w:rsidR="00773CEF" w:rsidRPr="00FE14B5" w:rsidRDefault="00773CEF" w:rsidP="00FF2CB1">
            <w:pPr>
              <w:spacing w:after="0" w:line="240" w:lineRule="auto"/>
              <w:rPr>
                <w:rFonts w:cs="Arial"/>
              </w:rPr>
            </w:pPr>
            <w:r w:rsidRPr="00FE14B5">
              <w:rPr>
                <w:rFonts w:cs="Arial"/>
              </w:rPr>
              <w:t>Maximum ERP and Radiation Pattern</w:t>
            </w:r>
          </w:p>
        </w:tc>
        <w:tc>
          <w:tcPr>
            <w:tcW w:w="2693" w:type="dxa"/>
            <w:gridSpan w:val="2"/>
            <w:tcBorders>
              <w:left w:val="single" w:sz="4" w:space="0" w:color="auto"/>
              <w:bottom w:val="single" w:sz="4" w:space="0" w:color="auto"/>
              <w:right w:val="single" w:sz="4" w:space="0" w:color="auto"/>
            </w:tcBorders>
            <w:tcMar>
              <w:top w:w="57" w:type="dxa"/>
              <w:bottom w:w="57" w:type="dxa"/>
            </w:tcMar>
          </w:tcPr>
          <w:p w14:paraId="2EE2ADE5" w14:textId="03AABF42" w:rsidR="00773CEF" w:rsidRPr="00FE14B5" w:rsidRDefault="00773CEF" w:rsidP="00FF2CB1">
            <w:pPr>
              <w:spacing w:after="0" w:line="240" w:lineRule="auto"/>
              <w:rPr>
                <w:rFonts w:cs="Arial"/>
              </w:rPr>
            </w:pPr>
            <w:r w:rsidRPr="00FE14B5">
              <w:rPr>
                <w:rFonts w:cs="Arial"/>
              </w:rPr>
              <w:t>Azimuth Bearing (clockwise</w:t>
            </w:r>
            <w:r w:rsidRPr="00A96308">
              <w:t xml:space="preserve"> </w:t>
            </w:r>
            <w:r w:rsidRPr="00FE14B5">
              <w:rPr>
                <w:rFonts w:cs="Arial"/>
              </w:rPr>
              <w:t>direction)</w:t>
            </w:r>
          </w:p>
        </w:tc>
        <w:tc>
          <w:tcPr>
            <w:tcW w:w="3402" w:type="dxa"/>
            <w:gridSpan w:val="2"/>
            <w:tcBorders>
              <w:left w:val="single" w:sz="4" w:space="0" w:color="auto"/>
              <w:bottom w:val="single" w:sz="4" w:space="0" w:color="auto"/>
              <w:right w:val="single" w:sz="4" w:space="0" w:color="auto"/>
            </w:tcBorders>
            <w:tcMar>
              <w:top w:w="57" w:type="dxa"/>
              <w:bottom w:w="57" w:type="dxa"/>
            </w:tcMar>
          </w:tcPr>
          <w:p w14:paraId="493600E2" w14:textId="77777777" w:rsidR="00773CEF" w:rsidRPr="00FE14B5" w:rsidRDefault="00773CEF" w:rsidP="00FF2CB1">
            <w:pPr>
              <w:spacing w:after="0" w:line="240" w:lineRule="auto"/>
              <w:rPr>
                <w:rFonts w:cs="Arial"/>
              </w:rPr>
            </w:pPr>
            <w:r w:rsidRPr="00FE14B5">
              <w:rPr>
                <w:rFonts w:cs="Arial"/>
              </w:rPr>
              <w:t xml:space="preserve">Maximum ERP </w:t>
            </w:r>
          </w:p>
        </w:tc>
      </w:tr>
      <w:tr w:rsidR="00773CEF" w:rsidRPr="00FE14B5" w14:paraId="33FC9657" w14:textId="77777777" w:rsidTr="00773CEF">
        <w:tc>
          <w:tcPr>
            <w:tcW w:w="2547" w:type="dxa"/>
            <w:vMerge/>
            <w:tcBorders>
              <w:left w:val="single" w:sz="4" w:space="0" w:color="auto"/>
              <w:right w:val="single" w:sz="4" w:space="0" w:color="auto"/>
            </w:tcBorders>
            <w:tcMar>
              <w:top w:w="57" w:type="dxa"/>
              <w:bottom w:w="57" w:type="dxa"/>
            </w:tcMar>
          </w:tcPr>
          <w:p w14:paraId="44A23FBF" w14:textId="77777777" w:rsidR="00773CEF" w:rsidRPr="00FE14B5" w:rsidRDefault="00773CEF" w:rsidP="00FF2CB1">
            <w:pPr>
              <w:spacing w:after="0" w:line="240" w:lineRule="auto"/>
              <w:rPr>
                <w:rFonts w:cs="Arial"/>
              </w:rPr>
            </w:pPr>
          </w:p>
        </w:tc>
        <w:tc>
          <w:tcPr>
            <w:tcW w:w="2693" w:type="dxa"/>
            <w:gridSpan w:val="2"/>
            <w:tcBorders>
              <w:left w:val="single" w:sz="4" w:space="0" w:color="auto"/>
              <w:bottom w:val="single" w:sz="4" w:space="0" w:color="auto"/>
              <w:right w:val="single" w:sz="4" w:space="0" w:color="auto"/>
            </w:tcBorders>
            <w:tcMar>
              <w:top w:w="57" w:type="dxa"/>
              <w:bottom w:w="57" w:type="dxa"/>
            </w:tcMar>
          </w:tcPr>
          <w:p w14:paraId="1F74673E" w14:textId="77777777" w:rsidR="00773CEF" w:rsidRPr="00FE14B5" w:rsidRDefault="00773CEF" w:rsidP="00660F76">
            <w:pPr>
              <w:spacing w:after="0"/>
              <w:rPr>
                <w:rFonts w:cs="Arial"/>
                <w:szCs w:val="20"/>
              </w:rPr>
            </w:pPr>
            <w:r w:rsidRPr="00FE14B5">
              <w:rPr>
                <w:rFonts w:cs="Arial"/>
                <w:szCs w:val="20"/>
              </w:rPr>
              <w:t>At all angles of azimuth</w:t>
            </w:r>
          </w:p>
        </w:tc>
        <w:tc>
          <w:tcPr>
            <w:tcW w:w="3402" w:type="dxa"/>
            <w:gridSpan w:val="2"/>
            <w:tcBorders>
              <w:left w:val="single" w:sz="4" w:space="0" w:color="auto"/>
              <w:bottom w:val="single" w:sz="4" w:space="0" w:color="auto"/>
              <w:right w:val="single" w:sz="4" w:space="0" w:color="auto"/>
            </w:tcBorders>
            <w:tcMar>
              <w:top w:w="57" w:type="dxa"/>
              <w:bottom w:w="57" w:type="dxa"/>
            </w:tcMar>
          </w:tcPr>
          <w:p w14:paraId="4FA97BBB" w14:textId="77777777" w:rsidR="00773CEF" w:rsidRPr="00FE14B5" w:rsidRDefault="00773CEF" w:rsidP="00FF2CB1">
            <w:pPr>
              <w:tabs>
                <w:tab w:val="right" w:pos="1309"/>
              </w:tabs>
              <w:spacing w:after="0" w:line="240" w:lineRule="auto"/>
              <w:rPr>
                <w:rFonts w:cs="Arial"/>
              </w:rPr>
            </w:pPr>
            <w:r w:rsidRPr="00FE14B5">
              <w:rPr>
                <w:rFonts w:cs="Arial"/>
              </w:rPr>
              <w:tab/>
              <w:t>50 W</w:t>
            </w:r>
          </w:p>
        </w:tc>
      </w:tr>
      <w:tr w:rsidR="00773CEF" w:rsidRPr="00FE14B5" w14:paraId="6BF45A18" w14:textId="77777777" w:rsidTr="00773CEF">
        <w:tc>
          <w:tcPr>
            <w:tcW w:w="2547" w:type="dxa"/>
            <w:tcBorders>
              <w:left w:val="single" w:sz="4" w:space="0" w:color="auto"/>
              <w:right w:val="single" w:sz="4" w:space="0" w:color="auto"/>
            </w:tcBorders>
            <w:shd w:val="clear" w:color="auto" w:fill="FFFFFF" w:themeFill="background1"/>
            <w:tcMar>
              <w:top w:w="57" w:type="dxa"/>
              <w:bottom w:w="57" w:type="dxa"/>
            </w:tcMar>
          </w:tcPr>
          <w:p w14:paraId="7C206689" w14:textId="77777777" w:rsidR="00773CEF" w:rsidRPr="00FE14B5" w:rsidRDefault="00773CEF" w:rsidP="00FF2CB1">
            <w:pPr>
              <w:spacing w:after="0" w:line="240" w:lineRule="auto"/>
              <w:rPr>
                <w:rFonts w:cs="Arial"/>
              </w:rPr>
            </w:pPr>
            <w:r w:rsidRPr="00FE14B5">
              <w:rPr>
                <w:rFonts w:cs="Arial"/>
              </w:rPr>
              <w:t>Polarisation</w:t>
            </w:r>
          </w:p>
        </w:tc>
        <w:tc>
          <w:tcPr>
            <w:tcW w:w="6095" w:type="dxa"/>
            <w:gridSpan w:val="4"/>
            <w:tcBorders>
              <w:left w:val="single" w:sz="4" w:space="0" w:color="auto"/>
              <w:right w:val="single" w:sz="4" w:space="0" w:color="auto"/>
            </w:tcBorders>
            <w:shd w:val="clear" w:color="auto" w:fill="FFFFFF" w:themeFill="background1"/>
            <w:tcMar>
              <w:top w:w="57" w:type="dxa"/>
              <w:bottom w:w="57" w:type="dxa"/>
            </w:tcMar>
          </w:tcPr>
          <w:p w14:paraId="020A9B4C" w14:textId="77777777" w:rsidR="00773CEF" w:rsidRPr="00FE14B5" w:rsidRDefault="00773CEF" w:rsidP="00FF2CB1">
            <w:pPr>
              <w:spacing w:after="0" w:line="240" w:lineRule="auto"/>
              <w:rPr>
                <w:rFonts w:cs="Arial"/>
              </w:rPr>
            </w:pPr>
            <w:r w:rsidRPr="00FE14B5">
              <w:rPr>
                <w:rFonts w:cs="Arial"/>
              </w:rPr>
              <w:t>Vertical</w:t>
            </w:r>
          </w:p>
        </w:tc>
      </w:tr>
      <w:tr w:rsidR="00773CEF" w:rsidRPr="00FE14B5" w14:paraId="0199A1C2" w14:textId="77777777" w:rsidTr="00773CEF">
        <w:tc>
          <w:tcPr>
            <w:tcW w:w="2547" w:type="dxa"/>
            <w:tcBorders>
              <w:left w:val="single" w:sz="4" w:space="0" w:color="auto"/>
              <w:right w:val="single" w:sz="4" w:space="0" w:color="auto"/>
            </w:tcBorders>
            <w:shd w:val="clear" w:color="auto" w:fill="auto"/>
            <w:tcMar>
              <w:top w:w="57" w:type="dxa"/>
              <w:bottom w:w="57" w:type="dxa"/>
            </w:tcMar>
          </w:tcPr>
          <w:p w14:paraId="1831405C" w14:textId="3D82694E" w:rsidR="00773CEF" w:rsidRPr="00FE14B5" w:rsidRDefault="00773CEF" w:rsidP="00FF2CB1">
            <w:pPr>
              <w:spacing w:after="0" w:line="240" w:lineRule="auto"/>
              <w:rPr>
                <w:rFonts w:cs="Arial"/>
              </w:rPr>
            </w:pPr>
            <w:r w:rsidRPr="00FE14B5">
              <w:rPr>
                <w:rFonts w:cs="Arial"/>
              </w:rPr>
              <w:t>Maximum Antenna Height</w:t>
            </w:r>
          </w:p>
        </w:tc>
        <w:tc>
          <w:tcPr>
            <w:tcW w:w="6095" w:type="dxa"/>
            <w:gridSpan w:val="4"/>
            <w:tcBorders>
              <w:left w:val="single" w:sz="4" w:space="0" w:color="auto"/>
              <w:right w:val="single" w:sz="4" w:space="0" w:color="auto"/>
            </w:tcBorders>
            <w:shd w:val="clear" w:color="auto" w:fill="auto"/>
            <w:tcMar>
              <w:top w:w="57" w:type="dxa"/>
              <w:bottom w:w="57" w:type="dxa"/>
            </w:tcMar>
          </w:tcPr>
          <w:p w14:paraId="347EDAB8" w14:textId="77777777" w:rsidR="00773CEF" w:rsidRPr="00FE14B5" w:rsidRDefault="00773CEF" w:rsidP="00FF2CB1">
            <w:pPr>
              <w:spacing w:after="0" w:line="240" w:lineRule="auto"/>
              <w:rPr>
                <w:rFonts w:cs="Arial"/>
              </w:rPr>
            </w:pPr>
            <w:r w:rsidRPr="00FE14B5">
              <w:rPr>
                <w:rFonts w:cs="Arial"/>
              </w:rPr>
              <w:t xml:space="preserve">20 </w:t>
            </w:r>
            <w:r w:rsidRPr="005D0420">
              <w:rPr>
                <w:rFonts w:cs="Arial"/>
              </w:rPr>
              <w:t>metres</w:t>
            </w:r>
          </w:p>
        </w:tc>
      </w:tr>
      <w:tr w:rsidR="00773CEF" w:rsidRPr="00FE14B5" w14:paraId="64746EDB" w14:textId="77777777" w:rsidTr="00773CEF">
        <w:tc>
          <w:tcPr>
            <w:tcW w:w="2547" w:type="dxa"/>
            <w:tcBorders>
              <w:left w:val="single" w:sz="4" w:space="0" w:color="auto"/>
              <w:right w:val="single" w:sz="4" w:space="0" w:color="auto"/>
            </w:tcBorders>
            <w:shd w:val="clear" w:color="auto" w:fill="FFFFFF" w:themeFill="background1"/>
            <w:tcMar>
              <w:top w:w="57" w:type="dxa"/>
              <w:bottom w:w="57" w:type="dxa"/>
            </w:tcMar>
          </w:tcPr>
          <w:p w14:paraId="7DDF4BF1" w14:textId="4F0EAAE7" w:rsidR="00773CEF" w:rsidRPr="00FE14B5" w:rsidRDefault="00773CEF" w:rsidP="00FF2CB1">
            <w:pPr>
              <w:spacing w:after="0" w:line="240" w:lineRule="auto"/>
              <w:rPr>
                <w:rFonts w:cs="Arial"/>
              </w:rPr>
            </w:pPr>
            <w:r w:rsidRPr="00FE14B5">
              <w:rPr>
                <w:rFonts w:cs="Arial"/>
              </w:rPr>
              <w:t>Special Conditions/</w:t>
            </w:r>
          </w:p>
          <w:p w14:paraId="7A714CCB" w14:textId="00BF4A65" w:rsidR="00773CEF" w:rsidRPr="00FE14B5" w:rsidRDefault="00773CEF" w:rsidP="00FF2CB1">
            <w:pPr>
              <w:spacing w:after="0" w:line="240" w:lineRule="auto"/>
              <w:rPr>
                <w:rFonts w:cs="Arial"/>
              </w:rPr>
            </w:pPr>
            <w:r w:rsidRPr="00FE14B5">
              <w:rPr>
                <w:rFonts w:cs="Arial"/>
              </w:rPr>
              <w:t>Advisory Notes</w:t>
            </w:r>
          </w:p>
        </w:tc>
        <w:tc>
          <w:tcPr>
            <w:tcW w:w="6095" w:type="dxa"/>
            <w:gridSpan w:val="4"/>
            <w:tcBorders>
              <w:left w:val="single" w:sz="4" w:space="0" w:color="auto"/>
              <w:right w:val="single" w:sz="4" w:space="0" w:color="auto"/>
            </w:tcBorders>
            <w:shd w:val="clear" w:color="auto" w:fill="FFFFFF" w:themeFill="background1"/>
            <w:tcMar>
              <w:top w:w="57" w:type="dxa"/>
              <w:bottom w:w="57" w:type="dxa"/>
            </w:tcMar>
          </w:tcPr>
          <w:p w14:paraId="679BF0DE" w14:textId="77777777" w:rsidR="00773CEF" w:rsidRPr="00FE14B5" w:rsidRDefault="00773CEF" w:rsidP="00FF2CB1">
            <w:pPr>
              <w:spacing w:after="0"/>
              <w:rPr>
                <w:rFonts w:cs="Arial"/>
                <w:color w:val="FF0000"/>
                <w:szCs w:val="20"/>
              </w:rPr>
            </w:pPr>
            <w:r w:rsidRPr="00FE14B5">
              <w:rPr>
                <w:rFonts w:cs="Arial"/>
                <w:szCs w:val="20"/>
              </w:rPr>
              <w:t xml:space="preserve">AN: The coverage area of this transmission is defined as that area within a radius of 7 </w:t>
            </w:r>
            <w:r w:rsidRPr="005D0420">
              <w:rPr>
                <w:rFonts w:cs="Arial"/>
                <w:szCs w:val="20"/>
              </w:rPr>
              <w:t>kilometres</w:t>
            </w:r>
            <w:r w:rsidRPr="00FE14B5">
              <w:rPr>
                <w:rFonts w:cs="Arial"/>
                <w:szCs w:val="20"/>
              </w:rPr>
              <w:t xml:space="preserve"> measured from a point with the following AMG co-ordinates: Zone 50; Easting 390058; Northing 6469150. This point is the same as the nominal transmitter site.</w:t>
            </w:r>
          </w:p>
        </w:tc>
      </w:tr>
    </w:tbl>
    <w:p w14:paraId="50506F3E" w14:textId="77777777" w:rsidR="00FE14B5" w:rsidRPr="00FE14B5" w:rsidRDefault="00FE14B5" w:rsidP="00773CEF">
      <w:pPr>
        <w:pStyle w:val="Paragraph"/>
        <w:rPr>
          <w:highlight w:val="yellow"/>
        </w:rPr>
      </w:pPr>
    </w:p>
    <w:p w14:paraId="45664493" w14:textId="77777777" w:rsidR="00FE14B5" w:rsidRPr="00FE14B5" w:rsidRDefault="00FE14B5" w:rsidP="00773CEF">
      <w:pPr>
        <w:pStyle w:val="Paragraph"/>
      </w:pPr>
    </w:p>
    <w:p w14:paraId="7F619DDB" w14:textId="77777777" w:rsidR="00FE14B5" w:rsidRPr="00FE14B5" w:rsidRDefault="00FE14B5" w:rsidP="00FE14B5">
      <w:pPr>
        <w:spacing w:after="0"/>
      </w:pPr>
      <w:r w:rsidRPr="00FE14B5">
        <w:br w:type="page"/>
      </w:r>
    </w:p>
    <w:tbl>
      <w:tblPr>
        <w:tblpPr w:leftFromText="180" w:rightFromText="180" w:vertAnchor="text" w:tblpY="1"/>
        <w:tblOverlap w:val="never"/>
        <w:tblW w:w="8642" w:type="dxa"/>
        <w:tblBorders>
          <w:top w:val="single" w:sz="4" w:space="0" w:color="auto"/>
          <w:bottom w:val="single" w:sz="4" w:space="0" w:color="auto"/>
          <w:insideH w:val="single" w:sz="4" w:space="0" w:color="auto"/>
        </w:tblBorders>
        <w:tblLayout w:type="fixed"/>
        <w:tblCellMar>
          <w:top w:w="85" w:type="dxa"/>
          <w:left w:w="85" w:type="dxa"/>
          <w:bottom w:w="85" w:type="dxa"/>
          <w:right w:w="85" w:type="dxa"/>
        </w:tblCellMar>
        <w:tblLook w:val="01E0" w:firstRow="1" w:lastRow="1" w:firstColumn="1" w:lastColumn="1" w:noHBand="0" w:noVBand="0"/>
        <w:tblCaption w:val="Table title to go here"/>
        <w:tblDescription w:val="Table description to go here"/>
      </w:tblPr>
      <w:tblGrid>
        <w:gridCol w:w="2547"/>
        <w:gridCol w:w="1978"/>
        <w:gridCol w:w="715"/>
        <w:gridCol w:w="1060"/>
        <w:gridCol w:w="2342"/>
      </w:tblGrid>
      <w:tr w:rsidR="00773CEF" w:rsidRPr="00FE14B5" w14:paraId="164C17D1" w14:textId="77777777" w:rsidTr="00773CEF">
        <w:tc>
          <w:tcPr>
            <w:tcW w:w="2547" w:type="dxa"/>
            <w:tcBorders>
              <w:left w:val="single" w:sz="4" w:space="0" w:color="auto"/>
              <w:right w:val="single" w:sz="4" w:space="0" w:color="auto"/>
            </w:tcBorders>
            <w:shd w:val="clear" w:color="auto" w:fill="FFFFFF" w:themeFill="background1"/>
            <w:tcMar>
              <w:top w:w="57" w:type="dxa"/>
              <w:bottom w:w="57" w:type="dxa"/>
            </w:tcMar>
          </w:tcPr>
          <w:p w14:paraId="41676378" w14:textId="77777777" w:rsidR="00773CEF" w:rsidRPr="00FE14B5" w:rsidRDefault="00773CEF" w:rsidP="00773CEF">
            <w:pPr>
              <w:spacing w:after="0" w:line="240" w:lineRule="auto"/>
              <w:rPr>
                <w:rFonts w:cs="Arial"/>
              </w:rPr>
            </w:pPr>
            <w:r w:rsidRPr="00FE14B5">
              <w:rPr>
                <w:rFonts w:cs="Arial"/>
              </w:rPr>
              <w:t>Current TS number</w:t>
            </w:r>
          </w:p>
        </w:tc>
        <w:tc>
          <w:tcPr>
            <w:tcW w:w="6095" w:type="dxa"/>
            <w:gridSpan w:val="4"/>
            <w:tcBorders>
              <w:left w:val="single" w:sz="4" w:space="0" w:color="auto"/>
              <w:right w:val="single" w:sz="4" w:space="0" w:color="auto"/>
            </w:tcBorders>
            <w:shd w:val="clear" w:color="auto" w:fill="FFFFFF" w:themeFill="background1"/>
            <w:tcMar>
              <w:top w:w="57" w:type="dxa"/>
              <w:bottom w:w="57" w:type="dxa"/>
            </w:tcMar>
          </w:tcPr>
          <w:p w14:paraId="365FDA72" w14:textId="77777777" w:rsidR="00773CEF" w:rsidRPr="00FE14B5" w:rsidRDefault="00773CEF" w:rsidP="00773CEF">
            <w:pPr>
              <w:spacing w:after="0"/>
              <w:rPr>
                <w:rFonts w:cs="Arial"/>
                <w:color w:val="FF0000"/>
                <w:szCs w:val="20"/>
              </w:rPr>
            </w:pPr>
            <w:r w:rsidRPr="00FE14B5">
              <w:rPr>
                <w:rFonts w:cs="Arial"/>
                <w:szCs w:val="20"/>
              </w:rPr>
              <w:t>10010301</w:t>
            </w:r>
          </w:p>
        </w:tc>
      </w:tr>
      <w:tr w:rsidR="00773CEF" w:rsidRPr="00FE14B5" w14:paraId="14A83053" w14:textId="77777777" w:rsidTr="00773CEF">
        <w:tc>
          <w:tcPr>
            <w:tcW w:w="2547" w:type="dxa"/>
            <w:tcBorders>
              <w:left w:val="single" w:sz="4" w:space="0" w:color="auto"/>
              <w:right w:val="single" w:sz="4" w:space="0" w:color="auto"/>
            </w:tcBorders>
            <w:shd w:val="clear" w:color="auto" w:fill="FFFFFF" w:themeFill="background1"/>
            <w:tcMar>
              <w:top w:w="57" w:type="dxa"/>
              <w:bottom w:w="57" w:type="dxa"/>
            </w:tcMar>
          </w:tcPr>
          <w:p w14:paraId="003A5C96" w14:textId="77777777" w:rsidR="00773CEF" w:rsidRPr="00FE14B5" w:rsidRDefault="00773CEF" w:rsidP="00773CEF">
            <w:pPr>
              <w:spacing w:after="0" w:line="240" w:lineRule="auto"/>
              <w:rPr>
                <w:rFonts w:cs="Arial"/>
              </w:rPr>
            </w:pPr>
            <w:r w:rsidRPr="00FE14B5">
              <w:rPr>
                <w:rFonts w:cs="Arial"/>
              </w:rPr>
              <w:t>TS Number</w:t>
            </w:r>
          </w:p>
        </w:tc>
        <w:tc>
          <w:tcPr>
            <w:tcW w:w="6095" w:type="dxa"/>
            <w:gridSpan w:val="4"/>
            <w:tcBorders>
              <w:left w:val="single" w:sz="4" w:space="0" w:color="auto"/>
              <w:right w:val="single" w:sz="4" w:space="0" w:color="auto"/>
            </w:tcBorders>
            <w:shd w:val="clear" w:color="auto" w:fill="FFFFFF" w:themeFill="background1"/>
            <w:tcMar>
              <w:top w:w="57" w:type="dxa"/>
              <w:bottom w:w="57" w:type="dxa"/>
            </w:tcMar>
          </w:tcPr>
          <w:p w14:paraId="59FE87AF" w14:textId="77777777" w:rsidR="00773CEF" w:rsidRPr="00FE14B5" w:rsidRDefault="00773CEF" w:rsidP="00773CEF">
            <w:pPr>
              <w:spacing w:after="0" w:line="240" w:lineRule="auto"/>
              <w:rPr>
                <w:rFonts w:cs="Arial"/>
              </w:rPr>
            </w:pPr>
            <w:r w:rsidRPr="00FE14B5">
              <w:rPr>
                <w:rFonts w:cs="Arial"/>
                <w:b/>
                <w:color w:val="FF0000"/>
              </w:rPr>
              <w:t xml:space="preserve">TS  </w:t>
            </w:r>
            <w:r w:rsidRPr="00166C7E">
              <w:rPr>
                <w:rFonts w:cs="Arial"/>
                <w:b/>
                <w:color w:val="FF0000"/>
              </w:rPr>
              <w:t>XXXXXXXXX</w:t>
            </w:r>
          </w:p>
        </w:tc>
      </w:tr>
      <w:tr w:rsidR="00773CEF" w:rsidRPr="00FE14B5" w14:paraId="67A4EF23" w14:textId="77777777" w:rsidTr="00773CEF">
        <w:tc>
          <w:tcPr>
            <w:tcW w:w="2547" w:type="dxa"/>
            <w:tcBorders>
              <w:left w:val="single" w:sz="4" w:space="0" w:color="auto"/>
              <w:right w:val="single" w:sz="4" w:space="0" w:color="auto"/>
            </w:tcBorders>
            <w:shd w:val="clear" w:color="auto" w:fill="FFFFFF" w:themeFill="background1"/>
            <w:tcMar>
              <w:top w:w="57" w:type="dxa"/>
              <w:bottom w:w="57" w:type="dxa"/>
            </w:tcMar>
          </w:tcPr>
          <w:p w14:paraId="1352A9A9" w14:textId="77777777" w:rsidR="00773CEF" w:rsidRPr="00FE14B5" w:rsidRDefault="00773CEF" w:rsidP="00773CEF">
            <w:pPr>
              <w:spacing w:after="0" w:line="240" w:lineRule="auto"/>
              <w:rPr>
                <w:rFonts w:cs="Arial"/>
              </w:rPr>
            </w:pPr>
            <w:r w:rsidRPr="00FE14B5">
              <w:rPr>
                <w:rFonts w:cs="Arial"/>
              </w:rPr>
              <w:t>Callsign of licensee</w:t>
            </w:r>
          </w:p>
        </w:tc>
        <w:tc>
          <w:tcPr>
            <w:tcW w:w="6095" w:type="dxa"/>
            <w:gridSpan w:val="4"/>
            <w:tcBorders>
              <w:left w:val="single" w:sz="4" w:space="0" w:color="auto"/>
              <w:right w:val="single" w:sz="4" w:space="0" w:color="auto"/>
            </w:tcBorders>
            <w:shd w:val="clear" w:color="auto" w:fill="FFFFFF" w:themeFill="background1"/>
            <w:tcMar>
              <w:top w:w="57" w:type="dxa"/>
              <w:bottom w:w="57" w:type="dxa"/>
            </w:tcMar>
          </w:tcPr>
          <w:p w14:paraId="65437323" w14:textId="77777777" w:rsidR="00773CEF" w:rsidRPr="00FE14B5" w:rsidRDefault="00773CEF" w:rsidP="00773CEF">
            <w:pPr>
              <w:spacing w:after="0" w:line="240" w:lineRule="auto"/>
              <w:rPr>
                <w:rFonts w:cs="Arial"/>
              </w:rPr>
            </w:pPr>
            <w:r w:rsidRPr="00FE14B5">
              <w:rPr>
                <w:rFonts w:cs="Arial"/>
              </w:rPr>
              <w:t xml:space="preserve">HPON </w:t>
            </w:r>
          </w:p>
        </w:tc>
      </w:tr>
      <w:tr w:rsidR="00773CEF" w:rsidRPr="00FE14B5" w14:paraId="4317B38D" w14:textId="77777777" w:rsidTr="00773CEF">
        <w:tc>
          <w:tcPr>
            <w:tcW w:w="2547" w:type="dxa"/>
            <w:tcBorders>
              <w:left w:val="single" w:sz="4" w:space="0" w:color="auto"/>
              <w:right w:val="single" w:sz="4" w:space="0" w:color="auto"/>
            </w:tcBorders>
            <w:shd w:val="clear" w:color="auto" w:fill="FFFFFF" w:themeFill="background1"/>
            <w:tcMar>
              <w:top w:w="57" w:type="dxa"/>
              <w:bottom w:w="57" w:type="dxa"/>
            </w:tcMar>
          </w:tcPr>
          <w:p w14:paraId="3D77015C" w14:textId="4595BC70" w:rsidR="00773CEF" w:rsidRPr="00FE14B5" w:rsidRDefault="00773CEF" w:rsidP="00773CEF">
            <w:pPr>
              <w:spacing w:after="0" w:line="240" w:lineRule="auto"/>
              <w:rPr>
                <w:rFonts w:cs="Arial"/>
              </w:rPr>
            </w:pPr>
            <w:r w:rsidRPr="00FE14B5">
              <w:rPr>
                <w:rFonts w:cs="Arial"/>
              </w:rPr>
              <w:t>Area Served</w:t>
            </w:r>
          </w:p>
        </w:tc>
        <w:tc>
          <w:tcPr>
            <w:tcW w:w="6095" w:type="dxa"/>
            <w:gridSpan w:val="4"/>
            <w:tcBorders>
              <w:left w:val="single" w:sz="4" w:space="0" w:color="auto"/>
              <w:right w:val="single" w:sz="4" w:space="0" w:color="auto"/>
            </w:tcBorders>
            <w:shd w:val="clear" w:color="auto" w:fill="FFFFFF" w:themeFill="background1"/>
            <w:tcMar>
              <w:top w:w="57" w:type="dxa"/>
              <w:bottom w:w="57" w:type="dxa"/>
            </w:tcMar>
          </w:tcPr>
          <w:p w14:paraId="197BF2A0" w14:textId="1C6AF3ED" w:rsidR="00773CEF" w:rsidRPr="00FE14B5" w:rsidRDefault="00773CEF" w:rsidP="00773CEF">
            <w:pPr>
              <w:spacing w:after="0"/>
              <w:rPr>
                <w:rFonts w:cs="Arial"/>
                <w:szCs w:val="20"/>
              </w:rPr>
            </w:pPr>
            <w:r w:rsidRPr="00FE14B5">
              <w:rPr>
                <w:rFonts w:cs="Arial"/>
                <w:szCs w:val="20"/>
              </w:rPr>
              <w:t>Perth City</w:t>
            </w:r>
          </w:p>
        </w:tc>
      </w:tr>
      <w:tr w:rsidR="00773CEF" w:rsidRPr="00FE14B5" w14:paraId="0E325D65" w14:textId="77777777" w:rsidTr="00773CEF">
        <w:tc>
          <w:tcPr>
            <w:tcW w:w="2547" w:type="dxa"/>
            <w:tcBorders>
              <w:left w:val="single" w:sz="4" w:space="0" w:color="auto"/>
              <w:right w:val="single" w:sz="4" w:space="0" w:color="auto"/>
            </w:tcBorders>
            <w:shd w:val="clear" w:color="auto" w:fill="FFFFFF" w:themeFill="background1"/>
            <w:tcMar>
              <w:top w:w="57" w:type="dxa"/>
              <w:bottom w:w="57" w:type="dxa"/>
            </w:tcMar>
          </w:tcPr>
          <w:p w14:paraId="7F4FF060" w14:textId="77777777" w:rsidR="00773CEF" w:rsidRPr="00FE14B5" w:rsidRDefault="00773CEF" w:rsidP="00773CEF">
            <w:pPr>
              <w:spacing w:after="0" w:line="240" w:lineRule="auto"/>
              <w:rPr>
                <w:rFonts w:cs="Arial"/>
              </w:rPr>
            </w:pPr>
            <w:r w:rsidRPr="00FE14B5">
              <w:rPr>
                <w:rFonts w:cs="Arial"/>
              </w:rPr>
              <w:t>Nominal location</w:t>
            </w:r>
          </w:p>
        </w:tc>
        <w:tc>
          <w:tcPr>
            <w:tcW w:w="6095" w:type="dxa"/>
            <w:gridSpan w:val="4"/>
            <w:tcBorders>
              <w:left w:val="single" w:sz="4" w:space="0" w:color="auto"/>
              <w:right w:val="single" w:sz="4" w:space="0" w:color="auto"/>
            </w:tcBorders>
            <w:shd w:val="clear" w:color="auto" w:fill="FFFFFF" w:themeFill="background1"/>
            <w:tcMar>
              <w:top w:w="57" w:type="dxa"/>
              <w:bottom w:w="57" w:type="dxa"/>
            </w:tcMar>
          </w:tcPr>
          <w:p w14:paraId="38C59002" w14:textId="77777777" w:rsidR="00773CEF" w:rsidRPr="00FE14B5" w:rsidRDefault="00773CEF" w:rsidP="00773CEF">
            <w:pPr>
              <w:spacing w:after="0"/>
              <w:rPr>
                <w:rFonts w:cs="Arial"/>
                <w:szCs w:val="20"/>
              </w:rPr>
            </w:pPr>
            <w:r w:rsidRPr="00FE14B5">
              <w:rPr>
                <w:rFonts w:cs="Arial"/>
                <w:szCs w:val="20"/>
              </w:rPr>
              <w:t>Nominal Planning site Adj Reservoir  McDonald St JOONDANNA</w:t>
            </w:r>
          </w:p>
        </w:tc>
      </w:tr>
      <w:tr w:rsidR="00773CEF" w:rsidRPr="00FE14B5" w14:paraId="3B24904E" w14:textId="77777777" w:rsidTr="00773CEF">
        <w:tc>
          <w:tcPr>
            <w:tcW w:w="2547" w:type="dxa"/>
            <w:tcBorders>
              <w:left w:val="single" w:sz="4" w:space="0" w:color="auto"/>
              <w:bottom w:val="single" w:sz="4" w:space="0" w:color="auto"/>
              <w:right w:val="single" w:sz="4" w:space="0" w:color="auto"/>
            </w:tcBorders>
            <w:tcMar>
              <w:top w:w="57" w:type="dxa"/>
              <w:bottom w:w="57" w:type="dxa"/>
            </w:tcMar>
          </w:tcPr>
          <w:p w14:paraId="3D3595CD" w14:textId="4E1C84DE" w:rsidR="00773CEF" w:rsidRPr="00FE14B5" w:rsidRDefault="00773CEF" w:rsidP="00773CEF">
            <w:pPr>
              <w:spacing w:after="0" w:line="240" w:lineRule="auto"/>
              <w:rPr>
                <w:rFonts w:cs="Arial"/>
              </w:rPr>
            </w:pPr>
            <w:r w:rsidRPr="00FE14B5">
              <w:rPr>
                <w:rFonts w:cs="Arial"/>
              </w:rPr>
              <w:t>RADCOM Site ID</w:t>
            </w:r>
          </w:p>
        </w:tc>
        <w:tc>
          <w:tcPr>
            <w:tcW w:w="6095" w:type="dxa"/>
            <w:gridSpan w:val="4"/>
            <w:tcBorders>
              <w:left w:val="single" w:sz="4" w:space="0" w:color="auto"/>
              <w:bottom w:val="single" w:sz="4" w:space="0" w:color="auto"/>
              <w:right w:val="single" w:sz="4" w:space="0" w:color="auto"/>
            </w:tcBorders>
            <w:tcMar>
              <w:top w:w="57" w:type="dxa"/>
              <w:bottom w:w="57" w:type="dxa"/>
            </w:tcMar>
          </w:tcPr>
          <w:p w14:paraId="4BC0B675" w14:textId="77777777" w:rsidR="00773CEF" w:rsidRPr="00FE14B5" w:rsidRDefault="00773CEF" w:rsidP="00773CEF">
            <w:pPr>
              <w:spacing w:after="0"/>
              <w:rPr>
                <w:rFonts w:cs="Arial"/>
                <w:szCs w:val="20"/>
              </w:rPr>
            </w:pPr>
            <w:r w:rsidRPr="00FE14B5">
              <w:rPr>
                <w:rFonts w:cs="Arial"/>
                <w:szCs w:val="20"/>
              </w:rPr>
              <w:t>132270</w:t>
            </w:r>
          </w:p>
        </w:tc>
      </w:tr>
      <w:tr w:rsidR="00773CEF" w:rsidRPr="00FE14B5" w14:paraId="3EED5BA1" w14:textId="77777777" w:rsidTr="00773CEF">
        <w:tc>
          <w:tcPr>
            <w:tcW w:w="2547" w:type="dxa"/>
            <w:vMerge w:val="restart"/>
            <w:tcBorders>
              <w:left w:val="single" w:sz="4" w:space="0" w:color="auto"/>
              <w:right w:val="single" w:sz="4" w:space="0" w:color="auto"/>
            </w:tcBorders>
            <w:tcMar>
              <w:top w:w="57" w:type="dxa"/>
              <w:bottom w:w="57" w:type="dxa"/>
            </w:tcMar>
          </w:tcPr>
          <w:p w14:paraId="04C0C619" w14:textId="37221436" w:rsidR="00773CEF" w:rsidRPr="00FE14B5" w:rsidRDefault="00773CEF" w:rsidP="00773CEF">
            <w:pPr>
              <w:spacing w:after="0" w:line="240" w:lineRule="auto"/>
              <w:rPr>
                <w:rFonts w:cs="Arial"/>
              </w:rPr>
            </w:pPr>
            <w:r w:rsidRPr="00FE14B5">
              <w:rPr>
                <w:rFonts w:cs="Arial"/>
              </w:rPr>
              <w:t>Coordinates Information</w:t>
            </w:r>
          </w:p>
        </w:tc>
        <w:tc>
          <w:tcPr>
            <w:tcW w:w="2693" w:type="dxa"/>
            <w:gridSpan w:val="2"/>
            <w:tcBorders>
              <w:left w:val="single" w:sz="4" w:space="0" w:color="auto"/>
              <w:bottom w:val="single" w:sz="4" w:space="0" w:color="auto"/>
              <w:right w:val="single" w:sz="4" w:space="0" w:color="auto"/>
            </w:tcBorders>
            <w:tcMar>
              <w:top w:w="57" w:type="dxa"/>
              <w:bottom w:w="57" w:type="dxa"/>
            </w:tcMar>
          </w:tcPr>
          <w:p w14:paraId="727C64AD" w14:textId="77777777" w:rsidR="00773CEF" w:rsidRPr="00FE14B5" w:rsidRDefault="00773CEF" w:rsidP="00773CEF">
            <w:pPr>
              <w:spacing w:after="0" w:line="240" w:lineRule="auto"/>
              <w:rPr>
                <w:rFonts w:cs="Arial"/>
              </w:rPr>
            </w:pPr>
            <w:r w:rsidRPr="00FE14B5">
              <w:rPr>
                <w:rFonts w:cs="Arial"/>
              </w:rPr>
              <w:t>Latitude (GDA94)</w:t>
            </w:r>
          </w:p>
          <w:p w14:paraId="292F3883" w14:textId="77777777" w:rsidR="00773CEF" w:rsidRPr="00FE14B5" w:rsidRDefault="00773CEF" w:rsidP="00773CEF">
            <w:pPr>
              <w:spacing w:after="0"/>
              <w:rPr>
                <w:rFonts w:cs="Arial"/>
                <w:szCs w:val="20"/>
              </w:rPr>
            </w:pPr>
            <w:r w:rsidRPr="00FE14B5">
              <w:rPr>
                <w:rFonts w:cs="Arial"/>
                <w:szCs w:val="20"/>
              </w:rPr>
              <w:t>-31.90690</w:t>
            </w:r>
          </w:p>
        </w:tc>
        <w:tc>
          <w:tcPr>
            <w:tcW w:w="3402" w:type="dxa"/>
            <w:gridSpan w:val="2"/>
            <w:tcBorders>
              <w:left w:val="single" w:sz="4" w:space="0" w:color="auto"/>
              <w:bottom w:val="single" w:sz="4" w:space="0" w:color="auto"/>
              <w:right w:val="single" w:sz="4" w:space="0" w:color="auto"/>
            </w:tcBorders>
            <w:tcMar>
              <w:top w:w="57" w:type="dxa"/>
              <w:bottom w:w="57" w:type="dxa"/>
            </w:tcMar>
          </w:tcPr>
          <w:p w14:paraId="1397B037" w14:textId="77777777" w:rsidR="00773CEF" w:rsidRPr="00FE14B5" w:rsidRDefault="00773CEF" w:rsidP="00773CEF">
            <w:pPr>
              <w:spacing w:after="0" w:line="240" w:lineRule="auto"/>
              <w:rPr>
                <w:rFonts w:cs="Arial"/>
              </w:rPr>
            </w:pPr>
            <w:r w:rsidRPr="00FE14B5">
              <w:rPr>
                <w:rFonts w:cs="Arial"/>
              </w:rPr>
              <w:t>Longitude (GDA94)</w:t>
            </w:r>
          </w:p>
          <w:p w14:paraId="3D4FF16B" w14:textId="77777777" w:rsidR="00773CEF" w:rsidRPr="00FE14B5" w:rsidRDefault="00773CEF" w:rsidP="00773CEF">
            <w:pPr>
              <w:spacing w:after="0"/>
              <w:rPr>
                <w:rFonts w:cs="Arial"/>
                <w:szCs w:val="20"/>
              </w:rPr>
            </w:pPr>
            <w:r w:rsidRPr="00FE14B5">
              <w:rPr>
                <w:rFonts w:cs="Arial"/>
                <w:szCs w:val="20"/>
              </w:rPr>
              <w:t>115.83873</w:t>
            </w:r>
          </w:p>
        </w:tc>
      </w:tr>
      <w:tr w:rsidR="00773CEF" w:rsidRPr="00FE14B5" w14:paraId="1331D800" w14:textId="77777777" w:rsidTr="00773CEF">
        <w:tc>
          <w:tcPr>
            <w:tcW w:w="2547" w:type="dxa"/>
            <w:vMerge/>
            <w:tcBorders>
              <w:left w:val="single" w:sz="4" w:space="0" w:color="auto"/>
              <w:right w:val="single" w:sz="4" w:space="0" w:color="auto"/>
            </w:tcBorders>
            <w:shd w:val="clear" w:color="auto" w:fill="FFFFFF" w:themeFill="background1"/>
            <w:tcMar>
              <w:top w:w="57" w:type="dxa"/>
              <w:bottom w:w="57" w:type="dxa"/>
            </w:tcMar>
          </w:tcPr>
          <w:p w14:paraId="32E10D73" w14:textId="77777777" w:rsidR="00773CEF" w:rsidRPr="00FE14B5" w:rsidRDefault="00773CEF" w:rsidP="00773CEF">
            <w:pPr>
              <w:spacing w:after="0" w:line="240" w:lineRule="auto"/>
              <w:rPr>
                <w:rFonts w:cs="Arial"/>
              </w:rPr>
            </w:pPr>
          </w:p>
        </w:tc>
        <w:tc>
          <w:tcPr>
            <w:tcW w:w="1978" w:type="dxa"/>
            <w:tcBorders>
              <w:left w:val="single" w:sz="4" w:space="0" w:color="auto"/>
              <w:right w:val="single" w:sz="4" w:space="0" w:color="auto"/>
            </w:tcBorders>
            <w:shd w:val="clear" w:color="auto" w:fill="FFFFFF" w:themeFill="background1"/>
            <w:tcMar>
              <w:top w:w="57" w:type="dxa"/>
              <w:bottom w:w="57" w:type="dxa"/>
            </w:tcMar>
          </w:tcPr>
          <w:p w14:paraId="7ECDC612" w14:textId="77777777" w:rsidR="00773CEF" w:rsidRPr="00FE14B5" w:rsidRDefault="00773CEF" w:rsidP="00773CEF">
            <w:pPr>
              <w:spacing w:after="0" w:line="240" w:lineRule="auto"/>
              <w:rPr>
                <w:rFonts w:cs="Arial"/>
              </w:rPr>
            </w:pPr>
            <w:r w:rsidRPr="00FE14B5">
              <w:rPr>
                <w:rFonts w:cs="Arial"/>
              </w:rPr>
              <w:t>Zone (AMG66)</w:t>
            </w:r>
          </w:p>
          <w:p w14:paraId="3734A3D0" w14:textId="77777777" w:rsidR="00773CEF" w:rsidRPr="00FE14B5" w:rsidRDefault="00773CEF" w:rsidP="00773CEF">
            <w:pPr>
              <w:spacing w:after="0" w:line="240" w:lineRule="auto"/>
              <w:rPr>
                <w:rFonts w:cs="Arial"/>
              </w:rPr>
            </w:pPr>
            <w:r w:rsidRPr="00FE14B5">
              <w:rPr>
                <w:rFonts w:cs="Arial"/>
              </w:rPr>
              <w:t>50</w:t>
            </w:r>
          </w:p>
        </w:tc>
        <w:tc>
          <w:tcPr>
            <w:tcW w:w="1775" w:type="dxa"/>
            <w:gridSpan w:val="2"/>
            <w:tcBorders>
              <w:left w:val="single" w:sz="4" w:space="0" w:color="auto"/>
              <w:right w:val="single" w:sz="4" w:space="0" w:color="auto"/>
            </w:tcBorders>
            <w:shd w:val="clear" w:color="auto" w:fill="FFFFFF" w:themeFill="background1"/>
            <w:tcMar>
              <w:top w:w="57" w:type="dxa"/>
              <w:bottom w:w="57" w:type="dxa"/>
            </w:tcMar>
          </w:tcPr>
          <w:p w14:paraId="797D4564" w14:textId="77777777" w:rsidR="00773CEF" w:rsidRPr="00FE14B5" w:rsidRDefault="00773CEF" w:rsidP="00773CEF">
            <w:pPr>
              <w:spacing w:after="0" w:line="240" w:lineRule="auto"/>
              <w:rPr>
                <w:rFonts w:cs="Arial"/>
              </w:rPr>
            </w:pPr>
            <w:r w:rsidRPr="00FE14B5">
              <w:rPr>
                <w:rFonts w:cs="Arial"/>
              </w:rPr>
              <w:t>Easting (AMG66)</w:t>
            </w:r>
          </w:p>
          <w:p w14:paraId="55DBFD92" w14:textId="77777777" w:rsidR="00773CEF" w:rsidRPr="00FE14B5" w:rsidRDefault="00773CEF" w:rsidP="00773CEF">
            <w:pPr>
              <w:spacing w:after="0"/>
              <w:rPr>
                <w:rFonts w:cs="Arial"/>
                <w:szCs w:val="20"/>
              </w:rPr>
            </w:pPr>
            <w:r w:rsidRPr="00FE14B5">
              <w:rPr>
                <w:rFonts w:cs="Arial"/>
                <w:szCs w:val="20"/>
              </w:rPr>
              <w:t>390058</w:t>
            </w:r>
          </w:p>
        </w:tc>
        <w:tc>
          <w:tcPr>
            <w:tcW w:w="2342" w:type="dxa"/>
            <w:tcBorders>
              <w:left w:val="single" w:sz="4" w:space="0" w:color="auto"/>
              <w:right w:val="single" w:sz="4" w:space="0" w:color="auto"/>
            </w:tcBorders>
            <w:shd w:val="clear" w:color="auto" w:fill="FFFFFF" w:themeFill="background1"/>
            <w:tcMar>
              <w:top w:w="57" w:type="dxa"/>
              <w:bottom w:w="57" w:type="dxa"/>
            </w:tcMar>
          </w:tcPr>
          <w:p w14:paraId="739BA7C6" w14:textId="77777777" w:rsidR="00773CEF" w:rsidRPr="00FE14B5" w:rsidRDefault="00773CEF" w:rsidP="00773CEF">
            <w:pPr>
              <w:spacing w:after="0" w:line="240" w:lineRule="auto"/>
              <w:rPr>
                <w:rFonts w:cs="Arial"/>
              </w:rPr>
            </w:pPr>
            <w:r w:rsidRPr="00FE14B5">
              <w:rPr>
                <w:rFonts w:cs="Arial"/>
              </w:rPr>
              <w:t>Northing (AMG66)</w:t>
            </w:r>
          </w:p>
          <w:p w14:paraId="358039B0" w14:textId="77777777" w:rsidR="00773CEF" w:rsidRPr="00FE14B5" w:rsidRDefault="00773CEF" w:rsidP="00773CEF">
            <w:pPr>
              <w:spacing w:after="0"/>
              <w:rPr>
                <w:rFonts w:cs="Arial"/>
                <w:szCs w:val="20"/>
              </w:rPr>
            </w:pPr>
            <w:r w:rsidRPr="00FE14B5">
              <w:rPr>
                <w:rFonts w:cs="Arial"/>
                <w:szCs w:val="20"/>
              </w:rPr>
              <w:t>6469150</w:t>
            </w:r>
          </w:p>
        </w:tc>
      </w:tr>
      <w:tr w:rsidR="00773CEF" w:rsidRPr="00FE14B5" w14:paraId="70181FEB" w14:textId="77777777" w:rsidTr="00773CEF">
        <w:tc>
          <w:tcPr>
            <w:tcW w:w="2547" w:type="dxa"/>
            <w:tcBorders>
              <w:left w:val="single" w:sz="4" w:space="0" w:color="auto"/>
              <w:right w:val="single" w:sz="4" w:space="0" w:color="auto"/>
            </w:tcBorders>
            <w:shd w:val="clear" w:color="auto" w:fill="FFFFFF" w:themeFill="background1"/>
            <w:tcMar>
              <w:top w:w="57" w:type="dxa"/>
              <w:bottom w:w="57" w:type="dxa"/>
            </w:tcMar>
          </w:tcPr>
          <w:p w14:paraId="7A384147" w14:textId="77777777" w:rsidR="00773CEF" w:rsidRPr="00FE14B5" w:rsidRDefault="00773CEF" w:rsidP="00773CEF">
            <w:pPr>
              <w:spacing w:after="0" w:line="240" w:lineRule="auto"/>
              <w:rPr>
                <w:rFonts w:cs="Arial"/>
              </w:rPr>
            </w:pPr>
            <w:r w:rsidRPr="00FE14B5">
              <w:rPr>
                <w:rFonts w:cs="Arial"/>
              </w:rPr>
              <w:t>Frequency</w:t>
            </w:r>
          </w:p>
        </w:tc>
        <w:tc>
          <w:tcPr>
            <w:tcW w:w="6095" w:type="dxa"/>
            <w:gridSpan w:val="4"/>
            <w:tcBorders>
              <w:left w:val="single" w:sz="4" w:space="0" w:color="auto"/>
              <w:right w:val="single" w:sz="4" w:space="0" w:color="auto"/>
            </w:tcBorders>
            <w:shd w:val="clear" w:color="auto" w:fill="FFFFFF" w:themeFill="background1"/>
            <w:tcMar>
              <w:top w:w="57" w:type="dxa"/>
              <w:bottom w:w="57" w:type="dxa"/>
            </w:tcMar>
          </w:tcPr>
          <w:p w14:paraId="5B2D335B" w14:textId="77777777" w:rsidR="00773CEF" w:rsidRPr="00FE14B5" w:rsidRDefault="00773CEF" w:rsidP="00773CEF">
            <w:pPr>
              <w:spacing w:after="0" w:line="240" w:lineRule="auto"/>
              <w:rPr>
                <w:rFonts w:cs="Arial"/>
                <w:b/>
              </w:rPr>
            </w:pPr>
            <w:r w:rsidRPr="00FE14B5">
              <w:rPr>
                <w:rFonts w:cs="Arial"/>
                <w:b/>
                <w:color w:val="FF0000"/>
              </w:rPr>
              <w:t xml:space="preserve">105.7 MHz </w:t>
            </w:r>
          </w:p>
        </w:tc>
      </w:tr>
      <w:tr w:rsidR="00773CEF" w:rsidRPr="00FE14B5" w14:paraId="7C3BAB79" w14:textId="77777777" w:rsidTr="00773CEF">
        <w:tc>
          <w:tcPr>
            <w:tcW w:w="2547" w:type="dxa"/>
            <w:vMerge w:val="restart"/>
            <w:tcBorders>
              <w:left w:val="single" w:sz="4" w:space="0" w:color="auto"/>
              <w:right w:val="single" w:sz="4" w:space="0" w:color="auto"/>
            </w:tcBorders>
            <w:tcMar>
              <w:top w:w="57" w:type="dxa"/>
              <w:bottom w:w="57" w:type="dxa"/>
            </w:tcMar>
          </w:tcPr>
          <w:p w14:paraId="688D6FDB" w14:textId="6BD1DD80" w:rsidR="00773CEF" w:rsidRPr="00FE14B5" w:rsidRDefault="00773CEF" w:rsidP="00773CEF">
            <w:pPr>
              <w:spacing w:after="0" w:line="240" w:lineRule="auto"/>
              <w:rPr>
                <w:rFonts w:cs="Arial"/>
              </w:rPr>
            </w:pPr>
            <w:r w:rsidRPr="00FE14B5">
              <w:rPr>
                <w:rFonts w:cs="Arial"/>
              </w:rPr>
              <w:t>Maximum ERP and Radiation Pattern</w:t>
            </w:r>
          </w:p>
        </w:tc>
        <w:tc>
          <w:tcPr>
            <w:tcW w:w="2693" w:type="dxa"/>
            <w:gridSpan w:val="2"/>
            <w:tcBorders>
              <w:left w:val="single" w:sz="4" w:space="0" w:color="auto"/>
              <w:bottom w:val="single" w:sz="4" w:space="0" w:color="auto"/>
              <w:right w:val="single" w:sz="4" w:space="0" w:color="auto"/>
            </w:tcBorders>
            <w:tcMar>
              <w:top w:w="57" w:type="dxa"/>
              <w:bottom w:w="57" w:type="dxa"/>
            </w:tcMar>
          </w:tcPr>
          <w:p w14:paraId="15091D92" w14:textId="3CA3C186" w:rsidR="00773CEF" w:rsidRPr="00FE14B5" w:rsidRDefault="00773CEF" w:rsidP="00773CEF">
            <w:pPr>
              <w:spacing w:after="0" w:line="240" w:lineRule="auto"/>
              <w:rPr>
                <w:rFonts w:cs="Arial"/>
              </w:rPr>
            </w:pPr>
            <w:r w:rsidRPr="00FE14B5">
              <w:rPr>
                <w:rFonts w:cs="Arial"/>
              </w:rPr>
              <w:t>Azimuth Bearing (clockwise direction)</w:t>
            </w:r>
          </w:p>
        </w:tc>
        <w:tc>
          <w:tcPr>
            <w:tcW w:w="3402" w:type="dxa"/>
            <w:gridSpan w:val="2"/>
            <w:tcBorders>
              <w:left w:val="single" w:sz="4" w:space="0" w:color="auto"/>
              <w:bottom w:val="single" w:sz="4" w:space="0" w:color="auto"/>
              <w:right w:val="single" w:sz="4" w:space="0" w:color="auto"/>
            </w:tcBorders>
            <w:tcMar>
              <w:top w:w="57" w:type="dxa"/>
              <w:bottom w:w="57" w:type="dxa"/>
            </w:tcMar>
          </w:tcPr>
          <w:p w14:paraId="19C02AEE" w14:textId="77777777" w:rsidR="00773CEF" w:rsidRPr="00FE14B5" w:rsidRDefault="00773CEF" w:rsidP="00773CEF">
            <w:pPr>
              <w:spacing w:after="0" w:line="240" w:lineRule="auto"/>
              <w:rPr>
                <w:rFonts w:cs="Arial"/>
              </w:rPr>
            </w:pPr>
            <w:r w:rsidRPr="00FE14B5">
              <w:rPr>
                <w:rFonts w:cs="Arial"/>
              </w:rPr>
              <w:t xml:space="preserve">Maximum ERP </w:t>
            </w:r>
          </w:p>
        </w:tc>
      </w:tr>
      <w:tr w:rsidR="00773CEF" w:rsidRPr="00FE14B5" w14:paraId="7D1D0075" w14:textId="77777777" w:rsidTr="00773CEF">
        <w:tc>
          <w:tcPr>
            <w:tcW w:w="2547" w:type="dxa"/>
            <w:vMerge/>
            <w:tcBorders>
              <w:left w:val="single" w:sz="4" w:space="0" w:color="auto"/>
              <w:right w:val="single" w:sz="4" w:space="0" w:color="auto"/>
            </w:tcBorders>
            <w:tcMar>
              <w:top w:w="57" w:type="dxa"/>
              <w:bottom w:w="57" w:type="dxa"/>
            </w:tcMar>
          </w:tcPr>
          <w:p w14:paraId="182E37F2" w14:textId="77777777" w:rsidR="00773CEF" w:rsidRPr="00FE14B5" w:rsidRDefault="00773CEF" w:rsidP="00773CEF">
            <w:pPr>
              <w:spacing w:after="0" w:line="240" w:lineRule="auto"/>
              <w:rPr>
                <w:rFonts w:cs="Arial"/>
              </w:rPr>
            </w:pPr>
          </w:p>
        </w:tc>
        <w:tc>
          <w:tcPr>
            <w:tcW w:w="2693" w:type="dxa"/>
            <w:gridSpan w:val="2"/>
            <w:tcBorders>
              <w:left w:val="single" w:sz="4" w:space="0" w:color="auto"/>
              <w:bottom w:val="single" w:sz="4" w:space="0" w:color="auto"/>
              <w:right w:val="single" w:sz="4" w:space="0" w:color="auto"/>
            </w:tcBorders>
            <w:tcMar>
              <w:top w:w="57" w:type="dxa"/>
              <w:bottom w:w="57" w:type="dxa"/>
            </w:tcMar>
          </w:tcPr>
          <w:p w14:paraId="40250379" w14:textId="77777777" w:rsidR="00773CEF" w:rsidRPr="00FE14B5" w:rsidRDefault="00773CEF" w:rsidP="00660F76">
            <w:pPr>
              <w:spacing w:after="0"/>
              <w:rPr>
                <w:rFonts w:cs="Arial"/>
                <w:szCs w:val="20"/>
              </w:rPr>
            </w:pPr>
            <w:r w:rsidRPr="00FE14B5">
              <w:rPr>
                <w:rFonts w:cs="Arial"/>
                <w:szCs w:val="20"/>
              </w:rPr>
              <w:t>At all angles of azimuth</w:t>
            </w:r>
          </w:p>
        </w:tc>
        <w:tc>
          <w:tcPr>
            <w:tcW w:w="3402" w:type="dxa"/>
            <w:gridSpan w:val="2"/>
            <w:tcBorders>
              <w:left w:val="single" w:sz="4" w:space="0" w:color="auto"/>
              <w:bottom w:val="single" w:sz="4" w:space="0" w:color="auto"/>
              <w:right w:val="single" w:sz="4" w:space="0" w:color="auto"/>
            </w:tcBorders>
            <w:tcMar>
              <w:top w:w="57" w:type="dxa"/>
              <w:bottom w:w="57" w:type="dxa"/>
            </w:tcMar>
          </w:tcPr>
          <w:p w14:paraId="67031A83" w14:textId="77777777" w:rsidR="00773CEF" w:rsidRPr="00FE14B5" w:rsidRDefault="00773CEF" w:rsidP="00773CEF">
            <w:pPr>
              <w:tabs>
                <w:tab w:val="right" w:pos="1309"/>
              </w:tabs>
              <w:spacing w:after="0" w:line="240" w:lineRule="auto"/>
              <w:rPr>
                <w:rFonts w:cs="Arial"/>
                <w:b/>
              </w:rPr>
            </w:pPr>
            <w:r w:rsidRPr="00FE14B5">
              <w:rPr>
                <w:rFonts w:cs="Arial"/>
              </w:rPr>
              <w:tab/>
            </w:r>
            <w:r w:rsidRPr="00FE14B5">
              <w:rPr>
                <w:rFonts w:cs="Arial"/>
                <w:b/>
                <w:color w:val="FF0000"/>
              </w:rPr>
              <w:t>200 W</w:t>
            </w:r>
          </w:p>
        </w:tc>
      </w:tr>
      <w:tr w:rsidR="00773CEF" w:rsidRPr="00FE14B5" w14:paraId="009D6241" w14:textId="77777777" w:rsidTr="00773CEF">
        <w:tc>
          <w:tcPr>
            <w:tcW w:w="2547" w:type="dxa"/>
            <w:tcBorders>
              <w:left w:val="single" w:sz="4" w:space="0" w:color="auto"/>
              <w:right w:val="single" w:sz="4" w:space="0" w:color="auto"/>
            </w:tcBorders>
            <w:shd w:val="clear" w:color="auto" w:fill="FFFFFF" w:themeFill="background1"/>
            <w:tcMar>
              <w:top w:w="57" w:type="dxa"/>
              <w:bottom w:w="57" w:type="dxa"/>
            </w:tcMar>
          </w:tcPr>
          <w:p w14:paraId="5CA785C8" w14:textId="77777777" w:rsidR="00773CEF" w:rsidRPr="00FE14B5" w:rsidRDefault="00773CEF" w:rsidP="00773CEF">
            <w:pPr>
              <w:spacing w:after="0" w:line="240" w:lineRule="auto"/>
              <w:rPr>
                <w:rFonts w:cs="Arial"/>
              </w:rPr>
            </w:pPr>
            <w:r w:rsidRPr="00FE14B5">
              <w:rPr>
                <w:rFonts w:cs="Arial"/>
              </w:rPr>
              <w:t>Polarisation</w:t>
            </w:r>
          </w:p>
        </w:tc>
        <w:tc>
          <w:tcPr>
            <w:tcW w:w="6095" w:type="dxa"/>
            <w:gridSpan w:val="4"/>
            <w:tcBorders>
              <w:left w:val="single" w:sz="4" w:space="0" w:color="auto"/>
              <w:right w:val="single" w:sz="4" w:space="0" w:color="auto"/>
            </w:tcBorders>
            <w:shd w:val="clear" w:color="auto" w:fill="FFFFFF" w:themeFill="background1"/>
            <w:tcMar>
              <w:top w:w="57" w:type="dxa"/>
              <w:bottom w:w="57" w:type="dxa"/>
            </w:tcMar>
          </w:tcPr>
          <w:p w14:paraId="21C43E79" w14:textId="77777777" w:rsidR="00773CEF" w:rsidRPr="00FE14B5" w:rsidRDefault="00773CEF" w:rsidP="00773CEF">
            <w:pPr>
              <w:spacing w:after="0" w:line="240" w:lineRule="auto"/>
              <w:rPr>
                <w:rFonts w:cs="Arial"/>
              </w:rPr>
            </w:pPr>
            <w:r w:rsidRPr="00FE14B5">
              <w:rPr>
                <w:rFonts w:cs="Arial"/>
              </w:rPr>
              <w:t>Vertical</w:t>
            </w:r>
          </w:p>
        </w:tc>
      </w:tr>
      <w:tr w:rsidR="00773CEF" w:rsidRPr="00FE14B5" w14:paraId="054C4ABA" w14:textId="77777777" w:rsidTr="00773CEF">
        <w:tc>
          <w:tcPr>
            <w:tcW w:w="2547" w:type="dxa"/>
            <w:tcBorders>
              <w:left w:val="single" w:sz="4" w:space="0" w:color="auto"/>
              <w:right w:val="single" w:sz="4" w:space="0" w:color="auto"/>
            </w:tcBorders>
            <w:shd w:val="clear" w:color="auto" w:fill="auto"/>
            <w:tcMar>
              <w:top w:w="57" w:type="dxa"/>
              <w:bottom w:w="57" w:type="dxa"/>
            </w:tcMar>
          </w:tcPr>
          <w:p w14:paraId="30CF173B" w14:textId="56EB87FC" w:rsidR="00773CEF" w:rsidRPr="00FE14B5" w:rsidRDefault="00773CEF" w:rsidP="00773CEF">
            <w:pPr>
              <w:spacing w:after="0" w:line="240" w:lineRule="auto"/>
              <w:rPr>
                <w:rFonts w:cs="Arial"/>
              </w:rPr>
            </w:pPr>
            <w:r w:rsidRPr="00FE14B5">
              <w:rPr>
                <w:rFonts w:cs="Arial"/>
              </w:rPr>
              <w:t>Maximum Antenna Height</w:t>
            </w:r>
          </w:p>
        </w:tc>
        <w:tc>
          <w:tcPr>
            <w:tcW w:w="6095" w:type="dxa"/>
            <w:gridSpan w:val="4"/>
            <w:tcBorders>
              <w:left w:val="single" w:sz="4" w:space="0" w:color="auto"/>
              <w:right w:val="single" w:sz="4" w:space="0" w:color="auto"/>
            </w:tcBorders>
            <w:shd w:val="clear" w:color="auto" w:fill="auto"/>
            <w:tcMar>
              <w:top w:w="57" w:type="dxa"/>
              <w:bottom w:w="57" w:type="dxa"/>
            </w:tcMar>
          </w:tcPr>
          <w:p w14:paraId="13BAEE15" w14:textId="77777777" w:rsidR="00773CEF" w:rsidRPr="00FE14B5" w:rsidRDefault="00773CEF" w:rsidP="00773CEF">
            <w:pPr>
              <w:spacing w:after="0" w:line="240" w:lineRule="auto"/>
              <w:rPr>
                <w:rFonts w:cs="Arial"/>
              </w:rPr>
            </w:pPr>
            <w:r w:rsidRPr="00FE14B5">
              <w:rPr>
                <w:rFonts w:cs="Arial"/>
              </w:rPr>
              <w:t>20 metres</w:t>
            </w:r>
          </w:p>
        </w:tc>
      </w:tr>
      <w:tr w:rsidR="00773CEF" w:rsidRPr="00FE14B5" w14:paraId="1C94F998" w14:textId="77777777" w:rsidTr="00773CEF">
        <w:tc>
          <w:tcPr>
            <w:tcW w:w="2547" w:type="dxa"/>
            <w:tcBorders>
              <w:left w:val="single" w:sz="4" w:space="0" w:color="auto"/>
              <w:right w:val="single" w:sz="4" w:space="0" w:color="auto"/>
            </w:tcBorders>
            <w:shd w:val="clear" w:color="auto" w:fill="FFFFFF" w:themeFill="background1"/>
            <w:tcMar>
              <w:top w:w="57" w:type="dxa"/>
              <w:bottom w:w="57" w:type="dxa"/>
            </w:tcMar>
          </w:tcPr>
          <w:p w14:paraId="5ADB680B" w14:textId="24CCAA09" w:rsidR="00773CEF" w:rsidRPr="00FE14B5" w:rsidRDefault="00773CEF" w:rsidP="00773CEF">
            <w:pPr>
              <w:spacing w:after="0" w:line="240" w:lineRule="auto"/>
              <w:rPr>
                <w:rFonts w:cs="Arial"/>
              </w:rPr>
            </w:pPr>
            <w:r w:rsidRPr="00FE14B5">
              <w:rPr>
                <w:rFonts w:cs="Arial"/>
              </w:rPr>
              <w:t>Special Conditions/</w:t>
            </w:r>
          </w:p>
          <w:p w14:paraId="2E336578" w14:textId="5AA3ECCA" w:rsidR="00773CEF" w:rsidRPr="00FE14B5" w:rsidRDefault="00773CEF" w:rsidP="00773CEF">
            <w:pPr>
              <w:spacing w:after="0" w:line="240" w:lineRule="auto"/>
              <w:rPr>
                <w:rFonts w:cs="Arial"/>
              </w:rPr>
            </w:pPr>
            <w:r w:rsidRPr="00FE14B5">
              <w:rPr>
                <w:rFonts w:cs="Arial"/>
              </w:rPr>
              <w:t>Advisory Notes</w:t>
            </w:r>
          </w:p>
        </w:tc>
        <w:tc>
          <w:tcPr>
            <w:tcW w:w="6095" w:type="dxa"/>
            <w:gridSpan w:val="4"/>
            <w:tcBorders>
              <w:left w:val="single" w:sz="4" w:space="0" w:color="auto"/>
              <w:right w:val="single" w:sz="4" w:space="0" w:color="auto"/>
            </w:tcBorders>
            <w:shd w:val="clear" w:color="auto" w:fill="FFFFFF" w:themeFill="background1"/>
            <w:tcMar>
              <w:top w:w="57" w:type="dxa"/>
              <w:bottom w:w="57" w:type="dxa"/>
            </w:tcMar>
          </w:tcPr>
          <w:p w14:paraId="04C88B4F" w14:textId="77777777" w:rsidR="00773CEF" w:rsidRPr="00FE14B5" w:rsidRDefault="00773CEF" w:rsidP="00773CEF">
            <w:pPr>
              <w:spacing w:after="0"/>
              <w:rPr>
                <w:rFonts w:cs="Arial"/>
                <w:b/>
                <w:color w:val="FF0000"/>
                <w:szCs w:val="20"/>
              </w:rPr>
            </w:pPr>
            <w:r w:rsidRPr="00FE14B5">
              <w:rPr>
                <w:rFonts w:cs="Arial"/>
                <w:szCs w:val="20"/>
              </w:rPr>
              <w:t>AN: The coverage area of this transmission is defined as that area within a radius of 7 kilometres measured from a point with the following AMG co-ordinates: Zone 50; Easting 390058; Northing 6469150. This point is the same as the nominal transmitter site.</w:t>
            </w:r>
            <w:r w:rsidRPr="00FE14B5">
              <w:rPr>
                <w:rFonts w:cs="Arial"/>
                <w:b/>
                <w:color w:val="FF0000"/>
              </w:rPr>
              <w:t xml:space="preserve"> </w:t>
            </w:r>
          </w:p>
        </w:tc>
      </w:tr>
    </w:tbl>
    <w:p w14:paraId="5EF1CE52" w14:textId="77777777" w:rsidR="00FE14B5" w:rsidRPr="00FE14B5" w:rsidRDefault="00FE14B5" w:rsidP="00773CEF">
      <w:pPr>
        <w:pStyle w:val="Paragraph"/>
      </w:pPr>
    </w:p>
    <w:p w14:paraId="5FA07EAF" w14:textId="77777777" w:rsidR="00FE14B5" w:rsidRPr="00773CEF" w:rsidRDefault="00FE14B5" w:rsidP="00773CEF">
      <w:pPr>
        <w:pStyle w:val="Paragraph"/>
        <w:rPr>
          <w:highlight w:val="yellow"/>
        </w:rPr>
      </w:pPr>
    </w:p>
    <w:p w14:paraId="2B28D764" w14:textId="77777777" w:rsidR="00FE14B5" w:rsidRPr="00FE14B5" w:rsidRDefault="00FE14B5" w:rsidP="00FE14B5">
      <w:pPr>
        <w:spacing w:after="0"/>
        <w:rPr>
          <w:sz w:val="12"/>
          <w:szCs w:val="12"/>
          <w:highlight w:val="yellow"/>
        </w:rPr>
      </w:pPr>
      <w:r w:rsidRPr="00FE14B5">
        <w:rPr>
          <w:sz w:val="12"/>
          <w:szCs w:val="12"/>
          <w:highlight w:val="yellow"/>
        </w:rPr>
        <w:br w:type="page"/>
      </w:r>
    </w:p>
    <w:tbl>
      <w:tblPr>
        <w:tblpPr w:leftFromText="180" w:rightFromText="180" w:vertAnchor="text" w:tblpY="1"/>
        <w:tblOverlap w:val="never"/>
        <w:tblW w:w="8642" w:type="dxa"/>
        <w:tblBorders>
          <w:top w:val="single" w:sz="4" w:space="0" w:color="auto"/>
          <w:bottom w:val="single" w:sz="4" w:space="0" w:color="auto"/>
          <w:insideH w:val="single" w:sz="4" w:space="0" w:color="auto"/>
        </w:tblBorders>
        <w:tblLayout w:type="fixed"/>
        <w:tblCellMar>
          <w:top w:w="85" w:type="dxa"/>
          <w:left w:w="85" w:type="dxa"/>
          <w:bottom w:w="85" w:type="dxa"/>
          <w:right w:w="85" w:type="dxa"/>
        </w:tblCellMar>
        <w:tblLook w:val="01E0" w:firstRow="1" w:lastRow="1" w:firstColumn="1" w:lastColumn="1" w:noHBand="0" w:noVBand="0"/>
        <w:tblCaption w:val="Table title to go here"/>
        <w:tblDescription w:val="Table description to go here"/>
      </w:tblPr>
      <w:tblGrid>
        <w:gridCol w:w="2547"/>
        <w:gridCol w:w="1978"/>
        <w:gridCol w:w="715"/>
        <w:gridCol w:w="1060"/>
        <w:gridCol w:w="2342"/>
      </w:tblGrid>
      <w:tr w:rsidR="00773CEF" w:rsidRPr="00FE14B5" w14:paraId="793A0795" w14:textId="77777777" w:rsidTr="00773CEF">
        <w:tc>
          <w:tcPr>
            <w:tcW w:w="2547" w:type="dxa"/>
            <w:tcBorders>
              <w:left w:val="single" w:sz="4" w:space="0" w:color="auto"/>
              <w:right w:val="single" w:sz="4" w:space="0" w:color="auto"/>
            </w:tcBorders>
            <w:shd w:val="clear" w:color="auto" w:fill="FFFFFF" w:themeFill="background1"/>
            <w:tcMar>
              <w:top w:w="57" w:type="dxa"/>
              <w:bottom w:w="57" w:type="dxa"/>
            </w:tcMar>
          </w:tcPr>
          <w:p w14:paraId="1A4B9892" w14:textId="77777777" w:rsidR="00773CEF" w:rsidRPr="00FE14B5" w:rsidRDefault="00773CEF" w:rsidP="00FF2CB1">
            <w:pPr>
              <w:spacing w:after="0" w:line="240" w:lineRule="auto"/>
              <w:rPr>
                <w:rFonts w:cs="Arial"/>
              </w:rPr>
            </w:pPr>
            <w:r w:rsidRPr="00FE14B5">
              <w:rPr>
                <w:rFonts w:cs="Arial"/>
              </w:rPr>
              <w:t>Current TS number</w:t>
            </w:r>
          </w:p>
        </w:tc>
        <w:tc>
          <w:tcPr>
            <w:tcW w:w="6095" w:type="dxa"/>
            <w:gridSpan w:val="4"/>
            <w:tcBorders>
              <w:left w:val="single" w:sz="4" w:space="0" w:color="auto"/>
              <w:right w:val="single" w:sz="4" w:space="0" w:color="auto"/>
            </w:tcBorders>
            <w:shd w:val="clear" w:color="auto" w:fill="FFFFFF" w:themeFill="background1"/>
            <w:tcMar>
              <w:top w:w="57" w:type="dxa"/>
              <w:bottom w:w="57" w:type="dxa"/>
            </w:tcMar>
          </w:tcPr>
          <w:p w14:paraId="6128E730" w14:textId="77777777" w:rsidR="00773CEF" w:rsidRPr="00FE14B5" w:rsidRDefault="00773CEF" w:rsidP="00FF2CB1">
            <w:pPr>
              <w:spacing w:after="0"/>
              <w:rPr>
                <w:rFonts w:cs="Arial"/>
                <w:color w:val="FF0000"/>
                <w:szCs w:val="20"/>
              </w:rPr>
            </w:pPr>
            <w:r w:rsidRPr="00FE14B5">
              <w:rPr>
                <w:rFonts w:cs="Arial"/>
                <w:szCs w:val="20"/>
              </w:rPr>
              <w:t>10002391</w:t>
            </w:r>
          </w:p>
        </w:tc>
      </w:tr>
      <w:tr w:rsidR="00773CEF" w:rsidRPr="00FE14B5" w14:paraId="471AC1B2" w14:textId="77777777" w:rsidTr="00773CEF">
        <w:tc>
          <w:tcPr>
            <w:tcW w:w="2547" w:type="dxa"/>
            <w:tcBorders>
              <w:left w:val="single" w:sz="4" w:space="0" w:color="auto"/>
              <w:right w:val="single" w:sz="4" w:space="0" w:color="auto"/>
            </w:tcBorders>
            <w:shd w:val="clear" w:color="auto" w:fill="FFFFFF" w:themeFill="background1"/>
            <w:tcMar>
              <w:top w:w="57" w:type="dxa"/>
              <w:bottom w:w="57" w:type="dxa"/>
            </w:tcMar>
          </w:tcPr>
          <w:p w14:paraId="4241D597" w14:textId="77777777" w:rsidR="00773CEF" w:rsidRPr="00FE14B5" w:rsidRDefault="00773CEF" w:rsidP="00FF2CB1">
            <w:pPr>
              <w:spacing w:after="0" w:line="240" w:lineRule="auto"/>
              <w:rPr>
                <w:rFonts w:cs="Arial"/>
              </w:rPr>
            </w:pPr>
            <w:r w:rsidRPr="00FE14B5">
              <w:rPr>
                <w:rFonts w:cs="Arial"/>
              </w:rPr>
              <w:t>TS Number</w:t>
            </w:r>
          </w:p>
        </w:tc>
        <w:tc>
          <w:tcPr>
            <w:tcW w:w="6095" w:type="dxa"/>
            <w:gridSpan w:val="4"/>
            <w:tcBorders>
              <w:left w:val="single" w:sz="4" w:space="0" w:color="auto"/>
              <w:right w:val="single" w:sz="4" w:space="0" w:color="auto"/>
            </w:tcBorders>
            <w:shd w:val="clear" w:color="auto" w:fill="FFFFFF" w:themeFill="background1"/>
            <w:tcMar>
              <w:top w:w="57" w:type="dxa"/>
              <w:bottom w:w="57" w:type="dxa"/>
            </w:tcMar>
          </w:tcPr>
          <w:p w14:paraId="72ABE26F" w14:textId="77777777" w:rsidR="00773CEF" w:rsidRPr="00FE14B5" w:rsidRDefault="00773CEF" w:rsidP="00FF2CB1">
            <w:pPr>
              <w:spacing w:after="0" w:line="240" w:lineRule="auto"/>
              <w:rPr>
                <w:rFonts w:cs="Arial"/>
              </w:rPr>
            </w:pPr>
            <w:r w:rsidRPr="00FE14B5">
              <w:rPr>
                <w:rFonts w:cs="Arial"/>
                <w:b/>
                <w:color w:val="FF0000"/>
              </w:rPr>
              <w:t xml:space="preserve">TS  </w:t>
            </w:r>
            <w:r w:rsidRPr="00166C7E">
              <w:rPr>
                <w:rFonts w:cs="Arial"/>
                <w:b/>
                <w:color w:val="FF0000"/>
              </w:rPr>
              <w:t>XXXXXXXXX</w:t>
            </w:r>
          </w:p>
        </w:tc>
      </w:tr>
      <w:tr w:rsidR="00773CEF" w:rsidRPr="00FE14B5" w14:paraId="37D3003B" w14:textId="77777777" w:rsidTr="00773CEF">
        <w:tc>
          <w:tcPr>
            <w:tcW w:w="2547" w:type="dxa"/>
            <w:tcBorders>
              <w:left w:val="single" w:sz="4" w:space="0" w:color="auto"/>
              <w:right w:val="single" w:sz="4" w:space="0" w:color="auto"/>
            </w:tcBorders>
            <w:shd w:val="clear" w:color="auto" w:fill="FFFFFF" w:themeFill="background1"/>
            <w:tcMar>
              <w:top w:w="57" w:type="dxa"/>
              <w:bottom w:w="57" w:type="dxa"/>
            </w:tcMar>
          </w:tcPr>
          <w:p w14:paraId="6885AFCA" w14:textId="77777777" w:rsidR="00773CEF" w:rsidRPr="00FE14B5" w:rsidRDefault="00773CEF" w:rsidP="00FF2CB1">
            <w:pPr>
              <w:spacing w:after="0" w:line="240" w:lineRule="auto"/>
              <w:rPr>
                <w:rFonts w:cs="Arial"/>
              </w:rPr>
            </w:pPr>
            <w:r w:rsidRPr="00FE14B5">
              <w:rPr>
                <w:rFonts w:cs="Arial"/>
              </w:rPr>
              <w:t>Callsign of licensee</w:t>
            </w:r>
          </w:p>
        </w:tc>
        <w:tc>
          <w:tcPr>
            <w:tcW w:w="6095" w:type="dxa"/>
            <w:gridSpan w:val="4"/>
            <w:tcBorders>
              <w:left w:val="single" w:sz="4" w:space="0" w:color="auto"/>
              <w:right w:val="single" w:sz="4" w:space="0" w:color="auto"/>
            </w:tcBorders>
            <w:shd w:val="clear" w:color="auto" w:fill="FFFFFF" w:themeFill="background1"/>
            <w:tcMar>
              <w:top w:w="57" w:type="dxa"/>
              <w:bottom w:w="57" w:type="dxa"/>
            </w:tcMar>
          </w:tcPr>
          <w:p w14:paraId="6BB5C853" w14:textId="77777777" w:rsidR="00773CEF" w:rsidRPr="00FE14B5" w:rsidRDefault="00773CEF" w:rsidP="00FF2CB1">
            <w:pPr>
              <w:spacing w:after="0" w:line="240" w:lineRule="auto"/>
              <w:rPr>
                <w:rFonts w:cs="Arial"/>
              </w:rPr>
            </w:pPr>
            <w:r w:rsidRPr="00FE14B5">
              <w:rPr>
                <w:rFonts w:cs="Arial"/>
              </w:rPr>
              <w:t xml:space="preserve">6SAT </w:t>
            </w:r>
          </w:p>
        </w:tc>
      </w:tr>
      <w:tr w:rsidR="00773CEF" w:rsidRPr="00FE14B5" w14:paraId="779E55F9" w14:textId="77777777" w:rsidTr="00773CEF">
        <w:tc>
          <w:tcPr>
            <w:tcW w:w="2547" w:type="dxa"/>
            <w:tcBorders>
              <w:left w:val="single" w:sz="4" w:space="0" w:color="auto"/>
              <w:right w:val="single" w:sz="4" w:space="0" w:color="auto"/>
            </w:tcBorders>
            <w:shd w:val="clear" w:color="auto" w:fill="FFFFFF" w:themeFill="background1"/>
            <w:tcMar>
              <w:top w:w="57" w:type="dxa"/>
              <w:bottom w:w="57" w:type="dxa"/>
            </w:tcMar>
          </w:tcPr>
          <w:p w14:paraId="34BC9673" w14:textId="77777777" w:rsidR="00773CEF" w:rsidRPr="00FE14B5" w:rsidRDefault="00773CEF" w:rsidP="00FF2CB1">
            <w:pPr>
              <w:spacing w:after="0" w:line="240" w:lineRule="auto"/>
              <w:rPr>
                <w:rFonts w:cs="Arial"/>
              </w:rPr>
            </w:pPr>
            <w:r w:rsidRPr="00FE14B5">
              <w:rPr>
                <w:rFonts w:cs="Arial"/>
              </w:rPr>
              <w:t>Area Served</w:t>
            </w:r>
          </w:p>
        </w:tc>
        <w:tc>
          <w:tcPr>
            <w:tcW w:w="6095" w:type="dxa"/>
            <w:gridSpan w:val="4"/>
            <w:tcBorders>
              <w:left w:val="single" w:sz="4" w:space="0" w:color="auto"/>
              <w:right w:val="single" w:sz="4" w:space="0" w:color="auto"/>
            </w:tcBorders>
            <w:shd w:val="clear" w:color="auto" w:fill="FFFFFF" w:themeFill="background1"/>
            <w:tcMar>
              <w:top w:w="57" w:type="dxa"/>
              <w:bottom w:w="57" w:type="dxa"/>
            </w:tcMar>
          </w:tcPr>
          <w:p w14:paraId="41E48A67" w14:textId="77777777" w:rsidR="00773CEF" w:rsidRPr="00FE14B5" w:rsidRDefault="00773CEF" w:rsidP="00FF2CB1">
            <w:pPr>
              <w:spacing w:after="0"/>
              <w:rPr>
                <w:rFonts w:cs="Arial"/>
                <w:szCs w:val="20"/>
              </w:rPr>
            </w:pPr>
            <w:r w:rsidRPr="00FE14B5">
              <w:rPr>
                <w:rFonts w:cs="Arial"/>
                <w:szCs w:val="20"/>
              </w:rPr>
              <w:t>Leeman</w:t>
            </w:r>
          </w:p>
        </w:tc>
      </w:tr>
      <w:tr w:rsidR="00773CEF" w:rsidRPr="00FE14B5" w14:paraId="46D3AA0B" w14:textId="77777777" w:rsidTr="00773CEF">
        <w:tc>
          <w:tcPr>
            <w:tcW w:w="2547" w:type="dxa"/>
            <w:tcBorders>
              <w:left w:val="single" w:sz="4" w:space="0" w:color="auto"/>
              <w:right w:val="single" w:sz="4" w:space="0" w:color="auto"/>
            </w:tcBorders>
            <w:shd w:val="clear" w:color="auto" w:fill="FFFFFF" w:themeFill="background1"/>
            <w:tcMar>
              <w:top w:w="57" w:type="dxa"/>
              <w:bottom w:w="57" w:type="dxa"/>
            </w:tcMar>
          </w:tcPr>
          <w:p w14:paraId="10553961" w14:textId="77777777" w:rsidR="00773CEF" w:rsidRPr="00FE14B5" w:rsidRDefault="00773CEF" w:rsidP="00FF2CB1">
            <w:pPr>
              <w:spacing w:after="0" w:line="240" w:lineRule="auto"/>
              <w:rPr>
                <w:rFonts w:cs="Arial"/>
              </w:rPr>
            </w:pPr>
            <w:r w:rsidRPr="00FE14B5">
              <w:rPr>
                <w:rFonts w:cs="Arial"/>
              </w:rPr>
              <w:t>Nominal location</w:t>
            </w:r>
          </w:p>
        </w:tc>
        <w:tc>
          <w:tcPr>
            <w:tcW w:w="6095" w:type="dxa"/>
            <w:gridSpan w:val="4"/>
            <w:tcBorders>
              <w:left w:val="single" w:sz="4" w:space="0" w:color="auto"/>
              <w:right w:val="single" w:sz="4" w:space="0" w:color="auto"/>
            </w:tcBorders>
            <w:shd w:val="clear" w:color="auto" w:fill="FFFFFF" w:themeFill="background1"/>
            <w:tcMar>
              <w:top w:w="57" w:type="dxa"/>
              <w:bottom w:w="57" w:type="dxa"/>
            </w:tcMar>
          </w:tcPr>
          <w:p w14:paraId="308704E6" w14:textId="77777777" w:rsidR="00773CEF" w:rsidRPr="00FE14B5" w:rsidRDefault="00773CEF" w:rsidP="00FF2CB1">
            <w:pPr>
              <w:spacing w:after="0"/>
              <w:rPr>
                <w:rFonts w:cs="Arial"/>
                <w:szCs w:val="20"/>
              </w:rPr>
            </w:pPr>
            <w:r w:rsidRPr="00FE14B5">
              <w:rPr>
                <w:rFonts w:cs="Arial"/>
                <w:szCs w:val="20"/>
              </w:rPr>
              <w:t>Broadcast Site South of Thomas St LEEMAN</w:t>
            </w:r>
          </w:p>
        </w:tc>
      </w:tr>
      <w:tr w:rsidR="00773CEF" w:rsidRPr="00FE14B5" w14:paraId="64F7A490" w14:textId="77777777" w:rsidTr="00773CEF">
        <w:tc>
          <w:tcPr>
            <w:tcW w:w="2547" w:type="dxa"/>
            <w:tcBorders>
              <w:left w:val="single" w:sz="4" w:space="0" w:color="auto"/>
              <w:bottom w:val="single" w:sz="4" w:space="0" w:color="auto"/>
              <w:right w:val="single" w:sz="4" w:space="0" w:color="auto"/>
            </w:tcBorders>
            <w:tcMar>
              <w:top w:w="57" w:type="dxa"/>
              <w:bottom w:w="57" w:type="dxa"/>
            </w:tcMar>
          </w:tcPr>
          <w:p w14:paraId="412F5491" w14:textId="5DBFF333" w:rsidR="00773CEF" w:rsidRPr="00FE14B5" w:rsidRDefault="00773CEF" w:rsidP="00FF2CB1">
            <w:pPr>
              <w:spacing w:after="0" w:line="240" w:lineRule="auto"/>
              <w:rPr>
                <w:rFonts w:cs="Arial"/>
              </w:rPr>
            </w:pPr>
            <w:r w:rsidRPr="00FE14B5">
              <w:rPr>
                <w:rFonts w:cs="Arial"/>
              </w:rPr>
              <w:t>RADCOM Site ID</w:t>
            </w:r>
          </w:p>
        </w:tc>
        <w:tc>
          <w:tcPr>
            <w:tcW w:w="6095" w:type="dxa"/>
            <w:gridSpan w:val="4"/>
            <w:tcBorders>
              <w:left w:val="single" w:sz="4" w:space="0" w:color="auto"/>
              <w:bottom w:val="single" w:sz="4" w:space="0" w:color="auto"/>
              <w:right w:val="single" w:sz="4" w:space="0" w:color="auto"/>
            </w:tcBorders>
            <w:tcMar>
              <w:top w:w="57" w:type="dxa"/>
              <w:bottom w:w="57" w:type="dxa"/>
            </w:tcMar>
          </w:tcPr>
          <w:p w14:paraId="4FCC2015" w14:textId="77777777" w:rsidR="00773CEF" w:rsidRPr="00FE14B5" w:rsidRDefault="00773CEF" w:rsidP="00FF2CB1">
            <w:pPr>
              <w:spacing w:after="0"/>
              <w:rPr>
                <w:rFonts w:cs="Arial"/>
                <w:szCs w:val="20"/>
              </w:rPr>
            </w:pPr>
            <w:r w:rsidRPr="00FE14B5">
              <w:rPr>
                <w:rFonts w:cs="Arial"/>
                <w:szCs w:val="20"/>
              </w:rPr>
              <w:t>30650</w:t>
            </w:r>
          </w:p>
        </w:tc>
      </w:tr>
      <w:tr w:rsidR="00773CEF" w:rsidRPr="00FE14B5" w14:paraId="646E2577" w14:textId="77777777" w:rsidTr="00773CEF">
        <w:tc>
          <w:tcPr>
            <w:tcW w:w="2547" w:type="dxa"/>
            <w:vMerge w:val="restart"/>
            <w:tcBorders>
              <w:left w:val="single" w:sz="4" w:space="0" w:color="auto"/>
              <w:right w:val="single" w:sz="4" w:space="0" w:color="auto"/>
            </w:tcBorders>
            <w:tcMar>
              <w:top w:w="57" w:type="dxa"/>
              <w:bottom w:w="57" w:type="dxa"/>
            </w:tcMar>
          </w:tcPr>
          <w:p w14:paraId="0B71077A" w14:textId="27E1C1FF" w:rsidR="00773CEF" w:rsidRPr="00FE14B5" w:rsidRDefault="00773CEF" w:rsidP="00FF2CB1">
            <w:pPr>
              <w:spacing w:after="0" w:line="240" w:lineRule="auto"/>
              <w:rPr>
                <w:rFonts w:cs="Arial"/>
              </w:rPr>
            </w:pPr>
            <w:r w:rsidRPr="00FE14B5">
              <w:rPr>
                <w:rFonts w:cs="Arial"/>
              </w:rPr>
              <w:t>Coordinates Information</w:t>
            </w:r>
          </w:p>
        </w:tc>
        <w:tc>
          <w:tcPr>
            <w:tcW w:w="2693" w:type="dxa"/>
            <w:gridSpan w:val="2"/>
            <w:tcBorders>
              <w:left w:val="single" w:sz="4" w:space="0" w:color="auto"/>
              <w:bottom w:val="single" w:sz="4" w:space="0" w:color="auto"/>
              <w:right w:val="single" w:sz="4" w:space="0" w:color="auto"/>
            </w:tcBorders>
            <w:tcMar>
              <w:top w:w="57" w:type="dxa"/>
              <w:bottom w:w="57" w:type="dxa"/>
            </w:tcMar>
          </w:tcPr>
          <w:p w14:paraId="0A387AA9" w14:textId="77777777" w:rsidR="00773CEF" w:rsidRPr="00FE14B5" w:rsidRDefault="00773CEF" w:rsidP="00FF2CB1">
            <w:pPr>
              <w:spacing w:after="0" w:line="240" w:lineRule="auto"/>
              <w:rPr>
                <w:rFonts w:cs="Arial"/>
              </w:rPr>
            </w:pPr>
            <w:r w:rsidRPr="00FE14B5">
              <w:rPr>
                <w:rFonts w:cs="Arial"/>
              </w:rPr>
              <w:t>Latitude (GDA94)</w:t>
            </w:r>
          </w:p>
          <w:p w14:paraId="33C666BC" w14:textId="77777777" w:rsidR="00773CEF" w:rsidRPr="00FE14B5" w:rsidRDefault="00773CEF" w:rsidP="00FF2CB1">
            <w:pPr>
              <w:spacing w:after="0"/>
              <w:rPr>
                <w:rFonts w:cs="Arial"/>
                <w:szCs w:val="20"/>
              </w:rPr>
            </w:pPr>
            <w:r w:rsidRPr="00FE14B5">
              <w:rPr>
                <w:rFonts w:cs="Arial"/>
                <w:szCs w:val="20"/>
              </w:rPr>
              <w:t>-29.95167</w:t>
            </w:r>
          </w:p>
        </w:tc>
        <w:tc>
          <w:tcPr>
            <w:tcW w:w="3402" w:type="dxa"/>
            <w:gridSpan w:val="2"/>
            <w:tcBorders>
              <w:left w:val="single" w:sz="4" w:space="0" w:color="auto"/>
              <w:bottom w:val="single" w:sz="4" w:space="0" w:color="auto"/>
              <w:right w:val="single" w:sz="4" w:space="0" w:color="auto"/>
            </w:tcBorders>
            <w:tcMar>
              <w:top w:w="57" w:type="dxa"/>
              <w:bottom w:w="57" w:type="dxa"/>
            </w:tcMar>
          </w:tcPr>
          <w:p w14:paraId="5D5FFCC2" w14:textId="77777777" w:rsidR="00773CEF" w:rsidRPr="00FE14B5" w:rsidRDefault="00773CEF" w:rsidP="00FF2CB1">
            <w:pPr>
              <w:spacing w:after="0" w:line="240" w:lineRule="auto"/>
              <w:rPr>
                <w:rFonts w:cs="Arial"/>
              </w:rPr>
            </w:pPr>
            <w:r w:rsidRPr="00FE14B5">
              <w:rPr>
                <w:rFonts w:cs="Arial"/>
              </w:rPr>
              <w:t>Longitude (GDA94)</w:t>
            </w:r>
          </w:p>
          <w:p w14:paraId="46707CBC" w14:textId="77777777" w:rsidR="00773CEF" w:rsidRPr="00FE14B5" w:rsidRDefault="00773CEF" w:rsidP="00FF2CB1">
            <w:pPr>
              <w:spacing w:after="0"/>
              <w:rPr>
                <w:rFonts w:cs="Arial"/>
                <w:szCs w:val="20"/>
              </w:rPr>
            </w:pPr>
            <w:r w:rsidRPr="00FE14B5">
              <w:rPr>
                <w:rFonts w:cs="Arial"/>
                <w:szCs w:val="20"/>
              </w:rPr>
              <w:t>114.97664</w:t>
            </w:r>
          </w:p>
        </w:tc>
      </w:tr>
      <w:tr w:rsidR="00773CEF" w:rsidRPr="00FE14B5" w14:paraId="57C28F2E" w14:textId="77777777" w:rsidTr="00773CEF">
        <w:tc>
          <w:tcPr>
            <w:tcW w:w="2547" w:type="dxa"/>
            <w:vMerge/>
            <w:tcBorders>
              <w:left w:val="single" w:sz="4" w:space="0" w:color="auto"/>
              <w:right w:val="single" w:sz="4" w:space="0" w:color="auto"/>
            </w:tcBorders>
            <w:shd w:val="clear" w:color="auto" w:fill="FFFFFF" w:themeFill="background1"/>
            <w:tcMar>
              <w:top w:w="57" w:type="dxa"/>
              <w:bottom w:w="57" w:type="dxa"/>
            </w:tcMar>
          </w:tcPr>
          <w:p w14:paraId="70A03905" w14:textId="77777777" w:rsidR="00773CEF" w:rsidRPr="00FE14B5" w:rsidRDefault="00773CEF" w:rsidP="00FF2CB1">
            <w:pPr>
              <w:spacing w:after="0" w:line="240" w:lineRule="auto"/>
              <w:rPr>
                <w:rFonts w:cs="Arial"/>
              </w:rPr>
            </w:pPr>
          </w:p>
        </w:tc>
        <w:tc>
          <w:tcPr>
            <w:tcW w:w="1978" w:type="dxa"/>
            <w:tcBorders>
              <w:left w:val="single" w:sz="4" w:space="0" w:color="auto"/>
              <w:right w:val="single" w:sz="4" w:space="0" w:color="auto"/>
            </w:tcBorders>
            <w:shd w:val="clear" w:color="auto" w:fill="FFFFFF" w:themeFill="background1"/>
            <w:tcMar>
              <w:top w:w="57" w:type="dxa"/>
              <w:bottom w:w="57" w:type="dxa"/>
            </w:tcMar>
          </w:tcPr>
          <w:p w14:paraId="4DB85925" w14:textId="77777777" w:rsidR="00773CEF" w:rsidRPr="00FE14B5" w:rsidRDefault="00773CEF" w:rsidP="00FF2CB1">
            <w:pPr>
              <w:spacing w:after="0" w:line="240" w:lineRule="auto"/>
              <w:rPr>
                <w:rFonts w:cs="Arial"/>
              </w:rPr>
            </w:pPr>
            <w:r w:rsidRPr="00FE14B5">
              <w:rPr>
                <w:rFonts w:cs="Arial"/>
              </w:rPr>
              <w:t>Zone (AMG66)</w:t>
            </w:r>
          </w:p>
          <w:p w14:paraId="3440C2AC" w14:textId="77777777" w:rsidR="00773CEF" w:rsidRPr="00FE14B5" w:rsidRDefault="00773CEF" w:rsidP="00FF2CB1">
            <w:pPr>
              <w:spacing w:after="0" w:line="240" w:lineRule="auto"/>
              <w:rPr>
                <w:rFonts w:cs="Arial"/>
              </w:rPr>
            </w:pPr>
            <w:r w:rsidRPr="00FE14B5">
              <w:rPr>
                <w:rFonts w:cs="Arial"/>
              </w:rPr>
              <w:t>50</w:t>
            </w:r>
          </w:p>
        </w:tc>
        <w:tc>
          <w:tcPr>
            <w:tcW w:w="1775" w:type="dxa"/>
            <w:gridSpan w:val="2"/>
            <w:tcBorders>
              <w:left w:val="single" w:sz="4" w:space="0" w:color="auto"/>
              <w:right w:val="single" w:sz="4" w:space="0" w:color="auto"/>
            </w:tcBorders>
            <w:shd w:val="clear" w:color="auto" w:fill="FFFFFF" w:themeFill="background1"/>
            <w:tcMar>
              <w:top w:w="57" w:type="dxa"/>
              <w:bottom w:w="57" w:type="dxa"/>
            </w:tcMar>
          </w:tcPr>
          <w:p w14:paraId="33791F58" w14:textId="77777777" w:rsidR="00773CEF" w:rsidRPr="00FE14B5" w:rsidRDefault="00773CEF" w:rsidP="00FF2CB1">
            <w:pPr>
              <w:spacing w:after="0" w:line="240" w:lineRule="auto"/>
              <w:rPr>
                <w:rFonts w:cs="Arial"/>
              </w:rPr>
            </w:pPr>
            <w:r w:rsidRPr="00FE14B5">
              <w:rPr>
                <w:rFonts w:cs="Arial"/>
              </w:rPr>
              <w:t>Easting (AMG66)</w:t>
            </w:r>
          </w:p>
          <w:p w14:paraId="48B44B29" w14:textId="77777777" w:rsidR="00773CEF" w:rsidRPr="00FE14B5" w:rsidRDefault="00773CEF" w:rsidP="00FF2CB1">
            <w:pPr>
              <w:spacing w:after="0"/>
              <w:rPr>
                <w:rFonts w:cs="Arial"/>
                <w:szCs w:val="20"/>
              </w:rPr>
            </w:pPr>
            <w:r w:rsidRPr="00FE14B5">
              <w:rPr>
                <w:rFonts w:cs="Arial"/>
                <w:szCs w:val="20"/>
              </w:rPr>
              <w:t>304600</w:t>
            </w:r>
          </w:p>
        </w:tc>
        <w:tc>
          <w:tcPr>
            <w:tcW w:w="2342" w:type="dxa"/>
            <w:tcBorders>
              <w:left w:val="single" w:sz="4" w:space="0" w:color="auto"/>
              <w:right w:val="single" w:sz="4" w:space="0" w:color="auto"/>
            </w:tcBorders>
            <w:shd w:val="clear" w:color="auto" w:fill="FFFFFF" w:themeFill="background1"/>
            <w:tcMar>
              <w:top w:w="57" w:type="dxa"/>
              <w:bottom w:w="57" w:type="dxa"/>
            </w:tcMar>
          </w:tcPr>
          <w:p w14:paraId="47B435B7" w14:textId="77777777" w:rsidR="00773CEF" w:rsidRPr="00FE14B5" w:rsidRDefault="00773CEF" w:rsidP="00FF2CB1">
            <w:pPr>
              <w:spacing w:after="0" w:line="240" w:lineRule="auto"/>
              <w:rPr>
                <w:rFonts w:cs="Arial"/>
              </w:rPr>
            </w:pPr>
            <w:r w:rsidRPr="00FE14B5">
              <w:rPr>
                <w:rFonts w:cs="Arial"/>
              </w:rPr>
              <w:t>Northing (AMG66)</w:t>
            </w:r>
          </w:p>
          <w:p w14:paraId="677D94CE" w14:textId="77777777" w:rsidR="00773CEF" w:rsidRPr="00FE14B5" w:rsidRDefault="00773CEF" w:rsidP="00FF2CB1">
            <w:pPr>
              <w:spacing w:after="0"/>
              <w:rPr>
                <w:rFonts w:cs="Arial"/>
                <w:szCs w:val="20"/>
              </w:rPr>
            </w:pPr>
            <w:r w:rsidRPr="00FE14B5">
              <w:rPr>
                <w:rFonts w:cs="Arial"/>
                <w:szCs w:val="20"/>
              </w:rPr>
              <w:t>6684700</w:t>
            </w:r>
          </w:p>
        </w:tc>
      </w:tr>
      <w:tr w:rsidR="00773CEF" w:rsidRPr="00FE14B5" w14:paraId="0B993511" w14:textId="77777777" w:rsidTr="00773CEF">
        <w:tc>
          <w:tcPr>
            <w:tcW w:w="2547" w:type="dxa"/>
            <w:tcBorders>
              <w:left w:val="single" w:sz="4" w:space="0" w:color="auto"/>
              <w:right w:val="single" w:sz="4" w:space="0" w:color="auto"/>
            </w:tcBorders>
            <w:shd w:val="clear" w:color="auto" w:fill="FFFFFF" w:themeFill="background1"/>
            <w:tcMar>
              <w:top w:w="57" w:type="dxa"/>
              <w:bottom w:w="57" w:type="dxa"/>
            </w:tcMar>
          </w:tcPr>
          <w:p w14:paraId="5DFBCA93" w14:textId="77777777" w:rsidR="00773CEF" w:rsidRPr="00FE14B5" w:rsidRDefault="00773CEF" w:rsidP="00FF2CB1">
            <w:pPr>
              <w:spacing w:after="0" w:line="240" w:lineRule="auto"/>
              <w:rPr>
                <w:rFonts w:cs="Arial"/>
              </w:rPr>
            </w:pPr>
            <w:r w:rsidRPr="00FE14B5">
              <w:rPr>
                <w:rFonts w:cs="Arial"/>
              </w:rPr>
              <w:t>Frequency</w:t>
            </w:r>
          </w:p>
        </w:tc>
        <w:tc>
          <w:tcPr>
            <w:tcW w:w="6095" w:type="dxa"/>
            <w:gridSpan w:val="4"/>
            <w:tcBorders>
              <w:left w:val="single" w:sz="4" w:space="0" w:color="auto"/>
              <w:right w:val="single" w:sz="4" w:space="0" w:color="auto"/>
            </w:tcBorders>
            <w:shd w:val="clear" w:color="auto" w:fill="FFFFFF" w:themeFill="background1"/>
            <w:tcMar>
              <w:top w:w="57" w:type="dxa"/>
              <w:bottom w:w="57" w:type="dxa"/>
            </w:tcMar>
          </w:tcPr>
          <w:p w14:paraId="1F9754B4" w14:textId="77777777" w:rsidR="00773CEF" w:rsidRPr="00FE14B5" w:rsidRDefault="00773CEF" w:rsidP="00FF2CB1">
            <w:pPr>
              <w:spacing w:after="0" w:line="240" w:lineRule="auto"/>
              <w:rPr>
                <w:rFonts w:cs="Arial"/>
              </w:rPr>
            </w:pPr>
            <w:r w:rsidRPr="00FE14B5">
              <w:rPr>
                <w:rFonts w:cs="Arial"/>
              </w:rPr>
              <w:t xml:space="preserve">104.1 MHz </w:t>
            </w:r>
          </w:p>
        </w:tc>
      </w:tr>
      <w:tr w:rsidR="00773CEF" w:rsidRPr="00FE14B5" w14:paraId="08FDA29C" w14:textId="77777777" w:rsidTr="00773CEF">
        <w:tc>
          <w:tcPr>
            <w:tcW w:w="2547" w:type="dxa"/>
            <w:vMerge w:val="restart"/>
            <w:tcBorders>
              <w:left w:val="single" w:sz="4" w:space="0" w:color="auto"/>
              <w:right w:val="single" w:sz="4" w:space="0" w:color="auto"/>
            </w:tcBorders>
            <w:tcMar>
              <w:top w:w="57" w:type="dxa"/>
              <w:bottom w:w="57" w:type="dxa"/>
            </w:tcMar>
          </w:tcPr>
          <w:p w14:paraId="0F957F15" w14:textId="09904C9A" w:rsidR="00773CEF" w:rsidRPr="00FE14B5" w:rsidRDefault="00773CEF" w:rsidP="00FF2CB1">
            <w:pPr>
              <w:spacing w:after="0" w:line="240" w:lineRule="auto"/>
              <w:rPr>
                <w:rFonts w:cs="Arial"/>
              </w:rPr>
            </w:pPr>
            <w:r w:rsidRPr="00FE14B5">
              <w:rPr>
                <w:rFonts w:cs="Arial"/>
              </w:rPr>
              <w:t>Maximum ERP and Radiation Pattern</w:t>
            </w:r>
          </w:p>
        </w:tc>
        <w:tc>
          <w:tcPr>
            <w:tcW w:w="2693" w:type="dxa"/>
            <w:gridSpan w:val="2"/>
            <w:tcBorders>
              <w:left w:val="single" w:sz="4" w:space="0" w:color="auto"/>
              <w:bottom w:val="single" w:sz="4" w:space="0" w:color="auto"/>
              <w:right w:val="single" w:sz="4" w:space="0" w:color="auto"/>
            </w:tcBorders>
            <w:tcMar>
              <w:top w:w="57" w:type="dxa"/>
              <w:bottom w:w="57" w:type="dxa"/>
            </w:tcMar>
          </w:tcPr>
          <w:p w14:paraId="7538FB0D" w14:textId="603AF263" w:rsidR="00773CEF" w:rsidRPr="00FE14B5" w:rsidRDefault="00773CEF" w:rsidP="00FF2CB1">
            <w:pPr>
              <w:spacing w:after="0" w:line="240" w:lineRule="auto"/>
              <w:rPr>
                <w:rFonts w:cs="Arial"/>
              </w:rPr>
            </w:pPr>
            <w:r w:rsidRPr="00FE14B5">
              <w:rPr>
                <w:rFonts w:cs="Arial"/>
              </w:rPr>
              <w:t>Azimuth Bearing (clockwise direction)</w:t>
            </w:r>
          </w:p>
        </w:tc>
        <w:tc>
          <w:tcPr>
            <w:tcW w:w="3402" w:type="dxa"/>
            <w:gridSpan w:val="2"/>
            <w:tcBorders>
              <w:left w:val="single" w:sz="4" w:space="0" w:color="auto"/>
              <w:bottom w:val="single" w:sz="4" w:space="0" w:color="auto"/>
              <w:right w:val="single" w:sz="4" w:space="0" w:color="auto"/>
            </w:tcBorders>
            <w:tcMar>
              <w:top w:w="57" w:type="dxa"/>
              <w:bottom w:w="57" w:type="dxa"/>
            </w:tcMar>
          </w:tcPr>
          <w:p w14:paraId="26042B4B" w14:textId="77777777" w:rsidR="00773CEF" w:rsidRPr="00FE14B5" w:rsidRDefault="00773CEF" w:rsidP="00FF2CB1">
            <w:pPr>
              <w:spacing w:after="0" w:line="240" w:lineRule="auto"/>
              <w:rPr>
                <w:rFonts w:cs="Arial"/>
              </w:rPr>
            </w:pPr>
            <w:r w:rsidRPr="00FE14B5">
              <w:rPr>
                <w:rFonts w:cs="Arial"/>
              </w:rPr>
              <w:t xml:space="preserve">Maximum ERP </w:t>
            </w:r>
          </w:p>
        </w:tc>
      </w:tr>
      <w:tr w:rsidR="00773CEF" w:rsidRPr="00FE14B5" w14:paraId="2E1E14B9" w14:textId="77777777" w:rsidTr="00773CEF">
        <w:tc>
          <w:tcPr>
            <w:tcW w:w="2547" w:type="dxa"/>
            <w:vMerge/>
            <w:tcBorders>
              <w:left w:val="single" w:sz="4" w:space="0" w:color="auto"/>
              <w:right w:val="single" w:sz="4" w:space="0" w:color="auto"/>
            </w:tcBorders>
            <w:tcMar>
              <w:top w:w="57" w:type="dxa"/>
              <w:bottom w:w="57" w:type="dxa"/>
            </w:tcMar>
          </w:tcPr>
          <w:p w14:paraId="0553DD4B" w14:textId="77777777" w:rsidR="00773CEF" w:rsidRPr="00FE14B5" w:rsidRDefault="00773CEF" w:rsidP="00FF2CB1">
            <w:pPr>
              <w:spacing w:after="0" w:line="240" w:lineRule="auto"/>
              <w:rPr>
                <w:rFonts w:cs="Arial"/>
              </w:rPr>
            </w:pPr>
          </w:p>
        </w:tc>
        <w:tc>
          <w:tcPr>
            <w:tcW w:w="2693" w:type="dxa"/>
            <w:gridSpan w:val="2"/>
            <w:tcBorders>
              <w:left w:val="single" w:sz="4" w:space="0" w:color="auto"/>
              <w:bottom w:val="single" w:sz="4" w:space="0" w:color="auto"/>
              <w:right w:val="single" w:sz="4" w:space="0" w:color="auto"/>
            </w:tcBorders>
            <w:tcMar>
              <w:top w:w="57" w:type="dxa"/>
              <w:bottom w:w="57" w:type="dxa"/>
            </w:tcMar>
          </w:tcPr>
          <w:p w14:paraId="7D5D3692" w14:textId="77777777" w:rsidR="00773CEF" w:rsidRPr="00FE14B5" w:rsidRDefault="00773CEF" w:rsidP="00660F76">
            <w:pPr>
              <w:spacing w:after="0"/>
              <w:rPr>
                <w:rFonts w:cs="Arial"/>
                <w:szCs w:val="20"/>
              </w:rPr>
            </w:pPr>
            <w:r w:rsidRPr="00FE14B5">
              <w:rPr>
                <w:rFonts w:cs="Arial"/>
                <w:szCs w:val="20"/>
              </w:rPr>
              <w:t>At all angles of azimuth</w:t>
            </w:r>
          </w:p>
        </w:tc>
        <w:tc>
          <w:tcPr>
            <w:tcW w:w="3402" w:type="dxa"/>
            <w:gridSpan w:val="2"/>
            <w:tcBorders>
              <w:left w:val="single" w:sz="4" w:space="0" w:color="auto"/>
              <w:bottom w:val="single" w:sz="4" w:space="0" w:color="auto"/>
              <w:right w:val="single" w:sz="4" w:space="0" w:color="auto"/>
            </w:tcBorders>
            <w:tcMar>
              <w:top w:w="57" w:type="dxa"/>
              <w:bottom w:w="57" w:type="dxa"/>
            </w:tcMar>
          </w:tcPr>
          <w:p w14:paraId="7C03854F" w14:textId="77777777" w:rsidR="00773CEF" w:rsidRPr="00FE14B5" w:rsidRDefault="00773CEF" w:rsidP="00FF2CB1">
            <w:pPr>
              <w:tabs>
                <w:tab w:val="right" w:pos="1309"/>
              </w:tabs>
              <w:spacing w:after="0" w:line="240" w:lineRule="auto"/>
              <w:rPr>
                <w:rFonts w:cs="Arial"/>
                <w:b/>
              </w:rPr>
            </w:pPr>
            <w:r w:rsidRPr="00FE14B5">
              <w:rPr>
                <w:rFonts w:cs="Arial"/>
              </w:rPr>
              <w:tab/>
            </w:r>
            <w:r w:rsidRPr="00FE14B5">
              <w:rPr>
                <w:rFonts w:cs="Arial"/>
                <w:b/>
                <w:color w:val="FF0000"/>
              </w:rPr>
              <w:t>50 W</w:t>
            </w:r>
          </w:p>
        </w:tc>
      </w:tr>
      <w:tr w:rsidR="00773CEF" w:rsidRPr="00FE14B5" w14:paraId="254BB119" w14:textId="77777777" w:rsidTr="00773CEF">
        <w:tc>
          <w:tcPr>
            <w:tcW w:w="2547" w:type="dxa"/>
            <w:tcBorders>
              <w:left w:val="single" w:sz="4" w:space="0" w:color="auto"/>
              <w:right w:val="single" w:sz="4" w:space="0" w:color="auto"/>
            </w:tcBorders>
            <w:shd w:val="clear" w:color="auto" w:fill="FFFFFF" w:themeFill="background1"/>
            <w:tcMar>
              <w:top w:w="57" w:type="dxa"/>
              <w:bottom w:w="57" w:type="dxa"/>
            </w:tcMar>
          </w:tcPr>
          <w:p w14:paraId="530DBBC5" w14:textId="77777777" w:rsidR="00773CEF" w:rsidRPr="00FE14B5" w:rsidRDefault="00773CEF" w:rsidP="00FF2CB1">
            <w:pPr>
              <w:spacing w:after="0" w:line="240" w:lineRule="auto"/>
              <w:rPr>
                <w:rFonts w:cs="Arial"/>
              </w:rPr>
            </w:pPr>
            <w:r w:rsidRPr="00FE14B5">
              <w:rPr>
                <w:rFonts w:cs="Arial"/>
              </w:rPr>
              <w:t>Polarisation</w:t>
            </w:r>
          </w:p>
        </w:tc>
        <w:tc>
          <w:tcPr>
            <w:tcW w:w="6095" w:type="dxa"/>
            <w:gridSpan w:val="4"/>
            <w:tcBorders>
              <w:left w:val="single" w:sz="4" w:space="0" w:color="auto"/>
              <w:right w:val="single" w:sz="4" w:space="0" w:color="auto"/>
            </w:tcBorders>
            <w:shd w:val="clear" w:color="auto" w:fill="FFFFFF" w:themeFill="background1"/>
            <w:tcMar>
              <w:top w:w="57" w:type="dxa"/>
              <w:bottom w:w="57" w:type="dxa"/>
            </w:tcMar>
          </w:tcPr>
          <w:p w14:paraId="50E9681B" w14:textId="77777777" w:rsidR="00773CEF" w:rsidRPr="00FE14B5" w:rsidRDefault="00773CEF" w:rsidP="00FF2CB1">
            <w:pPr>
              <w:spacing w:after="0" w:line="240" w:lineRule="auto"/>
              <w:rPr>
                <w:rFonts w:cs="Arial"/>
              </w:rPr>
            </w:pPr>
            <w:r w:rsidRPr="00FE14B5">
              <w:rPr>
                <w:rFonts w:cs="Arial"/>
              </w:rPr>
              <w:t>Vertical</w:t>
            </w:r>
          </w:p>
        </w:tc>
      </w:tr>
      <w:tr w:rsidR="00773CEF" w:rsidRPr="00FE14B5" w14:paraId="2FD9B92C" w14:textId="77777777" w:rsidTr="00773CEF">
        <w:tc>
          <w:tcPr>
            <w:tcW w:w="2547" w:type="dxa"/>
            <w:tcBorders>
              <w:left w:val="single" w:sz="4" w:space="0" w:color="auto"/>
              <w:right w:val="single" w:sz="4" w:space="0" w:color="auto"/>
            </w:tcBorders>
            <w:shd w:val="clear" w:color="auto" w:fill="auto"/>
            <w:tcMar>
              <w:top w:w="57" w:type="dxa"/>
              <w:bottom w:w="57" w:type="dxa"/>
            </w:tcMar>
          </w:tcPr>
          <w:p w14:paraId="63D5C507" w14:textId="3328CE5C" w:rsidR="00773CEF" w:rsidRPr="00FE14B5" w:rsidRDefault="00773CEF" w:rsidP="00FF2CB1">
            <w:pPr>
              <w:spacing w:after="0" w:line="240" w:lineRule="auto"/>
              <w:rPr>
                <w:rFonts w:cs="Arial"/>
              </w:rPr>
            </w:pPr>
            <w:r w:rsidRPr="00FE14B5">
              <w:rPr>
                <w:rFonts w:cs="Arial"/>
              </w:rPr>
              <w:t>Maximum Antenna Height</w:t>
            </w:r>
          </w:p>
        </w:tc>
        <w:tc>
          <w:tcPr>
            <w:tcW w:w="6095" w:type="dxa"/>
            <w:gridSpan w:val="4"/>
            <w:tcBorders>
              <w:left w:val="single" w:sz="4" w:space="0" w:color="auto"/>
              <w:right w:val="single" w:sz="4" w:space="0" w:color="auto"/>
            </w:tcBorders>
            <w:shd w:val="clear" w:color="auto" w:fill="auto"/>
            <w:tcMar>
              <w:top w:w="57" w:type="dxa"/>
              <w:bottom w:w="57" w:type="dxa"/>
            </w:tcMar>
          </w:tcPr>
          <w:p w14:paraId="1AF4792F" w14:textId="77777777" w:rsidR="00773CEF" w:rsidRPr="00FE14B5" w:rsidRDefault="00773CEF" w:rsidP="00FF2CB1">
            <w:pPr>
              <w:spacing w:after="0" w:line="240" w:lineRule="auto"/>
              <w:rPr>
                <w:rFonts w:cs="Arial"/>
              </w:rPr>
            </w:pPr>
            <w:r w:rsidRPr="00FE14B5">
              <w:rPr>
                <w:rFonts w:cs="Arial"/>
              </w:rPr>
              <w:t>15 metres</w:t>
            </w:r>
          </w:p>
        </w:tc>
      </w:tr>
      <w:tr w:rsidR="00773CEF" w:rsidRPr="00FE14B5" w14:paraId="298CB87D" w14:textId="77777777" w:rsidTr="00773CEF">
        <w:tc>
          <w:tcPr>
            <w:tcW w:w="2547" w:type="dxa"/>
            <w:tcBorders>
              <w:left w:val="single" w:sz="4" w:space="0" w:color="auto"/>
              <w:right w:val="single" w:sz="4" w:space="0" w:color="auto"/>
            </w:tcBorders>
            <w:shd w:val="clear" w:color="auto" w:fill="FFFFFF" w:themeFill="background1"/>
            <w:tcMar>
              <w:top w:w="57" w:type="dxa"/>
              <w:bottom w:w="57" w:type="dxa"/>
            </w:tcMar>
          </w:tcPr>
          <w:p w14:paraId="4EA19032" w14:textId="3F81700C" w:rsidR="00773CEF" w:rsidRPr="00FE14B5" w:rsidRDefault="00773CEF" w:rsidP="00FF2CB1">
            <w:pPr>
              <w:spacing w:after="0" w:line="240" w:lineRule="auto"/>
              <w:rPr>
                <w:rFonts w:cs="Arial"/>
              </w:rPr>
            </w:pPr>
            <w:r w:rsidRPr="00FE14B5">
              <w:rPr>
                <w:rFonts w:cs="Arial"/>
              </w:rPr>
              <w:t>Special Conditions/</w:t>
            </w:r>
          </w:p>
          <w:p w14:paraId="2725A562" w14:textId="63B440EB" w:rsidR="00773CEF" w:rsidRPr="00FE14B5" w:rsidRDefault="00773CEF" w:rsidP="00FF2CB1">
            <w:pPr>
              <w:spacing w:after="0" w:line="240" w:lineRule="auto"/>
              <w:rPr>
                <w:rFonts w:cs="Arial"/>
              </w:rPr>
            </w:pPr>
            <w:r w:rsidRPr="00FE14B5">
              <w:rPr>
                <w:rFonts w:cs="Arial"/>
              </w:rPr>
              <w:t>Advisory Notes</w:t>
            </w:r>
          </w:p>
        </w:tc>
        <w:tc>
          <w:tcPr>
            <w:tcW w:w="6095" w:type="dxa"/>
            <w:gridSpan w:val="4"/>
            <w:tcBorders>
              <w:left w:val="single" w:sz="4" w:space="0" w:color="auto"/>
              <w:right w:val="single" w:sz="4" w:space="0" w:color="auto"/>
            </w:tcBorders>
            <w:shd w:val="clear" w:color="auto" w:fill="FFFFFF" w:themeFill="background1"/>
            <w:tcMar>
              <w:top w:w="57" w:type="dxa"/>
              <w:bottom w:w="57" w:type="dxa"/>
            </w:tcMar>
          </w:tcPr>
          <w:p w14:paraId="6A46648F" w14:textId="77777777" w:rsidR="00773CEF" w:rsidRPr="00FE14B5" w:rsidRDefault="00773CEF" w:rsidP="00FF2CB1">
            <w:pPr>
              <w:spacing w:after="0"/>
              <w:rPr>
                <w:rFonts w:cs="Arial"/>
                <w:color w:val="FF0000"/>
                <w:szCs w:val="20"/>
              </w:rPr>
            </w:pPr>
            <w:r w:rsidRPr="00FE14B5">
              <w:rPr>
                <w:rFonts w:cs="Arial"/>
                <w:szCs w:val="20"/>
              </w:rPr>
              <w:t>None</w:t>
            </w:r>
          </w:p>
        </w:tc>
      </w:tr>
    </w:tbl>
    <w:p w14:paraId="58DBECAC" w14:textId="77777777" w:rsidR="00FE14B5" w:rsidRPr="00773CEF" w:rsidRDefault="00FE14B5" w:rsidP="00773CEF">
      <w:pPr>
        <w:pStyle w:val="Paragraph"/>
        <w:rPr>
          <w:highlight w:val="yellow"/>
        </w:rPr>
      </w:pPr>
    </w:p>
    <w:p w14:paraId="3D53B646" w14:textId="77777777" w:rsidR="00FE14B5" w:rsidRPr="00773CEF" w:rsidRDefault="00FE14B5" w:rsidP="00773CEF">
      <w:pPr>
        <w:pStyle w:val="Paragraph"/>
      </w:pPr>
    </w:p>
    <w:p w14:paraId="4F8462B0" w14:textId="77777777" w:rsidR="00FE14B5" w:rsidRPr="00FE14B5" w:rsidRDefault="00FE14B5" w:rsidP="00FE14B5">
      <w:pPr>
        <w:spacing w:after="0"/>
        <w:rPr>
          <w:sz w:val="12"/>
          <w:szCs w:val="12"/>
          <w:highlight w:val="yellow"/>
        </w:rPr>
      </w:pPr>
      <w:r w:rsidRPr="00FE14B5">
        <w:rPr>
          <w:sz w:val="12"/>
          <w:szCs w:val="12"/>
          <w:highlight w:val="yellow"/>
        </w:rPr>
        <w:br w:type="page"/>
      </w:r>
    </w:p>
    <w:tbl>
      <w:tblPr>
        <w:tblpPr w:leftFromText="180" w:rightFromText="180" w:vertAnchor="text" w:tblpY="1"/>
        <w:tblOverlap w:val="never"/>
        <w:tblW w:w="8642" w:type="dxa"/>
        <w:tblBorders>
          <w:top w:val="single" w:sz="4" w:space="0" w:color="auto"/>
          <w:bottom w:val="single" w:sz="4" w:space="0" w:color="auto"/>
          <w:insideH w:val="single" w:sz="4" w:space="0" w:color="auto"/>
        </w:tblBorders>
        <w:tblLayout w:type="fixed"/>
        <w:tblCellMar>
          <w:top w:w="85" w:type="dxa"/>
          <w:left w:w="85" w:type="dxa"/>
          <w:bottom w:w="85" w:type="dxa"/>
          <w:right w:w="85" w:type="dxa"/>
        </w:tblCellMar>
        <w:tblLook w:val="01E0" w:firstRow="1" w:lastRow="1" w:firstColumn="1" w:lastColumn="1" w:noHBand="0" w:noVBand="0"/>
        <w:tblCaption w:val="Table title to go here"/>
        <w:tblDescription w:val="Table description to go here"/>
      </w:tblPr>
      <w:tblGrid>
        <w:gridCol w:w="2547"/>
        <w:gridCol w:w="1978"/>
        <w:gridCol w:w="715"/>
        <w:gridCol w:w="1060"/>
        <w:gridCol w:w="2342"/>
      </w:tblGrid>
      <w:tr w:rsidR="00773CEF" w:rsidRPr="00FE14B5" w14:paraId="0B4E1A6C" w14:textId="77777777" w:rsidTr="00773CEF">
        <w:tc>
          <w:tcPr>
            <w:tcW w:w="2547" w:type="dxa"/>
            <w:tcBorders>
              <w:left w:val="single" w:sz="4" w:space="0" w:color="auto"/>
              <w:right w:val="single" w:sz="4" w:space="0" w:color="auto"/>
            </w:tcBorders>
            <w:shd w:val="clear" w:color="auto" w:fill="FFFFFF" w:themeFill="background1"/>
            <w:tcMar>
              <w:top w:w="57" w:type="dxa"/>
              <w:bottom w:w="57" w:type="dxa"/>
            </w:tcMar>
          </w:tcPr>
          <w:p w14:paraId="5D9B1371" w14:textId="77777777" w:rsidR="00773CEF" w:rsidRPr="00FE14B5" w:rsidRDefault="00773CEF" w:rsidP="00773CEF">
            <w:pPr>
              <w:spacing w:after="0" w:line="240" w:lineRule="auto"/>
              <w:rPr>
                <w:rFonts w:cs="Arial"/>
              </w:rPr>
            </w:pPr>
            <w:r w:rsidRPr="00FE14B5">
              <w:rPr>
                <w:rFonts w:cs="Arial"/>
              </w:rPr>
              <w:t>Current TS number</w:t>
            </w:r>
          </w:p>
        </w:tc>
        <w:tc>
          <w:tcPr>
            <w:tcW w:w="6095" w:type="dxa"/>
            <w:gridSpan w:val="4"/>
            <w:tcBorders>
              <w:left w:val="single" w:sz="4" w:space="0" w:color="auto"/>
              <w:right w:val="single" w:sz="4" w:space="0" w:color="auto"/>
            </w:tcBorders>
            <w:shd w:val="clear" w:color="auto" w:fill="FFFFFF" w:themeFill="background1"/>
            <w:tcMar>
              <w:top w:w="57" w:type="dxa"/>
              <w:bottom w:w="57" w:type="dxa"/>
            </w:tcMar>
          </w:tcPr>
          <w:p w14:paraId="2145BC1B" w14:textId="77777777" w:rsidR="00773CEF" w:rsidRPr="00FE14B5" w:rsidRDefault="00773CEF" w:rsidP="00773CEF">
            <w:pPr>
              <w:spacing w:after="0"/>
              <w:rPr>
                <w:rFonts w:cs="Arial"/>
                <w:color w:val="FF0000"/>
                <w:szCs w:val="20"/>
              </w:rPr>
            </w:pPr>
            <w:r w:rsidRPr="00FE14B5">
              <w:rPr>
                <w:rFonts w:cs="Arial"/>
                <w:szCs w:val="20"/>
              </w:rPr>
              <w:t>10002390</w:t>
            </w:r>
          </w:p>
        </w:tc>
      </w:tr>
      <w:tr w:rsidR="00773CEF" w:rsidRPr="00FE14B5" w14:paraId="5AE6C4FC" w14:textId="77777777" w:rsidTr="00773CEF">
        <w:tc>
          <w:tcPr>
            <w:tcW w:w="2547" w:type="dxa"/>
            <w:tcBorders>
              <w:left w:val="single" w:sz="4" w:space="0" w:color="auto"/>
              <w:right w:val="single" w:sz="4" w:space="0" w:color="auto"/>
            </w:tcBorders>
            <w:shd w:val="clear" w:color="auto" w:fill="FFFFFF" w:themeFill="background1"/>
            <w:tcMar>
              <w:top w:w="57" w:type="dxa"/>
              <w:bottom w:w="57" w:type="dxa"/>
            </w:tcMar>
          </w:tcPr>
          <w:p w14:paraId="4E586711" w14:textId="152B58EE" w:rsidR="00773CEF" w:rsidRPr="00FE14B5" w:rsidRDefault="00773CEF" w:rsidP="00773CEF">
            <w:pPr>
              <w:spacing w:after="0" w:line="240" w:lineRule="auto"/>
              <w:rPr>
                <w:rFonts w:cs="Arial"/>
              </w:rPr>
            </w:pPr>
            <w:r w:rsidRPr="00FE14B5">
              <w:rPr>
                <w:rFonts w:cs="Arial"/>
              </w:rPr>
              <w:t>TS Number</w:t>
            </w:r>
          </w:p>
        </w:tc>
        <w:tc>
          <w:tcPr>
            <w:tcW w:w="6095" w:type="dxa"/>
            <w:gridSpan w:val="4"/>
            <w:tcBorders>
              <w:left w:val="single" w:sz="4" w:space="0" w:color="auto"/>
              <w:right w:val="single" w:sz="4" w:space="0" w:color="auto"/>
            </w:tcBorders>
            <w:shd w:val="clear" w:color="auto" w:fill="FFFFFF" w:themeFill="background1"/>
            <w:tcMar>
              <w:top w:w="57" w:type="dxa"/>
              <w:bottom w:w="57" w:type="dxa"/>
            </w:tcMar>
          </w:tcPr>
          <w:p w14:paraId="3076DC1B" w14:textId="77777777" w:rsidR="00773CEF" w:rsidRPr="00FE14B5" w:rsidRDefault="00773CEF" w:rsidP="00773CEF">
            <w:pPr>
              <w:spacing w:after="0" w:line="240" w:lineRule="auto"/>
              <w:rPr>
                <w:rFonts w:cs="Arial"/>
              </w:rPr>
            </w:pPr>
            <w:r w:rsidRPr="00FE14B5">
              <w:rPr>
                <w:rFonts w:cs="Arial"/>
                <w:b/>
                <w:color w:val="FF0000"/>
              </w:rPr>
              <w:t xml:space="preserve">TS  </w:t>
            </w:r>
            <w:r w:rsidRPr="00166C7E">
              <w:rPr>
                <w:rFonts w:cs="Arial"/>
                <w:b/>
                <w:color w:val="FF0000"/>
              </w:rPr>
              <w:t>XXXXXXXXX</w:t>
            </w:r>
          </w:p>
        </w:tc>
      </w:tr>
      <w:tr w:rsidR="00773CEF" w:rsidRPr="00FE14B5" w14:paraId="56EA1193" w14:textId="77777777" w:rsidTr="00773CEF">
        <w:tc>
          <w:tcPr>
            <w:tcW w:w="2547" w:type="dxa"/>
            <w:tcBorders>
              <w:left w:val="single" w:sz="4" w:space="0" w:color="auto"/>
              <w:right w:val="single" w:sz="4" w:space="0" w:color="auto"/>
            </w:tcBorders>
            <w:shd w:val="clear" w:color="auto" w:fill="FFFFFF" w:themeFill="background1"/>
            <w:tcMar>
              <w:top w:w="57" w:type="dxa"/>
              <w:bottom w:w="57" w:type="dxa"/>
            </w:tcMar>
          </w:tcPr>
          <w:p w14:paraId="621FD4D5" w14:textId="77777777" w:rsidR="00773CEF" w:rsidRPr="00FE14B5" w:rsidRDefault="00773CEF" w:rsidP="00773CEF">
            <w:pPr>
              <w:spacing w:after="0" w:line="240" w:lineRule="auto"/>
              <w:rPr>
                <w:rFonts w:cs="Arial"/>
              </w:rPr>
            </w:pPr>
            <w:r w:rsidRPr="00FE14B5">
              <w:rPr>
                <w:rFonts w:cs="Arial"/>
              </w:rPr>
              <w:t>Callsign of licensee</w:t>
            </w:r>
          </w:p>
        </w:tc>
        <w:tc>
          <w:tcPr>
            <w:tcW w:w="6095" w:type="dxa"/>
            <w:gridSpan w:val="4"/>
            <w:tcBorders>
              <w:left w:val="single" w:sz="4" w:space="0" w:color="auto"/>
              <w:right w:val="single" w:sz="4" w:space="0" w:color="auto"/>
            </w:tcBorders>
            <w:shd w:val="clear" w:color="auto" w:fill="FFFFFF" w:themeFill="background1"/>
            <w:tcMar>
              <w:top w:w="57" w:type="dxa"/>
              <w:bottom w:w="57" w:type="dxa"/>
            </w:tcMar>
          </w:tcPr>
          <w:p w14:paraId="7A34CEAF" w14:textId="77777777" w:rsidR="00773CEF" w:rsidRPr="00FE14B5" w:rsidRDefault="00773CEF" w:rsidP="00773CEF">
            <w:pPr>
              <w:spacing w:after="0" w:line="240" w:lineRule="auto"/>
              <w:rPr>
                <w:rFonts w:cs="Arial"/>
              </w:rPr>
            </w:pPr>
            <w:r w:rsidRPr="00FE14B5">
              <w:rPr>
                <w:rFonts w:cs="Arial"/>
              </w:rPr>
              <w:t xml:space="preserve">6FMS </w:t>
            </w:r>
          </w:p>
        </w:tc>
      </w:tr>
      <w:tr w:rsidR="00773CEF" w:rsidRPr="00FE14B5" w14:paraId="7785F164" w14:textId="77777777" w:rsidTr="00773CEF">
        <w:tc>
          <w:tcPr>
            <w:tcW w:w="2547" w:type="dxa"/>
            <w:tcBorders>
              <w:left w:val="single" w:sz="4" w:space="0" w:color="auto"/>
              <w:right w:val="single" w:sz="4" w:space="0" w:color="auto"/>
            </w:tcBorders>
            <w:shd w:val="clear" w:color="auto" w:fill="FFFFFF" w:themeFill="background1"/>
            <w:tcMar>
              <w:top w:w="57" w:type="dxa"/>
              <w:bottom w:w="57" w:type="dxa"/>
            </w:tcMar>
          </w:tcPr>
          <w:p w14:paraId="6CB113EF" w14:textId="3AFF68F8" w:rsidR="00773CEF" w:rsidRPr="00FE14B5" w:rsidRDefault="00773CEF" w:rsidP="00773CEF">
            <w:pPr>
              <w:spacing w:after="0" w:line="240" w:lineRule="auto"/>
              <w:rPr>
                <w:rFonts w:cs="Arial"/>
              </w:rPr>
            </w:pPr>
            <w:r w:rsidRPr="00FE14B5">
              <w:rPr>
                <w:rFonts w:cs="Arial"/>
              </w:rPr>
              <w:t>Area Served</w:t>
            </w:r>
          </w:p>
        </w:tc>
        <w:tc>
          <w:tcPr>
            <w:tcW w:w="6095" w:type="dxa"/>
            <w:gridSpan w:val="4"/>
            <w:tcBorders>
              <w:left w:val="single" w:sz="4" w:space="0" w:color="auto"/>
              <w:right w:val="single" w:sz="4" w:space="0" w:color="auto"/>
            </w:tcBorders>
            <w:shd w:val="clear" w:color="auto" w:fill="FFFFFF" w:themeFill="background1"/>
            <w:tcMar>
              <w:top w:w="57" w:type="dxa"/>
              <w:bottom w:w="57" w:type="dxa"/>
            </w:tcMar>
          </w:tcPr>
          <w:p w14:paraId="6056A85D" w14:textId="77777777" w:rsidR="00773CEF" w:rsidRPr="00FE14B5" w:rsidRDefault="00773CEF" w:rsidP="00773CEF">
            <w:pPr>
              <w:spacing w:after="0"/>
              <w:rPr>
                <w:rFonts w:cs="Arial"/>
                <w:szCs w:val="20"/>
              </w:rPr>
            </w:pPr>
            <w:r w:rsidRPr="00FE14B5">
              <w:rPr>
                <w:rFonts w:cs="Arial"/>
                <w:szCs w:val="20"/>
              </w:rPr>
              <w:t>Leeman</w:t>
            </w:r>
          </w:p>
        </w:tc>
      </w:tr>
      <w:tr w:rsidR="00773CEF" w:rsidRPr="00FE14B5" w14:paraId="74D9E970" w14:textId="77777777" w:rsidTr="00773CEF">
        <w:tc>
          <w:tcPr>
            <w:tcW w:w="2547" w:type="dxa"/>
            <w:tcBorders>
              <w:left w:val="single" w:sz="4" w:space="0" w:color="auto"/>
              <w:right w:val="single" w:sz="4" w:space="0" w:color="auto"/>
            </w:tcBorders>
            <w:shd w:val="clear" w:color="auto" w:fill="FFFFFF" w:themeFill="background1"/>
            <w:tcMar>
              <w:top w:w="57" w:type="dxa"/>
              <w:bottom w:w="57" w:type="dxa"/>
            </w:tcMar>
          </w:tcPr>
          <w:p w14:paraId="688A81F6" w14:textId="77777777" w:rsidR="00773CEF" w:rsidRPr="00FE14B5" w:rsidRDefault="00773CEF" w:rsidP="00773CEF">
            <w:pPr>
              <w:spacing w:after="0" w:line="240" w:lineRule="auto"/>
              <w:rPr>
                <w:rFonts w:cs="Arial"/>
              </w:rPr>
            </w:pPr>
            <w:r w:rsidRPr="00FE14B5">
              <w:rPr>
                <w:rFonts w:cs="Arial"/>
              </w:rPr>
              <w:t>Nominal location</w:t>
            </w:r>
          </w:p>
        </w:tc>
        <w:tc>
          <w:tcPr>
            <w:tcW w:w="6095" w:type="dxa"/>
            <w:gridSpan w:val="4"/>
            <w:tcBorders>
              <w:left w:val="single" w:sz="4" w:space="0" w:color="auto"/>
              <w:right w:val="single" w:sz="4" w:space="0" w:color="auto"/>
            </w:tcBorders>
            <w:shd w:val="clear" w:color="auto" w:fill="FFFFFF" w:themeFill="background1"/>
            <w:tcMar>
              <w:top w:w="57" w:type="dxa"/>
              <w:bottom w:w="57" w:type="dxa"/>
            </w:tcMar>
          </w:tcPr>
          <w:p w14:paraId="24A8A54B" w14:textId="77777777" w:rsidR="00773CEF" w:rsidRPr="00FE14B5" w:rsidRDefault="00773CEF" w:rsidP="00773CEF">
            <w:pPr>
              <w:spacing w:after="0"/>
              <w:rPr>
                <w:rFonts w:cs="Arial"/>
                <w:szCs w:val="20"/>
              </w:rPr>
            </w:pPr>
            <w:r w:rsidRPr="00FE14B5">
              <w:rPr>
                <w:rFonts w:cs="Arial"/>
                <w:szCs w:val="20"/>
              </w:rPr>
              <w:t>Broadcast Site South of Thomas St LEEMAN</w:t>
            </w:r>
          </w:p>
        </w:tc>
      </w:tr>
      <w:tr w:rsidR="00773CEF" w:rsidRPr="00FE14B5" w14:paraId="61F950F8" w14:textId="77777777" w:rsidTr="00773CEF">
        <w:tc>
          <w:tcPr>
            <w:tcW w:w="2547" w:type="dxa"/>
            <w:tcBorders>
              <w:left w:val="single" w:sz="4" w:space="0" w:color="auto"/>
              <w:bottom w:val="single" w:sz="4" w:space="0" w:color="auto"/>
              <w:right w:val="single" w:sz="4" w:space="0" w:color="auto"/>
            </w:tcBorders>
            <w:tcMar>
              <w:top w:w="57" w:type="dxa"/>
              <w:bottom w:w="57" w:type="dxa"/>
            </w:tcMar>
          </w:tcPr>
          <w:p w14:paraId="66DD5A8E" w14:textId="736AC902" w:rsidR="00773CEF" w:rsidRPr="00FE14B5" w:rsidRDefault="00773CEF" w:rsidP="00773CEF">
            <w:pPr>
              <w:spacing w:after="0" w:line="240" w:lineRule="auto"/>
              <w:rPr>
                <w:rFonts w:cs="Arial"/>
              </w:rPr>
            </w:pPr>
            <w:r w:rsidRPr="00FE14B5">
              <w:rPr>
                <w:rFonts w:cs="Arial"/>
              </w:rPr>
              <w:t>RADCOM Site ID</w:t>
            </w:r>
          </w:p>
        </w:tc>
        <w:tc>
          <w:tcPr>
            <w:tcW w:w="6095" w:type="dxa"/>
            <w:gridSpan w:val="4"/>
            <w:tcBorders>
              <w:left w:val="single" w:sz="4" w:space="0" w:color="auto"/>
              <w:bottom w:val="single" w:sz="4" w:space="0" w:color="auto"/>
              <w:right w:val="single" w:sz="4" w:space="0" w:color="auto"/>
            </w:tcBorders>
            <w:tcMar>
              <w:top w:w="57" w:type="dxa"/>
              <w:bottom w:w="57" w:type="dxa"/>
            </w:tcMar>
          </w:tcPr>
          <w:p w14:paraId="54E7F6F1" w14:textId="77777777" w:rsidR="00773CEF" w:rsidRPr="00FE14B5" w:rsidRDefault="00773CEF" w:rsidP="00773CEF">
            <w:pPr>
              <w:spacing w:after="0"/>
              <w:rPr>
                <w:rFonts w:cs="Arial"/>
                <w:szCs w:val="20"/>
              </w:rPr>
            </w:pPr>
            <w:r w:rsidRPr="00FE14B5">
              <w:rPr>
                <w:rFonts w:cs="Arial"/>
                <w:szCs w:val="20"/>
              </w:rPr>
              <w:t>30650</w:t>
            </w:r>
          </w:p>
        </w:tc>
      </w:tr>
      <w:tr w:rsidR="00773CEF" w:rsidRPr="00FE14B5" w14:paraId="01B955E7" w14:textId="77777777" w:rsidTr="00773CEF">
        <w:tc>
          <w:tcPr>
            <w:tcW w:w="2547" w:type="dxa"/>
            <w:vMerge w:val="restart"/>
            <w:tcBorders>
              <w:left w:val="single" w:sz="4" w:space="0" w:color="auto"/>
              <w:right w:val="single" w:sz="4" w:space="0" w:color="auto"/>
            </w:tcBorders>
            <w:tcMar>
              <w:top w:w="57" w:type="dxa"/>
              <w:bottom w:w="57" w:type="dxa"/>
            </w:tcMar>
          </w:tcPr>
          <w:p w14:paraId="34A416A2" w14:textId="62AE468A" w:rsidR="00773CEF" w:rsidRPr="00FE14B5" w:rsidRDefault="00773CEF" w:rsidP="00773CEF">
            <w:pPr>
              <w:spacing w:after="0" w:line="240" w:lineRule="auto"/>
              <w:rPr>
                <w:rFonts w:cs="Arial"/>
              </w:rPr>
            </w:pPr>
            <w:r w:rsidRPr="00FE14B5">
              <w:rPr>
                <w:rFonts w:cs="Arial"/>
              </w:rPr>
              <w:t>Coordinates Information</w:t>
            </w:r>
          </w:p>
        </w:tc>
        <w:tc>
          <w:tcPr>
            <w:tcW w:w="2693" w:type="dxa"/>
            <w:gridSpan w:val="2"/>
            <w:tcBorders>
              <w:left w:val="single" w:sz="4" w:space="0" w:color="auto"/>
              <w:bottom w:val="single" w:sz="4" w:space="0" w:color="auto"/>
              <w:right w:val="single" w:sz="4" w:space="0" w:color="auto"/>
            </w:tcBorders>
            <w:tcMar>
              <w:top w:w="57" w:type="dxa"/>
              <w:bottom w:w="57" w:type="dxa"/>
            </w:tcMar>
          </w:tcPr>
          <w:p w14:paraId="160504D8" w14:textId="77777777" w:rsidR="00773CEF" w:rsidRPr="00FE14B5" w:rsidRDefault="00773CEF" w:rsidP="00773CEF">
            <w:pPr>
              <w:spacing w:after="0" w:line="240" w:lineRule="auto"/>
              <w:rPr>
                <w:rFonts w:cs="Arial"/>
              </w:rPr>
            </w:pPr>
            <w:r w:rsidRPr="00FE14B5">
              <w:rPr>
                <w:rFonts w:cs="Arial"/>
              </w:rPr>
              <w:t>Latitude (GDA94)</w:t>
            </w:r>
          </w:p>
          <w:p w14:paraId="59978A97" w14:textId="77777777" w:rsidR="00773CEF" w:rsidRPr="00FE14B5" w:rsidRDefault="00773CEF" w:rsidP="00773CEF">
            <w:pPr>
              <w:spacing w:after="0"/>
              <w:rPr>
                <w:rFonts w:cs="Arial"/>
                <w:szCs w:val="20"/>
              </w:rPr>
            </w:pPr>
            <w:r w:rsidRPr="00FE14B5">
              <w:rPr>
                <w:rFonts w:cs="Arial"/>
                <w:szCs w:val="20"/>
              </w:rPr>
              <w:t>-29.95167</w:t>
            </w:r>
          </w:p>
        </w:tc>
        <w:tc>
          <w:tcPr>
            <w:tcW w:w="3402" w:type="dxa"/>
            <w:gridSpan w:val="2"/>
            <w:tcBorders>
              <w:left w:val="single" w:sz="4" w:space="0" w:color="auto"/>
              <w:bottom w:val="single" w:sz="4" w:space="0" w:color="auto"/>
              <w:right w:val="single" w:sz="4" w:space="0" w:color="auto"/>
            </w:tcBorders>
            <w:tcMar>
              <w:top w:w="57" w:type="dxa"/>
              <w:bottom w:w="57" w:type="dxa"/>
            </w:tcMar>
          </w:tcPr>
          <w:p w14:paraId="25AC9E92" w14:textId="77777777" w:rsidR="00773CEF" w:rsidRPr="00FE14B5" w:rsidRDefault="00773CEF" w:rsidP="00773CEF">
            <w:pPr>
              <w:spacing w:after="0" w:line="240" w:lineRule="auto"/>
              <w:rPr>
                <w:rFonts w:cs="Arial"/>
              </w:rPr>
            </w:pPr>
            <w:r w:rsidRPr="00FE14B5">
              <w:rPr>
                <w:rFonts w:cs="Arial"/>
              </w:rPr>
              <w:t>Longitude (GDA94)</w:t>
            </w:r>
          </w:p>
          <w:p w14:paraId="6A4C071A" w14:textId="77777777" w:rsidR="00773CEF" w:rsidRPr="00FE14B5" w:rsidRDefault="00773CEF" w:rsidP="00773CEF">
            <w:pPr>
              <w:spacing w:after="0"/>
              <w:rPr>
                <w:rFonts w:cs="Arial"/>
                <w:szCs w:val="20"/>
              </w:rPr>
            </w:pPr>
            <w:r w:rsidRPr="00FE14B5">
              <w:rPr>
                <w:rFonts w:cs="Arial"/>
                <w:szCs w:val="20"/>
              </w:rPr>
              <w:t>114.97664</w:t>
            </w:r>
          </w:p>
        </w:tc>
      </w:tr>
      <w:tr w:rsidR="00773CEF" w:rsidRPr="00FE14B5" w14:paraId="17827347" w14:textId="77777777" w:rsidTr="00773CEF">
        <w:tc>
          <w:tcPr>
            <w:tcW w:w="2547" w:type="dxa"/>
            <w:vMerge/>
            <w:tcBorders>
              <w:left w:val="single" w:sz="4" w:space="0" w:color="auto"/>
              <w:right w:val="single" w:sz="4" w:space="0" w:color="auto"/>
            </w:tcBorders>
            <w:shd w:val="clear" w:color="auto" w:fill="FFFFFF" w:themeFill="background1"/>
            <w:tcMar>
              <w:top w:w="57" w:type="dxa"/>
              <w:bottom w:w="57" w:type="dxa"/>
            </w:tcMar>
          </w:tcPr>
          <w:p w14:paraId="3E213025" w14:textId="77777777" w:rsidR="00773CEF" w:rsidRPr="00FE14B5" w:rsidRDefault="00773CEF" w:rsidP="00773CEF">
            <w:pPr>
              <w:spacing w:after="0" w:line="240" w:lineRule="auto"/>
              <w:rPr>
                <w:rFonts w:cs="Arial"/>
              </w:rPr>
            </w:pPr>
          </w:p>
        </w:tc>
        <w:tc>
          <w:tcPr>
            <w:tcW w:w="1978" w:type="dxa"/>
            <w:tcBorders>
              <w:left w:val="single" w:sz="4" w:space="0" w:color="auto"/>
              <w:right w:val="single" w:sz="4" w:space="0" w:color="auto"/>
            </w:tcBorders>
            <w:shd w:val="clear" w:color="auto" w:fill="FFFFFF" w:themeFill="background1"/>
            <w:tcMar>
              <w:top w:w="57" w:type="dxa"/>
              <w:bottom w:w="57" w:type="dxa"/>
            </w:tcMar>
          </w:tcPr>
          <w:p w14:paraId="1A40E23F" w14:textId="77777777" w:rsidR="00773CEF" w:rsidRPr="00FE14B5" w:rsidRDefault="00773CEF" w:rsidP="00773CEF">
            <w:pPr>
              <w:spacing w:after="0" w:line="240" w:lineRule="auto"/>
              <w:rPr>
                <w:rFonts w:cs="Arial"/>
              </w:rPr>
            </w:pPr>
            <w:r w:rsidRPr="00FE14B5">
              <w:rPr>
                <w:rFonts w:cs="Arial"/>
              </w:rPr>
              <w:t>Zone (AMG66)</w:t>
            </w:r>
          </w:p>
          <w:p w14:paraId="46345D75" w14:textId="77777777" w:rsidR="00773CEF" w:rsidRPr="00FE14B5" w:rsidRDefault="00773CEF" w:rsidP="00773CEF">
            <w:pPr>
              <w:spacing w:after="0" w:line="240" w:lineRule="auto"/>
              <w:rPr>
                <w:rFonts w:cs="Arial"/>
              </w:rPr>
            </w:pPr>
            <w:r w:rsidRPr="00FE14B5">
              <w:rPr>
                <w:rFonts w:cs="Arial"/>
              </w:rPr>
              <w:t>50</w:t>
            </w:r>
          </w:p>
        </w:tc>
        <w:tc>
          <w:tcPr>
            <w:tcW w:w="1775" w:type="dxa"/>
            <w:gridSpan w:val="2"/>
            <w:tcBorders>
              <w:left w:val="single" w:sz="4" w:space="0" w:color="auto"/>
              <w:right w:val="single" w:sz="4" w:space="0" w:color="auto"/>
            </w:tcBorders>
            <w:shd w:val="clear" w:color="auto" w:fill="FFFFFF" w:themeFill="background1"/>
            <w:tcMar>
              <w:top w:w="57" w:type="dxa"/>
              <w:bottom w:w="57" w:type="dxa"/>
            </w:tcMar>
          </w:tcPr>
          <w:p w14:paraId="61F231C9" w14:textId="77777777" w:rsidR="00773CEF" w:rsidRPr="00FE14B5" w:rsidRDefault="00773CEF" w:rsidP="00773CEF">
            <w:pPr>
              <w:spacing w:after="0" w:line="240" w:lineRule="auto"/>
              <w:rPr>
                <w:rFonts w:cs="Arial"/>
              </w:rPr>
            </w:pPr>
            <w:r w:rsidRPr="00FE14B5">
              <w:rPr>
                <w:rFonts w:cs="Arial"/>
              </w:rPr>
              <w:t>Easting (AMG66)</w:t>
            </w:r>
          </w:p>
          <w:p w14:paraId="236CD585" w14:textId="77777777" w:rsidR="00773CEF" w:rsidRPr="00FE14B5" w:rsidRDefault="00773CEF" w:rsidP="00773CEF">
            <w:pPr>
              <w:spacing w:after="0"/>
              <w:rPr>
                <w:rFonts w:cs="Arial"/>
                <w:szCs w:val="20"/>
              </w:rPr>
            </w:pPr>
            <w:r w:rsidRPr="00FE14B5">
              <w:rPr>
                <w:rFonts w:cs="Arial"/>
                <w:szCs w:val="20"/>
              </w:rPr>
              <w:t>304600</w:t>
            </w:r>
          </w:p>
        </w:tc>
        <w:tc>
          <w:tcPr>
            <w:tcW w:w="2342" w:type="dxa"/>
            <w:tcBorders>
              <w:left w:val="single" w:sz="4" w:space="0" w:color="auto"/>
              <w:right w:val="single" w:sz="4" w:space="0" w:color="auto"/>
            </w:tcBorders>
            <w:shd w:val="clear" w:color="auto" w:fill="FFFFFF" w:themeFill="background1"/>
            <w:tcMar>
              <w:top w:w="57" w:type="dxa"/>
              <w:bottom w:w="57" w:type="dxa"/>
            </w:tcMar>
          </w:tcPr>
          <w:p w14:paraId="21481F91" w14:textId="77777777" w:rsidR="00773CEF" w:rsidRPr="00FE14B5" w:rsidRDefault="00773CEF" w:rsidP="00773CEF">
            <w:pPr>
              <w:spacing w:after="0" w:line="240" w:lineRule="auto"/>
              <w:rPr>
                <w:rFonts w:cs="Arial"/>
              </w:rPr>
            </w:pPr>
            <w:r w:rsidRPr="00FE14B5">
              <w:rPr>
                <w:rFonts w:cs="Arial"/>
              </w:rPr>
              <w:t>Northing (AMG66)</w:t>
            </w:r>
          </w:p>
          <w:p w14:paraId="66EFC5C1" w14:textId="77777777" w:rsidR="00773CEF" w:rsidRPr="00FE14B5" w:rsidRDefault="00773CEF" w:rsidP="00773CEF">
            <w:pPr>
              <w:spacing w:after="0"/>
              <w:rPr>
                <w:rFonts w:cs="Arial"/>
                <w:szCs w:val="20"/>
              </w:rPr>
            </w:pPr>
            <w:r w:rsidRPr="00FE14B5">
              <w:rPr>
                <w:rFonts w:cs="Arial"/>
                <w:szCs w:val="20"/>
              </w:rPr>
              <w:t>6684700</w:t>
            </w:r>
          </w:p>
        </w:tc>
      </w:tr>
      <w:tr w:rsidR="00773CEF" w:rsidRPr="00FE14B5" w14:paraId="1971FB04" w14:textId="77777777" w:rsidTr="00773CEF">
        <w:tc>
          <w:tcPr>
            <w:tcW w:w="2547" w:type="dxa"/>
            <w:tcBorders>
              <w:left w:val="single" w:sz="4" w:space="0" w:color="auto"/>
              <w:right w:val="single" w:sz="4" w:space="0" w:color="auto"/>
            </w:tcBorders>
            <w:shd w:val="clear" w:color="auto" w:fill="FFFFFF" w:themeFill="background1"/>
            <w:tcMar>
              <w:top w:w="57" w:type="dxa"/>
              <w:bottom w:w="57" w:type="dxa"/>
            </w:tcMar>
          </w:tcPr>
          <w:p w14:paraId="028D2F6E" w14:textId="77777777" w:rsidR="00773CEF" w:rsidRPr="00FE14B5" w:rsidRDefault="00773CEF" w:rsidP="00773CEF">
            <w:pPr>
              <w:spacing w:after="0" w:line="240" w:lineRule="auto"/>
              <w:rPr>
                <w:rFonts w:cs="Arial"/>
              </w:rPr>
            </w:pPr>
            <w:r w:rsidRPr="00FE14B5">
              <w:rPr>
                <w:rFonts w:cs="Arial"/>
              </w:rPr>
              <w:t>Frequency</w:t>
            </w:r>
          </w:p>
        </w:tc>
        <w:tc>
          <w:tcPr>
            <w:tcW w:w="6095" w:type="dxa"/>
            <w:gridSpan w:val="4"/>
            <w:tcBorders>
              <w:left w:val="single" w:sz="4" w:space="0" w:color="auto"/>
              <w:right w:val="single" w:sz="4" w:space="0" w:color="auto"/>
            </w:tcBorders>
            <w:shd w:val="clear" w:color="auto" w:fill="FFFFFF" w:themeFill="background1"/>
            <w:tcMar>
              <w:top w:w="57" w:type="dxa"/>
              <w:bottom w:w="57" w:type="dxa"/>
            </w:tcMar>
          </w:tcPr>
          <w:p w14:paraId="7D61511F" w14:textId="77777777" w:rsidR="00773CEF" w:rsidRPr="00FE14B5" w:rsidRDefault="00773CEF" w:rsidP="00773CEF">
            <w:pPr>
              <w:spacing w:after="0" w:line="240" w:lineRule="auto"/>
              <w:rPr>
                <w:rFonts w:cs="Arial"/>
              </w:rPr>
            </w:pPr>
            <w:r w:rsidRPr="00FE14B5">
              <w:rPr>
                <w:rFonts w:cs="Arial"/>
              </w:rPr>
              <w:t xml:space="preserve">102.5 MHz </w:t>
            </w:r>
          </w:p>
        </w:tc>
      </w:tr>
      <w:tr w:rsidR="00773CEF" w:rsidRPr="00FE14B5" w14:paraId="5B6C6ECE" w14:textId="77777777" w:rsidTr="00773CEF">
        <w:tc>
          <w:tcPr>
            <w:tcW w:w="2547" w:type="dxa"/>
            <w:vMerge w:val="restart"/>
            <w:tcBorders>
              <w:left w:val="single" w:sz="4" w:space="0" w:color="auto"/>
              <w:right w:val="single" w:sz="4" w:space="0" w:color="auto"/>
            </w:tcBorders>
            <w:tcMar>
              <w:top w:w="57" w:type="dxa"/>
              <w:bottom w:w="57" w:type="dxa"/>
            </w:tcMar>
          </w:tcPr>
          <w:p w14:paraId="44B79076" w14:textId="4FF5973B" w:rsidR="00773CEF" w:rsidRPr="00FE14B5" w:rsidRDefault="00773CEF" w:rsidP="00773CEF">
            <w:pPr>
              <w:spacing w:after="0" w:line="240" w:lineRule="auto"/>
              <w:rPr>
                <w:rFonts w:cs="Arial"/>
              </w:rPr>
            </w:pPr>
            <w:r w:rsidRPr="00FE14B5">
              <w:rPr>
                <w:rFonts w:cs="Arial"/>
              </w:rPr>
              <w:t>Maximum ERP and Radiation Pattern</w:t>
            </w:r>
          </w:p>
        </w:tc>
        <w:tc>
          <w:tcPr>
            <w:tcW w:w="2693" w:type="dxa"/>
            <w:gridSpan w:val="2"/>
            <w:tcBorders>
              <w:left w:val="single" w:sz="4" w:space="0" w:color="auto"/>
              <w:bottom w:val="single" w:sz="4" w:space="0" w:color="auto"/>
              <w:right w:val="single" w:sz="4" w:space="0" w:color="auto"/>
            </w:tcBorders>
            <w:tcMar>
              <w:top w:w="57" w:type="dxa"/>
              <w:bottom w:w="57" w:type="dxa"/>
            </w:tcMar>
          </w:tcPr>
          <w:p w14:paraId="512DC7B2" w14:textId="77777777" w:rsidR="00773CEF" w:rsidRPr="00FE14B5" w:rsidRDefault="00773CEF" w:rsidP="00773CEF">
            <w:pPr>
              <w:spacing w:after="0" w:line="240" w:lineRule="auto"/>
              <w:rPr>
                <w:rFonts w:cs="Arial"/>
              </w:rPr>
            </w:pPr>
            <w:r w:rsidRPr="00FE14B5">
              <w:rPr>
                <w:rFonts w:cs="Arial"/>
              </w:rPr>
              <w:t>Azimuth Bearing (clockwise direction)</w:t>
            </w:r>
          </w:p>
        </w:tc>
        <w:tc>
          <w:tcPr>
            <w:tcW w:w="3402" w:type="dxa"/>
            <w:gridSpan w:val="2"/>
            <w:tcBorders>
              <w:left w:val="single" w:sz="4" w:space="0" w:color="auto"/>
              <w:bottom w:val="single" w:sz="4" w:space="0" w:color="auto"/>
              <w:right w:val="single" w:sz="4" w:space="0" w:color="auto"/>
            </w:tcBorders>
            <w:tcMar>
              <w:top w:w="57" w:type="dxa"/>
              <w:bottom w:w="57" w:type="dxa"/>
            </w:tcMar>
          </w:tcPr>
          <w:p w14:paraId="6452E6C8" w14:textId="77777777" w:rsidR="00773CEF" w:rsidRPr="00FE14B5" w:rsidRDefault="00773CEF" w:rsidP="00773CEF">
            <w:pPr>
              <w:spacing w:after="0" w:line="240" w:lineRule="auto"/>
              <w:rPr>
                <w:rFonts w:cs="Arial"/>
              </w:rPr>
            </w:pPr>
            <w:r w:rsidRPr="00FE14B5">
              <w:rPr>
                <w:rFonts w:cs="Arial"/>
              </w:rPr>
              <w:t xml:space="preserve">Maximum ERP </w:t>
            </w:r>
          </w:p>
        </w:tc>
      </w:tr>
      <w:tr w:rsidR="00773CEF" w:rsidRPr="00FE14B5" w14:paraId="0802DEDD" w14:textId="77777777" w:rsidTr="00773CEF">
        <w:tc>
          <w:tcPr>
            <w:tcW w:w="2547" w:type="dxa"/>
            <w:vMerge/>
            <w:tcBorders>
              <w:left w:val="single" w:sz="4" w:space="0" w:color="auto"/>
              <w:right w:val="single" w:sz="4" w:space="0" w:color="auto"/>
            </w:tcBorders>
            <w:tcMar>
              <w:top w:w="57" w:type="dxa"/>
              <w:bottom w:w="57" w:type="dxa"/>
            </w:tcMar>
          </w:tcPr>
          <w:p w14:paraId="69E3C11B" w14:textId="77777777" w:rsidR="00773CEF" w:rsidRPr="00FE14B5" w:rsidRDefault="00773CEF" w:rsidP="00773CEF">
            <w:pPr>
              <w:spacing w:after="0" w:line="240" w:lineRule="auto"/>
              <w:rPr>
                <w:rFonts w:cs="Arial"/>
              </w:rPr>
            </w:pPr>
          </w:p>
        </w:tc>
        <w:tc>
          <w:tcPr>
            <w:tcW w:w="2693" w:type="dxa"/>
            <w:gridSpan w:val="2"/>
            <w:tcBorders>
              <w:left w:val="single" w:sz="4" w:space="0" w:color="auto"/>
              <w:bottom w:val="single" w:sz="4" w:space="0" w:color="auto"/>
              <w:right w:val="single" w:sz="4" w:space="0" w:color="auto"/>
            </w:tcBorders>
            <w:tcMar>
              <w:top w:w="57" w:type="dxa"/>
              <w:bottom w:w="57" w:type="dxa"/>
            </w:tcMar>
          </w:tcPr>
          <w:p w14:paraId="617414B4" w14:textId="77777777" w:rsidR="00773CEF" w:rsidRPr="00FE14B5" w:rsidRDefault="00773CEF" w:rsidP="00660F76">
            <w:pPr>
              <w:spacing w:after="0"/>
              <w:rPr>
                <w:rFonts w:cs="Arial"/>
                <w:szCs w:val="20"/>
              </w:rPr>
            </w:pPr>
            <w:r w:rsidRPr="00FE14B5">
              <w:rPr>
                <w:rFonts w:cs="Arial"/>
                <w:szCs w:val="20"/>
              </w:rPr>
              <w:t>At all angles of azimuth</w:t>
            </w:r>
          </w:p>
        </w:tc>
        <w:tc>
          <w:tcPr>
            <w:tcW w:w="3402" w:type="dxa"/>
            <w:gridSpan w:val="2"/>
            <w:tcBorders>
              <w:left w:val="single" w:sz="4" w:space="0" w:color="auto"/>
              <w:bottom w:val="single" w:sz="4" w:space="0" w:color="auto"/>
              <w:right w:val="single" w:sz="4" w:space="0" w:color="auto"/>
            </w:tcBorders>
            <w:tcMar>
              <w:top w:w="57" w:type="dxa"/>
              <w:bottom w:w="57" w:type="dxa"/>
            </w:tcMar>
          </w:tcPr>
          <w:p w14:paraId="3D4B2CCF" w14:textId="77777777" w:rsidR="00773CEF" w:rsidRPr="00FE14B5" w:rsidRDefault="00773CEF" w:rsidP="00773CEF">
            <w:pPr>
              <w:tabs>
                <w:tab w:val="right" w:pos="1309"/>
              </w:tabs>
              <w:spacing w:after="0" w:line="240" w:lineRule="auto"/>
              <w:rPr>
                <w:rFonts w:cs="Arial"/>
                <w:b/>
              </w:rPr>
            </w:pPr>
            <w:r w:rsidRPr="00FE14B5">
              <w:rPr>
                <w:rFonts w:cs="Arial"/>
              </w:rPr>
              <w:tab/>
            </w:r>
            <w:r w:rsidRPr="00166C7E">
              <w:rPr>
                <w:rFonts w:cs="Arial"/>
                <w:b/>
                <w:color w:val="FF0000"/>
              </w:rPr>
              <w:t>50 W</w:t>
            </w:r>
          </w:p>
        </w:tc>
      </w:tr>
      <w:tr w:rsidR="00773CEF" w:rsidRPr="00FE14B5" w14:paraId="62CD4D22" w14:textId="77777777" w:rsidTr="00773CEF">
        <w:tc>
          <w:tcPr>
            <w:tcW w:w="2547" w:type="dxa"/>
            <w:tcBorders>
              <w:left w:val="single" w:sz="4" w:space="0" w:color="auto"/>
              <w:right w:val="single" w:sz="4" w:space="0" w:color="auto"/>
            </w:tcBorders>
            <w:shd w:val="clear" w:color="auto" w:fill="FFFFFF" w:themeFill="background1"/>
            <w:tcMar>
              <w:top w:w="57" w:type="dxa"/>
              <w:bottom w:w="57" w:type="dxa"/>
            </w:tcMar>
          </w:tcPr>
          <w:p w14:paraId="712C79B5" w14:textId="77777777" w:rsidR="00773CEF" w:rsidRPr="00FE14B5" w:rsidRDefault="00773CEF" w:rsidP="00773CEF">
            <w:pPr>
              <w:spacing w:after="0" w:line="240" w:lineRule="auto"/>
              <w:rPr>
                <w:rFonts w:cs="Arial"/>
              </w:rPr>
            </w:pPr>
            <w:r w:rsidRPr="00FE14B5">
              <w:rPr>
                <w:rFonts w:cs="Arial"/>
              </w:rPr>
              <w:t>Polarisation</w:t>
            </w:r>
          </w:p>
        </w:tc>
        <w:tc>
          <w:tcPr>
            <w:tcW w:w="6095" w:type="dxa"/>
            <w:gridSpan w:val="4"/>
            <w:tcBorders>
              <w:left w:val="single" w:sz="4" w:space="0" w:color="auto"/>
              <w:right w:val="single" w:sz="4" w:space="0" w:color="auto"/>
            </w:tcBorders>
            <w:shd w:val="clear" w:color="auto" w:fill="FFFFFF" w:themeFill="background1"/>
            <w:tcMar>
              <w:top w:w="57" w:type="dxa"/>
              <w:bottom w:w="57" w:type="dxa"/>
            </w:tcMar>
          </w:tcPr>
          <w:p w14:paraId="52460226" w14:textId="77777777" w:rsidR="00773CEF" w:rsidRPr="00FE14B5" w:rsidRDefault="00773CEF" w:rsidP="00773CEF">
            <w:pPr>
              <w:spacing w:after="0" w:line="240" w:lineRule="auto"/>
              <w:rPr>
                <w:rFonts w:cs="Arial"/>
              </w:rPr>
            </w:pPr>
            <w:r w:rsidRPr="00FE14B5">
              <w:rPr>
                <w:rFonts w:cs="Arial"/>
              </w:rPr>
              <w:t>Vertical</w:t>
            </w:r>
          </w:p>
        </w:tc>
      </w:tr>
      <w:tr w:rsidR="00773CEF" w:rsidRPr="00FE14B5" w14:paraId="0F66D42D" w14:textId="77777777" w:rsidTr="00773CEF">
        <w:tc>
          <w:tcPr>
            <w:tcW w:w="2547" w:type="dxa"/>
            <w:tcBorders>
              <w:left w:val="single" w:sz="4" w:space="0" w:color="auto"/>
              <w:right w:val="single" w:sz="4" w:space="0" w:color="auto"/>
            </w:tcBorders>
            <w:shd w:val="clear" w:color="auto" w:fill="auto"/>
            <w:tcMar>
              <w:top w:w="57" w:type="dxa"/>
              <w:bottom w:w="57" w:type="dxa"/>
            </w:tcMar>
          </w:tcPr>
          <w:p w14:paraId="79150FAD" w14:textId="6C28641E" w:rsidR="00773CEF" w:rsidRPr="00FE14B5" w:rsidRDefault="00773CEF" w:rsidP="00773CEF">
            <w:pPr>
              <w:spacing w:after="0" w:line="240" w:lineRule="auto"/>
              <w:rPr>
                <w:rFonts w:cs="Arial"/>
              </w:rPr>
            </w:pPr>
            <w:r w:rsidRPr="00FE14B5">
              <w:rPr>
                <w:rFonts w:cs="Arial"/>
              </w:rPr>
              <w:t>Maximum Antenna Height</w:t>
            </w:r>
          </w:p>
        </w:tc>
        <w:tc>
          <w:tcPr>
            <w:tcW w:w="6095" w:type="dxa"/>
            <w:gridSpan w:val="4"/>
            <w:tcBorders>
              <w:left w:val="single" w:sz="4" w:space="0" w:color="auto"/>
              <w:right w:val="single" w:sz="4" w:space="0" w:color="auto"/>
            </w:tcBorders>
            <w:shd w:val="clear" w:color="auto" w:fill="auto"/>
            <w:tcMar>
              <w:top w:w="57" w:type="dxa"/>
              <w:bottom w:w="57" w:type="dxa"/>
            </w:tcMar>
          </w:tcPr>
          <w:p w14:paraId="3807697E" w14:textId="77777777" w:rsidR="00773CEF" w:rsidRPr="00FE14B5" w:rsidRDefault="00773CEF" w:rsidP="00773CEF">
            <w:pPr>
              <w:spacing w:after="0" w:line="240" w:lineRule="auto"/>
              <w:rPr>
                <w:rFonts w:cs="Arial"/>
              </w:rPr>
            </w:pPr>
            <w:r w:rsidRPr="00FE14B5">
              <w:rPr>
                <w:rFonts w:cs="Arial"/>
              </w:rPr>
              <w:t>15 metres</w:t>
            </w:r>
          </w:p>
        </w:tc>
      </w:tr>
      <w:tr w:rsidR="00773CEF" w:rsidRPr="00FE14B5" w14:paraId="6588127D" w14:textId="77777777" w:rsidTr="00773CEF">
        <w:tc>
          <w:tcPr>
            <w:tcW w:w="2547" w:type="dxa"/>
            <w:tcBorders>
              <w:left w:val="single" w:sz="4" w:space="0" w:color="auto"/>
              <w:right w:val="single" w:sz="4" w:space="0" w:color="auto"/>
            </w:tcBorders>
            <w:shd w:val="clear" w:color="auto" w:fill="FFFFFF" w:themeFill="background1"/>
            <w:tcMar>
              <w:top w:w="57" w:type="dxa"/>
              <w:bottom w:w="57" w:type="dxa"/>
            </w:tcMar>
          </w:tcPr>
          <w:p w14:paraId="76E68E2C" w14:textId="6495B3EE" w:rsidR="00773CEF" w:rsidRPr="00FE14B5" w:rsidRDefault="00773CEF" w:rsidP="00773CEF">
            <w:pPr>
              <w:spacing w:after="0" w:line="240" w:lineRule="auto"/>
              <w:rPr>
                <w:rFonts w:cs="Arial"/>
              </w:rPr>
            </w:pPr>
            <w:r w:rsidRPr="00FE14B5">
              <w:rPr>
                <w:rFonts w:cs="Arial"/>
              </w:rPr>
              <w:t>Special Conditions/</w:t>
            </w:r>
          </w:p>
          <w:p w14:paraId="05E9274C" w14:textId="5E2493FD" w:rsidR="00773CEF" w:rsidRPr="00FE14B5" w:rsidRDefault="00773CEF" w:rsidP="00773CEF">
            <w:pPr>
              <w:spacing w:after="0" w:line="240" w:lineRule="auto"/>
              <w:rPr>
                <w:rFonts w:cs="Arial"/>
              </w:rPr>
            </w:pPr>
            <w:r w:rsidRPr="00FE14B5">
              <w:rPr>
                <w:rFonts w:cs="Arial"/>
              </w:rPr>
              <w:t>Advisory Notes</w:t>
            </w:r>
          </w:p>
        </w:tc>
        <w:tc>
          <w:tcPr>
            <w:tcW w:w="6095" w:type="dxa"/>
            <w:gridSpan w:val="4"/>
            <w:tcBorders>
              <w:left w:val="single" w:sz="4" w:space="0" w:color="auto"/>
              <w:right w:val="single" w:sz="4" w:space="0" w:color="auto"/>
            </w:tcBorders>
            <w:shd w:val="clear" w:color="auto" w:fill="FFFFFF" w:themeFill="background1"/>
            <w:tcMar>
              <w:top w:w="57" w:type="dxa"/>
              <w:bottom w:w="57" w:type="dxa"/>
            </w:tcMar>
          </w:tcPr>
          <w:p w14:paraId="5C954515" w14:textId="77777777" w:rsidR="00773CEF" w:rsidRPr="00FE14B5" w:rsidRDefault="00773CEF" w:rsidP="00773CEF">
            <w:pPr>
              <w:spacing w:after="0"/>
              <w:rPr>
                <w:rFonts w:cs="Arial"/>
                <w:color w:val="FF0000"/>
                <w:szCs w:val="20"/>
              </w:rPr>
            </w:pPr>
            <w:r w:rsidRPr="00FE14B5">
              <w:rPr>
                <w:rFonts w:cs="Arial"/>
                <w:szCs w:val="20"/>
              </w:rPr>
              <w:t>None</w:t>
            </w:r>
          </w:p>
        </w:tc>
      </w:tr>
    </w:tbl>
    <w:p w14:paraId="24CAC9D0" w14:textId="77777777" w:rsidR="00FE14B5" w:rsidRPr="00773CEF" w:rsidRDefault="00FE14B5" w:rsidP="00773CEF">
      <w:pPr>
        <w:pStyle w:val="Paragraph"/>
        <w:rPr>
          <w:highlight w:val="yellow"/>
        </w:rPr>
      </w:pPr>
    </w:p>
    <w:p w14:paraId="61A4EADC" w14:textId="77777777" w:rsidR="00FE14B5" w:rsidRPr="00773CEF" w:rsidRDefault="00FE14B5" w:rsidP="00773CEF">
      <w:pPr>
        <w:pStyle w:val="Paragraph"/>
      </w:pPr>
    </w:p>
    <w:p w14:paraId="4D2342B2" w14:textId="77777777" w:rsidR="00FE14B5" w:rsidRPr="00FE14B5" w:rsidRDefault="00FE14B5" w:rsidP="00FE14B5">
      <w:pPr>
        <w:spacing w:after="0"/>
        <w:rPr>
          <w:color w:val="FF0000"/>
        </w:rPr>
      </w:pPr>
      <w:r w:rsidRPr="00FE14B5">
        <w:rPr>
          <w:color w:val="FF0000"/>
        </w:rPr>
        <w:br w:type="page"/>
      </w:r>
    </w:p>
    <w:tbl>
      <w:tblPr>
        <w:tblpPr w:leftFromText="180" w:rightFromText="180" w:vertAnchor="text" w:tblpY="1"/>
        <w:tblOverlap w:val="never"/>
        <w:tblW w:w="8642" w:type="dxa"/>
        <w:tblBorders>
          <w:top w:val="single" w:sz="4" w:space="0" w:color="auto"/>
          <w:bottom w:val="single" w:sz="4" w:space="0" w:color="auto"/>
          <w:insideH w:val="single" w:sz="4" w:space="0" w:color="auto"/>
        </w:tblBorders>
        <w:tblLayout w:type="fixed"/>
        <w:tblCellMar>
          <w:top w:w="85" w:type="dxa"/>
          <w:left w:w="85" w:type="dxa"/>
          <w:bottom w:w="85" w:type="dxa"/>
          <w:right w:w="85" w:type="dxa"/>
        </w:tblCellMar>
        <w:tblLook w:val="01E0" w:firstRow="1" w:lastRow="1" w:firstColumn="1" w:lastColumn="1" w:noHBand="0" w:noVBand="0"/>
        <w:tblCaption w:val="Table title to go here"/>
        <w:tblDescription w:val="Table description to go here"/>
      </w:tblPr>
      <w:tblGrid>
        <w:gridCol w:w="2547"/>
        <w:gridCol w:w="1978"/>
        <w:gridCol w:w="715"/>
        <w:gridCol w:w="1060"/>
        <w:gridCol w:w="2342"/>
      </w:tblGrid>
      <w:tr w:rsidR="00773CEF" w:rsidRPr="00FE14B5" w14:paraId="6F3F8C3E" w14:textId="77777777" w:rsidTr="00773CEF">
        <w:tc>
          <w:tcPr>
            <w:tcW w:w="2547" w:type="dxa"/>
            <w:tcBorders>
              <w:left w:val="single" w:sz="4" w:space="0" w:color="auto"/>
              <w:right w:val="single" w:sz="4" w:space="0" w:color="auto"/>
            </w:tcBorders>
            <w:shd w:val="clear" w:color="auto" w:fill="FFFFFF" w:themeFill="background1"/>
            <w:tcMar>
              <w:top w:w="57" w:type="dxa"/>
              <w:bottom w:w="57" w:type="dxa"/>
            </w:tcMar>
          </w:tcPr>
          <w:p w14:paraId="1908508B" w14:textId="77777777" w:rsidR="00773CEF" w:rsidRPr="00FE14B5" w:rsidRDefault="00773CEF" w:rsidP="00FF2CB1">
            <w:pPr>
              <w:spacing w:after="0" w:line="240" w:lineRule="auto"/>
              <w:rPr>
                <w:rFonts w:cs="Arial"/>
              </w:rPr>
            </w:pPr>
            <w:r w:rsidRPr="00FE14B5">
              <w:rPr>
                <w:rFonts w:cs="Arial"/>
              </w:rPr>
              <w:t>Current TS number</w:t>
            </w:r>
          </w:p>
        </w:tc>
        <w:tc>
          <w:tcPr>
            <w:tcW w:w="6095" w:type="dxa"/>
            <w:gridSpan w:val="4"/>
            <w:tcBorders>
              <w:left w:val="single" w:sz="4" w:space="0" w:color="auto"/>
              <w:right w:val="single" w:sz="4" w:space="0" w:color="auto"/>
            </w:tcBorders>
            <w:shd w:val="clear" w:color="auto" w:fill="FFFFFF" w:themeFill="background1"/>
            <w:tcMar>
              <w:top w:w="57" w:type="dxa"/>
              <w:bottom w:w="57" w:type="dxa"/>
            </w:tcMar>
          </w:tcPr>
          <w:p w14:paraId="6F06B44B" w14:textId="77777777" w:rsidR="00773CEF" w:rsidRPr="00FE14B5" w:rsidRDefault="00773CEF" w:rsidP="00FF2CB1">
            <w:pPr>
              <w:spacing w:after="0"/>
              <w:rPr>
                <w:rFonts w:cs="Arial"/>
                <w:color w:val="FF0000"/>
                <w:szCs w:val="20"/>
              </w:rPr>
            </w:pPr>
            <w:r w:rsidRPr="00FE14B5">
              <w:rPr>
                <w:rFonts w:cs="Arial"/>
                <w:szCs w:val="20"/>
              </w:rPr>
              <w:t>10002393</w:t>
            </w:r>
          </w:p>
        </w:tc>
      </w:tr>
      <w:tr w:rsidR="00773CEF" w:rsidRPr="00FE14B5" w14:paraId="08FC716A" w14:textId="77777777" w:rsidTr="00773CEF">
        <w:tc>
          <w:tcPr>
            <w:tcW w:w="2547" w:type="dxa"/>
            <w:tcBorders>
              <w:left w:val="single" w:sz="4" w:space="0" w:color="auto"/>
              <w:right w:val="single" w:sz="4" w:space="0" w:color="auto"/>
            </w:tcBorders>
            <w:shd w:val="clear" w:color="auto" w:fill="FFFFFF" w:themeFill="background1"/>
            <w:tcMar>
              <w:top w:w="57" w:type="dxa"/>
              <w:bottom w:w="57" w:type="dxa"/>
            </w:tcMar>
          </w:tcPr>
          <w:p w14:paraId="73F40F0C" w14:textId="3C4E4BA5" w:rsidR="00773CEF" w:rsidRPr="00FE14B5" w:rsidRDefault="00773CEF" w:rsidP="00FF2CB1">
            <w:pPr>
              <w:spacing w:after="0" w:line="240" w:lineRule="auto"/>
              <w:rPr>
                <w:rFonts w:cs="Arial"/>
              </w:rPr>
            </w:pPr>
            <w:r w:rsidRPr="00FE14B5">
              <w:rPr>
                <w:rFonts w:cs="Arial"/>
              </w:rPr>
              <w:t>TS Number</w:t>
            </w:r>
          </w:p>
        </w:tc>
        <w:tc>
          <w:tcPr>
            <w:tcW w:w="6095" w:type="dxa"/>
            <w:gridSpan w:val="4"/>
            <w:tcBorders>
              <w:left w:val="single" w:sz="4" w:space="0" w:color="auto"/>
              <w:right w:val="single" w:sz="4" w:space="0" w:color="auto"/>
            </w:tcBorders>
            <w:shd w:val="clear" w:color="auto" w:fill="FFFFFF" w:themeFill="background1"/>
            <w:tcMar>
              <w:top w:w="57" w:type="dxa"/>
              <w:bottom w:w="57" w:type="dxa"/>
            </w:tcMar>
          </w:tcPr>
          <w:p w14:paraId="74F2282E" w14:textId="77777777" w:rsidR="00773CEF" w:rsidRPr="00FE14B5" w:rsidRDefault="00773CEF" w:rsidP="00FF2CB1">
            <w:pPr>
              <w:spacing w:after="0" w:line="240" w:lineRule="auto"/>
              <w:rPr>
                <w:rFonts w:cs="Arial"/>
              </w:rPr>
            </w:pPr>
            <w:r w:rsidRPr="00FE14B5">
              <w:rPr>
                <w:rFonts w:cs="Arial"/>
                <w:b/>
                <w:color w:val="FF0000"/>
              </w:rPr>
              <w:t xml:space="preserve">TS  </w:t>
            </w:r>
            <w:r w:rsidRPr="00166C7E">
              <w:rPr>
                <w:rFonts w:cs="Arial"/>
                <w:b/>
                <w:color w:val="FF0000"/>
              </w:rPr>
              <w:t>XXXXXXXXX</w:t>
            </w:r>
          </w:p>
        </w:tc>
      </w:tr>
      <w:tr w:rsidR="00773CEF" w:rsidRPr="00FE14B5" w14:paraId="2939623B" w14:textId="77777777" w:rsidTr="00773CEF">
        <w:tc>
          <w:tcPr>
            <w:tcW w:w="2547" w:type="dxa"/>
            <w:tcBorders>
              <w:left w:val="single" w:sz="4" w:space="0" w:color="auto"/>
              <w:right w:val="single" w:sz="4" w:space="0" w:color="auto"/>
            </w:tcBorders>
            <w:shd w:val="clear" w:color="auto" w:fill="FFFFFF" w:themeFill="background1"/>
            <w:tcMar>
              <w:top w:w="57" w:type="dxa"/>
              <w:bottom w:w="57" w:type="dxa"/>
            </w:tcMar>
          </w:tcPr>
          <w:p w14:paraId="579796FE" w14:textId="77777777" w:rsidR="00773CEF" w:rsidRPr="00FE14B5" w:rsidRDefault="00773CEF" w:rsidP="00FF2CB1">
            <w:pPr>
              <w:spacing w:after="0" w:line="240" w:lineRule="auto"/>
              <w:rPr>
                <w:rFonts w:cs="Arial"/>
              </w:rPr>
            </w:pPr>
            <w:r w:rsidRPr="00FE14B5">
              <w:rPr>
                <w:rFonts w:cs="Arial"/>
              </w:rPr>
              <w:t>Callsign of licensee</w:t>
            </w:r>
          </w:p>
        </w:tc>
        <w:tc>
          <w:tcPr>
            <w:tcW w:w="6095" w:type="dxa"/>
            <w:gridSpan w:val="4"/>
            <w:tcBorders>
              <w:left w:val="single" w:sz="4" w:space="0" w:color="auto"/>
              <w:right w:val="single" w:sz="4" w:space="0" w:color="auto"/>
            </w:tcBorders>
            <w:shd w:val="clear" w:color="auto" w:fill="FFFFFF" w:themeFill="background1"/>
            <w:tcMar>
              <w:top w:w="57" w:type="dxa"/>
              <w:bottom w:w="57" w:type="dxa"/>
            </w:tcMar>
          </w:tcPr>
          <w:p w14:paraId="6D8883E9" w14:textId="77777777" w:rsidR="00773CEF" w:rsidRPr="00FE14B5" w:rsidRDefault="00773CEF" w:rsidP="00FF2CB1">
            <w:pPr>
              <w:spacing w:after="0" w:line="240" w:lineRule="auto"/>
              <w:rPr>
                <w:rFonts w:cs="Arial"/>
              </w:rPr>
            </w:pPr>
            <w:r w:rsidRPr="00FE14B5">
              <w:rPr>
                <w:rFonts w:cs="Arial"/>
              </w:rPr>
              <w:t xml:space="preserve">6FMS </w:t>
            </w:r>
          </w:p>
        </w:tc>
      </w:tr>
      <w:tr w:rsidR="00773CEF" w:rsidRPr="00FE14B5" w14:paraId="42138129" w14:textId="77777777" w:rsidTr="00773CEF">
        <w:tc>
          <w:tcPr>
            <w:tcW w:w="2547" w:type="dxa"/>
            <w:tcBorders>
              <w:left w:val="single" w:sz="4" w:space="0" w:color="auto"/>
              <w:right w:val="single" w:sz="4" w:space="0" w:color="auto"/>
            </w:tcBorders>
            <w:shd w:val="clear" w:color="auto" w:fill="FFFFFF" w:themeFill="background1"/>
            <w:tcMar>
              <w:top w:w="57" w:type="dxa"/>
              <w:bottom w:w="57" w:type="dxa"/>
            </w:tcMar>
          </w:tcPr>
          <w:p w14:paraId="197A2A28" w14:textId="22B8C0A6" w:rsidR="00773CEF" w:rsidRPr="00FE14B5" w:rsidRDefault="00773CEF" w:rsidP="00FF2CB1">
            <w:pPr>
              <w:spacing w:after="0" w:line="240" w:lineRule="auto"/>
              <w:rPr>
                <w:rFonts w:cs="Arial"/>
              </w:rPr>
            </w:pPr>
            <w:r w:rsidRPr="00FE14B5">
              <w:rPr>
                <w:rFonts w:cs="Arial"/>
              </w:rPr>
              <w:t>Area Served</w:t>
            </w:r>
          </w:p>
        </w:tc>
        <w:tc>
          <w:tcPr>
            <w:tcW w:w="6095" w:type="dxa"/>
            <w:gridSpan w:val="4"/>
            <w:tcBorders>
              <w:left w:val="single" w:sz="4" w:space="0" w:color="auto"/>
              <w:right w:val="single" w:sz="4" w:space="0" w:color="auto"/>
            </w:tcBorders>
            <w:shd w:val="clear" w:color="auto" w:fill="FFFFFF" w:themeFill="background1"/>
            <w:tcMar>
              <w:top w:w="57" w:type="dxa"/>
              <w:bottom w:w="57" w:type="dxa"/>
            </w:tcMar>
          </w:tcPr>
          <w:p w14:paraId="7EB00743" w14:textId="77777777" w:rsidR="00773CEF" w:rsidRPr="00FE14B5" w:rsidRDefault="00773CEF" w:rsidP="00FF2CB1">
            <w:pPr>
              <w:spacing w:after="0"/>
              <w:rPr>
                <w:rFonts w:cs="Arial"/>
                <w:szCs w:val="20"/>
              </w:rPr>
            </w:pPr>
            <w:r w:rsidRPr="00FE14B5">
              <w:rPr>
                <w:rFonts w:cs="Arial"/>
                <w:szCs w:val="20"/>
              </w:rPr>
              <w:t>Lancelin</w:t>
            </w:r>
          </w:p>
        </w:tc>
      </w:tr>
      <w:tr w:rsidR="00773CEF" w:rsidRPr="00FE14B5" w14:paraId="2025F20E" w14:textId="77777777" w:rsidTr="00773CEF">
        <w:tc>
          <w:tcPr>
            <w:tcW w:w="2547" w:type="dxa"/>
            <w:tcBorders>
              <w:left w:val="single" w:sz="4" w:space="0" w:color="auto"/>
              <w:right w:val="single" w:sz="4" w:space="0" w:color="auto"/>
            </w:tcBorders>
            <w:shd w:val="clear" w:color="auto" w:fill="FFFFFF" w:themeFill="background1"/>
            <w:tcMar>
              <w:top w:w="57" w:type="dxa"/>
              <w:bottom w:w="57" w:type="dxa"/>
            </w:tcMar>
          </w:tcPr>
          <w:p w14:paraId="014EEA6C" w14:textId="77777777" w:rsidR="00773CEF" w:rsidRPr="00FE14B5" w:rsidRDefault="00773CEF" w:rsidP="00FF2CB1">
            <w:pPr>
              <w:spacing w:after="0" w:line="240" w:lineRule="auto"/>
              <w:rPr>
                <w:rFonts w:cs="Arial"/>
              </w:rPr>
            </w:pPr>
            <w:r w:rsidRPr="00FE14B5">
              <w:rPr>
                <w:rFonts w:cs="Arial"/>
              </w:rPr>
              <w:t>Nominal location</w:t>
            </w:r>
          </w:p>
        </w:tc>
        <w:tc>
          <w:tcPr>
            <w:tcW w:w="6095" w:type="dxa"/>
            <w:gridSpan w:val="4"/>
            <w:tcBorders>
              <w:left w:val="single" w:sz="4" w:space="0" w:color="auto"/>
              <w:right w:val="single" w:sz="4" w:space="0" w:color="auto"/>
            </w:tcBorders>
            <w:shd w:val="clear" w:color="auto" w:fill="FFFFFF" w:themeFill="background1"/>
            <w:tcMar>
              <w:top w:w="57" w:type="dxa"/>
              <w:bottom w:w="57" w:type="dxa"/>
            </w:tcMar>
          </w:tcPr>
          <w:p w14:paraId="4B83F39F" w14:textId="77777777" w:rsidR="00773CEF" w:rsidRPr="00FE14B5" w:rsidRDefault="00773CEF" w:rsidP="00FF2CB1">
            <w:pPr>
              <w:spacing w:after="0"/>
              <w:rPr>
                <w:rFonts w:cs="Arial"/>
                <w:szCs w:val="20"/>
              </w:rPr>
            </w:pPr>
            <w:r w:rsidRPr="00FE14B5">
              <w:rPr>
                <w:rFonts w:cs="Arial"/>
                <w:szCs w:val="20"/>
              </w:rPr>
              <w:t>Council Site off Nilgen Rd NILGEN</w:t>
            </w:r>
          </w:p>
        </w:tc>
      </w:tr>
      <w:tr w:rsidR="00773CEF" w:rsidRPr="00FE14B5" w14:paraId="68E3F4FC" w14:textId="77777777" w:rsidTr="00773CEF">
        <w:tc>
          <w:tcPr>
            <w:tcW w:w="2547" w:type="dxa"/>
            <w:tcBorders>
              <w:left w:val="single" w:sz="4" w:space="0" w:color="auto"/>
              <w:bottom w:val="single" w:sz="4" w:space="0" w:color="auto"/>
              <w:right w:val="single" w:sz="4" w:space="0" w:color="auto"/>
            </w:tcBorders>
            <w:tcMar>
              <w:top w:w="57" w:type="dxa"/>
              <w:bottom w:w="57" w:type="dxa"/>
            </w:tcMar>
          </w:tcPr>
          <w:p w14:paraId="6AC3D97A" w14:textId="24C373A0" w:rsidR="00773CEF" w:rsidRPr="00FE14B5" w:rsidRDefault="00773CEF" w:rsidP="00FF2CB1">
            <w:pPr>
              <w:spacing w:after="0" w:line="240" w:lineRule="auto"/>
              <w:rPr>
                <w:rFonts w:cs="Arial"/>
              </w:rPr>
            </w:pPr>
            <w:r w:rsidRPr="00FE14B5">
              <w:rPr>
                <w:rFonts w:cs="Arial"/>
              </w:rPr>
              <w:t>RADCOM Site ID</w:t>
            </w:r>
          </w:p>
        </w:tc>
        <w:tc>
          <w:tcPr>
            <w:tcW w:w="6095" w:type="dxa"/>
            <w:gridSpan w:val="4"/>
            <w:tcBorders>
              <w:left w:val="single" w:sz="4" w:space="0" w:color="auto"/>
              <w:bottom w:val="single" w:sz="4" w:space="0" w:color="auto"/>
              <w:right w:val="single" w:sz="4" w:space="0" w:color="auto"/>
            </w:tcBorders>
            <w:tcMar>
              <w:top w:w="57" w:type="dxa"/>
              <w:bottom w:w="57" w:type="dxa"/>
            </w:tcMar>
          </w:tcPr>
          <w:p w14:paraId="767B07B7" w14:textId="77777777" w:rsidR="00773CEF" w:rsidRPr="00FE14B5" w:rsidRDefault="00773CEF" w:rsidP="00FF2CB1">
            <w:pPr>
              <w:spacing w:after="0"/>
              <w:rPr>
                <w:rFonts w:cs="Arial"/>
                <w:szCs w:val="20"/>
              </w:rPr>
            </w:pPr>
            <w:r w:rsidRPr="00FE14B5">
              <w:rPr>
                <w:rFonts w:cs="Arial"/>
                <w:szCs w:val="20"/>
              </w:rPr>
              <w:t>150533</w:t>
            </w:r>
          </w:p>
        </w:tc>
      </w:tr>
      <w:tr w:rsidR="00773CEF" w:rsidRPr="00FE14B5" w14:paraId="3EBAA5AF" w14:textId="77777777" w:rsidTr="00773CEF">
        <w:tc>
          <w:tcPr>
            <w:tcW w:w="2547" w:type="dxa"/>
            <w:vMerge w:val="restart"/>
            <w:tcBorders>
              <w:left w:val="single" w:sz="4" w:space="0" w:color="auto"/>
              <w:right w:val="single" w:sz="4" w:space="0" w:color="auto"/>
            </w:tcBorders>
            <w:tcMar>
              <w:top w:w="57" w:type="dxa"/>
              <w:bottom w:w="57" w:type="dxa"/>
            </w:tcMar>
          </w:tcPr>
          <w:p w14:paraId="0C3A4AFB" w14:textId="79379A5D" w:rsidR="00773CEF" w:rsidRPr="00FE14B5" w:rsidRDefault="00773CEF" w:rsidP="00FF2CB1">
            <w:pPr>
              <w:spacing w:after="0" w:line="240" w:lineRule="auto"/>
              <w:rPr>
                <w:rFonts w:cs="Arial"/>
              </w:rPr>
            </w:pPr>
            <w:r w:rsidRPr="00FE14B5">
              <w:rPr>
                <w:rFonts w:cs="Arial"/>
              </w:rPr>
              <w:t>Coordinates Information</w:t>
            </w:r>
          </w:p>
        </w:tc>
        <w:tc>
          <w:tcPr>
            <w:tcW w:w="2693" w:type="dxa"/>
            <w:gridSpan w:val="2"/>
            <w:tcBorders>
              <w:left w:val="single" w:sz="4" w:space="0" w:color="auto"/>
              <w:bottom w:val="single" w:sz="4" w:space="0" w:color="auto"/>
              <w:right w:val="single" w:sz="4" w:space="0" w:color="auto"/>
            </w:tcBorders>
            <w:tcMar>
              <w:top w:w="57" w:type="dxa"/>
              <w:bottom w:w="57" w:type="dxa"/>
            </w:tcMar>
          </w:tcPr>
          <w:p w14:paraId="335B3416" w14:textId="77777777" w:rsidR="00773CEF" w:rsidRPr="00FE14B5" w:rsidRDefault="00773CEF" w:rsidP="00FF2CB1">
            <w:pPr>
              <w:spacing w:after="0" w:line="240" w:lineRule="auto"/>
              <w:rPr>
                <w:rFonts w:cs="Arial"/>
              </w:rPr>
            </w:pPr>
            <w:r w:rsidRPr="00FE14B5">
              <w:rPr>
                <w:rFonts w:cs="Arial"/>
              </w:rPr>
              <w:t>Latitude (GDA94)</w:t>
            </w:r>
          </w:p>
          <w:p w14:paraId="4CE9EC9C" w14:textId="77777777" w:rsidR="00773CEF" w:rsidRPr="00FE14B5" w:rsidRDefault="00773CEF" w:rsidP="00FF2CB1">
            <w:pPr>
              <w:spacing w:after="0"/>
              <w:rPr>
                <w:rFonts w:cs="Arial"/>
                <w:szCs w:val="20"/>
              </w:rPr>
            </w:pPr>
            <w:r w:rsidRPr="00FE14B5">
              <w:rPr>
                <w:rFonts w:cs="Arial"/>
                <w:szCs w:val="20"/>
              </w:rPr>
              <w:t>-30.98496</w:t>
            </w:r>
          </w:p>
        </w:tc>
        <w:tc>
          <w:tcPr>
            <w:tcW w:w="3402" w:type="dxa"/>
            <w:gridSpan w:val="2"/>
            <w:tcBorders>
              <w:left w:val="single" w:sz="4" w:space="0" w:color="auto"/>
              <w:bottom w:val="single" w:sz="4" w:space="0" w:color="auto"/>
              <w:right w:val="single" w:sz="4" w:space="0" w:color="auto"/>
            </w:tcBorders>
            <w:tcMar>
              <w:top w:w="57" w:type="dxa"/>
              <w:bottom w:w="57" w:type="dxa"/>
            </w:tcMar>
          </w:tcPr>
          <w:p w14:paraId="4526F47D" w14:textId="77777777" w:rsidR="00773CEF" w:rsidRPr="00FE14B5" w:rsidRDefault="00773CEF" w:rsidP="00FF2CB1">
            <w:pPr>
              <w:spacing w:after="0" w:line="240" w:lineRule="auto"/>
              <w:rPr>
                <w:rFonts w:cs="Arial"/>
              </w:rPr>
            </w:pPr>
            <w:r w:rsidRPr="00FE14B5">
              <w:rPr>
                <w:rFonts w:cs="Arial"/>
              </w:rPr>
              <w:t>Longitude (GDA94)</w:t>
            </w:r>
          </w:p>
          <w:p w14:paraId="027E34C2" w14:textId="77777777" w:rsidR="00773CEF" w:rsidRPr="00FE14B5" w:rsidRDefault="00773CEF" w:rsidP="00FF2CB1">
            <w:pPr>
              <w:spacing w:after="0"/>
              <w:rPr>
                <w:rFonts w:cs="Arial"/>
                <w:szCs w:val="20"/>
              </w:rPr>
            </w:pPr>
            <w:r w:rsidRPr="00FE14B5">
              <w:rPr>
                <w:rFonts w:cs="Arial"/>
                <w:szCs w:val="20"/>
              </w:rPr>
              <w:t>115.38552</w:t>
            </w:r>
          </w:p>
        </w:tc>
      </w:tr>
      <w:tr w:rsidR="00773CEF" w:rsidRPr="00FE14B5" w14:paraId="2FDCCBD2" w14:textId="77777777" w:rsidTr="00773CEF">
        <w:tc>
          <w:tcPr>
            <w:tcW w:w="2547" w:type="dxa"/>
            <w:vMerge/>
            <w:tcBorders>
              <w:left w:val="single" w:sz="4" w:space="0" w:color="auto"/>
              <w:right w:val="single" w:sz="4" w:space="0" w:color="auto"/>
            </w:tcBorders>
            <w:shd w:val="clear" w:color="auto" w:fill="FFFFFF" w:themeFill="background1"/>
            <w:tcMar>
              <w:top w:w="57" w:type="dxa"/>
              <w:bottom w:w="57" w:type="dxa"/>
            </w:tcMar>
          </w:tcPr>
          <w:p w14:paraId="1972EEB0" w14:textId="77777777" w:rsidR="00773CEF" w:rsidRPr="00FE14B5" w:rsidRDefault="00773CEF" w:rsidP="00FF2CB1">
            <w:pPr>
              <w:spacing w:after="0" w:line="240" w:lineRule="auto"/>
              <w:rPr>
                <w:rFonts w:cs="Arial"/>
              </w:rPr>
            </w:pPr>
          </w:p>
        </w:tc>
        <w:tc>
          <w:tcPr>
            <w:tcW w:w="1978" w:type="dxa"/>
            <w:tcBorders>
              <w:left w:val="single" w:sz="4" w:space="0" w:color="auto"/>
              <w:right w:val="single" w:sz="4" w:space="0" w:color="auto"/>
            </w:tcBorders>
            <w:shd w:val="clear" w:color="auto" w:fill="FFFFFF" w:themeFill="background1"/>
            <w:tcMar>
              <w:top w:w="57" w:type="dxa"/>
              <w:bottom w:w="57" w:type="dxa"/>
            </w:tcMar>
          </w:tcPr>
          <w:p w14:paraId="693BA4AF" w14:textId="77777777" w:rsidR="00773CEF" w:rsidRPr="00FE14B5" w:rsidRDefault="00773CEF" w:rsidP="00FF2CB1">
            <w:pPr>
              <w:spacing w:after="0" w:line="240" w:lineRule="auto"/>
              <w:rPr>
                <w:rFonts w:cs="Arial"/>
              </w:rPr>
            </w:pPr>
            <w:r w:rsidRPr="00FE14B5">
              <w:rPr>
                <w:rFonts w:cs="Arial"/>
              </w:rPr>
              <w:t>Zone (AMG66)</w:t>
            </w:r>
          </w:p>
          <w:p w14:paraId="3029CA1B" w14:textId="77777777" w:rsidR="00773CEF" w:rsidRPr="00FE14B5" w:rsidRDefault="00773CEF" w:rsidP="00FF2CB1">
            <w:pPr>
              <w:spacing w:after="0" w:line="240" w:lineRule="auto"/>
              <w:rPr>
                <w:rFonts w:cs="Arial"/>
              </w:rPr>
            </w:pPr>
            <w:r w:rsidRPr="00FE14B5">
              <w:rPr>
                <w:rFonts w:cs="Arial"/>
              </w:rPr>
              <w:t>50</w:t>
            </w:r>
          </w:p>
        </w:tc>
        <w:tc>
          <w:tcPr>
            <w:tcW w:w="1775" w:type="dxa"/>
            <w:gridSpan w:val="2"/>
            <w:tcBorders>
              <w:left w:val="single" w:sz="4" w:space="0" w:color="auto"/>
              <w:right w:val="single" w:sz="4" w:space="0" w:color="auto"/>
            </w:tcBorders>
            <w:shd w:val="clear" w:color="auto" w:fill="FFFFFF" w:themeFill="background1"/>
            <w:tcMar>
              <w:top w:w="57" w:type="dxa"/>
              <w:bottom w:w="57" w:type="dxa"/>
            </w:tcMar>
          </w:tcPr>
          <w:p w14:paraId="4E3B434D" w14:textId="77777777" w:rsidR="00773CEF" w:rsidRPr="00FE14B5" w:rsidRDefault="00773CEF" w:rsidP="00FF2CB1">
            <w:pPr>
              <w:spacing w:after="0" w:line="240" w:lineRule="auto"/>
              <w:rPr>
                <w:rFonts w:cs="Arial"/>
              </w:rPr>
            </w:pPr>
            <w:r w:rsidRPr="00FE14B5">
              <w:rPr>
                <w:rFonts w:cs="Arial"/>
              </w:rPr>
              <w:t>Easting (AMG66)</w:t>
            </w:r>
          </w:p>
          <w:p w14:paraId="5291C47A" w14:textId="77777777" w:rsidR="00773CEF" w:rsidRPr="00FE14B5" w:rsidRDefault="00773CEF" w:rsidP="00FF2CB1">
            <w:pPr>
              <w:spacing w:after="0"/>
              <w:rPr>
                <w:rFonts w:cs="Arial"/>
                <w:szCs w:val="20"/>
              </w:rPr>
            </w:pPr>
            <w:r w:rsidRPr="00FE14B5">
              <w:rPr>
                <w:rFonts w:cs="Arial"/>
                <w:szCs w:val="20"/>
              </w:rPr>
              <w:t>345700</w:t>
            </w:r>
          </w:p>
        </w:tc>
        <w:tc>
          <w:tcPr>
            <w:tcW w:w="2342" w:type="dxa"/>
            <w:tcBorders>
              <w:left w:val="single" w:sz="4" w:space="0" w:color="auto"/>
              <w:right w:val="single" w:sz="4" w:space="0" w:color="auto"/>
            </w:tcBorders>
            <w:shd w:val="clear" w:color="auto" w:fill="FFFFFF" w:themeFill="background1"/>
            <w:tcMar>
              <w:top w:w="57" w:type="dxa"/>
              <w:bottom w:w="57" w:type="dxa"/>
            </w:tcMar>
          </w:tcPr>
          <w:p w14:paraId="3D2B5E8D" w14:textId="77777777" w:rsidR="00773CEF" w:rsidRPr="00FE14B5" w:rsidRDefault="00773CEF" w:rsidP="00FF2CB1">
            <w:pPr>
              <w:spacing w:after="0" w:line="240" w:lineRule="auto"/>
              <w:rPr>
                <w:rFonts w:cs="Arial"/>
              </w:rPr>
            </w:pPr>
            <w:r w:rsidRPr="00FE14B5">
              <w:rPr>
                <w:rFonts w:cs="Arial"/>
              </w:rPr>
              <w:t>Northing (AMG66)</w:t>
            </w:r>
          </w:p>
          <w:p w14:paraId="43D72615" w14:textId="77777777" w:rsidR="00773CEF" w:rsidRPr="00FE14B5" w:rsidRDefault="00773CEF" w:rsidP="00FF2CB1">
            <w:pPr>
              <w:spacing w:after="0"/>
              <w:rPr>
                <w:rFonts w:cs="Arial"/>
                <w:szCs w:val="20"/>
              </w:rPr>
            </w:pPr>
            <w:r w:rsidRPr="00FE14B5">
              <w:rPr>
                <w:rFonts w:cs="Arial"/>
                <w:szCs w:val="20"/>
              </w:rPr>
              <w:t>6570800</w:t>
            </w:r>
          </w:p>
        </w:tc>
      </w:tr>
      <w:tr w:rsidR="00773CEF" w:rsidRPr="00FE14B5" w14:paraId="775C1A7B" w14:textId="77777777" w:rsidTr="00773CEF">
        <w:tc>
          <w:tcPr>
            <w:tcW w:w="2547" w:type="dxa"/>
            <w:tcBorders>
              <w:left w:val="single" w:sz="4" w:space="0" w:color="auto"/>
              <w:right w:val="single" w:sz="4" w:space="0" w:color="auto"/>
            </w:tcBorders>
            <w:shd w:val="clear" w:color="auto" w:fill="FFFFFF" w:themeFill="background1"/>
            <w:tcMar>
              <w:top w:w="57" w:type="dxa"/>
              <w:bottom w:w="57" w:type="dxa"/>
            </w:tcMar>
          </w:tcPr>
          <w:p w14:paraId="4484091C" w14:textId="77777777" w:rsidR="00773CEF" w:rsidRPr="00FE14B5" w:rsidRDefault="00773CEF" w:rsidP="00FF2CB1">
            <w:pPr>
              <w:spacing w:after="0" w:line="240" w:lineRule="auto"/>
              <w:rPr>
                <w:rFonts w:cs="Arial"/>
              </w:rPr>
            </w:pPr>
            <w:r w:rsidRPr="00FE14B5">
              <w:rPr>
                <w:rFonts w:cs="Arial"/>
              </w:rPr>
              <w:t>Frequency</w:t>
            </w:r>
          </w:p>
        </w:tc>
        <w:tc>
          <w:tcPr>
            <w:tcW w:w="6095" w:type="dxa"/>
            <w:gridSpan w:val="4"/>
            <w:tcBorders>
              <w:left w:val="single" w:sz="4" w:space="0" w:color="auto"/>
              <w:right w:val="single" w:sz="4" w:space="0" w:color="auto"/>
            </w:tcBorders>
            <w:shd w:val="clear" w:color="auto" w:fill="FFFFFF" w:themeFill="background1"/>
            <w:tcMar>
              <w:top w:w="57" w:type="dxa"/>
              <w:bottom w:w="57" w:type="dxa"/>
            </w:tcMar>
          </w:tcPr>
          <w:p w14:paraId="185E5E80" w14:textId="77777777" w:rsidR="00773CEF" w:rsidRPr="00FE14B5" w:rsidRDefault="00773CEF" w:rsidP="00FF2CB1">
            <w:pPr>
              <w:spacing w:after="0" w:line="240" w:lineRule="auto"/>
              <w:rPr>
                <w:rFonts w:cs="Arial"/>
                <w:b/>
              </w:rPr>
            </w:pPr>
            <w:r w:rsidRPr="00FE14B5">
              <w:rPr>
                <w:rFonts w:cs="Arial"/>
                <w:b/>
                <w:color w:val="FF0000"/>
              </w:rPr>
              <w:t xml:space="preserve">102.9 MHz </w:t>
            </w:r>
          </w:p>
        </w:tc>
      </w:tr>
      <w:tr w:rsidR="00773CEF" w:rsidRPr="00FE14B5" w14:paraId="59629DD5" w14:textId="77777777" w:rsidTr="00773CEF">
        <w:tc>
          <w:tcPr>
            <w:tcW w:w="2547" w:type="dxa"/>
            <w:vMerge w:val="restart"/>
            <w:tcBorders>
              <w:left w:val="single" w:sz="4" w:space="0" w:color="auto"/>
              <w:right w:val="single" w:sz="4" w:space="0" w:color="auto"/>
            </w:tcBorders>
            <w:tcMar>
              <w:top w:w="57" w:type="dxa"/>
              <w:bottom w:w="57" w:type="dxa"/>
            </w:tcMar>
          </w:tcPr>
          <w:p w14:paraId="2370D38D" w14:textId="0EFB44D6" w:rsidR="00773CEF" w:rsidRPr="00FE14B5" w:rsidRDefault="00773CEF" w:rsidP="00FF2CB1">
            <w:pPr>
              <w:spacing w:after="0" w:line="240" w:lineRule="auto"/>
              <w:rPr>
                <w:rFonts w:cs="Arial"/>
              </w:rPr>
            </w:pPr>
            <w:r w:rsidRPr="00FE14B5">
              <w:rPr>
                <w:rFonts w:cs="Arial"/>
              </w:rPr>
              <w:t>Maximum ERP and Radiation Pattern</w:t>
            </w:r>
          </w:p>
        </w:tc>
        <w:tc>
          <w:tcPr>
            <w:tcW w:w="2693" w:type="dxa"/>
            <w:gridSpan w:val="2"/>
            <w:tcBorders>
              <w:left w:val="single" w:sz="4" w:space="0" w:color="auto"/>
              <w:bottom w:val="single" w:sz="4" w:space="0" w:color="auto"/>
              <w:right w:val="single" w:sz="4" w:space="0" w:color="auto"/>
            </w:tcBorders>
            <w:tcMar>
              <w:top w:w="57" w:type="dxa"/>
              <w:bottom w:w="57" w:type="dxa"/>
            </w:tcMar>
          </w:tcPr>
          <w:p w14:paraId="3A708D3B" w14:textId="39EC58D4" w:rsidR="00773CEF" w:rsidRPr="00FE14B5" w:rsidRDefault="00773CEF" w:rsidP="00FF2CB1">
            <w:pPr>
              <w:spacing w:after="0" w:line="240" w:lineRule="auto"/>
              <w:rPr>
                <w:rFonts w:cs="Arial"/>
              </w:rPr>
            </w:pPr>
            <w:r w:rsidRPr="00FE14B5">
              <w:rPr>
                <w:rFonts w:cs="Arial"/>
              </w:rPr>
              <w:t>Azimuth Bearing (clockwise direction)</w:t>
            </w:r>
          </w:p>
        </w:tc>
        <w:tc>
          <w:tcPr>
            <w:tcW w:w="3402" w:type="dxa"/>
            <w:gridSpan w:val="2"/>
            <w:tcBorders>
              <w:left w:val="single" w:sz="4" w:space="0" w:color="auto"/>
              <w:bottom w:val="single" w:sz="4" w:space="0" w:color="auto"/>
              <w:right w:val="single" w:sz="4" w:space="0" w:color="auto"/>
            </w:tcBorders>
            <w:tcMar>
              <w:top w:w="57" w:type="dxa"/>
              <w:bottom w:w="57" w:type="dxa"/>
            </w:tcMar>
          </w:tcPr>
          <w:p w14:paraId="0AE6F571" w14:textId="77777777" w:rsidR="00773CEF" w:rsidRPr="00FE14B5" w:rsidRDefault="00773CEF" w:rsidP="00FF2CB1">
            <w:pPr>
              <w:spacing w:after="0" w:line="240" w:lineRule="auto"/>
              <w:rPr>
                <w:rFonts w:cs="Arial"/>
              </w:rPr>
            </w:pPr>
            <w:r w:rsidRPr="00FE14B5">
              <w:rPr>
                <w:rFonts w:cs="Arial"/>
              </w:rPr>
              <w:t xml:space="preserve">Maximum ERP </w:t>
            </w:r>
          </w:p>
        </w:tc>
      </w:tr>
      <w:tr w:rsidR="00773CEF" w:rsidRPr="00FE14B5" w14:paraId="2E4730DF" w14:textId="77777777" w:rsidTr="00773CEF">
        <w:tc>
          <w:tcPr>
            <w:tcW w:w="2547" w:type="dxa"/>
            <w:vMerge/>
            <w:tcBorders>
              <w:left w:val="single" w:sz="4" w:space="0" w:color="auto"/>
              <w:right w:val="single" w:sz="4" w:space="0" w:color="auto"/>
            </w:tcBorders>
            <w:tcMar>
              <w:top w:w="57" w:type="dxa"/>
              <w:bottom w:w="57" w:type="dxa"/>
            </w:tcMar>
          </w:tcPr>
          <w:p w14:paraId="374DCD8B" w14:textId="77777777" w:rsidR="00773CEF" w:rsidRPr="00FE14B5" w:rsidRDefault="00773CEF" w:rsidP="00FF2CB1">
            <w:pPr>
              <w:spacing w:after="0" w:line="240" w:lineRule="auto"/>
              <w:rPr>
                <w:rFonts w:cs="Arial"/>
              </w:rPr>
            </w:pPr>
          </w:p>
        </w:tc>
        <w:tc>
          <w:tcPr>
            <w:tcW w:w="2693" w:type="dxa"/>
            <w:gridSpan w:val="2"/>
            <w:tcBorders>
              <w:left w:val="single" w:sz="4" w:space="0" w:color="auto"/>
              <w:bottom w:val="single" w:sz="4" w:space="0" w:color="auto"/>
              <w:right w:val="single" w:sz="4" w:space="0" w:color="auto"/>
            </w:tcBorders>
            <w:tcMar>
              <w:top w:w="57" w:type="dxa"/>
              <w:bottom w:w="57" w:type="dxa"/>
            </w:tcMar>
          </w:tcPr>
          <w:p w14:paraId="3ED32D2E" w14:textId="77777777" w:rsidR="00773CEF" w:rsidRPr="00FE14B5" w:rsidRDefault="00773CEF" w:rsidP="00660F76">
            <w:pPr>
              <w:spacing w:after="0"/>
              <w:rPr>
                <w:rFonts w:cs="Arial"/>
                <w:szCs w:val="20"/>
              </w:rPr>
            </w:pPr>
            <w:r w:rsidRPr="00FE14B5">
              <w:rPr>
                <w:rFonts w:cs="Arial"/>
                <w:szCs w:val="20"/>
              </w:rPr>
              <w:t>At all angles of azimuth</w:t>
            </w:r>
          </w:p>
        </w:tc>
        <w:tc>
          <w:tcPr>
            <w:tcW w:w="3402" w:type="dxa"/>
            <w:gridSpan w:val="2"/>
            <w:tcBorders>
              <w:left w:val="single" w:sz="4" w:space="0" w:color="auto"/>
              <w:bottom w:val="single" w:sz="4" w:space="0" w:color="auto"/>
              <w:right w:val="single" w:sz="4" w:space="0" w:color="auto"/>
            </w:tcBorders>
            <w:tcMar>
              <w:top w:w="57" w:type="dxa"/>
              <w:bottom w:w="57" w:type="dxa"/>
            </w:tcMar>
          </w:tcPr>
          <w:p w14:paraId="467915D4" w14:textId="77777777" w:rsidR="00773CEF" w:rsidRPr="00FE14B5" w:rsidRDefault="00773CEF" w:rsidP="00FF2CB1">
            <w:pPr>
              <w:tabs>
                <w:tab w:val="right" w:pos="1309"/>
              </w:tabs>
              <w:spacing w:after="0" w:line="240" w:lineRule="auto"/>
              <w:rPr>
                <w:rFonts w:cs="Arial"/>
              </w:rPr>
            </w:pPr>
            <w:r w:rsidRPr="00FE14B5">
              <w:rPr>
                <w:rFonts w:cs="Arial"/>
              </w:rPr>
              <w:tab/>
              <w:t>150 W</w:t>
            </w:r>
          </w:p>
        </w:tc>
      </w:tr>
      <w:tr w:rsidR="00773CEF" w:rsidRPr="00FE14B5" w14:paraId="3956EA66" w14:textId="77777777" w:rsidTr="00773CEF">
        <w:tc>
          <w:tcPr>
            <w:tcW w:w="2547" w:type="dxa"/>
            <w:tcBorders>
              <w:left w:val="single" w:sz="4" w:space="0" w:color="auto"/>
              <w:right w:val="single" w:sz="4" w:space="0" w:color="auto"/>
            </w:tcBorders>
            <w:shd w:val="clear" w:color="auto" w:fill="FFFFFF" w:themeFill="background1"/>
            <w:tcMar>
              <w:top w:w="57" w:type="dxa"/>
              <w:bottom w:w="57" w:type="dxa"/>
            </w:tcMar>
          </w:tcPr>
          <w:p w14:paraId="7C2AA018" w14:textId="77777777" w:rsidR="00773CEF" w:rsidRPr="00FE14B5" w:rsidRDefault="00773CEF" w:rsidP="00FF2CB1">
            <w:pPr>
              <w:spacing w:after="0" w:line="240" w:lineRule="auto"/>
              <w:rPr>
                <w:rFonts w:cs="Arial"/>
              </w:rPr>
            </w:pPr>
            <w:r w:rsidRPr="00FE14B5">
              <w:rPr>
                <w:rFonts w:cs="Arial"/>
              </w:rPr>
              <w:t>Polarisation</w:t>
            </w:r>
          </w:p>
        </w:tc>
        <w:tc>
          <w:tcPr>
            <w:tcW w:w="6095" w:type="dxa"/>
            <w:gridSpan w:val="4"/>
            <w:tcBorders>
              <w:left w:val="single" w:sz="4" w:space="0" w:color="auto"/>
              <w:right w:val="single" w:sz="4" w:space="0" w:color="auto"/>
            </w:tcBorders>
            <w:shd w:val="clear" w:color="auto" w:fill="FFFFFF" w:themeFill="background1"/>
            <w:tcMar>
              <w:top w:w="57" w:type="dxa"/>
              <w:bottom w:w="57" w:type="dxa"/>
            </w:tcMar>
          </w:tcPr>
          <w:p w14:paraId="0A4CA4B2" w14:textId="77777777" w:rsidR="00773CEF" w:rsidRPr="00FE14B5" w:rsidRDefault="00773CEF" w:rsidP="00FF2CB1">
            <w:pPr>
              <w:spacing w:after="0" w:line="240" w:lineRule="auto"/>
              <w:rPr>
                <w:rFonts w:cs="Arial"/>
              </w:rPr>
            </w:pPr>
            <w:r w:rsidRPr="00FE14B5">
              <w:rPr>
                <w:rFonts w:cs="Arial"/>
              </w:rPr>
              <w:t>Vertical</w:t>
            </w:r>
          </w:p>
        </w:tc>
      </w:tr>
      <w:tr w:rsidR="00773CEF" w:rsidRPr="00FE14B5" w14:paraId="208765F2" w14:textId="77777777" w:rsidTr="00773CEF">
        <w:tc>
          <w:tcPr>
            <w:tcW w:w="2547" w:type="dxa"/>
            <w:tcBorders>
              <w:left w:val="single" w:sz="4" w:space="0" w:color="auto"/>
              <w:right w:val="single" w:sz="4" w:space="0" w:color="auto"/>
            </w:tcBorders>
            <w:shd w:val="clear" w:color="auto" w:fill="auto"/>
            <w:tcMar>
              <w:top w:w="57" w:type="dxa"/>
              <w:bottom w:w="57" w:type="dxa"/>
            </w:tcMar>
          </w:tcPr>
          <w:p w14:paraId="566B2B90" w14:textId="37213B19" w:rsidR="00773CEF" w:rsidRPr="00FE14B5" w:rsidRDefault="00773CEF" w:rsidP="00FF2CB1">
            <w:pPr>
              <w:spacing w:after="0" w:line="240" w:lineRule="auto"/>
              <w:rPr>
                <w:rFonts w:cs="Arial"/>
              </w:rPr>
            </w:pPr>
            <w:r w:rsidRPr="00FE14B5">
              <w:rPr>
                <w:rFonts w:cs="Arial"/>
              </w:rPr>
              <w:t>Maximum Antenna Height</w:t>
            </w:r>
          </w:p>
        </w:tc>
        <w:tc>
          <w:tcPr>
            <w:tcW w:w="6095" w:type="dxa"/>
            <w:gridSpan w:val="4"/>
            <w:tcBorders>
              <w:left w:val="single" w:sz="4" w:space="0" w:color="auto"/>
              <w:right w:val="single" w:sz="4" w:space="0" w:color="auto"/>
            </w:tcBorders>
            <w:shd w:val="clear" w:color="auto" w:fill="auto"/>
            <w:tcMar>
              <w:top w:w="57" w:type="dxa"/>
              <w:bottom w:w="57" w:type="dxa"/>
            </w:tcMar>
          </w:tcPr>
          <w:p w14:paraId="68730B5A" w14:textId="77777777" w:rsidR="00773CEF" w:rsidRPr="00FE14B5" w:rsidRDefault="00773CEF" w:rsidP="00FF2CB1">
            <w:pPr>
              <w:spacing w:after="0" w:line="240" w:lineRule="auto"/>
              <w:rPr>
                <w:rFonts w:cs="Arial"/>
              </w:rPr>
            </w:pPr>
            <w:r w:rsidRPr="00FE14B5">
              <w:rPr>
                <w:rFonts w:cs="Arial"/>
              </w:rPr>
              <w:t>40 metres</w:t>
            </w:r>
          </w:p>
        </w:tc>
      </w:tr>
      <w:tr w:rsidR="00773CEF" w:rsidRPr="00FE14B5" w14:paraId="1B73805C" w14:textId="77777777" w:rsidTr="00773CEF">
        <w:tc>
          <w:tcPr>
            <w:tcW w:w="2547" w:type="dxa"/>
            <w:tcBorders>
              <w:left w:val="single" w:sz="4" w:space="0" w:color="auto"/>
              <w:right w:val="single" w:sz="4" w:space="0" w:color="auto"/>
            </w:tcBorders>
            <w:shd w:val="clear" w:color="auto" w:fill="FFFFFF" w:themeFill="background1"/>
            <w:tcMar>
              <w:top w:w="57" w:type="dxa"/>
              <w:bottom w:w="57" w:type="dxa"/>
            </w:tcMar>
          </w:tcPr>
          <w:p w14:paraId="055EBE1F" w14:textId="10E4F3B2" w:rsidR="00773CEF" w:rsidRPr="00FE14B5" w:rsidRDefault="00773CEF" w:rsidP="00FF2CB1">
            <w:pPr>
              <w:spacing w:after="0" w:line="240" w:lineRule="auto"/>
              <w:rPr>
                <w:rFonts w:cs="Arial"/>
              </w:rPr>
            </w:pPr>
            <w:r w:rsidRPr="00FE14B5">
              <w:rPr>
                <w:rFonts w:cs="Arial"/>
              </w:rPr>
              <w:t>Special Conditions/</w:t>
            </w:r>
          </w:p>
          <w:p w14:paraId="1EB0707F" w14:textId="3A659D53" w:rsidR="00773CEF" w:rsidRPr="00FE14B5" w:rsidRDefault="00773CEF" w:rsidP="00FF2CB1">
            <w:pPr>
              <w:spacing w:after="0" w:line="240" w:lineRule="auto"/>
              <w:rPr>
                <w:rFonts w:cs="Arial"/>
              </w:rPr>
            </w:pPr>
            <w:r w:rsidRPr="00FE14B5">
              <w:rPr>
                <w:rFonts w:cs="Arial"/>
              </w:rPr>
              <w:t>Advisory Notes</w:t>
            </w:r>
          </w:p>
        </w:tc>
        <w:tc>
          <w:tcPr>
            <w:tcW w:w="6095" w:type="dxa"/>
            <w:gridSpan w:val="4"/>
            <w:tcBorders>
              <w:left w:val="single" w:sz="4" w:space="0" w:color="auto"/>
              <w:right w:val="single" w:sz="4" w:space="0" w:color="auto"/>
            </w:tcBorders>
            <w:shd w:val="clear" w:color="auto" w:fill="FFFFFF" w:themeFill="background1"/>
            <w:tcMar>
              <w:top w:w="57" w:type="dxa"/>
              <w:bottom w:w="57" w:type="dxa"/>
            </w:tcMar>
          </w:tcPr>
          <w:p w14:paraId="71D88BAE" w14:textId="77777777" w:rsidR="00773CEF" w:rsidRPr="00FE14B5" w:rsidRDefault="00773CEF" w:rsidP="00FF2CB1">
            <w:pPr>
              <w:spacing w:after="0"/>
              <w:rPr>
                <w:rFonts w:cs="Arial"/>
                <w:color w:val="FF0000"/>
                <w:szCs w:val="20"/>
              </w:rPr>
            </w:pPr>
            <w:r w:rsidRPr="00FE14B5">
              <w:rPr>
                <w:rFonts w:cs="Arial"/>
                <w:szCs w:val="20"/>
              </w:rPr>
              <w:t>None</w:t>
            </w:r>
          </w:p>
        </w:tc>
      </w:tr>
    </w:tbl>
    <w:p w14:paraId="5CC28466" w14:textId="77777777" w:rsidR="00FE14B5" w:rsidRPr="00773CEF" w:rsidRDefault="00FE14B5" w:rsidP="00773CEF">
      <w:pPr>
        <w:pStyle w:val="Paragraph"/>
      </w:pPr>
    </w:p>
    <w:p w14:paraId="5648EA2E" w14:textId="77777777" w:rsidR="00FE14B5" w:rsidRPr="00FE14B5" w:rsidRDefault="00FE14B5" w:rsidP="00FE14B5">
      <w:pPr>
        <w:spacing w:after="0"/>
        <w:rPr>
          <w:sz w:val="12"/>
          <w:szCs w:val="12"/>
          <w:highlight w:val="yellow"/>
        </w:rPr>
      </w:pPr>
      <w:r w:rsidRPr="00FE14B5">
        <w:rPr>
          <w:sz w:val="12"/>
          <w:szCs w:val="12"/>
          <w:highlight w:val="yellow"/>
        </w:rPr>
        <w:br w:type="page"/>
      </w:r>
    </w:p>
    <w:tbl>
      <w:tblPr>
        <w:tblpPr w:leftFromText="180" w:rightFromText="180" w:vertAnchor="text" w:tblpY="1"/>
        <w:tblOverlap w:val="never"/>
        <w:tblW w:w="8642" w:type="dxa"/>
        <w:tblBorders>
          <w:top w:val="single" w:sz="4" w:space="0" w:color="auto"/>
          <w:bottom w:val="single" w:sz="4" w:space="0" w:color="auto"/>
          <w:insideH w:val="single" w:sz="4" w:space="0" w:color="auto"/>
        </w:tblBorders>
        <w:tblLayout w:type="fixed"/>
        <w:tblCellMar>
          <w:top w:w="85" w:type="dxa"/>
          <w:left w:w="85" w:type="dxa"/>
          <w:bottom w:w="85" w:type="dxa"/>
          <w:right w:w="85" w:type="dxa"/>
        </w:tblCellMar>
        <w:tblLook w:val="01E0" w:firstRow="1" w:lastRow="1" w:firstColumn="1" w:lastColumn="1" w:noHBand="0" w:noVBand="0"/>
        <w:tblCaption w:val="Table title to go here"/>
        <w:tblDescription w:val="Table description to go here"/>
      </w:tblPr>
      <w:tblGrid>
        <w:gridCol w:w="2547"/>
        <w:gridCol w:w="1978"/>
        <w:gridCol w:w="715"/>
        <w:gridCol w:w="1060"/>
        <w:gridCol w:w="2342"/>
      </w:tblGrid>
      <w:tr w:rsidR="00773CEF" w:rsidRPr="00FE14B5" w14:paraId="385B127C" w14:textId="77777777" w:rsidTr="00773CEF">
        <w:tc>
          <w:tcPr>
            <w:tcW w:w="2547" w:type="dxa"/>
            <w:tcBorders>
              <w:left w:val="single" w:sz="4" w:space="0" w:color="auto"/>
              <w:right w:val="single" w:sz="4" w:space="0" w:color="auto"/>
            </w:tcBorders>
            <w:shd w:val="clear" w:color="auto" w:fill="FFFFFF" w:themeFill="background1"/>
            <w:tcMar>
              <w:top w:w="57" w:type="dxa"/>
              <w:bottom w:w="57" w:type="dxa"/>
            </w:tcMar>
          </w:tcPr>
          <w:p w14:paraId="29D100D4" w14:textId="77777777" w:rsidR="00773CEF" w:rsidRPr="00FE14B5" w:rsidRDefault="00773CEF" w:rsidP="00FF2CB1">
            <w:pPr>
              <w:spacing w:after="0" w:line="240" w:lineRule="auto"/>
              <w:rPr>
                <w:rFonts w:cs="Arial"/>
              </w:rPr>
            </w:pPr>
            <w:r w:rsidRPr="00FE14B5">
              <w:rPr>
                <w:rFonts w:cs="Arial"/>
              </w:rPr>
              <w:t>Current TS number</w:t>
            </w:r>
          </w:p>
        </w:tc>
        <w:tc>
          <w:tcPr>
            <w:tcW w:w="6095" w:type="dxa"/>
            <w:gridSpan w:val="4"/>
            <w:tcBorders>
              <w:left w:val="single" w:sz="4" w:space="0" w:color="auto"/>
              <w:right w:val="single" w:sz="4" w:space="0" w:color="auto"/>
            </w:tcBorders>
            <w:shd w:val="clear" w:color="auto" w:fill="FFFFFF" w:themeFill="background1"/>
            <w:tcMar>
              <w:top w:w="57" w:type="dxa"/>
              <w:bottom w:w="57" w:type="dxa"/>
            </w:tcMar>
          </w:tcPr>
          <w:p w14:paraId="521986F4" w14:textId="77777777" w:rsidR="00773CEF" w:rsidRPr="00FE14B5" w:rsidRDefault="00773CEF" w:rsidP="00FF2CB1">
            <w:pPr>
              <w:spacing w:after="0"/>
              <w:rPr>
                <w:rFonts w:cs="Arial"/>
                <w:color w:val="FF0000"/>
                <w:szCs w:val="20"/>
              </w:rPr>
            </w:pPr>
            <w:r w:rsidRPr="00FE14B5">
              <w:rPr>
                <w:rFonts w:cs="Arial"/>
                <w:szCs w:val="20"/>
              </w:rPr>
              <w:t>10002394</w:t>
            </w:r>
          </w:p>
        </w:tc>
      </w:tr>
      <w:tr w:rsidR="00773CEF" w:rsidRPr="00FE14B5" w14:paraId="049CBDC9" w14:textId="77777777" w:rsidTr="00773CEF">
        <w:tc>
          <w:tcPr>
            <w:tcW w:w="2547" w:type="dxa"/>
            <w:tcBorders>
              <w:left w:val="single" w:sz="4" w:space="0" w:color="auto"/>
              <w:right w:val="single" w:sz="4" w:space="0" w:color="auto"/>
            </w:tcBorders>
            <w:shd w:val="clear" w:color="auto" w:fill="FFFFFF" w:themeFill="background1"/>
            <w:tcMar>
              <w:top w:w="57" w:type="dxa"/>
              <w:bottom w:w="57" w:type="dxa"/>
            </w:tcMar>
          </w:tcPr>
          <w:p w14:paraId="18E102B4" w14:textId="675152B1" w:rsidR="00773CEF" w:rsidRPr="00FE14B5" w:rsidRDefault="00773CEF" w:rsidP="00FF2CB1">
            <w:pPr>
              <w:spacing w:after="0" w:line="240" w:lineRule="auto"/>
              <w:rPr>
                <w:rFonts w:cs="Arial"/>
              </w:rPr>
            </w:pPr>
            <w:r w:rsidRPr="00FE14B5">
              <w:rPr>
                <w:rFonts w:cs="Arial"/>
              </w:rPr>
              <w:t>TS Number</w:t>
            </w:r>
          </w:p>
        </w:tc>
        <w:tc>
          <w:tcPr>
            <w:tcW w:w="6095" w:type="dxa"/>
            <w:gridSpan w:val="4"/>
            <w:tcBorders>
              <w:left w:val="single" w:sz="4" w:space="0" w:color="auto"/>
              <w:right w:val="single" w:sz="4" w:space="0" w:color="auto"/>
            </w:tcBorders>
            <w:shd w:val="clear" w:color="auto" w:fill="FFFFFF" w:themeFill="background1"/>
            <w:tcMar>
              <w:top w:w="57" w:type="dxa"/>
              <w:bottom w:w="57" w:type="dxa"/>
            </w:tcMar>
          </w:tcPr>
          <w:p w14:paraId="0B317D33" w14:textId="77777777" w:rsidR="00773CEF" w:rsidRPr="00FE14B5" w:rsidRDefault="00773CEF" w:rsidP="00FF2CB1">
            <w:pPr>
              <w:spacing w:after="0" w:line="240" w:lineRule="auto"/>
              <w:rPr>
                <w:rFonts w:cs="Arial"/>
              </w:rPr>
            </w:pPr>
            <w:r w:rsidRPr="00FE14B5">
              <w:rPr>
                <w:rFonts w:cs="Arial"/>
                <w:b/>
                <w:color w:val="FF0000"/>
              </w:rPr>
              <w:t xml:space="preserve">TS  </w:t>
            </w:r>
            <w:r w:rsidRPr="00166C7E">
              <w:rPr>
                <w:rFonts w:cs="Arial"/>
                <w:b/>
                <w:color w:val="FF0000"/>
              </w:rPr>
              <w:t>XXXXXXXXX</w:t>
            </w:r>
          </w:p>
        </w:tc>
      </w:tr>
      <w:tr w:rsidR="00773CEF" w:rsidRPr="00FE14B5" w14:paraId="76074FE6" w14:textId="77777777" w:rsidTr="00773CEF">
        <w:tc>
          <w:tcPr>
            <w:tcW w:w="2547" w:type="dxa"/>
            <w:tcBorders>
              <w:left w:val="single" w:sz="4" w:space="0" w:color="auto"/>
              <w:right w:val="single" w:sz="4" w:space="0" w:color="auto"/>
            </w:tcBorders>
            <w:shd w:val="clear" w:color="auto" w:fill="FFFFFF" w:themeFill="background1"/>
            <w:tcMar>
              <w:top w:w="57" w:type="dxa"/>
              <w:bottom w:w="57" w:type="dxa"/>
            </w:tcMar>
          </w:tcPr>
          <w:p w14:paraId="0C297A9A" w14:textId="77777777" w:rsidR="00773CEF" w:rsidRPr="00FE14B5" w:rsidRDefault="00773CEF" w:rsidP="00FF2CB1">
            <w:pPr>
              <w:spacing w:after="0" w:line="240" w:lineRule="auto"/>
              <w:rPr>
                <w:rFonts w:cs="Arial"/>
              </w:rPr>
            </w:pPr>
            <w:r w:rsidRPr="00FE14B5">
              <w:rPr>
                <w:rFonts w:cs="Arial"/>
              </w:rPr>
              <w:t>Callsign of licensee</w:t>
            </w:r>
          </w:p>
        </w:tc>
        <w:tc>
          <w:tcPr>
            <w:tcW w:w="6095" w:type="dxa"/>
            <w:gridSpan w:val="4"/>
            <w:tcBorders>
              <w:left w:val="single" w:sz="4" w:space="0" w:color="auto"/>
              <w:right w:val="single" w:sz="4" w:space="0" w:color="auto"/>
            </w:tcBorders>
            <w:shd w:val="clear" w:color="auto" w:fill="FFFFFF" w:themeFill="background1"/>
            <w:tcMar>
              <w:top w:w="57" w:type="dxa"/>
              <w:bottom w:w="57" w:type="dxa"/>
            </w:tcMar>
          </w:tcPr>
          <w:p w14:paraId="2E510A5D" w14:textId="77777777" w:rsidR="00773CEF" w:rsidRPr="00FE14B5" w:rsidRDefault="00773CEF" w:rsidP="00FF2CB1">
            <w:pPr>
              <w:spacing w:after="0" w:line="240" w:lineRule="auto"/>
              <w:rPr>
                <w:rFonts w:cs="Arial"/>
              </w:rPr>
            </w:pPr>
            <w:r w:rsidRPr="00FE14B5">
              <w:rPr>
                <w:rFonts w:cs="Arial"/>
              </w:rPr>
              <w:t xml:space="preserve">6FMS </w:t>
            </w:r>
          </w:p>
        </w:tc>
      </w:tr>
      <w:tr w:rsidR="00773CEF" w:rsidRPr="00FE14B5" w14:paraId="60FB6AB3" w14:textId="77777777" w:rsidTr="00773CEF">
        <w:tc>
          <w:tcPr>
            <w:tcW w:w="2547" w:type="dxa"/>
            <w:tcBorders>
              <w:left w:val="single" w:sz="4" w:space="0" w:color="auto"/>
              <w:right w:val="single" w:sz="4" w:space="0" w:color="auto"/>
            </w:tcBorders>
            <w:shd w:val="clear" w:color="auto" w:fill="FFFFFF" w:themeFill="background1"/>
            <w:tcMar>
              <w:top w:w="57" w:type="dxa"/>
              <w:bottom w:w="57" w:type="dxa"/>
            </w:tcMar>
          </w:tcPr>
          <w:p w14:paraId="11911AA7" w14:textId="35DE2C77" w:rsidR="00773CEF" w:rsidRPr="00FE14B5" w:rsidRDefault="00773CEF" w:rsidP="00FF2CB1">
            <w:pPr>
              <w:spacing w:after="0" w:line="240" w:lineRule="auto"/>
              <w:rPr>
                <w:rFonts w:cs="Arial"/>
              </w:rPr>
            </w:pPr>
            <w:r w:rsidRPr="00FE14B5">
              <w:rPr>
                <w:rFonts w:cs="Arial"/>
              </w:rPr>
              <w:t>Area Served</w:t>
            </w:r>
          </w:p>
        </w:tc>
        <w:tc>
          <w:tcPr>
            <w:tcW w:w="6095" w:type="dxa"/>
            <w:gridSpan w:val="4"/>
            <w:tcBorders>
              <w:left w:val="single" w:sz="4" w:space="0" w:color="auto"/>
              <w:right w:val="single" w:sz="4" w:space="0" w:color="auto"/>
            </w:tcBorders>
            <w:shd w:val="clear" w:color="auto" w:fill="FFFFFF" w:themeFill="background1"/>
            <w:tcMar>
              <w:top w:w="57" w:type="dxa"/>
              <w:bottom w:w="57" w:type="dxa"/>
            </w:tcMar>
          </w:tcPr>
          <w:p w14:paraId="06B821F5" w14:textId="77777777" w:rsidR="00773CEF" w:rsidRPr="00FE14B5" w:rsidRDefault="00773CEF" w:rsidP="00FF2CB1">
            <w:pPr>
              <w:spacing w:after="0"/>
              <w:rPr>
                <w:rFonts w:cs="Arial"/>
                <w:szCs w:val="20"/>
              </w:rPr>
            </w:pPr>
            <w:r w:rsidRPr="00FE14B5">
              <w:rPr>
                <w:rFonts w:cs="Arial"/>
                <w:szCs w:val="20"/>
              </w:rPr>
              <w:t>Lancelin</w:t>
            </w:r>
          </w:p>
        </w:tc>
      </w:tr>
      <w:tr w:rsidR="00773CEF" w:rsidRPr="00FE14B5" w14:paraId="4020D1B9" w14:textId="77777777" w:rsidTr="00773CEF">
        <w:tc>
          <w:tcPr>
            <w:tcW w:w="2547" w:type="dxa"/>
            <w:tcBorders>
              <w:left w:val="single" w:sz="4" w:space="0" w:color="auto"/>
              <w:right w:val="single" w:sz="4" w:space="0" w:color="auto"/>
            </w:tcBorders>
            <w:shd w:val="clear" w:color="auto" w:fill="FFFFFF" w:themeFill="background1"/>
            <w:tcMar>
              <w:top w:w="57" w:type="dxa"/>
              <w:bottom w:w="57" w:type="dxa"/>
            </w:tcMar>
          </w:tcPr>
          <w:p w14:paraId="283945CC" w14:textId="77777777" w:rsidR="00773CEF" w:rsidRPr="00FE14B5" w:rsidRDefault="00773CEF" w:rsidP="00FF2CB1">
            <w:pPr>
              <w:spacing w:after="0" w:line="240" w:lineRule="auto"/>
              <w:rPr>
                <w:rFonts w:cs="Arial"/>
              </w:rPr>
            </w:pPr>
            <w:r w:rsidRPr="00FE14B5">
              <w:rPr>
                <w:rFonts w:cs="Arial"/>
              </w:rPr>
              <w:t>Nominal location</w:t>
            </w:r>
          </w:p>
        </w:tc>
        <w:tc>
          <w:tcPr>
            <w:tcW w:w="6095" w:type="dxa"/>
            <w:gridSpan w:val="4"/>
            <w:tcBorders>
              <w:left w:val="single" w:sz="4" w:space="0" w:color="auto"/>
              <w:right w:val="single" w:sz="4" w:space="0" w:color="auto"/>
            </w:tcBorders>
            <w:shd w:val="clear" w:color="auto" w:fill="FFFFFF" w:themeFill="background1"/>
            <w:tcMar>
              <w:top w:w="57" w:type="dxa"/>
              <w:bottom w:w="57" w:type="dxa"/>
            </w:tcMar>
          </w:tcPr>
          <w:p w14:paraId="383764BF" w14:textId="77777777" w:rsidR="00773CEF" w:rsidRPr="00FE14B5" w:rsidRDefault="00773CEF" w:rsidP="00FF2CB1">
            <w:pPr>
              <w:spacing w:after="0"/>
              <w:rPr>
                <w:rFonts w:cs="Arial"/>
                <w:szCs w:val="20"/>
              </w:rPr>
            </w:pPr>
            <w:r w:rsidRPr="00FE14B5">
              <w:rPr>
                <w:rFonts w:cs="Arial"/>
                <w:szCs w:val="20"/>
              </w:rPr>
              <w:t>Council Site off Nilgen Rd NILGEN</w:t>
            </w:r>
          </w:p>
        </w:tc>
      </w:tr>
      <w:tr w:rsidR="00773CEF" w:rsidRPr="00FE14B5" w14:paraId="5BD759E6" w14:textId="77777777" w:rsidTr="00773CEF">
        <w:tc>
          <w:tcPr>
            <w:tcW w:w="2547" w:type="dxa"/>
            <w:tcBorders>
              <w:left w:val="single" w:sz="4" w:space="0" w:color="auto"/>
              <w:bottom w:val="single" w:sz="4" w:space="0" w:color="auto"/>
              <w:right w:val="single" w:sz="4" w:space="0" w:color="auto"/>
            </w:tcBorders>
            <w:tcMar>
              <w:top w:w="57" w:type="dxa"/>
              <w:bottom w:w="57" w:type="dxa"/>
            </w:tcMar>
          </w:tcPr>
          <w:p w14:paraId="461A73FC" w14:textId="275C94BE" w:rsidR="00773CEF" w:rsidRPr="00FE14B5" w:rsidRDefault="00773CEF" w:rsidP="00FF2CB1">
            <w:pPr>
              <w:spacing w:after="0" w:line="240" w:lineRule="auto"/>
              <w:rPr>
                <w:rFonts w:cs="Arial"/>
              </w:rPr>
            </w:pPr>
            <w:r w:rsidRPr="00FE14B5">
              <w:rPr>
                <w:rFonts w:cs="Arial"/>
              </w:rPr>
              <w:t>RADCOM Site ID</w:t>
            </w:r>
          </w:p>
        </w:tc>
        <w:tc>
          <w:tcPr>
            <w:tcW w:w="6095" w:type="dxa"/>
            <w:gridSpan w:val="4"/>
            <w:tcBorders>
              <w:left w:val="single" w:sz="4" w:space="0" w:color="auto"/>
              <w:bottom w:val="single" w:sz="4" w:space="0" w:color="auto"/>
              <w:right w:val="single" w:sz="4" w:space="0" w:color="auto"/>
            </w:tcBorders>
            <w:tcMar>
              <w:top w:w="57" w:type="dxa"/>
              <w:bottom w:w="57" w:type="dxa"/>
            </w:tcMar>
          </w:tcPr>
          <w:p w14:paraId="7FE052D9" w14:textId="77777777" w:rsidR="00773CEF" w:rsidRPr="00FE14B5" w:rsidRDefault="00773CEF" w:rsidP="00FF2CB1">
            <w:pPr>
              <w:spacing w:after="0"/>
              <w:rPr>
                <w:rFonts w:cs="Arial"/>
                <w:szCs w:val="20"/>
              </w:rPr>
            </w:pPr>
            <w:r w:rsidRPr="00FE14B5">
              <w:rPr>
                <w:rFonts w:cs="Arial"/>
                <w:szCs w:val="20"/>
              </w:rPr>
              <w:t>150533</w:t>
            </w:r>
          </w:p>
        </w:tc>
      </w:tr>
      <w:tr w:rsidR="00773CEF" w:rsidRPr="00FE14B5" w14:paraId="1089FF3A" w14:textId="77777777" w:rsidTr="00773CEF">
        <w:tc>
          <w:tcPr>
            <w:tcW w:w="2547" w:type="dxa"/>
            <w:vMerge w:val="restart"/>
            <w:tcBorders>
              <w:left w:val="single" w:sz="4" w:space="0" w:color="auto"/>
              <w:right w:val="single" w:sz="4" w:space="0" w:color="auto"/>
            </w:tcBorders>
            <w:tcMar>
              <w:top w:w="57" w:type="dxa"/>
              <w:bottom w:w="57" w:type="dxa"/>
            </w:tcMar>
          </w:tcPr>
          <w:p w14:paraId="6FA0AB30" w14:textId="25C309C0" w:rsidR="00773CEF" w:rsidRPr="00FE14B5" w:rsidRDefault="00773CEF" w:rsidP="00FF2CB1">
            <w:pPr>
              <w:spacing w:after="0" w:line="240" w:lineRule="auto"/>
              <w:rPr>
                <w:rFonts w:cs="Arial"/>
              </w:rPr>
            </w:pPr>
            <w:r w:rsidRPr="00FE14B5">
              <w:rPr>
                <w:rFonts w:cs="Arial"/>
              </w:rPr>
              <w:t>Coordinates Information</w:t>
            </w:r>
          </w:p>
        </w:tc>
        <w:tc>
          <w:tcPr>
            <w:tcW w:w="2693" w:type="dxa"/>
            <w:gridSpan w:val="2"/>
            <w:tcBorders>
              <w:left w:val="single" w:sz="4" w:space="0" w:color="auto"/>
              <w:bottom w:val="single" w:sz="4" w:space="0" w:color="auto"/>
              <w:right w:val="single" w:sz="4" w:space="0" w:color="auto"/>
            </w:tcBorders>
            <w:tcMar>
              <w:top w:w="57" w:type="dxa"/>
              <w:bottom w:w="57" w:type="dxa"/>
            </w:tcMar>
          </w:tcPr>
          <w:p w14:paraId="01D43A17" w14:textId="77777777" w:rsidR="00773CEF" w:rsidRPr="00FE14B5" w:rsidRDefault="00773CEF" w:rsidP="00FF2CB1">
            <w:pPr>
              <w:spacing w:after="0" w:line="240" w:lineRule="auto"/>
              <w:rPr>
                <w:rFonts w:cs="Arial"/>
              </w:rPr>
            </w:pPr>
            <w:r w:rsidRPr="00FE14B5">
              <w:rPr>
                <w:rFonts w:cs="Arial"/>
              </w:rPr>
              <w:t>Latitude (GDA94)</w:t>
            </w:r>
          </w:p>
          <w:p w14:paraId="45C53C54" w14:textId="77777777" w:rsidR="00773CEF" w:rsidRPr="00FE14B5" w:rsidRDefault="00773CEF" w:rsidP="00FF2CB1">
            <w:pPr>
              <w:spacing w:after="0"/>
              <w:rPr>
                <w:rFonts w:cs="Arial"/>
                <w:szCs w:val="20"/>
              </w:rPr>
            </w:pPr>
            <w:r w:rsidRPr="00FE14B5">
              <w:rPr>
                <w:rFonts w:cs="Arial"/>
                <w:szCs w:val="20"/>
              </w:rPr>
              <w:t>-30.98496</w:t>
            </w:r>
          </w:p>
        </w:tc>
        <w:tc>
          <w:tcPr>
            <w:tcW w:w="3402" w:type="dxa"/>
            <w:gridSpan w:val="2"/>
            <w:tcBorders>
              <w:left w:val="single" w:sz="4" w:space="0" w:color="auto"/>
              <w:bottom w:val="single" w:sz="4" w:space="0" w:color="auto"/>
              <w:right w:val="single" w:sz="4" w:space="0" w:color="auto"/>
            </w:tcBorders>
            <w:tcMar>
              <w:top w:w="57" w:type="dxa"/>
              <w:bottom w:w="57" w:type="dxa"/>
            </w:tcMar>
          </w:tcPr>
          <w:p w14:paraId="3AA8304B" w14:textId="77777777" w:rsidR="00773CEF" w:rsidRPr="00FE14B5" w:rsidRDefault="00773CEF" w:rsidP="00FF2CB1">
            <w:pPr>
              <w:spacing w:after="0" w:line="240" w:lineRule="auto"/>
              <w:rPr>
                <w:rFonts w:cs="Arial"/>
              </w:rPr>
            </w:pPr>
            <w:r w:rsidRPr="00FE14B5">
              <w:rPr>
                <w:rFonts w:cs="Arial"/>
              </w:rPr>
              <w:t>Longitude (GDA94)</w:t>
            </w:r>
          </w:p>
          <w:p w14:paraId="61518C8E" w14:textId="77777777" w:rsidR="00773CEF" w:rsidRPr="00FE14B5" w:rsidRDefault="00773CEF" w:rsidP="00FF2CB1">
            <w:pPr>
              <w:spacing w:after="0"/>
              <w:rPr>
                <w:rFonts w:cs="Arial"/>
                <w:szCs w:val="20"/>
              </w:rPr>
            </w:pPr>
            <w:r w:rsidRPr="00FE14B5">
              <w:rPr>
                <w:rFonts w:cs="Arial"/>
                <w:szCs w:val="20"/>
              </w:rPr>
              <w:t>115.38552</w:t>
            </w:r>
          </w:p>
        </w:tc>
      </w:tr>
      <w:tr w:rsidR="00773CEF" w:rsidRPr="00FE14B5" w14:paraId="5941A91F" w14:textId="77777777" w:rsidTr="00773CEF">
        <w:tc>
          <w:tcPr>
            <w:tcW w:w="2547" w:type="dxa"/>
            <w:vMerge/>
            <w:tcBorders>
              <w:left w:val="single" w:sz="4" w:space="0" w:color="auto"/>
              <w:right w:val="single" w:sz="4" w:space="0" w:color="auto"/>
            </w:tcBorders>
            <w:shd w:val="clear" w:color="auto" w:fill="FFFFFF" w:themeFill="background1"/>
            <w:tcMar>
              <w:top w:w="57" w:type="dxa"/>
              <w:bottom w:w="57" w:type="dxa"/>
            </w:tcMar>
          </w:tcPr>
          <w:p w14:paraId="19110D2B" w14:textId="77777777" w:rsidR="00773CEF" w:rsidRPr="00FE14B5" w:rsidRDefault="00773CEF" w:rsidP="00FF2CB1">
            <w:pPr>
              <w:spacing w:after="0" w:line="240" w:lineRule="auto"/>
              <w:rPr>
                <w:rFonts w:cs="Arial"/>
              </w:rPr>
            </w:pPr>
          </w:p>
        </w:tc>
        <w:tc>
          <w:tcPr>
            <w:tcW w:w="1978" w:type="dxa"/>
            <w:tcBorders>
              <w:left w:val="single" w:sz="4" w:space="0" w:color="auto"/>
              <w:right w:val="single" w:sz="4" w:space="0" w:color="auto"/>
            </w:tcBorders>
            <w:shd w:val="clear" w:color="auto" w:fill="FFFFFF" w:themeFill="background1"/>
            <w:tcMar>
              <w:top w:w="57" w:type="dxa"/>
              <w:bottom w:w="57" w:type="dxa"/>
            </w:tcMar>
          </w:tcPr>
          <w:p w14:paraId="3E32EDD5" w14:textId="77777777" w:rsidR="00773CEF" w:rsidRPr="00FE14B5" w:rsidRDefault="00773CEF" w:rsidP="00FF2CB1">
            <w:pPr>
              <w:spacing w:after="0" w:line="240" w:lineRule="auto"/>
              <w:rPr>
                <w:rFonts w:cs="Arial"/>
              </w:rPr>
            </w:pPr>
            <w:r w:rsidRPr="00FE14B5">
              <w:rPr>
                <w:rFonts w:cs="Arial"/>
              </w:rPr>
              <w:t>Zone (AMG66)</w:t>
            </w:r>
          </w:p>
          <w:p w14:paraId="42DADB98" w14:textId="77777777" w:rsidR="00773CEF" w:rsidRPr="00FE14B5" w:rsidRDefault="00773CEF" w:rsidP="00FF2CB1">
            <w:pPr>
              <w:spacing w:after="0" w:line="240" w:lineRule="auto"/>
              <w:rPr>
                <w:rFonts w:cs="Arial"/>
              </w:rPr>
            </w:pPr>
            <w:r w:rsidRPr="00FE14B5">
              <w:rPr>
                <w:rFonts w:cs="Arial"/>
              </w:rPr>
              <w:t>50</w:t>
            </w:r>
          </w:p>
        </w:tc>
        <w:tc>
          <w:tcPr>
            <w:tcW w:w="1775" w:type="dxa"/>
            <w:gridSpan w:val="2"/>
            <w:tcBorders>
              <w:left w:val="single" w:sz="4" w:space="0" w:color="auto"/>
              <w:right w:val="single" w:sz="4" w:space="0" w:color="auto"/>
            </w:tcBorders>
            <w:shd w:val="clear" w:color="auto" w:fill="FFFFFF" w:themeFill="background1"/>
            <w:tcMar>
              <w:top w:w="57" w:type="dxa"/>
              <w:bottom w:w="57" w:type="dxa"/>
            </w:tcMar>
          </w:tcPr>
          <w:p w14:paraId="6127408A" w14:textId="77777777" w:rsidR="00773CEF" w:rsidRPr="00FE14B5" w:rsidRDefault="00773CEF" w:rsidP="00FF2CB1">
            <w:pPr>
              <w:spacing w:after="0" w:line="240" w:lineRule="auto"/>
              <w:rPr>
                <w:rFonts w:cs="Arial"/>
              </w:rPr>
            </w:pPr>
            <w:r w:rsidRPr="00FE14B5">
              <w:rPr>
                <w:rFonts w:cs="Arial"/>
              </w:rPr>
              <w:t>Easting (AMG66)</w:t>
            </w:r>
          </w:p>
          <w:p w14:paraId="39E3E4AC" w14:textId="77777777" w:rsidR="00773CEF" w:rsidRPr="00FE14B5" w:rsidRDefault="00773CEF" w:rsidP="00FF2CB1">
            <w:pPr>
              <w:spacing w:after="0"/>
              <w:rPr>
                <w:rFonts w:cs="Arial"/>
                <w:szCs w:val="20"/>
              </w:rPr>
            </w:pPr>
            <w:r w:rsidRPr="00FE14B5">
              <w:rPr>
                <w:rFonts w:cs="Arial"/>
                <w:szCs w:val="20"/>
              </w:rPr>
              <w:t>345700</w:t>
            </w:r>
          </w:p>
        </w:tc>
        <w:tc>
          <w:tcPr>
            <w:tcW w:w="2342" w:type="dxa"/>
            <w:tcBorders>
              <w:left w:val="single" w:sz="4" w:space="0" w:color="auto"/>
              <w:right w:val="single" w:sz="4" w:space="0" w:color="auto"/>
            </w:tcBorders>
            <w:shd w:val="clear" w:color="auto" w:fill="FFFFFF" w:themeFill="background1"/>
            <w:tcMar>
              <w:top w:w="57" w:type="dxa"/>
              <w:bottom w:w="57" w:type="dxa"/>
            </w:tcMar>
          </w:tcPr>
          <w:p w14:paraId="76C85B98" w14:textId="77777777" w:rsidR="00773CEF" w:rsidRPr="00FE14B5" w:rsidRDefault="00773CEF" w:rsidP="00FF2CB1">
            <w:pPr>
              <w:spacing w:after="0" w:line="240" w:lineRule="auto"/>
              <w:rPr>
                <w:rFonts w:cs="Arial"/>
              </w:rPr>
            </w:pPr>
            <w:r w:rsidRPr="00FE14B5">
              <w:rPr>
                <w:rFonts w:cs="Arial"/>
              </w:rPr>
              <w:t>Northing (AMG66)</w:t>
            </w:r>
          </w:p>
          <w:p w14:paraId="7F6ED080" w14:textId="77777777" w:rsidR="00773CEF" w:rsidRPr="00FE14B5" w:rsidRDefault="00773CEF" w:rsidP="00FF2CB1">
            <w:pPr>
              <w:spacing w:after="0"/>
              <w:rPr>
                <w:rFonts w:cs="Arial"/>
                <w:szCs w:val="20"/>
              </w:rPr>
            </w:pPr>
            <w:r w:rsidRPr="00FE14B5">
              <w:rPr>
                <w:rFonts w:cs="Arial"/>
                <w:szCs w:val="20"/>
              </w:rPr>
              <w:t>6570800</w:t>
            </w:r>
          </w:p>
        </w:tc>
      </w:tr>
      <w:tr w:rsidR="00773CEF" w:rsidRPr="00FE14B5" w14:paraId="483AC49C" w14:textId="77777777" w:rsidTr="00773CEF">
        <w:tc>
          <w:tcPr>
            <w:tcW w:w="2547" w:type="dxa"/>
            <w:tcBorders>
              <w:left w:val="single" w:sz="4" w:space="0" w:color="auto"/>
              <w:right w:val="single" w:sz="4" w:space="0" w:color="auto"/>
            </w:tcBorders>
            <w:shd w:val="clear" w:color="auto" w:fill="FFFFFF" w:themeFill="background1"/>
            <w:tcMar>
              <w:top w:w="57" w:type="dxa"/>
              <w:bottom w:w="57" w:type="dxa"/>
            </w:tcMar>
          </w:tcPr>
          <w:p w14:paraId="4701F662" w14:textId="77777777" w:rsidR="00773CEF" w:rsidRPr="00FE14B5" w:rsidRDefault="00773CEF" w:rsidP="00FF2CB1">
            <w:pPr>
              <w:spacing w:after="0" w:line="240" w:lineRule="auto"/>
              <w:rPr>
                <w:rFonts w:cs="Arial"/>
              </w:rPr>
            </w:pPr>
            <w:r w:rsidRPr="00FE14B5">
              <w:rPr>
                <w:rFonts w:cs="Arial"/>
              </w:rPr>
              <w:t>Frequency</w:t>
            </w:r>
          </w:p>
        </w:tc>
        <w:tc>
          <w:tcPr>
            <w:tcW w:w="6095" w:type="dxa"/>
            <w:gridSpan w:val="4"/>
            <w:tcBorders>
              <w:left w:val="single" w:sz="4" w:space="0" w:color="auto"/>
              <w:right w:val="single" w:sz="4" w:space="0" w:color="auto"/>
            </w:tcBorders>
            <w:shd w:val="clear" w:color="auto" w:fill="FFFFFF" w:themeFill="background1"/>
            <w:tcMar>
              <w:top w:w="57" w:type="dxa"/>
              <w:bottom w:w="57" w:type="dxa"/>
            </w:tcMar>
          </w:tcPr>
          <w:p w14:paraId="3155EB90" w14:textId="77777777" w:rsidR="00773CEF" w:rsidRPr="00FE14B5" w:rsidRDefault="00773CEF" w:rsidP="00FF2CB1">
            <w:pPr>
              <w:spacing w:after="0" w:line="240" w:lineRule="auto"/>
              <w:rPr>
                <w:rFonts w:cs="Arial"/>
                <w:b/>
              </w:rPr>
            </w:pPr>
            <w:r w:rsidRPr="00FE14B5">
              <w:rPr>
                <w:rFonts w:cs="Arial"/>
                <w:b/>
                <w:color w:val="FF0000"/>
              </w:rPr>
              <w:t xml:space="preserve">104.5 MHz </w:t>
            </w:r>
          </w:p>
        </w:tc>
      </w:tr>
      <w:tr w:rsidR="00773CEF" w:rsidRPr="00FE14B5" w14:paraId="2DA09479" w14:textId="77777777" w:rsidTr="00773CEF">
        <w:tc>
          <w:tcPr>
            <w:tcW w:w="2547" w:type="dxa"/>
            <w:vMerge w:val="restart"/>
            <w:tcBorders>
              <w:left w:val="single" w:sz="4" w:space="0" w:color="auto"/>
              <w:right w:val="single" w:sz="4" w:space="0" w:color="auto"/>
            </w:tcBorders>
            <w:tcMar>
              <w:top w:w="57" w:type="dxa"/>
              <w:bottom w:w="57" w:type="dxa"/>
            </w:tcMar>
          </w:tcPr>
          <w:p w14:paraId="11957196" w14:textId="01A34688" w:rsidR="00773CEF" w:rsidRPr="00FE14B5" w:rsidRDefault="00773CEF" w:rsidP="00FF2CB1">
            <w:pPr>
              <w:spacing w:after="0" w:line="240" w:lineRule="auto"/>
              <w:rPr>
                <w:rFonts w:cs="Arial"/>
              </w:rPr>
            </w:pPr>
            <w:r w:rsidRPr="00FE14B5">
              <w:rPr>
                <w:rFonts w:cs="Arial"/>
              </w:rPr>
              <w:t>Maximum ERP and Radiation Pattern</w:t>
            </w:r>
          </w:p>
        </w:tc>
        <w:tc>
          <w:tcPr>
            <w:tcW w:w="2693" w:type="dxa"/>
            <w:gridSpan w:val="2"/>
            <w:tcBorders>
              <w:left w:val="single" w:sz="4" w:space="0" w:color="auto"/>
              <w:bottom w:val="single" w:sz="4" w:space="0" w:color="auto"/>
              <w:right w:val="single" w:sz="4" w:space="0" w:color="auto"/>
            </w:tcBorders>
            <w:tcMar>
              <w:top w:w="57" w:type="dxa"/>
              <w:bottom w:w="57" w:type="dxa"/>
            </w:tcMar>
          </w:tcPr>
          <w:p w14:paraId="2D3343F6" w14:textId="4110BA84" w:rsidR="00773CEF" w:rsidRPr="00FE14B5" w:rsidRDefault="00773CEF" w:rsidP="00FF2CB1">
            <w:pPr>
              <w:spacing w:after="0" w:line="240" w:lineRule="auto"/>
              <w:rPr>
                <w:rFonts w:cs="Arial"/>
              </w:rPr>
            </w:pPr>
            <w:r w:rsidRPr="00FE14B5">
              <w:rPr>
                <w:rFonts w:cs="Arial"/>
              </w:rPr>
              <w:t>Azimuth Bearing (clockwise direction)</w:t>
            </w:r>
          </w:p>
        </w:tc>
        <w:tc>
          <w:tcPr>
            <w:tcW w:w="3402" w:type="dxa"/>
            <w:gridSpan w:val="2"/>
            <w:tcBorders>
              <w:left w:val="single" w:sz="4" w:space="0" w:color="auto"/>
              <w:bottom w:val="single" w:sz="4" w:space="0" w:color="auto"/>
              <w:right w:val="single" w:sz="4" w:space="0" w:color="auto"/>
            </w:tcBorders>
            <w:tcMar>
              <w:top w:w="57" w:type="dxa"/>
              <w:bottom w:w="57" w:type="dxa"/>
            </w:tcMar>
          </w:tcPr>
          <w:p w14:paraId="22C2FE40" w14:textId="77777777" w:rsidR="00773CEF" w:rsidRPr="00FE14B5" w:rsidRDefault="00773CEF" w:rsidP="00FF2CB1">
            <w:pPr>
              <w:spacing w:after="0" w:line="240" w:lineRule="auto"/>
              <w:rPr>
                <w:rFonts w:cs="Arial"/>
              </w:rPr>
            </w:pPr>
            <w:r w:rsidRPr="00FE14B5">
              <w:rPr>
                <w:rFonts w:cs="Arial"/>
              </w:rPr>
              <w:t xml:space="preserve">Maximum ERP </w:t>
            </w:r>
          </w:p>
        </w:tc>
      </w:tr>
      <w:tr w:rsidR="00773CEF" w:rsidRPr="00FE14B5" w14:paraId="2A4F5D00" w14:textId="77777777" w:rsidTr="00773CEF">
        <w:tc>
          <w:tcPr>
            <w:tcW w:w="2547" w:type="dxa"/>
            <w:vMerge/>
            <w:tcBorders>
              <w:left w:val="single" w:sz="4" w:space="0" w:color="auto"/>
              <w:right w:val="single" w:sz="4" w:space="0" w:color="auto"/>
            </w:tcBorders>
            <w:tcMar>
              <w:top w:w="57" w:type="dxa"/>
              <w:bottom w:w="57" w:type="dxa"/>
            </w:tcMar>
          </w:tcPr>
          <w:p w14:paraId="046CBAC8" w14:textId="77777777" w:rsidR="00773CEF" w:rsidRPr="00FE14B5" w:rsidRDefault="00773CEF" w:rsidP="00FF2CB1">
            <w:pPr>
              <w:spacing w:after="0" w:line="240" w:lineRule="auto"/>
              <w:rPr>
                <w:rFonts w:cs="Arial"/>
              </w:rPr>
            </w:pPr>
          </w:p>
        </w:tc>
        <w:tc>
          <w:tcPr>
            <w:tcW w:w="2693" w:type="dxa"/>
            <w:gridSpan w:val="2"/>
            <w:tcBorders>
              <w:left w:val="single" w:sz="4" w:space="0" w:color="auto"/>
              <w:bottom w:val="single" w:sz="4" w:space="0" w:color="auto"/>
              <w:right w:val="single" w:sz="4" w:space="0" w:color="auto"/>
            </w:tcBorders>
            <w:tcMar>
              <w:top w:w="57" w:type="dxa"/>
              <w:bottom w:w="57" w:type="dxa"/>
            </w:tcMar>
          </w:tcPr>
          <w:p w14:paraId="5A462F72" w14:textId="77777777" w:rsidR="00773CEF" w:rsidRPr="00FE14B5" w:rsidRDefault="00773CEF" w:rsidP="00660F76">
            <w:pPr>
              <w:spacing w:after="0"/>
              <w:rPr>
                <w:rFonts w:cs="Arial"/>
                <w:szCs w:val="20"/>
              </w:rPr>
            </w:pPr>
            <w:r w:rsidRPr="00FE14B5">
              <w:rPr>
                <w:rFonts w:cs="Arial"/>
                <w:szCs w:val="20"/>
              </w:rPr>
              <w:t>At all angles of azimuth</w:t>
            </w:r>
          </w:p>
        </w:tc>
        <w:tc>
          <w:tcPr>
            <w:tcW w:w="3402" w:type="dxa"/>
            <w:gridSpan w:val="2"/>
            <w:tcBorders>
              <w:left w:val="single" w:sz="4" w:space="0" w:color="auto"/>
              <w:bottom w:val="single" w:sz="4" w:space="0" w:color="auto"/>
              <w:right w:val="single" w:sz="4" w:space="0" w:color="auto"/>
            </w:tcBorders>
            <w:tcMar>
              <w:top w:w="57" w:type="dxa"/>
              <w:bottom w:w="57" w:type="dxa"/>
            </w:tcMar>
          </w:tcPr>
          <w:p w14:paraId="5197095F" w14:textId="77777777" w:rsidR="00773CEF" w:rsidRPr="00FE14B5" w:rsidRDefault="00773CEF" w:rsidP="00FF2CB1">
            <w:pPr>
              <w:tabs>
                <w:tab w:val="right" w:pos="1309"/>
              </w:tabs>
              <w:spacing w:after="0" w:line="240" w:lineRule="auto"/>
              <w:rPr>
                <w:rFonts w:cs="Arial"/>
              </w:rPr>
            </w:pPr>
            <w:r w:rsidRPr="00FE14B5">
              <w:rPr>
                <w:rFonts w:cs="Arial"/>
              </w:rPr>
              <w:tab/>
              <w:t>150 W</w:t>
            </w:r>
          </w:p>
        </w:tc>
      </w:tr>
      <w:tr w:rsidR="00773CEF" w:rsidRPr="00FE14B5" w14:paraId="74D538D1" w14:textId="77777777" w:rsidTr="00773CEF">
        <w:tc>
          <w:tcPr>
            <w:tcW w:w="2547" w:type="dxa"/>
            <w:tcBorders>
              <w:left w:val="single" w:sz="4" w:space="0" w:color="auto"/>
              <w:right w:val="single" w:sz="4" w:space="0" w:color="auto"/>
            </w:tcBorders>
            <w:shd w:val="clear" w:color="auto" w:fill="FFFFFF" w:themeFill="background1"/>
            <w:tcMar>
              <w:top w:w="57" w:type="dxa"/>
              <w:bottom w:w="57" w:type="dxa"/>
            </w:tcMar>
          </w:tcPr>
          <w:p w14:paraId="41AF9A86" w14:textId="77777777" w:rsidR="00773CEF" w:rsidRPr="00FE14B5" w:rsidRDefault="00773CEF" w:rsidP="00FF2CB1">
            <w:pPr>
              <w:spacing w:after="0" w:line="240" w:lineRule="auto"/>
              <w:rPr>
                <w:rFonts w:cs="Arial"/>
              </w:rPr>
            </w:pPr>
            <w:r w:rsidRPr="00FE14B5">
              <w:rPr>
                <w:rFonts w:cs="Arial"/>
              </w:rPr>
              <w:t>Polarisation</w:t>
            </w:r>
          </w:p>
        </w:tc>
        <w:tc>
          <w:tcPr>
            <w:tcW w:w="6095" w:type="dxa"/>
            <w:gridSpan w:val="4"/>
            <w:tcBorders>
              <w:left w:val="single" w:sz="4" w:space="0" w:color="auto"/>
              <w:right w:val="single" w:sz="4" w:space="0" w:color="auto"/>
            </w:tcBorders>
            <w:shd w:val="clear" w:color="auto" w:fill="FFFFFF" w:themeFill="background1"/>
            <w:tcMar>
              <w:top w:w="57" w:type="dxa"/>
              <w:bottom w:w="57" w:type="dxa"/>
            </w:tcMar>
          </w:tcPr>
          <w:p w14:paraId="08C7D223" w14:textId="77777777" w:rsidR="00773CEF" w:rsidRPr="00FE14B5" w:rsidRDefault="00773CEF" w:rsidP="00FF2CB1">
            <w:pPr>
              <w:spacing w:after="0" w:line="240" w:lineRule="auto"/>
              <w:rPr>
                <w:rFonts w:cs="Arial"/>
              </w:rPr>
            </w:pPr>
            <w:r w:rsidRPr="00FE14B5">
              <w:rPr>
                <w:rFonts w:cs="Arial"/>
              </w:rPr>
              <w:t>Vertical</w:t>
            </w:r>
          </w:p>
        </w:tc>
      </w:tr>
      <w:tr w:rsidR="00773CEF" w:rsidRPr="00FE14B5" w14:paraId="0959774F" w14:textId="77777777" w:rsidTr="00773CEF">
        <w:tc>
          <w:tcPr>
            <w:tcW w:w="2547" w:type="dxa"/>
            <w:tcBorders>
              <w:left w:val="single" w:sz="4" w:space="0" w:color="auto"/>
              <w:right w:val="single" w:sz="4" w:space="0" w:color="auto"/>
            </w:tcBorders>
            <w:shd w:val="clear" w:color="auto" w:fill="auto"/>
            <w:tcMar>
              <w:top w:w="57" w:type="dxa"/>
              <w:bottom w:w="57" w:type="dxa"/>
            </w:tcMar>
          </w:tcPr>
          <w:p w14:paraId="32F19B4B" w14:textId="01269E07" w:rsidR="00773CEF" w:rsidRPr="00FE14B5" w:rsidRDefault="00773CEF" w:rsidP="00FF2CB1">
            <w:pPr>
              <w:spacing w:after="0" w:line="240" w:lineRule="auto"/>
              <w:rPr>
                <w:rFonts w:cs="Arial"/>
              </w:rPr>
            </w:pPr>
            <w:r w:rsidRPr="00FE14B5">
              <w:rPr>
                <w:rFonts w:cs="Arial"/>
              </w:rPr>
              <w:t>Maximum Antenna Height</w:t>
            </w:r>
          </w:p>
        </w:tc>
        <w:tc>
          <w:tcPr>
            <w:tcW w:w="6095" w:type="dxa"/>
            <w:gridSpan w:val="4"/>
            <w:tcBorders>
              <w:left w:val="single" w:sz="4" w:space="0" w:color="auto"/>
              <w:right w:val="single" w:sz="4" w:space="0" w:color="auto"/>
            </w:tcBorders>
            <w:shd w:val="clear" w:color="auto" w:fill="auto"/>
            <w:tcMar>
              <w:top w:w="57" w:type="dxa"/>
              <w:bottom w:w="57" w:type="dxa"/>
            </w:tcMar>
          </w:tcPr>
          <w:p w14:paraId="79DF5F57" w14:textId="77777777" w:rsidR="00773CEF" w:rsidRPr="00FE14B5" w:rsidRDefault="00773CEF" w:rsidP="00FF2CB1">
            <w:pPr>
              <w:spacing w:after="0" w:line="240" w:lineRule="auto"/>
              <w:rPr>
                <w:rFonts w:cs="Arial"/>
              </w:rPr>
            </w:pPr>
            <w:r w:rsidRPr="00FE14B5">
              <w:rPr>
                <w:rFonts w:cs="Arial"/>
              </w:rPr>
              <w:t>40 metres</w:t>
            </w:r>
          </w:p>
        </w:tc>
      </w:tr>
      <w:tr w:rsidR="00773CEF" w:rsidRPr="00FE14B5" w14:paraId="452619CB" w14:textId="77777777" w:rsidTr="00773CEF">
        <w:tc>
          <w:tcPr>
            <w:tcW w:w="2547" w:type="dxa"/>
            <w:tcBorders>
              <w:left w:val="single" w:sz="4" w:space="0" w:color="auto"/>
              <w:right w:val="single" w:sz="4" w:space="0" w:color="auto"/>
            </w:tcBorders>
            <w:shd w:val="clear" w:color="auto" w:fill="FFFFFF" w:themeFill="background1"/>
            <w:tcMar>
              <w:top w:w="57" w:type="dxa"/>
              <w:bottom w:w="57" w:type="dxa"/>
            </w:tcMar>
          </w:tcPr>
          <w:p w14:paraId="4842B7FD" w14:textId="41892FE9" w:rsidR="00773CEF" w:rsidRPr="00FE14B5" w:rsidRDefault="00773CEF" w:rsidP="00FF2CB1">
            <w:pPr>
              <w:spacing w:after="0" w:line="240" w:lineRule="auto"/>
              <w:rPr>
                <w:rFonts w:cs="Arial"/>
              </w:rPr>
            </w:pPr>
            <w:r w:rsidRPr="00FE14B5">
              <w:rPr>
                <w:rFonts w:cs="Arial"/>
              </w:rPr>
              <w:t>Special Conditions/</w:t>
            </w:r>
          </w:p>
          <w:p w14:paraId="429937C8" w14:textId="46FFCE6B" w:rsidR="00773CEF" w:rsidRPr="00FE14B5" w:rsidRDefault="00773CEF" w:rsidP="00FF2CB1">
            <w:pPr>
              <w:spacing w:after="0" w:line="240" w:lineRule="auto"/>
              <w:rPr>
                <w:rFonts w:cs="Arial"/>
              </w:rPr>
            </w:pPr>
            <w:r w:rsidRPr="00FE14B5">
              <w:rPr>
                <w:rFonts w:cs="Arial"/>
              </w:rPr>
              <w:t>Advisory Notes</w:t>
            </w:r>
          </w:p>
        </w:tc>
        <w:tc>
          <w:tcPr>
            <w:tcW w:w="6095" w:type="dxa"/>
            <w:gridSpan w:val="4"/>
            <w:tcBorders>
              <w:left w:val="single" w:sz="4" w:space="0" w:color="auto"/>
              <w:right w:val="single" w:sz="4" w:space="0" w:color="auto"/>
            </w:tcBorders>
            <w:shd w:val="clear" w:color="auto" w:fill="FFFFFF" w:themeFill="background1"/>
            <w:tcMar>
              <w:top w:w="57" w:type="dxa"/>
              <w:bottom w:w="57" w:type="dxa"/>
            </w:tcMar>
          </w:tcPr>
          <w:p w14:paraId="0AFDC974" w14:textId="77777777" w:rsidR="00773CEF" w:rsidRPr="00FE14B5" w:rsidRDefault="00773CEF" w:rsidP="00FF2CB1">
            <w:pPr>
              <w:spacing w:after="0"/>
              <w:rPr>
                <w:rFonts w:cs="Arial"/>
                <w:color w:val="FF0000"/>
                <w:szCs w:val="20"/>
              </w:rPr>
            </w:pPr>
            <w:r w:rsidRPr="00FE14B5">
              <w:rPr>
                <w:rFonts w:cs="Arial"/>
                <w:szCs w:val="20"/>
              </w:rPr>
              <w:t>None</w:t>
            </w:r>
          </w:p>
        </w:tc>
      </w:tr>
    </w:tbl>
    <w:p w14:paraId="464CC2A6" w14:textId="77777777" w:rsidR="00FE14B5" w:rsidRPr="00773CEF" w:rsidRDefault="00FE14B5" w:rsidP="00773CEF">
      <w:pPr>
        <w:pStyle w:val="Paragraph"/>
        <w:rPr>
          <w:highlight w:val="yellow"/>
        </w:rPr>
      </w:pPr>
    </w:p>
    <w:p w14:paraId="671E8941" w14:textId="77777777" w:rsidR="00FE14B5" w:rsidRPr="00773CEF" w:rsidRDefault="00FE14B5" w:rsidP="00773CEF">
      <w:pPr>
        <w:pStyle w:val="Paragraph"/>
      </w:pPr>
    </w:p>
    <w:p w14:paraId="4F777D0D" w14:textId="77777777" w:rsidR="00783DF9" w:rsidRPr="00783DF9" w:rsidRDefault="00783DF9" w:rsidP="0029435D"/>
    <w:sectPr w:rsidR="00783DF9" w:rsidRPr="00783DF9" w:rsidSect="00660F76">
      <w:pgSz w:w="11906" w:h="16838" w:code="9"/>
      <w:pgMar w:top="1945" w:right="1276" w:bottom="1134" w:left="1134" w:header="709" w:footer="119" w:gutter="0"/>
      <w:pgNumType w:start="1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D806EF" w14:textId="77777777" w:rsidR="00523282" w:rsidRDefault="00523282">
      <w:r>
        <w:separator/>
      </w:r>
    </w:p>
  </w:endnote>
  <w:endnote w:type="continuationSeparator" w:id="0">
    <w:p w14:paraId="4C918EAE" w14:textId="77777777" w:rsidR="00523282" w:rsidRDefault="00523282">
      <w:r>
        <w:continuationSeparator/>
      </w:r>
    </w:p>
  </w:endnote>
  <w:endnote w:type="continuationNotice" w:id="1">
    <w:p w14:paraId="465CB170" w14:textId="77777777" w:rsidR="00523282" w:rsidRDefault="0052328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HelveticaNeueLT Std Lt">
    <w:altName w:val="Arial"/>
    <w:panose1 w:val="020B0403020202020204"/>
    <w:charset w:val="00"/>
    <w:family w:val="swiss"/>
    <w:notTrueType/>
    <w:pitch w:val="variable"/>
    <w:sig w:usb0="800000AF" w:usb1="4000204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eueLT Std">
    <w:panose1 w:val="020B0604020202020204"/>
    <w:charset w:val="00"/>
    <w:family w:val="swiss"/>
    <w:notTrueType/>
    <w:pitch w:val="variable"/>
    <w:sig w:usb0="800000AF" w:usb1="4000204A" w:usb2="00000000" w:usb3="00000000" w:csb0="0000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1002AFF" w:usb1="4000ACF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2CA337" w14:textId="77777777" w:rsidR="00523282" w:rsidRDefault="00523282" w:rsidP="005E250B">
    <w:pPr>
      <w:pStyle w:val="Footer"/>
      <w:jc w:val="right"/>
    </w:pPr>
    <w:r w:rsidRPr="005E250B">
      <w:rPr>
        <w:noProof/>
        <w:vertAlign w:val="subscript"/>
      </w:rPr>
      <w:drawing>
        <wp:inline distT="0" distB="0" distL="0" distR="0" wp14:anchorId="5020646C" wp14:editId="05B96A57">
          <wp:extent cx="1066800" cy="277368"/>
          <wp:effectExtent l="0" t="0" r="0" b="0"/>
          <wp:docPr id="15" name="Picture 15" descr="acma.gov.au">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acma.gov.au">
                    <a:hlinkClick r:id="rId1"/>
                  </pic:cNvPr>
                  <pic:cNvPicPr/>
                </pic:nvPicPr>
                <pic:blipFill>
                  <a:blip r:embed="rId2"/>
                  <a:stretch>
                    <a:fillRect/>
                  </a:stretch>
                </pic:blipFill>
                <pic:spPr>
                  <a:xfrm>
                    <a:off x="0" y="0"/>
                    <a:ext cx="1133985" cy="294836"/>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3CE47C" w14:textId="77777777" w:rsidR="00523282" w:rsidRDefault="0052328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32750A" w14:textId="77777777" w:rsidR="00523282" w:rsidRDefault="0052328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8688DC" w14:textId="77777777" w:rsidR="00523282" w:rsidRPr="00622A3B" w:rsidRDefault="00523282" w:rsidP="00971914">
    <w:pPr>
      <w:pStyle w:val="Footer"/>
      <w:framePr w:w="1334" w:h="357" w:hRule="exact" w:vSpace="425" w:wrap="around" w:vAnchor="page" w:hAnchor="page" w:x="1156" w:y="16166"/>
      <w:pBdr>
        <w:top w:val="single" w:sz="4" w:space="1" w:color="auto"/>
      </w:pBdr>
      <w:tabs>
        <w:tab w:val="clear" w:pos="113"/>
        <w:tab w:val="left" w:pos="284"/>
      </w:tabs>
      <w:rPr>
        <w:rFonts w:cs="Arial"/>
      </w:rPr>
    </w:pPr>
    <w:r w:rsidRPr="00622A3B">
      <w:rPr>
        <w:rFonts w:cs="Arial"/>
        <w:b/>
        <w:noProof/>
        <w:spacing w:val="-16"/>
        <w:sz w:val="20"/>
        <w:szCs w:val="20"/>
      </w:rPr>
      <w:t>a</w:t>
    </w:r>
    <w:r w:rsidRPr="00622A3B">
      <w:rPr>
        <w:rFonts w:cs="Arial"/>
        <w:b/>
        <w:noProof/>
        <w:spacing w:val="-15"/>
        <w:sz w:val="20"/>
        <w:szCs w:val="20"/>
      </w:rPr>
      <w:t>c</w:t>
    </w:r>
    <w:r w:rsidRPr="00622A3B">
      <w:rPr>
        <w:rFonts w:cs="Arial"/>
        <w:b/>
        <w:noProof/>
        <w:spacing w:val="-16"/>
        <w:sz w:val="20"/>
        <w:szCs w:val="20"/>
      </w:rPr>
      <w:t>m</w:t>
    </w:r>
    <w:r w:rsidRPr="00622A3B">
      <w:rPr>
        <w:rFonts w:cs="Arial"/>
        <w:b/>
        <w:noProof/>
        <w:spacing w:val="-14"/>
        <w:sz w:val="20"/>
        <w:szCs w:val="20"/>
      </w:rPr>
      <w:t>a</w:t>
    </w:r>
    <w:r w:rsidRPr="0094078F">
      <w:rPr>
        <w:rFonts w:cs="Arial"/>
      </w:rPr>
      <w:tab/>
    </w:r>
    <w:r>
      <w:rPr>
        <w:rFonts w:cs="Arial"/>
      </w:rPr>
      <w:t xml:space="preserve"> </w:t>
    </w:r>
    <w:r w:rsidRPr="00622A3B">
      <w:rPr>
        <w:rFonts w:cs="Arial"/>
      </w:rPr>
      <w:t>|</w:t>
    </w:r>
    <w:r>
      <w:tab/>
    </w:r>
    <w:r w:rsidRPr="002E4DDC">
      <w:rPr>
        <w:color w:val="505050"/>
      </w:rPr>
      <w:fldChar w:fldCharType="begin"/>
    </w:r>
    <w:r w:rsidRPr="002E4DDC">
      <w:rPr>
        <w:color w:val="505050"/>
      </w:rPr>
      <w:instrText xml:space="preserve"> PAGE  \* roman  \* MERGEFORMAT </w:instrText>
    </w:r>
    <w:r w:rsidRPr="002E4DDC">
      <w:rPr>
        <w:color w:val="505050"/>
      </w:rPr>
      <w:fldChar w:fldCharType="separate"/>
    </w:r>
    <w:r>
      <w:rPr>
        <w:noProof/>
        <w:color w:val="505050"/>
      </w:rPr>
      <w:t>iv</w:t>
    </w:r>
    <w:r w:rsidRPr="002E4DDC">
      <w:rPr>
        <w:color w:val="505050"/>
      </w:rPr>
      <w:fldChar w:fldCharType="end"/>
    </w:r>
  </w:p>
  <w:p w14:paraId="663D18CA" w14:textId="77777777" w:rsidR="00523282" w:rsidRPr="00A5474E" w:rsidRDefault="00523282" w:rsidP="00A5474E">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02DE17" w14:textId="77777777" w:rsidR="00523282" w:rsidRPr="00622A3B" w:rsidRDefault="00523282" w:rsidP="00971914">
    <w:pPr>
      <w:pStyle w:val="Footer"/>
      <w:framePr w:w="1334" w:h="357" w:hRule="exact" w:vSpace="425" w:wrap="around" w:vAnchor="page" w:hAnchor="page" w:x="7335" w:y="16166"/>
      <w:pBdr>
        <w:top w:val="single" w:sz="4" w:space="1" w:color="auto"/>
      </w:pBdr>
      <w:tabs>
        <w:tab w:val="clear" w:pos="113"/>
        <w:tab w:val="left" w:pos="284"/>
      </w:tabs>
      <w:jc w:val="right"/>
      <w:rPr>
        <w:rFonts w:cs="Arial"/>
      </w:rPr>
    </w:pPr>
    <w:r w:rsidRPr="00622A3B">
      <w:rPr>
        <w:rFonts w:cs="Arial"/>
        <w:b/>
        <w:noProof/>
        <w:spacing w:val="-16"/>
        <w:sz w:val="20"/>
        <w:szCs w:val="20"/>
      </w:rPr>
      <w:t>a</w:t>
    </w:r>
    <w:r w:rsidRPr="00622A3B">
      <w:rPr>
        <w:rFonts w:cs="Arial"/>
        <w:b/>
        <w:noProof/>
        <w:spacing w:val="-15"/>
        <w:sz w:val="20"/>
        <w:szCs w:val="20"/>
      </w:rPr>
      <w:t>c</w:t>
    </w:r>
    <w:r w:rsidRPr="00622A3B">
      <w:rPr>
        <w:rFonts w:cs="Arial"/>
        <w:b/>
        <w:noProof/>
        <w:spacing w:val="-16"/>
        <w:sz w:val="20"/>
        <w:szCs w:val="20"/>
      </w:rPr>
      <w:t>m</w:t>
    </w:r>
    <w:r w:rsidRPr="00622A3B">
      <w:rPr>
        <w:rFonts w:cs="Arial"/>
        <w:b/>
        <w:noProof/>
        <w:spacing w:val="-14"/>
        <w:sz w:val="20"/>
        <w:szCs w:val="20"/>
      </w:rPr>
      <w:t>a</w:t>
    </w:r>
    <w:r w:rsidRPr="0094078F">
      <w:rPr>
        <w:rFonts w:cs="Arial"/>
      </w:rPr>
      <w:tab/>
    </w:r>
    <w:r>
      <w:rPr>
        <w:rFonts w:cs="Arial"/>
      </w:rPr>
      <w:t xml:space="preserve"> </w:t>
    </w:r>
    <w:r w:rsidRPr="00622A3B">
      <w:rPr>
        <w:rFonts w:cs="Arial"/>
      </w:rPr>
      <w:t>|</w:t>
    </w:r>
    <w:r>
      <w:tab/>
    </w:r>
    <w:r w:rsidRPr="002E4DDC">
      <w:rPr>
        <w:color w:val="505050"/>
      </w:rPr>
      <w:fldChar w:fldCharType="begin"/>
    </w:r>
    <w:r w:rsidRPr="002E4DDC">
      <w:rPr>
        <w:color w:val="505050"/>
      </w:rPr>
      <w:instrText xml:space="preserve"> PAGE  \* roman  \* MERGEFORMAT </w:instrText>
    </w:r>
    <w:r w:rsidRPr="002E4DDC">
      <w:rPr>
        <w:color w:val="505050"/>
      </w:rPr>
      <w:fldChar w:fldCharType="separate"/>
    </w:r>
    <w:r>
      <w:rPr>
        <w:noProof/>
        <w:color w:val="505050"/>
      </w:rPr>
      <w:t>v</w:t>
    </w:r>
    <w:r w:rsidRPr="002E4DDC">
      <w:rPr>
        <w:color w:val="505050"/>
      </w:rPr>
      <w:fldChar w:fldCharType="end"/>
    </w:r>
  </w:p>
  <w:p w14:paraId="3F0EDB31" w14:textId="77777777" w:rsidR="00523282" w:rsidRPr="00A5474E" w:rsidRDefault="00523282" w:rsidP="00A5474E">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3CA3B3" w14:textId="77777777" w:rsidR="00523282" w:rsidRPr="00622A3B" w:rsidRDefault="00523282" w:rsidP="0094078F">
    <w:pPr>
      <w:pStyle w:val="Footer"/>
      <w:framePr w:w="1334" w:h="357" w:hRule="exact" w:vSpace="425" w:wrap="around" w:vAnchor="page" w:hAnchor="page" w:x="7335" w:y="16166"/>
      <w:pBdr>
        <w:top w:val="single" w:sz="4" w:space="1" w:color="auto"/>
      </w:pBdr>
      <w:tabs>
        <w:tab w:val="clear" w:pos="113"/>
        <w:tab w:val="left" w:pos="284"/>
      </w:tabs>
      <w:jc w:val="right"/>
      <w:rPr>
        <w:rFonts w:cs="Arial"/>
      </w:rPr>
    </w:pPr>
    <w:r w:rsidRPr="00622A3B">
      <w:rPr>
        <w:rFonts w:cs="Arial"/>
        <w:b/>
        <w:noProof/>
        <w:spacing w:val="-16"/>
        <w:sz w:val="20"/>
        <w:szCs w:val="20"/>
      </w:rPr>
      <w:t>a</w:t>
    </w:r>
    <w:r w:rsidRPr="00622A3B">
      <w:rPr>
        <w:rFonts w:cs="Arial"/>
        <w:b/>
        <w:noProof/>
        <w:spacing w:val="-15"/>
        <w:sz w:val="20"/>
        <w:szCs w:val="20"/>
      </w:rPr>
      <w:t>c</w:t>
    </w:r>
    <w:r w:rsidRPr="00622A3B">
      <w:rPr>
        <w:rFonts w:cs="Arial"/>
        <w:b/>
        <w:noProof/>
        <w:spacing w:val="-16"/>
        <w:sz w:val="20"/>
        <w:szCs w:val="20"/>
      </w:rPr>
      <w:t>m</w:t>
    </w:r>
    <w:r w:rsidRPr="00622A3B">
      <w:rPr>
        <w:rFonts w:cs="Arial"/>
        <w:b/>
        <w:noProof/>
        <w:spacing w:val="-14"/>
        <w:sz w:val="20"/>
        <w:szCs w:val="20"/>
      </w:rPr>
      <w:t>a</w:t>
    </w:r>
    <w:r w:rsidRPr="0094078F">
      <w:rPr>
        <w:rFonts w:cs="Arial"/>
      </w:rPr>
      <w:tab/>
    </w:r>
    <w:r>
      <w:rPr>
        <w:rFonts w:cs="Arial"/>
      </w:rPr>
      <w:t xml:space="preserve"> </w:t>
    </w:r>
    <w:r w:rsidRPr="00622A3B">
      <w:rPr>
        <w:rFonts w:cs="Arial"/>
      </w:rPr>
      <w:t>|</w:t>
    </w:r>
    <w:r>
      <w:tab/>
    </w:r>
    <w:r w:rsidRPr="002E4DDC">
      <w:rPr>
        <w:color w:val="505050"/>
      </w:rPr>
      <w:fldChar w:fldCharType="begin"/>
    </w:r>
    <w:r w:rsidRPr="002E4DDC">
      <w:rPr>
        <w:color w:val="505050"/>
      </w:rPr>
      <w:instrText xml:space="preserve"> PAGE  \* roman  \* MERGEFORMAT </w:instrText>
    </w:r>
    <w:r w:rsidRPr="002E4DDC">
      <w:rPr>
        <w:color w:val="505050"/>
      </w:rPr>
      <w:fldChar w:fldCharType="separate"/>
    </w:r>
    <w:r>
      <w:rPr>
        <w:noProof/>
        <w:color w:val="505050"/>
      </w:rPr>
      <w:t>iii</w:t>
    </w:r>
    <w:r w:rsidRPr="002E4DDC">
      <w:rPr>
        <w:color w:val="505050"/>
      </w:rPr>
      <w:fldChar w:fldCharType="end"/>
    </w:r>
  </w:p>
  <w:p w14:paraId="4160D854" w14:textId="77777777" w:rsidR="00523282" w:rsidRPr="00A5474E" w:rsidRDefault="00523282" w:rsidP="00A5474E">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481125" w14:textId="77777777" w:rsidR="00523282" w:rsidRPr="00622A3B" w:rsidRDefault="00523282" w:rsidP="004654D7">
    <w:pPr>
      <w:pStyle w:val="FooterLeft"/>
      <w:framePr w:wrap="around" w:x="1141" w:y="16166"/>
      <w:tabs>
        <w:tab w:val="clear" w:pos="113"/>
        <w:tab w:val="right" w:pos="397"/>
      </w:tabs>
      <w:spacing w:after="360"/>
    </w:pPr>
    <w:r w:rsidRPr="00575AC5">
      <w:fldChar w:fldCharType="begin"/>
    </w:r>
    <w:r w:rsidRPr="00575AC5">
      <w:instrText xml:space="preserve"> PAGE  \* Arabic  \* MERGEFORMAT </w:instrText>
    </w:r>
    <w:r w:rsidRPr="00575AC5">
      <w:fldChar w:fldCharType="separate"/>
    </w:r>
    <w:r>
      <w:rPr>
        <w:noProof/>
      </w:rPr>
      <w:t>6</w:t>
    </w:r>
    <w:r w:rsidRPr="00575AC5">
      <w:fldChar w:fldCharType="end"/>
    </w:r>
    <w:r w:rsidRPr="0094078F">
      <w:tab/>
    </w:r>
    <w:r w:rsidRPr="00622A3B">
      <w:t>|</w:t>
    </w:r>
    <w:r>
      <w:tab/>
    </w:r>
    <w:r w:rsidRPr="00622A3B">
      <w:rPr>
        <w:b/>
        <w:noProof/>
        <w:spacing w:val="-16"/>
        <w:sz w:val="20"/>
        <w:szCs w:val="20"/>
      </w:rPr>
      <w:t>a</w:t>
    </w:r>
    <w:r w:rsidRPr="00622A3B">
      <w:rPr>
        <w:b/>
        <w:noProof/>
        <w:spacing w:val="-15"/>
        <w:sz w:val="20"/>
        <w:szCs w:val="20"/>
      </w:rPr>
      <w:t>c</w:t>
    </w:r>
    <w:r w:rsidRPr="00622A3B">
      <w:rPr>
        <w:b/>
        <w:noProof/>
        <w:spacing w:val="-16"/>
        <w:sz w:val="20"/>
        <w:szCs w:val="20"/>
      </w:rPr>
      <w:t>m</w:t>
    </w:r>
    <w:r w:rsidRPr="00622A3B">
      <w:rPr>
        <w:b/>
        <w:noProof/>
        <w:spacing w:val="-14"/>
        <w:sz w:val="20"/>
        <w:szCs w:val="20"/>
      </w:rPr>
      <w:t>a</w:t>
    </w:r>
  </w:p>
  <w:p w14:paraId="72C65A75" w14:textId="77777777" w:rsidR="00523282" w:rsidRPr="00A5474E" w:rsidRDefault="00523282" w:rsidP="00A5474E">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8A66F0" w14:textId="6D52CA5F" w:rsidR="00523282" w:rsidRPr="00622A3B" w:rsidRDefault="00523282" w:rsidP="00447037">
    <w:pPr>
      <w:pStyle w:val="Footer"/>
      <w:framePr w:w="1440" w:h="357" w:hRule="exact" w:vSpace="425" w:wrap="around" w:vAnchor="page" w:hAnchor="page" w:x="7335" w:y="16166"/>
      <w:pBdr>
        <w:top w:val="single" w:sz="4" w:space="1" w:color="auto"/>
      </w:pBdr>
      <w:tabs>
        <w:tab w:val="clear" w:pos="113"/>
        <w:tab w:val="left" w:pos="397"/>
      </w:tabs>
      <w:jc w:val="right"/>
      <w:rPr>
        <w:rFonts w:cs="Arial"/>
      </w:rPr>
    </w:pPr>
    <w:r w:rsidRPr="00622A3B">
      <w:rPr>
        <w:rFonts w:cs="Arial"/>
        <w:b/>
        <w:noProof/>
        <w:spacing w:val="-16"/>
        <w:sz w:val="20"/>
        <w:szCs w:val="20"/>
      </w:rPr>
      <w:t>a</w:t>
    </w:r>
    <w:r w:rsidRPr="00622A3B">
      <w:rPr>
        <w:rFonts w:cs="Arial"/>
        <w:b/>
        <w:noProof/>
        <w:spacing w:val="-15"/>
        <w:sz w:val="20"/>
        <w:szCs w:val="20"/>
      </w:rPr>
      <w:t>c</w:t>
    </w:r>
    <w:r w:rsidRPr="00622A3B">
      <w:rPr>
        <w:rFonts w:cs="Arial"/>
        <w:b/>
        <w:noProof/>
        <w:spacing w:val="-16"/>
        <w:sz w:val="20"/>
        <w:szCs w:val="20"/>
      </w:rPr>
      <w:t>m</w:t>
    </w:r>
    <w:r w:rsidRPr="00622A3B">
      <w:rPr>
        <w:rFonts w:cs="Arial"/>
        <w:b/>
        <w:noProof/>
        <w:spacing w:val="-14"/>
        <w:sz w:val="20"/>
        <w:szCs w:val="20"/>
      </w:rPr>
      <w:t>a</w:t>
    </w:r>
    <w:r w:rsidRPr="0094078F">
      <w:rPr>
        <w:rFonts w:cs="Arial"/>
      </w:rPr>
      <w:tab/>
    </w:r>
    <w:r>
      <w:rPr>
        <w:rFonts w:cs="Arial"/>
      </w:rPr>
      <w:t xml:space="preserve"> </w:t>
    </w:r>
    <w:r w:rsidRPr="00622A3B">
      <w:rPr>
        <w:rFonts w:cs="Arial"/>
      </w:rPr>
      <w:t>|</w:t>
    </w:r>
    <w:r>
      <w:tab/>
    </w:r>
    <w:r w:rsidRPr="00575AC5">
      <w:rPr>
        <w:color w:val="505050"/>
      </w:rPr>
      <w:fldChar w:fldCharType="begin"/>
    </w:r>
    <w:r w:rsidRPr="00575AC5">
      <w:rPr>
        <w:color w:val="505050"/>
      </w:rPr>
      <w:instrText xml:space="preserve"> PAGE  \* Arabic  \* MERGEFORMAT </w:instrText>
    </w:r>
    <w:r w:rsidRPr="00575AC5">
      <w:rPr>
        <w:color w:val="505050"/>
      </w:rPr>
      <w:fldChar w:fldCharType="separate"/>
    </w:r>
    <w:r>
      <w:rPr>
        <w:noProof/>
        <w:color w:val="505050"/>
      </w:rPr>
      <w:t>1</w:t>
    </w:r>
    <w:r w:rsidRPr="00575AC5">
      <w:rPr>
        <w:color w:val="505050"/>
      </w:rPr>
      <w:fldChar w:fldCharType="end"/>
    </w:r>
  </w:p>
  <w:p w14:paraId="0E9BCFD2" w14:textId="77777777" w:rsidR="00523282" w:rsidRPr="00A5474E" w:rsidRDefault="00523282" w:rsidP="00A547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0A2507" w14:textId="77777777" w:rsidR="00523282" w:rsidRDefault="00523282" w:rsidP="00EA0969">
      <w:pPr>
        <w:spacing w:after="0"/>
      </w:pPr>
      <w:r>
        <w:separator/>
      </w:r>
    </w:p>
  </w:footnote>
  <w:footnote w:type="continuationSeparator" w:id="0">
    <w:p w14:paraId="15465442" w14:textId="77777777" w:rsidR="00523282" w:rsidRDefault="00523282">
      <w:r>
        <w:continuationSeparator/>
      </w:r>
    </w:p>
  </w:footnote>
  <w:footnote w:type="continuationNotice" w:id="1">
    <w:p w14:paraId="1ADBED17" w14:textId="77777777" w:rsidR="00523282" w:rsidRDefault="00523282">
      <w:pPr>
        <w:spacing w:after="0" w:line="240" w:lineRule="auto"/>
      </w:pPr>
    </w:p>
  </w:footnote>
  <w:footnote w:id="2">
    <w:p w14:paraId="46A30A0F" w14:textId="105C5862" w:rsidR="00523282" w:rsidRPr="00D97E0E" w:rsidRDefault="00523282">
      <w:pPr>
        <w:pStyle w:val="FootnoteText"/>
      </w:pPr>
      <w:r>
        <w:rPr>
          <w:rStyle w:val="FootnoteReference"/>
        </w:rPr>
        <w:footnoteRef/>
      </w:r>
      <w:r>
        <w:t xml:space="preserve"> Australian Communications and Media Authority, </w:t>
      </w:r>
      <w:hyperlink r:id="rId1" w:history="1">
        <w:r w:rsidRPr="00660F76">
          <w:rPr>
            <w:rStyle w:val="Hyperlink"/>
            <w:i/>
            <w:iCs/>
          </w:rPr>
          <w:t>The future delivery of radio</w:t>
        </w:r>
      </w:hyperlink>
      <w:r w:rsidRPr="00660F76">
        <w:rPr>
          <w:rStyle w:val="Hyperlink"/>
          <w:color w:val="auto"/>
          <w:u w:val="none"/>
        </w:rPr>
        <w:t xml:space="preserve"> [webpage], ACMA website, </w:t>
      </w:r>
      <w:r>
        <w:rPr>
          <w:rStyle w:val="Hyperlink"/>
          <w:color w:val="auto"/>
          <w:u w:val="none"/>
        </w:rPr>
        <w:t>March 2020, accessed 20 April 2021.</w:t>
      </w:r>
    </w:p>
  </w:footnote>
  <w:footnote w:id="3">
    <w:p w14:paraId="7E902D5F" w14:textId="41B76E69" w:rsidR="00523282" w:rsidRDefault="00523282">
      <w:pPr>
        <w:pStyle w:val="FootnoteText"/>
      </w:pPr>
      <w:r>
        <w:rPr>
          <w:rStyle w:val="FootnoteReference"/>
        </w:rPr>
        <w:footnoteRef/>
      </w:r>
      <w:r>
        <w:t xml:space="preserve"> Australian Government, </w:t>
      </w:r>
      <w:hyperlink r:id="rId2" w:history="1">
        <w:r w:rsidRPr="00C00CAA">
          <w:rPr>
            <w:rStyle w:val="Hyperlink"/>
          </w:rPr>
          <w:t>Licence Area Plan – Perth Radio</w:t>
        </w:r>
      </w:hyperlink>
      <w:r>
        <w:t xml:space="preserve"> [webpage], Federal Register of Legislation website, n.d., accessed 20 April 2021. </w:t>
      </w:r>
    </w:p>
  </w:footnote>
  <w:footnote w:id="4">
    <w:p w14:paraId="66B1DEA4" w14:textId="324E774E" w:rsidR="00523282" w:rsidRPr="00981BCE" w:rsidRDefault="00523282">
      <w:pPr>
        <w:pStyle w:val="FootnoteText"/>
      </w:pPr>
      <w:r>
        <w:rPr>
          <w:rStyle w:val="FootnoteReference"/>
        </w:rPr>
        <w:footnoteRef/>
      </w:r>
      <w:r>
        <w:t xml:space="preserve"> ACMA, </w:t>
      </w:r>
      <w:hyperlink r:id="rId3" w:history="1">
        <w:r w:rsidRPr="00660F76">
          <w:rPr>
            <w:rStyle w:val="Hyperlink"/>
            <w:i/>
            <w:iCs/>
          </w:rPr>
          <w:t>General Approach to Analog Planning</w:t>
        </w:r>
      </w:hyperlink>
      <w:r w:rsidRPr="00660F76">
        <w:rPr>
          <w:rStyle w:val="Hyperlink"/>
          <w:color w:val="auto"/>
          <w:u w:val="none"/>
        </w:rPr>
        <w:t xml:space="preserve">, ACMA website, </w:t>
      </w:r>
      <w:r>
        <w:rPr>
          <w:rStyle w:val="Hyperlink"/>
          <w:color w:val="auto"/>
          <w:u w:val="none"/>
        </w:rPr>
        <w:t xml:space="preserve">2003, </w:t>
      </w:r>
      <w:r w:rsidRPr="00660F76">
        <w:rPr>
          <w:rStyle w:val="Hyperlink"/>
          <w:color w:val="auto"/>
          <w:u w:val="none"/>
        </w:rPr>
        <w:t>accessed 20 April 2021.</w:t>
      </w:r>
    </w:p>
  </w:footnote>
  <w:footnote w:id="5">
    <w:p w14:paraId="03A5B8B9" w14:textId="4DA56462" w:rsidR="00523282" w:rsidRDefault="00523282">
      <w:pPr>
        <w:pStyle w:val="FootnoteText"/>
      </w:pPr>
      <w:r>
        <w:rPr>
          <w:rStyle w:val="FootnoteReference"/>
        </w:rPr>
        <w:footnoteRef/>
      </w:r>
      <w:r>
        <w:t xml:space="preserve"> Australian Broadcasting Authority, </w:t>
      </w:r>
      <w:hyperlink r:id="rId4" w:history="1">
        <w:r w:rsidRPr="00660F76">
          <w:rPr>
            <w:rStyle w:val="Hyperlink"/>
            <w:i/>
            <w:iCs/>
          </w:rPr>
          <w:t>Technical Planning Parameters and Methods for Terrestrial Broadcasting</w:t>
        </w:r>
      </w:hyperlink>
      <w:r w:rsidRPr="00660F76">
        <w:rPr>
          <w:rStyle w:val="Hyperlink"/>
          <w:color w:val="auto"/>
          <w:u w:val="none"/>
        </w:rPr>
        <w:t>, ACMA website, April 2004, accessed 20 April 2021.</w:t>
      </w:r>
    </w:p>
  </w:footnote>
  <w:footnote w:id="6">
    <w:p w14:paraId="685796D4" w14:textId="5D08D50C" w:rsidR="00523282" w:rsidRDefault="00523282" w:rsidP="00C435C8">
      <w:pPr>
        <w:pStyle w:val="FootnoteText"/>
      </w:pPr>
      <w:r>
        <w:rPr>
          <w:rStyle w:val="FootnoteReference"/>
        </w:rPr>
        <w:footnoteRef/>
      </w:r>
      <w:r>
        <w:t xml:space="preserve"> Frequencies identified for a 40 kW DA service could alternatively be used for </w:t>
      </w:r>
      <w:r w:rsidRPr="0085674B">
        <w:t xml:space="preserve">a </w:t>
      </w:r>
      <w:proofErr w:type="gramStart"/>
      <w:r w:rsidRPr="0085674B">
        <w:t>16 kW</w:t>
      </w:r>
      <w:proofErr w:type="gramEnd"/>
      <w:r w:rsidRPr="0085674B">
        <w:t xml:space="preserve"> directional service</w:t>
      </w:r>
      <w:r>
        <w:t xml:space="preserve"> (for example, community or HPON).</w:t>
      </w:r>
    </w:p>
  </w:footnote>
  <w:footnote w:id="7">
    <w:p w14:paraId="5A46BE5D" w14:textId="4D8F4763" w:rsidR="00523282" w:rsidRPr="00392B3E" w:rsidRDefault="00523282" w:rsidP="00166C7E">
      <w:pPr>
        <w:pStyle w:val="FootnoteText"/>
        <w:ind w:right="1841"/>
      </w:pPr>
      <w:r w:rsidRPr="00392B3E">
        <w:rPr>
          <w:rStyle w:val="FootnoteReference"/>
        </w:rPr>
        <w:footnoteRef/>
      </w:r>
      <w:r w:rsidRPr="00392B3E">
        <w:t xml:space="preserve"> While current Technical Specifications for national services on the </w:t>
      </w:r>
      <w:r w:rsidRPr="00CF6BE8">
        <w:t>Broadcast Australia</w:t>
      </w:r>
      <w:r w:rsidRPr="00392B3E">
        <w:t xml:space="preserve"> Tower at Bickley (TS </w:t>
      </w:r>
      <w:r w:rsidRPr="00392B3E">
        <w:rPr>
          <w:rFonts w:cs="Arial"/>
          <w:szCs w:val="20"/>
        </w:rPr>
        <w:t>6891001 and TS3028601)</w:t>
      </w:r>
      <w:r w:rsidRPr="00392B3E">
        <w:t xml:space="preserve"> have a Maximum Antenna height specification of 97 m</w:t>
      </w:r>
      <w:r>
        <w:t>,</w:t>
      </w:r>
      <w:r w:rsidRPr="00392B3E">
        <w:t xml:space="preserve"> it is understood that the current FM array has an electrical centre height of approximately 120 m.</w:t>
      </w:r>
    </w:p>
  </w:footnote>
  <w:footnote w:id="8">
    <w:p w14:paraId="120FAB38" w14:textId="6701DD2F" w:rsidR="00523282" w:rsidRPr="00392B3E" w:rsidRDefault="00523282" w:rsidP="009521E7">
      <w:pPr>
        <w:pStyle w:val="FootnoteText"/>
        <w:ind w:right="1841"/>
      </w:pPr>
    </w:p>
    <w:p w14:paraId="5A28D369" w14:textId="24E1804C" w:rsidR="00523282" w:rsidRDefault="00523282" w:rsidP="00166C7E">
      <w:pPr>
        <w:pStyle w:val="FootnoteText"/>
        <w:ind w:right="1841"/>
      </w:pPr>
      <w:r>
        <w:t xml:space="preserve"> </w:t>
      </w:r>
      <w:r w:rsidRPr="00392B3E">
        <w:t xml:space="preserve">While current </w:t>
      </w:r>
      <w:r>
        <w:t>t</w:t>
      </w:r>
      <w:r w:rsidRPr="00392B3E">
        <w:t xml:space="preserve">echnical </w:t>
      </w:r>
      <w:r>
        <w:t>s</w:t>
      </w:r>
      <w:r w:rsidRPr="00392B3E">
        <w:t xml:space="preserve">pecifications for national services on the </w:t>
      </w:r>
      <w:r w:rsidRPr="00CF6BE8">
        <w:t>Broadcast Australia</w:t>
      </w:r>
      <w:r w:rsidRPr="00392B3E">
        <w:t xml:space="preserve"> Tower at Bickley (TS </w:t>
      </w:r>
      <w:r w:rsidRPr="00392B3E">
        <w:rPr>
          <w:rFonts w:cs="Arial"/>
          <w:szCs w:val="20"/>
        </w:rPr>
        <w:t>6891001 and TS3028601)</w:t>
      </w:r>
      <w:r w:rsidRPr="00392B3E">
        <w:t xml:space="preserve"> have a </w:t>
      </w:r>
      <w:r>
        <w:t>m</w:t>
      </w:r>
      <w:r w:rsidRPr="00392B3E">
        <w:t xml:space="preserve">aximum </w:t>
      </w:r>
      <w:r>
        <w:t>a</w:t>
      </w:r>
      <w:r w:rsidRPr="00392B3E">
        <w:t>ntenna height specification of 97 m</w:t>
      </w:r>
      <w:r>
        <w:t>,</w:t>
      </w:r>
      <w:r w:rsidRPr="00392B3E">
        <w:t xml:space="preserve"> it is understood that the current FM array has an electrical centre height of approximately 120 m.</w:t>
      </w:r>
    </w:p>
  </w:footnote>
  <w:footnote w:id="9">
    <w:p w14:paraId="0D33672E" w14:textId="6B4347FF" w:rsidR="00523282" w:rsidRDefault="00523282" w:rsidP="009521E7">
      <w:pPr>
        <w:pStyle w:val="FootnoteText"/>
        <w:ind w:right="1841"/>
      </w:pPr>
    </w:p>
    <w:p w14:paraId="5F9D89FF" w14:textId="0E329DF9" w:rsidR="00523282" w:rsidRDefault="00523282" w:rsidP="00166C7E">
      <w:pPr>
        <w:pStyle w:val="FootnoteText"/>
        <w:ind w:right="1841"/>
      </w:pPr>
      <w:r>
        <w:t xml:space="preserve"> </w:t>
      </w:r>
      <w:r w:rsidRPr="00392B3E">
        <w:t xml:space="preserve">While current </w:t>
      </w:r>
      <w:r>
        <w:t>t</w:t>
      </w:r>
      <w:r w:rsidRPr="00392B3E">
        <w:t xml:space="preserve">echnical </w:t>
      </w:r>
      <w:r>
        <w:t>s</w:t>
      </w:r>
      <w:r w:rsidRPr="00392B3E">
        <w:t xml:space="preserve">pecifications for national services on the </w:t>
      </w:r>
      <w:r w:rsidRPr="00CF6BE8">
        <w:t>Broadcast Australia</w:t>
      </w:r>
      <w:r w:rsidRPr="00392B3E">
        <w:t xml:space="preserve"> Tower at Bickley (TS </w:t>
      </w:r>
      <w:r w:rsidRPr="00392B3E">
        <w:rPr>
          <w:rFonts w:cs="Arial"/>
          <w:szCs w:val="20"/>
        </w:rPr>
        <w:t>6891001 and TS3028601)</w:t>
      </w:r>
      <w:r w:rsidRPr="00392B3E">
        <w:t xml:space="preserve"> have a </w:t>
      </w:r>
      <w:r>
        <w:t>m</w:t>
      </w:r>
      <w:r w:rsidRPr="00392B3E">
        <w:t xml:space="preserve">aximum </w:t>
      </w:r>
      <w:r>
        <w:t>a</w:t>
      </w:r>
      <w:r w:rsidRPr="00392B3E">
        <w:t>ntenna height specification of 97 m</w:t>
      </w:r>
      <w:r>
        <w:t>,</w:t>
      </w:r>
      <w:r w:rsidRPr="00392B3E">
        <w:t xml:space="preserve"> it is understood that the current FM array has an electrical centre height of approximately 120 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9D79BE" w14:textId="77777777" w:rsidR="00523282" w:rsidRPr="00A5474E" w:rsidRDefault="00523282" w:rsidP="00A5474E">
    <w:pPr>
      <w:pStyle w:val="Header"/>
    </w:pPr>
    <w:r>
      <w:rPr>
        <w:noProof/>
      </w:rPr>
      <w:drawing>
        <wp:inline distT="0" distB="0" distL="0" distR="0" wp14:anchorId="6EB77593" wp14:editId="0F266C96">
          <wp:extent cx="6210300" cy="571134"/>
          <wp:effectExtent l="0" t="0" r="0" b="0"/>
          <wp:docPr id="14" name="Picture 14" descr="ACM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scussion-paper-header-block.pdf"/>
                  <pic:cNvPicPr/>
                </pic:nvPicPr>
                <pic:blipFill>
                  <a:blip r:embed="rId1"/>
                  <a:stretch>
                    <a:fillRect/>
                  </a:stretch>
                </pic:blipFill>
                <pic:spPr>
                  <a:xfrm>
                    <a:off x="0" y="0"/>
                    <a:ext cx="6210300" cy="571134"/>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9524F" w14:textId="77777777" w:rsidR="00523282" w:rsidRPr="00A5474E" w:rsidRDefault="00523282" w:rsidP="00594E9C">
    <w:pPr>
      <w:pStyle w:val="TOCHeading"/>
    </w:pPr>
    <w:r w:rsidRPr="0029593B">
      <w:t>Contents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896D47" w14:textId="77777777" w:rsidR="00523282" w:rsidRDefault="0052328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EB6765" w14:textId="77777777" w:rsidR="00523282" w:rsidRDefault="00523282">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678" w:type="dxa"/>
      <w:tblLayout w:type="fixed"/>
      <w:tblCellMar>
        <w:left w:w="0" w:type="dxa"/>
        <w:right w:w="0" w:type="dxa"/>
      </w:tblCellMar>
      <w:tblLook w:val="01E0" w:firstRow="1" w:lastRow="1" w:firstColumn="1" w:lastColumn="1" w:noHBand="0" w:noVBand="0"/>
    </w:tblPr>
    <w:tblGrid>
      <w:gridCol w:w="7678"/>
    </w:tblGrid>
    <w:tr w:rsidR="00523282" w14:paraId="5A6AB6A7" w14:textId="77777777" w:rsidTr="005B58C2">
      <w:trPr>
        <w:trHeight w:hRule="exact" w:val="988"/>
      </w:trPr>
      <w:tc>
        <w:tcPr>
          <w:tcW w:w="7678" w:type="dxa"/>
          <w:shd w:val="clear" w:color="auto" w:fill="auto"/>
        </w:tcPr>
        <w:p w14:paraId="4B320EB3" w14:textId="77777777" w:rsidR="00523282" w:rsidRDefault="00523282" w:rsidP="00971914">
          <w:pPr>
            <w:pStyle w:val="Header"/>
          </w:pPr>
        </w:p>
      </w:tc>
    </w:tr>
    <w:tr w:rsidR="00523282" w14:paraId="28520701" w14:textId="77777777" w:rsidTr="005B58C2">
      <w:tc>
        <w:tcPr>
          <w:tcW w:w="7678" w:type="dxa"/>
          <w:shd w:val="clear" w:color="auto" w:fill="auto"/>
        </w:tcPr>
        <w:p w14:paraId="4AEE0566" w14:textId="77777777" w:rsidR="00523282" w:rsidRDefault="00523282" w:rsidP="00971914">
          <w:pPr>
            <w:pStyle w:val="GridTable31"/>
          </w:pPr>
          <w:r>
            <w:t xml:space="preserve">Contents </w:t>
          </w:r>
          <w:r w:rsidRPr="00915B1C">
            <w:rPr>
              <w:b w:val="0"/>
              <w:spacing w:val="0"/>
              <w:sz w:val="28"/>
              <w:szCs w:val="28"/>
            </w:rPr>
            <w:t>(Continued)</w:t>
          </w:r>
        </w:p>
      </w:tc>
    </w:tr>
    <w:tr w:rsidR="00523282" w14:paraId="483B96CB" w14:textId="77777777" w:rsidTr="005B58C2">
      <w:trPr>
        <w:trHeight w:val="1220"/>
      </w:trPr>
      <w:tc>
        <w:tcPr>
          <w:tcW w:w="7678" w:type="dxa"/>
          <w:shd w:val="clear" w:color="auto" w:fill="auto"/>
        </w:tcPr>
        <w:p w14:paraId="6DE368E2" w14:textId="77777777" w:rsidR="00523282" w:rsidRDefault="00523282" w:rsidP="00971914"/>
      </w:tc>
    </w:tr>
  </w:tbl>
  <w:p w14:paraId="3114CAC8" w14:textId="77777777" w:rsidR="00523282" w:rsidRDefault="00523282" w:rsidP="0097191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678" w:type="dxa"/>
      <w:tblLayout w:type="fixed"/>
      <w:tblCellMar>
        <w:left w:w="0" w:type="dxa"/>
        <w:right w:w="0" w:type="dxa"/>
      </w:tblCellMar>
      <w:tblLook w:val="01E0" w:firstRow="1" w:lastRow="1" w:firstColumn="1" w:lastColumn="1" w:noHBand="0" w:noVBand="0"/>
    </w:tblPr>
    <w:tblGrid>
      <w:gridCol w:w="7678"/>
    </w:tblGrid>
    <w:tr w:rsidR="00523282" w14:paraId="7DA250FE" w14:textId="77777777" w:rsidTr="005B58C2">
      <w:trPr>
        <w:trHeight w:hRule="exact" w:val="988"/>
      </w:trPr>
      <w:tc>
        <w:tcPr>
          <w:tcW w:w="7678" w:type="dxa"/>
          <w:shd w:val="clear" w:color="auto" w:fill="auto"/>
        </w:tcPr>
        <w:p w14:paraId="68D99126" w14:textId="77777777" w:rsidR="00523282" w:rsidRDefault="00523282" w:rsidP="00971914">
          <w:pPr>
            <w:pStyle w:val="Header"/>
          </w:pPr>
        </w:p>
      </w:tc>
    </w:tr>
    <w:tr w:rsidR="00523282" w14:paraId="398445F7" w14:textId="77777777" w:rsidTr="005B58C2">
      <w:tc>
        <w:tcPr>
          <w:tcW w:w="7678" w:type="dxa"/>
          <w:shd w:val="clear" w:color="auto" w:fill="auto"/>
        </w:tcPr>
        <w:p w14:paraId="570A1995" w14:textId="77777777" w:rsidR="00523282" w:rsidRDefault="00523282" w:rsidP="00971914">
          <w:pPr>
            <w:pStyle w:val="GridTable31"/>
          </w:pPr>
          <w:r>
            <w:t xml:space="preserve">Contents </w:t>
          </w:r>
          <w:r w:rsidRPr="00915B1C">
            <w:rPr>
              <w:b w:val="0"/>
              <w:spacing w:val="0"/>
              <w:sz w:val="28"/>
              <w:szCs w:val="28"/>
            </w:rPr>
            <w:t>(Continued)</w:t>
          </w:r>
        </w:p>
      </w:tc>
    </w:tr>
    <w:tr w:rsidR="00523282" w14:paraId="2E26C538" w14:textId="77777777" w:rsidTr="005B58C2">
      <w:trPr>
        <w:trHeight w:val="1220"/>
      </w:trPr>
      <w:tc>
        <w:tcPr>
          <w:tcW w:w="7678" w:type="dxa"/>
          <w:shd w:val="clear" w:color="auto" w:fill="auto"/>
        </w:tcPr>
        <w:p w14:paraId="227CF098" w14:textId="77777777" w:rsidR="00523282" w:rsidRDefault="00523282" w:rsidP="00971914"/>
      </w:tc>
    </w:tr>
  </w:tbl>
  <w:p w14:paraId="2068D28F" w14:textId="77777777" w:rsidR="00523282" w:rsidRPr="00A5474E" w:rsidRDefault="00523282" w:rsidP="00A5474E">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68A904" w14:textId="77777777" w:rsidR="00523282" w:rsidRDefault="00523282">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1B1A1E" w14:textId="77777777" w:rsidR="00523282" w:rsidRDefault="005232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75F22F60"/>
    <w:lvl w:ilvl="0">
      <w:start w:val="1"/>
      <w:numFmt w:val="lowerRoman"/>
      <w:pStyle w:val="ListNumber2"/>
      <w:lvlText w:val="%1."/>
      <w:lvlJc w:val="right"/>
      <w:pPr>
        <w:ind w:left="717" w:hanging="360"/>
      </w:pPr>
      <w:rPr>
        <w:rFonts w:hint="default"/>
      </w:rPr>
    </w:lvl>
  </w:abstractNum>
  <w:abstractNum w:abstractNumId="1" w15:restartNumberingAfterBreak="0">
    <w:nsid w:val="FFFFFF82"/>
    <w:multiLevelType w:val="singleLevel"/>
    <w:tmpl w:val="8BCA5064"/>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909E78BC"/>
    <w:lvl w:ilvl="0">
      <w:start w:val="1"/>
      <w:numFmt w:val="bullet"/>
      <w:pStyle w:val="ListBullet2"/>
      <w:lvlText w:val="&gt;"/>
      <w:lvlJc w:val="left"/>
      <w:pPr>
        <w:tabs>
          <w:tab w:val="num" w:pos="845"/>
        </w:tabs>
        <w:ind w:left="845" w:hanging="544"/>
      </w:pPr>
      <w:rPr>
        <w:rFonts w:ascii="HelveticaNeueLT Std Lt" w:hAnsi="HelveticaNeueLT Std Lt" w:hint="default"/>
        <w:sz w:val="20"/>
      </w:rPr>
    </w:lvl>
  </w:abstractNum>
  <w:abstractNum w:abstractNumId="3" w15:restartNumberingAfterBreak="0">
    <w:nsid w:val="FFFFFF88"/>
    <w:multiLevelType w:val="singleLevel"/>
    <w:tmpl w:val="51B60EB2"/>
    <w:lvl w:ilvl="0">
      <w:start w:val="1"/>
      <w:numFmt w:val="decimal"/>
      <w:pStyle w:val="ListNumber"/>
      <w:lvlText w:val="%1."/>
      <w:lvlJc w:val="left"/>
      <w:pPr>
        <w:ind w:left="360" w:hanging="360"/>
      </w:pPr>
      <w:rPr>
        <w:rFonts w:hint="default"/>
        <w:b w:val="0"/>
        <w:bCs/>
        <w:caps/>
        <w:sz w:val="20"/>
      </w:rPr>
    </w:lvl>
  </w:abstractNum>
  <w:abstractNum w:abstractNumId="4" w15:restartNumberingAfterBreak="0">
    <w:nsid w:val="FFFFFF89"/>
    <w:multiLevelType w:val="singleLevel"/>
    <w:tmpl w:val="1E8C4D8E"/>
    <w:lvl w:ilvl="0">
      <w:start w:val="1"/>
      <w:numFmt w:val="bullet"/>
      <w:pStyle w:val="ListBullet"/>
      <w:lvlText w:val="&gt;"/>
      <w:lvlJc w:val="left"/>
      <w:pPr>
        <w:tabs>
          <w:tab w:val="num" w:pos="295"/>
        </w:tabs>
        <w:ind w:left="295" w:hanging="295"/>
      </w:pPr>
      <w:rPr>
        <w:rFonts w:ascii="HelveticaNeueLT Std Lt" w:hAnsi="HelveticaNeueLT Std Lt" w:hint="default"/>
        <w:sz w:val="20"/>
      </w:rPr>
    </w:lvl>
  </w:abstractNum>
  <w:abstractNum w:abstractNumId="5" w15:restartNumberingAfterBreak="0">
    <w:nsid w:val="02AF1222"/>
    <w:multiLevelType w:val="hybridMultilevel"/>
    <w:tmpl w:val="BC6E3CCC"/>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87C268C"/>
    <w:multiLevelType w:val="hybridMultilevel"/>
    <w:tmpl w:val="E0A6CA9A"/>
    <w:lvl w:ilvl="0" w:tplc="44EEC084">
      <w:start w:val="1"/>
      <w:numFmt w:val="bullet"/>
      <w:lvlText w:val="&gt;"/>
      <w:lvlJc w:val="left"/>
      <w:pPr>
        <w:ind w:left="720" w:hanging="360"/>
      </w:pPr>
      <w:rPr>
        <w:rFonts w:ascii="HelveticaNeueLT Std" w:hAnsi="HelveticaNeueLT Std"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DDC5A2D"/>
    <w:multiLevelType w:val="hybridMultilevel"/>
    <w:tmpl w:val="977CFC5E"/>
    <w:lvl w:ilvl="0" w:tplc="D4AA2EAC">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3EE495C"/>
    <w:multiLevelType w:val="hybridMultilevel"/>
    <w:tmpl w:val="1D8498B0"/>
    <w:lvl w:ilvl="0" w:tplc="A332420E">
      <w:start w:val="1"/>
      <w:numFmt w:val="lowerLetter"/>
      <w:pStyle w:val="ACMAletteredlist"/>
      <w:lvlText w:val="%1."/>
      <w:lvlJc w:val="left"/>
      <w:pPr>
        <w:tabs>
          <w:tab w:val="num" w:pos="360"/>
        </w:tabs>
        <w:ind w:left="360" w:hanging="360"/>
      </w:pPr>
    </w:lvl>
    <w:lvl w:ilvl="1" w:tplc="8EDAE56E">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402354F"/>
    <w:multiLevelType w:val="multilevel"/>
    <w:tmpl w:val="8D36F35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15A92D04"/>
    <w:multiLevelType w:val="hybridMultilevel"/>
    <w:tmpl w:val="43C2F8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62C44F9"/>
    <w:multiLevelType w:val="hybridMultilevel"/>
    <w:tmpl w:val="36B41E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96C7B29"/>
    <w:multiLevelType w:val="hybridMultilevel"/>
    <w:tmpl w:val="C6E4A4B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1F3D26BC"/>
    <w:multiLevelType w:val="hybridMultilevel"/>
    <w:tmpl w:val="428089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FD30AFE"/>
    <w:multiLevelType w:val="hybridMultilevel"/>
    <w:tmpl w:val="AAF05C0E"/>
    <w:lvl w:ilvl="0" w:tplc="0C09000F">
      <w:start w:val="1"/>
      <w:numFmt w:val="decimal"/>
      <w:lvlText w:val="%1."/>
      <w:lvlJc w:val="left"/>
      <w:pPr>
        <w:ind w:left="720" w:hanging="360"/>
      </w:pPr>
    </w:lvl>
    <w:lvl w:ilvl="1" w:tplc="EDCAE478">
      <w:start w:val="1"/>
      <w:numFmt w:val="lowerLetter"/>
      <w:lvlText w:val="%2."/>
      <w:lvlJc w:val="left"/>
      <w:pPr>
        <w:ind w:left="1440" w:hanging="360"/>
      </w:pPr>
      <w:rPr>
        <w:b/>
        <w:bCs w:val="0"/>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89A59B9"/>
    <w:multiLevelType w:val="hybridMultilevel"/>
    <w:tmpl w:val="8084AF1E"/>
    <w:lvl w:ilvl="0" w:tplc="D4AA2EAC">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9B247F4"/>
    <w:multiLevelType w:val="hybridMultilevel"/>
    <w:tmpl w:val="4E3E1F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B2146F2"/>
    <w:multiLevelType w:val="hybridMultilevel"/>
    <w:tmpl w:val="A2AACC66"/>
    <w:lvl w:ilvl="0" w:tplc="D4AA2EAC">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E301DD4"/>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9" w15:restartNumberingAfterBreak="0">
    <w:nsid w:val="2F5A5080"/>
    <w:multiLevelType w:val="hybridMultilevel"/>
    <w:tmpl w:val="BE2AF6CE"/>
    <w:lvl w:ilvl="0" w:tplc="D05E2434">
      <w:start w:val="1"/>
      <w:numFmt w:val="bullet"/>
      <w:lvlText w:val="●"/>
      <w:lvlJc w:val="left"/>
      <w:pPr>
        <w:ind w:left="357" w:hanging="357"/>
      </w:pPr>
      <w:rPr>
        <w:rFonts w:ascii="Arial" w:hAnsi="Arial" w:cs="Arial" w:hint="default"/>
        <w:sz w:val="20"/>
        <w:szCs w:val="20"/>
      </w:rPr>
    </w:lvl>
    <w:lvl w:ilvl="1" w:tplc="04090003">
      <w:start w:val="1"/>
      <w:numFmt w:val="bullet"/>
      <w:lvlText w:val="o"/>
      <w:lvlJc w:val="left"/>
      <w:pPr>
        <w:tabs>
          <w:tab w:val="num" w:pos="1728"/>
        </w:tabs>
        <w:ind w:left="1728" w:hanging="360"/>
      </w:pPr>
      <w:rPr>
        <w:rFonts w:ascii="Courier New" w:hAnsi="Courier New" w:cs="Times New Roman" w:hint="default"/>
      </w:rPr>
    </w:lvl>
    <w:lvl w:ilvl="2" w:tplc="04090005">
      <w:start w:val="1"/>
      <w:numFmt w:val="bullet"/>
      <w:lvlText w:val=""/>
      <w:lvlJc w:val="left"/>
      <w:pPr>
        <w:tabs>
          <w:tab w:val="num" w:pos="2448"/>
        </w:tabs>
        <w:ind w:left="2448" w:hanging="360"/>
      </w:pPr>
      <w:rPr>
        <w:rFonts w:ascii="Wingdings" w:hAnsi="Wingdings" w:hint="default"/>
      </w:rPr>
    </w:lvl>
    <w:lvl w:ilvl="3" w:tplc="04090001">
      <w:start w:val="1"/>
      <w:numFmt w:val="bullet"/>
      <w:lvlText w:val=""/>
      <w:lvlJc w:val="left"/>
      <w:pPr>
        <w:tabs>
          <w:tab w:val="num" w:pos="3168"/>
        </w:tabs>
        <w:ind w:left="3168" w:hanging="360"/>
      </w:pPr>
      <w:rPr>
        <w:rFonts w:ascii="Symbol" w:hAnsi="Symbol" w:hint="default"/>
      </w:rPr>
    </w:lvl>
    <w:lvl w:ilvl="4" w:tplc="04090003">
      <w:start w:val="1"/>
      <w:numFmt w:val="bullet"/>
      <w:lvlText w:val="o"/>
      <w:lvlJc w:val="left"/>
      <w:pPr>
        <w:tabs>
          <w:tab w:val="num" w:pos="3888"/>
        </w:tabs>
        <w:ind w:left="3888" w:hanging="360"/>
      </w:pPr>
      <w:rPr>
        <w:rFonts w:ascii="Courier New" w:hAnsi="Courier New" w:cs="Times New Roman" w:hint="default"/>
      </w:rPr>
    </w:lvl>
    <w:lvl w:ilvl="5" w:tplc="04090005">
      <w:start w:val="1"/>
      <w:numFmt w:val="bullet"/>
      <w:lvlText w:val=""/>
      <w:lvlJc w:val="left"/>
      <w:pPr>
        <w:tabs>
          <w:tab w:val="num" w:pos="4608"/>
        </w:tabs>
        <w:ind w:left="4608" w:hanging="360"/>
      </w:pPr>
      <w:rPr>
        <w:rFonts w:ascii="Wingdings" w:hAnsi="Wingdings" w:hint="default"/>
      </w:rPr>
    </w:lvl>
    <w:lvl w:ilvl="6" w:tplc="04090001">
      <w:start w:val="1"/>
      <w:numFmt w:val="bullet"/>
      <w:lvlText w:val=""/>
      <w:lvlJc w:val="left"/>
      <w:pPr>
        <w:tabs>
          <w:tab w:val="num" w:pos="5328"/>
        </w:tabs>
        <w:ind w:left="5328" w:hanging="360"/>
      </w:pPr>
      <w:rPr>
        <w:rFonts w:ascii="Symbol" w:hAnsi="Symbol" w:hint="default"/>
      </w:rPr>
    </w:lvl>
    <w:lvl w:ilvl="7" w:tplc="04090003">
      <w:start w:val="1"/>
      <w:numFmt w:val="bullet"/>
      <w:lvlText w:val="o"/>
      <w:lvlJc w:val="left"/>
      <w:pPr>
        <w:tabs>
          <w:tab w:val="num" w:pos="6048"/>
        </w:tabs>
        <w:ind w:left="6048" w:hanging="360"/>
      </w:pPr>
      <w:rPr>
        <w:rFonts w:ascii="Courier New" w:hAnsi="Courier New" w:cs="Times New Roman" w:hint="default"/>
      </w:rPr>
    </w:lvl>
    <w:lvl w:ilvl="8" w:tplc="04090005">
      <w:start w:val="1"/>
      <w:numFmt w:val="bullet"/>
      <w:lvlText w:val=""/>
      <w:lvlJc w:val="left"/>
      <w:pPr>
        <w:tabs>
          <w:tab w:val="num" w:pos="6768"/>
        </w:tabs>
        <w:ind w:left="6768" w:hanging="360"/>
      </w:pPr>
      <w:rPr>
        <w:rFonts w:ascii="Wingdings" w:hAnsi="Wingdings" w:hint="default"/>
      </w:rPr>
    </w:lvl>
  </w:abstractNum>
  <w:abstractNum w:abstractNumId="20" w15:restartNumberingAfterBreak="0">
    <w:nsid w:val="37020905"/>
    <w:multiLevelType w:val="hybridMultilevel"/>
    <w:tmpl w:val="836AFE18"/>
    <w:lvl w:ilvl="0" w:tplc="6BE0D378">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37C53F83"/>
    <w:multiLevelType w:val="hybridMultilevel"/>
    <w:tmpl w:val="BD8C4AD0"/>
    <w:lvl w:ilvl="0" w:tplc="D4AA2EAC">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6921160"/>
    <w:multiLevelType w:val="hybridMultilevel"/>
    <w:tmpl w:val="05F86FC4"/>
    <w:lvl w:ilvl="0" w:tplc="D4AA2EAC">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13058B1"/>
    <w:multiLevelType w:val="multilevel"/>
    <w:tmpl w:val="3726F788"/>
    <w:styleLink w:val="Style1ACMA"/>
    <w:lvl w:ilvl="0">
      <w:start w:val="1"/>
      <w:numFmt w:val="decimal"/>
      <w:lvlText w:val="%1)"/>
      <w:lvlJc w:val="left"/>
      <w:pPr>
        <w:ind w:left="360" w:hanging="360"/>
      </w:pPr>
      <w:rPr>
        <w:rFonts w:hint="default"/>
        <w:b w:val="0"/>
        <w:bCs/>
        <w:sz w:val="22"/>
        <w:szCs w:val="22"/>
      </w:rPr>
    </w:lvl>
    <w:lvl w:ilvl="1">
      <w:start w:val="1"/>
      <w:numFmt w:val="lowerLetter"/>
      <w:lvlText w:val="%2."/>
      <w:lvlJc w:val="left"/>
      <w:pPr>
        <w:ind w:left="107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55AA21F0"/>
    <w:multiLevelType w:val="hybridMultilevel"/>
    <w:tmpl w:val="9B5CB936"/>
    <w:lvl w:ilvl="0" w:tplc="CCA08FFA">
      <w:start w:val="1"/>
      <w:numFmt w:val="decimal"/>
      <w:pStyle w:val="ACMATableHeader"/>
      <w:lvlText w:val="Table %1:"/>
      <w:lvlJc w:val="left"/>
      <w:pPr>
        <w:tabs>
          <w:tab w:val="num" w:pos="964"/>
        </w:tabs>
        <w:ind w:left="964" w:hanging="96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79A686E"/>
    <w:multiLevelType w:val="hybridMultilevel"/>
    <w:tmpl w:val="33E89324"/>
    <w:lvl w:ilvl="0" w:tplc="D4AA2EAC">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1670402"/>
    <w:multiLevelType w:val="multilevel"/>
    <w:tmpl w:val="3726F788"/>
    <w:numStyleLink w:val="Style1ACMA"/>
  </w:abstractNum>
  <w:abstractNum w:abstractNumId="27" w15:restartNumberingAfterBreak="0">
    <w:nsid w:val="63C30333"/>
    <w:multiLevelType w:val="hybridMultilevel"/>
    <w:tmpl w:val="A5FC2D54"/>
    <w:lvl w:ilvl="0" w:tplc="65EA47EC">
      <w:start w:val="1"/>
      <w:numFmt w:val="decimal"/>
      <w:pStyle w:val="Captionfigure"/>
      <w:lvlText w:val="Figure %1:"/>
      <w:lvlJc w:val="left"/>
      <w:pPr>
        <w:tabs>
          <w:tab w:val="num" w:pos="1021"/>
        </w:tabs>
        <w:ind w:left="1021" w:hanging="1021"/>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4711AF5"/>
    <w:multiLevelType w:val="hybridMultilevel"/>
    <w:tmpl w:val="B97074C6"/>
    <w:lvl w:ilvl="0" w:tplc="D4AA2EAC">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5071478"/>
    <w:multiLevelType w:val="hybridMultilevel"/>
    <w:tmpl w:val="16D2B96E"/>
    <w:lvl w:ilvl="0" w:tplc="3A9CF91A">
      <w:start w:val="1"/>
      <w:numFmt w:val="decimal"/>
      <w:pStyle w:val="ACMAFigureHeader"/>
      <w:lvlText w:val="Figure %1: "/>
      <w:lvlJc w:val="left"/>
      <w:pPr>
        <w:tabs>
          <w:tab w:val="num" w:pos="1021"/>
        </w:tabs>
        <w:ind w:left="1021" w:hanging="1021"/>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D757AE6"/>
    <w:multiLevelType w:val="hybridMultilevel"/>
    <w:tmpl w:val="4BAEE1E2"/>
    <w:lvl w:ilvl="0" w:tplc="0DA4929C">
      <w:start w:val="1"/>
      <w:numFmt w:val="decimal"/>
      <w:pStyle w:val="Caption"/>
      <w:lvlText w:val="Table %1:"/>
      <w:lvlJc w:val="left"/>
      <w:pPr>
        <w:tabs>
          <w:tab w:val="num" w:pos="964"/>
        </w:tabs>
        <w:ind w:left="964" w:hanging="96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0BF3215"/>
    <w:multiLevelType w:val="hybridMultilevel"/>
    <w:tmpl w:val="01C43620"/>
    <w:lvl w:ilvl="0" w:tplc="D4AA2EAC">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3"/>
  </w:num>
  <w:num w:numId="4">
    <w:abstractNumId w:val="0"/>
  </w:num>
  <w:num w:numId="5">
    <w:abstractNumId w:val="18"/>
  </w:num>
  <w:num w:numId="6">
    <w:abstractNumId w:val="29"/>
  </w:num>
  <w:num w:numId="7">
    <w:abstractNumId w:val="24"/>
  </w:num>
  <w:num w:numId="8">
    <w:abstractNumId w:val="27"/>
  </w:num>
  <w:num w:numId="9">
    <w:abstractNumId w:val="30"/>
  </w:num>
  <w:num w:numId="10">
    <w:abstractNumId w:val="6"/>
  </w:num>
  <w:num w:numId="11">
    <w:abstractNumId w:val="5"/>
  </w:num>
  <w:num w:numId="12">
    <w:abstractNumId w:val="4"/>
  </w:num>
  <w:num w:numId="13">
    <w:abstractNumId w:val="3"/>
    <w:lvlOverride w:ilvl="0">
      <w:startOverride w:val="1"/>
    </w:lvlOverride>
  </w:num>
  <w:num w:numId="14">
    <w:abstractNumId w:val="3"/>
    <w:lvlOverride w:ilvl="0">
      <w:startOverride w:val="1"/>
    </w:lvlOverride>
  </w:num>
  <w:num w:numId="15">
    <w:abstractNumId w:val="3"/>
    <w:lvlOverride w:ilvl="0">
      <w:startOverride w:val="1"/>
    </w:lvlOverride>
  </w:num>
  <w:num w:numId="16">
    <w:abstractNumId w:val="19"/>
  </w:num>
  <w:num w:numId="17">
    <w:abstractNumId w:val="3"/>
    <w:lvlOverride w:ilvl="0">
      <w:startOverride w:val="1"/>
    </w:lvlOverride>
  </w:num>
  <w:num w:numId="18">
    <w:abstractNumId w:val="10"/>
  </w:num>
  <w:num w:numId="19">
    <w:abstractNumId w:val="12"/>
  </w:num>
  <w:num w:numId="20">
    <w:abstractNumId w:val="17"/>
  </w:num>
  <w:num w:numId="21">
    <w:abstractNumId w:val="13"/>
  </w:num>
  <w:num w:numId="22">
    <w:abstractNumId w:val="22"/>
  </w:num>
  <w:num w:numId="23">
    <w:abstractNumId w:val="11"/>
  </w:num>
  <w:num w:numId="24">
    <w:abstractNumId w:val="25"/>
  </w:num>
  <w:num w:numId="25">
    <w:abstractNumId w:val="21"/>
  </w:num>
  <w:num w:numId="26">
    <w:abstractNumId w:val="1"/>
  </w:num>
  <w:num w:numId="27">
    <w:abstractNumId w:val="28"/>
  </w:num>
  <w:num w:numId="28">
    <w:abstractNumId w:val="20"/>
  </w:num>
  <w:num w:numId="29">
    <w:abstractNumId w:val="4"/>
  </w:num>
  <w:num w:numId="30">
    <w:abstractNumId w:val="8"/>
  </w:num>
  <w:num w:numId="31">
    <w:abstractNumId w:val="26"/>
  </w:num>
  <w:num w:numId="32">
    <w:abstractNumId w:val="23"/>
  </w:num>
  <w:num w:numId="33">
    <w:abstractNumId w:val="16"/>
  </w:num>
  <w:num w:numId="34">
    <w:abstractNumId w:val="7"/>
  </w:num>
  <w:num w:numId="35">
    <w:abstractNumId w:val="26"/>
    <w:lvlOverride w:ilvl="0">
      <w:lvl w:ilvl="0">
        <w:start w:val="1"/>
        <w:numFmt w:val="decimal"/>
        <w:lvlText w:val="%1)"/>
        <w:lvlJc w:val="left"/>
        <w:pPr>
          <w:ind w:left="360" w:hanging="360"/>
        </w:pPr>
        <w:rPr>
          <w:rFonts w:hint="default"/>
          <w:b w:val="0"/>
          <w:bCs/>
          <w:color w:val="auto"/>
          <w:sz w:val="22"/>
          <w:szCs w:val="22"/>
        </w:rPr>
      </w:lvl>
    </w:lvlOverride>
    <w:lvlOverride w:ilvl="1">
      <w:lvl w:ilvl="1">
        <w:start w:val="1"/>
        <w:numFmt w:val="lowerLetter"/>
        <w:lvlText w:val="%2."/>
        <w:lvlJc w:val="left"/>
        <w:pPr>
          <w:ind w:left="1070" w:hanging="360"/>
        </w:pPr>
        <w:rPr>
          <w:rFonts w:hint="default"/>
          <w:color w:val="auto"/>
        </w:rPr>
      </w:lvl>
    </w:lvlOverride>
  </w:num>
  <w:num w:numId="36">
    <w:abstractNumId w:val="14"/>
  </w:num>
  <w:num w:numId="37">
    <w:abstractNumId w:val="9"/>
  </w:num>
  <w:num w:numId="38">
    <w:abstractNumId w:val="31"/>
  </w:num>
  <w:num w:numId="39">
    <w:abstractNumId w:val="15"/>
  </w:num>
  <w:num w:numId="40">
    <w:abstractNumId w:val="4"/>
  </w:num>
  <w:num w:numId="41">
    <w:abstractNumId w:val="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284"/>
  <w:evenAndOddHeaders/>
  <w:drawingGridHorizontalSpacing w:val="100"/>
  <w:displayHorizontalDrawingGridEvery w:val="2"/>
  <w:characterSpacingControl w:val="doNotCompress"/>
  <w:hdrShapeDefaults>
    <o:shapedefaults v:ext="edit" spidmax="12289">
      <o:colormru v:ext="edit" colors="red,#4d4d4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2427"/>
    <w:rsid w:val="00000221"/>
    <w:rsid w:val="00003AEF"/>
    <w:rsid w:val="000044E2"/>
    <w:rsid w:val="000046B2"/>
    <w:rsid w:val="00004DA9"/>
    <w:rsid w:val="0000500B"/>
    <w:rsid w:val="00010667"/>
    <w:rsid w:val="000129D5"/>
    <w:rsid w:val="00015AE7"/>
    <w:rsid w:val="00016E21"/>
    <w:rsid w:val="0001719C"/>
    <w:rsid w:val="00020F7B"/>
    <w:rsid w:val="0002224E"/>
    <w:rsid w:val="000229C0"/>
    <w:rsid w:val="00023A36"/>
    <w:rsid w:val="00023AF0"/>
    <w:rsid w:val="00023BE0"/>
    <w:rsid w:val="00023EE7"/>
    <w:rsid w:val="000245E5"/>
    <w:rsid w:val="000246C4"/>
    <w:rsid w:val="0002483E"/>
    <w:rsid w:val="00024D32"/>
    <w:rsid w:val="00026F91"/>
    <w:rsid w:val="000270C7"/>
    <w:rsid w:val="00032621"/>
    <w:rsid w:val="00035B75"/>
    <w:rsid w:val="00041259"/>
    <w:rsid w:val="00042705"/>
    <w:rsid w:val="00046289"/>
    <w:rsid w:val="0004764C"/>
    <w:rsid w:val="0005011A"/>
    <w:rsid w:val="0005045A"/>
    <w:rsid w:val="00051C1E"/>
    <w:rsid w:val="000523B2"/>
    <w:rsid w:val="0005366A"/>
    <w:rsid w:val="000539F9"/>
    <w:rsid w:val="00054C27"/>
    <w:rsid w:val="00055EC3"/>
    <w:rsid w:val="000563CE"/>
    <w:rsid w:val="000605E9"/>
    <w:rsid w:val="000659B6"/>
    <w:rsid w:val="000660AB"/>
    <w:rsid w:val="0006686F"/>
    <w:rsid w:val="0006722A"/>
    <w:rsid w:val="00070F06"/>
    <w:rsid w:val="00072050"/>
    <w:rsid w:val="000732CF"/>
    <w:rsid w:val="00073939"/>
    <w:rsid w:val="00075A8B"/>
    <w:rsid w:val="00075B96"/>
    <w:rsid w:val="0008080E"/>
    <w:rsid w:val="0008196A"/>
    <w:rsid w:val="0008281F"/>
    <w:rsid w:val="0008719F"/>
    <w:rsid w:val="00087245"/>
    <w:rsid w:val="000915ED"/>
    <w:rsid w:val="00091747"/>
    <w:rsid w:val="0009180A"/>
    <w:rsid w:val="00091E6C"/>
    <w:rsid w:val="0009209D"/>
    <w:rsid w:val="00092E57"/>
    <w:rsid w:val="00093837"/>
    <w:rsid w:val="000940B5"/>
    <w:rsid w:val="0009463C"/>
    <w:rsid w:val="000969BD"/>
    <w:rsid w:val="000969BF"/>
    <w:rsid w:val="000A0421"/>
    <w:rsid w:val="000A04AD"/>
    <w:rsid w:val="000A0C22"/>
    <w:rsid w:val="000A1400"/>
    <w:rsid w:val="000A3C43"/>
    <w:rsid w:val="000A3FAE"/>
    <w:rsid w:val="000A4A51"/>
    <w:rsid w:val="000A58C3"/>
    <w:rsid w:val="000A5D2B"/>
    <w:rsid w:val="000A780C"/>
    <w:rsid w:val="000B4664"/>
    <w:rsid w:val="000B4CFE"/>
    <w:rsid w:val="000B52A0"/>
    <w:rsid w:val="000B5862"/>
    <w:rsid w:val="000B5BF4"/>
    <w:rsid w:val="000B5DE3"/>
    <w:rsid w:val="000B5DE4"/>
    <w:rsid w:val="000C0A0F"/>
    <w:rsid w:val="000C0A57"/>
    <w:rsid w:val="000C21F7"/>
    <w:rsid w:val="000C230C"/>
    <w:rsid w:val="000C39B5"/>
    <w:rsid w:val="000C6762"/>
    <w:rsid w:val="000C6AB4"/>
    <w:rsid w:val="000D3D24"/>
    <w:rsid w:val="000D71D9"/>
    <w:rsid w:val="000D76E0"/>
    <w:rsid w:val="000D7E8B"/>
    <w:rsid w:val="000E09D3"/>
    <w:rsid w:val="000E2C5F"/>
    <w:rsid w:val="000E3BDA"/>
    <w:rsid w:val="000E4449"/>
    <w:rsid w:val="000E47B5"/>
    <w:rsid w:val="000E6097"/>
    <w:rsid w:val="000E6B1A"/>
    <w:rsid w:val="000F0ABC"/>
    <w:rsid w:val="000F389B"/>
    <w:rsid w:val="000F396A"/>
    <w:rsid w:val="000F45F0"/>
    <w:rsid w:val="000F560F"/>
    <w:rsid w:val="00100830"/>
    <w:rsid w:val="0010225E"/>
    <w:rsid w:val="00102E19"/>
    <w:rsid w:val="00103829"/>
    <w:rsid w:val="00103E75"/>
    <w:rsid w:val="00105A77"/>
    <w:rsid w:val="00107FF4"/>
    <w:rsid w:val="001112CC"/>
    <w:rsid w:val="0011140A"/>
    <w:rsid w:val="00111FCE"/>
    <w:rsid w:val="00112C75"/>
    <w:rsid w:val="00113BA0"/>
    <w:rsid w:val="00113F2E"/>
    <w:rsid w:val="00114910"/>
    <w:rsid w:val="001152E8"/>
    <w:rsid w:val="00115D23"/>
    <w:rsid w:val="00116783"/>
    <w:rsid w:val="00117F24"/>
    <w:rsid w:val="001229A5"/>
    <w:rsid w:val="00122B3E"/>
    <w:rsid w:val="00123689"/>
    <w:rsid w:val="001246FD"/>
    <w:rsid w:val="0012489B"/>
    <w:rsid w:val="00125208"/>
    <w:rsid w:val="00126D49"/>
    <w:rsid w:val="00127FB2"/>
    <w:rsid w:val="00130017"/>
    <w:rsid w:val="00130F91"/>
    <w:rsid w:val="00132599"/>
    <w:rsid w:val="001349ED"/>
    <w:rsid w:val="00136962"/>
    <w:rsid w:val="00137424"/>
    <w:rsid w:val="00137AF0"/>
    <w:rsid w:val="00140318"/>
    <w:rsid w:val="00141AD9"/>
    <w:rsid w:val="00145E22"/>
    <w:rsid w:val="00146C43"/>
    <w:rsid w:val="00146CE6"/>
    <w:rsid w:val="00151837"/>
    <w:rsid w:val="00151CD8"/>
    <w:rsid w:val="00152903"/>
    <w:rsid w:val="00153FD5"/>
    <w:rsid w:val="00155DB1"/>
    <w:rsid w:val="0015614F"/>
    <w:rsid w:val="001561EF"/>
    <w:rsid w:val="001567F0"/>
    <w:rsid w:val="001577C2"/>
    <w:rsid w:val="001633C4"/>
    <w:rsid w:val="00164348"/>
    <w:rsid w:val="00164C8C"/>
    <w:rsid w:val="0016611E"/>
    <w:rsid w:val="00166C7E"/>
    <w:rsid w:val="001704D5"/>
    <w:rsid w:val="00171591"/>
    <w:rsid w:val="00171834"/>
    <w:rsid w:val="0017257F"/>
    <w:rsid w:val="0017283B"/>
    <w:rsid w:val="00172BAC"/>
    <w:rsid w:val="00173981"/>
    <w:rsid w:val="001747AA"/>
    <w:rsid w:val="00174E54"/>
    <w:rsid w:val="00176CC8"/>
    <w:rsid w:val="00176DD1"/>
    <w:rsid w:val="0017719D"/>
    <w:rsid w:val="00182851"/>
    <w:rsid w:val="00183FD7"/>
    <w:rsid w:val="00185CAB"/>
    <w:rsid w:val="00187301"/>
    <w:rsid w:val="001875B7"/>
    <w:rsid w:val="00187CB3"/>
    <w:rsid w:val="00190176"/>
    <w:rsid w:val="0019050A"/>
    <w:rsid w:val="00190F08"/>
    <w:rsid w:val="001910BD"/>
    <w:rsid w:val="001910D4"/>
    <w:rsid w:val="00194425"/>
    <w:rsid w:val="0019545A"/>
    <w:rsid w:val="0019670A"/>
    <w:rsid w:val="0019686A"/>
    <w:rsid w:val="001974FE"/>
    <w:rsid w:val="001976E3"/>
    <w:rsid w:val="001A2EC5"/>
    <w:rsid w:val="001A44EC"/>
    <w:rsid w:val="001A5C61"/>
    <w:rsid w:val="001B0231"/>
    <w:rsid w:val="001B0D8C"/>
    <w:rsid w:val="001B3005"/>
    <w:rsid w:val="001B58AA"/>
    <w:rsid w:val="001B67BF"/>
    <w:rsid w:val="001B7E48"/>
    <w:rsid w:val="001C0059"/>
    <w:rsid w:val="001C17CE"/>
    <w:rsid w:val="001C23D8"/>
    <w:rsid w:val="001C360C"/>
    <w:rsid w:val="001C36CA"/>
    <w:rsid w:val="001C44D1"/>
    <w:rsid w:val="001C4CA0"/>
    <w:rsid w:val="001C530D"/>
    <w:rsid w:val="001C5546"/>
    <w:rsid w:val="001C6AEE"/>
    <w:rsid w:val="001C7630"/>
    <w:rsid w:val="001C7F05"/>
    <w:rsid w:val="001D3EF6"/>
    <w:rsid w:val="001D5748"/>
    <w:rsid w:val="001D59BB"/>
    <w:rsid w:val="001D6D15"/>
    <w:rsid w:val="001E021F"/>
    <w:rsid w:val="001E148B"/>
    <w:rsid w:val="001E293E"/>
    <w:rsid w:val="001E623D"/>
    <w:rsid w:val="001F2956"/>
    <w:rsid w:val="001F3EA3"/>
    <w:rsid w:val="001F4622"/>
    <w:rsid w:val="001F50F7"/>
    <w:rsid w:val="001F7558"/>
    <w:rsid w:val="0020000B"/>
    <w:rsid w:val="00200A5E"/>
    <w:rsid w:val="00200B3A"/>
    <w:rsid w:val="00201B2C"/>
    <w:rsid w:val="00201EE2"/>
    <w:rsid w:val="00203ECC"/>
    <w:rsid w:val="0020479D"/>
    <w:rsid w:val="00205B57"/>
    <w:rsid w:val="0020677F"/>
    <w:rsid w:val="0020779B"/>
    <w:rsid w:val="00207B18"/>
    <w:rsid w:val="00210FC5"/>
    <w:rsid w:val="0021426C"/>
    <w:rsid w:val="002157E0"/>
    <w:rsid w:val="00216A57"/>
    <w:rsid w:val="00217448"/>
    <w:rsid w:val="002174D6"/>
    <w:rsid w:val="00221BCF"/>
    <w:rsid w:val="00222821"/>
    <w:rsid w:val="00222E54"/>
    <w:rsid w:val="0022334F"/>
    <w:rsid w:val="00226379"/>
    <w:rsid w:val="00226819"/>
    <w:rsid w:val="00227DE9"/>
    <w:rsid w:val="00230155"/>
    <w:rsid w:val="002304BF"/>
    <w:rsid w:val="00233101"/>
    <w:rsid w:val="002331E7"/>
    <w:rsid w:val="00233817"/>
    <w:rsid w:val="002349C9"/>
    <w:rsid w:val="002367FF"/>
    <w:rsid w:val="00237741"/>
    <w:rsid w:val="00240CE9"/>
    <w:rsid w:val="00242ACA"/>
    <w:rsid w:val="002434BA"/>
    <w:rsid w:val="0024406A"/>
    <w:rsid w:val="002450DE"/>
    <w:rsid w:val="00245DDB"/>
    <w:rsid w:val="00246089"/>
    <w:rsid w:val="00246093"/>
    <w:rsid w:val="00246702"/>
    <w:rsid w:val="00247C59"/>
    <w:rsid w:val="00247F2E"/>
    <w:rsid w:val="00250ADC"/>
    <w:rsid w:val="00250B07"/>
    <w:rsid w:val="00256C6B"/>
    <w:rsid w:val="00257553"/>
    <w:rsid w:val="00260E84"/>
    <w:rsid w:val="00260FB2"/>
    <w:rsid w:val="00261752"/>
    <w:rsid w:val="00262128"/>
    <w:rsid w:val="0026626B"/>
    <w:rsid w:val="00266B4A"/>
    <w:rsid w:val="00267D0F"/>
    <w:rsid w:val="0027165D"/>
    <w:rsid w:val="002716F2"/>
    <w:rsid w:val="00273CEB"/>
    <w:rsid w:val="00274E38"/>
    <w:rsid w:val="00275E71"/>
    <w:rsid w:val="0027737A"/>
    <w:rsid w:val="00281AD7"/>
    <w:rsid w:val="00281C89"/>
    <w:rsid w:val="0028282F"/>
    <w:rsid w:val="00285EDA"/>
    <w:rsid w:val="00290B05"/>
    <w:rsid w:val="00292D15"/>
    <w:rsid w:val="00293722"/>
    <w:rsid w:val="0029435D"/>
    <w:rsid w:val="0029593B"/>
    <w:rsid w:val="00296800"/>
    <w:rsid w:val="00297FC5"/>
    <w:rsid w:val="002A0417"/>
    <w:rsid w:val="002A16D8"/>
    <w:rsid w:val="002A1BC8"/>
    <w:rsid w:val="002A25DE"/>
    <w:rsid w:val="002A26E2"/>
    <w:rsid w:val="002A2750"/>
    <w:rsid w:val="002A3EF2"/>
    <w:rsid w:val="002A64A8"/>
    <w:rsid w:val="002A6D25"/>
    <w:rsid w:val="002A7D68"/>
    <w:rsid w:val="002B0DED"/>
    <w:rsid w:val="002B1620"/>
    <w:rsid w:val="002B19A2"/>
    <w:rsid w:val="002B2658"/>
    <w:rsid w:val="002B381A"/>
    <w:rsid w:val="002B4E56"/>
    <w:rsid w:val="002B4FCC"/>
    <w:rsid w:val="002B55B0"/>
    <w:rsid w:val="002B69CE"/>
    <w:rsid w:val="002B7408"/>
    <w:rsid w:val="002B7CFD"/>
    <w:rsid w:val="002C0530"/>
    <w:rsid w:val="002C05B7"/>
    <w:rsid w:val="002C0F7E"/>
    <w:rsid w:val="002C18AB"/>
    <w:rsid w:val="002C210F"/>
    <w:rsid w:val="002C2DB8"/>
    <w:rsid w:val="002C300A"/>
    <w:rsid w:val="002C3869"/>
    <w:rsid w:val="002C6DF4"/>
    <w:rsid w:val="002D1A62"/>
    <w:rsid w:val="002D3600"/>
    <w:rsid w:val="002D4F61"/>
    <w:rsid w:val="002D5B7E"/>
    <w:rsid w:val="002D6840"/>
    <w:rsid w:val="002D7115"/>
    <w:rsid w:val="002E2186"/>
    <w:rsid w:val="002E2B6F"/>
    <w:rsid w:val="002E49DA"/>
    <w:rsid w:val="002E4DDC"/>
    <w:rsid w:val="002F2F03"/>
    <w:rsid w:val="002F3248"/>
    <w:rsid w:val="002F54CE"/>
    <w:rsid w:val="00300282"/>
    <w:rsid w:val="00302324"/>
    <w:rsid w:val="00302480"/>
    <w:rsid w:val="00302686"/>
    <w:rsid w:val="00302758"/>
    <w:rsid w:val="003037BC"/>
    <w:rsid w:val="00303A13"/>
    <w:rsid w:val="003040D0"/>
    <w:rsid w:val="003051E3"/>
    <w:rsid w:val="003100A5"/>
    <w:rsid w:val="0031081A"/>
    <w:rsid w:val="00312D53"/>
    <w:rsid w:val="003165E6"/>
    <w:rsid w:val="00316DFD"/>
    <w:rsid w:val="00320536"/>
    <w:rsid w:val="00320618"/>
    <w:rsid w:val="003215B5"/>
    <w:rsid w:val="00321974"/>
    <w:rsid w:val="00321D2C"/>
    <w:rsid w:val="003221CF"/>
    <w:rsid w:val="0032283C"/>
    <w:rsid w:val="00322CD3"/>
    <w:rsid w:val="003233ED"/>
    <w:rsid w:val="0032355A"/>
    <w:rsid w:val="00323B32"/>
    <w:rsid w:val="00324B72"/>
    <w:rsid w:val="00324D9F"/>
    <w:rsid w:val="003253EE"/>
    <w:rsid w:val="00325F97"/>
    <w:rsid w:val="00327948"/>
    <w:rsid w:val="0033000F"/>
    <w:rsid w:val="0033036D"/>
    <w:rsid w:val="0033143C"/>
    <w:rsid w:val="00332011"/>
    <w:rsid w:val="003321F7"/>
    <w:rsid w:val="00332518"/>
    <w:rsid w:val="00332925"/>
    <w:rsid w:val="00332B22"/>
    <w:rsid w:val="00332C7D"/>
    <w:rsid w:val="00332E3F"/>
    <w:rsid w:val="003332ED"/>
    <w:rsid w:val="00333865"/>
    <w:rsid w:val="003368DC"/>
    <w:rsid w:val="00337250"/>
    <w:rsid w:val="00342199"/>
    <w:rsid w:val="003443C4"/>
    <w:rsid w:val="0034480E"/>
    <w:rsid w:val="0034490B"/>
    <w:rsid w:val="00345927"/>
    <w:rsid w:val="003461E1"/>
    <w:rsid w:val="00350584"/>
    <w:rsid w:val="00351857"/>
    <w:rsid w:val="00352D20"/>
    <w:rsid w:val="003534DD"/>
    <w:rsid w:val="003545E8"/>
    <w:rsid w:val="00354C88"/>
    <w:rsid w:val="003550C8"/>
    <w:rsid w:val="003610E1"/>
    <w:rsid w:val="00364350"/>
    <w:rsid w:val="00365E2E"/>
    <w:rsid w:val="003671BE"/>
    <w:rsid w:val="00367C7D"/>
    <w:rsid w:val="00372427"/>
    <w:rsid w:val="00372485"/>
    <w:rsid w:val="0037303D"/>
    <w:rsid w:val="00373200"/>
    <w:rsid w:val="003743AB"/>
    <w:rsid w:val="00375B48"/>
    <w:rsid w:val="00375EF5"/>
    <w:rsid w:val="003767A5"/>
    <w:rsid w:val="0037706D"/>
    <w:rsid w:val="00381680"/>
    <w:rsid w:val="00381D15"/>
    <w:rsid w:val="00385254"/>
    <w:rsid w:val="003863C7"/>
    <w:rsid w:val="003863DA"/>
    <w:rsid w:val="00386D36"/>
    <w:rsid w:val="00390A72"/>
    <w:rsid w:val="00390D91"/>
    <w:rsid w:val="00391B30"/>
    <w:rsid w:val="00391C97"/>
    <w:rsid w:val="00392253"/>
    <w:rsid w:val="0039249C"/>
    <w:rsid w:val="00392C87"/>
    <w:rsid w:val="003933E8"/>
    <w:rsid w:val="00394031"/>
    <w:rsid w:val="00396DC2"/>
    <w:rsid w:val="003972A2"/>
    <w:rsid w:val="003A04DB"/>
    <w:rsid w:val="003A08A7"/>
    <w:rsid w:val="003A31AE"/>
    <w:rsid w:val="003A5F5B"/>
    <w:rsid w:val="003A789A"/>
    <w:rsid w:val="003B12D2"/>
    <w:rsid w:val="003B12EC"/>
    <w:rsid w:val="003B1969"/>
    <w:rsid w:val="003B1B8C"/>
    <w:rsid w:val="003B22A5"/>
    <w:rsid w:val="003B3018"/>
    <w:rsid w:val="003B342F"/>
    <w:rsid w:val="003B3477"/>
    <w:rsid w:val="003B3614"/>
    <w:rsid w:val="003B5180"/>
    <w:rsid w:val="003B5E08"/>
    <w:rsid w:val="003C03B8"/>
    <w:rsid w:val="003C0E86"/>
    <w:rsid w:val="003C169C"/>
    <w:rsid w:val="003C33B7"/>
    <w:rsid w:val="003C3828"/>
    <w:rsid w:val="003C4357"/>
    <w:rsid w:val="003C4A77"/>
    <w:rsid w:val="003C6229"/>
    <w:rsid w:val="003C7626"/>
    <w:rsid w:val="003C77E0"/>
    <w:rsid w:val="003D17D7"/>
    <w:rsid w:val="003D2678"/>
    <w:rsid w:val="003D4F7B"/>
    <w:rsid w:val="003D71A3"/>
    <w:rsid w:val="003E05F0"/>
    <w:rsid w:val="003E0A46"/>
    <w:rsid w:val="003E2B8A"/>
    <w:rsid w:val="003F04DD"/>
    <w:rsid w:val="003F10EE"/>
    <w:rsid w:val="003F16F6"/>
    <w:rsid w:val="003F3DA1"/>
    <w:rsid w:val="003F4DC7"/>
    <w:rsid w:val="003F5235"/>
    <w:rsid w:val="00401EDD"/>
    <w:rsid w:val="00402202"/>
    <w:rsid w:val="004027E4"/>
    <w:rsid w:val="00402F31"/>
    <w:rsid w:val="0040469D"/>
    <w:rsid w:val="004050B0"/>
    <w:rsid w:val="00405B88"/>
    <w:rsid w:val="00406D93"/>
    <w:rsid w:val="0041071D"/>
    <w:rsid w:val="00411AEB"/>
    <w:rsid w:val="00412E5B"/>
    <w:rsid w:val="00413DFF"/>
    <w:rsid w:val="00413E8F"/>
    <w:rsid w:val="00414AFC"/>
    <w:rsid w:val="004151A7"/>
    <w:rsid w:val="00415310"/>
    <w:rsid w:val="00416108"/>
    <w:rsid w:val="004212D7"/>
    <w:rsid w:val="0042136A"/>
    <w:rsid w:val="00421709"/>
    <w:rsid w:val="0042182D"/>
    <w:rsid w:val="0042218D"/>
    <w:rsid w:val="004224D2"/>
    <w:rsid w:val="00423763"/>
    <w:rsid w:val="00424CDB"/>
    <w:rsid w:val="004253BB"/>
    <w:rsid w:val="00425F16"/>
    <w:rsid w:val="0042762F"/>
    <w:rsid w:val="00427DC7"/>
    <w:rsid w:val="00430E73"/>
    <w:rsid w:val="00431613"/>
    <w:rsid w:val="00431792"/>
    <w:rsid w:val="0043297A"/>
    <w:rsid w:val="00432EB2"/>
    <w:rsid w:val="0043714F"/>
    <w:rsid w:val="00441AE0"/>
    <w:rsid w:val="00442BD5"/>
    <w:rsid w:val="00443383"/>
    <w:rsid w:val="004438B5"/>
    <w:rsid w:val="00444050"/>
    <w:rsid w:val="00447037"/>
    <w:rsid w:val="00450795"/>
    <w:rsid w:val="0045124D"/>
    <w:rsid w:val="00453D4A"/>
    <w:rsid w:val="00454596"/>
    <w:rsid w:val="00455038"/>
    <w:rsid w:val="0045605D"/>
    <w:rsid w:val="00461063"/>
    <w:rsid w:val="0046135B"/>
    <w:rsid w:val="00461D47"/>
    <w:rsid w:val="004654D7"/>
    <w:rsid w:val="00465DC1"/>
    <w:rsid w:val="00466D8A"/>
    <w:rsid w:val="00470565"/>
    <w:rsid w:val="004718CC"/>
    <w:rsid w:val="00474CD6"/>
    <w:rsid w:val="00477A38"/>
    <w:rsid w:val="00480F00"/>
    <w:rsid w:val="004813DB"/>
    <w:rsid w:val="00481695"/>
    <w:rsid w:val="00484103"/>
    <w:rsid w:val="0048470E"/>
    <w:rsid w:val="00485328"/>
    <w:rsid w:val="004854A5"/>
    <w:rsid w:val="00487736"/>
    <w:rsid w:val="00487766"/>
    <w:rsid w:val="00492C9E"/>
    <w:rsid w:val="00495A96"/>
    <w:rsid w:val="00495BB3"/>
    <w:rsid w:val="00496858"/>
    <w:rsid w:val="00497D79"/>
    <w:rsid w:val="004A1211"/>
    <w:rsid w:val="004A4532"/>
    <w:rsid w:val="004A49D7"/>
    <w:rsid w:val="004A51A3"/>
    <w:rsid w:val="004A56BB"/>
    <w:rsid w:val="004A70D6"/>
    <w:rsid w:val="004A7274"/>
    <w:rsid w:val="004B0ABF"/>
    <w:rsid w:val="004B1751"/>
    <w:rsid w:val="004B3D26"/>
    <w:rsid w:val="004B4A59"/>
    <w:rsid w:val="004B5308"/>
    <w:rsid w:val="004C0253"/>
    <w:rsid w:val="004C650F"/>
    <w:rsid w:val="004C6828"/>
    <w:rsid w:val="004D3423"/>
    <w:rsid w:val="004D4747"/>
    <w:rsid w:val="004D4FC6"/>
    <w:rsid w:val="004D56FF"/>
    <w:rsid w:val="004E0AE1"/>
    <w:rsid w:val="004E2C3D"/>
    <w:rsid w:val="004E39D3"/>
    <w:rsid w:val="004E508A"/>
    <w:rsid w:val="004E616D"/>
    <w:rsid w:val="004E6CB5"/>
    <w:rsid w:val="004E7DCF"/>
    <w:rsid w:val="004E7F55"/>
    <w:rsid w:val="004F0545"/>
    <w:rsid w:val="004F1BDE"/>
    <w:rsid w:val="004F2CEE"/>
    <w:rsid w:val="004F3667"/>
    <w:rsid w:val="004F556E"/>
    <w:rsid w:val="004F591C"/>
    <w:rsid w:val="004F595C"/>
    <w:rsid w:val="004F79E8"/>
    <w:rsid w:val="004F7F44"/>
    <w:rsid w:val="0050015B"/>
    <w:rsid w:val="00502567"/>
    <w:rsid w:val="005037B4"/>
    <w:rsid w:val="005079BF"/>
    <w:rsid w:val="00511D59"/>
    <w:rsid w:val="0051269A"/>
    <w:rsid w:val="00513918"/>
    <w:rsid w:val="00516D47"/>
    <w:rsid w:val="005219E7"/>
    <w:rsid w:val="00521B3F"/>
    <w:rsid w:val="00523282"/>
    <w:rsid w:val="00523BF0"/>
    <w:rsid w:val="00523E9D"/>
    <w:rsid w:val="00525354"/>
    <w:rsid w:val="00525FCF"/>
    <w:rsid w:val="0053019E"/>
    <w:rsid w:val="00531B9A"/>
    <w:rsid w:val="00531D15"/>
    <w:rsid w:val="00533EE8"/>
    <w:rsid w:val="00537604"/>
    <w:rsid w:val="0053773D"/>
    <w:rsid w:val="005408B2"/>
    <w:rsid w:val="00542377"/>
    <w:rsid w:val="00543011"/>
    <w:rsid w:val="005464FD"/>
    <w:rsid w:val="0054756E"/>
    <w:rsid w:val="005476EB"/>
    <w:rsid w:val="00547C60"/>
    <w:rsid w:val="00551367"/>
    <w:rsid w:val="00551782"/>
    <w:rsid w:val="00552E34"/>
    <w:rsid w:val="00561084"/>
    <w:rsid w:val="00562D57"/>
    <w:rsid w:val="00563EF1"/>
    <w:rsid w:val="00564B33"/>
    <w:rsid w:val="00565C47"/>
    <w:rsid w:val="005662FA"/>
    <w:rsid w:val="00566AB4"/>
    <w:rsid w:val="005672B9"/>
    <w:rsid w:val="00570125"/>
    <w:rsid w:val="00571A44"/>
    <w:rsid w:val="005725EE"/>
    <w:rsid w:val="00573812"/>
    <w:rsid w:val="00575106"/>
    <w:rsid w:val="00575AC5"/>
    <w:rsid w:val="0057605D"/>
    <w:rsid w:val="005764A1"/>
    <w:rsid w:val="00581347"/>
    <w:rsid w:val="00581AC9"/>
    <w:rsid w:val="00581FB1"/>
    <w:rsid w:val="00583EE0"/>
    <w:rsid w:val="005849F8"/>
    <w:rsid w:val="005855CA"/>
    <w:rsid w:val="005856C4"/>
    <w:rsid w:val="00586AAE"/>
    <w:rsid w:val="005875B3"/>
    <w:rsid w:val="005909CD"/>
    <w:rsid w:val="0059310A"/>
    <w:rsid w:val="005938DF"/>
    <w:rsid w:val="00594760"/>
    <w:rsid w:val="00594E9C"/>
    <w:rsid w:val="005974CA"/>
    <w:rsid w:val="005974D7"/>
    <w:rsid w:val="005A099B"/>
    <w:rsid w:val="005A2D9C"/>
    <w:rsid w:val="005A4887"/>
    <w:rsid w:val="005A55FE"/>
    <w:rsid w:val="005A6059"/>
    <w:rsid w:val="005A6A11"/>
    <w:rsid w:val="005B117E"/>
    <w:rsid w:val="005B2F0D"/>
    <w:rsid w:val="005B332E"/>
    <w:rsid w:val="005B4AED"/>
    <w:rsid w:val="005B58C2"/>
    <w:rsid w:val="005B7416"/>
    <w:rsid w:val="005B76FD"/>
    <w:rsid w:val="005C1EE4"/>
    <w:rsid w:val="005C34EF"/>
    <w:rsid w:val="005D0420"/>
    <w:rsid w:val="005D0F33"/>
    <w:rsid w:val="005D2502"/>
    <w:rsid w:val="005D3C7C"/>
    <w:rsid w:val="005D3E40"/>
    <w:rsid w:val="005D40BB"/>
    <w:rsid w:val="005D47F3"/>
    <w:rsid w:val="005D49BF"/>
    <w:rsid w:val="005D4AA5"/>
    <w:rsid w:val="005D4FA1"/>
    <w:rsid w:val="005D6F4E"/>
    <w:rsid w:val="005D7C73"/>
    <w:rsid w:val="005E041D"/>
    <w:rsid w:val="005E09A9"/>
    <w:rsid w:val="005E250B"/>
    <w:rsid w:val="005E2737"/>
    <w:rsid w:val="005E38EF"/>
    <w:rsid w:val="005E3ACD"/>
    <w:rsid w:val="005E451A"/>
    <w:rsid w:val="005E4D92"/>
    <w:rsid w:val="005E6202"/>
    <w:rsid w:val="005E7226"/>
    <w:rsid w:val="005E7A57"/>
    <w:rsid w:val="005F17F1"/>
    <w:rsid w:val="005F20AC"/>
    <w:rsid w:val="005F24B0"/>
    <w:rsid w:val="005F2D41"/>
    <w:rsid w:val="005F3CF6"/>
    <w:rsid w:val="005F3D0F"/>
    <w:rsid w:val="005F461E"/>
    <w:rsid w:val="005F53A8"/>
    <w:rsid w:val="005F6EEF"/>
    <w:rsid w:val="00600305"/>
    <w:rsid w:val="00600620"/>
    <w:rsid w:val="00603AA5"/>
    <w:rsid w:val="00604315"/>
    <w:rsid w:val="00604E26"/>
    <w:rsid w:val="0060523F"/>
    <w:rsid w:val="006052CF"/>
    <w:rsid w:val="00605A27"/>
    <w:rsid w:val="00606B45"/>
    <w:rsid w:val="00607B8D"/>
    <w:rsid w:val="00610311"/>
    <w:rsid w:val="0061031F"/>
    <w:rsid w:val="00611F5C"/>
    <w:rsid w:val="00613A80"/>
    <w:rsid w:val="0061522A"/>
    <w:rsid w:val="00615E31"/>
    <w:rsid w:val="00616522"/>
    <w:rsid w:val="00616E09"/>
    <w:rsid w:val="00617097"/>
    <w:rsid w:val="00620132"/>
    <w:rsid w:val="00620F12"/>
    <w:rsid w:val="0062115D"/>
    <w:rsid w:val="00621303"/>
    <w:rsid w:val="00622A3B"/>
    <w:rsid w:val="00622E92"/>
    <w:rsid w:val="00622EEA"/>
    <w:rsid w:val="0062396C"/>
    <w:rsid w:val="00623FF9"/>
    <w:rsid w:val="0062437D"/>
    <w:rsid w:val="00627D4E"/>
    <w:rsid w:val="00630237"/>
    <w:rsid w:val="00630765"/>
    <w:rsid w:val="00630BFA"/>
    <w:rsid w:val="00631704"/>
    <w:rsid w:val="00631733"/>
    <w:rsid w:val="00632B89"/>
    <w:rsid w:val="00632BCF"/>
    <w:rsid w:val="0063346D"/>
    <w:rsid w:val="00634478"/>
    <w:rsid w:val="00635233"/>
    <w:rsid w:val="006354F5"/>
    <w:rsid w:val="00637952"/>
    <w:rsid w:val="006422C5"/>
    <w:rsid w:val="00644373"/>
    <w:rsid w:val="00645421"/>
    <w:rsid w:val="00645915"/>
    <w:rsid w:val="00646357"/>
    <w:rsid w:val="00646CC4"/>
    <w:rsid w:val="006519C3"/>
    <w:rsid w:val="00652B30"/>
    <w:rsid w:val="00652CD9"/>
    <w:rsid w:val="00652D4C"/>
    <w:rsid w:val="00653243"/>
    <w:rsid w:val="00654D4D"/>
    <w:rsid w:val="00656345"/>
    <w:rsid w:val="00656DC6"/>
    <w:rsid w:val="00657275"/>
    <w:rsid w:val="006605BC"/>
    <w:rsid w:val="00660EC6"/>
    <w:rsid w:val="00660F76"/>
    <w:rsid w:val="00662EFA"/>
    <w:rsid w:val="00664110"/>
    <w:rsid w:val="00664A05"/>
    <w:rsid w:val="00664D17"/>
    <w:rsid w:val="00666520"/>
    <w:rsid w:val="00667C5B"/>
    <w:rsid w:val="00670119"/>
    <w:rsid w:val="00672750"/>
    <w:rsid w:val="00672ADF"/>
    <w:rsid w:val="00673873"/>
    <w:rsid w:val="00673C86"/>
    <w:rsid w:val="00676557"/>
    <w:rsid w:val="00677C11"/>
    <w:rsid w:val="0068090E"/>
    <w:rsid w:val="00681E83"/>
    <w:rsid w:val="00682B98"/>
    <w:rsid w:val="00684B90"/>
    <w:rsid w:val="00687216"/>
    <w:rsid w:val="00690776"/>
    <w:rsid w:val="00691EB8"/>
    <w:rsid w:val="00692CDE"/>
    <w:rsid w:val="00693073"/>
    <w:rsid w:val="00694084"/>
    <w:rsid w:val="006955D7"/>
    <w:rsid w:val="006977FF"/>
    <w:rsid w:val="006A01FA"/>
    <w:rsid w:val="006A0DA9"/>
    <w:rsid w:val="006A0E9E"/>
    <w:rsid w:val="006A25C7"/>
    <w:rsid w:val="006A2F94"/>
    <w:rsid w:val="006A3ECF"/>
    <w:rsid w:val="006A439B"/>
    <w:rsid w:val="006A4AAD"/>
    <w:rsid w:val="006A4CCA"/>
    <w:rsid w:val="006A575F"/>
    <w:rsid w:val="006A5C83"/>
    <w:rsid w:val="006A60C5"/>
    <w:rsid w:val="006A6DA2"/>
    <w:rsid w:val="006A7AB2"/>
    <w:rsid w:val="006B0765"/>
    <w:rsid w:val="006B0DE8"/>
    <w:rsid w:val="006B4960"/>
    <w:rsid w:val="006B52DE"/>
    <w:rsid w:val="006B5717"/>
    <w:rsid w:val="006B582F"/>
    <w:rsid w:val="006B5EB2"/>
    <w:rsid w:val="006B5FFE"/>
    <w:rsid w:val="006B7B34"/>
    <w:rsid w:val="006C0CEB"/>
    <w:rsid w:val="006C1631"/>
    <w:rsid w:val="006C3B1E"/>
    <w:rsid w:val="006C47FD"/>
    <w:rsid w:val="006C5C19"/>
    <w:rsid w:val="006C5FD4"/>
    <w:rsid w:val="006C6E2A"/>
    <w:rsid w:val="006C6F84"/>
    <w:rsid w:val="006C70A0"/>
    <w:rsid w:val="006C7A02"/>
    <w:rsid w:val="006D2469"/>
    <w:rsid w:val="006D258C"/>
    <w:rsid w:val="006D27CB"/>
    <w:rsid w:val="006D2F08"/>
    <w:rsid w:val="006D2F3D"/>
    <w:rsid w:val="006D3957"/>
    <w:rsid w:val="006D3A3A"/>
    <w:rsid w:val="006D493F"/>
    <w:rsid w:val="006D53D0"/>
    <w:rsid w:val="006D54B5"/>
    <w:rsid w:val="006D576C"/>
    <w:rsid w:val="006D5865"/>
    <w:rsid w:val="006D5A8C"/>
    <w:rsid w:val="006D6772"/>
    <w:rsid w:val="006D7160"/>
    <w:rsid w:val="006D799D"/>
    <w:rsid w:val="006D7FE3"/>
    <w:rsid w:val="006E0CB2"/>
    <w:rsid w:val="006E1917"/>
    <w:rsid w:val="006E338A"/>
    <w:rsid w:val="006E4B1B"/>
    <w:rsid w:val="006E5445"/>
    <w:rsid w:val="006E6D4A"/>
    <w:rsid w:val="006E767C"/>
    <w:rsid w:val="006E7D93"/>
    <w:rsid w:val="006F6677"/>
    <w:rsid w:val="006F77D1"/>
    <w:rsid w:val="0070133D"/>
    <w:rsid w:val="00702886"/>
    <w:rsid w:val="007029A3"/>
    <w:rsid w:val="00703FB1"/>
    <w:rsid w:val="00706E4E"/>
    <w:rsid w:val="0070749A"/>
    <w:rsid w:val="0070791C"/>
    <w:rsid w:val="0071383C"/>
    <w:rsid w:val="007141A7"/>
    <w:rsid w:val="00715722"/>
    <w:rsid w:val="00715AE0"/>
    <w:rsid w:val="00715BAF"/>
    <w:rsid w:val="0072000F"/>
    <w:rsid w:val="00720D01"/>
    <w:rsid w:val="00721032"/>
    <w:rsid w:val="00721B55"/>
    <w:rsid w:val="00721C21"/>
    <w:rsid w:val="00724540"/>
    <w:rsid w:val="00725B8B"/>
    <w:rsid w:val="00725E15"/>
    <w:rsid w:val="00726CE4"/>
    <w:rsid w:val="0073012D"/>
    <w:rsid w:val="00732F27"/>
    <w:rsid w:val="007332ED"/>
    <w:rsid w:val="00733403"/>
    <w:rsid w:val="00734143"/>
    <w:rsid w:val="00735174"/>
    <w:rsid w:val="00737E47"/>
    <w:rsid w:val="00740135"/>
    <w:rsid w:val="00740153"/>
    <w:rsid w:val="00740EAC"/>
    <w:rsid w:val="00742441"/>
    <w:rsid w:val="00744956"/>
    <w:rsid w:val="00745A5C"/>
    <w:rsid w:val="0074605F"/>
    <w:rsid w:val="007470B2"/>
    <w:rsid w:val="00747E94"/>
    <w:rsid w:val="0075237D"/>
    <w:rsid w:val="00754C83"/>
    <w:rsid w:val="00755CA1"/>
    <w:rsid w:val="00761E5C"/>
    <w:rsid w:val="00761EB3"/>
    <w:rsid w:val="00765A33"/>
    <w:rsid w:val="00765DF8"/>
    <w:rsid w:val="00766749"/>
    <w:rsid w:val="00767C1B"/>
    <w:rsid w:val="00770B3F"/>
    <w:rsid w:val="007714A9"/>
    <w:rsid w:val="00772988"/>
    <w:rsid w:val="00772BCA"/>
    <w:rsid w:val="00773710"/>
    <w:rsid w:val="00773CEF"/>
    <w:rsid w:val="00774F88"/>
    <w:rsid w:val="00774FDB"/>
    <w:rsid w:val="007764DF"/>
    <w:rsid w:val="0077679F"/>
    <w:rsid w:val="00777BA2"/>
    <w:rsid w:val="00781408"/>
    <w:rsid w:val="00781710"/>
    <w:rsid w:val="00781B61"/>
    <w:rsid w:val="00782396"/>
    <w:rsid w:val="00783DF9"/>
    <w:rsid w:val="0078413A"/>
    <w:rsid w:val="007846A7"/>
    <w:rsid w:val="00784F7F"/>
    <w:rsid w:val="00786CE5"/>
    <w:rsid w:val="0078775A"/>
    <w:rsid w:val="007878BD"/>
    <w:rsid w:val="0079024B"/>
    <w:rsid w:val="00791669"/>
    <w:rsid w:val="00791EE5"/>
    <w:rsid w:val="00792031"/>
    <w:rsid w:val="00793220"/>
    <w:rsid w:val="00796B29"/>
    <w:rsid w:val="00796F25"/>
    <w:rsid w:val="007A1221"/>
    <w:rsid w:val="007A1EB6"/>
    <w:rsid w:val="007A2427"/>
    <w:rsid w:val="007A2D0B"/>
    <w:rsid w:val="007A2E98"/>
    <w:rsid w:val="007A3BA3"/>
    <w:rsid w:val="007A4194"/>
    <w:rsid w:val="007A4266"/>
    <w:rsid w:val="007A4826"/>
    <w:rsid w:val="007A4AD5"/>
    <w:rsid w:val="007A4C3E"/>
    <w:rsid w:val="007A586B"/>
    <w:rsid w:val="007A6175"/>
    <w:rsid w:val="007A68BD"/>
    <w:rsid w:val="007A6CC0"/>
    <w:rsid w:val="007A7FEC"/>
    <w:rsid w:val="007B01BE"/>
    <w:rsid w:val="007B1499"/>
    <w:rsid w:val="007B1BBF"/>
    <w:rsid w:val="007B1D72"/>
    <w:rsid w:val="007B2052"/>
    <w:rsid w:val="007B293D"/>
    <w:rsid w:val="007B2960"/>
    <w:rsid w:val="007B355D"/>
    <w:rsid w:val="007B5F1B"/>
    <w:rsid w:val="007B6918"/>
    <w:rsid w:val="007B7980"/>
    <w:rsid w:val="007C046E"/>
    <w:rsid w:val="007C0DEF"/>
    <w:rsid w:val="007C10AB"/>
    <w:rsid w:val="007C2462"/>
    <w:rsid w:val="007C5D5A"/>
    <w:rsid w:val="007C607F"/>
    <w:rsid w:val="007C79DD"/>
    <w:rsid w:val="007D1A97"/>
    <w:rsid w:val="007D1B4C"/>
    <w:rsid w:val="007D2CD6"/>
    <w:rsid w:val="007D2D93"/>
    <w:rsid w:val="007D3063"/>
    <w:rsid w:val="007D3CEB"/>
    <w:rsid w:val="007D48D0"/>
    <w:rsid w:val="007D6690"/>
    <w:rsid w:val="007D67EF"/>
    <w:rsid w:val="007D6D45"/>
    <w:rsid w:val="007D7066"/>
    <w:rsid w:val="007E1EF8"/>
    <w:rsid w:val="007E30BA"/>
    <w:rsid w:val="007E4726"/>
    <w:rsid w:val="007E7050"/>
    <w:rsid w:val="007E7683"/>
    <w:rsid w:val="007E7719"/>
    <w:rsid w:val="007F0F11"/>
    <w:rsid w:val="007F1718"/>
    <w:rsid w:val="007F279F"/>
    <w:rsid w:val="007F49FA"/>
    <w:rsid w:val="007F54C4"/>
    <w:rsid w:val="007F641D"/>
    <w:rsid w:val="007F6E9A"/>
    <w:rsid w:val="007F7A6E"/>
    <w:rsid w:val="007F7BDB"/>
    <w:rsid w:val="00800CCD"/>
    <w:rsid w:val="00801FEB"/>
    <w:rsid w:val="00802906"/>
    <w:rsid w:val="008044D4"/>
    <w:rsid w:val="00804FAC"/>
    <w:rsid w:val="00807790"/>
    <w:rsid w:val="00807FB1"/>
    <w:rsid w:val="00810AB4"/>
    <w:rsid w:val="00810DF9"/>
    <w:rsid w:val="00811E1C"/>
    <w:rsid w:val="00814D29"/>
    <w:rsid w:val="008152F8"/>
    <w:rsid w:val="00817B56"/>
    <w:rsid w:val="008207CD"/>
    <w:rsid w:val="00821A88"/>
    <w:rsid w:val="0082322E"/>
    <w:rsid w:val="0082428F"/>
    <w:rsid w:val="0082495D"/>
    <w:rsid w:val="0082510B"/>
    <w:rsid w:val="0082708E"/>
    <w:rsid w:val="00830DFA"/>
    <w:rsid w:val="008317B7"/>
    <w:rsid w:val="00831AC3"/>
    <w:rsid w:val="008340A5"/>
    <w:rsid w:val="00834B0C"/>
    <w:rsid w:val="00836FCE"/>
    <w:rsid w:val="008408FF"/>
    <w:rsid w:val="00842705"/>
    <w:rsid w:val="0084623A"/>
    <w:rsid w:val="00847EF4"/>
    <w:rsid w:val="00851A6A"/>
    <w:rsid w:val="00851F3F"/>
    <w:rsid w:val="008535D7"/>
    <w:rsid w:val="00854B55"/>
    <w:rsid w:val="00856307"/>
    <w:rsid w:val="0085674B"/>
    <w:rsid w:val="00856EDC"/>
    <w:rsid w:val="0086008E"/>
    <w:rsid w:val="008604B1"/>
    <w:rsid w:val="00862223"/>
    <w:rsid w:val="008623B5"/>
    <w:rsid w:val="008663D5"/>
    <w:rsid w:val="00870160"/>
    <w:rsid w:val="00870ABA"/>
    <w:rsid w:val="008710E1"/>
    <w:rsid w:val="008716E5"/>
    <w:rsid w:val="00874C9C"/>
    <w:rsid w:val="00874D74"/>
    <w:rsid w:val="00876E98"/>
    <w:rsid w:val="00877A57"/>
    <w:rsid w:val="0088103E"/>
    <w:rsid w:val="0088108E"/>
    <w:rsid w:val="00881CA9"/>
    <w:rsid w:val="00881EED"/>
    <w:rsid w:val="00883628"/>
    <w:rsid w:val="00884A37"/>
    <w:rsid w:val="00885544"/>
    <w:rsid w:val="0088634E"/>
    <w:rsid w:val="008914C3"/>
    <w:rsid w:val="00893AB8"/>
    <w:rsid w:val="00893AED"/>
    <w:rsid w:val="008A010E"/>
    <w:rsid w:val="008A04C8"/>
    <w:rsid w:val="008A3197"/>
    <w:rsid w:val="008A4066"/>
    <w:rsid w:val="008A64F3"/>
    <w:rsid w:val="008A6913"/>
    <w:rsid w:val="008B053E"/>
    <w:rsid w:val="008B1A5D"/>
    <w:rsid w:val="008B3288"/>
    <w:rsid w:val="008B4445"/>
    <w:rsid w:val="008B5DAF"/>
    <w:rsid w:val="008B6ABD"/>
    <w:rsid w:val="008B70F3"/>
    <w:rsid w:val="008B71C4"/>
    <w:rsid w:val="008B76DF"/>
    <w:rsid w:val="008B7A54"/>
    <w:rsid w:val="008B7B82"/>
    <w:rsid w:val="008B7F13"/>
    <w:rsid w:val="008C10F4"/>
    <w:rsid w:val="008C4E17"/>
    <w:rsid w:val="008C5EFB"/>
    <w:rsid w:val="008C65F7"/>
    <w:rsid w:val="008C667B"/>
    <w:rsid w:val="008D0565"/>
    <w:rsid w:val="008D0818"/>
    <w:rsid w:val="008D2458"/>
    <w:rsid w:val="008D4BF4"/>
    <w:rsid w:val="008D7249"/>
    <w:rsid w:val="008D72FC"/>
    <w:rsid w:val="008E0428"/>
    <w:rsid w:val="008E22E7"/>
    <w:rsid w:val="008E31B2"/>
    <w:rsid w:val="008E4767"/>
    <w:rsid w:val="008E7265"/>
    <w:rsid w:val="008E7A8C"/>
    <w:rsid w:val="008E7DA7"/>
    <w:rsid w:val="008F094A"/>
    <w:rsid w:val="008F17BC"/>
    <w:rsid w:val="009000AA"/>
    <w:rsid w:val="0090203B"/>
    <w:rsid w:val="009025B2"/>
    <w:rsid w:val="00903285"/>
    <w:rsid w:val="00903868"/>
    <w:rsid w:val="00904CFA"/>
    <w:rsid w:val="009068E3"/>
    <w:rsid w:val="00906B7D"/>
    <w:rsid w:val="00906F40"/>
    <w:rsid w:val="0090731E"/>
    <w:rsid w:val="00910AA3"/>
    <w:rsid w:val="00911D4E"/>
    <w:rsid w:val="00912E9B"/>
    <w:rsid w:val="0091335F"/>
    <w:rsid w:val="00913CE3"/>
    <w:rsid w:val="00913ED2"/>
    <w:rsid w:val="009156E8"/>
    <w:rsid w:val="00915B1C"/>
    <w:rsid w:val="009174F3"/>
    <w:rsid w:val="0091797D"/>
    <w:rsid w:val="009204EB"/>
    <w:rsid w:val="009214EF"/>
    <w:rsid w:val="0092261F"/>
    <w:rsid w:val="00923CBA"/>
    <w:rsid w:val="009259D0"/>
    <w:rsid w:val="00925AB4"/>
    <w:rsid w:val="00926703"/>
    <w:rsid w:val="00927691"/>
    <w:rsid w:val="00927A5F"/>
    <w:rsid w:val="00930399"/>
    <w:rsid w:val="00930510"/>
    <w:rsid w:val="00930643"/>
    <w:rsid w:val="00930E85"/>
    <w:rsid w:val="00931A3A"/>
    <w:rsid w:val="00933785"/>
    <w:rsid w:val="009357D8"/>
    <w:rsid w:val="00935B63"/>
    <w:rsid w:val="00936E49"/>
    <w:rsid w:val="00936E95"/>
    <w:rsid w:val="009372C7"/>
    <w:rsid w:val="009401BE"/>
    <w:rsid w:val="0094078F"/>
    <w:rsid w:val="00940FA3"/>
    <w:rsid w:val="00941FB0"/>
    <w:rsid w:val="0094256E"/>
    <w:rsid w:val="009426D4"/>
    <w:rsid w:val="00943E0B"/>
    <w:rsid w:val="0094416E"/>
    <w:rsid w:val="009448BE"/>
    <w:rsid w:val="00946180"/>
    <w:rsid w:val="00947F25"/>
    <w:rsid w:val="00950159"/>
    <w:rsid w:val="009513A3"/>
    <w:rsid w:val="00951641"/>
    <w:rsid w:val="00951807"/>
    <w:rsid w:val="009519D5"/>
    <w:rsid w:val="009521E7"/>
    <w:rsid w:val="009529A4"/>
    <w:rsid w:val="00953282"/>
    <w:rsid w:val="0095490B"/>
    <w:rsid w:val="00956384"/>
    <w:rsid w:val="00956851"/>
    <w:rsid w:val="00960A33"/>
    <w:rsid w:val="009619FB"/>
    <w:rsid w:val="0096320A"/>
    <w:rsid w:val="009640B1"/>
    <w:rsid w:val="0096413A"/>
    <w:rsid w:val="009661E3"/>
    <w:rsid w:val="00966245"/>
    <w:rsid w:val="009663F4"/>
    <w:rsid w:val="009664C4"/>
    <w:rsid w:val="00967B24"/>
    <w:rsid w:val="00967FA1"/>
    <w:rsid w:val="00971914"/>
    <w:rsid w:val="00972289"/>
    <w:rsid w:val="00974363"/>
    <w:rsid w:val="009772F8"/>
    <w:rsid w:val="00977BE8"/>
    <w:rsid w:val="00981898"/>
    <w:rsid w:val="00981BCE"/>
    <w:rsid w:val="00981DF9"/>
    <w:rsid w:val="00982871"/>
    <w:rsid w:val="00985762"/>
    <w:rsid w:val="0099577C"/>
    <w:rsid w:val="00995ADC"/>
    <w:rsid w:val="00996483"/>
    <w:rsid w:val="009A021C"/>
    <w:rsid w:val="009A1676"/>
    <w:rsid w:val="009A22E3"/>
    <w:rsid w:val="009A25CC"/>
    <w:rsid w:val="009A27B5"/>
    <w:rsid w:val="009A4F68"/>
    <w:rsid w:val="009A55D8"/>
    <w:rsid w:val="009A7958"/>
    <w:rsid w:val="009B227D"/>
    <w:rsid w:val="009B24A5"/>
    <w:rsid w:val="009B2601"/>
    <w:rsid w:val="009B4AE8"/>
    <w:rsid w:val="009B4C91"/>
    <w:rsid w:val="009B4E9E"/>
    <w:rsid w:val="009B5468"/>
    <w:rsid w:val="009B6761"/>
    <w:rsid w:val="009C0E61"/>
    <w:rsid w:val="009C1690"/>
    <w:rsid w:val="009C2242"/>
    <w:rsid w:val="009C37B1"/>
    <w:rsid w:val="009C659E"/>
    <w:rsid w:val="009C6881"/>
    <w:rsid w:val="009C7759"/>
    <w:rsid w:val="009C7F17"/>
    <w:rsid w:val="009D043D"/>
    <w:rsid w:val="009D07C8"/>
    <w:rsid w:val="009D4C85"/>
    <w:rsid w:val="009D535E"/>
    <w:rsid w:val="009D54B0"/>
    <w:rsid w:val="009D6C71"/>
    <w:rsid w:val="009D7341"/>
    <w:rsid w:val="009D7F6D"/>
    <w:rsid w:val="009E0631"/>
    <w:rsid w:val="009E16D0"/>
    <w:rsid w:val="009E18B8"/>
    <w:rsid w:val="009E2051"/>
    <w:rsid w:val="009E38FD"/>
    <w:rsid w:val="009E74A6"/>
    <w:rsid w:val="009F13D6"/>
    <w:rsid w:val="009F4160"/>
    <w:rsid w:val="009F4C6B"/>
    <w:rsid w:val="009F4FD0"/>
    <w:rsid w:val="009F6637"/>
    <w:rsid w:val="009F78A8"/>
    <w:rsid w:val="009F7AC4"/>
    <w:rsid w:val="00A016A9"/>
    <w:rsid w:val="00A017E0"/>
    <w:rsid w:val="00A01C38"/>
    <w:rsid w:val="00A0205B"/>
    <w:rsid w:val="00A02AD6"/>
    <w:rsid w:val="00A0673D"/>
    <w:rsid w:val="00A06BC1"/>
    <w:rsid w:val="00A07096"/>
    <w:rsid w:val="00A07318"/>
    <w:rsid w:val="00A10DFE"/>
    <w:rsid w:val="00A11370"/>
    <w:rsid w:val="00A15102"/>
    <w:rsid w:val="00A15606"/>
    <w:rsid w:val="00A173B0"/>
    <w:rsid w:val="00A20536"/>
    <w:rsid w:val="00A224CE"/>
    <w:rsid w:val="00A22522"/>
    <w:rsid w:val="00A2282F"/>
    <w:rsid w:val="00A24AFD"/>
    <w:rsid w:val="00A24F5C"/>
    <w:rsid w:val="00A26DD4"/>
    <w:rsid w:val="00A313DF"/>
    <w:rsid w:val="00A31EAA"/>
    <w:rsid w:val="00A32BFE"/>
    <w:rsid w:val="00A32F96"/>
    <w:rsid w:val="00A348C1"/>
    <w:rsid w:val="00A355AD"/>
    <w:rsid w:val="00A359A1"/>
    <w:rsid w:val="00A35EBA"/>
    <w:rsid w:val="00A37A17"/>
    <w:rsid w:val="00A40871"/>
    <w:rsid w:val="00A412AB"/>
    <w:rsid w:val="00A4193E"/>
    <w:rsid w:val="00A42AE7"/>
    <w:rsid w:val="00A440E0"/>
    <w:rsid w:val="00A442EF"/>
    <w:rsid w:val="00A50DA2"/>
    <w:rsid w:val="00A51D1A"/>
    <w:rsid w:val="00A52F80"/>
    <w:rsid w:val="00A5418D"/>
    <w:rsid w:val="00A5474E"/>
    <w:rsid w:val="00A56C82"/>
    <w:rsid w:val="00A5793D"/>
    <w:rsid w:val="00A6057B"/>
    <w:rsid w:val="00A62098"/>
    <w:rsid w:val="00A64234"/>
    <w:rsid w:val="00A651BF"/>
    <w:rsid w:val="00A66D71"/>
    <w:rsid w:val="00A67DD6"/>
    <w:rsid w:val="00A70378"/>
    <w:rsid w:val="00A70ADF"/>
    <w:rsid w:val="00A71466"/>
    <w:rsid w:val="00A74B5E"/>
    <w:rsid w:val="00A765DE"/>
    <w:rsid w:val="00A80C52"/>
    <w:rsid w:val="00A80FA8"/>
    <w:rsid w:val="00A81BED"/>
    <w:rsid w:val="00A81E29"/>
    <w:rsid w:val="00A81EC4"/>
    <w:rsid w:val="00A824E8"/>
    <w:rsid w:val="00A82661"/>
    <w:rsid w:val="00A83203"/>
    <w:rsid w:val="00A84327"/>
    <w:rsid w:val="00A84FD1"/>
    <w:rsid w:val="00A853EF"/>
    <w:rsid w:val="00A9103D"/>
    <w:rsid w:val="00A927FD"/>
    <w:rsid w:val="00A93021"/>
    <w:rsid w:val="00A96308"/>
    <w:rsid w:val="00A967FD"/>
    <w:rsid w:val="00AA13B8"/>
    <w:rsid w:val="00AA2C59"/>
    <w:rsid w:val="00AA2DE5"/>
    <w:rsid w:val="00AA4DD1"/>
    <w:rsid w:val="00AA60E8"/>
    <w:rsid w:val="00AA691A"/>
    <w:rsid w:val="00AA7C2B"/>
    <w:rsid w:val="00AB04A6"/>
    <w:rsid w:val="00AB156C"/>
    <w:rsid w:val="00AB1816"/>
    <w:rsid w:val="00AB580B"/>
    <w:rsid w:val="00AB6814"/>
    <w:rsid w:val="00AB78BE"/>
    <w:rsid w:val="00AC04BA"/>
    <w:rsid w:val="00AC0E39"/>
    <w:rsid w:val="00AC2220"/>
    <w:rsid w:val="00AC311A"/>
    <w:rsid w:val="00AC385B"/>
    <w:rsid w:val="00AC6FB8"/>
    <w:rsid w:val="00AC7267"/>
    <w:rsid w:val="00AC78A5"/>
    <w:rsid w:val="00AD0226"/>
    <w:rsid w:val="00AD2BA4"/>
    <w:rsid w:val="00AD3082"/>
    <w:rsid w:val="00AD3297"/>
    <w:rsid w:val="00AD32B4"/>
    <w:rsid w:val="00AD4AD0"/>
    <w:rsid w:val="00AD5436"/>
    <w:rsid w:val="00AD60CD"/>
    <w:rsid w:val="00AD6C8C"/>
    <w:rsid w:val="00AD76B3"/>
    <w:rsid w:val="00AE0252"/>
    <w:rsid w:val="00AE091D"/>
    <w:rsid w:val="00AE0CE7"/>
    <w:rsid w:val="00AE1074"/>
    <w:rsid w:val="00AE3B60"/>
    <w:rsid w:val="00AE452C"/>
    <w:rsid w:val="00AE53A1"/>
    <w:rsid w:val="00AF0788"/>
    <w:rsid w:val="00AF2484"/>
    <w:rsid w:val="00AF27D5"/>
    <w:rsid w:val="00AF63E7"/>
    <w:rsid w:val="00AF67A2"/>
    <w:rsid w:val="00AF6E17"/>
    <w:rsid w:val="00B0165D"/>
    <w:rsid w:val="00B01B60"/>
    <w:rsid w:val="00B031F3"/>
    <w:rsid w:val="00B052A4"/>
    <w:rsid w:val="00B05643"/>
    <w:rsid w:val="00B062FF"/>
    <w:rsid w:val="00B0641D"/>
    <w:rsid w:val="00B06D6E"/>
    <w:rsid w:val="00B106A6"/>
    <w:rsid w:val="00B10C9F"/>
    <w:rsid w:val="00B125DE"/>
    <w:rsid w:val="00B128B1"/>
    <w:rsid w:val="00B13FDD"/>
    <w:rsid w:val="00B14861"/>
    <w:rsid w:val="00B14883"/>
    <w:rsid w:val="00B17DBC"/>
    <w:rsid w:val="00B22EB2"/>
    <w:rsid w:val="00B25C8C"/>
    <w:rsid w:val="00B27442"/>
    <w:rsid w:val="00B31167"/>
    <w:rsid w:val="00B329D8"/>
    <w:rsid w:val="00B32BB9"/>
    <w:rsid w:val="00B3378F"/>
    <w:rsid w:val="00B33AE1"/>
    <w:rsid w:val="00B346F8"/>
    <w:rsid w:val="00B37C38"/>
    <w:rsid w:val="00B4198F"/>
    <w:rsid w:val="00B41AAC"/>
    <w:rsid w:val="00B4288C"/>
    <w:rsid w:val="00B43262"/>
    <w:rsid w:val="00B44100"/>
    <w:rsid w:val="00B44B4E"/>
    <w:rsid w:val="00B46CBA"/>
    <w:rsid w:val="00B46F8E"/>
    <w:rsid w:val="00B46F94"/>
    <w:rsid w:val="00B534B0"/>
    <w:rsid w:val="00B541C5"/>
    <w:rsid w:val="00B6003C"/>
    <w:rsid w:val="00B60103"/>
    <w:rsid w:val="00B61162"/>
    <w:rsid w:val="00B61F03"/>
    <w:rsid w:val="00B626E4"/>
    <w:rsid w:val="00B658C7"/>
    <w:rsid w:val="00B6744A"/>
    <w:rsid w:val="00B71B83"/>
    <w:rsid w:val="00B72F4A"/>
    <w:rsid w:val="00B733EA"/>
    <w:rsid w:val="00B7467F"/>
    <w:rsid w:val="00B75741"/>
    <w:rsid w:val="00B75F8E"/>
    <w:rsid w:val="00B763B3"/>
    <w:rsid w:val="00B77377"/>
    <w:rsid w:val="00B823AA"/>
    <w:rsid w:val="00B83C27"/>
    <w:rsid w:val="00B84BC3"/>
    <w:rsid w:val="00B84BDD"/>
    <w:rsid w:val="00B85828"/>
    <w:rsid w:val="00B86B3A"/>
    <w:rsid w:val="00B879F7"/>
    <w:rsid w:val="00B87B3D"/>
    <w:rsid w:val="00B92755"/>
    <w:rsid w:val="00B92812"/>
    <w:rsid w:val="00B96341"/>
    <w:rsid w:val="00B97703"/>
    <w:rsid w:val="00BA2239"/>
    <w:rsid w:val="00BA25FD"/>
    <w:rsid w:val="00BA2751"/>
    <w:rsid w:val="00BA56EB"/>
    <w:rsid w:val="00BA7476"/>
    <w:rsid w:val="00BA7E04"/>
    <w:rsid w:val="00BB09CC"/>
    <w:rsid w:val="00BB2FC3"/>
    <w:rsid w:val="00BB45A1"/>
    <w:rsid w:val="00BB6335"/>
    <w:rsid w:val="00BB7686"/>
    <w:rsid w:val="00BB7802"/>
    <w:rsid w:val="00BC0182"/>
    <w:rsid w:val="00BC23F9"/>
    <w:rsid w:val="00BC2E1E"/>
    <w:rsid w:val="00BC3421"/>
    <w:rsid w:val="00BC370F"/>
    <w:rsid w:val="00BC3E61"/>
    <w:rsid w:val="00BC4969"/>
    <w:rsid w:val="00BC59DE"/>
    <w:rsid w:val="00BC732C"/>
    <w:rsid w:val="00BD06BF"/>
    <w:rsid w:val="00BD0AA0"/>
    <w:rsid w:val="00BD1CCB"/>
    <w:rsid w:val="00BD24F2"/>
    <w:rsid w:val="00BD4421"/>
    <w:rsid w:val="00BD4541"/>
    <w:rsid w:val="00BD4C36"/>
    <w:rsid w:val="00BD5999"/>
    <w:rsid w:val="00BD5EC6"/>
    <w:rsid w:val="00BD71EE"/>
    <w:rsid w:val="00BD75A8"/>
    <w:rsid w:val="00BE0386"/>
    <w:rsid w:val="00BE13FB"/>
    <w:rsid w:val="00BE2580"/>
    <w:rsid w:val="00BE266D"/>
    <w:rsid w:val="00BE3938"/>
    <w:rsid w:val="00BE3C03"/>
    <w:rsid w:val="00BE3C5E"/>
    <w:rsid w:val="00BE4C11"/>
    <w:rsid w:val="00BE71C0"/>
    <w:rsid w:val="00BE750D"/>
    <w:rsid w:val="00BF0396"/>
    <w:rsid w:val="00BF2892"/>
    <w:rsid w:val="00BF5464"/>
    <w:rsid w:val="00BF610C"/>
    <w:rsid w:val="00C000D3"/>
    <w:rsid w:val="00C0060B"/>
    <w:rsid w:val="00C00CAA"/>
    <w:rsid w:val="00C00D92"/>
    <w:rsid w:val="00C01A6C"/>
    <w:rsid w:val="00C01B48"/>
    <w:rsid w:val="00C02267"/>
    <w:rsid w:val="00C0277D"/>
    <w:rsid w:val="00C02F26"/>
    <w:rsid w:val="00C046EB"/>
    <w:rsid w:val="00C053A1"/>
    <w:rsid w:val="00C0611F"/>
    <w:rsid w:val="00C06EB7"/>
    <w:rsid w:val="00C114B9"/>
    <w:rsid w:val="00C142E5"/>
    <w:rsid w:val="00C154FE"/>
    <w:rsid w:val="00C16198"/>
    <w:rsid w:val="00C163E2"/>
    <w:rsid w:val="00C16D9C"/>
    <w:rsid w:val="00C1713E"/>
    <w:rsid w:val="00C17887"/>
    <w:rsid w:val="00C20044"/>
    <w:rsid w:val="00C2083D"/>
    <w:rsid w:val="00C213FC"/>
    <w:rsid w:val="00C22C5E"/>
    <w:rsid w:val="00C23A7C"/>
    <w:rsid w:val="00C24A53"/>
    <w:rsid w:val="00C265D1"/>
    <w:rsid w:val="00C270F8"/>
    <w:rsid w:val="00C34A05"/>
    <w:rsid w:val="00C34D50"/>
    <w:rsid w:val="00C358B4"/>
    <w:rsid w:val="00C35CCE"/>
    <w:rsid w:val="00C4032F"/>
    <w:rsid w:val="00C40350"/>
    <w:rsid w:val="00C41F21"/>
    <w:rsid w:val="00C430F3"/>
    <w:rsid w:val="00C43157"/>
    <w:rsid w:val="00C431BC"/>
    <w:rsid w:val="00C435C8"/>
    <w:rsid w:val="00C43B0F"/>
    <w:rsid w:val="00C43FE8"/>
    <w:rsid w:val="00C44047"/>
    <w:rsid w:val="00C45155"/>
    <w:rsid w:val="00C46A4F"/>
    <w:rsid w:val="00C527BC"/>
    <w:rsid w:val="00C53713"/>
    <w:rsid w:val="00C5498F"/>
    <w:rsid w:val="00C55235"/>
    <w:rsid w:val="00C56F52"/>
    <w:rsid w:val="00C61978"/>
    <w:rsid w:val="00C624C3"/>
    <w:rsid w:val="00C639C7"/>
    <w:rsid w:val="00C640E7"/>
    <w:rsid w:val="00C64CD0"/>
    <w:rsid w:val="00C65F61"/>
    <w:rsid w:val="00C6684F"/>
    <w:rsid w:val="00C66925"/>
    <w:rsid w:val="00C70602"/>
    <w:rsid w:val="00C70E70"/>
    <w:rsid w:val="00C71401"/>
    <w:rsid w:val="00C72632"/>
    <w:rsid w:val="00C73921"/>
    <w:rsid w:val="00C739E2"/>
    <w:rsid w:val="00C75025"/>
    <w:rsid w:val="00C7545E"/>
    <w:rsid w:val="00C75F8D"/>
    <w:rsid w:val="00C77380"/>
    <w:rsid w:val="00C86497"/>
    <w:rsid w:val="00C87E8A"/>
    <w:rsid w:val="00C911A4"/>
    <w:rsid w:val="00C913D6"/>
    <w:rsid w:val="00C91612"/>
    <w:rsid w:val="00C96CA0"/>
    <w:rsid w:val="00C97736"/>
    <w:rsid w:val="00CA1C4B"/>
    <w:rsid w:val="00CA345A"/>
    <w:rsid w:val="00CA3E2B"/>
    <w:rsid w:val="00CA63F8"/>
    <w:rsid w:val="00CB0133"/>
    <w:rsid w:val="00CB08CE"/>
    <w:rsid w:val="00CB1E82"/>
    <w:rsid w:val="00CB2F66"/>
    <w:rsid w:val="00CB367D"/>
    <w:rsid w:val="00CB4BA8"/>
    <w:rsid w:val="00CB52D7"/>
    <w:rsid w:val="00CC13D8"/>
    <w:rsid w:val="00CC3159"/>
    <w:rsid w:val="00CC4503"/>
    <w:rsid w:val="00CC4C8B"/>
    <w:rsid w:val="00CC54D9"/>
    <w:rsid w:val="00CC6732"/>
    <w:rsid w:val="00CD00FC"/>
    <w:rsid w:val="00CD1B74"/>
    <w:rsid w:val="00CD4523"/>
    <w:rsid w:val="00CD6ACF"/>
    <w:rsid w:val="00CE050E"/>
    <w:rsid w:val="00CE2045"/>
    <w:rsid w:val="00CE3C96"/>
    <w:rsid w:val="00CE5073"/>
    <w:rsid w:val="00CE51A8"/>
    <w:rsid w:val="00CE5D1F"/>
    <w:rsid w:val="00CE778B"/>
    <w:rsid w:val="00CF0BFE"/>
    <w:rsid w:val="00CF369B"/>
    <w:rsid w:val="00CF3E7D"/>
    <w:rsid w:val="00CF40E1"/>
    <w:rsid w:val="00CF553C"/>
    <w:rsid w:val="00CF6BE8"/>
    <w:rsid w:val="00CF6CE9"/>
    <w:rsid w:val="00CF705D"/>
    <w:rsid w:val="00D00E28"/>
    <w:rsid w:val="00D01CF3"/>
    <w:rsid w:val="00D0269E"/>
    <w:rsid w:val="00D040E4"/>
    <w:rsid w:val="00D057B1"/>
    <w:rsid w:val="00D05D6C"/>
    <w:rsid w:val="00D06A9A"/>
    <w:rsid w:val="00D0702B"/>
    <w:rsid w:val="00D07550"/>
    <w:rsid w:val="00D132DC"/>
    <w:rsid w:val="00D15810"/>
    <w:rsid w:val="00D15EC1"/>
    <w:rsid w:val="00D16D4E"/>
    <w:rsid w:val="00D16FE3"/>
    <w:rsid w:val="00D2317B"/>
    <w:rsid w:val="00D241BA"/>
    <w:rsid w:val="00D24CFB"/>
    <w:rsid w:val="00D27F41"/>
    <w:rsid w:val="00D3023A"/>
    <w:rsid w:val="00D33303"/>
    <w:rsid w:val="00D347B9"/>
    <w:rsid w:val="00D36441"/>
    <w:rsid w:val="00D4064E"/>
    <w:rsid w:val="00D40867"/>
    <w:rsid w:val="00D40E81"/>
    <w:rsid w:val="00D43129"/>
    <w:rsid w:val="00D43B47"/>
    <w:rsid w:val="00D44E9B"/>
    <w:rsid w:val="00D45825"/>
    <w:rsid w:val="00D459CB"/>
    <w:rsid w:val="00D462B1"/>
    <w:rsid w:val="00D47AEB"/>
    <w:rsid w:val="00D50DB9"/>
    <w:rsid w:val="00D51302"/>
    <w:rsid w:val="00D52C43"/>
    <w:rsid w:val="00D53643"/>
    <w:rsid w:val="00D53C32"/>
    <w:rsid w:val="00D542FE"/>
    <w:rsid w:val="00D555D6"/>
    <w:rsid w:val="00D573E4"/>
    <w:rsid w:val="00D57959"/>
    <w:rsid w:val="00D60405"/>
    <w:rsid w:val="00D60C05"/>
    <w:rsid w:val="00D61243"/>
    <w:rsid w:val="00D61BA3"/>
    <w:rsid w:val="00D6507F"/>
    <w:rsid w:val="00D65161"/>
    <w:rsid w:val="00D65244"/>
    <w:rsid w:val="00D71AB8"/>
    <w:rsid w:val="00D72160"/>
    <w:rsid w:val="00D72D2B"/>
    <w:rsid w:val="00D730BC"/>
    <w:rsid w:val="00D73912"/>
    <w:rsid w:val="00D75003"/>
    <w:rsid w:val="00D76AB8"/>
    <w:rsid w:val="00D80287"/>
    <w:rsid w:val="00D80967"/>
    <w:rsid w:val="00D8199C"/>
    <w:rsid w:val="00D83AF1"/>
    <w:rsid w:val="00D84A85"/>
    <w:rsid w:val="00D84D43"/>
    <w:rsid w:val="00D85226"/>
    <w:rsid w:val="00D87684"/>
    <w:rsid w:val="00D87B94"/>
    <w:rsid w:val="00D92D49"/>
    <w:rsid w:val="00D92EC1"/>
    <w:rsid w:val="00D96DEA"/>
    <w:rsid w:val="00D976D4"/>
    <w:rsid w:val="00D97A0B"/>
    <w:rsid w:val="00D97E0E"/>
    <w:rsid w:val="00DA1747"/>
    <w:rsid w:val="00DA22E7"/>
    <w:rsid w:val="00DA4E41"/>
    <w:rsid w:val="00DA7189"/>
    <w:rsid w:val="00DB0C25"/>
    <w:rsid w:val="00DB117A"/>
    <w:rsid w:val="00DB12B6"/>
    <w:rsid w:val="00DB2435"/>
    <w:rsid w:val="00DB5173"/>
    <w:rsid w:val="00DB7873"/>
    <w:rsid w:val="00DC187B"/>
    <w:rsid w:val="00DC4EDB"/>
    <w:rsid w:val="00DC630C"/>
    <w:rsid w:val="00DD0DDE"/>
    <w:rsid w:val="00DD1A43"/>
    <w:rsid w:val="00DD1DB0"/>
    <w:rsid w:val="00DD2F94"/>
    <w:rsid w:val="00DD3317"/>
    <w:rsid w:val="00DD576B"/>
    <w:rsid w:val="00DD6FD5"/>
    <w:rsid w:val="00DD73C2"/>
    <w:rsid w:val="00DD7A50"/>
    <w:rsid w:val="00DD7B63"/>
    <w:rsid w:val="00DE0C3D"/>
    <w:rsid w:val="00DE1BAC"/>
    <w:rsid w:val="00DE1DB1"/>
    <w:rsid w:val="00DE319B"/>
    <w:rsid w:val="00DE3693"/>
    <w:rsid w:val="00DE4862"/>
    <w:rsid w:val="00DF079C"/>
    <w:rsid w:val="00DF0EFF"/>
    <w:rsid w:val="00DF16B4"/>
    <w:rsid w:val="00DF34FE"/>
    <w:rsid w:val="00DF494B"/>
    <w:rsid w:val="00DF56AA"/>
    <w:rsid w:val="00DF56AF"/>
    <w:rsid w:val="00DF5E88"/>
    <w:rsid w:val="00DF63C1"/>
    <w:rsid w:val="00DF78E7"/>
    <w:rsid w:val="00E01125"/>
    <w:rsid w:val="00E06A21"/>
    <w:rsid w:val="00E110E0"/>
    <w:rsid w:val="00E135CB"/>
    <w:rsid w:val="00E1463C"/>
    <w:rsid w:val="00E15371"/>
    <w:rsid w:val="00E16570"/>
    <w:rsid w:val="00E2021B"/>
    <w:rsid w:val="00E20440"/>
    <w:rsid w:val="00E21056"/>
    <w:rsid w:val="00E24104"/>
    <w:rsid w:val="00E253B7"/>
    <w:rsid w:val="00E264E5"/>
    <w:rsid w:val="00E302D0"/>
    <w:rsid w:val="00E35707"/>
    <w:rsid w:val="00E35C75"/>
    <w:rsid w:val="00E36AA1"/>
    <w:rsid w:val="00E36C3B"/>
    <w:rsid w:val="00E4027B"/>
    <w:rsid w:val="00E40FE6"/>
    <w:rsid w:val="00E41541"/>
    <w:rsid w:val="00E41637"/>
    <w:rsid w:val="00E41D1F"/>
    <w:rsid w:val="00E41ECB"/>
    <w:rsid w:val="00E42676"/>
    <w:rsid w:val="00E4373B"/>
    <w:rsid w:val="00E46443"/>
    <w:rsid w:val="00E46EA5"/>
    <w:rsid w:val="00E50C4C"/>
    <w:rsid w:val="00E52B18"/>
    <w:rsid w:val="00E52BBC"/>
    <w:rsid w:val="00E53645"/>
    <w:rsid w:val="00E54FDB"/>
    <w:rsid w:val="00E55C2D"/>
    <w:rsid w:val="00E5617D"/>
    <w:rsid w:val="00E563D7"/>
    <w:rsid w:val="00E56A09"/>
    <w:rsid w:val="00E57E58"/>
    <w:rsid w:val="00E60FA0"/>
    <w:rsid w:val="00E663F4"/>
    <w:rsid w:val="00E666F2"/>
    <w:rsid w:val="00E66DD4"/>
    <w:rsid w:val="00E70919"/>
    <w:rsid w:val="00E70F4A"/>
    <w:rsid w:val="00E71872"/>
    <w:rsid w:val="00E71F14"/>
    <w:rsid w:val="00E72866"/>
    <w:rsid w:val="00E73F59"/>
    <w:rsid w:val="00E7423C"/>
    <w:rsid w:val="00E748CC"/>
    <w:rsid w:val="00E74F15"/>
    <w:rsid w:val="00E75415"/>
    <w:rsid w:val="00E75B47"/>
    <w:rsid w:val="00E775B1"/>
    <w:rsid w:val="00E810A7"/>
    <w:rsid w:val="00E8152A"/>
    <w:rsid w:val="00E82F16"/>
    <w:rsid w:val="00E84857"/>
    <w:rsid w:val="00E85BBF"/>
    <w:rsid w:val="00E85E74"/>
    <w:rsid w:val="00E911DD"/>
    <w:rsid w:val="00E9271D"/>
    <w:rsid w:val="00E93629"/>
    <w:rsid w:val="00E93AE0"/>
    <w:rsid w:val="00E93B5C"/>
    <w:rsid w:val="00E93DF4"/>
    <w:rsid w:val="00E94CEC"/>
    <w:rsid w:val="00E94D24"/>
    <w:rsid w:val="00E957EF"/>
    <w:rsid w:val="00E9693F"/>
    <w:rsid w:val="00E97D54"/>
    <w:rsid w:val="00EA04EF"/>
    <w:rsid w:val="00EA0969"/>
    <w:rsid w:val="00EA3099"/>
    <w:rsid w:val="00EA3F9F"/>
    <w:rsid w:val="00EA6C79"/>
    <w:rsid w:val="00EA6F19"/>
    <w:rsid w:val="00EB2333"/>
    <w:rsid w:val="00EB3C1A"/>
    <w:rsid w:val="00EB51AB"/>
    <w:rsid w:val="00EB69E7"/>
    <w:rsid w:val="00EB7090"/>
    <w:rsid w:val="00EC1BBE"/>
    <w:rsid w:val="00EC1CD2"/>
    <w:rsid w:val="00EC22D8"/>
    <w:rsid w:val="00EC2B68"/>
    <w:rsid w:val="00EC3755"/>
    <w:rsid w:val="00EC3AEF"/>
    <w:rsid w:val="00EC5BA2"/>
    <w:rsid w:val="00EC5CD7"/>
    <w:rsid w:val="00EC6C8A"/>
    <w:rsid w:val="00EC744E"/>
    <w:rsid w:val="00ED0D2F"/>
    <w:rsid w:val="00ED1727"/>
    <w:rsid w:val="00ED1DFF"/>
    <w:rsid w:val="00ED52A3"/>
    <w:rsid w:val="00ED6855"/>
    <w:rsid w:val="00ED7E12"/>
    <w:rsid w:val="00ED7ED8"/>
    <w:rsid w:val="00EE0FD9"/>
    <w:rsid w:val="00EE26B6"/>
    <w:rsid w:val="00EE2B51"/>
    <w:rsid w:val="00EE5FB3"/>
    <w:rsid w:val="00EE7519"/>
    <w:rsid w:val="00EE7F79"/>
    <w:rsid w:val="00EF1C03"/>
    <w:rsid w:val="00EF1F17"/>
    <w:rsid w:val="00EF2630"/>
    <w:rsid w:val="00EF6C01"/>
    <w:rsid w:val="00EF715A"/>
    <w:rsid w:val="00F00568"/>
    <w:rsid w:val="00F01F29"/>
    <w:rsid w:val="00F06D9D"/>
    <w:rsid w:val="00F06E14"/>
    <w:rsid w:val="00F106F1"/>
    <w:rsid w:val="00F110EA"/>
    <w:rsid w:val="00F12385"/>
    <w:rsid w:val="00F132D6"/>
    <w:rsid w:val="00F152EF"/>
    <w:rsid w:val="00F179D4"/>
    <w:rsid w:val="00F201DF"/>
    <w:rsid w:val="00F2289B"/>
    <w:rsid w:val="00F22916"/>
    <w:rsid w:val="00F22A23"/>
    <w:rsid w:val="00F2340D"/>
    <w:rsid w:val="00F235E5"/>
    <w:rsid w:val="00F27A0B"/>
    <w:rsid w:val="00F309DE"/>
    <w:rsid w:val="00F3146B"/>
    <w:rsid w:val="00F31BE7"/>
    <w:rsid w:val="00F31EEA"/>
    <w:rsid w:val="00F3338F"/>
    <w:rsid w:val="00F33C56"/>
    <w:rsid w:val="00F3447C"/>
    <w:rsid w:val="00F347C7"/>
    <w:rsid w:val="00F34848"/>
    <w:rsid w:val="00F34EF6"/>
    <w:rsid w:val="00F361D7"/>
    <w:rsid w:val="00F42437"/>
    <w:rsid w:val="00F42D46"/>
    <w:rsid w:val="00F435E3"/>
    <w:rsid w:val="00F4496C"/>
    <w:rsid w:val="00F44F3A"/>
    <w:rsid w:val="00F45943"/>
    <w:rsid w:val="00F4735A"/>
    <w:rsid w:val="00F47679"/>
    <w:rsid w:val="00F502B8"/>
    <w:rsid w:val="00F504D2"/>
    <w:rsid w:val="00F51183"/>
    <w:rsid w:val="00F513FE"/>
    <w:rsid w:val="00F51F10"/>
    <w:rsid w:val="00F529A5"/>
    <w:rsid w:val="00F5310D"/>
    <w:rsid w:val="00F53B72"/>
    <w:rsid w:val="00F60F00"/>
    <w:rsid w:val="00F614C0"/>
    <w:rsid w:val="00F62A3A"/>
    <w:rsid w:val="00F631FA"/>
    <w:rsid w:val="00F634B0"/>
    <w:rsid w:val="00F649C1"/>
    <w:rsid w:val="00F6649E"/>
    <w:rsid w:val="00F76F95"/>
    <w:rsid w:val="00F7737F"/>
    <w:rsid w:val="00F803EB"/>
    <w:rsid w:val="00F80E34"/>
    <w:rsid w:val="00F81E16"/>
    <w:rsid w:val="00F831C4"/>
    <w:rsid w:val="00F83848"/>
    <w:rsid w:val="00F870E9"/>
    <w:rsid w:val="00F903C0"/>
    <w:rsid w:val="00F92B54"/>
    <w:rsid w:val="00F94ADF"/>
    <w:rsid w:val="00F95117"/>
    <w:rsid w:val="00F9678D"/>
    <w:rsid w:val="00F975E9"/>
    <w:rsid w:val="00F97E71"/>
    <w:rsid w:val="00FA155B"/>
    <w:rsid w:val="00FA1892"/>
    <w:rsid w:val="00FA1B7D"/>
    <w:rsid w:val="00FA7E21"/>
    <w:rsid w:val="00FB28F7"/>
    <w:rsid w:val="00FC07B9"/>
    <w:rsid w:val="00FC48F9"/>
    <w:rsid w:val="00FC4E21"/>
    <w:rsid w:val="00FC5F6D"/>
    <w:rsid w:val="00FC6130"/>
    <w:rsid w:val="00FC623C"/>
    <w:rsid w:val="00FC7C5B"/>
    <w:rsid w:val="00FD0107"/>
    <w:rsid w:val="00FD0CA1"/>
    <w:rsid w:val="00FD0F2D"/>
    <w:rsid w:val="00FD1EEF"/>
    <w:rsid w:val="00FD1FD9"/>
    <w:rsid w:val="00FD266C"/>
    <w:rsid w:val="00FD2C2F"/>
    <w:rsid w:val="00FD3B31"/>
    <w:rsid w:val="00FD4E44"/>
    <w:rsid w:val="00FE14B5"/>
    <w:rsid w:val="00FE1823"/>
    <w:rsid w:val="00FE487A"/>
    <w:rsid w:val="00FE5524"/>
    <w:rsid w:val="00FE575D"/>
    <w:rsid w:val="00FE6E6F"/>
    <w:rsid w:val="00FE7226"/>
    <w:rsid w:val="00FF00A4"/>
    <w:rsid w:val="00FF03BE"/>
    <w:rsid w:val="00FF042E"/>
    <w:rsid w:val="00FF0569"/>
    <w:rsid w:val="00FF206E"/>
    <w:rsid w:val="00FF2CB1"/>
    <w:rsid w:val="00FF3C69"/>
    <w:rsid w:val="00FF43D8"/>
    <w:rsid w:val="00FF5CD0"/>
    <w:rsid w:val="00FF6E0A"/>
    <w:rsid w:val="00FF6E53"/>
    <w:rsid w:val="00FF7B67"/>
  </w:rsids>
  <m:mathPr>
    <m:mathFont m:val="Cambria Math"/>
    <m:brkBin m:val="before"/>
    <m:brkBinSub m:val="--"/>
    <m:smallFrac/>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colormru v:ext="edit" colors="red,#4d4d4f"/>
    </o:shapedefaults>
    <o:shapelayout v:ext="edit">
      <o:idmap v:ext="edit" data="1"/>
    </o:shapelayout>
  </w:shapeDefaults>
  <w:decimalSymbol w:val="."/>
  <w:listSeparator w:val=","/>
  <w14:docId w14:val="6A30D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AU" w:eastAsia="en-AU"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index 1" w:semiHidden="1" w:unhideWhenUsed="1"/>
    <w:lsdException w:name="index 2" w:semiHidden="1"/>
    <w:lsdException w:name="index 3" w:semiHidden="1"/>
    <w:lsdException w:name="index 4" w:semiHidden="1"/>
    <w:lsdException w:name="index 5" w:semiHidden="1"/>
    <w:lsdException w:name="index 6" w:semiHidden="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qFormat="1"/>
    <w:lsdException w:name="List Number 3" w:semiHidden="1" w:unhideWhenUsed="1"/>
    <w:lsdException w:name="List Number 4" w:semiHidden="1" w:unhideWhenUsed="1"/>
    <w:lsdException w:name="List Number 5" w:semiHidden="1"/>
    <w:lsdException w:name="Title" w:semiHidden="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lsdException w:name="Block Text" w:semiHidden="1"/>
    <w:lsdException w:name="Hyperlink" w:uiPriority="99" w:qFormat="1"/>
    <w:lsdException w:name="Strong" w:semiHidden="1"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semiHidden/>
    <w:qFormat/>
    <w:rsid w:val="00390D91"/>
    <w:pPr>
      <w:spacing w:after="240" w:line="240" w:lineRule="atLeast"/>
    </w:pPr>
    <w:rPr>
      <w:rFonts w:ascii="Arial" w:hAnsi="Arial"/>
      <w:sz w:val="20"/>
    </w:rPr>
  </w:style>
  <w:style w:type="paragraph" w:styleId="Heading1">
    <w:name w:val="heading 1"/>
    <w:basedOn w:val="Normal"/>
    <w:next w:val="Normal"/>
    <w:link w:val="Heading1Char"/>
    <w:uiPriority w:val="1"/>
    <w:qFormat/>
    <w:rsid w:val="00C55235"/>
    <w:pPr>
      <w:keepNext/>
      <w:pageBreakBefore/>
      <w:widowControl w:val="0"/>
      <w:spacing w:after="360" w:line="550" w:lineRule="exact"/>
      <w:outlineLvl w:val="0"/>
    </w:pPr>
    <w:rPr>
      <w:rFonts w:cs="Arial"/>
      <w:bCs/>
      <w:color w:val="323232"/>
      <w:kern w:val="32"/>
      <w:sz w:val="53"/>
      <w:szCs w:val="32"/>
    </w:rPr>
  </w:style>
  <w:style w:type="paragraph" w:styleId="Heading2">
    <w:name w:val="heading 2"/>
    <w:basedOn w:val="Normal"/>
    <w:next w:val="Paragraph"/>
    <w:link w:val="Heading2Char"/>
    <w:qFormat/>
    <w:rsid w:val="00C55235"/>
    <w:pPr>
      <w:keepNext/>
      <w:spacing w:before="320" w:after="60"/>
      <w:outlineLvl w:val="1"/>
    </w:pPr>
    <w:rPr>
      <w:rFonts w:cs="Arial"/>
      <w:b/>
      <w:bCs/>
      <w:iCs/>
      <w:sz w:val="28"/>
      <w:szCs w:val="28"/>
    </w:rPr>
  </w:style>
  <w:style w:type="paragraph" w:styleId="Heading3">
    <w:name w:val="heading 3"/>
    <w:basedOn w:val="Normal"/>
    <w:next w:val="Normal"/>
    <w:link w:val="Heading3Char"/>
    <w:uiPriority w:val="2"/>
    <w:qFormat/>
    <w:rsid w:val="00C55235"/>
    <w:pPr>
      <w:keepNext/>
      <w:spacing w:before="60" w:after="60"/>
      <w:outlineLvl w:val="2"/>
    </w:pPr>
    <w:rPr>
      <w:rFonts w:cs="Arial"/>
      <w:b/>
      <w:bCs/>
      <w:szCs w:val="26"/>
    </w:rPr>
  </w:style>
  <w:style w:type="paragraph" w:styleId="Heading4">
    <w:name w:val="heading 4"/>
    <w:basedOn w:val="BodySubHeader"/>
    <w:next w:val="Normal"/>
    <w:uiPriority w:val="3"/>
    <w:qFormat/>
    <w:rsid w:val="005B2F0D"/>
    <w:pPr>
      <w:outlineLvl w:val="3"/>
    </w:pPr>
    <w:rPr>
      <w:rFonts w:cs="Arial"/>
    </w:rPr>
  </w:style>
  <w:style w:type="paragraph" w:styleId="Heading5">
    <w:name w:val="heading 5"/>
    <w:basedOn w:val="Normal"/>
    <w:next w:val="Normal"/>
    <w:semiHidden/>
    <w:qFormat/>
    <w:rsid w:val="00AD5436"/>
    <w:pPr>
      <w:numPr>
        <w:ilvl w:val="4"/>
        <w:numId w:val="5"/>
      </w:numPr>
      <w:spacing w:before="240" w:after="60"/>
      <w:outlineLvl w:val="4"/>
    </w:pPr>
    <w:rPr>
      <w:b/>
      <w:bCs/>
      <w:i/>
      <w:iCs/>
      <w:sz w:val="26"/>
      <w:szCs w:val="26"/>
    </w:rPr>
  </w:style>
  <w:style w:type="paragraph" w:styleId="Heading6">
    <w:name w:val="heading 6"/>
    <w:basedOn w:val="Normal"/>
    <w:next w:val="Normal"/>
    <w:semiHidden/>
    <w:qFormat/>
    <w:rsid w:val="00AD5436"/>
    <w:pPr>
      <w:numPr>
        <w:ilvl w:val="5"/>
        <w:numId w:val="5"/>
      </w:numPr>
      <w:spacing w:before="240" w:after="60"/>
      <w:outlineLvl w:val="5"/>
    </w:pPr>
    <w:rPr>
      <w:rFonts w:ascii="Times New Roman" w:hAnsi="Times New Roman"/>
      <w:b/>
      <w:bCs/>
      <w:sz w:val="22"/>
      <w:szCs w:val="22"/>
    </w:rPr>
  </w:style>
  <w:style w:type="paragraph" w:styleId="Heading7">
    <w:name w:val="heading 7"/>
    <w:basedOn w:val="Normal"/>
    <w:next w:val="Normal"/>
    <w:semiHidden/>
    <w:qFormat/>
    <w:rsid w:val="00AD5436"/>
    <w:pPr>
      <w:numPr>
        <w:ilvl w:val="6"/>
        <w:numId w:val="5"/>
      </w:numPr>
      <w:spacing w:before="240" w:after="60"/>
      <w:outlineLvl w:val="6"/>
    </w:pPr>
    <w:rPr>
      <w:rFonts w:ascii="Times New Roman" w:hAnsi="Times New Roman"/>
      <w:sz w:val="24"/>
    </w:rPr>
  </w:style>
  <w:style w:type="paragraph" w:styleId="Heading8">
    <w:name w:val="heading 8"/>
    <w:basedOn w:val="Normal"/>
    <w:next w:val="Normal"/>
    <w:semiHidden/>
    <w:qFormat/>
    <w:rsid w:val="00AD5436"/>
    <w:pPr>
      <w:numPr>
        <w:ilvl w:val="7"/>
        <w:numId w:val="5"/>
      </w:numPr>
      <w:spacing w:before="240" w:after="60"/>
      <w:outlineLvl w:val="7"/>
    </w:pPr>
    <w:rPr>
      <w:rFonts w:ascii="Times New Roman" w:hAnsi="Times New Roman"/>
      <w:i/>
      <w:iCs/>
      <w:sz w:val="24"/>
    </w:rPr>
  </w:style>
  <w:style w:type="paragraph" w:styleId="Heading9">
    <w:name w:val="heading 9"/>
    <w:basedOn w:val="Normal"/>
    <w:next w:val="Normal"/>
    <w:semiHidden/>
    <w:qFormat/>
    <w:rsid w:val="00AD5436"/>
    <w:pPr>
      <w:numPr>
        <w:ilvl w:val="8"/>
        <w:numId w:val="5"/>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rsid w:val="0070791C"/>
    <w:pPr>
      <w:tabs>
        <w:tab w:val="center" w:pos="4153"/>
        <w:tab w:val="right" w:pos="8306"/>
      </w:tabs>
      <w:spacing w:line="240" w:lineRule="auto"/>
    </w:pPr>
    <w:rPr>
      <w:sz w:val="16"/>
    </w:rPr>
  </w:style>
  <w:style w:type="paragraph" w:styleId="Footer">
    <w:name w:val="footer"/>
    <w:basedOn w:val="Normal"/>
    <w:link w:val="FooterChar"/>
    <w:semiHidden/>
    <w:qFormat/>
    <w:rsid w:val="0094078F"/>
    <w:pPr>
      <w:tabs>
        <w:tab w:val="right" w:pos="113"/>
      </w:tabs>
      <w:spacing w:line="240" w:lineRule="auto"/>
    </w:pPr>
    <w:rPr>
      <w:color w:val="323232"/>
      <w:sz w:val="16"/>
    </w:rPr>
  </w:style>
  <w:style w:type="character" w:customStyle="1" w:styleId="FooterChar">
    <w:name w:val="Footer Char"/>
    <w:basedOn w:val="DefaultParagraphFont"/>
    <w:link w:val="Footer"/>
    <w:semiHidden/>
    <w:rsid w:val="00EC2B68"/>
    <w:rPr>
      <w:rFonts w:ascii="Arial" w:hAnsi="Arial"/>
      <w:color w:val="323232"/>
      <w:sz w:val="16"/>
    </w:rPr>
  </w:style>
  <w:style w:type="paragraph" w:customStyle="1" w:styleId="Reporttitle">
    <w:name w:val="Report title"/>
    <w:basedOn w:val="Normal"/>
    <w:uiPriority w:val="19"/>
    <w:qFormat/>
    <w:rsid w:val="00A51D1A"/>
    <w:pPr>
      <w:spacing w:after="0" w:line="560" w:lineRule="exact"/>
    </w:pPr>
    <w:rPr>
      <w:b/>
      <w:spacing w:val="-28"/>
      <w:sz w:val="53"/>
    </w:rPr>
  </w:style>
  <w:style w:type="paragraph" w:customStyle="1" w:styleId="Reportsubtitle">
    <w:name w:val="Report subtitle"/>
    <w:basedOn w:val="Normal"/>
    <w:uiPriority w:val="20"/>
    <w:qFormat/>
    <w:rsid w:val="00950159"/>
    <w:pPr>
      <w:spacing w:after="200" w:line="560" w:lineRule="exact"/>
    </w:pPr>
    <w:rPr>
      <w:color w:val="323232"/>
      <w:spacing w:val="-28"/>
      <w:sz w:val="53"/>
    </w:rPr>
  </w:style>
  <w:style w:type="table" w:styleId="TableGrid">
    <w:name w:val="Table Grid"/>
    <w:basedOn w:val="TableNormal"/>
    <w:uiPriority w:val="59"/>
    <w:rsid w:val="00226819"/>
    <w:pPr>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portdate">
    <w:name w:val="Report date"/>
    <w:basedOn w:val="Reportsubtitle"/>
    <w:uiPriority w:val="21"/>
    <w:qFormat/>
    <w:rsid w:val="00950159"/>
    <w:pPr>
      <w:spacing w:after="1200" w:line="240" w:lineRule="auto"/>
    </w:pPr>
    <w:rPr>
      <w:caps/>
      <w:spacing w:val="-10"/>
      <w:sz w:val="20"/>
    </w:rPr>
  </w:style>
  <w:style w:type="paragraph" w:customStyle="1" w:styleId="Tableheaderrow">
    <w:name w:val="Table header row"/>
    <w:basedOn w:val="Normal"/>
    <w:uiPriority w:val="14"/>
    <w:qFormat/>
    <w:rsid w:val="00774FDB"/>
    <w:pPr>
      <w:spacing w:after="0"/>
    </w:pPr>
    <w:rPr>
      <w:b/>
    </w:rPr>
  </w:style>
  <w:style w:type="paragraph" w:customStyle="1" w:styleId="PageNumber">
    <w:name w:val="PageNumber"/>
    <w:basedOn w:val="Normal"/>
    <w:semiHidden/>
    <w:rsid w:val="0070791C"/>
    <w:pPr>
      <w:spacing w:line="240" w:lineRule="auto"/>
    </w:pPr>
    <w:rPr>
      <w:sz w:val="16"/>
    </w:rPr>
  </w:style>
  <w:style w:type="paragraph" w:customStyle="1" w:styleId="Copyright">
    <w:name w:val="Copyright"/>
    <w:basedOn w:val="Normal"/>
    <w:semiHidden/>
    <w:rsid w:val="00454596"/>
    <w:pPr>
      <w:spacing w:line="160" w:lineRule="exact"/>
    </w:pPr>
    <w:rPr>
      <w:color w:val="4D4D4F"/>
      <w:sz w:val="13"/>
    </w:rPr>
  </w:style>
  <w:style w:type="paragraph" w:styleId="TOCHeading">
    <w:name w:val="TOC Heading"/>
    <w:basedOn w:val="Normal"/>
    <w:semiHidden/>
    <w:qFormat/>
    <w:rsid w:val="00950159"/>
    <w:pPr>
      <w:spacing w:before="1200" w:line="240" w:lineRule="auto"/>
    </w:pPr>
    <w:rPr>
      <w:b/>
      <w:color w:val="323232"/>
      <w:spacing w:val="-28"/>
      <w:sz w:val="53"/>
    </w:rPr>
  </w:style>
  <w:style w:type="paragraph" w:styleId="Caption">
    <w:name w:val="caption"/>
    <w:aliases w:val="Caption table"/>
    <w:basedOn w:val="Normal"/>
    <w:next w:val="Normal"/>
    <w:semiHidden/>
    <w:qFormat/>
    <w:rsid w:val="00E8152A"/>
    <w:pPr>
      <w:numPr>
        <w:numId w:val="9"/>
      </w:numPr>
      <w:spacing w:after="0"/>
    </w:pPr>
    <w:rPr>
      <w:b/>
      <w:bCs/>
      <w:color w:val="323232"/>
      <w:szCs w:val="20"/>
    </w:rPr>
  </w:style>
  <w:style w:type="paragraph" w:customStyle="1" w:styleId="BodySubHeader">
    <w:name w:val="BodySubHeader"/>
    <w:basedOn w:val="Normal"/>
    <w:next w:val="Normal"/>
    <w:semiHidden/>
    <w:rsid w:val="00146CE6"/>
    <w:pPr>
      <w:spacing w:before="240" w:after="0"/>
    </w:pPr>
    <w:rPr>
      <w:b/>
      <w:i/>
    </w:rPr>
  </w:style>
  <w:style w:type="paragraph" w:styleId="ListBullet">
    <w:name w:val="List Bullet"/>
    <w:basedOn w:val="Normal"/>
    <w:qFormat/>
    <w:rsid w:val="001C6AEE"/>
    <w:pPr>
      <w:numPr>
        <w:numId w:val="1"/>
      </w:numPr>
      <w:spacing w:after="80"/>
    </w:pPr>
  </w:style>
  <w:style w:type="paragraph" w:styleId="ListBullet2">
    <w:name w:val="List Bullet 2"/>
    <w:basedOn w:val="Normal"/>
    <w:semiHidden/>
    <w:qFormat/>
    <w:rsid w:val="001C6AEE"/>
    <w:pPr>
      <w:numPr>
        <w:numId w:val="2"/>
      </w:numPr>
      <w:spacing w:after="80"/>
    </w:pPr>
  </w:style>
  <w:style w:type="paragraph" w:styleId="ListNumber">
    <w:name w:val="List Number"/>
    <w:basedOn w:val="Normal"/>
    <w:semiHidden/>
    <w:qFormat/>
    <w:rsid w:val="00C24A53"/>
    <w:pPr>
      <w:numPr>
        <w:numId w:val="3"/>
      </w:numPr>
      <w:spacing w:after="80"/>
    </w:pPr>
  </w:style>
  <w:style w:type="paragraph" w:styleId="ListNumber2">
    <w:name w:val="List Number 2"/>
    <w:basedOn w:val="Normal"/>
    <w:qFormat/>
    <w:rsid w:val="004A70D6"/>
    <w:pPr>
      <w:numPr>
        <w:numId w:val="4"/>
      </w:numPr>
      <w:spacing w:after="80"/>
      <w:ind w:left="828" w:hanging="357"/>
    </w:pPr>
  </w:style>
  <w:style w:type="paragraph" w:customStyle="1" w:styleId="URLEmail">
    <w:name w:val="URL/Email"/>
    <w:basedOn w:val="Normal"/>
    <w:semiHidden/>
    <w:rsid w:val="00302480"/>
    <w:rPr>
      <w:color w:val="4D4D4F"/>
      <w:spacing w:val="4"/>
    </w:rPr>
  </w:style>
  <w:style w:type="paragraph" w:customStyle="1" w:styleId="Execsummaryheading">
    <w:name w:val="Exec summary heading"/>
    <w:basedOn w:val="Normal"/>
    <w:uiPriority w:val="22"/>
    <w:qFormat/>
    <w:rsid w:val="006B52DE"/>
    <w:pPr>
      <w:pageBreakBefore/>
      <w:spacing w:after="1440" w:line="550" w:lineRule="exact"/>
    </w:pPr>
    <w:rPr>
      <w:b/>
      <w:color w:val="323232"/>
      <w:spacing w:val="-18"/>
      <w:sz w:val="53"/>
    </w:rPr>
  </w:style>
  <w:style w:type="character" w:styleId="PageNumber0">
    <w:name w:val="page number"/>
    <w:basedOn w:val="DefaultParagraphFont"/>
    <w:semiHidden/>
    <w:rsid w:val="00542377"/>
  </w:style>
  <w:style w:type="paragraph" w:styleId="ListContinue5">
    <w:name w:val="List Continue 5"/>
    <w:basedOn w:val="Normal"/>
    <w:semiHidden/>
    <w:rsid w:val="00EC2B68"/>
    <w:pPr>
      <w:spacing w:after="120"/>
      <w:ind w:left="1415"/>
      <w:contextualSpacing/>
    </w:pPr>
  </w:style>
  <w:style w:type="paragraph" w:customStyle="1" w:styleId="Paragraphbeforelist">
    <w:name w:val="Paragraph before list"/>
    <w:basedOn w:val="Paragraph"/>
    <w:uiPriority w:val="4"/>
    <w:qFormat/>
    <w:rsid w:val="00C87E8A"/>
    <w:pPr>
      <w:spacing w:after="80"/>
    </w:pPr>
  </w:style>
  <w:style w:type="paragraph" w:styleId="TOC1">
    <w:name w:val="toc 1"/>
    <w:basedOn w:val="Normal"/>
    <w:next w:val="Normal"/>
    <w:uiPriority w:val="39"/>
    <w:qFormat/>
    <w:rsid w:val="007A6CC0"/>
    <w:pPr>
      <w:tabs>
        <w:tab w:val="right" w:pos="7660"/>
      </w:tabs>
      <w:spacing w:before="280" w:after="80" w:line="320" w:lineRule="exact"/>
      <w:ind w:right="851"/>
    </w:pPr>
    <w:rPr>
      <w:b/>
      <w:noProof/>
      <w:spacing w:val="-14"/>
      <w:sz w:val="28"/>
    </w:rPr>
  </w:style>
  <w:style w:type="paragraph" w:styleId="TOC2">
    <w:name w:val="toc 2"/>
    <w:basedOn w:val="Normal"/>
    <w:next w:val="Normal"/>
    <w:uiPriority w:val="39"/>
    <w:qFormat/>
    <w:rsid w:val="007A6CC0"/>
    <w:pPr>
      <w:tabs>
        <w:tab w:val="right" w:pos="7660"/>
      </w:tabs>
      <w:spacing w:after="80" w:line="300" w:lineRule="exact"/>
      <w:ind w:left="885" w:hanging="885"/>
    </w:pPr>
    <w:rPr>
      <w:noProof/>
      <w:spacing w:val="-14"/>
      <w:sz w:val="26"/>
      <w:szCs w:val="26"/>
    </w:rPr>
  </w:style>
  <w:style w:type="paragraph" w:styleId="TableofFigures">
    <w:name w:val="table of figures"/>
    <w:basedOn w:val="Normal"/>
    <w:next w:val="Normal"/>
    <w:semiHidden/>
    <w:rsid w:val="00AD3082"/>
    <w:pPr>
      <w:tabs>
        <w:tab w:val="right" w:pos="7615"/>
      </w:tabs>
      <w:spacing w:line="320" w:lineRule="exact"/>
    </w:pPr>
    <w:rPr>
      <w:noProof/>
      <w:color w:val="808285"/>
      <w:sz w:val="28"/>
    </w:rPr>
  </w:style>
  <w:style w:type="paragraph" w:styleId="TOC3">
    <w:name w:val="toc 3"/>
    <w:basedOn w:val="Normal"/>
    <w:next w:val="Normal"/>
    <w:uiPriority w:val="39"/>
    <w:qFormat/>
    <w:rsid w:val="007A6CC0"/>
    <w:pPr>
      <w:tabs>
        <w:tab w:val="right" w:pos="7661"/>
      </w:tabs>
      <w:spacing w:after="80" w:line="240" w:lineRule="auto"/>
    </w:pPr>
    <w:rPr>
      <w:noProof/>
      <w:sz w:val="22"/>
      <w:szCs w:val="22"/>
    </w:rPr>
  </w:style>
  <w:style w:type="character" w:styleId="Hyperlink">
    <w:name w:val="Hyperlink"/>
    <w:basedOn w:val="DefaultParagraphFont"/>
    <w:uiPriority w:val="99"/>
    <w:qFormat/>
    <w:rsid w:val="00C35CCE"/>
    <w:rPr>
      <w:color w:val="0000FF"/>
      <w:u w:val="single" w:color="0000FF"/>
    </w:rPr>
  </w:style>
  <w:style w:type="character" w:styleId="FootnoteReference">
    <w:name w:val="footnote reference"/>
    <w:basedOn w:val="DefaultParagraphFont"/>
    <w:uiPriority w:val="99"/>
    <w:rsid w:val="00566AB4"/>
    <w:rPr>
      <w:rFonts w:ascii="Arial" w:hAnsi="Arial"/>
      <w:vertAlign w:val="superscript"/>
    </w:rPr>
  </w:style>
  <w:style w:type="paragraph" w:styleId="FootnoteText">
    <w:name w:val="footnote text"/>
    <w:aliases w:val="Footnote text,ACMA Footnote Text,ABA Footnote Text"/>
    <w:basedOn w:val="Normal"/>
    <w:link w:val="FootnoteTextChar"/>
    <w:uiPriority w:val="99"/>
    <w:qFormat/>
    <w:rsid w:val="00D61243"/>
    <w:pPr>
      <w:spacing w:after="0"/>
    </w:pPr>
    <w:rPr>
      <w:sz w:val="16"/>
      <w:szCs w:val="16"/>
    </w:rPr>
  </w:style>
  <w:style w:type="paragraph" w:customStyle="1" w:styleId="TableBody">
    <w:name w:val="Table Body"/>
    <w:basedOn w:val="Normal"/>
    <w:qFormat/>
    <w:rsid w:val="00774FDB"/>
    <w:pPr>
      <w:spacing w:after="0" w:line="240" w:lineRule="auto"/>
    </w:pPr>
  </w:style>
  <w:style w:type="character" w:styleId="CommentReference">
    <w:name w:val="annotation reference"/>
    <w:basedOn w:val="DefaultParagraphFont"/>
    <w:semiHidden/>
    <w:rsid w:val="00EE7F79"/>
    <w:rPr>
      <w:sz w:val="16"/>
      <w:szCs w:val="16"/>
    </w:rPr>
  </w:style>
  <w:style w:type="paragraph" w:styleId="CommentText">
    <w:name w:val="annotation text"/>
    <w:basedOn w:val="Normal"/>
    <w:link w:val="CommentTextChar"/>
    <w:semiHidden/>
    <w:rsid w:val="00EE7F79"/>
    <w:pPr>
      <w:spacing w:line="240" w:lineRule="auto"/>
    </w:pPr>
    <w:rPr>
      <w:szCs w:val="20"/>
    </w:rPr>
  </w:style>
  <w:style w:type="character" w:customStyle="1" w:styleId="CommentTextChar">
    <w:name w:val="Comment Text Char"/>
    <w:basedOn w:val="DefaultParagraphFont"/>
    <w:link w:val="CommentText"/>
    <w:semiHidden/>
    <w:rsid w:val="00EE7F79"/>
    <w:rPr>
      <w:rFonts w:ascii="Arial" w:hAnsi="Arial"/>
    </w:rPr>
  </w:style>
  <w:style w:type="paragraph" w:styleId="CommentSubject">
    <w:name w:val="annotation subject"/>
    <w:basedOn w:val="CommentText"/>
    <w:next w:val="CommentText"/>
    <w:link w:val="CommentSubjectChar"/>
    <w:semiHidden/>
    <w:rsid w:val="00EE7F79"/>
    <w:rPr>
      <w:b/>
      <w:bCs/>
    </w:rPr>
  </w:style>
  <w:style w:type="character" w:customStyle="1" w:styleId="CommentSubjectChar">
    <w:name w:val="Comment Subject Char"/>
    <w:basedOn w:val="CommentTextChar"/>
    <w:link w:val="CommentSubject"/>
    <w:semiHidden/>
    <w:rsid w:val="00EE7F79"/>
    <w:rPr>
      <w:rFonts w:ascii="Arial" w:hAnsi="Arial"/>
      <w:b/>
      <w:bCs/>
    </w:rPr>
  </w:style>
  <w:style w:type="character" w:styleId="FollowedHyperlink">
    <w:name w:val="FollowedHyperlink"/>
    <w:basedOn w:val="DefaultParagraphFont"/>
    <w:semiHidden/>
    <w:rsid w:val="00F60F00"/>
    <w:rPr>
      <w:color w:val="800080" w:themeColor="followedHyperlink"/>
      <w:u w:val="single"/>
    </w:rPr>
  </w:style>
  <w:style w:type="character" w:styleId="PlaceholderText">
    <w:name w:val="Placeholder Text"/>
    <w:basedOn w:val="DefaultParagraphFont"/>
    <w:uiPriority w:val="99"/>
    <w:semiHidden/>
    <w:rsid w:val="00C97736"/>
    <w:rPr>
      <w:color w:val="808080"/>
    </w:rPr>
  </w:style>
  <w:style w:type="paragraph" w:customStyle="1" w:styleId="ACMAInstructions">
    <w:name w:val="ACMA_Instructions"/>
    <w:basedOn w:val="Normal"/>
    <w:semiHidden/>
    <w:unhideWhenUsed/>
    <w:qFormat/>
    <w:rsid w:val="00BF610C"/>
    <w:pPr>
      <w:spacing w:after="200"/>
    </w:pPr>
    <w:rPr>
      <w:rFonts w:cs="Arial"/>
      <w:b/>
      <w:vanish/>
      <w:sz w:val="24"/>
    </w:rPr>
  </w:style>
  <w:style w:type="paragraph" w:customStyle="1" w:styleId="CorporateAddresses">
    <w:name w:val="Corporate Addresses"/>
    <w:basedOn w:val="Normal"/>
    <w:semiHidden/>
    <w:rsid w:val="0005011A"/>
    <w:pPr>
      <w:spacing w:line="140" w:lineRule="exact"/>
    </w:pPr>
    <w:rPr>
      <w:color w:val="4D4D4F"/>
      <w:sz w:val="13"/>
    </w:rPr>
  </w:style>
  <w:style w:type="paragraph" w:customStyle="1" w:styleId="Bulletlevel1">
    <w:name w:val="Bullet level 1"/>
    <w:basedOn w:val="ListBullet"/>
    <w:uiPriority w:val="5"/>
    <w:qFormat/>
    <w:rsid w:val="00A824E8"/>
    <w:rPr>
      <w:rFonts w:cs="Arial"/>
    </w:rPr>
  </w:style>
  <w:style w:type="paragraph" w:customStyle="1" w:styleId="ACMACorporateAddressHeader">
    <w:name w:val="ACMA_CorporateAddressHeader"/>
    <w:basedOn w:val="Normal"/>
    <w:next w:val="ACMACorporateAddresses"/>
    <w:semiHidden/>
    <w:unhideWhenUsed/>
    <w:qFormat/>
    <w:rsid w:val="00FC07B9"/>
    <w:pPr>
      <w:tabs>
        <w:tab w:val="left" w:pos="142"/>
      </w:tabs>
      <w:spacing w:before="240" w:after="0" w:line="140" w:lineRule="exact"/>
    </w:pPr>
    <w:rPr>
      <w:b/>
      <w:sz w:val="13"/>
    </w:rPr>
  </w:style>
  <w:style w:type="paragraph" w:customStyle="1" w:styleId="ACMACorporateAddresses">
    <w:name w:val="ACMA_CorporateAddresses"/>
    <w:basedOn w:val="ACMACorporateAddressHeader"/>
    <w:semiHidden/>
    <w:unhideWhenUsed/>
    <w:qFormat/>
    <w:rsid w:val="00FC07B9"/>
    <w:pPr>
      <w:spacing w:before="0" w:after="120"/>
    </w:pPr>
    <w:rPr>
      <w:b w:val="0"/>
    </w:rPr>
  </w:style>
  <w:style w:type="paragraph" w:customStyle="1" w:styleId="ACMACopyrightHeader">
    <w:name w:val="ACMA_CopyrightHeader"/>
    <w:basedOn w:val="ACMACorporateAddressHeader"/>
    <w:semiHidden/>
    <w:unhideWhenUsed/>
    <w:qFormat/>
    <w:rsid w:val="00950159"/>
    <w:pPr>
      <w:spacing w:before="3000"/>
    </w:pPr>
  </w:style>
  <w:style w:type="paragraph" w:customStyle="1" w:styleId="ACMACClogo">
    <w:name w:val="ACMA_CClogo"/>
    <w:semiHidden/>
    <w:unhideWhenUsed/>
    <w:qFormat/>
    <w:rsid w:val="00623FF9"/>
    <w:pPr>
      <w:spacing w:before="160" w:after="120"/>
    </w:pPr>
    <w:rPr>
      <w:rFonts w:ascii="Arial" w:hAnsi="Arial"/>
      <w:b/>
      <w:sz w:val="13"/>
    </w:rPr>
  </w:style>
  <w:style w:type="paragraph" w:customStyle="1" w:styleId="ListBulletLast">
    <w:name w:val="List Bullet Last"/>
    <w:basedOn w:val="ListBullet"/>
    <w:qFormat/>
    <w:rsid w:val="00146CE6"/>
    <w:pPr>
      <w:spacing w:after="240"/>
    </w:pPr>
    <w:rPr>
      <w:rFonts w:cs="Arial"/>
    </w:rPr>
  </w:style>
  <w:style w:type="paragraph" w:customStyle="1" w:styleId="ListNumberLast">
    <w:name w:val="List Number Last"/>
    <w:basedOn w:val="ListNumber"/>
    <w:semiHidden/>
    <w:qFormat/>
    <w:rsid w:val="00C16198"/>
    <w:pPr>
      <w:spacing w:after="240"/>
      <w:ind w:left="357" w:hanging="357"/>
    </w:pPr>
    <w:rPr>
      <w:rFonts w:cs="Arial"/>
    </w:rPr>
  </w:style>
  <w:style w:type="paragraph" w:customStyle="1" w:styleId="ACMATableHeader">
    <w:name w:val="ACMA_TableHeader"/>
    <w:semiHidden/>
    <w:qFormat/>
    <w:rsid w:val="003F10EE"/>
    <w:pPr>
      <w:numPr>
        <w:numId w:val="7"/>
      </w:numPr>
      <w:spacing w:after="160"/>
    </w:pPr>
    <w:rPr>
      <w:rFonts w:ascii="Arial" w:hAnsi="Arial"/>
      <w:b/>
      <w:bCs/>
      <w:color w:val="323232"/>
      <w:sz w:val="20"/>
      <w:szCs w:val="20"/>
    </w:rPr>
  </w:style>
  <w:style w:type="paragraph" w:customStyle="1" w:styleId="ACMANotes">
    <w:name w:val="ACMA_Notes"/>
    <w:semiHidden/>
    <w:rsid w:val="00FF206E"/>
    <w:pPr>
      <w:spacing w:before="80"/>
    </w:pPr>
    <w:rPr>
      <w:rFonts w:ascii="Arial" w:hAnsi="Arial" w:cs="Arial"/>
      <w:i/>
      <w:sz w:val="16"/>
    </w:rPr>
  </w:style>
  <w:style w:type="paragraph" w:customStyle="1" w:styleId="Numberlistlevel1">
    <w:name w:val="Number list level 1"/>
    <w:basedOn w:val="ListNumber"/>
    <w:uiPriority w:val="9"/>
    <w:qFormat/>
    <w:rsid w:val="004A70D6"/>
  </w:style>
  <w:style w:type="character" w:styleId="Emphasis">
    <w:name w:val="Emphasis"/>
    <w:basedOn w:val="DefaultParagraphFont"/>
    <w:semiHidden/>
    <w:qFormat/>
    <w:rsid w:val="006D576C"/>
    <w:rPr>
      <w:i/>
      <w:iCs/>
    </w:rPr>
  </w:style>
  <w:style w:type="paragraph" w:customStyle="1" w:styleId="ListNumber2Last">
    <w:name w:val="List Number 2 Last"/>
    <w:basedOn w:val="ListNumber2"/>
    <w:semiHidden/>
    <w:qFormat/>
    <w:rsid w:val="00E35707"/>
    <w:pPr>
      <w:spacing w:after="240"/>
      <w:ind w:left="907"/>
    </w:pPr>
    <w:rPr>
      <w:rFonts w:cs="Arial"/>
    </w:rPr>
  </w:style>
  <w:style w:type="paragraph" w:customStyle="1" w:styleId="Spaceaftertable">
    <w:name w:val="Space after table"/>
    <w:basedOn w:val="Normal"/>
    <w:uiPriority w:val="99"/>
    <w:qFormat/>
    <w:rsid w:val="00C2083D"/>
    <w:rPr>
      <w:rFonts w:cs="Arial"/>
    </w:rPr>
  </w:style>
  <w:style w:type="paragraph" w:customStyle="1" w:styleId="FooterLeft">
    <w:name w:val="Footer Left"/>
    <w:basedOn w:val="Footer"/>
    <w:semiHidden/>
    <w:qFormat/>
    <w:rsid w:val="00950159"/>
    <w:pPr>
      <w:framePr w:w="1440" w:h="357" w:hRule="exact" w:vSpace="425" w:wrap="around" w:vAnchor="page" w:hAnchor="page" w:x="935" w:y="15871"/>
      <w:pBdr>
        <w:top w:val="single" w:sz="4" w:space="1" w:color="auto"/>
      </w:pBdr>
    </w:pPr>
    <w:rPr>
      <w:rFonts w:cs="Arial"/>
    </w:rPr>
  </w:style>
  <w:style w:type="paragraph" w:customStyle="1" w:styleId="ACMAFigureHeader">
    <w:name w:val="ACMA_FigureHeader"/>
    <w:semiHidden/>
    <w:qFormat/>
    <w:rsid w:val="003F10EE"/>
    <w:pPr>
      <w:numPr>
        <w:numId w:val="6"/>
      </w:numPr>
      <w:spacing w:after="160"/>
    </w:pPr>
    <w:rPr>
      <w:rFonts w:ascii="Arial" w:hAnsi="Arial"/>
      <w:b/>
      <w:bCs/>
      <w:color w:val="323232"/>
      <w:sz w:val="20"/>
      <w:szCs w:val="20"/>
    </w:rPr>
  </w:style>
  <w:style w:type="paragraph" w:customStyle="1" w:styleId="Captionfigure">
    <w:name w:val="Caption figure"/>
    <w:basedOn w:val="Caption"/>
    <w:semiHidden/>
    <w:qFormat/>
    <w:rsid w:val="00E8152A"/>
    <w:pPr>
      <w:keepNext/>
      <w:numPr>
        <w:numId w:val="8"/>
      </w:numPr>
    </w:pPr>
    <w:rPr>
      <w:rFonts w:cs="Arial"/>
    </w:rPr>
  </w:style>
  <w:style w:type="paragraph" w:customStyle="1" w:styleId="GridTable31">
    <w:name w:val="Grid Table 31"/>
    <w:basedOn w:val="Normal"/>
    <w:semiHidden/>
    <w:qFormat/>
    <w:rsid w:val="00971914"/>
    <w:pPr>
      <w:spacing w:after="0" w:line="240" w:lineRule="auto"/>
    </w:pPr>
    <w:rPr>
      <w:b/>
      <w:color w:val="4D4D4F"/>
      <w:spacing w:val="-28"/>
      <w:sz w:val="53"/>
    </w:rPr>
  </w:style>
  <w:style w:type="character" w:customStyle="1" w:styleId="HeaderChar">
    <w:name w:val="Header Char"/>
    <w:link w:val="Header"/>
    <w:semiHidden/>
    <w:rsid w:val="00971914"/>
    <w:rPr>
      <w:rFonts w:ascii="Arial" w:hAnsi="Arial"/>
      <w:sz w:val="16"/>
    </w:rPr>
  </w:style>
  <w:style w:type="character" w:customStyle="1" w:styleId="Heading1Char">
    <w:name w:val="Heading 1 Char"/>
    <w:basedOn w:val="DefaultParagraphFont"/>
    <w:link w:val="Heading1"/>
    <w:uiPriority w:val="1"/>
    <w:rsid w:val="00F5310D"/>
    <w:rPr>
      <w:rFonts w:ascii="Arial" w:hAnsi="Arial" w:cs="Arial"/>
      <w:bCs/>
      <w:color w:val="323232"/>
      <w:kern w:val="32"/>
      <w:sz w:val="53"/>
      <w:szCs w:val="32"/>
    </w:rPr>
  </w:style>
  <w:style w:type="character" w:customStyle="1" w:styleId="Heading2Char">
    <w:name w:val="Heading 2 Char"/>
    <w:basedOn w:val="DefaultParagraphFont"/>
    <w:link w:val="Heading2"/>
    <w:rsid w:val="00800CCD"/>
    <w:rPr>
      <w:rFonts w:ascii="Arial" w:hAnsi="Arial" w:cs="Arial"/>
      <w:b/>
      <w:bCs/>
      <w:iCs/>
      <w:sz w:val="28"/>
      <w:szCs w:val="28"/>
    </w:rPr>
  </w:style>
  <w:style w:type="character" w:styleId="UnresolvedMention">
    <w:name w:val="Unresolved Mention"/>
    <w:basedOn w:val="DefaultParagraphFont"/>
    <w:uiPriority w:val="99"/>
    <w:semiHidden/>
    <w:unhideWhenUsed/>
    <w:rsid w:val="006B52DE"/>
    <w:rPr>
      <w:color w:val="605E5C"/>
      <w:shd w:val="clear" w:color="auto" w:fill="E1DFDD"/>
    </w:rPr>
  </w:style>
  <w:style w:type="character" w:customStyle="1" w:styleId="Heading3Char">
    <w:name w:val="Heading 3 Char"/>
    <w:basedOn w:val="DefaultParagraphFont"/>
    <w:link w:val="Heading3"/>
    <w:uiPriority w:val="2"/>
    <w:rsid w:val="00390D91"/>
    <w:rPr>
      <w:rFonts w:ascii="Arial" w:hAnsi="Arial" w:cs="Arial"/>
      <w:b/>
      <w:bCs/>
      <w:sz w:val="20"/>
      <w:szCs w:val="26"/>
    </w:rPr>
  </w:style>
  <w:style w:type="paragraph" w:customStyle="1" w:styleId="Paragraph">
    <w:name w:val="Paragraph"/>
    <w:basedOn w:val="Normal"/>
    <w:qFormat/>
    <w:rsid w:val="00A824E8"/>
    <w:rPr>
      <w:rFonts w:cs="Arial"/>
    </w:rPr>
  </w:style>
  <w:style w:type="paragraph" w:customStyle="1" w:styleId="Bulletlevel2">
    <w:name w:val="Bullet level 2"/>
    <w:basedOn w:val="ListBullet2"/>
    <w:uiPriority w:val="7"/>
    <w:qFormat/>
    <w:rsid w:val="00D43B47"/>
    <w:pPr>
      <w:ind w:left="590" w:hanging="295"/>
    </w:pPr>
    <w:rPr>
      <w:rFonts w:cs="Arial"/>
    </w:rPr>
  </w:style>
  <w:style w:type="paragraph" w:customStyle="1" w:styleId="Bulletlevel1last">
    <w:name w:val="Bullet level 1 last"/>
    <w:basedOn w:val="ListBulletLast"/>
    <w:uiPriority w:val="6"/>
    <w:qFormat/>
    <w:rsid w:val="00A824E8"/>
  </w:style>
  <w:style w:type="paragraph" w:customStyle="1" w:styleId="Numberlistlevel2">
    <w:name w:val="Number list level 2"/>
    <w:basedOn w:val="ListNumber2"/>
    <w:uiPriority w:val="11"/>
    <w:qFormat/>
    <w:rsid w:val="00801FEB"/>
    <w:pPr>
      <w:ind w:left="766" w:hanging="295"/>
    </w:pPr>
  </w:style>
  <w:style w:type="paragraph" w:customStyle="1" w:styleId="Numberlistlast">
    <w:name w:val="Number list last"/>
    <w:basedOn w:val="ListNumberLast"/>
    <w:uiPriority w:val="10"/>
    <w:qFormat/>
    <w:rsid w:val="004A70D6"/>
  </w:style>
  <w:style w:type="paragraph" w:customStyle="1" w:styleId="Numberlistlevel2last">
    <w:name w:val="Number list level 2 last"/>
    <w:basedOn w:val="Numberlistlevel2"/>
    <w:uiPriority w:val="12"/>
    <w:qFormat/>
    <w:rsid w:val="004A70D6"/>
    <w:pPr>
      <w:spacing w:after="240"/>
    </w:pPr>
  </w:style>
  <w:style w:type="paragraph" w:customStyle="1" w:styleId="Bulletlevel2last">
    <w:name w:val="Bullet level 2 last"/>
    <w:basedOn w:val="Bulletlevel2"/>
    <w:uiPriority w:val="8"/>
    <w:qFormat/>
    <w:rsid w:val="004A70D6"/>
    <w:pPr>
      <w:spacing w:after="240"/>
    </w:pPr>
  </w:style>
  <w:style w:type="table" w:customStyle="1" w:styleId="ACMAtablestyle">
    <w:name w:val="ACMA table style"/>
    <w:basedOn w:val="TableNormal"/>
    <w:uiPriority w:val="99"/>
    <w:rsid w:val="00F361D7"/>
    <w:rPr>
      <w:rFonts w:ascii="Arial" w:hAnsi="Arial"/>
      <w:sz w:val="20"/>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57" w:type="dxa"/>
        <w:bottom w:w="85" w:type="dxa"/>
        <w:right w:w="57" w:type="dxa"/>
      </w:tblCellMar>
    </w:tblPr>
    <w:tblStylePr w:type="firstRow">
      <w:rPr>
        <w:rFonts w:ascii="Arial" w:hAnsi="Arial"/>
        <w:b w:val="0"/>
        <w:color w:val="FFFFFF" w:themeColor="background1"/>
        <w:sz w:val="20"/>
      </w:rPr>
      <w:tblPr/>
      <w:trPr>
        <w:tblHeader/>
      </w:trPr>
      <w:tcPr>
        <w:tcBorders>
          <w:top w:val="single" w:sz="4" w:space="0" w:color="auto"/>
          <w:left w:val="single" w:sz="4" w:space="0" w:color="auto"/>
          <w:bottom w:val="single" w:sz="4" w:space="0" w:color="auto"/>
          <w:right w:val="single" w:sz="4" w:space="0" w:color="auto"/>
          <w:insideH w:val="nil"/>
          <w:insideV w:val="nil"/>
        </w:tcBorders>
        <w:shd w:val="clear" w:color="auto" w:fill="404040" w:themeFill="text1" w:themeFillTint="BF"/>
      </w:tcPr>
    </w:tblStylePr>
    <w:tblStylePr w:type="band1Horz">
      <w:rPr>
        <w:rFonts w:ascii="Arial" w:hAnsi="Arial"/>
        <w:sz w:val="20"/>
      </w:rPr>
      <w:tblPr/>
      <w:tcPr>
        <w:shd w:val="clear" w:color="auto" w:fill="F2F2F2" w:themeFill="background1" w:themeFillShade="F2"/>
      </w:tcPr>
    </w:tblStylePr>
    <w:tblStylePr w:type="band2Horz">
      <w:rPr>
        <w:rFonts w:ascii="Arial" w:hAnsi="Arial"/>
        <w:sz w:val="20"/>
      </w:rPr>
    </w:tblStylePr>
  </w:style>
  <w:style w:type="paragraph" w:customStyle="1" w:styleId="Tableheading">
    <w:name w:val="Table heading"/>
    <w:basedOn w:val="ACMATableHeader"/>
    <w:next w:val="Paragraph"/>
    <w:uiPriority w:val="13"/>
    <w:qFormat/>
    <w:rsid w:val="0063346D"/>
    <w:pPr>
      <w:keepNext/>
      <w:spacing w:line="240" w:lineRule="atLeast"/>
    </w:pPr>
  </w:style>
  <w:style w:type="paragraph" w:customStyle="1" w:styleId="Tableorfigurenote">
    <w:name w:val="Table or figure note"/>
    <w:basedOn w:val="ACMANotes"/>
    <w:uiPriority w:val="17"/>
    <w:qFormat/>
    <w:rsid w:val="00930510"/>
    <w:pPr>
      <w:spacing w:after="240"/>
    </w:pPr>
  </w:style>
  <w:style w:type="paragraph" w:customStyle="1" w:styleId="Figureheading">
    <w:name w:val="Figure heading"/>
    <w:basedOn w:val="ACMAFigureHeader"/>
    <w:next w:val="Paragraph"/>
    <w:uiPriority w:val="16"/>
    <w:qFormat/>
    <w:rsid w:val="0063346D"/>
    <w:pPr>
      <w:keepNext/>
      <w:spacing w:line="240" w:lineRule="atLeast"/>
    </w:pPr>
  </w:style>
  <w:style w:type="paragraph" w:customStyle="1" w:styleId="Tableorfigurenotemultiple">
    <w:name w:val="Table or figure note multiple"/>
    <w:basedOn w:val="Tableorfigurenote"/>
    <w:uiPriority w:val="18"/>
    <w:qFormat/>
    <w:rsid w:val="00930510"/>
    <w:pPr>
      <w:spacing w:after="80"/>
    </w:pPr>
  </w:style>
  <w:style w:type="paragraph" w:styleId="BalloonText">
    <w:name w:val="Balloon Text"/>
    <w:basedOn w:val="Normal"/>
    <w:link w:val="BalloonTextChar"/>
    <w:semiHidden/>
    <w:unhideWhenUsed/>
    <w:rsid w:val="003933E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3933E8"/>
    <w:rPr>
      <w:rFonts w:ascii="Segoe UI" w:hAnsi="Segoe UI" w:cs="Segoe UI"/>
      <w:sz w:val="18"/>
      <w:szCs w:val="18"/>
    </w:rPr>
  </w:style>
  <w:style w:type="paragraph" w:customStyle="1" w:styleId="Note">
    <w:name w:val="Note"/>
    <w:basedOn w:val="ACMANotes"/>
    <w:uiPriority w:val="23"/>
    <w:semiHidden/>
    <w:qFormat/>
    <w:rsid w:val="00D61243"/>
  </w:style>
  <w:style w:type="paragraph" w:customStyle="1" w:styleId="Protectivemarking">
    <w:name w:val="Protective marking"/>
    <w:basedOn w:val="Normal"/>
    <w:uiPriority w:val="99"/>
    <w:qFormat/>
    <w:rsid w:val="00390D91"/>
    <w:pPr>
      <w:tabs>
        <w:tab w:val="left" w:pos="720"/>
      </w:tabs>
      <w:spacing w:after="0" w:line="240" w:lineRule="auto"/>
      <w:jc w:val="center"/>
    </w:pPr>
    <w:rPr>
      <w:rFonts w:cs="Arial"/>
      <w:b/>
      <w:bCs/>
      <w:color w:val="FF0000"/>
      <w:sz w:val="32"/>
      <w:lang w:eastAsia="en-US"/>
    </w:rPr>
  </w:style>
  <w:style w:type="paragraph" w:styleId="Revision">
    <w:name w:val="Revision"/>
    <w:hidden/>
    <w:semiHidden/>
    <w:rsid w:val="00023A36"/>
    <w:rPr>
      <w:rFonts w:ascii="Arial" w:hAnsi="Arial"/>
      <w:sz w:val="20"/>
    </w:rPr>
  </w:style>
  <w:style w:type="paragraph" w:styleId="ListParagraph">
    <w:name w:val="List Paragraph"/>
    <w:basedOn w:val="Normal"/>
    <w:uiPriority w:val="34"/>
    <w:qFormat/>
    <w:rsid w:val="002F3248"/>
    <w:pPr>
      <w:ind w:left="720"/>
      <w:contextualSpacing/>
    </w:pPr>
  </w:style>
  <w:style w:type="paragraph" w:customStyle="1" w:styleId="ACMANormalTabbed">
    <w:name w:val="ACMA_NormalTabbed"/>
    <w:basedOn w:val="Normal"/>
    <w:qFormat/>
    <w:rsid w:val="00903868"/>
    <w:pPr>
      <w:tabs>
        <w:tab w:val="left" w:pos="1134"/>
      </w:tabs>
    </w:pPr>
  </w:style>
  <w:style w:type="paragraph" w:customStyle="1" w:styleId="StyleACMABodyTextArial">
    <w:name w:val="Style ACMA Body Text + Arial"/>
    <w:basedOn w:val="Normal"/>
    <w:rsid w:val="007A4194"/>
    <w:pPr>
      <w:suppressAutoHyphens/>
      <w:spacing w:before="80" w:after="120" w:line="260" w:lineRule="atLeast"/>
    </w:pPr>
    <w:rPr>
      <w:snapToGrid w:val="0"/>
      <w:sz w:val="22"/>
      <w:szCs w:val="20"/>
      <w:lang w:eastAsia="en-US"/>
    </w:rPr>
  </w:style>
  <w:style w:type="paragraph" w:customStyle="1" w:styleId="ACMAletteredlist">
    <w:name w:val="ACMA lettered list"/>
    <w:rsid w:val="00B062FF"/>
    <w:pPr>
      <w:numPr>
        <w:numId w:val="30"/>
      </w:numPr>
      <w:tabs>
        <w:tab w:val="clear" w:pos="360"/>
      </w:tabs>
      <w:spacing w:before="20" w:after="20"/>
    </w:pPr>
    <w:rPr>
      <w:szCs w:val="20"/>
      <w:lang w:eastAsia="en-US"/>
    </w:rPr>
  </w:style>
  <w:style w:type="numbering" w:customStyle="1" w:styleId="Style1ACMA">
    <w:name w:val="Style1 ACMA"/>
    <w:uiPriority w:val="99"/>
    <w:rsid w:val="00B062FF"/>
    <w:pPr>
      <w:numPr>
        <w:numId w:val="32"/>
      </w:numPr>
    </w:pPr>
  </w:style>
  <w:style w:type="character" w:customStyle="1" w:styleId="FootnoteTextChar">
    <w:name w:val="Footnote Text Char"/>
    <w:aliases w:val="Footnote text Char,ACMA Footnote Text Char,ABA Footnote Text Char"/>
    <w:basedOn w:val="DefaultParagraphFont"/>
    <w:link w:val="FootnoteText"/>
    <w:uiPriority w:val="99"/>
    <w:rsid w:val="00802906"/>
    <w:rPr>
      <w:rFonts w:ascii="Arial" w:hAnsi="Arial"/>
      <w:sz w:val="16"/>
      <w:szCs w:val="16"/>
    </w:rPr>
  </w:style>
  <w:style w:type="paragraph" w:customStyle="1" w:styleId="ACMABodyText">
    <w:name w:val="ACMA Body Text"/>
    <w:link w:val="ACMABodyTextChar"/>
    <w:rsid w:val="00783DF9"/>
    <w:pPr>
      <w:suppressAutoHyphens/>
      <w:spacing w:before="80" w:after="120" w:line="280" w:lineRule="atLeast"/>
    </w:pPr>
    <w:rPr>
      <w:snapToGrid w:val="0"/>
      <w:szCs w:val="20"/>
      <w:lang w:eastAsia="en-US"/>
    </w:rPr>
  </w:style>
  <w:style w:type="character" w:customStyle="1" w:styleId="ACMABodyTextChar">
    <w:name w:val="ACMA Body Text Char"/>
    <w:basedOn w:val="DefaultParagraphFont"/>
    <w:link w:val="ACMABodyText"/>
    <w:rsid w:val="00783DF9"/>
    <w:rPr>
      <w:snapToGrid w:val="0"/>
      <w:szCs w:val="20"/>
      <w:lang w:eastAsia="en-US"/>
    </w:rPr>
  </w:style>
  <w:style w:type="numbering" w:customStyle="1" w:styleId="Style1ACMA1">
    <w:name w:val="Style1 ACMA1"/>
    <w:uiPriority w:val="99"/>
    <w:rsid w:val="003863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2813674">
      <w:bodyDiv w:val="1"/>
      <w:marLeft w:val="0"/>
      <w:marRight w:val="0"/>
      <w:marTop w:val="0"/>
      <w:marBottom w:val="0"/>
      <w:divBdr>
        <w:top w:val="none" w:sz="0" w:space="0" w:color="auto"/>
        <w:left w:val="none" w:sz="0" w:space="0" w:color="auto"/>
        <w:bottom w:val="none" w:sz="0" w:space="0" w:color="auto"/>
        <w:right w:val="none" w:sz="0" w:space="0" w:color="auto"/>
      </w:divBdr>
    </w:div>
    <w:div w:id="576784553">
      <w:bodyDiv w:val="1"/>
      <w:marLeft w:val="0"/>
      <w:marRight w:val="0"/>
      <w:marTop w:val="0"/>
      <w:marBottom w:val="0"/>
      <w:divBdr>
        <w:top w:val="none" w:sz="0" w:space="0" w:color="auto"/>
        <w:left w:val="none" w:sz="0" w:space="0" w:color="auto"/>
        <w:bottom w:val="none" w:sz="0" w:space="0" w:color="auto"/>
        <w:right w:val="none" w:sz="0" w:space="0" w:color="auto"/>
      </w:divBdr>
    </w:div>
    <w:div w:id="1409771268">
      <w:bodyDiv w:val="1"/>
      <w:marLeft w:val="0"/>
      <w:marRight w:val="0"/>
      <w:marTop w:val="0"/>
      <w:marBottom w:val="0"/>
      <w:divBdr>
        <w:top w:val="none" w:sz="0" w:space="0" w:color="auto"/>
        <w:left w:val="none" w:sz="0" w:space="0" w:color="auto"/>
        <w:bottom w:val="none" w:sz="0" w:space="0" w:color="auto"/>
        <w:right w:val="none" w:sz="0" w:space="0" w:color="auto"/>
      </w:divBdr>
    </w:div>
    <w:div w:id="1566910818">
      <w:bodyDiv w:val="1"/>
      <w:marLeft w:val="0"/>
      <w:marRight w:val="0"/>
      <w:marTop w:val="0"/>
      <w:marBottom w:val="0"/>
      <w:divBdr>
        <w:top w:val="none" w:sz="0" w:space="0" w:color="auto"/>
        <w:left w:val="none" w:sz="0" w:space="0" w:color="auto"/>
        <w:bottom w:val="none" w:sz="0" w:space="0" w:color="auto"/>
        <w:right w:val="none" w:sz="0" w:space="0" w:color="auto"/>
      </w:divBdr>
    </w:div>
    <w:div w:id="1925912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creativecommons.org/licenses/by/4.0/" TargetMode="External"/><Relationship Id="rId18" Type="http://schemas.openxmlformats.org/officeDocument/2006/relationships/footer" Target="footer3.xml"/><Relationship Id="rId26" Type="http://schemas.openxmlformats.org/officeDocument/2006/relationships/footer" Target="footer7.xml"/><Relationship Id="rId3" Type="http://schemas.openxmlformats.org/officeDocument/2006/relationships/styles" Target="styles.xml"/><Relationship Id="rId21" Type="http://schemas.openxmlformats.org/officeDocument/2006/relationships/footer" Target="footer4.xm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oter" Target="footer2.xml"/><Relationship Id="rId25" Type="http://schemas.openxmlformats.org/officeDocument/2006/relationships/header" Target="header8.xml"/><Relationship Id="rId33" Type="http://schemas.openxmlformats.org/officeDocument/2006/relationships/hyperlink" Target="https://www.acma.gov.au/privacy-policy" TargetMode="Externa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creativecommons.org/l/by/3.0/88x31.png" TargetMode="External"/><Relationship Id="rId24" Type="http://schemas.openxmlformats.org/officeDocument/2006/relationships/header" Target="header7.xml"/><Relationship Id="rId32" Type="http://schemas.openxmlformats.org/officeDocument/2006/relationships/hyperlink" Target="https://www.acma.gov.au/publication-submissions" TargetMode="Externa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footer" Target="footer6.xml"/><Relationship Id="rId28" Type="http://schemas.openxmlformats.org/officeDocument/2006/relationships/image" Target="media/image4.png"/><Relationship Id="rId10" Type="http://schemas.openxmlformats.org/officeDocument/2006/relationships/header" Target="header2.xml"/><Relationship Id="rId19" Type="http://schemas.openxmlformats.org/officeDocument/2006/relationships/header" Target="header5.xml"/><Relationship Id="rId31" Type="http://schemas.openxmlformats.org/officeDocument/2006/relationships/hyperlink" Target="mailto:broadcastplanning@acma.gov.au"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info@acma.gov.au" TargetMode="External"/><Relationship Id="rId22" Type="http://schemas.openxmlformats.org/officeDocument/2006/relationships/footer" Target="footer5.xml"/><Relationship Id="rId27" Type="http://schemas.openxmlformats.org/officeDocument/2006/relationships/footer" Target="footer8.xml"/><Relationship Id="rId30" Type="http://schemas.openxmlformats.org/officeDocument/2006/relationships/hyperlink" Target="http://www.acma.gov.au/theACMA/Consultations/Consultations" TargetMode="External"/><Relationship Id="rId35"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s://acma.gov.au/"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acma.gov.au/publications/2003-09/guide/general-approach-analog-planning" TargetMode="External"/><Relationship Id="rId2" Type="http://schemas.openxmlformats.org/officeDocument/2006/relationships/hyperlink" Target="https://www.legislation.gov.au/Details/F2017C01134" TargetMode="External"/><Relationship Id="rId1" Type="http://schemas.openxmlformats.org/officeDocument/2006/relationships/hyperlink" Target="https://www.acma.gov.au/publications/2020-03/report/future-delivery-radio" TargetMode="External"/><Relationship Id="rId4" Type="http://schemas.openxmlformats.org/officeDocument/2006/relationships/hyperlink" Target="https://www.acma.gov.au/publications/2004-04/guide/technical-planning-parameters-and-methods-terrestrial-broadcasting-tpp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BA7B40-7787-4E64-99D4-B6D80CAB87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5684</Words>
  <Characters>32399</Characters>
  <Application>Microsoft Office Word</Application>
  <DocSecurity>0</DocSecurity>
  <Lines>269</Lines>
  <Paragraphs>76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38007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2021-04-27T06:17:00Z</dcterms:created>
  <dcterms:modified xsi:type="dcterms:W3CDTF">2021-05-18T04:47:00Z</dcterms:modified>
  <cp:category/>
</cp:coreProperties>
</file>