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82B7" w14:textId="33B1D9AB" w:rsidR="00F06E14" w:rsidRPr="00702EA1" w:rsidRDefault="00E43A78" w:rsidP="00A51D1A">
      <w:pPr>
        <w:pStyle w:val="Reporttitle"/>
      </w:pPr>
      <w:bookmarkStart w:id="0" w:name="_Hlk64561164"/>
      <w:r>
        <w:t xml:space="preserve">Update to the </w:t>
      </w:r>
      <w:bookmarkStart w:id="1" w:name="_Hlk64560635"/>
      <w:r>
        <w:t xml:space="preserve">2020–21 annual work </w:t>
      </w:r>
      <w:bookmarkEnd w:id="1"/>
      <w:r>
        <w:t xml:space="preserve">program in the FYSO 2020–24 </w:t>
      </w:r>
    </w:p>
    <w:p w14:paraId="2967594C" w14:textId="6296F472" w:rsidR="00E43A78" w:rsidRPr="00702EA1" w:rsidRDefault="00E43A78" w:rsidP="00F06E14">
      <w:pPr>
        <w:pStyle w:val="Reportsubtitle"/>
      </w:pPr>
      <w:bookmarkStart w:id="2" w:name="_Hlk61514904"/>
      <w:bookmarkEnd w:id="0"/>
      <w:r w:rsidRPr="00A00993">
        <w:t xml:space="preserve">Implementation of the </w:t>
      </w:r>
      <w:r w:rsidRPr="00E43A78">
        <w:rPr>
          <w:i/>
          <w:iCs/>
        </w:rPr>
        <w:t>Radiocommunications Legislation Amendment (Reform and Modernisation) Act 2020</w:t>
      </w:r>
    </w:p>
    <w:bookmarkEnd w:id="2"/>
    <w:p w14:paraId="150A8065" w14:textId="62F5748A" w:rsidR="00C97736" w:rsidRPr="00702EA1" w:rsidRDefault="00F97488" w:rsidP="00EC2B68">
      <w:pPr>
        <w:pStyle w:val="Reportdate"/>
        <w:spacing w:after="720"/>
        <w:rPr>
          <w:rFonts w:cs="Arial"/>
        </w:rPr>
        <w:sectPr w:rsidR="00C97736" w:rsidRPr="00702EA1"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February</w:t>
      </w:r>
      <w:r w:rsidR="00BD4421" w:rsidRPr="00702EA1">
        <w:t xml:space="preserve"> 20</w:t>
      </w:r>
      <w:r w:rsidR="000971BD" w:rsidRPr="00702EA1">
        <w:t>2</w:t>
      </w:r>
      <w:r w:rsidR="00D42EF0" w:rsidRPr="00702EA1">
        <w:t>1</w:t>
      </w:r>
    </w:p>
    <w:p w14:paraId="4EEC5F9C" w14:textId="77777777" w:rsidR="00284A74" w:rsidRPr="00702EA1" w:rsidRDefault="00284A74" w:rsidP="00284A74">
      <w:pPr>
        <w:pStyle w:val="ACMACorporateAddressHeader"/>
      </w:pPr>
      <w:r w:rsidRPr="00702EA1">
        <w:lastRenderedPageBreak/>
        <w:t>Canberra</w:t>
      </w:r>
    </w:p>
    <w:p w14:paraId="5D1CB0FF" w14:textId="77777777" w:rsidR="00284A74" w:rsidRPr="00702EA1" w:rsidRDefault="00284A74" w:rsidP="00284A74">
      <w:pPr>
        <w:pStyle w:val="ACMACorporateAddresses"/>
      </w:pPr>
      <w:r w:rsidRPr="00702EA1">
        <w:t xml:space="preserve">Red Building </w:t>
      </w:r>
      <w:r w:rsidRPr="00702EA1">
        <w:br/>
        <w:t>Benjamin Offices</w:t>
      </w:r>
      <w:r w:rsidRPr="00702EA1">
        <w:br/>
        <w:t xml:space="preserve">Chan Street </w:t>
      </w:r>
      <w:r w:rsidRPr="00702EA1">
        <w:br/>
        <w:t>Belconnen ACT</w:t>
      </w:r>
    </w:p>
    <w:p w14:paraId="30BF11DC" w14:textId="77777777" w:rsidR="00284A74" w:rsidRPr="00702EA1" w:rsidRDefault="00284A74" w:rsidP="00284A74">
      <w:pPr>
        <w:pStyle w:val="ACMACorporateAddresses"/>
      </w:pPr>
      <w:r w:rsidRPr="00702EA1">
        <w:t>PO Box 78</w:t>
      </w:r>
      <w:r w:rsidRPr="00702EA1">
        <w:br/>
        <w:t>Belconnen ACT 2616</w:t>
      </w:r>
    </w:p>
    <w:p w14:paraId="2D1CFBFD" w14:textId="77777777" w:rsidR="00284A74" w:rsidRPr="00702EA1" w:rsidRDefault="00284A74" w:rsidP="00284A74">
      <w:pPr>
        <w:pStyle w:val="ACMACorporateAddresses"/>
      </w:pPr>
      <w:r w:rsidRPr="00702EA1">
        <w:t>T</w:t>
      </w:r>
      <w:r w:rsidRPr="00702EA1">
        <w:tab/>
        <w:t>+61 2 6219 5555</w:t>
      </w:r>
      <w:r w:rsidRPr="00702EA1">
        <w:br/>
        <w:t>F</w:t>
      </w:r>
      <w:r w:rsidRPr="00702EA1">
        <w:tab/>
        <w:t>+61 2 6219 5353</w:t>
      </w:r>
    </w:p>
    <w:p w14:paraId="4BFBF54C" w14:textId="77777777" w:rsidR="00284A74" w:rsidRPr="00702EA1" w:rsidRDefault="00284A74" w:rsidP="00284A74">
      <w:pPr>
        <w:pStyle w:val="ACMACorporateAddressHeader"/>
      </w:pPr>
      <w:r w:rsidRPr="00702EA1">
        <w:t>Melbourne</w:t>
      </w:r>
    </w:p>
    <w:p w14:paraId="1BFE3D07" w14:textId="77777777" w:rsidR="00284A74" w:rsidRPr="00702EA1" w:rsidRDefault="00284A74" w:rsidP="00284A74">
      <w:pPr>
        <w:pStyle w:val="ACMACorporateAddresses"/>
      </w:pPr>
      <w:r w:rsidRPr="00702EA1">
        <w:t xml:space="preserve">Level 32 </w:t>
      </w:r>
      <w:r w:rsidRPr="00702EA1">
        <w:br/>
        <w:t>Melbourne Central Tower</w:t>
      </w:r>
      <w:r w:rsidRPr="00702EA1">
        <w:br/>
        <w:t xml:space="preserve">360 Elizabeth Street </w:t>
      </w:r>
      <w:r w:rsidRPr="00702EA1">
        <w:br/>
        <w:t>Melbourne VIC</w:t>
      </w:r>
    </w:p>
    <w:p w14:paraId="0377F5E9" w14:textId="77777777" w:rsidR="00284A74" w:rsidRPr="00702EA1" w:rsidRDefault="00284A74" w:rsidP="00284A74">
      <w:pPr>
        <w:pStyle w:val="ACMACorporateAddresses"/>
      </w:pPr>
      <w:r w:rsidRPr="00702EA1">
        <w:t>PO Box 13112</w:t>
      </w:r>
      <w:r w:rsidRPr="00702EA1">
        <w:br/>
        <w:t xml:space="preserve">Law Courts </w:t>
      </w:r>
      <w:r w:rsidRPr="00702EA1">
        <w:br/>
        <w:t>Melbourne VIC 8010</w:t>
      </w:r>
    </w:p>
    <w:p w14:paraId="2C21A03F" w14:textId="77777777" w:rsidR="00284A74" w:rsidRPr="00702EA1" w:rsidRDefault="00284A74" w:rsidP="00284A74">
      <w:pPr>
        <w:pStyle w:val="ACMACorporateAddresses"/>
      </w:pPr>
      <w:r w:rsidRPr="00702EA1">
        <w:t>T</w:t>
      </w:r>
      <w:r w:rsidRPr="00702EA1">
        <w:tab/>
        <w:t>+61 3 9963 6800</w:t>
      </w:r>
      <w:r w:rsidRPr="00702EA1">
        <w:br/>
        <w:t>F</w:t>
      </w:r>
      <w:r w:rsidRPr="00702EA1">
        <w:tab/>
        <w:t>+61 3 9963 6899</w:t>
      </w:r>
    </w:p>
    <w:p w14:paraId="210D57FF" w14:textId="77777777" w:rsidR="00284A74" w:rsidRPr="00702EA1" w:rsidRDefault="00284A74" w:rsidP="00284A74">
      <w:pPr>
        <w:pStyle w:val="ACMACorporateAddressHeader"/>
      </w:pPr>
      <w:r w:rsidRPr="00702EA1">
        <w:t>Sydney</w:t>
      </w:r>
    </w:p>
    <w:p w14:paraId="17F59394" w14:textId="77777777" w:rsidR="00284A74" w:rsidRPr="00702EA1" w:rsidRDefault="00284A74" w:rsidP="00284A74">
      <w:pPr>
        <w:pStyle w:val="ACMACorporateAddresses"/>
      </w:pPr>
      <w:r w:rsidRPr="00702EA1">
        <w:t xml:space="preserve">Level 5 </w:t>
      </w:r>
      <w:r w:rsidRPr="00702EA1">
        <w:br/>
        <w:t>The Bay Centre</w:t>
      </w:r>
      <w:r w:rsidRPr="00702EA1">
        <w:br/>
        <w:t xml:space="preserve">65 Pirrama Road </w:t>
      </w:r>
      <w:r w:rsidRPr="00702EA1">
        <w:br/>
        <w:t>Pyrmont NSW</w:t>
      </w:r>
    </w:p>
    <w:p w14:paraId="432B423F" w14:textId="77777777" w:rsidR="00284A74" w:rsidRPr="00702EA1" w:rsidRDefault="00284A74" w:rsidP="00284A74">
      <w:pPr>
        <w:pStyle w:val="ACMACorporateAddresses"/>
      </w:pPr>
      <w:r w:rsidRPr="00702EA1">
        <w:t>PO Box Q500</w:t>
      </w:r>
      <w:r w:rsidRPr="00702EA1">
        <w:br/>
        <w:t xml:space="preserve">Queen Victoria Building </w:t>
      </w:r>
      <w:r w:rsidRPr="00702EA1">
        <w:br/>
        <w:t>NSW 1230</w:t>
      </w:r>
    </w:p>
    <w:p w14:paraId="6D994E8A" w14:textId="77777777" w:rsidR="00284A74" w:rsidRPr="00702EA1" w:rsidRDefault="00284A74" w:rsidP="00284A74">
      <w:pPr>
        <w:pStyle w:val="ACMACorporateAddresses"/>
      </w:pPr>
      <w:r w:rsidRPr="00702EA1">
        <w:t>T</w:t>
      </w:r>
      <w:r w:rsidRPr="00702EA1">
        <w:tab/>
        <w:t>+61 2 9334 7700</w:t>
      </w:r>
      <w:r w:rsidRPr="00702EA1">
        <w:br/>
        <w:t>F</w:t>
      </w:r>
      <w:r w:rsidRPr="00702EA1">
        <w:tab/>
        <w:t>+61 2 9334 7799</w:t>
      </w:r>
    </w:p>
    <w:p w14:paraId="2D66F44D" w14:textId="77777777" w:rsidR="00284A74" w:rsidRPr="00702EA1" w:rsidRDefault="00284A74" w:rsidP="00284A74">
      <w:pPr>
        <w:pStyle w:val="ACMACopyrightHeader"/>
      </w:pPr>
      <w:r w:rsidRPr="00702EA1">
        <w:t>Copyright notice</w:t>
      </w:r>
    </w:p>
    <w:p w14:paraId="61B704AA" w14:textId="77777777" w:rsidR="00284A74" w:rsidRPr="00702EA1" w:rsidRDefault="00284A74" w:rsidP="00284A74">
      <w:pPr>
        <w:pStyle w:val="ACMACClogo"/>
      </w:pPr>
      <w:r>
        <w:rPr>
          <w:noProof/>
        </w:rPr>
        <w:drawing>
          <wp:inline distT="0" distB="0" distL="0" distR="0" wp14:anchorId="6F3E7DBA" wp14:editId="7F400A4D">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453ACDAB" w14:textId="77777777" w:rsidR="00284A74" w:rsidRPr="00702EA1" w:rsidRDefault="00DF19A3" w:rsidP="00284A74">
      <w:pPr>
        <w:pStyle w:val="ACMACorporateAddresses"/>
        <w:rPr>
          <w:rStyle w:val="Hyperlink"/>
        </w:rPr>
      </w:pPr>
      <w:hyperlink r:id="rId13" w:history="1">
        <w:r w:rsidR="00284A74" w:rsidRPr="00702EA1">
          <w:rPr>
            <w:rStyle w:val="Hyperlink"/>
          </w:rPr>
          <w:t>https://creativecommons.org/licenses/by/4.0/</w:t>
        </w:r>
      </w:hyperlink>
    </w:p>
    <w:p w14:paraId="7BF0DFC6" w14:textId="77777777" w:rsidR="00284A74" w:rsidRPr="00702EA1" w:rsidRDefault="00284A74" w:rsidP="00284A74">
      <w:pPr>
        <w:pStyle w:val="ACMACorporateAddresses"/>
      </w:pPr>
      <w:r w:rsidRPr="00702EA1">
        <w:t xml:space="preserve">With the exception of coats of arms, logos, emblems, images, other third-party material or devices protected by a trademark, this content is made available under the terms of the Creative Commons Attribution 4.0 International (CC BY 4.0) licence. </w:t>
      </w:r>
    </w:p>
    <w:p w14:paraId="62C5BA25" w14:textId="77777777" w:rsidR="00284A74" w:rsidRPr="00702EA1" w:rsidRDefault="00284A74" w:rsidP="00284A74">
      <w:pPr>
        <w:pStyle w:val="ACMACorporateAddresses"/>
      </w:pPr>
      <w:r w:rsidRPr="00702EA1">
        <w:t>We request attribution as © Commonwealth of Australia (Australian Communications and Media Authority) 2021.</w:t>
      </w:r>
    </w:p>
    <w:p w14:paraId="56830A29" w14:textId="77777777" w:rsidR="00284A74" w:rsidRPr="00702EA1" w:rsidRDefault="00284A74" w:rsidP="00284A74">
      <w:pPr>
        <w:pStyle w:val="ACMACorporateAddresses"/>
      </w:pPr>
      <w:r w:rsidRPr="00702EA1">
        <w:t>All other rights are reserved.</w:t>
      </w:r>
    </w:p>
    <w:p w14:paraId="7C29B63C" w14:textId="77777777" w:rsidR="00284A74" w:rsidRPr="00702EA1" w:rsidRDefault="00284A74" w:rsidP="00284A74">
      <w:pPr>
        <w:pStyle w:val="ACMACorporateAddresses"/>
      </w:pPr>
      <w:r w:rsidRPr="00702EA1">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674118DA" w14:textId="77777777" w:rsidR="00284A74" w:rsidRPr="00702EA1" w:rsidRDefault="00284A74" w:rsidP="00284A74">
      <w:pPr>
        <w:pStyle w:val="ACMACorporateAddresses"/>
      </w:pPr>
      <w:r w:rsidRPr="00702EA1">
        <w:t>Written enquiries may be sent to:</w:t>
      </w:r>
    </w:p>
    <w:p w14:paraId="4763432E" w14:textId="77777777" w:rsidR="00284A74" w:rsidRPr="00702EA1" w:rsidRDefault="00284A74" w:rsidP="00284A74">
      <w:pPr>
        <w:pStyle w:val="ACMACorporateAddresses"/>
        <w:rPr>
          <w:rStyle w:val="Hyperlink"/>
        </w:rPr>
      </w:pPr>
      <w:r w:rsidRPr="00702EA1">
        <w:t>Manager, Editorial Services</w:t>
      </w:r>
      <w:r w:rsidRPr="00702EA1">
        <w:br/>
        <w:t>PO Box 13112</w:t>
      </w:r>
      <w:r w:rsidRPr="00702EA1">
        <w:br/>
        <w:t>Law Courts</w:t>
      </w:r>
      <w:r w:rsidRPr="00702EA1">
        <w:br/>
        <w:t>Melbourne VIC 8010</w:t>
      </w:r>
      <w:r w:rsidRPr="00702EA1">
        <w:br/>
        <w:t xml:space="preserve">Email: </w:t>
      </w:r>
      <w:hyperlink r:id="rId14" w:history="1">
        <w:r w:rsidRPr="00702EA1">
          <w:rPr>
            <w:rStyle w:val="Hyperlink"/>
          </w:rPr>
          <w:t>info@acma.gov.au</w:t>
        </w:r>
      </w:hyperlink>
    </w:p>
    <w:p w14:paraId="46150956" w14:textId="77777777" w:rsidR="00D16FE3" w:rsidRPr="00702EA1" w:rsidRDefault="00D16FE3" w:rsidP="00D16FE3">
      <w:pPr>
        <w:pStyle w:val="ACMACorporateAddresses"/>
        <w:sectPr w:rsidR="00D16FE3" w:rsidRPr="00702EA1">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3CA4096A" w14:textId="0324969C" w:rsidR="006E08FF" w:rsidRDefault="006E08FF">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\u </w:instrText>
      </w:r>
      <w:r>
        <w:rPr>
          <w:rFonts w:cs="Arial"/>
          <w:b w:val="0"/>
        </w:rPr>
        <w:fldChar w:fldCharType="separate"/>
      </w:r>
      <w:hyperlink w:anchor="_Toc64621327" w:history="1">
        <w:r w:rsidRPr="000017FC">
          <w:rPr>
            <w:rStyle w:val="Hyperlink"/>
          </w:rPr>
          <w:t>Introduction</w:t>
        </w:r>
        <w:r>
          <w:rPr>
            <w:webHidden/>
          </w:rPr>
          <w:tab/>
        </w:r>
        <w:r>
          <w:rPr>
            <w:webHidden/>
          </w:rPr>
          <w:fldChar w:fldCharType="begin"/>
        </w:r>
        <w:r>
          <w:rPr>
            <w:webHidden/>
          </w:rPr>
          <w:instrText xml:space="preserve"> PAGEREF _Toc64621327 \h </w:instrText>
        </w:r>
        <w:r>
          <w:rPr>
            <w:webHidden/>
          </w:rPr>
        </w:r>
        <w:r>
          <w:rPr>
            <w:webHidden/>
          </w:rPr>
          <w:fldChar w:fldCharType="separate"/>
        </w:r>
        <w:r>
          <w:rPr>
            <w:webHidden/>
          </w:rPr>
          <w:t>1</w:t>
        </w:r>
        <w:r>
          <w:rPr>
            <w:webHidden/>
          </w:rPr>
          <w:fldChar w:fldCharType="end"/>
        </w:r>
      </w:hyperlink>
    </w:p>
    <w:p w14:paraId="7C09F608" w14:textId="73A9B13B" w:rsidR="006E08FF" w:rsidRDefault="00DF19A3">
      <w:pPr>
        <w:pStyle w:val="TOC1"/>
        <w:rPr>
          <w:rFonts w:asciiTheme="minorHAnsi" w:eastAsiaTheme="minorEastAsia" w:hAnsiTheme="minorHAnsi" w:cstheme="minorBidi"/>
          <w:b w:val="0"/>
          <w:spacing w:val="0"/>
          <w:sz w:val="22"/>
          <w:szCs w:val="22"/>
        </w:rPr>
      </w:pPr>
      <w:hyperlink w:anchor="_Toc64621328" w:history="1">
        <w:r w:rsidR="006E08FF" w:rsidRPr="000017FC">
          <w:rPr>
            <w:rStyle w:val="Hyperlink"/>
          </w:rPr>
          <w:t>Implementation activities</w:t>
        </w:r>
        <w:r w:rsidR="006E08FF">
          <w:rPr>
            <w:webHidden/>
          </w:rPr>
          <w:tab/>
        </w:r>
        <w:r w:rsidR="006E08FF">
          <w:rPr>
            <w:webHidden/>
          </w:rPr>
          <w:fldChar w:fldCharType="begin"/>
        </w:r>
        <w:r w:rsidR="006E08FF">
          <w:rPr>
            <w:webHidden/>
          </w:rPr>
          <w:instrText xml:space="preserve"> PAGEREF _Toc64621328 \h </w:instrText>
        </w:r>
        <w:r w:rsidR="006E08FF">
          <w:rPr>
            <w:webHidden/>
          </w:rPr>
        </w:r>
        <w:r w:rsidR="006E08FF">
          <w:rPr>
            <w:webHidden/>
          </w:rPr>
          <w:fldChar w:fldCharType="separate"/>
        </w:r>
        <w:r w:rsidR="006E08FF">
          <w:rPr>
            <w:webHidden/>
          </w:rPr>
          <w:t>2</w:t>
        </w:r>
        <w:r w:rsidR="006E08FF">
          <w:rPr>
            <w:webHidden/>
          </w:rPr>
          <w:fldChar w:fldCharType="end"/>
        </w:r>
      </w:hyperlink>
    </w:p>
    <w:p w14:paraId="25307889" w14:textId="2BEBAE10" w:rsidR="006E08FF" w:rsidRDefault="00DF19A3">
      <w:pPr>
        <w:pStyle w:val="TOC2"/>
        <w:rPr>
          <w:rFonts w:asciiTheme="minorHAnsi" w:eastAsiaTheme="minorEastAsia" w:hAnsiTheme="minorHAnsi" w:cstheme="minorBidi"/>
          <w:spacing w:val="0"/>
          <w:sz w:val="22"/>
          <w:szCs w:val="22"/>
        </w:rPr>
      </w:pPr>
      <w:hyperlink w:anchor="_Toc64621329" w:history="1">
        <w:r w:rsidR="006E08FF" w:rsidRPr="000017FC">
          <w:rPr>
            <w:rStyle w:val="Hyperlink"/>
          </w:rPr>
          <w:t>Annual work program</w:t>
        </w:r>
        <w:r w:rsidR="006E08FF">
          <w:rPr>
            <w:webHidden/>
          </w:rPr>
          <w:tab/>
        </w:r>
        <w:r w:rsidR="006E08FF">
          <w:rPr>
            <w:webHidden/>
          </w:rPr>
          <w:fldChar w:fldCharType="begin"/>
        </w:r>
        <w:r w:rsidR="006E08FF">
          <w:rPr>
            <w:webHidden/>
          </w:rPr>
          <w:instrText xml:space="preserve"> PAGEREF _Toc64621329 \h </w:instrText>
        </w:r>
        <w:r w:rsidR="006E08FF">
          <w:rPr>
            <w:webHidden/>
          </w:rPr>
        </w:r>
        <w:r w:rsidR="006E08FF">
          <w:rPr>
            <w:webHidden/>
          </w:rPr>
          <w:fldChar w:fldCharType="separate"/>
        </w:r>
        <w:r w:rsidR="006E08FF">
          <w:rPr>
            <w:webHidden/>
          </w:rPr>
          <w:t>2</w:t>
        </w:r>
        <w:r w:rsidR="006E08FF">
          <w:rPr>
            <w:webHidden/>
          </w:rPr>
          <w:fldChar w:fldCharType="end"/>
        </w:r>
      </w:hyperlink>
    </w:p>
    <w:p w14:paraId="4F8CDB56" w14:textId="00545C8A" w:rsidR="006E08FF" w:rsidRDefault="00DF19A3">
      <w:pPr>
        <w:pStyle w:val="TOC2"/>
        <w:rPr>
          <w:rFonts w:asciiTheme="minorHAnsi" w:eastAsiaTheme="minorEastAsia" w:hAnsiTheme="minorHAnsi" w:cstheme="minorBidi"/>
          <w:spacing w:val="0"/>
          <w:sz w:val="22"/>
          <w:szCs w:val="22"/>
        </w:rPr>
      </w:pPr>
      <w:hyperlink w:anchor="_Toc64621330" w:history="1">
        <w:r w:rsidR="006E08FF" w:rsidRPr="000017FC">
          <w:rPr>
            <w:rStyle w:val="Hyperlink"/>
          </w:rPr>
          <w:t>Licensing and allocation reform</w:t>
        </w:r>
        <w:r w:rsidR="006E08FF">
          <w:rPr>
            <w:webHidden/>
          </w:rPr>
          <w:tab/>
        </w:r>
        <w:r w:rsidR="006E08FF">
          <w:rPr>
            <w:webHidden/>
          </w:rPr>
          <w:fldChar w:fldCharType="begin"/>
        </w:r>
        <w:r w:rsidR="006E08FF">
          <w:rPr>
            <w:webHidden/>
          </w:rPr>
          <w:instrText xml:space="preserve"> PAGEREF _Toc64621330 \h </w:instrText>
        </w:r>
        <w:r w:rsidR="006E08FF">
          <w:rPr>
            <w:webHidden/>
          </w:rPr>
        </w:r>
        <w:r w:rsidR="006E08FF">
          <w:rPr>
            <w:webHidden/>
          </w:rPr>
          <w:fldChar w:fldCharType="separate"/>
        </w:r>
        <w:r w:rsidR="006E08FF">
          <w:rPr>
            <w:webHidden/>
          </w:rPr>
          <w:t>2</w:t>
        </w:r>
        <w:r w:rsidR="006E08FF">
          <w:rPr>
            <w:webHidden/>
          </w:rPr>
          <w:fldChar w:fldCharType="end"/>
        </w:r>
      </w:hyperlink>
    </w:p>
    <w:p w14:paraId="69C75B97" w14:textId="1BF96D85" w:rsidR="006E08FF" w:rsidRDefault="00DF19A3">
      <w:pPr>
        <w:pStyle w:val="TOC2"/>
        <w:rPr>
          <w:rFonts w:asciiTheme="minorHAnsi" w:eastAsiaTheme="minorEastAsia" w:hAnsiTheme="minorHAnsi" w:cstheme="minorBidi"/>
          <w:spacing w:val="0"/>
          <w:sz w:val="22"/>
          <w:szCs w:val="22"/>
        </w:rPr>
      </w:pPr>
      <w:hyperlink w:anchor="_Toc64621331" w:history="1">
        <w:r w:rsidR="006E08FF" w:rsidRPr="000017FC">
          <w:rPr>
            <w:rStyle w:val="Hyperlink"/>
          </w:rPr>
          <w:t>Equipment rules and exemptions</w:t>
        </w:r>
        <w:r w:rsidR="006E08FF">
          <w:rPr>
            <w:webHidden/>
          </w:rPr>
          <w:tab/>
        </w:r>
        <w:r w:rsidR="006E08FF">
          <w:rPr>
            <w:webHidden/>
          </w:rPr>
          <w:fldChar w:fldCharType="begin"/>
        </w:r>
        <w:r w:rsidR="006E08FF">
          <w:rPr>
            <w:webHidden/>
          </w:rPr>
          <w:instrText xml:space="preserve"> PAGEREF _Toc64621331 \h </w:instrText>
        </w:r>
        <w:r w:rsidR="006E08FF">
          <w:rPr>
            <w:webHidden/>
          </w:rPr>
        </w:r>
        <w:r w:rsidR="006E08FF">
          <w:rPr>
            <w:webHidden/>
          </w:rPr>
          <w:fldChar w:fldCharType="separate"/>
        </w:r>
        <w:r w:rsidR="006E08FF">
          <w:rPr>
            <w:webHidden/>
          </w:rPr>
          <w:t>3</w:t>
        </w:r>
        <w:r w:rsidR="006E08FF">
          <w:rPr>
            <w:webHidden/>
          </w:rPr>
          <w:fldChar w:fldCharType="end"/>
        </w:r>
      </w:hyperlink>
    </w:p>
    <w:p w14:paraId="20119888" w14:textId="0F038605" w:rsidR="006E08FF" w:rsidRDefault="00DF19A3">
      <w:pPr>
        <w:pStyle w:val="TOC2"/>
        <w:rPr>
          <w:rFonts w:asciiTheme="minorHAnsi" w:eastAsiaTheme="minorEastAsia" w:hAnsiTheme="minorHAnsi" w:cstheme="minorBidi"/>
          <w:spacing w:val="0"/>
          <w:sz w:val="22"/>
          <w:szCs w:val="22"/>
        </w:rPr>
      </w:pPr>
      <w:hyperlink w:anchor="_Toc64621332" w:history="1">
        <w:r w:rsidR="006E08FF" w:rsidRPr="000017FC">
          <w:rPr>
            <w:rStyle w:val="Hyperlink"/>
          </w:rPr>
          <w:t>Accreditation rules</w:t>
        </w:r>
        <w:r w:rsidR="006E08FF">
          <w:rPr>
            <w:webHidden/>
          </w:rPr>
          <w:tab/>
        </w:r>
        <w:r w:rsidR="006E08FF">
          <w:rPr>
            <w:webHidden/>
          </w:rPr>
          <w:fldChar w:fldCharType="begin"/>
        </w:r>
        <w:r w:rsidR="006E08FF">
          <w:rPr>
            <w:webHidden/>
          </w:rPr>
          <w:instrText xml:space="preserve"> PAGEREF _Toc64621332 \h </w:instrText>
        </w:r>
        <w:r w:rsidR="006E08FF">
          <w:rPr>
            <w:webHidden/>
          </w:rPr>
        </w:r>
        <w:r w:rsidR="006E08FF">
          <w:rPr>
            <w:webHidden/>
          </w:rPr>
          <w:fldChar w:fldCharType="separate"/>
        </w:r>
        <w:r w:rsidR="006E08FF">
          <w:rPr>
            <w:webHidden/>
          </w:rPr>
          <w:t>3</w:t>
        </w:r>
        <w:r w:rsidR="006E08FF">
          <w:rPr>
            <w:webHidden/>
          </w:rPr>
          <w:fldChar w:fldCharType="end"/>
        </w:r>
      </w:hyperlink>
    </w:p>
    <w:p w14:paraId="5E1569BA" w14:textId="2EEE4576" w:rsidR="006E08FF" w:rsidRDefault="00DF19A3">
      <w:pPr>
        <w:pStyle w:val="TOC2"/>
        <w:rPr>
          <w:rFonts w:asciiTheme="minorHAnsi" w:eastAsiaTheme="minorEastAsia" w:hAnsiTheme="minorHAnsi" w:cstheme="minorBidi"/>
          <w:spacing w:val="0"/>
          <w:sz w:val="22"/>
          <w:szCs w:val="22"/>
        </w:rPr>
      </w:pPr>
      <w:hyperlink w:anchor="_Toc64621333" w:history="1">
        <w:r w:rsidR="006E08FF" w:rsidRPr="000017FC">
          <w:rPr>
            <w:rStyle w:val="Hyperlink"/>
          </w:rPr>
          <w:t>Machinery changes</w:t>
        </w:r>
        <w:r w:rsidR="006E08FF">
          <w:rPr>
            <w:webHidden/>
          </w:rPr>
          <w:tab/>
        </w:r>
        <w:r w:rsidR="006E08FF">
          <w:rPr>
            <w:webHidden/>
          </w:rPr>
          <w:fldChar w:fldCharType="begin"/>
        </w:r>
        <w:r w:rsidR="006E08FF">
          <w:rPr>
            <w:webHidden/>
          </w:rPr>
          <w:instrText xml:space="preserve"> PAGEREF _Toc64621333 \h </w:instrText>
        </w:r>
        <w:r w:rsidR="006E08FF">
          <w:rPr>
            <w:webHidden/>
          </w:rPr>
        </w:r>
        <w:r w:rsidR="006E08FF">
          <w:rPr>
            <w:webHidden/>
          </w:rPr>
          <w:fldChar w:fldCharType="separate"/>
        </w:r>
        <w:r w:rsidR="006E08FF">
          <w:rPr>
            <w:webHidden/>
          </w:rPr>
          <w:t>3</w:t>
        </w:r>
        <w:r w:rsidR="006E08FF">
          <w:rPr>
            <w:webHidden/>
          </w:rPr>
          <w:fldChar w:fldCharType="end"/>
        </w:r>
      </w:hyperlink>
    </w:p>
    <w:p w14:paraId="7685F9FB" w14:textId="1FCF8E44" w:rsidR="006E08FF" w:rsidRDefault="00DF19A3">
      <w:pPr>
        <w:pStyle w:val="TOC2"/>
        <w:rPr>
          <w:rFonts w:asciiTheme="minorHAnsi" w:eastAsiaTheme="minorEastAsia" w:hAnsiTheme="minorHAnsi" w:cstheme="minorBidi"/>
          <w:spacing w:val="0"/>
          <w:sz w:val="22"/>
          <w:szCs w:val="22"/>
        </w:rPr>
      </w:pPr>
      <w:hyperlink w:anchor="_Toc64621334" w:history="1">
        <w:r w:rsidR="006E08FF" w:rsidRPr="000017FC">
          <w:rPr>
            <w:rStyle w:val="Hyperlink"/>
          </w:rPr>
          <w:t>Compliance and enforcement</w:t>
        </w:r>
        <w:r w:rsidR="006E08FF">
          <w:rPr>
            <w:webHidden/>
          </w:rPr>
          <w:tab/>
        </w:r>
        <w:r w:rsidR="006E08FF">
          <w:rPr>
            <w:webHidden/>
          </w:rPr>
          <w:fldChar w:fldCharType="begin"/>
        </w:r>
        <w:r w:rsidR="006E08FF">
          <w:rPr>
            <w:webHidden/>
          </w:rPr>
          <w:instrText xml:space="preserve"> PAGEREF _Toc64621334 \h </w:instrText>
        </w:r>
        <w:r w:rsidR="006E08FF">
          <w:rPr>
            <w:webHidden/>
          </w:rPr>
        </w:r>
        <w:r w:rsidR="006E08FF">
          <w:rPr>
            <w:webHidden/>
          </w:rPr>
          <w:fldChar w:fldCharType="separate"/>
        </w:r>
        <w:r w:rsidR="006E08FF">
          <w:rPr>
            <w:webHidden/>
          </w:rPr>
          <w:t>3</w:t>
        </w:r>
        <w:r w:rsidR="006E08FF">
          <w:rPr>
            <w:webHidden/>
          </w:rPr>
          <w:fldChar w:fldCharType="end"/>
        </w:r>
      </w:hyperlink>
    </w:p>
    <w:p w14:paraId="0A45DC55" w14:textId="2C734B13" w:rsidR="004D56FF" w:rsidRPr="00702EA1" w:rsidRDefault="006E08FF">
      <w:pPr>
        <w:rPr>
          <w:rFonts w:cs="Arial"/>
        </w:rPr>
        <w:sectPr w:rsidR="004D56FF" w:rsidRPr="00702EA1"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133F60A8" w14:textId="27D7CC87" w:rsidR="000B4664" w:rsidRPr="00702EA1" w:rsidRDefault="00963CD2" w:rsidP="000B4664">
      <w:pPr>
        <w:pStyle w:val="Heading1"/>
      </w:pPr>
      <w:bookmarkStart w:id="3" w:name="_Toc64621327"/>
      <w:r>
        <w:lastRenderedPageBreak/>
        <w:t>Introduction</w:t>
      </w:r>
      <w:bookmarkEnd w:id="3"/>
    </w:p>
    <w:p w14:paraId="7668C63C" w14:textId="40909BAD" w:rsidR="00AE4AA7" w:rsidRPr="00AE4AA7" w:rsidRDefault="00963CD2" w:rsidP="005E5A10">
      <w:pPr>
        <w:pStyle w:val="Paragraph"/>
      </w:pPr>
      <w:r w:rsidRPr="00324B17">
        <w:t xml:space="preserve">On </w:t>
      </w:r>
      <w:r w:rsidR="003F2A79" w:rsidRPr="00324B17">
        <w:t>17 December 2020</w:t>
      </w:r>
      <w:r w:rsidRPr="00324B17">
        <w:t xml:space="preserve">, the </w:t>
      </w:r>
      <w:hyperlink r:id="rId24" w:history="1">
        <w:r w:rsidRPr="00C05E50">
          <w:rPr>
            <w:rStyle w:val="Hyperlink"/>
            <w:i/>
            <w:iCs/>
          </w:rPr>
          <w:t xml:space="preserve">Radiocommunications Legislation Amendment (Reform and Modernisation) </w:t>
        </w:r>
        <w:r w:rsidR="003F2A79" w:rsidRPr="00C05E50">
          <w:rPr>
            <w:rStyle w:val="Hyperlink"/>
            <w:i/>
            <w:iCs/>
          </w:rPr>
          <w:t xml:space="preserve">Act </w:t>
        </w:r>
        <w:r w:rsidRPr="00C05E50">
          <w:rPr>
            <w:rStyle w:val="Hyperlink"/>
            <w:i/>
            <w:iCs/>
          </w:rPr>
          <w:t>2020</w:t>
        </w:r>
      </w:hyperlink>
      <w:r w:rsidRPr="00324B17">
        <w:t xml:space="preserve"> </w:t>
      </w:r>
      <w:r w:rsidR="00251202">
        <w:t>(the Modernisation Act)</w:t>
      </w:r>
      <w:r w:rsidR="003073A0">
        <w:t xml:space="preserve"> received Royal assent, </w:t>
      </w:r>
      <w:r w:rsidR="00251202" w:rsidRPr="00324B17">
        <w:t>together</w:t>
      </w:r>
      <w:r w:rsidRPr="00324B17">
        <w:t xml:space="preserve"> with the </w:t>
      </w:r>
      <w:hyperlink r:id="rId25" w:history="1">
        <w:r w:rsidRPr="00C05E50">
          <w:rPr>
            <w:rStyle w:val="Hyperlink"/>
            <w:i/>
            <w:iCs/>
          </w:rPr>
          <w:t xml:space="preserve">Radiocommunications (Transmitter Licence Tax) Amendment </w:t>
        </w:r>
        <w:r w:rsidR="00D6465E" w:rsidRPr="00C05E50">
          <w:rPr>
            <w:rStyle w:val="Hyperlink"/>
            <w:i/>
            <w:iCs/>
          </w:rPr>
          <w:t xml:space="preserve">Act </w:t>
        </w:r>
        <w:r w:rsidRPr="00C05E50">
          <w:rPr>
            <w:rStyle w:val="Hyperlink"/>
            <w:i/>
            <w:iCs/>
          </w:rPr>
          <w:t>2020</w:t>
        </w:r>
      </w:hyperlink>
      <w:r w:rsidRPr="00324B17">
        <w:t xml:space="preserve"> and the</w:t>
      </w:r>
      <w:r w:rsidRPr="00C05E50">
        <w:rPr>
          <w:i/>
          <w:iCs/>
        </w:rPr>
        <w:t xml:space="preserve"> </w:t>
      </w:r>
      <w:hyperlink r:id="rId26" w:history="1">
        <w:r w:rsidRPr="00C05E50">
          <w:rPr>
            <w:rStyle w:val="Hyperlink"/>
            <w:i/>
            <w:iCs/>
          </w:rPr>
          <w:t xml:space="preserve">Radiocommunications (Receiver Licence Tax) Amendment </w:t>
        </w:r>
        <w:r w:rsidR="00D6465E" w:rsidRPr="00C05E50">
          <w:rPr>
            <w:rStyle w:val="Hyperlink"/>
            <w:i/>
            <w:iCs/>
          </w:rPr>
          <w:t xml:space="preserve">Act </w:t>
        </w:r>
        <w:r w:rsidRPr="00C05E50">
          <w:rPr>
            <w:rStyle w:val="Hyperlink"/>
            <w:i/>
            <w:iCs/>
          </w:rPr>
          <w:t>2020</w:t>
        </w:r>
      </w:hyperlink>
      <w:r w:rsidR="00CB3B39">
        <w:rPr>
          <w:rStyle w:val="Hyperlink"/>
        </w:rPr>
        <w:t>.</w:t>
      </w:r>
      <w:r w:rsidRPr="00324B17">
        <w:t xml:space="preserve"> </w:t>
      </w:r>
    </w:p>
    <w:p w14:paraId="0BC4C1FD" w14:textId="505AEC79" w:rsidR="004B2D80" w:rsidRPr="00831C95" w:rsidRDefault="00913464" w:rsidP="00C05E50">
      <w:pPr>
        <w:pStyle w:val="Paragraph"/>
      </w:pPr>
      <w:r w:rsidRPr="00831C95">
        <w:rPr>
          <w:shd w:val="clear" w:color="auto" w:fill="FFFFFF"/>
        </w:rPr>
        <w:t>The provisions of the Act</w:t>
      </w:r>
      <w:r w:rsidR="00A17EB6" w:rsidRPr="00831C95">
        <w:rPr>
          <w:shd w:val="clear" w:color="auto" w:fill="FFFFFF"/>
        </w:rPr>
        <w:t>s</w:t>
      </w:r>
      <w:r w:rsidRPr="00831C95">
        <w:rPr>
          <w:shd w:val="clear" w:color="auto" w:fill="FFFFFF"/>
        </w:rPr>
        <w:t xml:space="preserve"> will come into force on 17 June 2021 to give users of spectrum time to adjust to the new regulatory framework.</w:t>
      </w:r>
      <w:r w:rsidRPr="00831C95">
        <w:t xml:space="preserve"> </w:t>
      </w:r>
    </w:p>
    <w:p w14:paraId="3F219CDD" w14:textId="35DD7455" w:rsidR="00681B4F" w:rsidRDefault="00963CD2" w:rsidP="00F8381B">
      <w:pPr>
        <w:pStyle w:val="Paragraphbeforelist"/>
      </w:pPr>
      <w:r w:rsidRPr="00324B17">
        <w:t>The</w:t>
      </w:r>
      <w:r w:rsidR="00E25DBD" w:rsidRPr="00324B17">
        <w:t xml:space="preserve"> </w:t>
      </w:r>
      <w:r w:rsidR="001F1516" w:rsidRPr="00324B17">
        <w:t>Modernisation</w:t>
      </w:r>
      <w:r w:rsidR="00D6465E" w:rsidRPr="00324B17">
        <w:t xml:space="preserve"> Ac</w:t>
      </w:r>
      <w:r w:rsidR="001F1516" w:rsidRPr="00324B17">
        <w:t>t</w:t>
      </w:r>
      <w:r w:rsidR="008D7241">
        <w:t xml:space="preserve"> is </w:t>
      </w:r>
      <w:r w:rsidRPr="00324B17">
        <w:t xml:space="preserve">part of the </w:t>
      </w:r>
      <w:r w:rsidR="008D7241">
        <w:t>government’s</w:t>
      </w:r>
      <w:r w:rsidR="001F1516" w:rsidRPr="00324B17">
        <w:t xml:space="preserve"> </w:t>
      </w:r>
      <w:r w:rsidRPr="00324B17">
        <w:t xml:space="preserve">response to the recommendations of the </w:t>
      </w:r>
      <w:hyperlink r:id="rId27" w:history="1">
        <w:r w:rsidRPr="00324B17">
          <w:rPr>
            <w:rStyle w:val="Hyperlink"/>
            <w:color w:val="auto"/>
            <w:u w:val="none"/>
          </w:rPr>
          <w:t>2015 Spectrum Review</w:t>
        </w:r>
      </w:hyperlink>
      <w:r w:rsidRPr="00324B17">
        <w:t xml:space="preserve">. </w:t>
      </w:r>
      <w:r w:rsidR="00681B4F">
        <w:t xml:space="preserve">The Modernisation Act </w:t>
      </w:r>
      <w:r w:rsidR="00297B32">
        <w:t xml:space="preserve">amends the </w:t>
      </w:r>
      <w:r w:rsidR="00297B32" w:rsidRPr="00297B32">
        <w:rPr>
          <w:i/>
          <w:iCs/>
        </w:rPr>
        <w:t>Radiocommunications Act 1992</w:t>
      </w:r>
      <w:r w:rsidR="00297B32">
        <w:t xml:space="preserve"> (the Act) to: </w:t>
      </w:r>
      <w:r w:rsidR="00681B4F">
        <w:t xml:space="preserve"> </w:t>
      </w:r>
    </w:p>
    <w:p w14:paraId="078BA746" w14:textId="7E2F0E58" w:rsidR="00681B4F" w:rsidRDefault="00681B4F" w:rsidP="00681B4F">
      <w:pPr>
        <w:pStyle w:val="Bulletlevel1"/>
      </w:pPr>
      <w:r w:rsidRPr="00495FAA">
        <w:t xml:space="preserve">add flexibility to </w:t>
      </w:r>
      <w:r>
        <w:t>the licensing framework</w:t>
      </w:r>
      <w:r w:rsidR="005E5A10">
        <w:t>,</w:t>
      </w:r>
      <w:r w:rsidRPr="009144B8">
        <w:t xml:space="preserve"> </w:t>
      </w:r>
      <w:r>
        <w:t xml:space="preserve">which will </w:t>
      </w:r>
      <w:r w:rsidRPr="008B0E7A">
        <w:t xml:space="preserve">allow </w:t>
      </w:r>
      <w:r w:rsidR="00B570A0">
        <w:t>quicker</w:t>
      </w:r>
      <w:r w:rsidR="00B570A0" w:rsidRPr="008B0E7A">
        <w:t xml:space="preserve"> </w:t>
      </w:r>
      <w:r w:rsidRPr="008B0E7A">
        <w:t xml:space="preserve">release of </w:t>
      </w:r>
      <w:r>
        <w:t>spectrum</w:t>
      </w:r>
      <w:r w:rsidRPr="008B0E7A">
        <w:t xml:space="preserve"> </w:t>
      </w:r>
      <w:r>
        <w:t>so that</w:t>
      </w:r>
      <w:r w:rsidRPr="008B0E7A">
        <w:t xml:space="preserve"> changes in spectrum demand can be met </w:t>
      </w:r>
      <w:r w:rsidR="00B570A0">
        <w:t>faster</w:t>
      </w:r>
    </w:p>
    <w:p w14:paraId="139CEBDE" w14:textId="77777777" w:rsidR="00681B4F" w:rsidRDefault="00681B4F" w:rsidP="00681B4F">
      <w:pPr>
        <w:pStyle w:val="Bulletlevel1"/>
      </w:pPr>
      <w:r>
        <w:t xml:space="preserve">provide more certainty about key licence conditions that underpin investment certainty, such as licence duration and licence renewal terms </w:t>
      </w:r>
    </w:p>
    <w:p w14:paraId="06116969" w14:textId="186F1E33" w:rsidR="00681B4F" w:rsidRDefault="00681B4F" w:rsidP="00681B4F">
      <w:pPr>
        <w:pStyle w:val="Bulletlevel1"/>
      </w:pPr>
      <w:r w:rsidRPr="00495FAA">
        <w:t>provide a more graduated set of compliance and enforcement powers</w:t>
      </w:r>
      <w:r>
        <w:t xml:space="preserve"> to enable proportionate responses by the ACMA </w:t>
      </w:r>
      <w:r w:rsidR="005E5A10">
        <w:t xml:space="preserve">to </w:t>
      </w:r>
      <w:r>
        <w:t xml:space="preserve">address </w:t>
      </w:r>
      <w:r w:rsidR="00B56BE1">
        <w:t>non-compliance</w:t>
      </w:r>
    </w:p>
    <w:p w14:paraId="650598BD" w14:textId="77777777" w:rsidR="00681B4F" w:rsidRDefault="00681B4F" w:rsidP="00681B4F">
      <w:pPr>
        <w:pStyle w:val="Bulletlevel1"/>
      </w:pPr>
      <w:r>
        <w:t>enable the ACMA to develop equipment rules that will regulate devices across modern supply chains, including recognition of online supply arrangements</w:t>
      </w:r>
    </w:p>
    <w:p w14:paraId="22C18253" w14:textId="79E652D4" w:rsidR="00681B4F" w:rsidRDefault="00681B4F" w:rsidP="00F8381B">
      <w:pPr>
        <w:pStyle w:val="Bulletlevel1last"/>
      </w:pPr>
      <w:r>
        <w:t xml:space="preserve">allow for more external involvement in spectrum management by allowing the ACMA to accredit </w:t>
      </w:r>
      <w:r w:rsidR="005E5A10">
        <w:t xml:space="preserve">people </w:t>
      </w:r>
      <w:r>
        <w:t xml:space="preserve">and organisations to make decisions under spectrum management arrangements. </w:t>
      </w:r>
    </w:p>
    <w:p w14:paraId="0594F186" w14:textId="51C6BFEC" w:rsidR="002E3FC0" w:rsidRDefault="007D7B22" w:rsidP="000D19BC">
      <w:pPr>
        <w:pStyle w:val="Paragraph"/>
      </w:pPr>
      <w:r>
        <w:t>Th</w:t>
      </w:r>
      <w:r w:rsidR="00186A21">
        <w:t xml:space="preserve">e </w:t>
      </w:r>
      <w:r w:rsidR="00CA1EB7" w:rsidRPr="000D3935">
        <w:t xml:space="preserve">ACMA </w:t>
      </w:r>
      <w:r w:rsidR="008458CE">
        <w:t>is</w:t>
      </w:r>
      <w:r w:rsidR="00CA1EB7" w:rsidRPr="000D3935">
        <w:t xml:space="preserve"> primarily responsible for developing and implementing the new spectrum management arrangements.</w:t>
      </w:r>
      <w:r w:rsidR="000D19BC" w:rsidRPr="000D19BC">
        <w:t xml:space="preserve"> </w:t>
      </w:r>
      <w:r w:rsidR="00BA4002">
        <w:t xml:space="preserve">Several </w:t>
      </w:r>
      <w:r w:rsidR="0046313A">
        <w:t xml:space="preserve">legislative instruments </w:t>
      </w:r>
      <w:r w:rsidR="007A51AC">
        <w:t xml:space="preserve">must be in place </w:t>
      </w:r>
      <w:r w:rsidR="005E5A10">
        <w:t xml:space="preserve">before </w:t>
      </w:r>
      <w:r w:rsidR="0008759B">
        <w:t>commencement of the Moderni</w:t>
      </w:r>
      <w:r w:rsidR="004E5769">
        <w:t>s</w:t>
      </w:r>
      <w:r w:rsidR="0008759B">
        <w:t xml:space="preserve">ation Act to </w:t>
      </w:r>
      <w:r w:rsidR="00841689">
        <w:t>ensure co</w:t>
      </w:r>
      <w:r w:rsidR="002F7F85">
        <w:t>ntinu</w:t>
      </w:r>
      <w:r w:rsidR="00BA4002">
        <w:t xml:space="preserve">ity of </w:t>
      </w:r>
      <w:r w:rsidR="00E03823">
        <w:t xml:space="preserve">existing </w:t>
      </w:r>
      <w:r w:rsidR="00D9335A">
        <w:t>frameworks</w:t>
      </w:r>
      <w:r w:rsidR="00832101">
        <w:t xml:space="preserve"> and </w:t>
      </w:r>
      <w:r w:rsidR="005E5A10">
        <w:t xml:space="preserve">the availability of </w:t>
      </w:r>
      <w:r w:rsidR="00832101">
        <w:t xml:space="preserve">new </w:t>
      </w:r>
      <w:r w:rsidR="00B417A6">
        <w:t>or amended functions and powers on commencement day.</w:t>
      </w:r>
      <w:r w:rsidR="00E818DE">
        <w:t xml:space="preserve"> We intend to </w:t>
      </w:r>
      <w:r w:rsidR="00AB670B">
        <w:t>develop, consult on, and make these instruments in the period</w:t>
      </w:r>
      <w:r w:rsidR="00046972">
        <w:t xml:space="preserve"> leading up to the commencement day. </w:t>
      </w:r>
      <w:r w:rsidR="00596AA3">
        <w:t xml:space="preserve">The </w:t>
      </w:r>
      <w:r w:rsidR="00A63AE8">
        <w:t>instruments</w:t>
      </w:r>
      <w:r w:rsidR="00596AA3">
        <w:t xml:space="preserve"> w</w:t>
      </w:r>
      <w:r w:rsidR="00A63AE8">
        <w:t xml:space="preserve">ill </w:t>
      </w:r>
      <w:r w:rsidR="009B2F8C">
        <w:t>take effect on</w:t>
      </w:r>
      <w:r w:rsidR="00596AA3">
        <w:t xml:space="preserve"> the </w:t>
      </w:r>
      <w:r w:rsidR="00A63AE8">
        <w:t>commencement</w:t>
      </w:r>
      <w:r w:rsidR="002A0820">
        <w:t xml:space="preserve"> day of the </w:t>
      </w:r>
      <w:r w:rsidR="00A63AE8">
        <w:t>Modernisation Act.</w:t>
      </w:r>
    </w:p>
    <w:p w14:paraId="611D814C" w14:textId="2BC99AB3" w:rsidR="000D19BC" w:rsidRDefault="00FE1EB3" w:rsidP="000D19BC">
      <w:pPr>
        <w:pStyle w:val="Paragraph"/>
      </w:pPr>
      <w:r>
        <w:t xml:space="preserve">Many of the new </w:t>
      </w:r>
      <w:r w:rsidR="0045556F">
        <w:t>functions and powers available to the ACMA will be implemented by administrative decisions (for example</w:t>
      </w:r>
      <w:r w:rsidR="005E5A10">
        <w:t>,</w:t>
      </w:r>
      <w:r w:rsidR="0045556F">
        <w:t xml:space="preserve"> </w:t>
      </w:r>
      <w:r w:rsidR="00A63AE8">
        <w:t>issuing an apparatus licence</w:t>
      </w:r>
      <w:r w:rsidR="0045556F">
        <w:t>)</w:t>
      </w:r>
      <w:r w:rsidR="00A63AE8">
        <w:t xml:space="preserve">. </w:t>
      </w:r>
      <w:r w:rsidR="00805E5B">
        <w:t>In addition to the consultations on legislative instruments</w:t>
      </w:r>
      <w:r w:rsidR="005E5A10">
        <w:t>,</w:t>
      </w:r>
      <w:r w:rsidR="00805E5B">
        <w:t xml:space="preserve"> we intend to </w:t>
      </w:r>
      <w:r w:rsidR="009416A4">
        <w:t xml:space="preserve">release </w:t>
      </w:r>
      <w:r w:rsidR="00805E5B">
        <w:t xml:space="preserve">guidance papers on </w:t>
      </w:r>
      <w:r w:rsidR="00125539">
        <w:t xml:space="preserve">our high-level disposition toward key new discretions, such as </w:t>
      </w:r>
      <w:r w:rsidR="00223E60">
        <w:t xml:space="preserve">licence terms, </w:t>
      </w:r>
      <w:r w:rsidR="008B5DA3">
        <w:t>renewal</w:t>
      </w:r>
      <w:r w:rsidR="00A13167">
        <w:t>, exemptions, and information</w:t>
      </w:r>
      <w:r w:rsidR="005E5A10">
        <w:t>-</w:t>
      </w:r>
      <w:r w:rsidR="00A13167">
        <w:t xml:space="preserve">gathering powers. </w:t>
      </w:r>
    </w:p>
    <w:p w14:paraId="1D527945" w14:textId="70407D73" w:rsidR="000D19BC" w:rsidRPr="000D19BC" w:rsidRDefault="000D19BC" w:rsidP="000D19BC">
      <w:pPr>
        <w:pStyle w:val="Paragraph"/>
      </w:pPr>
      <w:r>
        <w:t>This u</w:t>
      </w:r>
      <w:r w:rsidRPr="000D19BC">
        <w:t xml:space="preserve">pdate to </w:t>
      </w:r>
      <w:r w:rsidR="005E5A10">
        <w:t xml:space="preserve">the </w:t>
      </w:r>
      <w:r w:rsidRPr="000D19BC">
        <w:t>FYSO 2020</w:t>
      </w:r>
      <w:r w:rsidR="005E5A10">
        <w:t>–</w:t>
      </w:r>
      <w:r w:rsidRPr="000D19BC">
        <w:t>21</w:t>
      </w:r>
      <w:r>
        <w:t xml:space="preserve"> </w:t>
      </w:r>
      <w:r w:rsidRPr="000D19BC">
        <w:t>annual work progra</w:t>
      </w:r>
      <w:r w:rsidR="00982671">
        <w:t xml:space="preserve">m reflects the </w:t>
      </w:r>
      <w:r w:rsidR="00F03FBE">
        <w:t xml:space="preserve">key </w:t>
      </w:r>
      <w:r w:rsidR="00B304D5">
        <w:t xml:space="preserve">public-facing </w:t>
      </w:r>
      <w:r w:rsidR="00F03FBE">
        <w:t>Modernisation Act implementation activities to be completed this financial year.</w:t>
      </w:r>
      <w:r w:rsidR="001D2282">
        <w:t xml:space="preserve"> Table 1 </w:t>
      </w:r>
      <w:r w:rsidR="007A2F99">
        <w:t>set</w:t>
      </w:r>
      <w:r w:rsidR="008E2AD0">
        <w:t>s</w:t>
      </w:r>
      <w:r w:rsidR="007A2F99">
        <w:t xml:space="preserve"> out our timeline. </w:t>
      </w:r>
    </w:p>
    <w:p w14:paraId="73D772F4" w14:textId="5C07E7E1" w:rsidR="00681B4F" w:rsidRDefault="000637D5" w:rsidP="00324B17">
      <w:pPr>
        <w:pStyle w:val="Paragraph"/>
      </w:pPr>
      <w:r>
        <w:t xml:space="preserve">Further information on </w:t>
      </w:r>
      <w:r w:rsidR="003E7111">
        <w:t>spectrum reform</w:t>
      </w:r>
      <w:r w:rsidR="002D15BA">
        <w:t>,</w:t>
      </w:r>
      <w:r w:rsidR="009C5E84">
        <w:t xml:space="preserve"> the </w:t>
      </w:r>
      <w:r w:rsidR="0041555F">
        <w:t>development of the Act</w:t>
      </w:r>
      <w:r w:rsidR="005E5A10">
        <w:t>,</w:t>
      </w:r>
      <w:r w:rsidR="00C625C9">
        <w:t xml:space="preserve"> and previous government consultation is available on the </w:t>
      </w:r>
      <w:hyperlink r:id="rId28" w:history="1">
        <w:r w:rsidR="00C625C9" w:rsidRPr="009A6E75">
          <w:rPr>
            <w:rStyle w:val="Hyperlink"/>
          </w:rPr>
          <w:t>Department of Infrastructure,</w:t>
        </w:r>
        <w:r w:rsidR="00786C42" w:rsidRPr="009A6E75">
          <w:rPr>
            <w:rStyle w:val="Hyperlink"/>
          </w:rPr>
          <w:t xml:space="preserve"> Transport</w:t>
        </w:r>
        <w:r w:rsidR="004B65B0" w:rsidRPr="009A6E75">
          <w:rPr>
            <w:rStyle w:val="Hyperlink"/>
          </w:rPr>
          <w:t>, Regional Development and Communications</w:t>
        </w:r>
        <w:r w:rsidR="009A6E75" w:rsidRPr="009A6E75">
          <w:rPr>
            <w:rStyle w:val="Hyperlink"/>
          </w:rPr>
          <w:t xml:space="preserve"> website</w:t>
        </w:r>
      </w:hyperlink>
      <w:r w:rsidR="004B65B0">
        <w:t>.</w:t>
      </w:r>
    </w:p>
    <w:p w14:paraId="101DBA10" w14:textId="77777777" w:rsidR="00681B4F" w:rsidRPr="00324B17" w:rsidRDefault="00681B4F" w:rsidP="00324B17">
      <w:pPr>
        <w:pStyle w:val="Paragraph"/>
      </w:pPr>
    </w:p>
    <w:p w14:paraId="0EA03E65" w14:textId="74FF0B6A" w:rsidR="00AE4AA7" w:rsidRPr="00AE4AA7" w:rsidRDefault="004378B3" w:rsidP="00AE4AA7">
      <w:pPr>
        <w:pStyle w:val="Heading1"/>
      </w:pPr>
      <w:bookmarkStart w:id="4" w:name="_Toc64621328"/>
      <w:r>
        <w:lastRenderedPageBreak/>
        <w:t>Implementation</w:t>
      </w:r>
      <w:r w:rsidR="00FC1E23">
        <w:t xml:space="preserve"> activities</w:t>
      </w:r>
      <w:bookmarkEnd w:id="4"/>
    </w:p>
    <w:p w14:paraId="48693A26" w14:textId="397D50CF" w:rsidR="0050481D" w:rsidRDefault="0098325A" w:rsidP="0098325A">
      <w:pPr>
        <w:pStyle w:val="Heading2"/>
      </w:pPr>
      <w:bookmarkStart w:id="5" w:name="_Toc64621329"/>
      <w:r>
        <w:t>Annual work program</w:t>
      </w:r>
      <w:bookmarkEnd w:id="5"/>
    </w:p>
    <w:p w14:paraId="0AB9FC7C" w14:textId="401B0262" w:rsidR="007E634D" w:rsidRDefault="001C131E" w:rsidP="007E634D">
      <w:pPr>
        <w:pStyle w:val="Paragraph"/>
      </w:pPr>
      <w:r>
        <w:t>The Modernisation Act requires</w:t>
      </w:r>
      <w:r w:rsidR="007E634D">
        <w:t xml:space="preserve"> </w:t>
      </w:r>
      <w:r w:rsidR="000C44B3">
        <w:t xml:space="preserve">the </w:t>
      </w:r>
      <w:r w:rsidR="007E634D">
        <w:t xml:space="preserve">ACMA </w:t>
      </w:r>
      <w:r w:rsidR="00113C6D">
        <w:t xml:space="preserve">to </w:t>
      </w:r>
      <w:r w:rsidR="007E634D">
        <w:t xml:space="preserve">determine an annual work program each financial year. These provisions give legislative recognition to </w:t>
      </w:r>
      <w:r w:rsidR="000C44B3">
        <w:t>our current</w:t>
      </w:r>
      <w:r w:rsidR="007E634D">
        <w:t xml:space="preserve"> practice</w:t>
      </w:r>
      <w:r w:rsidR="00113C6D">
        <w:t xml:space="preserve"> – </w:t>
      </w:r>
      <w:r w:rsidR="007E634D">
        <w:t>in place for the past 11 years</w:t>
      </w:r>
      <w:r w:rsidR="00113C6D">
        <w:t xml:space="preserve"> – </w:t>
      </w:r>
      <w:r w:rsidR="007E634D">
        <w:t xml:space="preserve">of publishing a </w:t>
      </w:r>
      <w:hyperlink r:id="rId29" w:history="1">
        <w:r w:rsidR="009A6E75">
          <w:rPr>
            <w:rStyle w:val="Hyperlink"/>
          </w:rPr>
          <w:t>five-year spectrum outlook</w:t>
        </w:r>
      </w:hyperlink>
      <w:r w:rsidR="007E634D">
        <w:t xml:space="preserve">, including an annual work program. We currently provide </w:t>
      </w:r>
      <w:r w:rsidR="009A6E75">
        <w:t>6</w:t>
      </w:r>
      <w:r w:rsidR="007E634D">
        <w:t xml:space="preserve">-monthly updates to stakeholders as a transparency measure, reporting on progress </w:t>
      </w:r>
      <w:r w:rsidR="00113C6D">
        <w:t xml:space="preserve">to </w:t>
      </w:r>
      <w:r w:rsidR="007E634D">
        <w:t xml:space="preserve">meet the annual work program project priorities. </w:t>
      </w:r>
    </w:p>
    <w:p w14:paraId="563E73E8" w14:textId="3BB3E28A" w:rsidR="00E50792" w:rsidRDefault="00E50792" w:rsidP="00E50792">
      <w:pPr>
        <w:pStyle w:val="Paragraph"/>
      </w:pPr>
      <w:r>
        <w:t>The 20</w:t>
      </w:r>
      <w:r w:rsidR="00222BED">
        <w:t>21</w:t>
      </w:r>
      <w:r w:rsidR="009A6E75">
        <w:t>–</w:t>
      </w:r>
      <w:r w:rsidR="00222BED">
        <w:t>25</w:t>
      </w:r>
      <w:r w:rsidR="00CF7C24">
        <w:t xml:space="preserve"> FYS</w:t>
      </w:r>
      <w:r w:rsidR="00446671">
        <w:t xml:space="preserve">O will be the first annual work plan to be </w:t>
      </w:r>
      <w:r w:rsidR="00CD3E4C">
        <w:t xml:space="preserve">made in accordance with the </w:t>
      </w:r>
      <w:r w:rsidR="004E362A">
        <w:t xml:space="preserve">new statutory provisions. </w:t>
      </w:r>
      <w:r w:rsidR="009A6E75">
        <w:t>We</w:t>
      </w:r>
      <w:r w:rsidR="00C90F31">
        <w:t xml:space="preserve"> expect to </w:t>
      </w:r>
      <w:r w:rsidR="00252E7A">
        <w:t xml:space="preserve">consult on </w:t>
      </w:r>
      <w:r w:rsidR="00692EC6">
        <w:t>the draft 2021</w:t>
      </w:r>
      <w:r w:rsidR="009A6E75">
        <w:t>–</w:t>
      </w:r>
      <w:r w:rsidR="00692EC6">
        <w:t xml:space="preserve">25 FYSO </w:t>
      </w:r>
      <w:r w:rsidR="00214169">
        <w:t xml:space="preserve">in </w:t>
      </w:r>
      <w:r w:rsidR="00C55A58">
        <w:t>Q2 2021.</w:t>
      </w:r>
    </w:p>
    <w:p w14:paraId="24F0E969" w14:textId="64D3DF4E" w:rsidR="00C55A58" w:rsidRDefault="008079BA" w:rsidP="00D63C28">
      <w:pPr>
        <w:pStyle w:val="Heading2"/>
      </w:pPr>
      <w:bookmarkStart w:id="6" w:name="_Toc64621330"/>
      <w:r>
        <w:t xml:space="preserve">Licensing </w:t>
      </w:r>
      <w:r w:rsidR="00C166E3">
        <w:t>and allocation r</w:t>
      </w:r>
      <w:r>
        <w:t>eform</w:t>
      </w:r>
      <w:bookmarkEnd w:id="6"/>
    </w:p>
    <w:p w14:paraId="495BE6F5" w14:textId="7C069440" w:rsidR="003F00B2" w:rsidRDefault="0039411B" w:rsidP="0039411B">
      <w:pPr>
        <w:pStyle w:val="Paragraph"/>
      </w:pPr>
      <w:r w:rsidRPr="0039411B">
        <w:t xml:space="preserve">The </w:t>
      </w:r>
      <w:r>
        <w:t>Act will</w:t>
      </w:r>
      <w:r w:rsidRPr="0039411B">
        <w:t xml:space="preserve"> retain the current </w:t>
      </w:r>
      <w:r w:rsidR="009A6E75">
        <w:t>3</w:t>
      </w:r>
      <w:r w:rsidR="009A6E75" w:rsidRPr="0039411B">
        <w:t xml:space="preserve"> </w:t>
      </w:r>
      <w:r w:rsidRPr="0039411B">
        <w:t>forms of licensing under the Act</w:t>
      </w:r>
      <w:r w:rsidR="009A6E75">
        <w:t xml:space="preserve">: </w:t>
      </w:r>
      <w:r w:rsidRPr="0039411B">
        <w:t xml:space="preserve">spectrum, apparatus and class </w:t>
      </w:r>
      <w:r w:rsidR="00364B8D">
        <w:t xml:space="preserve">licensing. It </w:t>
      </w:r>
      <w:r w:rsidRPr="0039411B">
        <w:t>introduces additional flexibilities to tailor appropriate licensing and allocation processes, and bring spectrum to market more quickly.</w:t>
      </w:r>
    </w:p>
    <w:p w14:paraId="63085407" w14:textId="4E2DAD3D" w:rsidR="0039411B" w:rsidRPr="0039411B" w:rsidRDefault="0039411B" w:rsidP="00414DFC">
      <w:pPr>
        <w:pStyle w:val="Paragraphbeforelist"/>
      </w:pPr>
      <w:r w:rsidRPr="0039411B">
        <w:t xml:space="preserve">The </w:t>
      </w:r>
      <w:r w:rsidR="004D3F51">
        <w:t xml:space="preserve">Modernisation Act </w:t>
      </w:r>
      <w:r w:rsidRPr="0039411B">
        <w:t>provide</w:t>
      </w:r>
      <w:r w:rsidR="004D3F51">
        <w:t>s</w:t>
      </w:r>
      <w:r w:rsidRPr="0039411B">
        <w:t xml:space="preserve"> the ACMA with additional decision-making power to: </w:t>
      </w:r>
    </w:p>
    <w:p w14:paraId="518C83DB" w14:textId="23724C8B" w:rsidR="0039411B" w:rsidRPr="0039411B" w:rsidRDefault="0039411B" w:rsidP="00414DFC">
      <w:pPr>
        <w:pStyle w:val="Bulletlevel1"/>
      </w:pPr>
      <w:r w:rsidRPr="0039411B">
        <w:t>make ‘unencumbered spectrum’ available for spectrum licensing (by making a marketing plan)</w:t>
      </w:r>
    </w:p>
    <w:p w14:paraId="16AB574E" w14:textId="0E9F9CD6" w:rsidR="0039411B" w:rsidRPr="0039411B" w:rsidRDefault="00113C6D" w:rsidP="00414DFC">
      <w:pPr>
        <w:pStyle w:val="Bulletlevel1"/>
      </w:pPr>
      <w:r>
        <w:t>re-allocate</w:t>
      </w:r>
      <w:r w:rsidR="0039411B" w:rsidRPr="0039411B">
        <w:t xml:space="preserve"> spectrum </w:t>
      </w:r>
      <w:r>
        <w:t>‘</w:t>
      </w:r>
      <w:r w:rsidR="0039411B" w:rsidRPr="0039411B">
        <w:t>by issuing spectrum licences, apparatus licences, or both’</w:t>
      </w:r>
    </w:p>
    <w:p w14:paraId="464110A5" w14:textId="1C507651" w:rsidR="0039411B" w:rsidRPr="0039411B" w:rsidRDefault="0039411B" w:rsidP="0039411B">
      <w:pPr>
        <w:pStyle w:val="Paragraph"/>
        <w:numPr>
          <w:ilvl w:val="0"/>
          <w:numId w:val="1"/>
        </w:numPr>
      </w:pPr>
      <w:r w:rsidRPr="0039411B">
        <w:t xml:space="preserve">set allocation limits </w:t>
      </w:r>
      <w:r w:rsidR="009A6E75">
        <w:t>for</w:t>
      </w:r>
      <w:r w:rsidRPr="0039411B">
        <w:t xml:space="preserve"> the allocation of spectrum or apparatus licences (after consultation with the Australian Competition and Consumer Commission).</w:t>
      </w:r>
    </w:p>
    <w:p w14:paraId="2DA2A02A" w14:textId="664A0BB7" w:rsidR="0039411B" w:rsidRPr="0039411B" w:rsidRDefault="009D7B5B" w:rsidP="00414DFC">
      <w:pPr>
        <w:pStyle w:val="Paragraphbeforelist"/>
      </w:pPr>
      <w:bookmarkStart w:id="7" w:name="_Hlk51142322"/>
      <w:r>
        <w:t>T</w:t>
      </w:r>
      <w:r w:rsidR="0039411B" w:rsidRPr="0039411B">
        <w:t xml:space="preserve">he ACMA </w:t>
      </w:r>
      <w:r>
        <w:t>will also be empowered to</w:t>
      </w:r>
      <w:r w:rsidR="0039411B" w:rsidRPr="0039411B">
        <w:t xml:space="preserve"> make decisions about licence duration</w:t>
      </w:r>
      <w:r w:rsidR="009A6E75">
        <w:t>,</w:t>
      </w:r>
      <w:r w:rsidR="0039411B" w:rsidRPr="0039411B">
        <w:t xml:space="preserve"> including deciding whether to issue: </w:t>
      </w:r>
    </w:p>
    <w:p w14:paraId="52E745EC" w14:textId="500FEA68" w:rsidR="0039411B" w:rsidRPr="0039411B" w:rsidRDefault="0039411B" w:rsidP="00414DFC">
      <w:pPr>
        <w:pStyle w:val="Bulletlevel1"/>
      </w:pPr>
      <w:r w:rsidRPr="0039411B">
        <w:t xml:space="preserve">a spectrum licence for up to 20 years (currently up to 15 years) </w:t>
      </w:r>
    </w:p>
    <w:p w14:paraId="0D724056" w14:textId="61477A82" w:rsidR="0039411B" w:rsidRPr="0039411B" w:rsidRDefault="0039411B" w:rsidP="00414DFC">
      <w:pPr>
        <w:pStyle w:val="Bulletlevel1last"/>
      </w:pPr>
      <w:r w:rsidRPr="0039411B">
        <w:t xml:space="preserve">an apparatus licence for up to 20 years (currently up to </w:t>
      </w:r>
      <w:r w:rsidR="009A6E75">
        <w:t>5</w:t>
      </w:r>
      <w:r w:rsidR="009A6E75" w:rsidRPr="0039411B">
        <w:t xml:space="preserve"> </w:t>
      </w:r>
      <w:r w:rsidRPr="0039411B">
        <w:t>years).</w:t>
      </w:r>
    </w:p>
    <w:p w14:paraId="668F8F51" w14:textId="0A692D5A" w:rsidR="0039411B" w:rsidRDefault="00291ECD" w:rsidP="0039411B">
      <w:pPr>
        <w:pStyle w:val="Paragraph"/>
        <w:rPr>
          <w:bCs/>
        </w:rPr>
      </w:pPr>
      <w:r>
        <w:t xml:space="preserve">The </w:t>
      </w:r>
      <w:r w:rsidR="00A22EE9">
        <w:t>Modernisation</w:t>
      </w:r>
      <w:r>
        <w:t xml:space="preserve"> Act will</w:t>
      </w:r>
      <w:r w:rsidR="00763B93">
        <w:t xml:space="preserve"> int</w:t>
      </w:r>
      <w:r w:rsidR="00A22EE9">
        <w:t xml:space="preserve">roduce </w:t>
      </w:r>
      <w:r w:rsidR="0039411B" w:rsidRPr="0039411B">
        <w:t>renewal statements. These statements are intended to provide certa</w:t>
      </w:r>
      <w:r w:rsidR="0039411B" w:rsidRPr="00606D11">
        <w:t xml:space="preserve">inty for a licensee from </w:t>
      </w:r>
      <w:r w:rsidR="00113C6D" w:rsidRPr="00606D11">
        <w:t>when</w:t>
      </w:r>
      <w:r w:rsidR="0039411B" w:rsidRPr="00606D11">
        <w:rPr>
          <w:bCs/>
        </w:rPr>
        <w:t xml:space="preserve"> an initial licence is issued, about whether </w:t>
      </w:r>
      <w:r w:rsidR="00252E7A" w:rsidRPr="00606D11">
        <w:rPr>
          <w:bCs/>
        </w:rPr>
        <w:t>the licence will be eligible for renewal (at the discretion of the ACMA)</w:t>
      </w:r>
      <w:r w:rsidR="0039411B" w:rsidRPr="00606D11">
        <w:rPr>
          <w:bCs/>
        </w:rPr>
        <w:t xml:space="preserve"> and on the terms of the licence renewal</w:t>
      </w:r>
      <w:r w:rsidR="0004337B" w:rsidRPr="00606D11">
        <w:t>, including whether a public interest test should apply.</w:t>
      </w:r>
      <w:r w:rsidR="0039411B" w:rsidRPr="0039411B">
        <w:t xml:space="preserve"> </w:t>
      </w:r>
      <w:r w:rsidR="0039411B" w:rsidRPr="0039411B">
        <w:rPr>
          <w:bCs/>
        </w:rPr>
        <w:t>If the renewal period for a licence is 10 years or longer, the ACMA must be satisfied that it is in the public interest to renew the licence.</w:t>
      </w:r>
    </w:p>
    <w:bookmarkEnd w:id="7"/>
    <w:p w14:paraId="4FB44DD0" w14:textId="32CF2430" w:rsidR="0039411B" w:rsidRPr="0039411B" w:rsidRDefault="0039411B" w:rsidP="0039411B">
      <w:pPr>
        <w:pStyle w:val="Paragraph"/>
      </w:pPr>
      <w:r w:rsidRPr="0039411B">
        <w:t xml:space="preserve">The </w:t>
      </w:r>
      <w:r w:rsidR="00C166E3">
        <w:t xml:space="preserve">amended Act </w:t>
      </w:r>
      <w:r w:rsidRPr="0039411B">
        <w:t>introduce</w:t>
      </w:r>
      <w:r w:rsidR="00C166E3">
        <w:t>s</w:t>
      </w:r>
      <w:r w:rsidRPr="0039411B">
        <w:t xml:space="preserve"> a consistent approach to the imposition of allocation limits for price-based allocation of spectrum licences and apparatus licences. </w:t>
      </w:r>
      <w:r w:rsidR="0066331E">
        <w:t>I</w:t>
      </w:r>
      <w:r w:rsidRPr="0039411B">
        <w:t xml:space="preserve">t </w:t>
      </w:r>
      <w:r w:rsidR="0066331E">
        <w:t xml:space="preserve">also </w:t>
      </w:r>
      <w:r w:rsidRPr="0039411B">
        <w:t>enables con</w:t>
      </w:r>
      <w:r w:rsidRPr="00606D11">
        <w:t xml:space="preserve">sideration of enduring limits for </w:t>
      </w:r>
      <w:r w:rsidR="003E2277" w:rsidRPr="00606D11">
        <w:t>administratively</w:t>
      </w:r>
      <w:r w:rsidR="0039413A" w:rsidRPr="00606D11">
        <w:t>-</w:t>
      </w:r>
      <w:r w:rsidR="003E2277" w:rsidRPr="00606D11">
        <w:t>issued</w:t>
      </w:r>
      <w:r w:rsidRPr="00606D11">
        <w:t xml:space="preserve"> apparatus licences, including the capacity to </w:t>
      </w:r>
      <w:r w:rsidR="00606D11" w:rsidRPr="00606D11">
        <w:t>consider</w:t>
      </w:r>
      <w:r w:rsidRPr="00606D11">
        <w:t xml:space="preserve"> aggregate spectrum holdings when deciding whether or not to issue or renew an apparatus licence outside of section 106 price-based allocation of apparatus licences processes.</w:t>
      </w:r>
      <w:r w:rsidRPr="0039411B">
        <w:t xml:space="preserve"> </w:t>
      </w:r>
    </w:p>
    <w:p w14:paraId="0B6106B8" w14:textId="19558E2D" w:rsidR="00130165" w:rsidRDefault="002452FA" w:rsidP="00130165">
      <w:r>
        <w:t>We will publish a</w:t>
      </w:r>
      <w:r w:rsidR="00130165" w:rsidRPr="0050481D">
        <w:t xml:space="preserve"> </w:t>
      </w:r>
      <w:r w:rsidR="002E3255">
        <w:t>guidance</w:t>
      </w:r>
      <w:r w:rsidR="002E3255" w:rsidRPr="0050481D">
        <w:t xml:space="preserve"> </w:t>
      </w:r>
      <w:r w:rsidR="00130165" w:rsidRPr="0050481D">
        <w:t xml:space="preserve">paper </w:t>
      </w:r>
      <w:r w:rsidR="00606D11">
        <w:t>outlining</w:t>
      </w:r>
      <w:r w:rsidR="00130165" w:rsidRPr="0050481D">
        <w:t xml:space="preserve"> </w:t>
      </w:r>
      <w:r w:rsidR="007C2944">
        <w:t xml:space="preserve">our </w:t>
      </w:r>
      <w:r w:rsidR="007C2944" w:rsidRPr="0050481D">
        <w:t>high-level</w:t>
      </w:r>
      <w:r w:rsidR="00130165" w:rsidRPr="0050481D">
        <w:t xml:space="preserve"> disposition on the use of the new licensing and allocation powers, such as licence duration, renewal statements and public interest statements, competition considerations and new allocation tools. </w:t>
      </w:r>
    </w:p>
    <w:p w14:paraId="3A4D64CF" w14:textId="77777777" w:rsidR="00B741C6" w:rsidRDefault="00B741C6" w:rsidP="00B741C6">
      <w:pPr>
        <w:pStyle w:val="Heading2"/>
      </w:pPr>
      <w:bookmarkStart w:id="8" w:name="_Toc51247590"/>
      <w:bookmarkStart w:id="9" w:name="_Toc64621331"/>
      <w:r w:rsidRPr="000E085A">
        <w:lastRenderedPageBreak/>
        <w:t>Equipment rules and exemptions</w:t>
      </w:r>
      <w:bookmarkEnd w:id="8"/>
      <w:bookmarkEnd w:id="9"/>
    </w:p>
    <w:p w14:paraId="2CA2B654" w14:textId="4DD065D7" w:rsidR="00812571" w:rsidRDefault="001F742D" w:rsidP="001F742D">
      <w:pPr>
        <w:pStyle w:val="Paragraph"/>
      </w:pPr>
      <w:r>
        <w:t>Currently, the Act allows the ACMA to make standards applying to devices and labelling notices apply</w:t>
      </w:r>
      <w:r w:rsidR="0039413A">
        <w:t>ing</w:t>
      </w:r>
      <w:r>
        <w:t xml:space="preserve"> to manufacturers and importers of devices </w:t>
      </w:r>
      <w:r w:rsidR="0039413A">
        <w:t xml:space="preserve">to manage </w:t>
      </w:r>
      <w:r>
        <w:t>electromagnetic compatibility</w:t>
      </w:r>
      <w:r w:rsidR="00EF764F">
        <w:t xml:space="preserve"> and </w:t>
      </w:r>
      <w:r>
        <w:t>interference</w:t>
      </w:r>
      <w:r w:rsidR="00EF764F">
        <w:t>,</w:t>
      </w:r>
      <w:r>
        <w:t xml:space="preserve"> and protect health and safety. The Modernisation Act will allow the ACMA to make equipment rules </w:t>
      </w:r>
      <w:r w:rsidR="00EF764F">
        <w:t xml:space="preserve">that </w:t>
      </w:r>
      <w:r>
        <w:t>could broaden the range of parties in the equipment supply chain</w:t>
      </w:r>
      <w:r w:rsidR="00606D11">
        <w:t xml:space="preserve"> subje</w:t>
      </w:r>
      <w:r w:rsidR="00606D11" w:rsidRPr="00606D11">
        <w:t>ct to</w:t>
      </w:r>
      <w:r w:rsidRPr="00606D11">
        <w:t xml:space="preserve"> compliance obligations</w:t>
      </w:r>
      <w:r>
        <w:t>, specifically recognising online supply.</w:t>
      </w:r>
      <w:r w:rsidR="00D11D01">
        <w:t xml:space="preserve"> Our </w:t>
      </w:r>
      <w:r w:rsidR="004C429F">
        <w:t xml:space="preserve">focus </w:t>
      </w:r>
      <w:r w:rsidR="0034106B">
        <w:t xml:space="preserve">is to </w:t>
      </w:r>
      <w:r w:rsidR="00306499">
        <w:t xml:space="preserve">establish a </w:t>
      </w:r>
      <w:r w:rsidR="000B2401">
        <w:t xml:space="preserve">new equipment rule </w:t>
      </w:r>
      <w:r w:rsidR="00605318">
        <w:t xml:space="preserve">that </w:t>
      </w:r>
      <w:r w:rsidR="00605318" w:rsidRPr="0050481D">
        <w:t>will</w:t>
      </w:r>
      <w:r w:rsidR="005B2372">
        <w:t xml:space="preserve"> retain the desirable features of the existing arrangements, including </w:t>
      </w:r>
      <w:r w:rsidR="00605318" w:rsidRPr="0050481D">
        <w:t>the continued regulation of the operation, possession, labelling</w:t>
      </w:r>
      <w:r w:rsidR="000C233F">
        <w:t xml:space="preserve"> and</w:t>
      </w:r>
      <w:r w:rsidR="00F8222A">
        <w:t xml:space="preserve"> </w:t>
      </w:r>
      <w:r w:rsidR="00605318" w:rsidRPr="0050481D">
        <w:t>supply of non-standard devices</w:t>
      </w:r>
      <w:r w:rsidR="00CA54AC">
        <w:t xml:space="preserve">, </w:t>
      </w:r>
      <w:r w:rsidR="00306499">
        <w:t xml:space="preserve">as well as </w:t>
      </w:r>
      <w:r w:rsidR="00CA54AC">
        <w:t>a permit system for non-standard devices.</w:t>
      </w:r>
      <w:r w:rsidR="004214D6">
        <w:t xml:space="preserve"> </w:t>
      </w:r>
      <w:r w:rsidR="000B2401">
        <w:t xml:space="preserve">Existing standards </w:t>
      </w:r>
      <w:r w:rsidR="00DA523F">
        <w:t xml:space="preserve">and labelling notices </w:t>
      </w:r>
      <w:r w:rsidR="000B2401">
        <w:t xml:space="preserve">are </w:t>
      </w:r>
      <w:r w:rsidR="004C429F">
        <w:t xml:space="preserve">transitioned </w:t>
      </w:r>
      <w:r w:rsidR="000B2401">
        <w:t>as equipment rules</w:t>
      </w:r>
      <w:r w:rsidR="00DA523F">
        <w:t>.</w:t>
      </w:r>
    </w:p>
    <w:p w14:paraId="36C37BCB" w14:textId="0359E2CB" w:rsidR="003523AA" w:rsidRDefault="000D5E35" w:rsidP="001F742D">
      <w:pPr>
        <w:pStyle w:val="Paragraph"/>
      </w:pPr>
      <w:r>
        <w:t xml:space="preserve">The </w:t>
      </w:r>
      <w:r w:rsidR="00ED6421">
        <w:t>M</w:t>
      </w:r>
      <w:r w:rsidR="00435B80">
        <w:t>odernisation Act give</w:t>
      </w:r>
      <w:r w:rsidR="00604E91">
        <w:t>s</w:t>
      </w:r>
      <w:r w:rsidR="00435B80">
        <w:t xml:space="preserve"> the ACMA new exemption powers</w:t>
      </w:r>
      <w:r w:rsidR="00AC595D">
        <w:t>,</w:t>
      </w:r>
      <w:r w:rsidR="00435B80">
        <w:t xml:space="preserve"> principally intended to facilitate </w:t>
      </w:r>
      <w:r w:rsidR="00317826">
        <w:t xml:space="preserve">the </w:t>
      </w:r>
      <w:r w:rsidR="00435B80">
        <w:t xml:space="preserve">development, testing and manufacturing of equipment (including equipment subject to an interim or permanent ban). These exemption provisions could allow </w:t>
      </w:r>
      <w:r w:rsidR="00306499">
        <w:t>us</w:t>
      </w:r>
      <w:r w:rsidR="00435B80">
        <w:t xml:space="preserve"> to facilitate domestic manufacturing of radiocommunications equipment, and research and development opportunities in the defence industry and technology sectors. </w:t>
      </w:r>
      <w:r w:rsidR="00D03493">
        <w:t xml:space="preserve">We will </w:t>
      </w:r>
      <w:r w:rsidR="00C97D4C">
        <w:t xml:space="preserve">commence </w:t>
      </w:r>
      <w:r w:rsidR="009F049D">
        <w:t>consult</w:t>
      </w:r>
      <w:r w:rsidR="00C97D4C">
        <w:t>ation</w:t>
      </w:r>
      <w:r w:rsidR="009F049D">
        <w:t xml:space="preserve"> on our use of the </w:t>
      </w:r>
      <w:r w:rsidR="00AC595D">
        <w:t>exemption</w:t>
      </w:r>
      <w:r w:rsidR="009F049D">
        <w:t xml:space="preserve"> provisions </w:t>
      </w:r>
      <w:r w:rsidR="00306499">
        <w:t>before they start</w:t>
      </w:r>
      <w:r w:rsidR="000F40DE">
        <w:t>.</w:t>
      </w:r>
    </w:p>
    <w:p w14:paraId="60267AE8" w14:textId="2A5E4968" w:rsidR="00F07C95" w:rsidRDefault="00F07C95" w:rsidP="00F07C95">
      <w:pPr>
        <w:pStyle w:val="Heading2"/>
      </w:pPr>
      <w:bookmarkStart w:id="10" w:name="_Toc64621332"/>
      <w:r>
        <w:t xml:space="preserve">Accreditation </w:t>
      </w:r>
      <w:r w:rsidR="00306499">
        <w:t>r</w:t>
      </w:r>
      <w:r>
        <w:t>ules</w:t>
      </w:r>
      <w:bookmarkEnd w:id="10"/>
    </w:p>
    <w:p w14:paraId="702E41DD" w14:textId="362E0083" w:rsidR="004152F8" w:rsidRPr="004152F8" w:rsidRDefault="004152F8" w:rsidP="004152F8">
      <w:pPr>
        <w:pStyle w:val="Paragraph"/>
      </w:pPr>
      <w:r w:rsidRPr="004152F8">
        <w:t xml:space="preserve">The </w:t>
      </w:r>
      <w:r>
        <w:t>amended Act expands</w:t>
      </w:r>
      <w:r w:rsidRPr="004152F8">
        <w:t xml:space="preserve"> </w:t>
      </w:r>
      <w:r>
        <w:t xml:space="preserve">the </w:t>
      </w:r>
      <w:r w:rsidRPr="004152F8">
        <w:t xml:space="preserve">range of functions where the ACMA can encourage industry involvement. The ACMA </w:t>
      </w:r>
      <w:r w:rsidR="00D45229">
        <w:t>is</w:t>
      </w:r>
      <w:r w:rsidRPr="004152F8">
        <w:t xml:space="preserve"> provided with discretion to accredit persons for the performance of a broader range of functions. The current </w:t>
      </w:r>
      <w:r w:rsidR="00CC125C">
        <w:t>a</w:t>
      </w:r>
      <w:r w:rsidRPr="004152F8">
        <w:t xml:space="preserve">ccredited </w:t>
      </w:r>
      <w:r w:rsidR="00CC125C">
        <w:t>p</w:t>
      </w:r>
      <w:r w:rsidRPr="004152F8">
        <w:t xml:space="preserve">ersons scheme assists in the assignment of spectrum frequencies. </w:t>
      </w:r>
      <w:r w:rsidR="00CC125C">
        <w:t>We</w:t>
      </w:r>
      <w:r w:rsidRPr="004152F8">
        <w:t xml:space="preserve"> w</w:t>
      </w:r>
      <w:r w:rsidR="0008367A">
        <w:t xml:space="preserve">ill </w:t>
      </w:r>
      <w:r w:rsidRPr="004152F8">
        <w:t>develop ‘</w:t>
      </w:r>
      <w:r w:rsidR="00CC125C">
        <w:t>a</w:t>
      </w:r>
      <w:r w:rsidRPr="004152F8">
        <w:t xml:space="preserve">ccreditation </w:t>
      </w:r>
      <w:r w:rsidR="00CC125C">
        <w:t>r</w:t>
      </w:r>
      <w:r w:rsidRPr="004152F8">
        <w:t xml:space="preserve">ules’ to specify procedures for accrediting </w:t>
      </w:r>
      <w:r w:rsidR="00CC125C">
        <w:t>people</w:t>
      </w:r>
      <w:r w:rsidR="00CC125C" w:rsidRPr="004152F8">
        <w:t xml:space="preserve"> </w:t>
      </w:r>
      <w:r w:rsidRPr="004152F8">
        <w:t xml:space="preserve">or withdrawing </w:t>
      </w:r>
      <w:r w:rsidR="00CC125C" w:rsidRPr="004152F8">
        <w:t>th</w:t>
      </w:r>
      <w:r w:rsidR="00CC125C">
        <w:t>is</w:t>
      </w:r>
      <w:r w:rsidR="00CC125C" w:rsidRPr="004152F8">
        <w:t xml:space="preserve"> </w:t>
      </w:r>
      <w:r w:rsidRPr="004152F8">
        <w:t>accreditation</w:t>
      </w:r>
      <w:r w:rsidR="00CC125C">
        <w:t xml:space="preserve">, </w:t>
      </w:r>
      <w:r w:rsidRPr="004152F8">
        <w:t>and setting out the kinds of accreditation that may be given.</w:t>
      </w:r>
      <w:r w:rsidR="00122006">
        <w:t xml:space="preserve"> </w:t>
      </w:r>
    </w:p>
    <w:p w14:paraId="104EEC02" w14:textId="4FBA5F91" w:rsidR="00F07C95" w:rsidRDefault="002831B8" w:rsidP="001F742D">
      <w:pPr>
        <w:pStyle w:val="Paragraph"/>
      </w:pPr>
      <w:r>
        <w:t xml:space="preserve">Our focus for implementation will be to preserve the operation of </w:t>
      </w:r>
      <w:r w:rsidR="000D6717">
        <w:t xml:space="preserve">the existing </w:t>
      </w:r>
      <w:r w:rsidR="00CC125C">
        <w:t>a</w:t>
      </w:r>
      <w:r w:rsidR="000D6717">
        <w:t xml:space="preserve">ccredited </w:t>
      </w:r>
      <w:r w:rsidR="00CC125C">
        <w:t>p</w:t>
      </w:r>
      <w:r w:rsidR="007177B5">
        <w:t>erson</w:t>
      </w:r>
      <w:r w:rsidR="000C233F">
        <w:t>s</w:t>
      </w:r>
      <w:r w:rsidR="000D6717">
        <w:t xml:space="preserve"> scheme</w:t>
      </w:r>
      <w:r>
        <w:t>. We will need to consult on and make accreditation rules</w:t>
      </w:r>
      <w:r w:rsidR="00CC125C">
        <w:t>, including</w:t>
      </w:r>
      <w:r>
        <w:t xml:space="preserve"> tran</w:t>
      </w:r>
      <w:r w:rsidR="00CD0A45">
        <w:t xml:space="preserve">sitional </w:t>
      </w:r>
      <w:r>
        <w:t xml:space="preserve">accreditation rules. </w:t>
      </w:r>
      <w:r w:rsidR="00335D59">
        <w:t xml:space="preserve">We will </w:t>
      </w:r>
      <w:r w:rsidR="00A10F77">
        <w:t>also</w:t>
      </w:r>
      <w:r w:rsidR="00335D59">
        <w:t xml:space="preserve"> need to consult on c</w:t>
      </w:r>
      <w:r w:rsidR="007D7E23">
        <w:t xml:space="preserve">onsequential changes </w:t>
      </w:r>
      <w:r w:rsidR="007C156E">
        <w:t xml:space="preserve">that </w:t>
      </w:r>
      <w:r w:rsidR="007D7E23">
        <w:t xml:space="preserve">will be needed to the </w:t>
      </w:r>
      <w:r w:rsidR="00335D59">
        <w:t>f</w:t>
      </w:r>
      <w:r w:rsidR="007D7E23">
        <w:t>r</w:t>
      </w:r>
      <w:r w:rsidR="00335D59">
        <w:t>equency assignment</w:t>
      </w:r>
      <w:r w:rsidR="007D7E23">
        <w:t xml:space="preserve"> certificate </w:t>
      </w:r>
      <w:r w:rsidR="00335D59">
        <w:t>determination</w:t>
      </w:r>
      <w:r w:rsidR="007D7E23">
        <w:t>.</w:t>
      </w:r>
    </w:p>
    <w:p w14:paraId="1C921F08" w14:textId="72C0F944" w:rsidR="00CF682E" w:rsidRDefault="00CF682E" w:rsidP="00CF682E">
      <w:pPr>
        <w:pStyle w:val="Heading2"/>
      </w:pPr>
      <w:bookmarkStart w:id="11" w:name="_Toc64621333"/>
      <w:r>
        <w:t>Machinery changes</w:t>
      </w:r>
      <w:bookmarkEnd w:id="11"/>
    </w:p>
    <w:p w14:paraId="07E89D7F" w14:textId="122A0AC0" w:rsidR="0050481D" w:rsidRPr="0050481D" w:rsidRDefault="00AA2B04" w:rsidP="00E50792">
      <w:pPr>
        <w:pStyle w:val="Paragraph"/>
      </w:pPr>
      <w:r>
        <w:t xml:space="preserve">The ACMA will </w:t>
      </w:r>
      <w:r w:rsidR="003A311A">
        <w:t xml:space="preserve">update several class licences </w:t>
      </w:r>
      <w:r w:rsidR="00CC125C">
        <w:t>before</w:t>
      </w:r>
      <w:r w:rsidR="003A311A">
        <w:t xml:space="preserve"> </w:t>
      </w:r>
      <w:r w:rsidR="00CC125C">
        <w:t>the Modernisation Act commences</w:t>
      </w:r>
      <w:r w:rsidR="00B50A8D">
        <w:t xml:space="preserve">, </w:t>
      </w:r>
      <w:r w:rsidR="003A311A">
        <w:t xml:space="preserve">to </w:t>
      </w:r>
      <w:r w:rsidR="00A41E2D">
        <w:t>change reference</w:t>
      </w:r>
      <w:r w:rsidR="00B50A8D">
        <w:t>s</w:t>
      </w:r>
      <w:r w:rsidR="00A41E2D">
        <w:t xml:space="preserve"> to standards to </w:t>
      </w:r>
      <w:r w:rsidR="00A803D4">
        <w:t xml:space="preserve">references to equipment rules. </w:t>
      </w:r>
    </w:p>
    <w:p w14:paraId="37DEA762" w14:textId="7512A15B" w:rsidR="0050481D" w:rsidRPr="0050481D" w:rsidRDefault="0050481D" w:rsidP="008A7413">
      <w:pPr>
        <w:pStyle w:val="Heading2"/>
      </w:pPr>
      <w:bookmarkStart w:id="12" w:name="_Toc64621334"/>
      <w:r w:rsidRPr="0050481D">
        <w:t>Compliance and enforcement</w:t>
      </w:r>
      <w:bookmarkEnd w:id="12"/>
      <w:r w:rsidRPr="0050481D">
        <w:t> </w:t>
      </w:r>
    </w:p>
    <w:p w14:paraId="4707F373" w14:textId="5CC83DCA" w:rsidR="006B5177" w:rsidRPr="006B5177" w:rsidRDefault="006B5177" w:rsidP="006B5177">
      <w:r w:rsidRPr="006B5177">
        <w:t xml:space="preserve">The </w:t>
      </w:r>
      <w:r>
        <w:t xml:space="preserve">Modernisation Act </w:t>
      </w:r>
      <w:r w:rsidR="00B50A8D">
        <w:t>introduces</w:t>
      </w:r>
      <w:r w:rsidR="00B50A8D" w:rsidRPr="006B5177">
        <w:t xml:space="preserve"> </w:t>
      </w:r>
      <w:r w:rsidRPr="006B5177">
        <w:t>new information</w:t>
      </w:r>
      <w:r w:rsidR="00CC125C">
        <w:t>-</w:t>
      </w:r>
      <w:r w:rsidRPr="006B5177">
        <w:t>gathering powers</w:t>
      </w:r>
      <w:r>
        <w:t xml:space="preserve"> for the ACMA</w:t>
      </w:r>
      <w:r w:rsidRPr="006B5177">
        <w:t xml:space="preserve">. These provisions </w:t>
      </w:r>
      <w:r w:rsidR="00893107">
        <w:t xml:space="preserve">will </w:t>
      </w:r>
      <w:r w:rsidRPr="006B5177">
        <w:t xml:space="preserve">assist </w:t>
      </w:r>
      <w:r w:rsidR="00CC125C">
        <w:t>us</w:t>
      </w:r>
      <w:r w:rsidRPr="006B5177">
        <w:t xml:space="preserve"> </w:t>
      </w:r>
      <w:r w:rsidR="00CC125C">
        <w:t>to</w:t>
      </w:r>
      <w:r w:rsidRPr="006B5177">
        <w:t xml:space="preserve"> plan for spectrum use and conduct investigations.</w:t>
      </w:r>
      <w:r w:rsidR="00893107">
        <w:t xml:space="preserve"> We plan to </w:t>
      </w:r>
      <w:r w:rsidR="0077714D">
        <w:t>inform</w:t>
      </w:r>
      <w:r w:rsidR="006D20E6">
        <w:t xml:space="preserve"> stakeholders </w:t>
      </w:r>
      <w:r w:rsidR="00B54131">
        <w:t xml:space="preserve">through our website </w:t>
      </w:r>
      <w:r w:rsidR="00893107">
        <w:t>about these new powers</w:t>
      </w:r>
      <w:r w:rsidR="00FE4173">
        <w:t>.</w:t>
      </w:r>
    </w:p>
    <w:p w14:paraId="58556C51" w14:textId="4CD02A99" w:rsidR="00C07788" w:rsidRDefault="003C2846" w:rsidP="00494397">
      <w:pPr>
        <w:pStyle w:val="Tableheading"/>
      </w:pPr>
      <w:r>
        <w:t>A</w:t>
      </w:r>
      <w:r w:rsidR="00E63FD7">
        <w:t xml:space="preserve">dditional </w:t>
      </w:r>
      <w:r w:rsidR="00711679">
        <w:t>activities</w:t>
      </w:r>
      <w:r w:rsidR="00923689">
        <w:t xml:space="preserve"> </w:t>
      </w:r>
      <w:r w:rsidR="00E63FD7">
        <w:t>for 2020</w:t>
      </w:r>
      <w:r w:rsidR="00CC125C">
        <w:t>–</w:t>
      </w:r>
      <w:r w:rsidR="00E63FD7">
        <w:t>21: Modern</w:t>
      </w:r>
      <w:r w:rsidR="00137399">
        <w:t>isation Act implementation</w:t>
      </w:r>
      <w:r w:rsidR="00F427A9">
        <w:t xml:space="preserve"> </w:t>
      </w:r>
    </w:p>
    <w:tbl>
      <w:tblPr>
        <w:tblStyle w:val="ACMAtablestyle"/>
        <w:tblW w:w="8642" w:type="dxa"/>
        <w:tblLayout w:type="fixed"/>
        <w:tblLook w:val="01E0" w:firstRow="1" w:lastRow="1" w:firstColumn="1" w:lastColumn="1" w:noHBand="0" w:noVBand="0"/>
      </w:tblPr>
      <w:tblGrid>
        <w:gridCol w:w="4876"/>
        <w:gridCol w:w="3766"/>
      </w:tblGrid>
      <w:tr w:rsidR="00085479" w:rsidRPr="00702EA1" w14:paraId="3ABD7C1E" w14:textId="77777777" w:rsidTr="004414A7">
        <w:trPr>
          <w:cnfStyle w:val="100000000000" w:firstRow="1" w:lastRow="0" w:firstColumn="0" w:lastColumn="0" w:oddVBand="0" w:evenVBand="0" w:oddHBand="0" w:evenHBand="0" w:firstRowFirstColumn="0" w:firstRowLastColumn="0" w:lastRowFirstColumn="0" w:lastRowLastColumn="0"/>
        </w:trPr>
        <w:tc>
          <w:tcPr>
            <w:tcW w:w="4876" w:type="dxa"/>
          </w:tcPr>
          <w:p w14:paraId="2471FEB7" w14:textId="34BB3587" w:rsidR="00085479" w:rsidRPr="00702EA1" w:rsidRDefault="00A41B7C" w:rsidP="00F90A58">
            <w:pPr>
              <w:pStyle w:val="Tableheaderrow"/>
            </w:pPr>
            <w:r>
              <w:t>Issue</w:t>
            </w:r>
          </w:p>
        </w:tc>
        <w:tc>
          <w:tcPr>
            <w:tcW w:w="3766" w:type="dxa"/>
          </w:tcPr>
          <w:p w14:paraId="4445899F" w14:textId="1ACD10EC" w:rsidR="00085479" w:rsidRPr="00702EA1" w:rsidRDefault="00A41B7C" w:rsidP="00F90A58">
            <w:pPr>
              <w:pStyle w:val="Tableheaderrow"/>
            </w:pPr>
            <w:r>
              <w:t xml:space="preserve">Timeline </w:t>
            </w:r>
          </w:p>
        </w:tc>
      </w:tr>
      <w:tr w:rsidR="00A41B7C" w:rsidRPr="00702EA1" w14:paraId="65F20A65" w14:textId="77777777" w:rsidTr="004414A7">
        <w:trPr>
          <w:cnfStyle w:val="000000100000" w:firstRow="0" w:lastRow="0" w:firstColumn="0" w:lastColumn="0" w:oddVBand="0" w:evenVBand="0" w:oddHBand="1" w:evenHBand="0" w:firstRowFirstColumn="0" w:firstRowLastColumn="0" w:lastRowFirstColumn="0" w:lastRowLastColumn="0"/>
        </w:trPr>
        <w:tc>
          <w:tcPr>
            <w:tcW w:w="4876" w:type="dxa"/>
          </w:tcPr>
          <w:p w14:paraId="10EF2FCE" w14:textId="68FF1196" w:rsidR="00A41B7C" w:rsidRDefault="00711679" w:rsidP="00F90A58">
            <w:pPr>
              <w:pStyle w:val="TableBody"/>
            </w:pPr>
            <w:r>
              <w:t xml:space="preserve">Release information </w:t>
            </w:r>
            <w:r w:rsidR="00AA333A">
              <w:t xml:space="preserve">paper </w:t>
            </w:r>
            <w:r>
              <w:t xml:space="preserve">on the ACMA’s </w:t>
            </w:r>
            <w:r w:rsidR="00A41B7C">
              <w:t>approach to radiocommunications licensing and allocation</w:t>
            </w:r>
          </w:p>
        </w:tc>
        <w:tc>
          <w:tcPr>
            <w:tcW w:w="3766" w:type="dxa"/>
          </w:tcPr>
          <w:p w14:paraId="4309B1AD" w14:textId="35753F67" w:rsidR="00A41B7C" w:rsidRDefault="0035553A" w:rsidP="00F90A58">
            <w:pPr>
              <w:pStyle w:val="TableBody"/>
            </w:pPr>
            <w:r>
              <w:t xml:space="preserve">March </w:t>
            </w:r>
            <w:r w:rsidR="00A41B7C">
              <w:t>2021</w:t>
            </w:r>
          </w:p>
        </w:tc>
      </w:tr>
      <w:tr w:rsidR="009113B8" w:rsidRPr="00702EA1" w14:paraId="2007AE69" w14:textId="77777777" w:rsidTr="004414A7">
        <w:trPr>
          <w:cnfStyle w:val="000000010000" w:firstRow="0" w:lastRow="0" w:firstColumn="0" w:lastColumn="0" w:oddVBand="0" w:evenVBand="0" w:oddHBand="0" w:evenHBand="1" w:firstRowFirstColumn="0" w:firstRowLastColumn="0" w:lastRowFirstColumn="0" w:lastRowLastColumn="0"/>
        </w:trPr>
        <w:tc>
          <w:tcPr>
            <w:tcW w:w="4876" w:type="dxa"/>
          </w:tcPr>
          <w:p w14:paraId="22E267F1" w14:textId="1C5297D0" w:rsidR="009113B8" w:rsidRDefault="009113B8" w:rsidP="00F90A58">
            <w:pPr>
              <w:pStyle w:val="TableBody"/>
            </w:pPr>
            <w:r>
              <w:t>Consult on the new accreditation rules</w:t>
            </w:r>
            <w:r w:rsidR="00B50A8D">
              <w:t>,</w:t>
            </w:r>
            <w:r>
              <w:t xml:space="preserve"> transitional accreditation rules and consequential amendments to the Radiocommunications (Frequency Assignment Certificates) Determination 2014</w:t>
            </w:r>
          </w:p>
        </w:tc>
        <w:tc>
          <w:tcPr>
            <w:tcW w:w="3766" w:type="dxa"/>
          </w:tcPr>
          <w:p w14:paraId="62BA4C22" w14:textId="1DD19DE7" w:rsidR="009113B8" w:rsidRDefault="00AA333A" w:rsidP="00F90A58">
            <w:pPr>
              <w:pStyle w:val="TableBody"/>
            </w:pPr>
            <w:r>
              <w:t>March</w:t>
            </w:r>
            <w:r w:rsidR="009113B8">
              <w:t xml:space="preserve"> 2021</w:t>
            </w:r>
          </w:p>
        </w:tc>
      </w:tr>
      <w:tr w:rsidR="00085479" w:rsidRPr="00702EA1" w14:paraId="5C08A1C7" w14:textId="77777777" w:rsidTr="004414A7">
        <w:trPr>
          <w:cnfStyle w:val="000000100000" w:firstRow="0" w:lastRow="0" w:firstColumn="0" w:lastColumn="0" w:oddVBand="0" w:evenVBand="0" w:oddHBand="1" w:evenHBand="0" w:firstRowFirstColumn="0" w:firstRowLastColumn="0" w:lastRowFirstColumn="0" w:lastRowLastColumn="0"/>
        </w:trPr>
        <w:tc>
          <w:tcPr>
            <w:tcW w:w="4876" w:type="dxa"/>
          </w:tcPr>
          <w:p w14:paraId="4B81C79A" w14:textId="28E45040" w:rsidR="00085479" w:rsidRPr="00702EA1" w:rsidRDefault="00A41B7C" w:rsidP="00F90A58">
            <w:pPr>
              <w:pStyle w:val="TableBody"/>
            </w:pPr>
            <w:r>
              <w:lastRenderedPageBreak/>
              <w:t>Consult on consequential amendments</w:t>
            </w:r>
            <w:r w:rsidR="00085479">
              <w:t xml:space="preserve"> required to </w:t>
            </w:r>
            <w:r>
              <w:t>class licences</w:t>
            </w:r>
            <w:r w:rsidR="00085479">
              <w:t xml:space="preserve">, which need references to </w:t>
            </w:r>
            <w:r w:rsidR="00085479" w:rsidRPr="00B117B4">
              <w:rPr>
                <w:i/>
                <w:iCs/>
              </w:rPr>
              <w:t>standards</w:t>
            </w:r>
            <w:r w:rsidR="00085479">
              <w:t xml:space="preserve"> updated to references to </w:t>
            </w:r>
            <w:r w:rsidR="00085479" w:rsidRPr="00B50A8D">
              <w:rPr>
                <w:i/>
              </w:rPr>
              <w:t>equipment rules</w:t>
            </w:r>
          </w:p>
        </w:tc>
        <w:tc>
          <w:tcPr>
            <w:tcW w:w="3766" w:type="dxa"/>
          </w:tcPr>
          <w:p w14:paraId="4CD32A3F" w14:textId="24040417" w:rsidR="00085479" w:rsidRPr="00702EA1" w:rsidRDefault="00751E0C" w:rsidP="00F90A58">
            <w:pPr>
              <w:pStyle w:val="TableBody"/>
            </w:pPr>
            <w:r>
              <w:t xml:space="preserve">March </w:t>
            </w:r>
            <w:r w:rsidR="00085479">
              <w:t xml:space="preserve">2021 </w:t>
            </w:r>
          </w:p>
        </w:tc>
      </w:tr>
      <w:tr w:rsidR="00A41B7C" w:rsidRPr="00702EA1" w14:paraId="402665E1" w14:textId="77777777" w:rsidTr="004414A7">
        <w:trPr>
          <w:cnfStyle w:val="000000010000" w:firstRow="0" w:lastRow="0" w:firstColumn="0" w:lastColumn="0" w:oddVBand="0" w:evenVBand="0" w:oddHBand="0" w:evenHBand="1" w:firstRowFirstColumn="0" w:firstRowLastColumn="0" w:lastRowFirstColumn="0" w:lastRowLastColumn="0"/>
        </w:trPr>
        <w:tc>
          <w:tcPr>
            <w:tcW w:w="4876" w:type="dxa"/>
          </w:tcPr>
          <w:p w14:paraId="0C39EF90" w14:textId="6574C78D" w:rsidR="00A41B7C" w:rsidRDefault="00A41B7C" w:rsidP="009E41E1">
            <w:pPr>
              <w:pStyle w:val="TableBody"/>
            </w:pPr>
            <w:r>
              <w:t xml:space="preserve">Consult on the </w:t>
            </w:r>
            <w:r w:rsidRPr="001C37C5">
              <w:t>new equipment rules</w:t>
            </w:r>
          </w:p>
        </w:tc>
        <w:tc>
          <w:tcPr>
            <w:tcW w:w="3766" w:type="dxa"/>
          </w:tcPr>
          <w:p w14:paraId="25A82F2C" w14:textId="71A39119" w:rsidR="00A41B7C" w:rsidRDefault="00A41B7C" w:rsidP="00F90A58">
            <w:pPr>
              <w:pStyle w:val="TableBody"/>
            </w:pPr>
            <w:r>
              <w:t>March 2021</w:t>
            </w:r>
          </w:p>
        </w:tc>
      </w:tr>
      <w:tr w:rsidR="00085479" w:rsidRPr="00702EA1" w14:paraId="314A45E9" w14:textId="77777777" w:rsidTr="004414A7">
        <w:trPr>
          <w:cnfStyle w:val="000000100000" w:firstRow="0" w:lastRow="0" w:firstColumn="0" w:lastColumn="0" w:oddVBand="0" w:evenVBand="0" w:oddHBand="1" w:evenHBand="0" w:firstRowFirstColumn="0" w:firstRowLastColumn="0" w:lastRowFirstColumn="0" w:lastRowLastColumn="0"/>
        </w:trPr>
        <w:tc>
          <w:tcPr>
            <w:tcW w:w="4876" w:type="dxa"/>
          </w:tcPr>
          <w:p w14:paraId="245B5436" w14:textId="4B512717" w:rsidR="00085479" w:rsidRDefault="00A41B7C" w:rsidP="00F90A58">
            <w:pPr>
              <w:pStyle w:val="TableBody"/>
            </w:pPr>
            <w:r>
              <w:t xml:space="preserve">Consult on the ACMA’s approach to the use of the exemptions power under the new section 302 of the </w:t>
            </w:r>
            <w:r w:rsidRPr="00C57D53">
              <w:rPr>
                <w:i/>
                <w:iCs/>
              </w:rPr>
              <w:t>Radiocommunications Act 1992</w:t>
            </w:r>
            <w:r>
              <w:rPr>
                <w:i/>
                <w:iCs/>
              </w:rPr>
              <w:t>.</w:t>
            </w:r>
          </w:p>
        </w:tc>
        <w:tc>
          <w:tcPr>
            <w:tcW w:w="3766" w:type="dxa"/>
          </w:tcPr>
          <w:p w14:paraId="5EBA6F3C" w14:textId="35457A66" w:rsidR="00085479" w:rsidRDefault="00D96BE4" w:rsidP="00F90A58">
            <w:pPr>
              <w:pStyle w:val="TableBody"/>
            </w:pPr>
            <w:r>
              <w:t>May</w:t>
            </w:r>
            <w:r w:rsidR="00085479">
              <w:t xml:space="preserve"> 2021</w:t>
            </w:r>
          </w:p>
        </w:tc>
      </w:tr>
    </w:tbl>
    <w:p w14:paraId="17D79890" w14:textId="77777777" w:rsidR="007B394E" w:rsidRDefault="007B394E" w:rsidP="007A7FAF">
      <w:pPr>
        <w:pStyle w:val="Tableheading"/>
        <w:keepNext w:val="0"/>
        <w:numPr>
          <w:ilvl w:val="0"/>
          <w:numId w:val="0"/>
        </w:numPr>
      </w:pPr>
    </w:p>
    <w:sectPr w:rsidR="007B394E" w:rsidSect="00C77380">
      <w:headerReference w:type="even" r:id="rId30"/>
      <w:headerReference w:type="default" r:id="rId31"/>
      <w:footerReference w:type="even" r:id="rId32"/>
      <w:footerReference w:type="default" r:id="rId33"/>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00D00" w14:textId="77777777" w:rsidR="00BE67C3" w:rsidRDefault="00BE67C3">
      <w:r>
        <w:separator/>
      </w:r>
    </w:p>
  </w:endnote>
  <w:endnote w:type="continuationSeparator" w:id="0">
    <w:p w14:paraId="3FA2DFEF" w14:textId="77777777" w:rsidR="00BE67C3" w:rsidRDefault="00BE67C3">
      <w:r>
        <w:continuationSeparator/>
      </w:r>
    </w:p>
  </w:endnote>
  <w:endnote w:type="continuationNotice" w:id="1">
    <w:p w14:paraId="4C129EBD" w14:textId="77777777" w:rsidR="00BE67C3" w:rsidRDefault="00BE6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021A9" w14:textId="77777777" w:rsidR="005E250B" w:rsidRDefault="538946AA" w:rsidP="005E250B">
    <w:pPr>
      <w:pStyle w:val="Footer"/>
      <w:jc w:val="right"/>
    </w:pPr>
    <w:r>
      <w:rPr>
        <w:noProof/>
      </w:rPr>
      <w:drawing>
        <wp:inline distT="0" distB="0" distL="0" distR="0" wp14:anchorId="0FEFC90E" wp14:editId="0AA9D1C9">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66800" cy="2773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BA4CC"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C947"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2168"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C42771D"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02169"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111E6F19"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DF1C" w14:textId="516AC0E6"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B50A8D">
      <w:rPr>
        <w:noProof/>
        <w:color w:val="505050"/>
      </w:rPr>
      <w:t>iii</w:t>
    </w:r>
    <w:r w:rsidRPr="002E4DDC">
      <w:rPr>
        <w:color w:val="505050"/>
      </w:rPr>
      <w:fldChar w:fldCharType="end"/>
    </w:r>
  </w:p>
  <w:p w14:paraId="5884E965"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E7234" w14:textId="63ED0402"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B50A8D">
      <w:rPr>
        <w:noProof/>
      </w:rPr>
      <w:t>2</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EE0159F"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33ACA" w14:textId="6C3825F9"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B50A8D">
      <w:rPr>
        <w:noProof/>
        <w:color w:val="505050"/>
      </w:rPr>
      <w:t>1</w:t>
    </w:r>
    <w:r w:rsidRPr="00575AC5">
      <w:rPr>
        <w:color w:val="505050"/>
      </w:rPr>
      <w:fldChar w:fldCharType="end"/>
    </w:r>
  </w:p>
  <w:p w14:paraId="73A32FB8"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BC8E6" w14:textId="77777777" w:rsidR="00BE67C3" w:rsidRDefault="00BE67C3" w:rsidP="00DB3A64">
      <w:pPr>
        <w:spacing w:after="0"/>
      </w:pPr>
      <w:r>
        <w:separator/>
      </w:r>
    </w:p>
  </w:footnote>
  <w:footnote w:type="continuationSeparator" w:id="0">
    <w:p w14:paraId="44E3C5BF" w14:textId="77777777" w:rsidR="00BE67C3" w:rsidRDefault="00BE67C3">
      <w:r>
        <w:continuationSeparator/>
      </w:r>
    </w:p>
  </w:footnote>
  <w:footnote w:type="continuationNotice" w:id="1">
    <w:p w14:paraId="58A5C44C" w14:textId="77777777" w:rsidR="00BE67C3" w:rsidRDefault="00BE6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E91E0" w14:textId="77777777" w:rsidR="00C053A1" w:rsidRPr="00A5474E" w:rsidRDefault="538946AA" w:rsidP="00A5474E">
    <w:pPr>
      <w:pStyle w:val="Header"/>
    </w:pPr>
    <w:r>
      <w:rPr>
        <w:noProof/>
      </w:rPr>
      <w:drawing>
        <wp:inline distT="0" distB="0" distL="0" distR="0" wp14:anchorId="12DC3567" wp14:editId="687AC91D">
          <wp:extent cx="6283432"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283432"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E9FA0"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046EF"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D7CE"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1D30951C" w14:textId="77777777" w:rsidTr="00E821AE">
      <w:trPr>
        <w:trHeight w:hRule="exact" w:val="988"/>
      </w:trPr>
      <w:tc>
        <w:tcPr>
          <w:tcW w:w="7678" w:type="dxa"/>
          <w:shd w:val="clear" w:color="auto" w:fill="auto"/>
        </w:tcPr>
        <w:p w14:paraId="1C3AF75E" w14:textId="77777777" w:rsidR="00971914" w:rsidRDefault="00971914" w:rsidP="00971914">
          <w:pPr>
            <w:pStyle w:val="Header"/>
          </w:pPr>
        </w:p>
      </w:tc>
    </w:tr>
    <w:tr w:rsidR="00971914" w14:paraId="6AB9CE71" w14:textId="77777777" w:rsidTr="00E821AE">
      <w:tc>
        <w:tcPr>
          <w:tcW w:w="7678" w:type="dxa"/>
          <w:shd w:val="clear" w:color="auto" w:fill="auto"/>
        </w:tcPr>
        <w:p w14:paraId="6BD52358" w14:textId="77777777" w:rsidR="00971914" w:rsidRDefault="00971914" w:rsidP="00971914">
          <w:pPr>
            <w:pStyle w:val="GridTable31"/>
          </w:pPr>
          <w:r>
            <w:t xml:space="preserve">Contents </w:t>
          </w:r>
          <w:r w:rsidRPr="00915B1C">
            <w:rPr>
              <w:b w:val="0"/>
              <w:spacing w:val="0"/>
              <w:sz w:val="28"/>
              <w:szCs w:val="28"/>
            </w:rPr>
            <w:t>(Continued)</w:t>
          </w:r>
        </w:p>
      </w:tc>
    </w:tr>
    <w:tr w:rsidR="00971914" w14:paraId="1088EA60" w14:textId="77777777" w:rsidTr="00E821AE">
      <w:trPr>
        <w:trHeight w:val="1220"/>
      </w:trPr>
      <w:tc>
        <w:tcPr>
          <w:tcW w:w="7678" w:type="dxa"/>
          <w:shd w:val="clear" w:color="auto" w:fill="auto"/>
        </w:tcPr>
        <w:p w14:paraId="7531BF68" w14:textId="77777777" w:rsidR="00971914" w:rsidRDefault="00971914" w:rsidP="00971914"/>
      </w:tc>
    </w:tr>
  </w:tbl>
  <w:p w14:paraId="6F94266F"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D56AB38" w14:textId="77777777" w:rsidTr="00E821AE">
      <w:trPr>
        <w:trHeight w:hRule="exact" w:val="988"/>
      </w:trPr>
      <w:tc>
        <w:tcPr>
          <w:tcW w:w="7678" w:type="dxa"/>
          <w:shd w:val="clear" w:color="auto" w:fill="auto"/>
        </w:tcPr>
        <w:p w14:paraId="2FF1E122" w14:textId="77777777" w:rsidR="00971914" w:rsidRDefault="00971914" w:rsidP="00971914">
          <w:pPr>
            <w:pStyle w:val="Header"/>
          </w:pPr>
        </w:p>
      </w:tc>
    </w:tr>
    <w:tr w:rsidR="00971914" w14:paraId="04365B38" w14:textId="77777777" w:rsidTr="00E821AE">
      <w:tc>
        <w:tcPr>
          <w:tcW w:w="7678" w:type="dxa"/>
          <w:shd w:val="clear" w:color="auto" w:fill="auto"/>
        </w:tcPr>
        <w:p w14:paraId="30F36354" w14:textId="77777777" w:rsidR="00971914" w:rsidRDefault="00971914" w:rsidP="00971914">
          <w:pPr>
            <w:pStyle w:val="GridTable31"/>
          </w:pPr>
          <w:r>
            <w:t xml:space="preserve">Contents </w:t>
          </w:r>
          <w:r w:rsidRPr="00915B1C">
            <w:rPr>
              <w:b w:val="0"/>
              <w:spacing w:val="0"/>
              <w:sz w:val="28"/>
              <w:szCs w:val="28"/>
            </w:rPr>
            <w:t>(Continued)</w:t>
          </w:r>
        </w:p>
      </w:tc>
    </w:tr>
    <w:tr w:rsidR="00971914" w14:paraId="6A2FE009" w14:textId="77777777" w:rsidTr="00E821AE">
      <w:trPr>
        <w:trHeight w:val="1220"/>
      </w:trPr>
      <w:tc>
        <w:tcPr>
          <w:tcW w:w="7678" w:type="dxa"/>
          <w:shd w:val="clear" w:color="auto" w:fill="auto"/>
        </w:tcPr>
        <w:p w14:paraId="345634AF" w14:textId="77777777" w:rsidR="00971914" w:rsidRDefault="00971914" w:rsidP="00971914"/>
      </w:tc>
    </w:tr>
  </w:tbl>
  <w:p w14:paraId="49B2978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BE81F"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C51C9"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37020905"/>
    <w:multiLevelType w:val="hybridMultilevel"/>
    <w:tmpl w:val="0428D264"/>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E252624"/>
    <w:multiLevelType w:val="multilevel"/>
    <w:tmpl w:val="C31E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E7837"/>
    <w:multiLevelType w:val="multilevel"/>
    <w:tmpl w:val="69AE9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B22CCE"/>
    <w:multiLevelType w:val="multilevel"/>
    <w:tmpl w:val="09B00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173DE1"/>
    <w:multiLevelType w:val="multilevel"/>
    <w:tmpl w:val="4F6A2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345E0"/>
    <w:multiLevelType w:val="multilevel"/>
    <w:tmpl w:val="C87834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16"/>
  </w:num>
  <w:num w:numId="7">
    <w:abstractNumId w:val="13"/>
  </w:num>
  <w:num w:numId="8">
    <w:abstractNumId w:val="14"/>
  </w:num>
  <w:num w:numId="9">
    <w:abstractNumId w:val="17"/>
  </w:num>
  <w:num w:numId="10">
    <w:abstractNumId w:val="4"/>
  </w:num>
  <w:num w:numId="11">
    <w:abstractNumId w:val="2"/>
    <w:lvlOverride w:ilvl="0">
      <w:startOverride w:val="1"/>
    </w:lvlOverride>
  </w:num>
  <w:num w:numId="12">
    <w:abstractNumId w:val="2"/>
    <w:lvlOverride w:ilvl="0">
      <w:startOverride w:val="1"/>
    </w:lvlOverride>
  </w:num>
  <w:num w:numId="13">
    <w:abstractNumId w:val="5"/>
  </w:num>
  <w:num w:numId="14">
    <w:abstractNumId w:val="6"/>
  </w:num>
  <w:num w:numId="15">
    <w:abstractNumId w:val="8"/>
  </w:num>
  <w:num w:numId="16">
    <w:abstractNumId w:val="9"/>
  </w:num>
  <w:num w:numId="17">
    <w:abstractNumId w:val="12"/>
  </w:num>
  <w:num w:numId="18">
    <w:abstractNumId w:val="11"/>
  </w:num>
  <w:num w:numId="19">
    <w:abstractNumId w:val="10"/>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evenAndOddHeaders/>
  <w:drawingGridHorizontalSpacing w:val="100"/>
  <w:displayHorizontalDrawingGridEvery w:val="2"/>
  <w:characterSpacingControl w:val="doNotCompress"/>
  <w:hdrShapeDefaults>
    <o:shapedefaults v:ext="edit" spidmax="8193">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93"/>
    <w:rsid w:val="00003270"/>
    <w:rsid w:val="00004EC1"/>
    <w:rsid w:val="0000747C"/>
    <w:rsid w:val="00010667"/>
    <w:rsid w:val="00011376"/>
    <w:rsid w:val="000129D5"/>
    <w:rsid w:val="00015AE7"/>
    <w:rsid w:val="00016E21"/>
    <w:rsid w:val="0001719C"/>
    <w:rsid w:val="0002224E"/>
    <w:rsid w:val="000245E5"/>
    <w:rsid w:val="00024D3D"/>
    <w:rsid w:val="00026F91"/>
    <w:rsid w:val="0003774F"/>
    <w:rsid w:val="0004337B"/>
    <w:rsid w:val="00046972"/>
    <w:rsid w:val="0004764C"/>
    <w:rsid w:val="0005011A"/>
    <w:rsid w:val="0005045A"/>
    <w:rsid w:val="00051C1E"/>
    <w:rsid w:val="000532A0"/>
    <w:rsid w:val="000536A9"/>
    <w:rsid w:val="000539F9"/>
    <w:rsid w:val="00054C27"/>
    <w:rsid w:val="00055EC3"/>
    <w:rsid w:val="000563CE"/>
    <w:rsid w:val="000575F7"/>
    <w:rsid w:val="000579F9"/>
    <w:rsid w:val="000605B0"/>
    <w:rsid w:val="000637D5"/>
    <w:rsid w:val="000659B6"/>
    <w:rsid w:val="0006686F"/>
    <w:rsid w:val="0006722A"/>
    <w:rsid w:val="000732CF"/>
    <w:rsid w:val="00075B96"/>
    <w:rsid w:val="0008196A"/>
    <w:rsid w:val="0008367A"/>
    <w:rsid w:val="00083D50"/>
    <w:rsid w:val="00085479"/>
    <w:rsid w:val="0008653B"/>
    <w:rsid w:val="00087403"/>
    <w:rsid w:val="0008759B"/>
    <w:rsid w:val="00087CB9"/>
    <w:rsid w:val="000915ED"/>
    <w:rsid w:val="00091901"/>
    <w:rsid w:val="0009209D"/>
    <w:rsid w:val="00093029"/>
    <w:rsid w:val="0009463C"/>
    <w:rsid w:val="000962BD"/>
    <w:rsid w:val="000969BD"/>
    <w:rsid w:val="000969BF"/>
    <w:rsid w:val="000971BD"/>
    <w:rsid w:val="000A0C22"/>
    <w:rsid w:val="000A1400"/>
    <w:rsid w:val="000A3C43"/>
    <w:rsid w:val="000A4A51"/>
    <w:rsid w:val="000A5D2B"/>
    <w:rsid w:val="000A6656"/>
    <w:rsid w:val="000B0D3B"/>
    <w:rsid w:val="000B2401"/>
    <w:rsid w:val="000B4664"/>
    <w:rsid w:val="000B5DE3"/>
    <w:rsid w:val="000C0A57"/>
    <w:rsid w:val="000C230C"/>
    <w:rsid w:val="000C233F"/>
    <w:rsid w:val="000C44B3"/>
    <w:rsid w:val="000C6620"/>
    <w:rsid w:val="000C6AB4"/>
    <w:rsid w:val="000C7586"/>
    <w:rsid w:val="000C7CE8"/>
    <w:rsid w:val="000D19BC"/>
    <w:rsid w:val="000D47BA"/>
    <w:rsid w:val="000D5E35"/>
    <w:rsid w:val="000D6717"/>
    <w:rsid w:val="000D71D9"/>
    <w:rsid w:val="000D76E0"/>
    <w:rsid w:val="000D7E8B"/>
    <w:rsid w:val="000E23C8"/>
    <w:rsid w:val="000E2A85"/>
    <w:rsid w:val="000E3BA8"/>
    <w:rsid w:val="000E4449"/>
    <w:rsid w:val="000E6097"/>
    <w:rsid w:val="000E7045"/>
    <w:rsid w:val="000F40DE"/>
    <w:rsid w:val="000F6F95"/>
    <w:rsid w:val="0010267F"/>
    <w:rsid w:val="00103829"/>
    <w:rsid w:val="001038AB"/>
    <w:rsid w:val="00104512"/>
    <w:rsid w:val="001049ED"/>
    <w:rsid w:val="00111FCE"/>
    <w:rsid w:val="00113C6D"/>
    <w:rsid w:val="00113F84"/>
    <w:rsid w:val="0012151D"/>
    <w:rsid w:val="00121B3B"/>
    <w:rsid w:val="00122006"/>
    <w:rsid w:val="001229A5"/>
    <w:rsid w:val="0012489B"/>
    <w:rsid w:val="00125539"/>
    <w:rsid w:val="00130017"/>
    <w:rsid w:val="00130165"/>
    <w:rsid w:val="00130F91"/>
    <w:rsid w:val="00131855"/>
    <w:rsid w:val="001349ED"/>
    <w:rsid w:val="00137360"/>
    <w:rsid w:val="00137399"/>
    <w:rsid w:val="00137424"/>
    <w:rsid w:val="00140318"/>
    <w:rsid w:val="00141AD9"/>
    <w:rsid w:val="001452C3"/>
    <w:rsid w:val="00145D5F"/>
    <w:rsid w:val="00146CE6"/>
    <w:rsid w:val="001473BD"/>
    <w:rsid w:val="00152903"/>
    <w:rsid w:val="00153425"/>
    <w:rsid w:val="00153FD5"/>
    <w:rsid w:val="0015614F"/>
    <w:rsid w:val="001577C2"/>
    <w:rsid w:val="001633C4"/>
    <w:rsid w:val="001704D5"/>
    <w:rsid w:val="00171591"/>
    <w:rsid w:val="00173981"/>
    <w:rsid w:val="00175C2A"/>
    <w:rsid w:val="0017719D"/>
    <w:rsid w:val="0018046C"/>
    <w:rsid w:val="00183FD7"/>
    <w:rsid w:val="00185CAB"/>
    <w:rsid w:val="00186A21"/>
    <w:rsid w:val="00186DDA"/>
    <w:rsid w:val="001875B7"/>
    <w:rsid w:val="00187CB3"/>
    <w:rsid w:val="001903EF"/>
    <w:rsid w:val="0019050A"/>
    <w:rsid w:val="0019066C"/>
    <w:rsid w:val="0019067D"/>
    <w:rsid w:val="001910D4"/>
    <w:rsid w:val="00191A11"/>
    <w:rsid w:val="001976E3"/>
    <w:rsid w:val="00197F02"/>
    <w:rsid w:val="001A3FF4"/>
    <w:rsid w:val="001A44EC"/>
    <w:rsid w:val="001A58F1"/>
    <w:rsid w:val="001A78B7"/>
    <w:rsid w:val="001B28D9"/>
    <w:rsid w:val="001B42BD"/>
    <w:rsid w:val="001B58AA"/>
    <w:rsid w:val="001B7E48"/>
    <w:rsid w:val="001C131E"/>
    <w:rsid w:val="001C17CE"/>
    <w:rsid w:val="001C36CA"/>
    <w:rsid w:val="001C37C5"/>
    <w:rsid w:val="001C44D1"/>
    <w:rsid w:val="001C6AEE"/>
    <w:rsid w:val="001C7630"/>
    <w:rsid w:val="001D1E10"/>
    <w:rsid w:val="001D2282"/>
    <w:rsid w:val="001D3278"/>
    <w:rsid w:val="001D4DD0"/>
    <w:rsid w:val="001D6D15"/>
    <w:rsid w:val="001E482D"/>
    <w:rsid w:val="001E5687"/>
    <w:rsid w:val="001E7966"/>
    <w:rsid w:val="001F1516"/>
    <w:rsid w:val="001F6ED2"/>
    <w:rsid w:val="001F742D"/>
    <w:rsid w:val="001F7558"/>
    <w:rsid w:val="00205B57"/>
    <w:rsid w:val="00206206"/>
    <w:rsid w:val="00214169"/>
    <w:rsid w:val="002157E0"/>
    <w:rsid w:val="00216A57"/>
    <w:rsid w:val="00217448"/>
    <w:rsid w:val="00222BED"/>
    <w:rsid w:val="0022334F"/>
    <w:rsid w:val="00223E60"/>
    <w:rsid w:val="00226819"/>
    <w:rsid w:val="00230D0E"/>
    <w:rsid w:val="00233101"/>
    <w:rsid w:val="00233817"/>
    <w:rsid w:val="00234D67"/>
    <w:rsid w:val="002367FF"/>
    <w:rsid w:val="0023769E"/>
    <w:rsid w:val="00240CE9"/>
    <w:rsid w:val="002434BA"/>
    <w:rsid w:val="002452FA"/>
    <w:rsid w:val="00246089"/>
    <w:rsid w:val="00246093"/>
    <w:rsid w:val="00246702"/>
    <w:rsid w:val="00247C59"/>
    <w:rsid w:val="00247F2E"/>
    <w:rsid w:val="00250ADC"/>
    <w:rsid w:val="00250B07"/>
    <w:rsid w:val="00251202"/>
    <w:rsid w:val="00251DF6"/>
    <w:rsid w:val="00252E7A"/>
    <w:rsid w:val="00257553"/>
    <w:rsid w:val="00260886"/>
    <w:rsid w:val="00260FB2"/>
    <w:rsid w:val="00262128"/>
    <w:rsid w:val="00266734"/>
    <w:rsid w:val="0027165D"/>
    <w:rsid w:val="00272115"/>
    <w:rsid w:val="00273CEB"/>
    <w:rsid w:val="002770A4"/>
    <w:rsid w:val="00280ABB"/>
    <w:rsid w:val="00280F66"/>
    <w:rsid w:val="00281C89"/>
    <w:rsid w:val="0028282F"/>
    <w:rsid w:val="002831B8"/>
    <w:rsid w:val="00284A74"/>
    <w:rsid w:val="00285391"/>
    <w:rsid w:val="00291ECD"/>
    <w:rsid w:val="0029593B"/>
    <w:rsid w:val="00297B32"/>
    <w:rsid w:val="00297FC5"/>
    <w:rsid w:val="002A0417"/>
    <w:rsid w:val="002A0820"/>
    <w:rsid w:val="002A16D8"/>
    <w:rsid w:val="002A1BC8"/>
    <w:rsid w:val="002A3EF2"/>
    <w:rsid w:val="002A6B5F"/>
    <w:rsid w:val="002B0687"/>
    <w:rsid w:val="002B0DED"/>
    <w:rsid w:val="002B19A2"/>
    <w:rsid w:val="002B3770"/>
    <w:rsid w:val="002B381A"/>
    <w:rsid w:val="002B4FCC"/>
    <w:rsid w:val="002B7408"/>
    <w:rsid w:val="002B7CFD"/>
    <w:rsid w:val="002C210F"/>
    <w:rsid w:val="002C3DFC"/>
    <w:rsid w:val="002C5377"/>
    <w:rsid w:val="002D15BA"/>
    <w:rsid w:val="002D3600"/>
    <w:rsid w:val="002D3754"/>
    <w:rsid w:val="002E23D4"/>
    <w:rsid w:val="002E28CF"/>
    <w:rsid w:val="002E3255"/>
    <w:rsid w:val="002E3FC0"/>
    <w:rsid w:val="002E4DDC"/>
    <w:rsid w:val="002E5302"/>
    <w:rsid w:val="002F3EC5"/>
    <w:rsid w:val="002F7F85"/>
    <w:rsid w:val="00302480"/>
    <w:rsid w:val="00302758"/>
    <w:rsid w:val="00306499"/>
    <w:rsid w:val="003073A0"/>
    <w:rsid w:val="003101D5"/>
    <w:rsid w:val="00311B8E"/>
    <w:rsid w:val="00311E4B"/>
    <w:rsid w:val="003165E6"/>
    <w:rsid w:val="00317826"/>
    <w:rsid w:val="003215B5"/>
    <w:rsid w:val="003217AB"/>
    <w:rsid w:val="003221CF"/>
    <w:rsid w:val="003233ED"/>
    <w:rsid w:val="00324B17"/>
    <w:rsid w:val="00324D9F"/>
    <w:rsid w:val="003253F4"/>
    <w:rsid w:val="00327948"/>
    <w:rsid w:val="0033000F"/>
    <w:rsid w:val="00332011"/>
    <w:rsid w:val="00332518"/>
    <w:rsid w:val="00332925"/>
    <w:rsid w:val="003332ED"/>
    <w:rsid w:val="00334240"/>
    <w:rsid w:val="00335D59"/>
    <w:rsid w:val="003368DC"/>
    <w:rsid w:val="00336C2F"/>
    <w:rsid w:val="0034106B"/>
    <w:rsid w:val="003442BA"/>
    <w:rsid w:val="00345927"/>
    <w:rsid w:val="0034780D"/>
    <w:rsid w:val="00350584"/>
    <w:rsid w:val="00351857"/>
    <w:rsid w:val="003523AA"/>
    <w:rsid w:val="003545E8"/>
    <w:rsid w:val="0035553A"/>
    <w:rsid w:val="003563B0"/>
    <w:rsid w:val="003610E1"/>
    <w:rsid w:val="00364B8D"/>
    <w:rsid w:val="0036681F"/>
    <w:rsid w:val="003671BE"/>
    <w:rsid w:val="00370B2F"/>
    <w:rsid w:val="00372485"/>
    <w:rsid w:val="003726EC"/>
    <w:rsid w:val="00373200"/>
    <w:rsid w:val="00375EF5"/>
    <w:rsid w:val="003767A5"/>
    <w:rsid w:val="00381D15"/>
    <w:rsid w:val="00385254"/>
    <w:rsid w:val="00392D83"/>
    <w:rsid w:val="0039411B"/>
    <w:rsid w:val="0039413A"/>
    <w:rsid w:val="003A04DB"/>
    <w:rsid w:val="003A311A"/>
    <w:rsid w:val="003A49CA"/>
    <w:rsid w:val="003A5F5B"/>
    <w:rsid w:val="003A6E62"/>
    <w:rsid w:val="003A789A"/>
    <w:rsid w:val="003B12EC"/>
    <w:rsid w:val="003B6FEF"/>
    <w:rsid w:val="003B7F2F"/>
    <w:rsid w:val="003C2846"/>
    <w:rsid w:val="003C6BBA"/>
    <w:rsid w:val="003C77E0"/>
    <w:rsid w:val="003D17D7"/>
    <w:rsid w:val="003D1D2B"/>
    <w:rsid w:val="003D2678"/>
    <w:rsid w:val="003D71A3"/>
    <w:rsid w:val="003E1A23"/>
    <w:rsid w:val="003E2277"/>
    <w:rsid w:val="003E2B8A"/>
    <w:rsid w:val="003E59B4"/>
    <w:rsid w:val="003E7111"/>
    <w:rsid w:val="003F00B2"/>
    <w:rsid w:val="003F0141"/>
    <w:rsid w:val="003F09A3"/>
    <w:rsid w:val="003F10EE"/>
    <w:rsid w:val="003F16F6"/>
    <w:rsid w:val="003F2A79"/>
    <w:rsid w:val="003F429D"/>
    <w:rsid w:val="003F4DC7"/>
    <w:rsid w:val="003F5235"/>
    <w:rsid w:val="0040046E"/>
    <w:rsid w:val="004027E4"/>
    <w:rsid w:val="0041071D"/>
    <w:rsid w:val="00414AFC"/>
    <w:rsid w:val="00414DFC"/>
    <w:rsid w:val="004151A7"/>
    <w:rsid w:val="004152F8"/>
    <w:rsid w:val="00415310"/>
    <w:rsid w:val="0041555F"/>
    <w:rsid w:val="00415DE9"/>
    <w:rsid w:val="004205F0"/>
    <w:rsid w:val="004214D6"/>
    <w:rsid w:val="00421709"/>
    <w:rsid w:val="00423763"/>
    <w:rsid w:val="0042762F"/>
    <w:rsid w:val="00427DC7"/>
    <w:rsid w:val="00431613"/>
    <w:rsid w:val="00431792"/>
    <w:rsid w:val="0043297A"/>
    <w:rsid w:val="00432EB2"/>
    <w:rsid w:val="00435B5C"/>
    <w:rsid w:val="00435B80"/>
    <w:rsid w:val="0043714F"/>
    <w:rsid w:val="004378B3"/>
    <w:rsid w:val="004414A7"/>
    <w:rsid w:val="00442563"/>
    <w:rsid w:val="004438B5"/>
    <w:rsid w:val="004446E4"/>
    <w:rsid w:val="00446671"/>
    <w:rsid w:val="00447037"/>
    <w:rsid w:val="004511C5"/>
    <w:rsid w:val="0045124D"/>
    <w:rsid w:val="00453BBA"/>
    <w:rsid w:val="004540B2"/>
    <w:rsid w:val="00454596"/>
    <w:rsid w:val="0045538F"/>
    <w:rsid w:val="0045556F"/>
    <w:rsid w:val="0045605D"/>
    <w:rsid w:val="00460E30"/>
    <w:rsid w:val="0046135B"/>
    <w:rsid w:val="00461D47"/>
    <w:rsid w:val="0046313A"/>
    <w:rsid w:val="0046497B"/>
    <w:rsid w:val="00466850"/>
    <w:rsid w:val="0047066A"/>
    <w:rsid w:val="00471229"/>
    <w:rsid w:val="004718CC"/>
    <w:rsid w:val="00472D30"/>
    <w:rsid w:val="00481695"/>
    <w:rsid w:val="00484F8E"/>
    <w:rsid w:val="00491EBD"/>
    <w:rsid w:val="00494397"/>
    <w:rsid w:val="00494DF0"/>
    <w:rsid w:val="00495A96"/>
    <w:rsid w:val="00495BB3"/>
    <w:rsid w:val="004A0252"/>
    <w:rsid w:val="004A1F2B"/>
    <w:rsid w:val="004A44A1"/>
    <w:rsid w:val="004A4E34"/>
    <w:rsid w:val="004A56BB"/>
    <w:rsid w:val="004A642E"/>
    <w:rsid w:val="004A70D6"/>
    <w:rsid w:val="004B1751"/>
    <w:rsid w:val="004B2D80"/>
    <w:rsid w:val="004B3197"/>
    <w:rsid w:val="004B37F1"/>
    <w:rsid w:val="004B4D05"/>
    <w:rsid w:val="004B64A1"/>
    <w:rsid w:val="004B65B0"/>
    <w:rsid w:val="004C0253"/>
    <w:rsid w:val="004C429F"/>
    <w:rsid w:val="004D2A5C"/>
    <w:rsid w:val="004D3F51"/>
    <w:rsid w:val="004D56FF"/>
    <w:rsid w:val="004D7847"/>
    <w:rsid w:val="004E362A"/>
    <w:rsid w:val="004E39D3"/>
    <w:rsid w:val="004E508A"/>
    <w:rsid w:val="004E5769"/>
    <w:rsid w:val="004E616D"/>
    <w:rsid w:val="004E7B05"/>
    <w:rsid w:val="004F1BDE"/>
    <w:rsid w:val="004F2CEE"/>
    <w:rsid w:val="004F556E"/>
    <w:rsid w:val="004F591C"/>
    <w:rsid w:val="004F7F44"/>
    <w:rsid w:val="005037B4"/>
    <w:rsid w:val="0050481D"/>
    <w:rsid w:val="005079BF"/>
    <w:rsid w:val="0051269A"/>
    <w:rsid w:val="005144FA"/>
    <w:rsid w:val="005219E7"/>
    <w:rsid w:val="00521ED4"/>
    <w:rsid w:val="00527C06"/>
    <w:rsid w:val="00531B9A"/>
    <w:rsid w:val="00531D15"/>
    <w:rsid w:val="00536FA9"/>
    <w:rsid w:val="00537604"/>
    <w:rsid w:val="00542377"/>
    <w:rsid w:val="005442DE"/>
    <w:rsid w:val="005476EB"/>
    <w:rsid w:val="00551782"/>
    <w:rsid w:val="005556DB"/>
    <w:rsid w:val="00563BBF"/>
    <w:rsid w:val="00563EF1"/>
    <w:rsid w:val="00564759"/>
    <w:rsid w:val="00566AB4"/>
    <w:rsid w:val="00571E2D"/>
    <w:rsid w:val="005750DE"/>
    <w:rsid w:val="00575AC5"/>
    <w:rsid w:val="0057605D"/>
    <w:rsid w:val="00581347"/>
    <w:rsid w:val="00581AC9"/>
    <w:rsid w:val="00583536"/>
    <w:rsid w:val="005849F8"/>
    <w:rsid w:val="005870A4"/>
    <w:rsid w:val="005938DF"/>
    <w:rsid w:val="00594E9C"/>
    <w:rsid w:val="00595E49"/>
    <w:rsid w:val="00596AA3"/>
    <w:rsid w:val="005A099B"/>
    <w:rsid w:val="005A2D9C"/>
    <w:rsid w:val="005A55FE"/>
    <w:rsid w:val="005A66DA"/>
    <w:rsid w:val="005A6A11"/>
    <w:rsid w:val="005A7F64"/>
    <w:rsid w:val="005B1FEB"/>
    <w:rsid w:val="005B2372"/>
    <w:rsid w:val="005B50AB"/>
    <w:rsid w:val="005D2502"/>
    <w:rsid w:val="005D40BB"/>
    <w:rsid w:val="005D47F3"/>
    <w:rsid w:val="005D49BF"/>
    <w:rsid w:val="005D4AA5"/>
    <w:rsid w:val="005D6F4E"/>
    <w:rsid w:val="005D7C73"/>
    <w:rsid w:val="005E250B"/>
    <w:rsid w:val="005E2B13"/>
    <w:rsid w:val="005E3ACD"/>
    <w:rsid w:val="005E5A10"/>
    <w:rsid w:val="005E7226"/>
    <w:rsid w:val="005E7A57"/>
    <w:rsid w:val="005F24B0"/>
    <w:rsid w:val="005F2F7F"/>
    <w:rsid w:val="005F5152"/>
    <w:rsid w:val="005F5A7D"/>
    <w:rsid w:val="00601B57"/>
    <w:rsid w:val="00604315"/>
    <w:rsid w:val="00604E26"/>
    <w:rsid w:val="00604E91"/>
    <w:rsid w:val="0060523F"/>
    <w:rsid w:val="006052CF"/>
    <w:rsid w:val="00605318"/>
    <w:rsid w:val="00606D11"/>
    <w:rsid w:val="00607B8D"/>
    <w:rsid w:val="00610D84"/>
    <w:rsid w:val="00611F5C"/>
    <w:rsid w:val="00611F77"/>
    <w:rsid w:val="0061627D"/>
    <w:rsid w:val="00616E09"/>
    <w:rsid w:val="00622A3B"/>
    <w:rsid w:val="00622EEA"/>
    <w:rsid w:val="0062396C"/>
    <w:rsid w:val="00623FF9"/>
    <w:rsid w:val="00627D4E"/>
    <w:rsid w:val="00630B64"/>
    <w:rsid w:val="006324F9"/>
    <w:rsid w:val="00632B89"/>
    <w:rsid w:val="0063346D"/>
    <w:rsid w:val="00634478"/>
    <w:rsid w:val="00644373"/>
    <w:rsid w:val="00645915"/>
    <w:rsid w:val="006519C3"/>
    <w:rsid w:val="00652B30"/>
    <w:rsid w:val="00653589"/>
    <w:rsid w:val="00656345"/>
    <w:rsid w:val="00656DC6"/>
    <w:rsid w:val="00660446"/>
    <w:rsid w:val="00660EC6"/>
    <w:rsid w:val="0066331E"/>
    <w:rsid w:val="00664110"/>
    <w:rsid w:val="00664D17"/>
    <w:rsid w:val="00666520"/>
    <w:rsid w:val="00666837"/>
    <w:rsid w:val="00667C5B"/>
    <w:rsid w:val="00681B4F"/>
    <w:rsid w:val="00687B60"/>
    <w:rsid w:val="00691EB8"/>
    <w:rsid w:val="00692CDE"/>
    <w:rsid w:val="00692EC6"/>
    <w:rsid w:val="00693073"/>
    <w:rsid w:val="00694F1E"/>
    <w:rsid w:val="006977FF"/>
    <w:rsid w:val="006A01FA"/>
    <w:rsid w:val="006A0E9E"/>
    <w:rsid w:val="006A0EA1"/>
    <w:rsid w:val="006A25C7"/>
    <w:rsid w:val="006A4594"/>
    <w:rsid w:val="006A4AAD"/>
    <w:rsid w:val="006A5031"/>
    <w:rsid w:val="006A6DA2"/>
    <w:rsid w:val="006A7AB2"/>
    <w:rsid w:val="006B5177"/>
    <w:rsid w:val="006B52DE"/>
    <w:rsid w:val="006B5717"/>
    <w:rsid w:val="006B582F"/>
    <w:rsid w:val="006B5EB2"/>
    <w:rsid w:val="006C0CEB"/>
    <w:rsid w:val="006C1631"/>
    <w:rsid w:val="006C3B1E"/>
    <w:rsid w:val="006C47FD"/>
    <w:rsid w:val="006C5C19"/>
    <w:rsid w:val="006C70A0"/>
    <w:rsid w:val="006D20E6"/>
    <w:rsid w:val="006D27CB"/>
    <w:rsid w:val="006D2F08"/>
    <w:rsid w:val="006D576C"/>
    <w:rsid w:val="006D5865"/>
    <w:rsid w:val="006E08FF"/>
    <w:rsid w:val="006E4B1B"/>
    <w:rsid w:val="006E5445"/>
    <w:rsid w:val="006E6F86"/>
    <w:rsid w:val="006E7D93"/>
    <w:rsid w:val="006F2C11"/>
    <w:rsid w:val="006F44D2"/>
    <w:rsid w:val="007029A3"/>
    <w:rsid w:val="00702EA1"/>
    <w:rsid w:val="0070473B"/>
    <w:rsid w:val="007048A9"/>
    <w:rsid w:val="0070653C"/>
    <w:rsid w:val="00706E4E"/>
    <w:rsid w:val="0070791C"/>
    <w:rsid w:val="00710297"/>
    <w:rsid w:val="007103D8"/>
    <w:rsid w:val="00711679"/>
    <w:rsid w:val="007126D0"/>
    <w:rsid w:val="0071383C"/>
    <w:rsid w:val="007141A7"/>
    <w:rsid w:val="007152CD"/>
    <w:rsid w:val="00715722"/>
    <w:rsid w:val="00715737"/>
    <w:rsid w:val="007177B5"/>
    <w:rsid w:val="00721032"/>
    <w:rsid w:val="00721B55"/>
    <w:rsid w:val="007251C3"/>
    <w:rsid w:val="00726CE4"/>
    <w:rsid w:val="007310B7"/>
    <w:rsid w:val="00734143"/>
    <w:rsid w:val="00737E47"/>
    <w:rsid w:val="00740EAC"/>
    <w:rsid w:val="00743F2D"/>
    <w:rsid w:val="00744956"/>
    <w:rsid w:val="00745A5C"/>
    <w:rsid w:val="0074605F"/>
    <w:rsid w:val="007478BA"/>
    <w:rsid w:val="00747E94"/>
    <w:rsid w:val="00751E0C"/>
    <w:rsid w:val="00754C83"/>
    <w:rsid w:val="00756B4F"/>
    <w:rsid w:val="00761E5C"/>
    <w:rsid w:val="00762330"/>
    <w:rsid w:val="00762E14"/>
    <w:rsid w:val="0076347B"/>
    <w:rsid w:val="00763B93"/>
    <w:rsid w:val="00765DF8"/>
    <w:rsid w:val="00766749"/>
    <w:rsid w:val="00767C1B"/>
    <w:rsid w:val="007714A9"/>
    <w:rsid w:val="00773033"/>
    <w:rsid w:val="00774F88"/>
    <w:rsid w:val="00774FDB"/>
    <w:rsid w:val="00776242"/>
    <w:rsid w:val="0077714D"/>
    <w:rsid w:val="00777BA2"/>
    <w:rsid w:val="00781408"/>
    <w:rsid w:val="007840F6"/>
    <w:rsid w:val="00784F7F"/>
    <w:rsid w:val="00786C42"/>
    <w:rsid w:val="007878BD"/>
    <w:rsid w:val="00796F25"/>
    <w:rsid w:val="007A2E98"/>
    <w:rsid w:val="007A2F99"/>
    <w:rsid w:val="007A3BA3"/>
    <w:rsid w:val="007A51AC"/>
    <w:rsid w:val="007A5B4B"/>
    <w:rsid w:val="007A64E8"/>
    <w:rsid w:val="007A6CC0"/>
    <w:rsid w:val="007A7FAF"/>
    <w:rsid w:val="007A7FEC"/>
    <w:rsid w:val="007B1096"/>
    <w:rsid w:val="007B1499"/>
    <w:rsid w:val="007B1BBF"/>
    <w:rsid w:val="007B2960"/>
    <w:rsid w:val="007B355D"/>
    <w:rsid w:val="007B394E"/>
    <w:rsid w:val="007B7980"/>
    <w:rsid w:val="007C0DEF"/>
    <w:rsid w:val="007C156E"/>
    <w:rsid w:val="007C2944"/>
    <w:rsid w:val="007C4C83"/>
    <w:rsid w:val="007C5D5A"/>
    <w:rsid w:val="007C607F"/>
    <w:rsid w:val="007C6E44"/>
    <w:rsid w:val="007C79DD"/>
    <w:rsid w:val="007D1A97"/>
    <w:rsid w:val="007D2CD6"/>
    <w:rsid w:val="007D3063"/>
    <w:rsid w:val="007D3CEB"/>
    <w:rsid w:val="007D4CD6"/>
    <w:rsid w:val="007D6CBD"/>
    <w:rsid w:val="007D7B22"/>
    <w:rsid w:val="007D7E23"/>
    <w:rsid w:val="007E20C1"/>
    <w:rsid w:val="007E3375"/>
    <w:rsid w:val="007E634D"/>
    <w:rsid w:val="007E6436"/>
    <w:rsid w:val="007E7683"/>
    <w:rsid w:val="007F0954"/>
    <w:rsid w:val="007F49FA"/>
    <w:rsid w:val="007F54C4"/>
    <w:rsid w:val="007F6E9A"/>
    <w:rsid w:val="00800CCD"/>
    <w:rsid w:val="008044D4"/>
    <w:rsid w:val="00805E5B"/>
    <w:rsid w:val="008079BA"/>
    <w:rsid w:val="00810AB4"/>
    <w:rsid w:val="00812571"/>
    <w:rsid w:val="00817B56"/>
    <w:rsid w:val="00821A88"/>
    <w:rsid w:val="0082495D"/>
    <w:rsid w:val="00831AC3"/>
    <w:rsid w:val="00831C95"/>
    <w:rsid w:val="00832101"/>
    <w:rsid w:val="00832EAC"/>
    <w:rsid w:val="00834999"/>
    <w:rsid w:val="00836FCE"/>
    <w:rsid w:val="008408FF"/>
    <w:rsid w:val="0084109B"/>
    <w:rsid w:val="00841689"/>
    <w:rsid w:val="008458CE"/>
    <w:rsid w:val="00851F3F"/>
    <w:rsid w:val="00854194"/>
    <w:rsid w:val="0085618F"/>
    <w:rsid w:val="00856EDC"/>
    <w:rsid w:val="008623B5"/>
    <w:rsid w:val="00865B43"/>
    <w:rsid w:val="00870ABA"/>
    <w:rsid w:val="008710E1"/>
    <w:rsid w:val="008716E5"/>
    <w:rsid w:val="008719DF"/>
    <w:rsid w:val="008727D5"/>
    <w:rsid w:val="00881758"/>
    <w:rsid w:val="00881CA9"/>
    <w:rsid w:val="00883628"/>
    <w:rsid w:val="00885544"/>
    <w:rsid w:val="0088634E"/>
    <w:rsid w:val="00893107"/>
    <w:rsid w:val="00893AB8"/>
    <w:rsid w:val="00895D64"/>
    <w:rsid w:val="008A04C8"/>
    <w:rsid w:val="008A2598"/>
    <w:rsid w:val="008A6913"/>
    <w:rsid w:val="008A7413"/>
    <w:rsid w:val="008B5DA3"/>
    <w:rsid w:val="008B60A7"/>
    <w:rsid w:val="008B70F3"/>
    <w:rsid w:val="008B71C4"/>
    <w:rsid w:val="008B76DF"/>
    <w:rsid w:val="008C10F4"/>
    <w:rsid w:val="008C2AAF"/>
    <w:rsid w:val="008C3A8C"/>
    <w:rsid w:val="008C65F7"/>
    <w:rsid w:val="008D7241"/>
    <w:rsid w:val="008E1FC4"/>
    <w:rsid w:val="008E2AD0"/>
    <w:rsid w:val="008E4767"/>
    <w:rsid w:val="008E69CB"/>
    <w:rsid w:val="008E7A8C"/>
    <w:rsid w:val="009010DB"/>
    <w:rsid w:val="0090203B"/>
    <w:rsid w:val="00903285"/>
    <w:rsid w:val="0090355B"/>
    <w:rsid w:val="00906F40"/>
    <w:rsid w:val="0090731E"/>
    <w:rsid w:val="009078BB"/>
    <w:rsid w:val="009113B8"/>
    <w:rsid w:val="00913464"/>
    <w:rsid w:val="00915B1C"/>
    <w:rsid w:val="009174F3"/>
    <w:rsid w:val="0091797D"/>
    <w:rsid w:val="0092160E"/>
    <w:rsid w:val="00923689"/>
    <w:rsid w:val="00923799"/>
    <w:rsid w:val="00923CBA"/>
    <w:rsid w:val="009242EB"/>
    <w:rsid w:val="00925E2B"/>
    <w:rsid w:val="00926703"/>
    <w:rsid w:val="00927691"/>
    <w:rsid w:val="00927A5F"/>
    <w:rsid w:val="00927E8C"/>
    <w:rsid w:val="00930510"/>
    <w:rsid w:val="009327CA"/>
    <w:rsid w:val="00935B63"/>
    <w:rsid w:val="00936A33"/>
    <w:rsid w:val="0094078F"/>
    <w:rsid w:val="00940FA3"/>
    <w:rsid w:val="00940FDD"/>
    <w:rsid w:val="009416A4"/>
    <w:rsid w:val="00941FB0"/>
    <w:rsid w:val="009426D4"/>
    <w:rsid w:val="00945737"/>
    <w:rsid w:val="00947F25"/>
    <w:rsid w:val="00950159"/>
    <w:rsid w:val="0095490B"/>
    <w:rsid w:val="00954B84"/>
    <w:rsid w:val="00960A33"/>
    <w:rsid w:val="00963CD2"/>
    <w:rsid w:val="00964C71"/>
    <w:rsid w:val="00971914"/>
    <w:rsid w:val="00974363"/>
    <w:rsid w:val="00977AC0"/>
    <w:rsid w:val="00981898"/>
    <w:rsid w:val="00982671"/>
    <w:rsid w:val="0098325A"/>
    <w:rsid w:val="00985617"/>
    <w:rsid w:val="009870C0"/>
    <w:rsid w:val="0099577C"/>
    <w:rsid w:val="009A0102"/>
    <w:rsid w:val="009A2EEA"/>
    <w:rsid w:val="009A6E75"/>
    <w:rsid w:val="009B24A5"/>
    <w:rsid w:val="009B2601"/>
    <w:rsid w:val="009B2F8C"/>
    <w:rsid w:val="009B4E9E"/>
    <w:rsid w:val="009B5A56"/>
    <w:rsid w:val="009C1690"/>
    <w:rsid w:val="009C1D22"/>
    <w:rsid w:val="009C254F"/>
    <w:rsid w:val="009C5E84"/>
    <w:rsid w:val="009C6881"/>
    <w:rsid w:val="009C7759"/>
    <w:rsid w:val="009D043D"/>
    <w:rsid w:val="009D07C8"/>
    <w:rsid w:val="009D1D05"/>
    <w:rsid w:val="009D6C71"/>
    <w:rsid w:val="009D7B5B"/>
    <w:rsid w:val="009E0631"/>
    <w:rsid w:val="009E16D0"/>
    <w:rsid w:val="009E2051"/>
    <w:rsid w:val="009E24C1"/>
    <w:rsid w:val="009E297D"/>
    <w:rsid w:val="009E38FD"/>
    <w:rsid w:val="009E41E1"/>
    <w:rsid w:val="009F049D"/>
    <w:rsid w:val="009F13D6"/>
    <w:rsid w:val="009F4C6B"/>
    <w:rsid w:val="009F78A8"/>
    <w:rsid w:val="00A00993"/>
    <w:rsid w:val="00A02AD6"/>
    <w:rsid w:val="00A07096"/>
    <w:rsid w:val="00A07318"/>
    <w:rsid w:val="00A10F77"/>
    <w:rsid w:val="00A11370"/>
    <w:rsid w:val="00A13167"/>
    <w:rsid w:val="00A17637"/>
    <w:rsid w:val="00A17EB6"/>
    <w:rsid w:val="00A224CE"/>
    <w:rsid w:val="00A22522"/>
    <w:rsid w:val="00A22EE9"/>
    <w:rsid w:val="00A2440D"/>
    <w:rsid w:val="00A244EE"/>
    <w:rsid w:val="00A24882"/>
    <w:rsid w:val="00A24AFD"/>
    <w:rsid w:val="00A24F5C"/>
    <w:rsid w:val="00A267E2"/>
    <w:rsid w:val="00A269EE"/>
    <w:rsid w:val="00A30003"/>
    <w:rsid w:val="00A31B42"/>
    <w:rsid w:val="00A32F96"/>
    <w:rsid w:val="00A36501"/>
    <w:rsid w:val="00A40871"/>
    <w:rsid w:val="00A412AB"/>
    <w:rsid w:val="00A4193E"/>
    <w:rsid w:val="00A41B7C"/>
    <w:rsid w:val="00A41E2D"/>
    <w:rsid w:val="00A42723"/>
    <w:rsid w:val="00A440E0"/>
    <w:rsid w:val="00A442EF"/>
    <w:rsid w:val="00A47D5E"/>
    <w:rsid w:val="00A505B6"/>
    <w:rsid w:val="00A51D1A"/>
    <w:rsid w:val="00A53CEF"/>
    <w:rsid w:val="00A5418D"/>
    <w:rsid w:val="00A5474E"/>
    <w:rsid w:val="00A54853"/>
    <w:rsid w:val="00A57613"/>
    <w:rsid w:val="00A63897"/>
    <w:rsid w:val="00A63AE8"/>
    <w:rsid w:val="00A64234"/>
    <w:rsid w:val="00A70ADF"/>
    <w:rsid w:val="00A71466"/>
    <w:rsid w:val="00A7297F"/>
    <w:rsid w:val="00A74B5E"/>
    <w:rsid w:val="00A74BF2"/>
    <w:rsid w:val="00A77054"/>
    <w:rsid w:val="00A803D4"/>
    <w:rsid w:val="00A81BED"/>
    <w:rsid w:val="00A81EC4"/>
    <w:rsid w:val="00A824E8"/>
    <w:rsid w:val="00A967FD"/>
    <w:rsid w:val="00AA0037"/>
    <w:rsid w:val="00AA1683"/>
    <w:rsid w:val="00AA2B04"/>
    <w:rsid w:val="00AA2DE5"/>
    <w:rsid w:val="00AA333A"/>
    <w:rsid w:val="00AA3EB3"/>
    <w:rsid w:val="00AA4968"/>
    <w:rsid w:val="00AB156C"/>
    <w:rsid w:val="00AB6229"/>
    <w:rsid w:val="00AB670B"/>
    <w:rsid w:val="00AB6814"/>
    <w:rsid w:val="00AC04BA"/>
    <w:rsid w:val="00AC0E39"/>
    <w:rsid w:val="00AC230D"/>
    <w:rsid w:val="00AC595D"/>
    <w:rsid w:val="00AD3082"/>
    <w:rsid w:val="00AD32B4"/>
    <w:rsid w:val="00AD3640"/>
    <w:rsid w:val="00AD4AD0"/>
    <w:rsid w:val="00AD5436"/>
    <w:rsid w:val="00AD60CD"/>
    <w:rsid w:val="00AD6C8C"/>
    <w:rsid w:val="00AE091D"/>
    <w:rsid w:val="00AE1C18"/>
    <w:rsid w:val="00AE3B60"/>
    <w:rsid w:val="00AE4AA7"/>
    <w:rsid w:val="00AE53A1"/>
    <w:rsid w:val="00AF2484"/>
    <w:rsid w:val="00AF2B26"/>
    <w:rsid w:val="00AF63E7"/>
    <w:rsid w:val="00AF6E17"/>
    <w:rsid w:val="00B0165D"/>
    <w:rsid w:val="00B01B60"/>
    <w:rsid w:val="00B031F3"/>
    <w:rsid w:val="00B052A4"/>
    <w:rsid w:val="00B117B4"/>
    <w:rsid w:val="00B125DE"/>
    <w:rsid w:val="00B13EB6"/>
    <w:rsid w:val="00B13FDD"/>
    <w:rsid w:val="00B164A8"/>
    <w:rsid w:val="00B20DF0"/>
    <w:rsid w:val="00B21E78"/>
    <w:rsid w:val="00B22EB2"/>
    <w:rsid w:val="00B27442"/>
    <w:rsid w:val="00B304D5"/>
    <w:rsid w:val="00B31167"/>
    <w:rsid w:val="00B3221C"/>
    <w:rsid w:val="00B329D8"/>
    <w:rsid w:val="00B32ADB"/>
    <w:rsid w:val="00B32BB9"/>
    <w:rsid w:val="00B33AE1"/>
    <w:rsid w:val="00B36FE5"/>
    <w:rsid w:val="00B37C38"/>
    <w:rsid w:val="00B417A6"/>
    <w:rsid w:val="00B4288C"/>
    <w:rsid w:val="00B43262"/>
    <w:rsid w:val="00B44100"/>
    <w:rsid w:val="00B46CBA"/>
    <w:rsid w:val="00B46F94"/>
    <w:rsid w:val="00B5000C"/>
    <w:rsid w:val="00B50A8D"/>
    <w:rsid w:val="00B51E0B"/>
    <w:rsid w:val="00B54131"/>
    <w:rsid w:val="00B54BBD"/>
    <w:rsid w:val="00B56BE1"/>
    <w:rsid w:val="00B570A0"/>
    <w:rsid w:val="00B571DF"/>
    <w:rsid w:val="00B6003C"/>
    <w:rsid w:val="00B61F03"/>
    <w:rsid w:val="00B626E4"/>
    <w:rsid w:val="00B67B7D"/>
    <w:rsid w:val="00B72F4A"/>
    <w:rsid w:val="00B735EA"/>
    <w:rsid w:val="00B741C6"/>
    <w:rsid w:val="00B81822"/>
    <w:rsid w:val="00B83C27"/>
    <w:rsid w:val="00B84BC3"/>
    <w:rsid w:val="00B84BDD"/>
    <w:rsid w:val="00B85185"/>
    <w:rsid w:val="00B85233"/>
    <w:rsid w:val="00B85B24"/>
    <w:rsid w:val="00B92812"/>
    <w:rsid w:val="00B92B3E"/>
    <w:rsid w:val="00B965C1"/>
    <w:rsid w:val="00BA4002"/>
    <w:rsid w:val="00BB45A1"/>
    <w:rsid w:val="00BB552C"/>
    <w:rsid w:val="00BB5894"/>
    <w:rsid w:val="00BB7686"/>
    <w:rsid w:val="00BC00F5"/>
    <w:rsid w:val="00BC23F9"/>
    <w:rsid w:val="00BC3421"/>
    <w:rsid w:val="00BC732C"/>
    <w:rsid w:val="00BD4421"/>
    <w:rsid w:val="00BD707E"/>
    <w:rsid w:val="00BD7249"/>
    <w:rsid w:val="00BE2580"/>
    <w:rsid w:val="00BE266D"/>
    <w:rsid w:val="00BE3123"/>
    <w:rsid w:val="00BE35CB"/>
    <w:rsid w:val="00BE3938"/>
    <w:rsid w:val="00BE4C11"/>
    <w:rsid w:val="00BE67C3"/>
    <w:rsid w:val="00BE6805"/>
    <w:rsid w:val="00BE71C0"/>
    <w:rsid w:val="00BF04CD"/>
    <w:rsid w:val="00BF208D"/>
    <w:rsid w:val="00BF4397"/>
    <w:rsid w:val="00BF610C"/>
    <w:rsid w:val="00C0060B"/>
    <w:rsid w:val="00C01A6C"/>
    <w:rsid w:val="00C0277D"/>
    <w:rsid w:val="00C04B3D"/>
    <w:rsid w:val="00C053A1"/>
    <w:rsid w:val="00C05E50"/>
    <w:rsid w:val="00C07788"/>
    <w:rsid w:val="00C07C89"/>
    <w:rsid w:val="00C10A57"/>
    <w:rsid w:val="00C16198"/>
    <w:rsid w:val="00C166E3"/>
    <w:rsid w:val="00C2083D"/>
    <w:rsid w:val="00C24A53"/>
    <w:rsid w:val="00C34A05"/>
    <w:rsid w:val="00C35CCE"/>
    <w:rsid w:val="00C4032F"/>
    <w:rsid w:val="00C44047"/>
    <w:rsid w:val="00C45155"/>
    <w:rsid w:val="00C46E96"/>
    <w:rsid w:val="00C53860"/>
    <w:rsid w:val="00C5498F"/>
    <w:rsid w:val="00C55235"/>
    <w:rsid w:val="00C55A58"/>
    <w:rsid w:val="00C57D53"/>
    <w:rsid w:val="00C625C9"/>
    <w:rsid w:val="00C64CD0"/>
    <w:rsid w:val="00C6684F"/>
    <w:rsid w:val="00C70698"/>
    <w:rsid w:val="00C70E70"/>
    <w:rsid w:val="00C74409"/>
    <w:rsid w:val="00C74454"/>
    <w:rsid w:val="00C75F8D"/>
    <w:rsid w:val="00C77380"/>
    <w:rsid w:val="00C82940"/>
    <w:rsid w:val="00C83EA9"/>
    <w:rsid w:val="00C845FF"/>
    <w:rsid w:val="00C87E8A"/>
    <w:rsid w:val="00C90067"/>
    <w:rsid w:val="00C90F31"/>
    <w:rsid w:val="00C97736"/>
    <w:rsid w:val="00C97D4C"/>
    <w:rsid w:val="00CA061F"/>
    <w:rsid w:val="00CA1471"/>
    <w:rsid w:val="00CA1EB7"/>
    <w:rsid w:val="00CA345A"/>
    <w:rsid w:val="00CA3B7D"/>
    <w:rsid w:val="00CA54AC"/>
    <w:rsid w:val="00CA776E"/>
    <w:rsid w:val="00CB1E82"/>
    <w:rsid w:val="00CB24DC"/>
    <w:rsid w:val="00CB3B39"/>
    <w:rsid w:val="00CB4BA8"/>
    <w:rsid w:val="00CB52D7"/>
    <w:rsid w:val="00CC125C"/>
    <w:rsid w:val="00CC59E0"/>
    <w:rsid w:val="00CC6732"/>
    <w:rsid w:val="00CD0A45"/>
    <w:rsid w:val="00CD13D2"/>
    <w:rsid w:val="00CD1C32"/>
    <w:rsid w:val="00CD3E4C"/>
    <w:rsid w:val="00CD4E8E"/>
    <w:rsid w:val="00CE0BB5"/>
    <w:rsid w:val="00CE3C96"/>
    <w:rsid w:val="00CE51A8"/>
    <w:rsid w:val="00CF369B"/>
    <w:rsid w:val="00CF682E"/>
    <w:rsid w:val="00CF7C24"/>
    <w:rsid w:val="00D00E28"/>
    <w:rsid w:val="00D0269E"/>
    <w:rsid w:val="00D026E4"/>
    <w:rsid w:val="00D03493"/>
    <w:rsid w:val="00D054CB"/>
    <w:rsid w:val="00D05D6C"/>
    <w:rsid w:val="00D11D01"/>
    <w:rsid w:val="00D15810"/>
    <w:rsid w:val="00D16D4E"/>
    <w:rsid w:val="00D16FE3"/>
    <w:rsid w:val="00D27F41"/>
    <w:rsid w:val="00D31052"/>
    <w:rsid w:val="00D344D7"/>
    <w:rsid w:val="00D36441"/>
    <w:rsid w:val="00D37BE5"/>
    <w:rsid w:val="00D4064E"/>
    <w:rsid w:val="00D414E9"/>
    <w:rsid w:val="00D425DF"/>
    <w:rsid w:val="00D42EF0"/>
    <w:rsid w:val="00D44E9B"/>
    <w:rsid w:val="00D45229"/>
    <w:rsid w:val="00D45FD2"/>
    <w:rsid w:val="00D47AEB"/>
    <w:rsid w:val="00D47CDA"/>
    <w:rsid w:val="00D50DB9"/>
    <w:rsid w:val="00D51302"/>
    <w:rsid w:val="00D52C43"/>
    <w:rsid w:val="00D56E1B"/>
    <w:rsid w:val="00D610DA"/>
    <w:rsid w:val="00D63C28"/>
    <w:rsid w:val="00D6465E"/>
    <w:rsid w:val="00D6507F"/>
    <w:rsid w:val="00D67F4C"/>
    <w:rsid w:val="00D730BC"/>
    <w:rsid w:val="00D73912"/>
    <w:rsid w:val="00D76571"/>
    <w:rsid w:val="00D765F0"/>
    <w:rsid w:val="00D77A49"/>
    <w:rsid w:val="00D85226"/>
    <w:rsid w:val="00D87B94"/>
    <w:rsid w:val="00D92D49"/>
    <w:rsid w:val="00D92EC1"/>
    <w:rsid w:val="00D9335A"/>
    <w:rsid w:val="00D96BE4"/>
    <w:rsid w:val="00D96DEA"/>
    <w:rsid w:val="00DA0D49"/>
    <w:rsid w:val="00DA3461"/>
    <w:rsid w:val="00DA4E41"/>
    <w:rsid w:val="00DA523F"/>
    <w:rsid w:val="00DA5503"/>
    <w:rsid w:val="00DA7952"/>
    <w:rsid w:val="00DB0AC0"/>
    <w:rsid w:val="00DB117A"/>
    <w:rsid w:val="00DB3A64"/>
    <w:rsid w:val="00DB5173"/>
    <w:rsid w:val="00DB7873"/>
    <w:rsid w:val="00DC187B"/>
    <w:rsid w:val="00DC5585"/>
    <w:rsid w:val="00DC77F5"/>
    <w:rsid w:val="00DC7DEF"/>
    <w:rsid w:val="00DD1A43"/>
    <w:rsid w:val="00DD73C2"/>
    <w:rsid w:val="00DE224F"/>
    <w:rsid w:val="00DE319B"/>
    <w:rsid w:val="00DF0799"/>
    <w:rsid w:val="00DF19A3"/>
    <w:rsid w:val="00DF34FE"/>
    <w:rsid w:val="00DF39A1"/>
    <w:rsid w:val="00DF56AA"/>
    <w:rsid w:val="00DF56AF"/>
    <w:rsid w:val="00DF78E7"/>
    <w:rsid w:val="00E03823"/>
    <w:rsid w:val="00E110E0"/>
    <w:rsid w:val="00E12ED6"/>
    <w:rsid w:val="00E15371"/>
    <w:rsid w:val="00E1636D"/>
    <w:rsid w:val="00E23372"/>
    <w:rsid w:val="00E237A0"/>
    <w:rsid w:val="00E24104"/>
    <w:rsid w:val="00E24FBB"/>
    <w:rsid w:val="00E25DBD"/>
    <w:rsid w:val="00E302D0"/>
    <w:rsid w:val="00E326BF"/>
    <w:rsid w:val="00E35707"/>
    <w:rsid w:val="00E36AA1"/>
    <w:rsid w:val="00E41ECB"/>
    <w:rsid w:val="00E42676"/>
    <w:rsid w:val="00E43A78"/>
    <w:rsid w:val="00E45B7A"/>
    <w:rsid w:val="00E50792"/>
    <w:rsid w:val="00E5138A"/>
    <w:rsid w:val="00E52923"/>
    <w:rsid w:val="00E53F21"/>
    <w:rsid w:val="00E54FDB"/>
    <w:rsid w:val="00E5617D"/>
    <w:rsid w:val="00E563D7"/>
    <w:rsid w:val="00E60902"/>
    <w:rsid w:val="00E63FD7"/>
    <w:rsid w:val="00E663F4"/>
    <w:rsid w:val="00E666F2"/>
    <w:rsid w:val="00E66DD4"/>
    <w:rsid w:val="00E70EB8"/>
    <w:rsid w:val="00E748CC"/>
    <w:rsid w:val="00E75061"/>
    <w:rsid w:val="00E75415"/>
    <w:rsid w:val="00E774EC"/>
    <w:rsid w:val="00E775B1"/>
    <w:rsid w:val="00E77C91"/>
    <w:rsid w:val="00E8152A"/>
    <w:rsid w:val="00E818DE"/>
    <w:rsid w:val="00E821AE"/>
    <w:rsid w:val="00E85993"/>
    <w:rsid w:val="00E85FF2"/>
    <w:rsid w:val="00E93629"/>
    <w:rsid w:val="00E93B5C"/>
    <w:rsid w:val="00E94CEC"/>
    <w:rsid w:val="00EA04EF"/>
    <w:rsid w:val="00EA5A5D"/>
    <w:rsid w:val="00EA6F19"/>
    <w:rsid w:val="00EB2B1F"/>
    <w:rsid w:val="00EB42C3"/>
    <w:rsid w:val="00EB47C5"/>
    <w:rsid w:val="00EB7090"/>
    <w:rsid w:val="00EC1BBE"/>
    <w:rsid w:val="00EC2B68"/>
    <w:rsid w:val="00EC2E24"/>
    <w:rsid w:val="00EC3AEF"/>
    <w:rsid w:val="00EC5CD7"/>
    <w:rsid w:val="00ED2704"/>
    <w:rsid w:val="00ED6421"/>
    <w:rsid w:val="00EE5FB3"/>
    <w:rsid w:val="00EE73EE"/>
    <w:rsid w:val="00EE756E"/>
    <w:rsid w:val="00EE7F79"/>
    <w:rsid w:val="00EF0E9F"/>
    <w:rsid w:val="00EF715A"/>
    <w:rsid w:val="00EF764F"/>
    <w:rsid w:val="00F00C74"/>
    <w:rsid w:val="00F01BC3"/>
    <w:rsid w:val="00F03FBE"/>
    <w:rsid w:val="00F06E14"/>
    <w:rsid w:val="00F07C95"/>
    <w:rsid w:val="00F14AF9"/>
    <w:rsid w:val="00F176E0"/>
    <w:rsid w:val="00F179D4"/>
    <w:rsid w:val="00F33892"/>
    <w:rsid w:val="00F33C56"/>
    <w:rsid w:val="00F347C7"/>
    <w:rsid w:val="00F34848"/>
    <w:rsid w:val="00F360AE"/>
    <w:rsid w:val="00F3790D"/>
    <w:rsid w:val="00F419B9"/>
    <w:rsid w:val="00F427A9"/>
    <w:rsid w:val="00F42D46"/>
    <w:rsid w:val="00F4496C"/>
    <w:rsid w:val="00F44F3A"/>
    <w:rsid w:val="00F459C4"/>
    <w:rsid w:val="00F45DD5"/>
    <w:rsid w:val="00F50EE4"/>
    <w:rsid w:val="00F51F10"/>
    <w:rsid w:val="00F529A5"/>
    <w:rsid w:val="00F60F00"/>
    <w:rsid w:val="00F614C0"/>
    <w:rsid w:val="00F61C77"/>
    <w:rsid w:val="00F6283D"/>
    <w:rsid w:val="00F63323"/>
    <w:rsid w:val="00F640AD"/>
    <w:rsid w:val="00F66C21"/>
    <w:rsid w:val="00F7187D"/>
    <w:rsid w:val="00F71AC6"/>
    <w:rsid w:val="00F74A52"/>
    <w:rsid w:val="00F75A23"/>
    <w:rsid w:val="00F8222A"/>
    <w:rsid w:val="00F8381B"/>
    <w:rsid w:val="00F83848"/>
    <w:rsid w:val="00F90A58"/>
    <w:rsid w:val="00F97488"/>
    <w:rsid w:val="00F975E9"/>
    <w:rsid w:val="00FA1B7D"/>
    <w:rsid w:val="00FA40C9"/>
    <w:rsid w:val="00FA54FC"/>
    <w:rsid w:val="00FA604D"/>
    <w:rsid w:val="00FB0D0F"/>
    <w:rsid w:val="00FC07B9"/>
    <w:rsid w:val="00FC1705"/>
    <w:rsid w:val="00FC1E23"/>
    <w:rsid w:val="00FC2C5F"/>
    <w:rsid w:val="00FC4E21"/>
    <w:rsid w:val="00FC5F6D"/>
    <w:rsid w:val="00FD0107"/>
    <w:rsid w:val="00FD289C"/>
    <w:rsid w:val="00FD2C2F"/>
    <w:rsid w:val="00FD3B31"/>
    <w:rsid w:val="00FE06E1"/>
    <w:rsid w:val="00FE1823"/>
    <w:rsid w:val="00FE1EB3"/>
    <w:rsid w:val="00FE4173"/>
    <w:rsid w:val="00FE487A"/>
    <w:rsid w:val="00FE5055"/>
    <w:rsid w:val="00FE635E"/>
    <w:rsid w:val="00FF0569"/>
    <w:rsid w:val="00FF206E"/>
    <w:rsid w:val="00FF27D6"/>
    <w:rsid w:val="00FF3C69"/>
    <w:rsid w:val="00FF6E0A"/>
    <w:rsid w:val="3316FA2C"/>
    <w:rsid w:val="538946AA"/>
    <w:rsid w:val="6CD0219E"/>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red,#4d4d4f"/>
    </o:shapedefaults>
    <o:shapelayout v:ext="edit">
      <o:idmap v:ext="edit" data="1"/>
    </o:shapelayout>
  </w:shapeDefaults>
  <w:decimalSymbol w:val="."/>
  <w:listSeparator w:val=","/>
  <w14:docId w14:val="2867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customStyle="1" w:styleId="UnresolvedMention1">
    <w:name w:val="Unresolved Mention1"/>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BE35CB"/>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ACMAletteredlist">
    <w:name w:val="ACMA lettered list"/>
    <w:rsid w:val="00963CD2"/>
    <w:pPr>
      <w:numPr>
        <w:numId w:val="13"/>
      </w:numPr>
      <w:tabs>
        <w:tab w:val="clear" w:pos="360"/>
      </w:tabs>
      <w:spacing w:before="20" w:after="20"/>
    </w:pPr>
    <w:rPr>
      <w:szCs w:val="20"/>
      <w:lang w:eastAsia="en-US"/>
    </w:rPr>
  </w:style>
  <w:style w:type="paragraph" w:customStyle="1" w:styleId="ACMANumberedList">
    <w:name w:val="ACMA Numbered List"/>
    <w:rsid w:val="00963CD2"/>
    <w:pPr>
      <w:numPr>
        <w:numId w:val="14"/>
      </w:numPr>
      <w:spacing w:before="20" w:after="20"/>
    </w:pPr>
    <w:rPr>
      <w:szCs w:val="20"/>
      <w:lang w:eastAsia="en-US"/>
    </w:rPr>
  </w:style>
  <w:style w:type="paragraph" w:styleId="ListParagraph">
    <w:name w:val="List Paragraph"/>
    <w:basedOn w:val="Normal"/>
    <w:uiPriority w:val="34"/>
    <w:qFormat/>
    <w:rsid w:val="00963CD2"/>
    <w:pPr>
      <w:spacing w:after="0" w:line="240" w:lineRule="auto"/>
      <w:ind w:left="720"/>
      <w:contextualSpacing/>
    </w:pPr>
    <w:rPr>
      <w:szCs w:val="20"/>
      <w:lang w:eastAsia="en-US" w:bidi="he-IL"/>
    </w:rPr>
  </w:style>
  <w:style w:type="character" w:styleId="UnresolvedMention">
    <w:name w:val="Unresolved Mention"/>
    <w:basedOn w:val="DefaultParagraphFont"/>
    <w:uiPriority w:val="99"/>
    <w:semiHidden/>
    <w:unhideWhenUsed/>
    <w:rsid w:val="009A6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846873">
      <w:bodyDiv w:val="1"/>
      <w:marLeft w:val="0"/>
      <w:marRight w:val="0"/>
      <w:marTop w:val="0"/>
      <w:marBottom w:val="0"/>
      <w:divBdr>
        <w:top w:val="none" w:sz="0" w:space="0" w:color="auto"/>
        <w:left w:val="none" w:sz="0" w:space="0" w:color="auto"/>
        <w:bottom w:val="none" w:sz="0" w:space="0" w:color="auto"/>
        <w:right w:val="none" w:sz="0" w:space="0" w:color="auto"/>
      </w:divBdr>
      <w:divsChild>
        <w:div w:id="54546956">
          <w:marLeft w:val="0"/>
          <w:marRight w:val="0"/>
          <w:marTop w:val="0"/>
          <w:marBottom w:val="0"/>
          <w:divBdr>
            <w:top w:val="none" w:sz="0" w:space="0" w:color="auto"/>
            <w:left w:val="none" w:sz="0" w:space="0" w:color="auto"/>
            <w:bottom w:val="none" w:sz="0" w:space="0" w:color="auto"/>
            <w:right w:val="none" w:sz="0" w:space="0" w:color="auto"/>
          </w:divBdr>
        </w:div>
        <w:div w:id="175315616">
          <w:marLeft w:val="0"/>
          <w:marRight w:val="0"/>
          <w:marTop w:val="0"/>
          <w:marBottom w:val="0"/>
          <w:divBdr>
            <w:top w:val="none" w:sz="0" w:space="0" w:color="auto"/>
            <w:left w:val="none" w:sz="0" w:space="0" w:color="auto"/>
            <w:bottom w:val="none" w:sz="0" w:space="0" w:color="auto"/>
            <w:right w:val="none" w:sz="0" w:space="0" w:color="auto"/>
          </w:divBdr>
        </w:div>
        <w:div w:id="480659093">
          <w:marLeft w:val="0"/>
          <w:marRight w:val="0"/>
          <w:marTop w:val="0"/>
          <w:marBottom w:val="0"/>
          <w:divBdr>
            <w:top w:val="none" w:sz="0" w:space="0" w:color="auto"/>
            <w:left w:val="none" w:sz="0" w:space="0" w:color="auto"/>
            <w:bottom w:val="none" w:sz="0" w:space="0" w:color="auto"/>
            <w:right w:val="none" w:sz="0" w:space="0" w:color="auto"/>
          </w:divBdr>
        </w:div>
        <w:div w:id="1010988059">
          <w:marLeft w:val="0"/>
          <w:marRight w:val="0"/>
          <w:marTop w:val="0"/>
          <w:marBottom w:val="0"/>
          <w:divBdr>
            <w:top w:val="none" w:sz="0" w:space="0" w:color="auto"/>
            <w:left w:val="none" w:sz="0" w:space="0" w:color="auto"/>
            <w:bottom w:val="none" w:sz="0" w:space="0" w:color="auto"/>
            <w:right w:val="none" w:sz="0" w:space="0" w:color="auto"/>
          </w:divBdr>
        </w:div>
        <w:div w:id="1161971471">
          <w:marLeft w:val="0"/>
          <w:marRight w:val="0"/>
          <w:marTop w:val="0"/>
          <w:marBottom w:val="0"/>
          <w:divBdr>
            <w:top w:val="none" w:sz="0" w:space="0" w:color="auto"/>
            <w:left w:val="none" w:sz="0" w:space="0" w:color="auto"/>
            <w:bottom w:val="none" w:sz="0" w:space="0" w:color="auto"/>
            <w:right w:val="none" w:sz="0" w:space="0" w:color="auto"/>
          </w:divBdr>
        </w:div>
        <w:div w:id="1723484093">
          <w:marLeft w:val="0"/>
          <w:marRight w:val="0"/>
          <w:marTop w:val="0"/>
          <w:marBottom w:val="0"/>
          <w:divBdr>
            <w:top w:val="none" w:sz="0" w:space="0" w:color="auto"/>
            <w:left w:val="none" w:sz="0" w:space="0" w:color="auto"/>
            <w:bottom w:val="none" w:sz="0" w:space="0" w:color="auto"/>
            <w:right w:val="none" w:sz="0" w:space="0" w:color="auto"/>
          </w:divBdr>
        </w:div>
        <w:div w:id="1723749835">
          <w:marLeft w:val="0"/>
          <w:marRight w:val="0"/>
          <w:marTop w:val="0"/>
          <w:marBottom w:val="0"/>
          <w:divBdr>
            <w:top w:val="none" w:sz="0" w:space="0" w:color="auto"/>
            <w:left w:val="none" w:sz="0" w:space="0" w:color="auto"/>
            <w:bottom w:val="none" w:sz="0" w:space="0" w:color="auto"/>
            <w:right w:val="none" w:sz="0" w:space="0" w:color="auto"/>
          </w:divBdr>
        </w:div>
        <w:div w:id="1741369475">
          <w:marLeft w:val="0"/>
          <w:marRight w:val="0"/>
          <w:marTop w:val="0"/>
          <w:marBottom w:val="0"/>
          <w:divBdr>
            <w:top w:val="none" w:sz="0" w:space="0" w:color="auto"/>
            <w:left w:val="none" w:sz="0" w:space="0" w:color="auto"/>
            <w:bottom w:val="none" w:sz="0" w:space="0" w:color="auto"/>
            <w:right w:val="none" w:sz="0" w:space="0" w:color="auto"/>
          </w:divBdr>
        </w:div>
        <w:div w:id="1744797142">
          <w:marLeft w:val="0"/>
          <w:marRight w:val="0"/>
          <w:marTop w:val="0"/>
          <w:marBottom w:val="0"/>
          <w:divBdr>
            <w:top w:val="none" w:sz="0" w:space="0" w:color="auto"/>
            <w:left w:val="none" w:sz="0" w:space="0" w:color="auto"/>
            <w:bottom w:val="none" w:sz="0" w:space="0" w:color="auto"/>
            <w:right w:val="none" w:sz="0" w:space="0" w:color="auto"/>
          </w:divBdr>
        </w:div>
        <w:div w:id="1889410720">
          <w:marLeft w:val="0"/>
          <w:marRight w:val="0"/>
          <w:marTop w:val="0"/>
          <w:marBottom w:val="0"/>
          <w:divBdr>
            <w:top w:val="none" w:sz="0" w:space="0" w:color="auto"/>
            <w:left w:val="none" w:sz="0" w:space="0" w:color="auto"/>
            <w:bottom w:val="none" w:sz="0" w:space="0" w:color="auto"/>
            <w:right w:val="none" w:sz="0" w:space="0" w:color="auto"/>
          </w:divBdr>
        </w:div>
      </w:divsChild>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019701487">
      <w:bodyDiv w:val="1"/>
      <w:marLeft w:val="0"/>
      <w:marRight w:val="0"/>
      <w:marTop w:val="0"/>
      <w:marBottom w:val="0"/>
      <w:divBdr>
        <w:top w:val="none" w:sz="0" w:space="0" w:color="auto"/>
        <w:left w:val="none" w:sz="0" w:space="0" w:color="auto"/>
        <w:bottom w:val="none" w:sz="0" w:space="0" w:color="auto"/>
        <w:right w:val="none" w:sz="0" w:space="0" w:color="auto"/>
      </w:divBdr>
      <w:divsChild>
        <w:div w:id="248084833">
          <w:marLeft w:val="0"/>
          <w:marRight w:val="0"/>
          <w:marTop w:val="0"/>
          <w:marBottom w:val="0"/>
          <w:divBdr>
            <w:top w:val="none" w:sz="0" w:space="0" w:color="auto"/>
            <w:left w:val="none" w:sz="0" w:space="0" w:color="auto"/>
            <w:bottom w:val="none" w:sz="0" w:space="0" w:color="auto"/>
            <w:right w:val="none" w:sz="0" w:space="0" w:color="auto"/>
          </w:divBdr>
        </w:div>
        <w:div w:id="252396454">
          <w:marLeft w:val="0"/>
          <w:marRight w:val="0"/>
          <w:marTop w:val="0"/>
          <w:marBottom w:val="0"/>
          <w:divBdr>
            <w:top w:val="none" w:sz="0" w:space="0" w:color="auto"/>
            <w:left w:val="none" w:sz="0" w:space="0" w:color="auto"/>
            <w:bottom w:val="none" w:sz="0" w:space="0" w:color="auto"/>
            <w:right w:val="none" w:sz="0" w:space="0" w:color="auto"/>
          </w:divBdr>
        </w:div>
        <w:div w:id="303123226">
          <w:marLeft w:val="0"/>
          <w:marRight w:val="0"/>
          <w:marTop w:val="0"/>
          <w:marBottom w:val="0"/>
          <w:divBdr>
            <w:top w:val="none" w:sz="0" w:space="0" w:color="auto"/>
            <w:left w:val="none" w:sz="0" w:space="0" w:color="auto"/>
            <w:bottom w:val="none" w:sz="0" w:space="0" w:color="auto"/>
            <w:right w:val="none" w:sz="0" w:space="0" w:color="auto"/>
          </w:divBdr>
        </w:div>
        <w:div w:id="518394760">
          <w:marLeft w:val="0"/>
          <w:marRight w:val="0"/>
          <w:marTop w:val="0"/>
          <w:marBottom w:val="0"/>
          <w:divBdr>
            <w:top w:val="none" w:sz="0" w:space="0" w:color="auto"/>
            <w:left w:val="none" w:sz="0" w:space="0" w:color="auto"/>
            <w:bottom w:val="none" w:sz="0" w:space="0" w:color="auto"/>
            <w:right w:val="none" w:sz="0" w:space="0" w:color="auto"/>
          </w:divBdr>
        </w:div>
        <w:div w:id="726106040">
          <w:marLeft w:val="0"/>
          <w:marRight w:val="0"/>
          <w:marTop w:val="0"/>
          <w:marBottom w:val="0"/>
          <w:divBdr>
            <w:top w:val="none" w:sz="0" w:space="0" w:color="auto"/>
            <w:left w:val="none" w:sz="0" w:space="0" w:color="auto"/>
            <w:bottom w:val="none" w:sz="0" w:space="0" w:color="auto"/>
            <w:right w:val="none" w:sz="0" w:space="0" w:color="auto"/>
          </w:divBdr>
        </w:div>
        <w:div w:id="1183982300">
          <w:marLeft w:val="0"/>
          <w:marRight w:val="0"/>
          <w:marTop w:val="0"/>
          <w:marBottom w:val="0"/>
          <w:divBdr>
            <w:top w:val="none" w:sz="0" w:space="0" w:color="auto"/>
            <w:left w:val="none" w:sz="0" w:space="0" w:color="auto"/>
            <w:bottom w:val="none" w:sz="0" w:space="0" w:color="auto"/>
            <w:right w:val="none" w:sz="0" w:space="0" w:color="auto"/>
          </w:divBdr>
        </w:div>
        <w:div w:id="1868250000">
          <w:marLeft w:val="0"/>
          <w:marRight w:val="0"/>
          <w:marTop w:val="0"/>
          <w:marBottom w:val="0"/>
          <w:divBdr>
            <w:top w:val="none" w:sz="0" w:space="0" w:color="auto"/>
            <w:left w:val="none" w:sz="0" w:space="0" w:color="auto"/>
            <w:bottom w:val="none" w:sz="0" w:space="0" w:color="auto"/>
            <w:right w:val="none" w:sz="0" w:space="0" w:color="auto"/>
          </w:divBdr>
        </w:div>
        <w:div w:id="1914505308">
          <w:marLeft w:val="0"/>
          <w:marRight w:val="0"/>
          <w:marTop w:val="0"/>
          <w:marBottom w:val="0"/>
          <w:divBdr>
            <w:top w:val="none" w:sz="0" w:space="0" w:color="auto"/>
            <w:left w:val="none" w:sz="0" w:space="0" w:color="auto"/>
            <w:bottom w:val="none" w:sz="0" w:space="0" w:color="auto"/>
            <w:right w:val="none" w:sz="0" w:space="0" w:color="auto"/>
          </w:divBdr>
        </w:div>
        <w:div w:id="2060275225">
          <w:marLeft w:val="0"/>
          <w:marRight w:val="0"/>
          <w:marTop w:val="0"/>
          <w:marBottom w:val="0"/>
          <w:divBdr>
            <w:top w:val="none" w:sz="0" w:space="0" w:color="auto"/>
            <w:left w:val="none" w:sz="0" w:space="0" w:color="auto"/>
            <w:bottom w:val="none" w:sz="0" w:space="0" w:color="auto"/>
            <w:right w:val="none" w:sz="0" w:space="0" w:color="auto"/>
          </w:divBdr>
        </w:div>
        <w:div w:id="2063747835">
          <w:marLeft w:val="0"/>
          <w:marRight w:val="0"/>
          <w:marTop w:val="0"/>
          <w:marBottom w:val="0"/>
          <w:divBdr>
            <w:top w:val="none" w:sz="0" w:space="0" w:color="auto"/>
            <w:left w:val="none" w:sz="0" w:space="0" w:color="auto"/>
            <w:bottom w:val="none" w:sz="0" w:space="0" w:color="auto"/>
            <w:right w:val="none" w:sz="0" w:space="0" w:color="auto"/>
          </w:divBdr>
        </w:div>
      </w:divsChild>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52448272">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Details/C2020A00152"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C2020A00153"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five-year-spectrum-outl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C2020A00151"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communications.gov.au/what-we-do/spectrum/spectrum-reform"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communications.gov.au/what-we-do/spectrum/spectrum-review" TargetMode="External"/><Relationship Id="rId30" Type="http://schemas.openxmlformats.org/officeDocument/2006/relationships/header" Target="header7.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CE165-7D07-473F-9ACF-7C2E14A3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11540</CharactersWithSpaces>
  <SharedDoc>false</SharedDoc>
  <HyperlinkBase/>
  <HLinks>
    <vt:vector size="96" baseType="variant">
      <vt:variant>
        <vt:i4>4128816</vt:i4>
      </vt:variant>
      <vt:variant>
        <vt:i4>72</vt:i4>
      </vt:variant>
      <vt:variant>
        <vt:i4>0</vt:i4>
      </vt:variant>
      <vt:variant>
        <vt:i4>5</vt:i4>
      </vt:variant>
      <vt:variant>
        <vt:lpwstr>https://www.acma.gov.au/five-year-spectrum-outlook</vt:lpwstr>
      </vt:variant>
      <vt:variant>
        <vt:lpwstr/>
      </vt:variant>
      <vt:variant>
        <vt:i4>720903</vt:i4>
      </vt:variant>
      <vt:variant>
        <vt:i4>69</vt:i4>
      </vt:variant>
      <vt:variant>
        <vt:i4>0</vt:i4>
      </vt:variant>
      <vt:variant>
        <vt:i4>5</vt:i4>
      </vt:variant>
      <vt:variant>
        <vt:lpwstr>https://www.communications.gov.au/what-we-do/spectrum/spectrum-reform</vt:lpwstr>
      </vt:variant>
      <vt:variant>
        <vt:lpwstr/>
      </vt:variant>
      <vt:variant>
        <vt:i4>786433</vt:i4>
      </vt:variant>
      <vt:variant>
        <vt:i4>66</vt:i4>
      </vt:variant>
      <vt:variant>
        <vt:i4>0</vt:i4>
      </vt:variant>
      <vt:variant>
        <vt:i4>5</vt:i4>
      </vt:variant>
      <vt:variant>
        <vt:lpwstr>https://www.communications.gov.au/what-we-do/spectrum/spectrum-review</vt:lpwstr>
      </vt:variant>
      <vt:variant>
        <vt:lpwstr/>
      </vt:variant>
      <vt:variant>
        <vt:i4>7536674</vt:i4>
      </vt:variant>
      <vt:variant>
        <vt:i4>63</vt:i4>
      </vt:variant>
      <vt:variant>
        <vt:i4>0</vt:i4>
      </vt:variant>
      <vt:variant>
        <vt:i4>5</vt:i4>
      </vt:variant>
      <vt:variant>
        <vt:lpwstr>https://www.legislation.gov.au/Details/C2020A00152</vt:lpwstr>
      </vt:variant>
      <vt:variant>
        <vt:lpwstr/>
      </vt:variant>
      <vt:variant>
        <vt:i4>7471138</vt:i4>
      </vt:variant>
      <vt:variant>
        <vt:i4>60</vt:i4>
      </vt:variant>
      <vt:variant>
        <vt:i4>0</vt:i4>
      </vt:variant>
      <vt:variant>
        <vt:i4>5</vt:i4>
      </vt:variant>
      <vt:variant>
        <vt:lpwstr>https://www.legislation.gov.au/Details/C2020A00153</vt:lpwstr>
      </vt:variant>
      <vt:variant>
        <vt:lpwstr/>
      </vt:variant>
      <vt:variant>
        <vt:i4>7340066</vt:i4>
      </vt:variant>
      <vt:variant>
        <vt:i4>57</vt:i4>
      </vt:variant>
      <vt:variant>
        <vt:i4>0</vt:i4>
      </vt:variant>
      <vt:variant>
        <vt:i4>5</vt:i4>
      </vt:variant>
      <vt:variant>
        <vt:lpwstr>https://www.legislation.gov.au/Details/C2020A00151</vt:lpwstr>
      </vt:variant>
      <vt:variant>
        <vt:lpwstr/>
      </vt:variant>
      <vt:variant>
        <vt:i4>1441842</vt:i4>
      </vt:variant>
      <vt:variant>
        <vt:i4>50</vt:i4>
      </vt:variant>
      <vt:variant>
        <vt:i4>0</vt:i4>
      </vt:variant>
      <vt:variant>
        <vt:i4>5</vt:i4>
      </vt:variant>
      <vt:variant>
        <vt:lpwstr/>
      </vt:variant>
      <vt:variant>
        <vt:lpwstr>_Toc64621334</vt:lpwstr>
      </vt:variant>
      <vt:variant>
        <vt:i4>1114162</vt:i4>
      </vt:variant>
      <vt:variant>
        <vt:i4>44</vt:i4>
      </vt:variant>
      <vt:variant>
        <vt:i4>0</vt:i4>
      </vt:variant>
      <vt:variant>
        <vt:i4>5</vt:i4>
      </vt:variant>
      <vt:variant>
        <vt:lpwstr/>
      </vt:variant>
      <vt:variant>
        <vt:lpwstr>_Toc64621333</vt:lpwstr>
      </vt:variant>
      <vt:variant>
        <vt:i4>1048626</vt:i4>
      </vt:variant>
      <vt:variant>
        <vt:i4>38</vt:i4>
      </vt:variant>
      <vt:variant>
        <vt:i4>0</vt:i4>
      </vt:variant>
      <vt:variant>
        <vt:i4>5</vt:i4>
      </vt:variant>
      <vt:variant>
        <vt:lpwstr/>
      </vt:variant>
      <vt:variant>
        <vt:lpwstr>_Toc64621332</vt:lpwstr>
      </vt:variant>
      <vt:variant>
        <vt:i4>1245234</vt:i4>
      </vt:variant>
      <vt:variant>
        <vt:i4>32</vt:i4>
      </vt:variant>
      <vt:variant>
        <vt:i4>0</vt:i4>
      </vt:variant>
      <vt:variant>
        <vt:i4>5</vt:i4>
      </vt:variant>
      <vt:variant>
        <vt:lpwstr/>
      </vt:variant>
      <vt:variant>
        <vt:lpwstr>_Toc64621331</vt:lpwstr>
      </vt:variant>
      <vt:variant>
        <vt:i4>1179698</vt:i4>
      </vt:variant>
      <vt:variant>
        <vt:i4>26</vt:i4>
      </vt:variant>
      <vt:variant>
        <vt:i4>0</vt:i4>
      </vt:variant>
      <vt:variant>
        <vt:i4>5</vt:i4>
      </vt:variant>
      <vt:variant>
        <vt:lpwstr/>
      </vt:variant>
      <vt:variant>
        <vt:lpwstr>_Toc64621330</vt:lpwstr>
      </vt:variant>
      <vt:variant>
        <vt:i4>1769523</vt:i4>
      </vt:variant>
      <vt:variant>
        <vt:i4>20</vt:i4>
      </vt:variant>
      <vt:variant>
        <vt:i4>0</vt:i4>
      </vt:variant>
      <vt:variant>
        <vt:i4>5</vt:i4>
      </vt:variant>
      <vt:variant>
        <vt:lpwstr/>
      </vt:variant>
      <vt:variant>
        <vt:lpwstr>_Toc64621329</vt:lpwstr>
      </vt:variant>
      <vt:variant>
        <vt:i4>1703987</vt:i4>
      </vt:variant>
      <vt:variant>
        <vt:i4>14</vt:i4>
      </vt:variant>
      <vt:variant>
        <vt:i4>0</vt:i4>
      </vt:variant>
      <vt:variant>
        <vt:i4>5</vt:i4>
      </vt:variant>
      <vt:variant>
        <vt:lpwstr/>
      </vt:variant>
      <vt:variant>
        <vt:lpwstr>_Toc64621328</vt:lpwstr>
      </vt:variant>
      <vt:variant>
        <vt:i4>1376307</vt:i4>
      </vt:variant>
      <vt:variant>
        <vt:i4>8</vt:i4>
      </vt:variant>
      <vt:variant>
        <vt:i4>0</vt:i4>
      </vt:variant>
      <vt:variant>
        <vt:i4>5</vt:i4>
      </vt:variant>
      <vt:variant>
        <vt:lpwstr/>
      </vt:variant>
      <vt:variant>
        <vt:lpwstr>_Toc64621327</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2021-02-22T04:39:00Z</dcterms:created>
  <dcterms:modified xsi:type="dcterms:W3CDTF">2021-02-22T04:39:00Z</dcterms:modified>
  <cp:category/>
</cp:coreProperties>
</file>