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C31EA" w14:textId="77777777" w:rsidR="000C30A2" w:rsidRDefault="000C30A2" w:rsidP="000C30A2">
      <w:pPr>
        <w:pStyle w:val="Reporttitle"/>
      </w:pPr>
      <w:r>
        <w:t>Proposed changes to outpost licensing arrangements</w:t>
      </w:r>
    </w:p>
    <w:p w14:paraId="5B53DD03" w14:textId="77777777" w:rsidR="000C30A2" w:rsidRDefault="000C30A2" w:rsidP="000C30A2">
      <w:pPr>
        <w:pStyle w:val="Reportsubtitle"/>
      </w:pPr>
      <w:r>
        <w:t>Non-assigned outpost stations</w:t>
      </w:r>
    </w:p>
    <w:p w14:paraId="17813EAD" w14:textId="558119FE" w:rsidR="00C97736" w:rsidRPr="000D76E0" w:rsidRDefault="000C30A2"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FEBRUARY</w:t>
      </w:r>
      <w:r w:rsidR="00BD4421">
        <w:t xml:space="preserve"> 20</w:t>
      </w:r>
      <w:r w:rsidR="008E0428">
        <w:t>2</w:t>
      </w:r>
      <w:r w:rsidR="003253EE">
        <w:t>1</w:t>
      </w:r>
    </w:p>
    <w:p w14:paraId="544E4006" w14:textId="77777777" w:rsidR="0005011A" w:rsidRPr="00F44F3A" w:rsidRDefault="0005011A" w:rsidP="00FC07B9">
      <w:pPr>
        <w:pStyle w:val="ACMACorporateAddressHeader"/>
      </w:pPr>
      <w:r w:rsidRPr="00F44F3A">
        <w:lastRenderedPageBreak/>
        <w:t>Canberra</w:t>
      </w:r>
    </w:p>
    <w:p w14:paraId="58FB0377"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30C0CB8A" w14:textId="77777777" w:rsidR="0005011A" w:rsidRPr="00FC07B9" w:rsidRDefault="0005011A" w:rsidP="00FC07B9">
      <w:pPr>
        <w:pStyle w:val="ACMACorporateAddresses"/>
      </w:pPr>
      <w:r w:rsidRPr="00FC07B9">
        <w:t>PO Box 78</w:t>
      </w:r>
      <w:r w:rsidRPr="00FC07B9">
        <w:br/>
        <w:t>Belconnen ACT 2616</w:t>
      </w:r>
    </w:p>
    <w:p w14:paraId="6F4D48C4"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2ED8D07" w14:textId="77777777" w:rsidR="0005011A" w:rsidRPr="00F44F3A" w:rsidRDefault="0005011A" w:rsidP="00FC07B9">
      <w:pPr>
        <w:pStyle w:val="ACMACorporateAddressHeader"/>
      </w:pPr>
      <w:r w:rsidRPr="00F44F3A">
        <w:t>Melbourne</w:t>
      </w:r>
    </w:p>
    <w:p w14:paraId="6E4808E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C8A6B1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53A8AB3"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71E7C3D9" w14:textId="77777777" w:rsidR="0005011A" w:rsidRPr="00F44F3A" w:rsidRDefault="0005011A" w:rsidP="00FC07B9">
      <w:pPr>
        <w:pStyle w:val="ACMACorporateAddressHeader"/>
      </w:pPr>
      <w:r w:rsidRPr="00F44F3A">
        <w:t>Sydney</w:t>
      </w:r>
    </w:p>
    <w:p w14:paraId="63515F5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3C31153"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D7C8800"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D7A4297" w14:textId="77777777" w:rsidR="00140318" w:rsidRPr="006D46E5" w:rsidRDefault="00140318" w:rsidP="00FC07B9">
      <w:pPr>
        <w:pStyle w:val="ACMACopyrightHeader"/>
      </w:pPr>
      <w:r w:rsidRPr="00140318">
        <w:t>Copyright notice</w:t>
      </w:r>
    </w:p>
    <w:p w14:paraId="7659657B" w14:textId="77777777" w:rsidR="00140318" w:rsidRPr="006D46E5" w:rsidRDefault="00623FF9" w:rsidP="00623FF9">
      <w:pPr>
        <w:pStyle w:val="ACMACClogo"/>
      </w:pPr>
      <w:r w:rsidRPr="00623FF9">
        <w:rPr>
          <w:noProof/>
        </w:rPr>
        <w:drawing>
          <wp:inline distT="0" distB="0" distL="0" distR="0" wp14:anchorId="6E560D73" wp14:editId="764EF427">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E971C96" w14:textId="77777777" w:rsidR="00AA2DE5" w:rsidRDefault="00E8396F" w:rsidP="00AA2DE5">
      <w:pPr>
        <w:pStyle w:val="ACMACorporateAddresses"/>
        <w:rPr>
          <w:rStyle w:val="Hyperlink"/>
        </w:rPr>
      </w:pPr>
      <w:hyperlink r:id="rId13" w:history="1">
        <w:r w:rsidR="00AA2DE5">
          <w:rPr>
            <w:rStyle w:val="Hyperlink"/>
          </w:rPr>
          <w:t>https://creativecommons.org/licenses/by/4.0/</w:t>
        </w:r>
      </w:hyperlink>
    </w:p>
    <w:p w14:paraId="66309EE6"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24CD9C8" w14:textId="77777777" w:rsidR="00AA2DE5" w:rsidRDefault="00AA2DE5" w:rsidP="00AA2DE5">
      <w:pPr>
        <w:pStyle w:val="ACMACorporateAddresses"/>
      </w:pPr>
      <w:r>
        <w:t>We request attribution as © Commonwealth of Australia (Australian Communications and Media Authority) 20</w:t>
      </w:r>
      <w:r w:rsidR="00C41F21">
        <w:t>2</w:t>
      </w:r>
      <w:r w:rsidR="00023A36">
        <w:t>1</w:t>
      </w:r>
      <w:r>
        <w:t>.</w:t>
      </w:r>
    </w:p>
    <w:p w14:paraId="094BD402" w14:textId="77777777" w:rsidR="00AA2DE5" w:rsidRDefault="00AA2DE5" w:rsidP="00AA2DE5">
      <w:pPr>
        <w:pStyle w:val="ACMACorporateAddresses"/>
      </w:pPr>
      <w:r>
        <w:t>All other rights are reserved.</w:t>
      </w:r>
    </w:p>
    <w:p w14:paraId="3D10F810"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F096583" w14:textId="77777777" w:rsidR="00AA2DE5" w:rsidRDefault="00AA2DE5" w:rsidP="00AA2DE5">
      <w:pPr>
        <w:pStyle w:val="ACMACorporateAddresses"/>
      </w:pPr>
      <w:r>
        <w:t>Written enquiries may be sent to:</w:t>
      </w:r>
    </w:p>
    <w:p w14:paraId="36883B6A"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235C2FC5" w14:textId="77777777" w:rsidR="00D16FE3" w:rsidRDefault="00D16FE3" w:rsidP="00D16FE3">
      <w:pPr>
        <w:pStyle w:val="ACMACorporateAddresses"/>
        <w:rPr>
          <w:rStyle w:val="Hyperlink"/>
        </w:rPr>
      </w:pPr>
    </w:p>
    <w:p w14:paraId="22A15F60"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797807F" w14:textId="3854F3BC" w:rsidR="00854CD4" w:rsidRDefault="00FE137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\u </w:instrText>
      </w:r>
      <w:r>
        <w:rPr>
          <w:rFonts w:cs="Arial"/>
          <w:b w:val="0"/>
        </w:rPr>
        <w:fldChar w:fldCharType="separate"/>
      </w:r>
      <w:hyperlink w:anchor="_Toc61944492" w:history="1">
        <w:r w:rsidR="00854CD4" w:rsidRPr="00E717AE">
          <w:rPr>
            <w:rStyle w:val="Hyperlink"/>
          </w:rPr>
          <w:t>Issue/s for comment</w:t>
        </w:r>
        <w:r w:rsidR="00854CD4">
          <w:rPr>
            <w:webHidden/>
          </w:rPr>
          <w:tab/>
        </w:r>
        <w:r w:rsidR="00854CD4">
          <w:rPr>
            <w:webHidden/>
          </w:rPr>
          <w:fldChar w:fldCharType="begin"/>
        </w:r>
        <w:r w:rsidR="00854CD4">
          <w:rPr>
            <w:webHidden/>
          </w:rPr>
          <w:instrText xml:space="preserve"> PAGEREF _Toc61944492 \h </w:instrText>
        </w:r>
        <w:r w:rsidR="00854CD4">
          <w:rPr>
            <w:webHidden/>
          </w:rPr>
        </w:r>
        <w:r w:rsidR="00854CD4">
          <w:rPr>
            <w:webHidden/>
          </w:rPr>
          <w:fldChar w:fldCharType="separate"/>
        </w:r>
        <w:r w:rsidR="00B912EB">
          <w:rPr>
            <w:webHidden/>
          </w:rPr>
          <w:t>2</w:t>
        </w:r>
        <w:r w:rsidR="00854CD4">
          <w:rPr>
            <w:webHidden/>
          </w:rPr>
          <w:fldChar w:fldCharType="end"/>
        </w:r>
      </w:hyperlink>
    </w:p>
    <w:p w14:paraId="3A297BC0" w14:textId="01AEAA52" w:rsidR="00854CD4" w:rsidRDefault="00E8396F">
      <w:pPr>
        <w:pStyle w:val="TOC1"/>
        <w:rPr>
          <w:rFonts w:asciiTheme="minorHAnsi" w:eastAsiaTheme="minorEastAsia" w:hAnsiTheme="minorHAnsi" w:cstheme="minorBidi"/>
          <w:b w:val="0"/>
          <w:spacing w:val="0"/>
          <w:sz w:val="22"/>
          <w:szCs w:val="22"/>
        </w:rPr>
      </w:pPr>
      <w:hyperlink w:anchor="_Toc61944493" w:history="1">
        <w:r w:rsidR="00854CD4" w:rsidRPr="00E717AE">
          <w:rPr>
            <w:rStyle w:val="Hyperlink"/>
          </w:rPr>
          <w:t>Introduction</w:t>
        </w:r>
        <w:r w:rsidR="00854CD4">
          <w:rPr>
            <w:webHidden/>
          </w:rPr>
          <w:tab/>
        </w:r>
        <w:r w:rsidR="00854CD4">
          <w:rPr>
            <w:webHidden/>
          </w:rPr>
          <w:fldChar w:fldCharType="begin"/>
        </w:r>
        <w:r w:rsidR="00854CD4">
          <w:rPr>
            <w:webHidden/>
          </w:rPr>
          <w:instrText xml:space="preserve"> PAGEREF _Toc61944493 \h </w:instrText>
        </w:r>
        <w:r w:rsidR="00854CD4">
          <w:rPr>
            <w:webHidden/>
          </w:rPr>
        </w:r>
        <w:r w:rsidR="00854CD4">
          <w:rPr>
            <w:webHidden/>
          </w:rPr>
          <w:fldChar w:fldCharType="separate"/>
        </w:r>
        <w:r w:rsidR="00B912EB">
          <w:rPr>
            <w:webHidden/>
          </w:rPr>
          <w:t>3</w:t>
        </w:r>
        <w:r w:rsidR="00854CD4">
          <w:rPr>
            <w:webHidden/>
          </w:rPr>
          <w:fldChar w:fldCharType="end"/>
        </w:r>
      </w:hyperlink>
    </w:p>
    <w:p w14:paraId="647D5901" w14:textId="44728479" w:rsidR="00854CD4" w:rsidRDefault="00E8396F">
      <w:pPr>
        <w:pStyle w:val="TOC2"/>
        <w:rPr>
          <w:rFonts w:asciiTheme="minorHAnsi" w:eastAsiaTheme="minorEastAsia" w:hAnsiTheme="minorHAnsi" w:cstheme="minorBidi"/>
          <w:spacing w:val="0"/>
          <w:sz w:val="22"/>
          <w:szCs w:val="22"/>
        </w:rPr>
      </w:pPr>
      <w:hyperlink w:anchor="_Toc61944494" w:history="1">
        <w:r w:rsidR="00854CD4" w:rsidRPr="00E717AE">
          <w:rPr>
            <w:rStyle w:val="Hyperlink"/>
          </w:rPr>
          <w:t>Licensing of radiocommunications devices</w:t>
        </w:r>
        <w:r w:rsidR="00854CD4">
          <w:rPr>
            <w:webHidden/>
          </w:rPr>
          <w:tab/>
        </w:r>
        <w:r w:rsidR="00854CD4">
          <w:rPr>
            <w:webHidden/>
          </w:rPr>
          <w:fldChar w:fldCharType="begin"/>
        </w:r>
        <w:r w:rsidR="00854CD4">
          <w:rPr>
            <w:webHidden/>
          </w:rPr>
          <w:instrText xml:space="preserve"> PAGEREF _Toc61944494 \h </w:instrText>
        </w:r>
        <w:r w:rsidR="00854CD4">
          <w:rPr>
            <w:webHidden/>
          </w:rPr>
        </w:r>
        <w:r w:rsidR="00854CD4">
          <w:rPr>
            <w:webHidden/>
          </w:rPr>
          <w:fldChar w:fldCharType="separate"/>
        </w:r>
        <w:r w:rsidR="00B912EB">
          <w:rPr>
            <w:webHidden/>
          </w:rPr>
          <w:t>3</w:t>
        </w:r>
        <w:r w:rsidR="00854CD4">
          <w:rPr>
            <w:webHidden/>
          </w:rPr>
          <w:fldChar w:fldCharType="end"/>
        </w:r>
      </w:hyperlink>
    </w:p>
    <w:p w14:paraId="37CC568D" w14:textId="531AC1A5" w:rsidR="00854CD4" w:rsidRDefault="00E8396F">
      <w:pPr>
        <w:pStyle w:val="TOC2"/>
        <w:rPr>
          <w:rFonts w:asciiTheme="minorHAnsi" w:eastAsiaTheme="minorEastAsia" w:hAnsiTheme="minorHAnsi" w:cstheme="minorBidi"/>
          <w:spacing w:val="0"/>
          <w:sz w:val="22"/>
          <w:szCs w:val="22"/>
        </w:rPr>
      </w:pPr>
      <w:hyperlink w:anchor="_Toc61944495" w:history="1">
        <w:r w:rsidR="00854CD4" w:rsidRPr="00E717AE">
          <w:rPr>
            <w:rStyle w:val="Hyperlink"/>
          </w:rPr>
          <w:t>The outpost service</w:t>
        </w:r>
        <w:r w:rsidR="00854CD4">
          <w:rPr>
            <w:webHidden/>
          </w:rPr>
          <w:tab/>
        </w:r>
        <w:r w:rsidR="00854CD4">
          <w:rPr>
            <w:webHidden/>
          </w:rPr>
          <w:fldChar w:fldCharType="begin"/>
        </w:r>
        <w:r w:rsidR="00854CD4">
          <w:rPr>
            <w:webHidden/>
          </w:rPr>
          <w:instrText xml:space="preserve"> PAGEREF _Toc61944495 \h </w:instrText>
        </w:r>
        <w:r w:rsidR="00854CD4">
          <w:rPr>
            <w:webHidden/>
          </w:rPr>
        </w:r>
        <w:r w:rsidR="00854CD4">
          <w:rPr>
            <w:webHidden/>
          </w:rPr>
          <w:fldChar w:fldCharType="separate"/>
        </w:r>
        <w:r w:rsidR="00B912EB">
          <w:rPr>
            <w:webHidden/>
          </w:rPr>
          <w:t>5</w:t>
        </w:r>
        <w:r w:rsidR="00854CD4">
          <w:rPr>
            <w:webHidden/>
          </w:rPr>
          <w:fldChar w:fldCharType="end"/>
        </w:r>
      </w:hyperlink>
    </w:p>
    <w:p w14:paraId="35213B3C" w14:textId="0B38B94C" w:rsidR="00854CD4" w:rsidRDefault="00E8396F">
      <w:pPr>
        <w:pStyle w:val="TOC3"/>
        <w:rPr>
          <w:rFonts w:asciiTheme="minorHAnsi" w:eastAsiaTheme="minorEastAsia" w:hAnsiTheme="minorHAnsi" w:cstheme="minorBidi"/>
        </w:rPr>
      </w:pPr>
      <w:hyperlink w:anchor="_Toc61944496" w:history="1">
        <w:r w:rsidR="00854CD4" w:rsidRPr="00E717AE">
          <w:rPr>
            <w:rStyle w:val="Hyperlink"/>
          </w:rPr>
          <w:t>Outpost radio licensing</w:t>
        </w:r>
        <w:r w:rsidR="00854CD4">
          <w:rPr>
            <w:webHidden/>
          </w:rPr>
          <w:tab/>
        </w:r>
        <w:r w:rsidR="00854CD4">
          <w:rPr>
            <w:webHidden/>
          </w:rPr>
          <w:fldChar w:fldCharType="begin"/>
        </w:r>
        <w:r w:rsidR="00854CD4">
          <w:rPr>
            <w:webHidden/>
          </w:rPr>
          <w:instrText xml:space="preserve"> PAGEREF _Toc61944496 \h </w:instrText>
        </w:r>
        <w:r w:rsidR="00854CD4">
          <w:rPr>
            <w:webHidden/>
          </w:rPr>
        </w:r>
        <w:r w:rsidR="00854CD4">
          <w:rPr>
            <w:webHidden/>
          </w:rPr>
          <w:fldChar w:fldCharType="separate"/>
        </w:r>
        <w:r w:rsidR="00B912EB">
          <w:rPr>
            <w:webHidden/>
          </w:rPr>
          <w:t>5</w:t>
        </w:r>
        <w:r w:rsidR="00854CD4">
          <w:rPr>
            <w:webHidden/>
          </w:rPr>
          <w:fldChar w:fldCharType="end"/>
        </w:r>
      </w:hyperlink>
    </w:p>
    <w:p w14:paraId="56EA48BC" w14:textId="3E167121" w:rsidR="00854CD4" w:rsidRDefault="00E8396F">
      <w:pPr>
        <w:pStyle w:val="TOC2"/>
        <w:rPr>
          <w:rFonts w:asciiTheme="minorHAnsi" w:eastAsiaTheme="minorEastAsia" w:hAnsiTheme="minorHAnsi" w:cstheme="minorBidi"/>
          <w:spacing w:val="0"/>
          <w:sz w:val="22"/>
          <w:szCs w:val="22"/>
        </w:rPr>
      </w:pPr>
      <w:hyperlink w:anchor="_Toc61944497" w:history="1">
        <w:r w:rsidR="00854CD4" w:rsidRPr="00E717AE">
          <w:rPr>
            <w:rStyle w:val="Hyperlink"/>
          </w:rPr>
          <w:t>Other remote area radio services</w:t>
        </w:r>
        <w:r w:rsidR="00854CD4">
          <w:rPr>
            <w:webHidden/>
          </w:rPr>
          <w:tab/>
        </w:r>
        <w:r w:rsidR="00854CD4">
          <w:rPr>
            <w:webHidden/>
          </w:rPr>
          <w:fldChar w:fldCharType="begin"/>
        </w:r>
        <w:r w:rsidR="00854CD4">
          <w:rPr>
            <w:webHidden/>
          </w:rPr>
          <w:instrText xml:space="preserve"> PAGEREF _Toc61944497 \h </w:instrText>
        </w:r>
        <w:r w:rsidR="00854CD4">
          <w:rPr>
            <w:webHidden/>
          </w:rPr>
        </w:r>
        <w:r w:rsidR="00854CD4">
          <w:rPr>
            <w:webHidden/>
          </w:rPr>
          <w:fldChar w:fldCharType="separate"/>
        </w:r>
        <w:r w:rsidR="00B912EB">
          <w:rPr>
            <w:webHidden/>
          </w:rPr>
          <w:t>6</w:t>
        </w:r>
        <w:r w:rsidR="00854CD4">
          <w:rPr>
            <w:webHidden/>
          </w:rPr>
          <w:fldChar w:fldCharType="end"/>
        </w:r>
      </w:hyperlink>
    </w:p>
    <w:p w14:paraId="74F52943" w14:textId="343B956A" w:rsidR="00854CD4" w:rsidRDefault="00E8396F">
      <w:pPr>
        <w:pStyle w:val="TOC1"/>
        <w:rPr>
          <w:rFonts w:asciiTheme="minorHAnsi" w:eastAsiaTheme="minorEastAsia" w:hAnsiTheme="minorHAnsi" w:cstheme="minorBidi"/>
          <w:b w:val="0"/>
          <w:spacing w:val="0"/>
          <w:sz w:val="22"/>
          <w:szCs w:val="22"/>
        </w:rPr>
      </w:pPr>
      <w:hyperlink w:anchor="_Toc61944498" w:history="1">
        <w:r w:rsidR="00854CD4" w:rsidRPr="00E717AE">
          <w:rPr>
            <w:rStyle w:val="Hyperlink"/>
          </w:rPr>
          <w:t>Review of non-assigned outpost licensing and regulation</w:t>
        </w:r>
        <w:r w:rsidR="00854CD4">
          <w:rPr>
            <w:webHidden/>
          </w:rPr>
          <w:tab/>
        </w:r>
        <w:r w:rsidR="00854CD4">
          <w:rPr>
            <w:webHidden/>
          </w:rPr>
          <w:fldChar w:fldCharType="begin"/>
        </w:r>
        <w:r w:rsidR="00854CD4">
          <w:rPr>
            <w:webHidden/>
          </w:rPr>
          <w:instrText xml:space="preserve"> PAGEREF _Toc61944498 \h </w:instrText>
        </w:r>
        <w:r w:rsidR="00854CD4">
          <w:rPr>
            <w:webHidden/>
          </w:rPr>
        </w:r>
        <w:r w:rsidR="00854CD4">
          <w:rPr>
            <w:webHidden/>
          </w:rPr>
          <w:fldChar w:fldCharType="separate"/>
        </w:r>
        <w:r w:rsidR="00B912EB">
          <w:rPr>
            <w:webHidden/>
          </w:rPr>
          <w:t>7</w:t>
        </w:r>
        <w:r w:rsidR="00854CD4">
          <w:rPr>
            <w:webHidden/>
          </w:rPr>
          <w:fldChar w:fldCharType="end"/>
        </w:r>
      </w:hyperlink>
    </w:p>
    <w:p w14:paraId="7C3CEECA" w14:textId="60CE8CF0" w:rsidR="00854CD4" w:rsidRDefault="00E8396F">
      <w:pPr>
        <w:pStyle w:val="TOC2"/>
        <w:rPr>
          <w:rFonts w:asciiTheme="minorHAnsi" w:eastAsiaTheme="minorEastAsia" w:hAnsiTheme="minorHAnsi" w:cstheme="minorBidi"/>
          <w:spacing w:val="0"/>
          <w:sz w:val="22"/>
          <w:szCs w:val="22"/>
        </w:rPr>
      </w:pPr>
      <w:hyperlink w:anchor="_Toc61944499" w:history="1">
        <w:r w:rsidR="00854CD4" w:rsidRPr="00E717AE">
          <w:rPr>
            <w:rStyle w:val="Hyperlink"/>
          </w:rPr>
          <w:t>Case for change</w:t>
        </w:r>
        <w:r w:rsidR="00854CD4">
          <w:rPr>
            <w:webHidden/>
          </w:rPr>
          <w:tab/>
        </w:r>
        <w:r w:rsidR="00854CD4">
          <w:rPr>
            <w:webHidden/>
          </w:rPr>
          <w:fldChar w:fldCharType="begin"/>
        </w:r>
        <w:r w:rsidR="00854CD4">
          <w:rPr>
            <w:webHidden/>
          </w:rPr>
          <w:instrText xml:space="preserve"> PAGEREF _Toc61944499 \h </w:instrText>
        </w:r>
        <w:r w:rsidR="00854CD4">
          <w:rPr>
            <w:webHidden/>
          </w:rPr>
        </w:r>
        <w:r w:rsidR="00854CD4">
          <w:rPr>
            <w:webHidden/>
          </w:rPr>
          <w:fldChar w:fldCharType="separate"/>
        </w:r>
        <w:r w:rsidR="00B912EB">
          <w:rPr>
            <w:webHidden/>
          </w:rPr>
          <w:t>7</w:t>
        </w:r>
        <w:r w:rsidR="00854CD4">
          <w:rPr>
            <w:webHidden/>
          </w:rPr>
          <w:fldChar w:fldCharType="end"/>
        </w:r>
      </w:hyperlink>
    </w:p>
    <w:p w14:paraId="48A1BA89" w14:textId="2F772A49" w:rsidR="00854CD4" w:rsidRDefault="00E8396F">
      <w:pPr>
        <w:pStyle w:val="TOC1"/>
        <w:rPr>
          <w:rFonts w:asciiTheme="minorHAnsi" w:eastAsiaTheme="minorEastAsia" w:hAnsiTheme="minorHAnsi" w:cstheme="minorBidi"/>
          <w:b w:val="0"/>
          <w:spacing w:val="0"/>
          <w:sz w:val="22"/>
          <w:szCs w:val="22"/>
        </w:rPr>
      </w:pPr>
      <w:hyperlink w:anchor="_Toc61944500" w:history="1">
        <w:r w:rsidR="00854CD4" w:rsidRPr="00E717AE">
          <w:rPr>
            <w:rStyle w:val="Hyperlink"/>
          </w:rPr>
          <w:t>Options</w:t>
        </w:r>
        <w:r w:rsidR="00854CD4">
          <w:rPr>
            <w:webHidden/>
          </w:rPr>
          <w:tab/>
        </w:r>
        <w:r w:rsidR="00854CD4">
          <w:rPr>
            <w:webHidden/>
          </w:rPr>
          <w:fldChar w:fldCharType="begin"/>
        </w:r>
        <w:r w:rsidR="00854CD4">
          <w:rPr>
            <w:webHidden/>
          </w:rPr>
          <w:instrText xml:space="preserve"> PAGEREF _Toc61944500 \h </w:instrText>
        </w:r>
        <w:r w:rsidR="00854CD4">
          <w:rPr>
            <w:webHidden/>
          </w:rPr>
        </w:r>
        <w:r w:rsidR="00854CD4">
          <w:rPr>
            <w:webHidden/>
          </w:rPr>
          <w:fldChar w:fldCharType="separate"/>
        </w:r>
        <w:r w:rsidR="00B912EB">
          <w:rPr>
            <w:webHidden/>
          </w:rPr>
          <w:t>8</w:t>
        </w:r>
        <w:r w:rsidR="00854CD4">
          <w:rPr>
            <w:webHidden/>
          </w:rPr>
          <w:fldChar w:fldCharType="end"/>
        </w:r>
      </w:hyperlink>
    </w:p>
    <w:p w14:paraId="7F7DFD0C" w14:textId="0AFD28C2" w:rsidR="00854CD4" w:rsidRDefault="00E8396F" w:rsidP="009377DB">
      <w:pPr>
        <w:pStyle w:val="TOC2"/>
        <w:ind w:left="0" w:firstLine="0"/>
        <w:rPr>
          <w:rFonts w:asciiTheme="minorHAnsi" w:eastAsiaTheme="minorEastAsia" w:hAnsiTheme="minorHAnsi" w:cstheme="minorBidi"/>
          <w:spacing w:val="0"/>
          <w:sz w:val="22"/>
          <w:szCs w:val="22"/>
        </w:rPr>
      </w:pPr>
      <w:hyperlink w:anchor="_Toc61944501" w:history="1">
        <w:r w:rsidR="00854CD4" w:rsidRPr="00E717AE">
          <w:rPr>
            <w:rStyle w:val="Hyperlink"/>
          </w:rPr>
          <w:t xml:space="preserve">Option A: keep existing apparatus licensing arrangements and </w:t>
        </w:r>
        <w:r w:rsidR="00854CD4">
          <w:rPr>
            <w:rStyle w:val="Hyperlink"/>
          </w:rPr>
          <w:br/>
        </w:r>
        <w:r w:rsidR="00854CD4" w:rsidRPr="00E717AE">
          <w:rPr>
            <w:rStyle w:val="Hyperlink"/>
          </w:rPr>
          <w:t>conditions</w:t>
        </w:r>
        <w:r w:rsidR="00854CD4">
          <w:rPr>
            <w:webHidden/>
          </w:rPr>
          <w:tab/>
        </w:r>
        <w:r w:rsidR="00854CD4">
          <w:rPr>
            <w:webHidden/>
          </w:rPr>
          <w:fldChar w:fldCharType="begin"/>
        </w:r>
        <w:r w:rsidR="00854CD4">
          <w:rPr>
            <w:webHidden/>
          </w:rPr>
          <w:instrText xml:space="preserve"> PAGEREF _Toc61944501 \h </w:instrText>
        </w:r>
        <w:r w:rsidR="00854CD4">
          <w:rPr>
            <w:webHidden/>
          </w:rPr>
        </w:r>
        <w:r w:rsidR="00854CD4">
          <w:rPr>
            <w:webHidden/>
          </w:rPr>
          <w:fldChar w:fldCharType="separate"/>
        </w:r>
        <w:r w:rsidR="00B912EB">
          <w:rPr>
            <w:webHidden/>
          </w:rPr>
          <w:t>8</w:t>
        </w:r>
        <w:r w:rsidR="00854CD4">
          <w:rPr>
            <w:webHidden/>
          </w:rPr>
          <w:fldChar w:fldCharType="end"/>
        </w:r>
      </w:hyperlink>
    </w:p>
    <w:p w14:paraId="1F61A90D" w14:textId="0D470B8A" w:rsidR="00854CD4" w:rsidRDefault="00E8396F" w:rsidP="009377DB">
      <w:pPr>
        <w:pStyle w:val="TOC2"/>
        <w:ind w:left="0" w:firstLine="0"/>
        <w:rPr>
          <w:rFonts w:asciiTheme="minorHAnsi" w:eastAsiaTheme="minorEastAsia" w:hAnsiTheme="minorHAnsi" w:cstheme="minorBidi"/>
          <w:spacing w:val="0"/>
          <w:sz w:val="22"/>
          <w:szCs w:val="22"/>
        </w:rPr>
      </w:pPr>
      <w:hyperlink w:anchor="_Toc61944502" w:history="1">
        <w:r w:rsidR="00854CD4" w:rsidRPr="00E717AE">
          <w:rPr>
            <w:rStyle w:val="Hyperlink"/>
          </w:rPr>
          <w:t xml:space="preserve">Option B: simplify current apparatus licensing arrangements and </w:t>
        </w:r>
        <w:r w:rsidR="00854CD4">
          <w:rPr>
            <w:rStyle w:val="Hyperlink"/>
          </w:rPr>
          <w:br/>
        </w:r>
        <w:r w:rsidR="00854CD4" w:rsidRPr="00E717AE">
          <w:rPr>
            <w:rStyle w:val="Hyperlink"/>
          </w:rPr>
          <w:t>conditions</w:t>
        </w:r>
        <w:r w:rsidR="00854CD4">
          <w:rPr>
            <w:webHidden/>
          </w:rPr>
          <w:tab/>
        </w:r>
        <w:r w:rsidR="00854CD4">
          <w:rPr>
            <w:webHidden/>
          </w:rPr>
          <w:fldChar w:fldCharType="begin"/>
        </w:r>
        <w:r w:rsidR="00854CD4">
          <w:rPr>
            <w:webHidden/>
          </w:rPr>
          <w:instrText xml:space="preserve"> PAGEREF _Toc61944502 \h </w:instrText>
        </w:r>
        <w:r w:rsidR="00854CD4">
          <w:rPr>
            <w:webHidden/>
          </w:rPr>
        </w:r>
        <w:r w:rsidR="00854CD4">
          <w:rPr>
            <w:webHidden/>
          </w:rPr>
          <w:fldChar w:fldCharType="separate"/>
        </w:r>
        <w:r w:rsidR="00B912EB">
          <w:rPr>
            <w:webHidden/>
          </w:rPr>
          <w:t>8</w:t>
        </w:r>
        <w:r w:rsidR="00854CD4">
          <w:rPr>
            <w:webHidden/>
          </w:rPr>
          <w:fldChar w:fldCharType="end"/>
        </w:r>
      </w:hyperlink>
    </w:p>
    <w:p w14:paraId="009F1C96" w14:textId="7EE49A1A" w:rsidR="00854CD4" w:rsidRDefault="00E8396F" w:rsidP="009377DB">
      <w:pPr>
        <w:pStyle w:val="TOC2"/>
        <w:ind w:left="0" w:firstLine="0"/>
        <w:rPr>
          <w:rFonts w:asciiTheme="minorHAnsi" w:eastAsiaTheme="minorEastAsia" w:hAnsiTheme="minorHAnsi" w:cstheme="minorBidi"/>
          <w:spacing w:val="0"/>
          <w:sz w:val="22"/>
          <w:szCs w:val="22"/>
        </w:rPr>
      </w:pPr>
      <w:hyperlink w:anchor="_Toc61944503" w:history="1">
        <w:r w:rsidR="00854CD4" w:rsidRPr="00E717AE">
          <w:rPr>
            <w:rStyle w:val="Hyperlink"/>
          </w:rPr>
          <w:t xml:space="preserve">Option C: transition non-assigned outpost stations from apparatus </w:t>
        </w:r>
        <w:r w:rsidR="00854CD4">
          <w:rPr>
            <w:rStyle w:val="Hyperlink"/>
          </w:rPr>
          <w:br/>
        </w:r>
        <w:r w:rsidR="00854CD4" w:rsidRPr="00E717AE">
          <w:rPr>
            <w:rStyle w:val="Hyperlink"/>
          </w:rPr>
          <w:t>licensing to class licensing arrangements</w:t>
        </w:r>
        <w:r w:rsidR="00854CD4">
          <w:rPr>
            <w:webHidden/>
          </w:rPr>
          <w:tab/>
        </w:r>
        <w:r w:rsidR="00854CD4">
          <w:rPr>
            <w:webHidden/>
          </w:rPr>
          <w:fldChar w:fldCharType="begin"/>
        </w:r>
        <w:r w:rsidR="00854CD4">
          <w:rPr>
            <w:webHidden/>
          </w:rPr>
          <w:instrText xml:space="preserve"> PAGEREF _Toc61944503 \h </w:instrText>
        </w:r>
        <w:r w:rsidR="00854CD4">
          <w:rPr>
            <w:webHidden/>
          </w:rPr>
        </w:r>
        <w:r w:rsidR="00854CD4">
          <w:rPr>
            <w:webHidden/>
          </w:rPr>
          <w:fldChar w:fldCharType="separate"/>
        </w:r>
        <w:r w:rsidR="00B912EB">
          <w:rPr>
            <w:webHidden/>
          </w:rPr>
          <w:t>8</w:t>
        </w:r>
        <w:r w:rsidR="00854CD4">
          <w:rPr>
            <w:webHidden/>
          </w:rPr>
          <w:fldChar w:fldCharType="end"/>
        </w:r>
      </w:hyperlink>
    </w:p>
    <w:p w14:paraId="73185731" w14:textId="3C39F24C" w:rsidR="00854CD4" w:rsidRDefault="00E8396F">
      <w:pPr>
        <w:pStyle w:val="TOC3"/>
        <w:rPr>
          <w:rFonts w:asciiTheme="minorHAnsi" w:eastAsiaTheme="minorEastAsia" w:hAnsiTheme="minorHAnsi" w:cstheme="minorBidi"/>
        </w:rPr>
      </w:pPr>
      <w:hyperlink w:anchor="_Toc61944504" w:history="1">
        <w:r w:rsidR="00854CD4" w:rsidRPr="00E717AE">
          <w:rPr>
            <w:rStyle w:val="Hyperlink"/>
          </w:rPr>
          <w:t>Summary of changes</w:t>
        </w:r>
        <w:r w:rsidR="00854CD4">
          <w:rPr>
            <w:webHidden/>
          </w:rPr>
          <w:tab/>
        </w:r>
        <w:r w:rsidR="00854CD4">
          <w:rPr>
            <w:webHidden/>
          </w:rPr>
          <w:fldChar w:fldCharType="begin"/>
        </w:r>
        <w:r w:rsidR="00854CD4">
          <w:rPr>
            <w:webHidden/>
          </w:rPr>
          <w:instrText xml:space="preserve"> PAGEREF _Toc61944504 \h </w:instrText>
        </w:r>
        <w:r w:rsidR="00854CD4">
          <w:rPr>
            <w:webHidden/>
          </w:rPr>
        </w:r>
        <w:r w:rsidR="00854CD4">
          <w:rPr>
            <w:webHidden/>
          </w:rPr>
          <w:fldChar w:fldCharType="separate"/>
        </w:r>
        <w:r w:rsidR="00B912EB">
          <w:rPr>
            <w:webHidden/>
          </w:rPr>
          <w:t>8</w:t>
        </w:r>
        <w:r w:rsidR="00854CD4">
          <w:rPr>
            <w:webHidden/>
          </w:rPr>
          <w:fldChar w:fldCharType="end"/>
        </w:r>
      </w:hyperlink>
    </w:p>
    <w:p w14:paraId="07D5F58E" w14:textId="2BC15156" w:rsidR="00854CD4" w:rsidRDefault="00E8396F">
      <w:pPr>
        <w:pStyle w:val="TOC3"/>
        <w:rPr>
          <w:rFonts w:asciiTheme="minorHAnsi" w:eastAsiaTheme="minorEastAsia" w:hAnsiTheme="minorHAnsi" w:cstheme="minorBidi"/>
        </w:rPr>
      </w:pPr>
      <w:hyperlink w:anchor="_Toc61944505" w:history="1">
        <w:r w:rsidR="00854CD4" w:rsidRPr="00E717AE">
          <w:rPr>
            <w:rStyle w:val="Hyperlink"/>
          </w:rPr>
          <w:t>Impact of the Radiocommunications Legislation Amendment (Reform and Modernisation) Act 2020 (the Modernisation Act)</w:t>
        </w:r>
        <w:r w:rsidR="00854CD4">
          <w:rPr>
            <w:webHidden/>
          </w:rPr>
          <w:tab/>
        </w:r>
        <w:r w:rsidR="00854CD4">
          <w:rPr>
            <w:webHidden/>
          </w:rPr>
          <w:fldChar w:fldCharType="begin"/>
        </w:r>
        <w:r w:rsidR="00854CD4">
          <w:rPr>
            <w:webHidden/>
          </w:rPr>
          <w:instrText xml:space="preserve"> PAGEREF _Toc61944505 \h </w:instrText>
        </w:r>
        <w:r w:rsidR="00854CD4">
          <w:rPr>
            <w:webHidden/>
          </w:rPr>
        </w:r>
        <w:r w:rsidR="00854CD4">
          <w:rPr>
            <w:webHidden/>
          </w:rPr>
          <w:fldChar w:fldCharType="separate"/>
        </w:r>
        <w:r w:rsidR="00B912EB">
          <w:rPr>
            <w:webHidden/>
          </w:rPr>
          <w:t>9</w:t>
        </w:r>
        <w:r w:rsidR="00854CD4">
          <w:rPr>
            <w:webHidden/>
          </w:rPr>
          <w:fldChar w:fldCharType="end"/>
        </w:r>
      </w:hyperlink>
    </w:p>
    <w:p w14:paraId="363A0641" w14:textId="48831400" w:rsidR="00854CD4" w:rsidRDefault="00E8396F">
      <w:pPr>
        <w:pStyle w:val="TOC2"/>
        <w:rPr>
          <w:rFonts w:asciiTheme="minorHAnsi" w:eastAsiaTheme="minorEastAsia" w:hAnsiTheme="minorHAnsi" w:cstheme="minorBidi"/>
          <w:spacing w:val="0"/>
          <w:sz w:val="22"/>
          <w:szCs w:val="22"/>
        </w:rPr>
      </w:pPr>
      <w:hyperlink w:anchor="_Toc61944506" w:history="1">
        <w:r w:rsidR="00854CD4" w:rsidRPr="00E717AE">
          <w:rPr>
            <w:rStyle w:val="Hyperlink"/>
          </w:rPr>
          <w:t>Relevant radiocommunications considerations</w:t>
        </w:r>
        <w:r w:rsidR="00854CD4">
          <w:rPr>
            <w:webHidden/>
          </w:rPr>
          <w:tab/>
        </w:r>
        <w:r w:rsidR="00854CD4">
          <w:rPr>
            <w:webHidden/>
          </w:rPr>
          <w:fldChar w:fldCharType="begin"/>
        </w:r>
        <w:r w:rsidR="00854CD4">
          <w:rPr>
            <w:webHidden/>
          </w:rPr>
          <w:instrText xml:space="preserve"> PAGEREF _Toc61944506 \h </w:instrText>
        </w:r>
        <w:r w:rsidR="00854CD4">
          <w:rPr>
            <w:webHidden/>
          </w:rPr>
        </w:r>
        <w:r w:rsidR="00854CD4">
          <w:rPr>
            <w:webHidden/>
          </w:rPr>
          <w:fldChar w:fldCharType="separate"/>
        </w:r>
        <w:r w:rsidR="00B912EB">
          <w:rPr>
            <w:webHidden/>
          </w:rPr>
          <w:t>9</w:t>
        </w:r>
        <w:r w:rsidR="00854CD4">
          <w:rPr>
            <w:webHidden/>
          </w:rPr>
          <w:fldChar w:fldCharType="end"/>
        </w:r>
      </w:hyperlink>
    </w:p>
    <w:p w14:paraId="6B0EB1E5" w14:textId="75584E52" w:rsidR="00854CD4" w:rsidRDefault="00E8396F">
      <w:pPr>
        <w:pStyle w:val="TOC2"/>
        <w:rPr>
          <w:rFonts w:asciiTheme="minorHAnsi" w:eastAsiaTheme="minorEastAsia" w:hAnsiTheme="minorHAnsi" w:cstheme="minorBidi"/>
          <w:spacing w:val="0"/>
          <w:sz w:val="22"/>
          <w:szCs w:val="22"/>
        </w:rPr>
      </w:pPr>
      <w:hyperlink w:anchor="_Toc61944507" w:history="1">
        <w:r w:rsidR="00854CD4" w:rsidRPr="00E717AE">
          <w:rPr>
            <w:rStyle w:val="Hyperlink"/>
          </w:rPr>
          <w:t>Comparison of options</w:t>
        </w:r>
        <w:r w:rsidR="00854CD4">
          <w:rPr>
            <w:webHidden/>
          </w:rPr>
          <w:tab/>
        </w:r>
        <w:r w:rsidR="00854CD4">
          <w:rPr>
            <w:webHidden/>
          </w:rPr>
          <w:fldChar w:fldCharType="begin"/>
        </w:r>
        <w:r w:rsidR="00854CD4">
          <w:rPr>
            <w:webHidden/>
          </w:rPr>
          <w:instrText xml:space="preserve"> PAGEREF _Toc61944507 \h </w:instrText>
        </w:r>
        <w:r w:rsidR="00854CD4">
          <w:rPr>
            <w:webHidden/>
          </w:rPr>
        </w:r>
        <w:r w:rsidR="00854CD4">
          <w:rPr>
            <w:webHidden/>
          </w:rPr>
          <w:fldChar w:fldCharType="separate"/>
        </w:r>
        <w:r w:rsidR="00B912EB">
          <w:rPr>
            <w:webHidden/>
          </w:rPr>
          <w:t>11</w:t>
        </w:r>
        <w:r w:rsidR="00854CD4">
          <w:rPr>
            <w:webHidden/>
          </w:rPr>
          <w:fldChar w:fldCharType="end"/>
        </w:r>
      </w:hyperlink>
    </w:p>
    <w:p w14:paraId="2DCB8691" w14:textId="39630D9C" w:rsidR="00854CD4" w:rsidRDefault="00E8396F">
      <w:pPr>
        <w:pStyle w:val="TOC2"/>
        <w:rPr>
          <w:rFonts w:asciiTheme="minorHAnsi" w:eastAsiaTheme="minorEastAsia" w:hAnsiTheme="minorHAnsi" w:cstheme="minorBidi"/>
          <w:spacing w:val="0"/>
          <w:sz w:val="22"/>
          <w:szCs w:val="22"/>
        </w:rPr>
      </w:pPr>
      <w:hyperlink w:anchor="_Toc61944508" w:history="1">
        <w:r w:rsidR="00854CD4" w:rsidRPr="00E717AE">
          <w:rPr>
            <w:rStyle w:val="Hyperlink"/>
          </w:rPr>
          <w:t>Proposed instrument for comment</w:t>
        </w:r>
        <w:r w:rsidR="00854CD4">
          <w:rPr>
            <w:webHidden/>
          </w:rPr>
          <w:tab/>
        </w:r>
        <w:r w:rsidR="00854CD4">
          <w:rPr>
            <w:webHidden/>
          </w:rPr>
          <w:fldChar w:fldCharType="begin"/>
        </w:r>
        <w:r w:rsidR="00854CD4">
          <w:rPr>
            <w:webHidden/>
          </w:rPr>
          <w:instrText xml:space="preserve"> PAGEREF _Toc61944508 \h </w:instrText>
        </w:r>
        <w:r w:rsidR="00854CD4">
          <w:rPr>
            <w:webHidden/>
          </w:rPr>
        </w:r>
        <w:r w:rsidR="00854CD4">
          <w:rPr>
            <w:webHidden/>
          </w:rPr>
          <w:fldChar w:fldCharType="separate"/>
        </w:r>
        <w:r w:rsidR="00B912EB">
          <w:rPr>
            <w:webHidden/>
          </w:rPr>
          <w:t>11</w:t>
        </w:r>
        <w:r w:rsidR="00854CD4">
          <w:rPr>
            <w:webHidden/>
          </w:rPr>
          <w:fldChar w:fldCharType="end"/>
        </w:r>
      </w:hyperlink>
    </w:p>
    <w:p w14:paraId="73F64390" w14:textId="3B54CDFA" w:rsidR="00854CD4" w:rsidRDefault="00E8396F">
      <w:pPr>
        <w:pStyle w:val="TOC1"/>
        <w:rPr>
          <w:rFonts w:asciiTheme="minorHAnsi" w:eastAsiaTheme="minorEastAsia" w:hAnsiTheme="minorHAnsi" w:cstheme="minorBidi"/>
          <w:b w:val="0"/>
          <w:spacing w:val="0"/>
          <w:sz w:val="22"/>
          <w:szCs w:val="22"/>
        </w:rPr>
      </w:pPr>
      <w:hyperlink w:anchor="_Toc61944509" w:history="1">
        <w:r w:rsidR="00854CD4" w:rsidRPr="00E717AE">
          <w:rPr>
            <w:rStyle w:val="Hyperlink"/>
          </w:rPr>
          <w:t>Invitation to comment</w:t>
        </w:r>
        <w:r w:rsidR="00854CD4">
          <w:rPr>
            <w:webHidden/>
          </w:rPr>
          <w:tab/>
        </w:r>
        <w:r w:rsidR="00854CD4">
          <w:rPr>
            <w:webHidden/>
          </w:rPr>
          <w:fldChar w:fldCharType="begin"/>
        </w:r>
        <w:r w:rsidR="00854CD4">
          <w:rPr>
            <w:webHidden/>
          </w:rPr>
          <w:instrText xml:space="preserve"> PAGEREF _Toc61944509 \h </w:instrText>
        </w:r>
        <w:r w:rsidR="00854CD4">
          <w:rPr>
            <w:webHidden/>
          </w:rPr>
        </w:r>
        <w:r w:rsidR="00854CD4">
          <w:rPr>
            <w:webHidden/>
          </w:rPr>
          <w:fldChar w:fldCharType="separate"/>
        </w:r>
        <w:r w:rsidR="00B912EB">
          <w:rPr>
            <w:webHidden/>
          </w:rPr>
          <w:t>12</w:t>
        </w:r>
        <w:r w:rsidR="00854CD4">
          <w:rPr>
            <w:webHidden/>
          </w:rPr>
          <w:fldChar w:fldCharType="end"/>
        </w:r>
      </w:hyperlink>
    </w:p>
    <w:p w14:paraId="498AD1D0" w14:textId="16FC186D" w:rsidR="00854CD4" w:rsidRDefault="00E8396F">
      <w:pPr>
        <w:pStyle w:val="TOC2"/>
        <w:rPr>
          <w:rFonts w:asciiTheme="minorHAnsi" w:eastAsiaTheme="minorEastAsia" w:hAnsiTheme="minorHAnsi" w:cstheme="minorBidi"/>
          <w:spacing w:val="0"/>
          <w:sz w:val="22"/>
          <w:szCs w:val="22"/>
        </w:rPr>
      </w:pPr>
      <w:hyperlink w:anchor="_Toc61944510" w:history="1">
        <w:r w:rsidR="00854CD4" w:rsidRPr="00E717AE">
          <w:rPr>
            <w:rStyle w:val="Hyperlink"/>
          </w:rPr>
          <w:t>Making a submission</w:t>
        </w:r>
        <w:r w:rsidR="00854CD4">
          <w:rPr>
            <w:webHidden/>
          </w:rPr>
          <w:tab/>
        </w:r>
        <w:r w:rsidR="00854CD4">
          <w:rPr>
            <w:webHidden/>
          </w:rPr>
          <w:fldChar w:fldCharType="begin"/>
        </w:r>
        <w:r w:rsidR="00854CD4">
          <w:rPr>
            <w:webHidden/>
          </w:rPr>
          <w:instrText xml:space="preserve"> PAGEREF _Toc61944510 \h </w:instrText>
        </w:r>
        <w:r w:rsidR="00854CD4">
          <w:rPr>
            <w:webHidden/>
          </w:rPr>
        </w:r>
        <w:r w:rsidR="00854CD4">
          <w:rPr>
            <w:webHidden/>
          </w:rPr>
          <w:fldChar w:fldCharType="separate"/>
        </w:r>
        <w:r w:rsidR="00B912EB">
          <w:rPr>
            <w:webHidden/>
          </w:rPr>
          <w:t>12</w:t>
        </w:r>
        <w:r w:rsidR="00854CD4">
          <w:rPr>
            <w:webHidden/>
          </w:rPr>
          <w:fldChar w:fldCharType="end"/>
        </w:r>
      </w:hyperlink>
    </w:p>
    <w:p w14:paraId="4032B3B2" w14:textId="2587A73F" w:rsidR="004D56FF" w:rsidRPr="000D76E0" w:rsidRDefault="00FE1370">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4247E11" w14:textId="77777777" w:rsidR="009D6C71" w:rsidRPr="009174F3" w:rsidRDefault="009D6C71" w:rsidP="009174F3">
      <w:pPr>
        <w:pStyle w:val="Execsummaryheading"/>
      </w:pPr>
      <w:r w:rsidRPr="009174F3">
        <w:lastRenderedPageBreak/>
        <w:t>Executive summary</w:t>
      </w:r>
    </w:p>
    <w:p w14:paraId="08DDBE01" w14:textId="77777777" w:rsidR="000C30A2" w:rsidRDefault="000C30A2" w:rsidP="009377DB">
      <w:pPr>
        <w:pStyle w:val="Paragraph"/>
      </w:pPr>
      <w:bookmarkStart w:id="0" w:name="_Toc59622594"/>
      <w:bookmarkStart w:id="1" w:name="_Toc433122125"/>
      <w:r w:rsidRPr="009320EF">
        <w:t xml:space="preserve">The Australian Communications and Media Authority (ACMA) </w:t>
      </w:r>
      <w:r>
        <w:t>is</w:t>
      </w:r>
      <w:r w:rsidRPr="009320EF">
        <w:t xml:space="preserve"> review</w:t>
      </w:r>
      <w:r>
        <w:t>ing</w:t>
      </w:r>
      <w:r w:rsidRPr="009320EF">
        <w:t xml:space="preserve"> </w:t>
      </w:r>
      <w:r>
        <w:t xml:space="preserve">regulatory arrangements for the operation of non-assigned outpost and amateur stations, as indicated in the </w:t>
      </w:r>
      <w:hyperlink r:id="rId24" w:history="1">
        <w:r w:rsidRPr="001413B6">
          <w:rPr>
            <w:rStyle w:val="Hyperlink"/>
            <w:i/>
            <w:iCs/>
            <w:szCs w:val="20"/>
          </w:rPr>
          <w:t>Five-year spectrum outlook 2020–24</w:t>
        </w:r>
      </w:hyperlink>
      <w:r w:rsidRPr="00F54806">
        <w:t xml:space="preserve"> (FYSO)</w:t>
      </w:r>
      <w:r>
        <w:t>. This paper discusses proposals for changes to outpost licensing arrangements. A separate consultation paper discusses proposals for changes to the arrangements for amateur licences.</w:t>
      </w:r>
    </w:p>
    <w:p w14:paraId="3DCEDC9E" w14:textId="52CBD2A6" w:rsidR="000C30A2" w:rsidRDefault="000C30A2" w:rsidP="009377DB">
      <w:pPr>
        <w:pStyle w:val="Paragraph"/>
      </w:pPr>
      <w:r>
        <w:t xml:space="preserve">The objective of the review is to identify the best licensing mechanism </w:t>
      </w:r>
      <w:r w:rsidRPr="002D38DB">
        <w:t>that would reduce regulatory burden and minimise costs for licensees</w:t>
      </w:r>
      <w:r>
        <w:t>, while preserving the current operational utility for licensees</w:t>
      </w:r>
      <w:r w:rsidRPr="002D38DB">
        <w:t xml:space="preserve">. </w:t>
      </w:r>
      <w:r w:rsidR="008920F4">
        <w:t xml:space="preserve">Consistent with the </w:t>
      </w:r>
      <w:r w:rsidR="008920F4" w:rsidRPr="00BA0D5F">
        <w:t xml:space="preserve">Australian Government’s </w:t>
      </w:r>
      <w:hyperlink r:id="rId25" w:history="1">
        <w:r w:rsidR="008920F4">
          <w:rPr>
            <w:rStyle w:val="Hyperlink"/>
            <w:szCs w:val="20"/>
          </w:rPr>
          <w:t>D</w:t>
        </w:r>
        <w:r w:rsidR="008920F4" w:rsidRPr="007536CD">
          <w:rPr>
            <w:rStyle w:val="Hyperlink"/>
            <w:szCs w:val="20"/>
          </w:rPr>
          <w:t>ere</w:t>
        </w:r>
        <w:r w:rsidR="008920F4">
          <w:rPr>
            <w:rStyle w:val="Hyperlink"/>
            <w:szCs w:val="20"/>
          </w:rPr>
          <w:t>g</w:t>
        </w:r>
        <w:r w:rsidR="008920F4" w:rsidRPr="007536CD">
          <w:rPr>
            <w:rStyle w:val="Hyperlink"/>
            <w:szCs w:val="20"/>
          </w:rPr>
          <w:t xml:space="preserve">ulation </w:t>
        </w:r>
        <w:r w:rsidR="008920F4">
          <w:rPr>
            <w:rStyle w:val="Hyperlink"/>
            <w:szCs w:val="20"/>
          </w:rPr>
          <w:t>A</w:t>
        </w:r>
        <w:r w:rsidR="008920F4" w:rsidRPr="007536CD">
          <w:rPr>
            <w:rStyle w:val="Hyperlink"/>
            <w:szCs w:val="20"/>
          </w:rPr>
          <w:t>genda</w:t>
        </w:r>
      </w:hyperlink>
      <w:r w:rsidR="008920F4" w:rsidRPr="009377DB">
        <w:t>, t</w:t>
      </w:r>
      <w:r w:rsidRPr="002D38DB">
        <w:t xml:space="preserve">he review </w:t>
      </w:r>
      <w:r>
        <w:t>is examining</w:t>
      </w:r>
      <w:r w:rsidRPr="002D38DB">
        <w:t xml:space="preserve"> whether the existing licensing framework best achieves the objective or whether it could be better met through alternative licensing arrangements.  </w:t>
      </w:r>
    </w:p>
    <w:p w14:paraId="47193E62" w14:textId="77777777" w:rsidR="000C30A2" w:rsidRDefault="000C30A2" w:rsidP="002C745B">
      <w:pPr>
        <w:pStyle w:val="Paragraph"/>
      </w:pPr>
      <w:r>
        <w:t>Our review is considering several options to authorise outpost stations, each with varying degrees of regulatory, administrative and financial burden.</w:t>
      </w:r>
    </w:p>
    <w:p w14:paraId="2E7B1A15" w14:textId="0A171E00" w:rsidR="000C30A2" w:rsidRDefault="000C30A2" w:rsidP="00917097">
      <w:pPr>
        <w:pStyle w:val="Paragraphbeforelist"/>
      </w:pPr>
      <w:r>
        <w:t>We are seeking stakeholder views on the options being considered under the review:</w:t>
      </w:r>
    </w:p>
    <w:p w14:paraId="43A4615C" w14:textId="77777777" w:rsidR="000C30A2" w:rsidRPr="00B912EB" w:rsidRDefault="000C30A2" w:rsidP="00B912EB">
      <w:pPr>
        <w:pStyle w:val="Bulletlevel1"/>
        <w:keepNext/>
        <w:keepLines/>
      </w:pPr>
      <w:r w:rsidRPr="00B912EB">
        <w:t>Option A: keep the existing apparatus licensing arrangements and licence conditions</w:t>
      </w:r>
    </w:p>
    <w:p w14:paraId="1437D613" w14:textId="77777777" w:rsidR="000C30A2" w:rsidRPr="00B912EB" w:rsidRDefault="000C30A2" w:rsidP="00B912EB">
      <w:pPr>
        <w:pStyle w:val="Bulletlevel1"/>
        <w:keepNext/>
        <w:keepLines/>
      </w:pPr>
      <w:r w:rsidRPr="00B912EB">
        <w:t xml:space="preserve">Option B: simplify the current licensing arrangements and licence conditions by amending the </w:t>
      </w:r>
      <w:hyperlink r:id="rId26" w:history="1">
        <w:r w:rsidRPr="00B912EB">
          <w:t>Radiocommunications Licence Conditions (Outpost Licence) Determination 2015</w:t>
        </w:r>
      </w:hyperlink>
      <w:r w:rsidRPr="00B912EB">
        <w:t xml:space="preserve"> (outpost LCD) </w:t>
      </w:r>
    </w:p>
    <w:p w14:paraId="3D1C4D9A" w14:textId="77777777" w:rsidR="000C30A2" w:rsidRPr="00B912EB" w:rsidRDefault="000C30A2" w:rsidP="00B912EB">
      <w:pPr>
        <w:pStyle w:val="Bulletlevel1"/>
        <w:keepNext/>
        <w:keepLines/>
      </w:pPr>
      <w:r w:rsidRPr="00B912EB">
        <w:t>Option C: transition to class licensing arrangements for outpost stations operating on common frequencies (non-assigned outpost stations). The operation of outpost stations on specified frequencies (assigned outpost stations) would continue to be authorised under apparatus licences.</w:t>
      </w:r>
    </w:p>
    <w:p w14:paraId="0684B05B" w14:textId="77777777" w:rsidR="00715722" w:rsidRPr="00023A36" w:rsidRDefault="00715722" w:rsidP="00715722">
      <w:pPr>
        <w:pStyle w:val="Heading1"/>
      </w:pPr>
      <w:bookmarkStart w:id="2" w:name="_Toc61944492"/>
      <w:bookmarkEnd w:id="0"/>
      <w:r>
        <w:lastRenderedPageBreak/>
        <w:t>Issue</w:t>
      </w:r>
      <w:r w:rsidRPr="003253EE">
        <w:t>/s</w:t>
      </w:r>
      <w:r w:rsidRPr="00023A36">
        <w:t xml:space="preserve"> for comment</w:t>
      </w:r>
      <w:bookmarkEnd w:id="1"/>
      <w:bookmarkEnd w:id="2"/>
    </w:p>
    <w:p w14:paraId="3E2A4092" w14:textId="33B6EB2C" w:rsidR="000C30A2" w:rsidRPr="00190673" w:rsidRDefault="002C745B" w:rsidP="000C30A2">
      <w:pPr>
        <w:pStyle w:val="Paragraphbeforelist"/>
      </w:pPr>
      <w:r>
        <w:t>We</w:t>
      </w:r>
      <w:r w:rsidR="000C30A2" w:rsidRPr="00190673">
        <w:t xml:space="preserve"> invite comments on the issues set out in this paper:</w:t>
      </w:r>
    </w:p>
    <w:p w14:paraId="5D4D6132" w14:textId="77777777" w:rsidR="00B912EB" w:rsidRDefault="008920F4" w:rsidP="00B912EB">
      <w:pPr>
        <w:pStyle w:val="Bulletlevel1"/>
        <w:tabs>
          <w:tab w:val="clear" w:pos="295"/>
        </w:tabs>
        <w:rPr>
          <w:noProof/>
        </w:rPr>
      </w:pPr>
      <w:r>
        <w:t>The o</w:t>
      </w:r>
      <w:r w:rsidR="000C30A2">
        <w:t>ptions being considered under the review</w:t>
      </w:r>
      <w:r w:rsidR="00B912EB">
        <w:t>:</w:t>
      </w:r>
    </w:p>
    <w:p w14:paraId="60B465D0" w14:textId="2F29451E" w:rsidR="000C30A2" w:rsidRPr="00B912EB" w:rsidRDefault="00B912EB" w:rsidP="00B912EB">
      <w:pPr>
        <w:pStyle w:val="Bulletlevel1"/>
        <w:tabs>
          <w:tab w:val="clear" w:pos="295"/>
        </w:tabs>
        <w:ind w:left="590"/>
        <w:rPr>
          <w:noProof/>
        </w:rPr>
      </w:pPr>
      <w:r w:rsidRPr="00B912EB">
        <w:rPr>
          <w:b/>
          <w:bCs/>
          <w:noProof/>
        </w:rPr>
        <w:t>O</w:t>
      </w:r>
      <w:r w:rsidR="000C30A2" w:rsidRPr="00B912EB">
        <w:rPr>
          <w:b/>
          <w:bCs/>
          <w:noProof/>
        </w:rPr>
        <w:t>ption A</w:t>
      </w:r>
      <w:r w:rsidR="000C30A2" w:rsidRPr="00B912EB">
        <w:rPr>
          <w:noProof/>
        </w:rPr>
        <w:t>: keep the existing apparatus licensing arrangements and licence conditions</w:t>
      </w:r>
    </w:p>
    <w:p w14:paraId="03B2B85B" w14:textId="4FA0BA83" w:rsidR="000C30A2" w:rsidRPr="00B912EB" w:rsidRDefault="000C30A2" w:rsidP="00B912EB">
      <w:pPr>
        <w:pStyle w:val="Bulletlevel1"/>
        <w:tabs>
          <w:tab w:val="clear" w:pos="295"/>
          <w:tab w:val="num" w:pos="590"/>
        </w:tabs>
        <w:ind w:left="590"/>
        <w:rPr>
          <w:noProof/>
        </w:rPr>
      </w:pPr>
      <w:r w:rsidRPr="00B912EB">
        <w:rPr>
          <w:b/>
          <w:bCs/>
          <w:noProof/>
        </w:rPr>
        <w:t>Option B</w:t>
      </w:r>
      <w:r w:rsidRPr="00B912EB">
        <w:rPr>
          <w:noProof/>
        </w:rPr>
        <w:t>: simplify the current licensing arrangements and licence conditions by amending the outpost LCD</w:t>
      </w:r>
    </w:p>
    <w:p w14:paraId="7A571BB9" w14:textId="77777777" w:rsidR="000C30A2" w:rsidRPr="00B912EB" w:rsidRDefault="000C30A2" w:rsidP="00B912EB">
      <w:pPr>
        <w:pStyle w:val="Bulletlevel1"/>
        <w:tabs>
          <w:tab w:val="clear" w:pos="295"/>
          <w:tab w:val="num" w:pos="590"/>
        </w:tabs>
        <w:ind w:left="590"/>
        <w:rPr>
          <w:noProof/>
        </w:rPr>
      </w:pPr>
      <w:r w:rsidRPr="00B912EB">
        <w:rPr>
          <w:b/>
          <w:bCs/>
          <w:noProof/>
        </w:rPr>
        <w:t>Option C</w:t>
      </w:r>
      <w:r w:rsidRPr="00B912EB">
        <w:rPr>
          <w:noProof/>
        </w:rPr>
        <w:t>: transition to class licensing arrangements for non-assigned outpost stations. The operation of assigned outpost stations would continue to be authorised under apparatus licences.</w:t>
      </w:r>
    </w:p>
    <w:p w14:paraId="7ACF8FE6" w14:textId="77777777" w:rsidR="000C30A2" w:rsidRDefault="000C30A2" w:rsidP="00917097">
      <w:pPr>
        <w:pStyle w:val="Bulletlevel1"/>
        <w:rPr>
          <w:noProof/>
        </w:rPr>
      </w:pPr>
      <w:r>
        <w:rPr>
          <w:noProof/>
        </w:rPr>
        <w:t xml:space="preserve">The content of the consultation draft class licence for Option C (the draft </w:t>
      </w:r>
      <w:r w:rsidRPr="00917097">
        <w:rPr>
          <w:noProof/>
        </w:rPr>
        <w:t>Radiocommunications (Outpost Station) Class Licence 2021</w:t>
      </w:r>
      <w:r w:rsidRPr="002C745B">
        <w:rPr>
          <w:noProof/>
        </w:rPr>
        <w:t>)</w:t>
      </w:r>
    </w:p>
    <w:p w14:paraId="07D068F6" w14:textId="64200808" w:rsidR="000C30A2" w:rsidRDefault="000C30A2" w:rsidP="00917097">
      <w:pPr>
        <w:pStyle w:val="Bulletlevel1"/>
        <w:rPr>
          <w:noProof/>
        </w:rPr>
      </w:pPr>
      <w:r>
        <w:rPr>
          <w:noProof/>
        </w:rPr>
        <w:t xml:space="preserve">The proposal to allow non-assigned outpost station operators to transmit any form of identification that clearly identifies the station or the person operating the station, </w:t>
      </w:r>
      <w:r w:rsidR="002C745B">
        <w:rPr>
          <w:noProof/>
        </w:rPr>
        <w:t>that is,</w:t>
      </w:r>
      <w:r>
        <w:rPr>
          <w:noProof/>
        </w:rPr>
        <w:t xml:space="preserve"> not limited to using call signs.</w:t>
      </w:r>
    </w:p>
    <w:p w14:paraId="61576953" w14:textId="77777777" w:rsidR="000C30A2" w:rsidRDefault="000C30A2" w:rsidP="00917097">
      <w:pPr>
        <w:pStyle w:val="Bulletlevel1last"/>
        <w:rPr>
          <w:noProof/>
        </w:rPr>
      </w:pPr>
      <w:r>
        <w:rPr>
          <w:noProof/>
        </w:rPr>
        <w:t>Any other issues relevant to our review of the licensing arrangements for operation of non-assigned outpost stations.</w:t>
      </w:r>
    </w:p>
    <w:p w14:paraId="451F1A61" w14:textId="77777777" w:rsidR="000C30A2" w:rsidRDefault="000C30A2" w:rsidP="009A021C">
      <w:pPr>
        <w:pStyle w:val="Paragraphbeforelist"/>
      </w:pPr>
    </w:p>
    <w:p w14:paraId="27F5F610" w14:textId="77777777" w:rsidR="000C30A2" w:rsidRDefault="000C30A2" w:rsidP="009A021C">
      <w:pPr>
        <w:pStyle w:val="Paragraphbeforelist"/>
      </w:pPr>
    </w:p>
    <w:p w14:paraId="73004106" w14:textId="77777777" w:rsidR="000C30A2" w:rsidRPr="00C35CCE" w:rsidRDefault="000C30A2" w:rsidP="000C30A2">
      <w:pPr>
        <w:pStyle w:val="Heading1"/>
      </w:pPr>
      <w:bookmarkStart w:id="3" w:name="_Toc59453512"/>
      <w:bookmarkStart w:id="4" w:name="_Toc61944493"/>
      <w:bookmarkStart w:id="5" w:name="_Toc348105641"/>
      <w:r>
        <w:lastRenderedPageBreak/>
        <w:t>Introduction</w:t>
      </w:r>
      <w:bookmarkEnd w:id="3"/>
      <w:bookmarkEnd w:id="4"/>
    </w:p>
    <w:p w14:paraId="6BCB79B7" w14:textId="442D861D" w:rsidR="000C30A2" w:rsidRDefault="000C30A2" w:rsidP="00917097">
      <w:pPr>
        <w:pStyle w:val="Paragraph"/>
      </w:pPr>
      <w:r w:rsidRPr="003E703E">
        <w:t xml:space="preserve">In the </w:t>
      </w:r>
      <w:hyperlink r:id="rId27" w:history="1">
        <w:r w:rsidRPr="007350EF">
          <w:rPr>
            <w:rStyle w:val="Hyperlink"/>
            <w:i/>
            <w:iCs/>
          </w:rPr>
          <w:t>Five-year spectrum outlook 2020–24</w:t>
        </w:r>
      </w:hyperlink>
      <w:r w:rsidRPr="007350EF">
        <w:t xml:space="preserve"> (FYSO)</w:t>
      </w:r>
      <w:r>
        <w:t>,</w:t>
      </w:r>
      <w:r w:rsidRPr="003E703E">
        <w:t xml:space="preserve"> </w:t>
      </w:r>
      <w:r w:rsidR="002C745B">
        <w:t>we</w:t>
      </w:r>
      <w:r w:rsidRPr="003E703E">
        <w:t xml:space="preserve"> indicated </w:t>
      </w:r>
      <w:r w:rsidR="002C745B">
        <w:t>we</w:t>
      </w:r>
      <w:r w:rsidRPr="003E703E">
        <w:t xml:space="preserve"> would undertake a review of non-assigned amateur and outpost licensing arrangements and conditions.</w:t>
      </w:r>
      <w:r>
        <w:t xml:space="preserve"> </w:t>
      </w:r>
      <w:r w:rsidRPr="004E4E46">
        <w:t xml:space="preserve">Non-assigned licences are apparatus licences that authorise the operation of </w:t>
      </w:r>
      <w:r>
        <w:t xml:space="preserve">certain </w:t>
      </w:r>
      <w:r w:rsidRPr="004E4E46">
        <w:t>radiocommunications device</w:t>
      </w:r>
      <w:r>
        <w:t xml:space="preserve">s on a shared set of operating frequencies </w:t>
      </w:r>
      <w:r w:rsidRPr="004E4E46">
        <w:t>within a general part of the spectrum identified for similar activities</w:t>
      </w:r>
      <w:r>
        <w:t>,</w:t>
      </w:r>
      <w:r w:rsidRPr="004E4E46">
        <w:t xml:space="preserve"> </w:t>
      </w:r>
      <w:r>
        <w:t xml:space="preserve">as </w:t>
      </w:r>
      <w:r w:rsidRPr="004E4E46">
        <w:t xml:space="preserve">specified in the </w:t>
      </w:r>
      <w:r>
        <w:t xml:space="preserve">licence conditions that apply to the licence through the </w:t>
      </w:r>
      <w:r w:rsidRPr="004E4E46">
        <w:t xml:space="preserve">relevant licence condition determination. </w:t>
      </w:r>
    </w:p>
    <w:p w14:paraId="7809491A" w14:textId="77777777" w:rsidR="000C30A2" w:rsidRDefault="000C30A2" w:rsidP="000C30A2">
      <w:pPr>
        <w:pStyle w:val="CommentText"/>
      </w:pPr>
      <w:r>
        <w:t>Outpost stations provide communications using a radio in remote locations where no other telecommunication services are available. While outpost stations are intended primarily for emergency medical aid, they can be used for certain public communications where there is no connection to a network. If there is a connection to a network available, an outpost station can only be operated during an emergency.</w:t>
      </w:r>
    </w:p>
    <w:p w14:paraId="174672BE" w14:textId="77777777" w:rsidR="000C30A2" w:rsidRDefault="000C30A2" w:rsidP="000C30A2">
      <w:pPr>
        <w:pStyle w:val="CommentText"/>
      </w:pPr>
      <w:r>
        <w:t>Assigned outpost licences authorise the operation of 'control' stations used to provide emergency medical aid services and certain public correspondence. The Royal Flying Doctor Service (RFDS) is the only organisation currently licensed under this arrangement. Non-assigned outpost licences authorise stations to communicate with the 'control' stations on a list of designated frequencies and specified conditions. Communication between non-assigned stations is also permitted under certain conditions.</w:t>
      </w:r>
    </w:p>
    <w:p w14:paraId="04ACA617" w14:textId="1B69F4F0" w:rsidR="000C30A2" w:rsidRDefault="000C30A2" w:rsidP="00917097">
      <w:pPr>
        <w:pStyle w:val="Paragraph"/>
      </w:pPr>
      <w:r>
        <w:t>We have reviewed the outpost licensing framework to assess whether it reflects the best licensing arrangements and efficiently and effectively manages spectrum, consistent with the ACMA’s statutory role as the spectrum regulator. Our review identified alternative options to simplify the current arrangements, provide users with greater operational flexibility and minimise costs faced by licensees and the ACMA. These options are</w:t>
      </w:r>
      <w:r w:rsidR="002C745B">
        <w:t xml:space="preserve"> to</w:t>
      </w:r>
      <w:r>
        <w:t xml:space="preserve"> simplify the current licensing arrangements by amending the outpost LCD or to transition non-assigned outpost stations to class licensing arrangements, while retaining apparatus licensing to authorise the operation of assigned amateur stations. </w:t>
      </w:r>
    </w:p>
    <w:p w14:paraId="6E6C6345" w14:textId="77777777" w:rsidR="000C30A2" w:rsidRDefault="000C30A2" w:rsidP="002C745B">
      <w:pPr>
        <w:pStyle w:val="Paragraph"/>
      </w:pPr>
      <w:r>
        <w:t xml:space="preserve">We are now consulting on the options considered under the review and our preferred option to </w:t>
      </w:r>
      <w:r w:rsidRPr="005F0FBE">
        <w:t xml:space="preserve">transition from an apparatus to class licensing mechanism </w:t>
      </w:r>
      <w:r>
        <w:t>to authorise the operation of non-assigned outpost stations. The operation of assigned outpost stations would continue to be authorised under apparatus licensing arrangements.</w:t>
      </w:r>
    </w:p>
    <w:p w14:paraId="4F2940A2" w14:textId="77777777" w:rsidR="000C30A2" w:rsidRDefault="000C30A2" w:rsidP="000C30A2">
      <w:pPr>
        <w:pStyle w:val="Heading2"/>
      </w:pPr>
      <w:bookmarkStart w:id="6" w:name="_Toc59453513"/>
      <w:bookmarkStart w:id="7" w:name="_Toc61944494"/>
      <w:r>
        <w:t>Licensing of radiocommunications devices</w:t>
      </w:r>
      <w:bookmarkEnd w:id="6"/>
      <w:bookmarkEnd w:id="7"/>
    </w:p>
    <w:p w14:paraId="7CA15659" w14:textId="02E6D48C" w:rsidR="000C30A2" w:rsidRDefault="000C30A2" w:rsidP="005F6B9B">
      <w:pPr>
        <w:pStyle w:val="Paragraph"/>
        <w:rPr>
          <w:iCs/>
          <w:szCs w:val="20"/>
        </w:rPr>
      </w:pPr>
      <w:r w:rsidRPr="000303B4">
        <w:t xml:space="preserve">Under </w:t>
      </w:r>
      <w:r>
        <w:t xml:space="preserve">sections 46 and 47 of </w:t>
      </w:r>
      <w:r w:rsidRPr="000303B4">
        <w:t>the</w:t>
      </w:r>
      <w:r w:rsidRPr="00872271">
        <w:t xml:space="preserve"> </w:t>
      </w:r>
      <w:r w:rsidRPr="00676277">
        <w:rPr>
          <w:i/>
          <w:iCs/>
        </w:rPr>
        <w:t xml:space="preserve">Radiocommunications </w:t>
      </w:r>
      <w:r w:rsidRPr="00676277">
        <w:rPr>
          <w:i/>
        </w:rPr>
        <w:t>Act</w:t>
      </w:r>
      <w:r w:rsidRPr="00676277">
        <w:rPr>
          <w:i/>
          <w:iCs/>
        </w:rPr>
        <w:t xml:space="preserve"> 1992 </w:t>
      </w:r>
      <w:r>
        <w:t>(the Act)</w:t>
      </w:r>
      <w:r w:rsidRPr="00872271">
        <w:t>,</w:t>
      </w:r>
      <w:r w:rsidRPr="000303B4">
        <w:t xml:space="preserve"> it is unlawful to </w:t>
      </w:r>
      <w:r>
        <w:t xml:space="preserve">possess or </w:t>
      </w:r>
      <w:r w:rsidRPr="000303B4">
        <w:t>operate a radiocommunications device in Australia unless it is authorised by a licence</w:t>
      </w:r>
      <w:r w:rsidR="002C745B">
        <w:t>.</w:t>
      </w:r>
      <w:r>
        <w:rPr>
          <w:rStyle w:val="FootnoteReference"/>
        </w:rPr>
        <w:footnoteReference w:id="1"/>
      </w:r>
      <w:r w:rsidRPr="00872271">
        <w:t xml:space="preserve"> </w:t>
      </w:r>
      <w:r>
        <w:rPr>
          <w:iCs/>
          <w:szCs w:val="20"/>
        </w:rPr>
        <w:t xml:space="preserve">The Act permits the ACMA to </w:t>
      </w:r>
      <w:r w:rsidRPr="000303B4">
        <w:t xml:space="preserve">issue </w:t>
      </w:r>
      <w:r>
        <w:t>3</w:t>
      </w:r>
      <w:r w:rsidRPr="000303B4">
        <w:t xml:space="preserve"> types of licences to authorise the </w:t>
      </w:r>
      <w:r>
        <w:t>operation of radiocommunications devices</w:t>
      </w:r>
      <w:r w:rsidR="002C745B">
        <w:rPr>
          <w:iCs/>
          <w:szCs w:val="20"/>
        </w:rPr>
        <w:t xml:space="preserve"> – </w:t>
      </w:r>
      <w:r>
        <w:rPr>
          <w:iCs/>
          <w:szCs w:val="20"/>
        </w:rPr>
        <w:t xml:space="preserve">spectrum, apparatus and class. </w:t>
      </w:r>
    </w:p>
    <w:p w14:paraId="547A89D2" w14:textId="77777777" w:rsidR="000C30A2" w:rsidRPr="000303B4" w:rsidRDefault="000C30A2" w:rsidP="005F6B9B">
      <w:pPr>
        <w:pStyle w:val="Paragraphbeforelist"/>
        <w:keepNext/>
        <w:keepLines/>
      </w:pPr>
      <w:r w:rsidRPr="000303B4">
        <w:lastRenderedPageBreak/>
        <w:t>The appropriate licence type for a particular part of the spectrum will be determined by a range of factors including:</w:t>
      </w:r>
    </w:p>
    <w:p w14:paraId="7C060FEE" w14:textId="77777777" w:rsidR="000C30A2" w:rsidRPr="000303B4" w:rsidRDefault="000C30A2" w:rsidP="00854CD4">
      <w:pPr>
        <w:pStyle w:val="Bulletlevel1"/>
        <w:keepNext/>
        <w:keepLines/>
      </w:pPr>
      <w:r w:rsidRPr="000303B4">
        <w:t>the potential uses of that part of the spectrum</w:t>
      </w:r>
    </w:p>
    <w:p w14:paraId="0F9E2B14" w14:textId="77777777" w:rsidR="000C30A2" w:rsidRPr="000303B4" w:rsidRDefault="000C30A2" w:rsidP="00854CD4">
      <w:pPr>
        <w:pStyle w:val="Bulletlevel1"/>
        <w:keepNext/>
        <w:keepLines/>
      </w:pPr>
      <w:r w:rsidRPr="000303B4">
        <w:t>the likely number of possible users</w:t>
      </w:r>
    </w:p>
    <w:p w14:paraId="41E75D6E" w14:textId="77777777" w:rsidR="000C30A2" w:rsidRPr="000303B4" w:rsidRDefault="000C30A2" w:rsidP="00854CD4">
      <w:pPr>
        <w:pStyle w:val="Bulletlevel1"/>
        <w:keepNext/>
        <w:keepLines/>
      </w:pPr>
      <w:r w:rsidRPr="000303B4">
        <w:t>whether potential users are likely to seek access to one site or across a defined access area</w:t>
      </w:r>
    </w:p>
    <w:p w14:paraId="63F82385" w14:textId="6C74B195" w:rsidR="000C30A2" w:rsidRPr="000303B4" w:rsidRDefault="000C30A2" w:rsidP="000C30A2">
      <w:pPr>
        <w:pStyle w:val="Bulletlevel1last"/>
      </w:pPr>
      <w:r w:rsidRPr="000303B4">
        <w:t>whether all likely future high</w:t>
      </w:r>
      <w:r w:rsidR="002C745B">
        <w:t>-</w:t>
      </w:r>
      <w:r w:rsidRPr="000303B4">
        <w:t>value uses can be accommodated in a single technical framework.</w:t>
      </w:r>
    </w:p>
    <w:p w14:paraId="417787FF" w14:textId="77777777" w:rsidR="000C30A2" w:rsidRPr="005F71E8" w:rsidRDefault="000C30A2" w:rsidP="005F6B9B">
      <w:pPr>
        <w:pStyle w:val="Paragraph"/>
      </w:pPr>
      <w:r w:rsidRPr="005F71E8">
        <w:t xml:space="preserve">Spectrum licences are typically used </w:t>
      </w:r>
      <w:r>
        <w:t>to provide</w:t>
      </w:r>
      <w:r w:rsidRPr="005F71E8">
        <w:t xml:space="preserve"> mobile telecommunications and broadband services</w:t>
      </w:r>
      <w:r>
        <w:t xml:space="preserve">. They </w:t>
      </w:r>
      <w:r w:rsidRPr="005F71E8">
        <w:t xml:space="preserve">have historically been issued through an auction process to authorise the use of large bandwidths of spectrum over large geographic areas. </w:t>
      </w:r>
    </w:p>
    <w:p w14:paraId="21A923F2" w14:textId="53CDA035" w:rsidR="000C30A2" w:rsidRPr="005F71E8" w:rsidRDefault="000C30A2" w:rsidP="005F6B9B">
      <w:pPr>
        <w:pStyle w:val="Paragraph"/>
      </w:pPr>
      <w:r w:rsidRPr="005F71E8">
        <w:t xml:space="preserve">Apparatus licences generally authorise </w:t>
      </w:r>
      <w:r>
        <w:t xml:space="preserve">the operation of </w:t>
      </w:r>
      <w:r w:rsidRPr="005F71E8">
        <w:t xml:space="preserve">a specific transmitter at a specific location or area at a specific frequency. </w:t>
      </w:r>
      <w:r w:rsidR="002C745B">
        <w:t>We</w:t>
      </w:r>
      <w:r w:rsidRPr="005F71E8">
        <w:t xml:space="preserve"> may issue </w:t>
      </w:r>
      <w:r>
        <w:t xml:space="preserve">different types of </w:t>
      </w:r>
      <w:r w:rsidRPr="005F71E8">
        <w:t>apparatus licence</w:t>
      </w:r>
      <w:r>
        <w:t>s</w:t>
      </w:r>
      <w:r w:rsidRPr="005F71E8">
        <w:t xml:space="preserve"> </w:t>
      </w:r>
      <w:r>
        <w:t xml:space="preserve">as </w:t>
      </w:r>
      <w:r w:rsidRPr="005F71E8">
        <w:t>specified in the</w:t>
      </w:r>
      <w:r w:rsidRPr="005F71E8">
        <w:rPr>
          <w:i/>
        </w:rPr>
        <w:t xml:space="preserve"> </w:t>
      </w:r>
      <w:r w:rsidRPr="005F6B9B">
        <w:t>Radiocommunications (Specified Radiocommunications Receivers and Types of Transmitter Licences and Receiver Licences) Determination 2014</w:t>
      </w:r>
      <w:r w:rsidRPr="005F71E8">
        <w:rPr>
          <w:i/>
        </w:rPr>
        <w:t xml:space="preserve">. </w:t>
      </w:r>
      <w:r w:rsidRPr="005F71E8">
        <w:t>The</w:t>
      </w:r>
      <w:r>
        <w:t xml:space="preserve">re are </w:t>
      </w:r>
      <w:r w:rsidRPr="005F71E8">
        <w:t xml:space="preserve">23 types of apparatus licence </w:t>
      </w:r>
      <w:r>
        <w:t xml:space="preserve">we </w:t>
      </w:r>
      <w:r w:rsidRPr="005F71E8">
        <w:t>may issue (17 transmitter licence types and 6 receiver licence types</w:t>
      </w:r>
      <w:r>
        <w:rPr>
          <w:rStyle w:val="FootnoteReference"/>
          <w:iCs/>
          <w:szCs w:val="20"/>
        </w:rPr>
        <w:footnoteReference w:id="2"/>
      </w:r>
      <w:r w:rsidRPr="005F71E8">
        <w:t>)</w:t>
      </w:r>
      <w:r>
        <w:t>, including outpost licences</w:t>
      </w:r>
      <w:r w:rsidRPr="005F71E8">
        <w:t>. There are numerous ‘sub-types’ of licences</w:t>
      </w:r>
      <w:r>
        <w:t>, created through different sets of licence conditions and technical planning guidelines, which</w:t>
      </w:r>
      <w:r w:rsidRPr="005F71E8">
        <w:t xml:space="preserve"> </w:t>
      </w:r>
      <w:r>
        <w:t xml:space="preserve">reflect different use cases and services. </w:t>
      </w:r>
    </w:p>
    <w:p w14:paraId="70D4BA60" w14:textId="07241D6C" w:rsidR="000C30A2" w:rsidRPr="005F71E8" w:rsidRDefault="000C30A2" w:rsidP="005F6B9B">
      <w:pPr>
        <w:pStyle w:val="Paragraph"/>
      </w:pPr>
      <w:r>
        <w:t>Th</w:t>
      </w:r>
      <w:r w:rsidRPr="00082819">
        <w:t>ere is a small n</w:t>
      </w:r>
      <w:r>
        <w:t>umber of ‘</w:t>
      </w:r>
      <w:r w:rsidRPr="00CE4715">
        <w:t>non-assigned</w:t>
      </w:r>
      <w:r w:rsidRPr="005F71E8">
        <w:t xml:space="preserve"> apparatus licences</w:t>
      </w:r>
      <w:r>
        <w:t xml:space="preserve">’ that </w:t>
      </w:r>
      <w:r w:rsidRPr="005F71E8">
        <w:t xml:space="preserve">do not have an assigned frequency or location but </w:t>
      </w:r>
      <w:r w:rsidR="002C745B">
        <w:t xml:space="preserve">allow </w:t>
      </w:r>
      <w:r>
        <w:t>users</w:t>
      </w:r>
      <w:r w:rsidRPr="005F71E8">
        <w:t xml:space="preserve"> to operate on a shared set of frequencies Australia-wide</w:t>
      </w:r>
      <w:r>
        <w:t xml:space="preserve">. These licences are subject to conditions specified in an </w:t>
      </w:r>
      <w:r w:rsidRPr="005F71E8">
        <w:t xml:space="preserve">associated licence conditions determination (LCD), </w:t>
      </w:r>
      <w:r>
        <w:t xml:space="preserve">which includes the range of frequencies that can be used and other restrictions on the operation of such stations. </w:t>
      </w:r>
      <w:r w:rsidRPr="005F71E8">
        <w:t xml:space="preserve"> </w:t>
      </w:r>
    </w:p>
    <w:p w14:paraId="2BFEEF4F" w14:textId="77777777" w:rsidR="000C30A2" w:rsidRPr="00534FA8" w:rsidRDefault="000C30A2" w:rsidP="005F6B9B">
      <w:pPr>
        <w:pStyle w:val="Paragraph"/>
      </w:pPr>
      <w:r w:rsidRPr="005F71E8">
        <w:t xml:space="preserve">All apparatus licences are subject to </w:t>
      </w:r>
      <w:r>
        <w:t>charges</w:t>
      </w:r>
      <w:r w:rsidRPr="005F71E8">
        <w:t xml:space="preserve"> </w:t>
      </w:r>
      <w:r>
        <w:t>for</w:t>
      </w:r>
      <w:r w:rsidRPr="005F71E8">
        <w:t xml:space="preserve"> licence issue</w:t>
      </w:r>
      <w:r>
        <w:t xml:space="preserve"> and</w:t>
      </w:r>
      <w:r w:rsidRPr="005F71E8">
        <w:t xml:space="preserve"> renewal</w:t>
      </w:r>
      <w:r>
        <w:t>,</w:t>
      </w:r>
      <w:r w:rsidRPr="005F71E8">
        <w:t xml:space="preserve"> and an annual tax amount.</w:t>
      </w:r>
    </w:p>
    <w:p w14:paraId="6E2F7C0B" w14:textId="28A21803" w:rsidR="000C30A2" w:rsidRPr="00D220E4" w:rsidRDefault="000C30A2" w:rsidP="005F6B9B">
      <w:pPr>
        <w:pStyle w:val="Paragraph"/>
      </w:pPr>
      <w:r w:rsidRPr="00D220E4">
        <w:t xml:space="preserve">Class licences are general authorisations to operate a radiocommunications device of a specified kind, or for a specified purpose, or of a specified kind for a specified purpose on shared frequencies specified in the class licence, </w:t>
      </w:r>
      <w:r w:rsidR="00082819">
        <w:t xml:space="preserve">providing </w:t>
      </w:r>
      <w:r w:rsidRPr="00D220E4">
        <w:t xml:space="preserve">the operation </w:t>
      </w:r>
      <w:r w:rsidR="00082819">
        <w:t>meets</w:t>
      </w:r>
      <w:r w:rsidRPr="00D220E4">
        <w:t xml:space="preserve"> conditions in that class licence. As class licences are broad legislative authorisations, there is no licence issue or renewal, and therefore no associated licensing costs. </w:t>
      </w:r>
    </w:p>
    <w:p w14:paraId="2EB6A3BD" w14:textId="77777777" w:rsidR="000C30A2" w:rsidRPr="007509BB" w:rsidRDefault="000C30A2" w:rsidP="005F6B9B">
      <w:pPr>
        <w:pStyle w:val="Paragraph"/>
      </w:pPr>
      <w:r w:rsidRPr="007509BB">
        <w:t xml:space="preserve">Class licensing is broadly similar to non-assigned apparatus licensing, as both enable people to operate devices on a shared set of frequencies. However non-assigned apparatus licensing relies on individual licences being issued before operation, which enables greater regulatory oversight of licensees where necessary, but at a greater cost to both the ACMA and licensees.  </w:t>
      </w:r>
    </w:p>
    <w:p w14:paraId="2FB4594F" w14:textId="6D7FEEBF" w:rsidR="000C30A2" w:rsidRDefault="000C30A2" w:rsidP="000C30A2">
      <w:pPr>
        <w:spacing w:before="120" w:after="120" w:line="240" w:lineRule="auto"/>
        <w:rPr>
          <w:rFonts w:cs="Arial"/>
          <w:iCs/>
          <w:szCs w:val="20"/>
        </w:rPr>
      </w:pPr>
      <w:r>
        <w:rPr>
          <w:rFonts w:cs="Arial"/>
          <w:iCs/>
          <w:szCs w:val="20"/>
        </w:rPr>
        <w:t xml:space="preserve">Given the similar utility that both non-assigned apparatus licensing and class licensing can provide for users, it is worth considering whether the additional regulatory oversight (and associated costs) for non-assigned licensees is warranted </w:t>
      </w:r>
      <w:r w:rsidR="00082819">
        <w:rPr>
          <w:rFonts w:cs="Arial"/>
          <w:iCs/>
          <w:szCs w:val="20"/>
        </w:rPr>
        <w:t>for</w:t>
      </w:r>
      <w:r>
        <w:rPr>
          <w:rFonts w:cs="Arial"/>
          <w:iCs/>
          <w:szCs w:val="20"/>
        </w:rPr>
        <w:t xml:space="preserve"> the outpost service.</w:t>
      </w:r>
      <w:r w:rsidRPr="00E975EE">
        <w:rPr>
          <w:rFonts w:cs="Arial"/>
          <w:iCs/>
          <w:szCs w:val="20"/>
        </w:rPr>
        <w:t xml:space="preserve">  </w:t>
      </w:r>
    </w:p>
    <w:p w14:paraId="34D308C3" w14:textId="77777777" w:rsidR="000C30A2" w:rsidRDefault="000C30A2" w:rsidP="000C30A2">
      <w:pPr>
        <w:pStyle w:val="Heading2"/>
      </w:pPr>
      <w:bookmarkStart w:id="8" w:name="_Toc59453514"/>
      <w:bookmarkStart w:id="9" w:name="_Toc61944495"/>
      <w:r>
        <w:lastRenderedPageBreak/>
        <w:t xml:space="preserve">The outpost </w:t>
      </w:r>
      <w:proofErr w:type="gramStart"/>
      <w:r>
        <w:t>service</w:t>
      </w:r>
      <w:bookmarkEnd w:id="8"/>
      <w:bookmarkEnd w:id="9"/>
      <w:proofErr w:type="gramEnd"/>
    </w:p>
    <w:p w14:paraId="1F03EB3F" w14:textId="0C27770D" w:rsidR="000C30A2" w:rsidRDefault="000C30A2" w:rsidP="000C30A2">
      <w:pPr>
        <w:pStyle w:val="Paragraph"/>
      </w:pPr>
      <w:r>
        <w:t xml:space="preserve">Outpost stations operate in the medium frequency (MF, 300 to 3000 </w:t>
      </w:r>
      <w:proofErr w:type="spellStart"/>
      <w:r>
        <w:t>KHz</w:t>
      </w:r>
      <w:proofErr w:type="spellEnd"/>
      <w:r>
        <w:t>) and high frequency (HF, 3 to 30 MHz) bands. They are fixed or mobile stations used for radiocommunications in remote location</w:t>
      </w:r>
      <w:r w:rsidR="00EA0CAA">
        <w:t>s where</w:t>
      </w:r>
      <w:r>
        <w:t xml:space="preserve"> a connection to a telecommunications network operated by a carrier or carriage service provider is not provided or is not available. </w:t>
      </w:r>
    </w:p>
    <w:p w14:paraId="74649185" w14:textId="77777777" w:rsidR="000C30A2" w:rsidRDefault="000C30A2" w:rsidP="003F2C88">
      <w:pPr>
        <w:pStyle w:val="Heading3"/>
      </w:pPr>
      <w:bookmarkStart w:id="10" w:name="_Toc59453515"/>
      <w:bookmarkStart w:id="11" w:name="_Toc61944496"/>
      <w:r>
        <w:t>Outpost radio licensing</w:t>
      </w:r>
      <w:bookmarkEnd w:id="10"/>
      <w:bookmarkEnd w:id="11"/>
    </w:p>
    <w:p w14:paraId="512FA004" w14:textId="12275B9C" w:rsidR="000C30A2" w:rsidRPr="00534FA8" w:rsidRDefault="00082819" w:rsidP="000C30A2">
      <w:pPr>
        <w:pStyle w:val="Paragraph"/>
      </w:pPr>
      <w:r>
        <w:t>Fixed or mobile</w:t>
      </w:r>
      <w:r w:rsidR="000C30A2">
        <w:t xml:space="preserve"> outpost stations </w:t>
      </w:r>
      <w:r w:rsidR="000C30A2" w:rsidRPr="00A0654A">
        <w:t xml:space="preserve">are authorised under </w:t>
      </w:r>
      <w:r w:rsidR="000C30A2">
        <w:t xml:space="preserve">an </w:t>
      </w:r>
      <w:r w:rsidR="000C30A2" w:rsidRPr="00C306C4">
        <w:t>apparatus licen</w:t>
      </w:r>
      <w:r w:rsidR="000C30A2">
        <w:t>ce issued by the ACMA under section 100 of the Act. All a</w:t>
      </w:r>
      <w:r w:rsidR="000C30A2" w:rsidRPr="00534FA8">
        <w:t xml:space="preserve">pparatus licensees are subject to the conditions </w:t>
      </w:r>
      <w:r w:rsidR="000C30A2">
        <w:t xml:space="preserve">specified </w:t>
      </w:r>
      <w:r w:rsidR="000C30A2" w:rsidRPr="00534FA8">
        <w:t xml:space="preserve">in the Act, </w:t>
      </w:r>
      <w:r w:rsidR="000C30A2">
        <w:t xml:space="preserve">conditions set out in </w:t>
      </w:r>
      <w:r w:rsidR="000C30A2" w:rsidRPr="00534FA8">
        <w:t xml:space="preserve">the </w:t>
      </w:r>
      <w:hyperlink r:id="rId28" w:history="1">
        <w:r w:rsidR="000C30A2" w:rsidRPr="003F2C88">
          <w:rPr>
            <w:rStyle w:val="Hyperlink"/>
          </w:rPr>
          <w:t>Radiocommunications Licence Conditions (Apparatus Licence) Determination 2015</w:t>
        </w:r>
      </w:hyperlink>
      <w:r w:rsidR="000C30A2" w:rsidRPr="00534FA8">
        <w:rPr>
          <w:vertAlign w:val="superscript"/>
        </w:rPr>
        <w:footnoteReference w:id="3"/>
      </w:r>
      <w:r w:rsidR="000C30A2" w:rsidRPr="00534FA8">
        <w:t xml:space="preserve">, as well as any special conditions specified in their licence. </w:t>
      </w:r>
      <w:r w:rsidR="000C30A2">
        <w:t xml:space="preserve"> </w:t>
      </w:r>
    </w:p>
    <w:p w14:paraId="2B1A874E" w14:textId="54B3E34F" w:rsidR="000C30A2" w:rsidRPr="00F55E8A" w:rsidRDefault="000C30A2" w:rsidP="003F2C88">
      <w:pPr>
        <w:pStyle w:val="Paragraph"/>
      </w:pPr>
      <w:r>
        <w:t xml:space="preserve">Outpost apparatus licensees must also comply with the conditions in the </w:t>
      </w:r>
      <w:hyperlink r:id="rId29" w:history="1">
        <w:r>
          <w:rPr>
            <w:rStyle w:val="Hyperlink"/>
          </w:rPr>
          <w:t>outpost</w:t>
        </w:r>
      </w:hyperlink>
      <w:r>
        <w:rPr>
          <w:rStyle w:val="Hyperlink"/>
        </w:rPr>
        <w:t xml:space="preserve"> LCD</w:t>
      </w:r>
      <w:r>
        <w:t xml:space="preserve">. </w:t>
      </w:r>
      <w:r w:rsidRPr="00F55E8A">
        <w:t xml:space="preserve">The conditions address </w:t>
      </w:r>
      <w:r>
        <w:t>operational requirements such as m</w:t>
      </w:r>
      <w:r w:rsidRPr="00F55E8A">
        <w:t>aximum transmitter output power,</w:t>
      </w:r>
      <w:r>
        <w:t xml:space="preserve"> how to handle ‘public correspondence’,</w:t>
      </w:r>
      <w:r w:rsidRPr="00F55E8A">
        <w:t xml:space="preserve"> and </w:t>
      </w:r>
      <w:r>
        <w:t>how to identify the station</w:t>
      </w:r>
      <w:r w:rsidRPr="00F55E8A">
        <w:t xml:space="preserve"> when transmitting. For non-assigned outpost licensees</w:t>
      </w:r>
      <w:r w:rsidR="00082819">
        <w:t>,</w:t>
      </w:r>
      <w:r w:rsidRPr="00F55E8A">
        <w:t xml:space="preserve"> there are additional conditions, including requirements to comply with technical standards,</w:t>
      </w:r>
      <w:r>
        <w:t xml:space="preserve"> operating </w:t>
      </w:r>
      <w:r w:rsidRPr="00F55E8A">
        <w:t>frequencies</w:t>
      </w:r>
      <w:r>
        <w:t xml:space="preserve"> and permitted uses</w:t>
      </w:r>
      <w:r w:rsidRPr="00F55E8A">
        <w:t xml:space="preserve">. </w:t>
      </w:r>
    </w:p>
    <w:p w14:paraId="33C58A9C" w14:textId="04AF8E42" w:rsidR="000C30A2" w:rsidRPr="00336236" w:rsidRDefault="000C30A2" w:rsidP="003F2C88">
      <w:pPr>
        <w:pStyle w:val="Paragraph"/>
      </w:pPr>
      <w:r w:rsidRPr="00336236">
        <w:t xml:space="preserve">As </w:t>
      </w:r>
      <w:r w:rsidRPr="00AB0864">
        <w:t xml:space="preserve">of </w:t>
      </w:r>
      <w:r w:rsidR="00555A39">
        <w:t>27</w:t>
      </w:r>
      <w:r w:rsidR="00467707">
        <w:t xml:space="preserve"> January 2021</w:t>
      </w:r>
      <w:r w:rsidRPr="00AB0864">
        <w:t xml:space="preserve">, there </w:t>
      </w:r>
      <w:r w:rsidR="00082819">
        <w:t xml:space="preserve">were </w:t>
      </w:r>
      <w:r w:rsidRPr="00C90714">
        <w:t>2,2</w:t>
      </w:r>
      <w:r w:rsidR="00C90714" w:rsidRPr="00555A39">
        <w:t>21</w:t>
      </w:r>
      <w:r w:rsidRPr="00C90714">
        <w:t xml:space="preserve"> (2,2</w:t>
      </w:r>
      <w:r w:rsidR="00795C1F">
        <w:t>13</w:t>
      </w:r>
      <w:r w:rsidRPr="00AB0864">
        <w:t xml:space="preserve"> </w:t>
      </w:r>
      <w:r w:rsidRPr="00336236">
        <w:t>non-assigned</w:t>
      </w:r>
      <w:r>
        <w:t xml:space="preserve"> and 8 assigned)</w:t>
      </w:r>
      <w:r w:rsidRPr="00336236">
        <w:t xml:space="preserve"> </w:t>
      </w:r>
      <w:r>
        <w:t xml:space="preserve">outpost </w:t>
      </w:r>
      <w:r w:rsidRPr="00336236">
        <w:t xml:space="preserve">licences </w:t>
      </w:r>
      <w:r>
        <w:t xml:space="preserve">listed </w:t>
      </w:r>
      <w:r w:rsidRPr="00336236">
        <w:t>in</w:t>
      </w:r>
      <w:r>
        <w:t xml:space="preserve"> the</w:t>
      </w:r>
      <w:r w:rsidRPr="00336236">
        <w:t xml:space="preserve"> </w:t>
      </w:r>
      <w:hyperlink r:id="rId30" w:history="1">
        <w:r w:rsidRPr="00336236">
          <w:rPr>
            <w:rStyle w:val="Hyperlink"/>
          </w:rPr>
          <w:t>Register of Radiocommunications Licences</w:t>
        </w:r>
      </w:hyperlink>
      <w:r w:rsidR="00082819" w:rsidRPr="00082819">
        <w:rPr>
          <w:rStyle w:val="Hyperlink"/>
          <w:color w:val="auto"/>
          <w:u w:val="none"/>
        </w:rPr>
        <w:t>.</w:t>
      </w:r>
      <w:r>
        <w:rPr>
          <w:rStyle w:val="FootnoteReference"/>
        </w:rPr>
        <w:footnoteReference w:id="4"/>
      </w:r>
      <w:r>
        <w:t xml:space="preserve"> These licences are held by approximately 1</w:t>
      </w:r>
      <w:r w:rsidR="00082819">
        <w:t>,</w:t>
      </w:r>
      <w:r>
        <w:t>000 licensees.</w:t>
      </w:r>
    </w:p>
    <w:p w14:paraId="3C636341" w14:textId="331EFF5A" w:rsidR="000C30A2" w:rsidRDefault="000C30A2" w:rsidP="00854CD4">
      <w:pPr>
        <w:pStyle w:val="Heading4"/>
      </w:pPr>
      <w:r>
        <w:t xml:space="preserve">Assigned </w:t>
      </w:r>
      <w:r w:rsidR="00854CD4">
        <w:t>licences</w:t>
      </w:r>
    </w:p>
    <w:p w14:paraId="4BE3939F" w14:textId="4736E84D" w:rsidR="000C30A2" w:rsidRDefault="000C30A2" w:rsidP="000C30A2">
      <w:pPr>
        <w:pStyle w:val="Paragraph"/>
      </w:pPr>
      <w:r>
        <w:t xml:space="preserve">The </w:t>
      </w:r>
      <w:r w:rsidRPr="006166F1">
        <w:t xml:space="preserve">RFDS </w:t>
      </w:r>
      <w:r>
        <w:t>is a charitable organisation that provides emergency aeromedical evacuations throughout rural and remote Australia for people who are seriously ill or injured and require urgent medical attention. It also provides primary health care services to people who live or work in rural and remote parts of Australia. The RFDS is currently the only organisation issued with assigned outpost licences</w:t>
      </w:r>
      <w:r w:rsidR="00082819">
        <w:t>.</w:t>
      </w:r>
      <w:r w:rsidRPr="00CF0053">
        <w:rPr>
          <w:vertAlign w:val="superscript"/>
        </w:rPr>
        <w:footnoteReference w:id="5"/>
      </w:r>
    </w:p>
    <w:p w14:paraId="74A320E3" w14:textId="77777777" w:rsidR="000C30A2" w:rsidRPr="006166F1" w:rsidRDefault="000C30A2" w:rsidP="000C30A2">
      <w:pPr>
        <w:pStyle w:val="Paragraph"/>
      </w:pPr>
      <w:r>
        <w:t>A</w:t>
      </w:r>
      <w:r w:rsidRPr="006166F1">
        <w:t xml:space="preserve">ssigned outpost licences authorise the </w:t>
      </w:r>
      <w:r>
        <w:t>RFDS to operate ‘</w:t>
      </w:r>
      <w:r w:rsidRPr="006166F1">
        <w:t>control stations</w:t>
      </w:r>
      <w:r>
        <w:t>’</w:t>
      </w:r>
      <w:r w:rsidRPr="006166F1">
        <w:t xml:space="preserve"> </w:t>
      </w:r>
      <w:r w:rsidRPr="00A0654A">
        <w:rPr>
          <w:rFonts w:cs="Times New Roman"/>
        </w:rPr>
        <w:t xml:space="preserve">on frequencies specified in the licence for </w:t>
      </w:r>
      <w:r>
        <w:rPr>
          <w:rFonts w:cs="Times New Roman"/>
        </w:rPr>
        <w:t>each</w:t>
      </w:r>
      <w:r w:rsidRPr="00A0654A">
        <w:rPr>
          <w:rFonts w:cs="Times New Roman"/>
        </w:rPr>
        <w:t xml:space="preserve"> station</w:t>
      </w:r>
      <w:r>
        <w:rPr>
          <w:rFonts w:cs="Times New Roman"/>
        </w:rPr>
        <w:t>. Control stations provide communications to coordinate the delivery of emergency medical-aid services and can also be used to transmit some public communications if there are no other communication services available.</w:t>
      </w:r>
      <w:r w:rsidRPr="00CC4C96">
        <w:t xml:space="preserve"> </w:t>
      </w:r>
      <w:r>
        <w:t>RFDS control stations are subject to the conditions specified in Part 2 of the outpost LCD.</w:t>
      </w:r>
    </w:p>
    <w:p w14:paraId="31319469" w14:textId="77777777" w:rsidR="000C30A2" w:rsidRDefault="000C30A2" w:rsidP="000C30A2">
      <w:pPr>
        <w:pStyle w:val="Paragraph"/>
      </w:pPr>
      <w:r>
        <w:t>T</w:t>
      </w:r>
      <w:r w:rsidRPr="00164437">
        <w:t xml:space="preserve">he current </w:t>
      </w:r>
      <w:r>
        <w:t xml:space="preserve">assigned outpost station </w:t>
      </w:r>
      <w:r w:rsidRPr="00164437">
        <w:t>arrangements</w:t>
      </w:r>
      <w:r>
        <w:t xml:space="preserve"> and the ACMA’s policies</w:t>
      </w:r>
      <w:r w:rsidRPr="00164437">
        <w:t xml:space="preserve"> provide the RFDS with protection from interference caused by other spectrum users. </w:t>
      </w:r>
    </w:p>
    <w:p w14:paraId="56174201" w14:textId="77777777" w:rsidR="000C30A2" w:rsidRDefault="000C30A2" w:rsidP="000C30A2">
      <w:pPr>
        <w:pStyle w:val="Paragraph"/>
      </w:pPr>
      <w:r>
        <w:t xml:space="preserve">The options discussed in this paper do not impact the operation of RFDS control stations, as it is proposed that they will continue to be authorised under assigned outpost station apparatus licences. </w:t>
      </w:r>
    </w:p>
    <w:p w14:paraId="554C139A" w14:textId="207AAC30" w:rsidR="000C30A2" w:rsidRDefault="000C30A2" w:rsidP="003F2C88">
      <w:pPr>
        <w:pStyle w:val="Heading4"/>
        <w:keepNext/>
        <w:keepLines/>
      </w:pPr>
      <w:r>
        <w:lastRenderedPageBreak/>
        <w:t xml:space="preserve">Non-assigned </w:t>
      </w:r>
      <w:r w:rsidR="00854CD4">
        <w:t>licences</w:t>
      </w:r>
    </w:p>
    <w:p w14:paraId="6298E2B8" w14:textId="77777777" w:rsidR="000C30A2" w:rsidRDefault="000C30A2" w:rsidP="003F2C88">
      <w:pPr>
        <w:pStyle w:val="Paragraph"/>
        <w:keepNext/>
        <w:keepLines/>
      </w:pPr>
      <w:r w:rsidRPr="006166F1">
        <w:t xml:space="preserve">All other outpost </w:t>
      </w:r>
      <w:r>
        <w:t xml:space="preserve">station </w:t>
      </w:r>
      <w:r w:rsidRPr="006166F1">
        <w:t xml:space="preserve">users are issued with non-assigned </w:t>
      </w:r>
      <w:r>
        <w:t xml:space="preserve">outpost </w:t>
      </w:r>
      <w:r w:rsidRPr="006166F1">
        <w:t xml:space="preserve">licences, which authorise </w:t>
      </w:r>
      <w:r>
        <w:t xml:space="preserve">the operation of outpost </w:t>
      </w:r>
      <w:r w:rsidRPr="006166F1">
        <w:t xml:space="preserve">stations </w:t>
      </w:r>
      <w:r>
        <w:t xml:space="preserve">in particular locations, on shared frequencies, </w:t>
      </w:r>
      <w:r w:rsidRPr="006166F1">
        <w:t>to communicate with RFDS stations</w:t>
      </w:r>
      <w:r>
        <w:t xml:space="preserve"> and other outpost stations for specified purposes. Those purposes </w:t>
      </w:r>
      <w:r w:rsidRPr="006166F1">
        <w:t xml:space="preserve">primarily </w:t>
      </w:r>
      <w:r>
        <w:t xml:space="preserve">relate to </w:t>
      </w:r>
      <w:r w:rsidRPr="006166F1">
        <w:t xml:space="preserve">seeking emergency medical aid. </w:t>
      </w:r>
    </w:p>
    <w:p w14:paraId="1E3E9CA4" w14:textId="3202738B" w:rsidR="000C30A2" w:rsidRDefault="000C30A2" w:rsidP="000C30A2">
      <w:pPr>
        <w:pStyle w:val="Paragraph"/>
      </w:pPr>
      <w:r w:rsidRPr="006166F1">
        <w:t>They can also communicate with other non-assigned outpost users</w:t>
      </w:r>
      <w:r>
        <w:t xml:space="preserve"> for specific purposes, namely, to communicate at a location where there is no connection to a telecommunications network, to participate in a community interest session, or to transmit and receive messages in distress or emergency situations</w:t>
      </w:r>
      <w:r w:rsidRPr="006166F1">
        <w:t xml:space="preserve">. </w:t>
      </w:r>
    </w:p>
    <w:p w14:paraId="630BF35A" w14:textId="77777777" w:rsidR="000C30A2" w:rsidRPr="006166F1" w:rsidRDefault="000C30A2" w:rsidP="000C30A2">
      <w:pPr>
        <w:pStyle w:val="Paragraph"/>
      </w:pPr>
      <w:r w:rsidRPr="006166F1">
        <w:t>Non-assigned outpost licensees typically live</w:t>
      </w:r>
      <w:r>
        <w:t xml:space="preserve"> in, </w:t>
      </w:r>
      <w:r w:rsidRPr="006166F1">
        <w:t>work in</w:t>
      </w:r>
      <w:r>
        <w:t>,</w:t>
      </w:r>
      <w:r w:rsidRPr="006166F1">
        <w:t xml:space="preserve"> or are travelling through remote locations. They include police and emergency services, people who live in remote communities, </w:t>
      </w:r>
      <w:r>
        <w:t xml:space="preserve">people who </w:t>
      </w:r>
      <w:r w:rsidRPr="006166F1">
        <w:t xml:space="preserve">work on </w:t>
      </w:r>
      <w:r>
        <w:t xml:space="preserve">farms </w:t>
      </w:r>
      <w:r w:rsidRPr="006166F1">
        <w:t>or at mining sites, four-wheel driving club</w:t>
      </w:r>
      <w:r>
        <w:t xml:space="preserve"> members</w:t>
      </w:r>
      <w:r w:rsidRPr="006166F1">
        <w:t>, and open road travellers.</w:t>
      </w:r>
    </w:p>
    <w:p w14:paraId="5C83B13D" w14:textId="09AB7E55" w:rsidR="000C30A2" w:rsidRPr="007F71C0" w:rsidRDefault="000C30A2" w:rsidP="000C30A2">
      <w:pPr>
        <w:pStyle w:val="Paragraph"/>
      </w:pPr>
      <w:r>
        <w:t>The costs</w:t>
      </w:r>
      <w:r>
        <w:rPr>
          <w:rStyle w:val="CommentReference"/>
          <w:rFonts w:cs="Times New Roman"/>
        </w:rPr>
        <w:t xml:space="preserve"> </w:t>
      </w:r>
      <w:r>
        <w:t>associated with a non-assigned outpost licence are currently a $7 issue charge, a $4 renewal charge, and an annual tax amount of $41.83.</w:t>
      </w:r>
    </w:p>
    <w:p w14:paraId="4333606E" w14:textId="77777777" w:rsidR="000C30A2" w:rsidRDefault="000C30A2" w:rsidP="000C30A2">
      <w:r w:rsidRPr="00A0654A">
        <w:t xml:space="preserve">A non-assigned outpost station </w:t>
      </w:r>
      <w:r>
        <w:t xml:space="preserve">may be </w:t>
      </w:r>
      <w:r w:rsidRPr="00A0654A">
        <w:t xml:space="preserve">operated on </w:t>
      </w:r>
      <w:r>
        <w:t xml:space="preserve">one or more of the </w:t>
      </w:r>
      <w:r w:rsidRPr="00A0654A">
        <w:t>shared frequencies</w:t>
      </w:r>
      <w:r>
        <w:t xml:space="preserve"> specified in the outpost LCD. </w:t>
      </w:r>
    </w:p>
    <w:p w14:paraId="25072BB0" w14:textId="77777777" w:rsidR="000C30A2" w:rsidRDefault="000C30A2" w:rsidP="000C30A2">
      <w:pPr>
        <w:pStyle w:val="Heading2"/>
      </w:pPr>
      <w:bookmarkStart w:id="12" w:name="_Toc59453516"/>
      <w:bookmarkStart w:id="13" w:name="_Toc61944497"/>
      <w:r>
        <w:t>Other remote area radio services</w:t>
      </w:r>
      <w:bookmarkEnd w:id="12"/>
      <w:bookmarkEnd w:id="13"/>
    </w:p>
    <w:p w14:paraId="1F23BC9B" w14:textId="1BDA83C4" w:rsidR="000C30A2" w:rsidRPr="001516BC" w:rsidRDefault="000C30A2" w:rsidP="000C30A2">
      <w:pPr>
        <w:pStyle w:val="Paragraph"/>
      </w:pPr>
      <w:r>
        <w:t>There are other licensing options for radiocommunications services in remote areas. For example, distance education providers may be authorised under a point</w:t>
      </w:r>
      <w:r w:rsidR="00A0481E">
        <w:t>-</w:t>
      </w:r>
      <w:r>
        <w:t>to</w:t>
      </w:r>
      <w:r w:rsidR="00A0481E">
        <w:t>-</w:t>
      </w:r>
      <w:r>
        <w:t xml:space="preserve">multipoint land mobile licence. Other services, </w:t>
      </w:r>
      <w:r w:rsidR="003B4DD1">
        <w:t xml:space="preserve">including those used by </w:t>
      </w:r>
      <w:r>
        <w:t>commercial providers of emergency medical aid services in remote areas, or touring clubs that connect a network of members by radiocommunications, may use one of several different types of land mobile apparatus licence. These operations are not affected by proposed changes to non-assigned outpost licen</w:t>
      </w:r>
      <w:r w:rsidR="008920F4">
        <w:t>s</w:t>
      </w:r>
      <w:r>
        <w:t>ing arrangements.</w:t>
      </w:r>
    </w:p>
    <w:p w14:paraId="39074C98" w14:textId="77777777" w:rsidR="000C30A2" w:rsidRDefault="000C30A2" w:rsidP="000C30A2">
      <w:pPr>
        <w:pStyle w:val="Heading1"/>
      </w:pPr>
      <w:bookmarkStart w:id="14" w:name="_Toc59453517"/>
      <w:bookmarkStart w:id="15" w:name="_Toc61944498"/>
      <w:r>
        <w:lastRenderedPageBreak/>
        <w:t>Review of non-assigned outpost licensing and regulation</w:t>
      </w:r>
      <w:bookmarkEnd w:id="14"/>
      <w:bookmarkEnd w:id="15"/>
    </w:p>
    <w:p w14:paraId="6812253A" w14:textId="552EE930" w:rsidR="000C30A2" w:rsidRDefault="000C30A2" w:rsidP="000C30A2">
      <w:pPr>
        <w:pStyle w:val="Paragraph"/>
      </w:pPr>
      <w:r>
        <w:t>The role of the ACMA</w:t>
      </w:r>
      <w:r w:rsidR="00A0481E">
        <w:t xml:space="preserve"> in</w:t>
      </w:r>
      <w:r>
        <w:t xml:space="preserve"> </w:t>
      </w:r>
      <w:r w:rsidR="00A0481E">
        <w:t xml:space="preserve">regulating </w:t>
      </w:r>
      <w:r>
        <w:t xml:space="preserve">the outpost service is to manage the risk of interference to other spectrum users and congestion within frequency bands used by outpost licensees, consistent with our spectrum management role under the Act. </w:t>
      </w:r>
    </w:p>
    <w:p w14:paraId="1B2B2340" w14:textId="77777777" w:rsidR="000C30A2" w:rsidRDefault="000C30A2" w:rsidP="000C30A2">
      <w:pPr>
        <w:pStyle w:val="Heading2"/>
      </w:pPr>
      <w:bookmarkStart w:id="16" w:name="_Toc59443195"/>
      <w:bookmarkStart w:id="17" w:name="_Toc59453518"/>
      <w:bookmarkStart w:id="18" w:name="_Toc61944499"/>
      <w:r>
        <w:t>Case for change</w:t>
      </w:r>
      <w:bookmarkEnd w:id="16"/>
      <w:bookmarkEnd w:id="17"/>
      <w:bookmarkEnd w:id="18"/>
      <w:r>
        <w:t xml:space="preserve"> </w:t>
      </w:r>
    </w:p>
    <w:p w14:paraId="60F4076B" w14:textId="3F99C975" w:rsidR="000C30A2" w:rsidRDefault="000C30A2" w:rsidP="000C30A2">
      <w:pPr>
        <w:pStyle w:val="Paragraph"/>
      </w:pPr>
      <w:r>
        <w:t xml:space="preserve">The review of non-assigned outpost licensing </w:t>
      </w:r>
      <w:r w:rsidR="00A0481E">
        <w:t>will</w:t>
      </w:r>
      <w:r>
        <w:t xml:space="preserve"> examine whether the existing framework reflects the optimal arrangements for the outpost service, and whether an alternative licensing mechanism could be implemented to reduce any regulatory, administrative and financial burden on licensees and the ACMA. </w:t>
      </w:r>
    </w:p>
    <w:p w14:paraId="0CCD846B" w14:textId="77777777" w:rsidR="000C30A2" w:rsidRPr="00686E48" w:rsidRDefault="000C30A2" w:rsidP="000C30A2">
      <w:pPr>
        <w:pStyle w:val="Paragraph"/>
      </w:pPr>
      <w:r w:rsidRPr="00686E48">
        <w:t xml:space="preserve">The Australian Government recently announced its renewed </w:t>
      </w:r>
      <w:hyperlink r:id="rId31" w:history="1">
        <w:r w:rsidRPr="00952D11">
          <w:rPr>
            <w:rStyle w:val="Hyperlink"/>
          </w:rPr>
          <w:t>deregulation agenda</w:t>
        </w:r>
      </w:hyperlink>
      <w:r>
        <w:rPr>
          <w:rStyle w:val="Hyperlink"/>
        </w:rPr>
        <w:t>.</w:t>
      </w:r>
      <w:r w:rsidRPr="00686E48">
        <w:t xml:space="preserve"> </w:t>
      </w:r>
      <w:r>
        <w:t xml:space="preserve">One of the objectives of the deregulation agenda is to identify and remove requirements in regulation that are unnecessary, impose costs in excess of benefits, are hard to find or understand, and slow and costly to navigate. Our review of non-assigned outpost licensing arrangements is consistent with the Australian Government’s deregulation agenda.  </w:t>
      </w:r>
    </w:p>
    <w:p w14:paraId="435DA99A" w14:textId="520F1469" w:rsidR="000C30A2" w:rsidRDefault="00A0481E" w:rsidP="000C30A2">
      <w:pPr>
        <w:pStyle w:val="Paragraph"/>
      </w:pPr>
      <w:r>
        <w:t xml:space="preserve">We </w:t>
      </w:r>
      <w:r w:rsidR="000C30A2">
        <w:t xml:space="preserve">understand that outpost station users derive a clear benefit from accessing spectrum to communicate with the RFDS and each other. </w:t>
      </w:r>
      <w:r>
        <w:t>We have</w:t>
      </w:r>
      <w:r w:rsidR="00E37DA2">
        <w:t>,</w:t>
      </w:r>
      <w:r w:rsidR="000C30A2">
        <w:t xml:space="preserve"> for many years</w:t>
      </w:r>
      <w:r w:rsidR="00E37DA2">
        <w:t>,</w:t>
      </w:r>
      <w:r w:rsidR="000C30A2">
        <w:t xml:space="preserve"> successfully facilitated use of the spectrum </w:t>
      </w:r>
      <w:r w:rsidR="00E37DA2">
        <w:t xml:space="preserve">by </w:t>
      </w:r>
      <w:r w:rsidR="000C30A2">
        <w:t>allocat</w:t>
      </w:r>
      <w:r w:rsidR="00E37DA2">
        <w:t xml:space="preserve">ing </w:t>
      </w:r>
      <w:r w:rsidR="000C30A2">
        <w:t>assigned and non-assigned outpost licences.</w:t>
      </w:r>
    </w:p>
    <w:p w14:paraId="7B4063A4" w14:textId="753DC997" w:rsidR="000C30A2" w:rsidRDefault="00E37DA2" w:rsidP="000C30A2">
      <w:pPr>
        <w:pStyle w:val="Paragraph"/>
      </w:pPr>
      <w:r>
        <w:t xml:space="preserve">For the </w:t>
      </w:r>
      <w:r w:rsidR="000C30A2">
        <w:t xml:space="preserve">use of the spectrum by outpost stations, </w:t>
      </w:r>
      <w:r>
        <w:t>we</w:t>
      </w:r>
      <w:r w:rsidR="000C30A2">
        <w:t xml:space="preserve"> consider it timely to identify measures that reduce the transaction costs incurred by licensees. </w:t>
      </w:r>
    </w:p>
    <w:p w14:paraId="703B7D97" w14:textId="77777777" w:rsidR="000C30A2" w:rsidRPr="00B41971" w:rsidRDefault="000C30A2" w:rsidP="000D1BCB">
      <w:pPr>
        <w:pStyle w:val="Paragraphbeforelist"/>
      </w:pPr>
      <w:r w:rsidRPr="00424C27">
        <w:t xml:space="preserve">We </w:t>
      </w:r>
      <w:r>
        <w:t>have identified change proposals consistent with regulatory better practice:</w:t>
      </w:r>
    </w:p>
    <w:p w14:paraId="354E032A" w14:textId="6C5EADF9" w:rsidR="000C30A2" w:rsidRPr="00B41971" w:rsidRDefault="000C30A2" w:rsidP="000D1BCB">
      <w:pPr>
        <w:pStyle w:val="Bulletlevel1"/>
      </w:pPr>
      <w:r w:rsidRPr="00B41971">
        <w:t>remov</w:t>
      </w:r>
      <w:r>
        <w:t>ing</w:t>
      </w:r>
      <w:r w:rsidRPr="00B41971">
        <w:t xml:space="preserve"> unnecessary restrictions on outpost licensees and </w:t>
      </w:r>
      <w:r w:rsidR="00E37DA2" w:rsidRPr="00B41971">
        <w:t>ensur</w:t>
      </w:r>
      <w:r w:rsidR="00E37DA2">
        <w:t>ing</w:t>
      </w:r>
      <w:r w:rsidR="00E37DA2" w:rsidRPr="00B41971">
        <w:t xml:space="preserve"> </w:t>
      </w:r>
      <w:r w:rsidRPr="00B41971">
        <w:t>continued access to spectrum will use the least cost and least restrictive approach to meet our regulatory role</w:t>
      </w:r>
    </w:p>
    <w:p w14:paraId="0CDC3F19" w14:textId="77777777" w:rsidR="000C30A2" w:rsidRPr="00B41971" w:rsidRDefault="000C30A2" w:rsidP="000D1BCB">
      <w:pPr>
        <w:pStyle w:val="Bulletlevel1"/>
      </w:pPr>
      <w:r w:rsidRPr="00B41971">
        <w:t>simplify</w:t>
      </w:r>
      <w:r>
        <w:t>ing</w:t>
      </w:r>
      <w:r w:rsidRPr="00B41971">
        <w:t xml:space="preserve"> the outpost licensing regime</w:t>
      </w:r>
      <w:r>
        <w:t xml:space="preserve"> to </w:t>
      </w:r>
      <w:r w:rsidRPr="00B41971">
        <w:t>promote both certainty and flexibility</w:t>
      </w:r>
      <w:r>
        <w:t xml:space="preserve"> for users of spectrum</w:t>
      </w:r>
    </w:p>
    <w:p w14:paraId="15C5BD22" w14:textId="16C58743" w:rsidR="000C30A2" w:rsidRPr="0085313C" w:rsidRDefault="000C30A2" w:rsidP="000D1BCB">
      <w:pPr>
        <w:pStyle w:val="Bulletlevel1last"/>
        <w:rPr>
          <w:iCs/>
          <w:szCs w:val="20"/>
        </w:rPr>
      </w:pPr>
      <w:r w:rsidRPr="00B41971">
        <w:t>maintain</w:t>
      </w:r>
      <w:r>
        <w:t>ing</w:t>
      </w:r>
      <w:r w:rsidRPr="00B41971">
        <w:t xml:space="preserve"> the existing </w:t>
      </w:r>
      <w:r>
        <w:t xml:space="preserve">technical </w:t>
      </w:r>
      <w:r w:rsidRPr="00B41971">
        <w:t xml:space="preserve">conditions </w:t>
      </w:r>
      <w:r w:rsidR="00E37DA2">
        <w:t xml:space="preserve">for </w:t>
      </w:r>
      <w:r w:rsidRPr="00B41971">
        <w:t xml:space="preserve">outpost </w:t>
      </w:r>
      <w:r>
        <w:t xml:space="preserve">stations to ensure </w:t>
      </w:r>
      <w:r w:rsidRPr="00B41971">
        <w:t>interference management adequately balance</w:t>
      </w:r>
      <w:r>
        <w:t>s</w:t>
      </w:r>
      <w:r w:rsidRPr="00B41971">
        <w:t xml:space="preserve"> the cost of interference, while allowing outpost licensees to </w:t>
      </w:r>
      <w:r>
        <w:t xml:space="preserve">continue to use </w:t>
      </w:r>
      <w:r w:rsidRPr="00B41971">
        <w:t>allocated frequency bands.</w:t>
      </w:r>
    </w:p>
    <w:p w14:paraId="5DF57846" w14:textId="77777777" w:rsidR="000C30A2" w:rsidRDefault="000C30A2" w:rsidP="000C30A2">
      <w:pPr>
        <w:pStyle w:val="Heading1"/>
      </w:pPr>
      <w:bookmarkStart w:id="19" w:name="_Toc59453519"/>
      <w:bookmarkStart w:id="20" w:name="_Toc61944500"/>
      <w:r>
        <w:lastRenderedPageBreak/>
        <w:t>Options</w:t>
      </w:r>
      <w:bookmarkEnd w:id="19"/>
      <w:bookmarkEnd w:id="20"/>
    </w:p>
    <w:p w14:paraId="2D13F4BD" w14:textId="1990EA7C" w:rsidR="000C30A2" w:rsidRDefault="00E37DA2" w:rsidP="000D1BCB">
      <w:pPr>
        <w:pStyle w:val="Paragraphbeforelist"/>
      </w:pPr>
      <w:r>
        <w:t xml:space="preserve">As well as </w:t>
      </w:r>
      <w:r w:rsidR="00E75E14">
        <w:t xml:space="preserve">the </w:t>
      </w:r>
      <w:r w:rsidR="000C30A2">
        <w:t>current apparatus licensing arrangements</w:t>
      </w:r>
      <w:r>
        <w:t>, we have identified</w:t>
      </w:r>
      <w:r w:rsidR="000C30A2">
        <w:t xml:space="preserve"> </w:t>
      </w:r>
      <w:r>
        <w:t>an</w:t>
      </w:r>
      <w:r w:rsidR="00E75E14">
        <w:t>other</w:t>
      </w:r>
      <w:r>
        <w:t xml:space="preserve"> 2 </w:t>
      </w:r>
      <w:r w:rsidR="000C30A2" w:rsidRPr="0000042C">
        <w:t>options</w:t>
      </w:r>
      <w:r w:rsidR="000C30A2" w:rsidRPr="0058234F">
        <w:rPr>
          <w:rStyle w:val="CommentReference"/>
          <w:sz w:val="20"/>
          <w:szCs w:val="20"/>
        </w:rPr>
        <w:t xml:space="preserve"> </w:t>
      </w:r>
      <w:r>
        <w:rPr>
          <w:rStyle w:val="CommentReference"/>
          <w:sz w:val="20"/>
          <w:szCs w:val="20"/>
        </w:rPr>
        <w:t xml:space="preserve">to </w:t>
      </w:r>
      <w:r w:rsidR="000C30A2">
        <w:t xml:space="preserve">simplify licence conditions and reduce the regulatory and financial costs associated with non-assigned outpost licensing: </w:t>
      </w:r>
    </w:p>
    <w:p w14:paraId="71A0D24B" w14:textId="678060B3" w:rsidR="000C30A2" w:rsidRDefault="000C30A2" w:rsidP="000C30A2">
      <w:pPr>
        <w:pStyle w:val="ListBullet"/>
      </w:pPr>
      <w:r w:rsidRPr="0058234F">
        <w:rPr>
          <w:b/>
          <w:bCs/>
        </w:rPr>
        <w:t>Option A:</w:t>
      </w:r>
      <w:r>
        <w:t xml:space="preserve"> </w:t>
      </w:r>
      <w:r w:rsidR="00E37DA2">
        <w:t>k</w:t>
      </w:r>
      <w:r>
        <w:t>eep existing apparatus licensing arrangements and conditions</w:t>
      </w:r>
    </w:p>
    <w:p w14:paraId="41B08D11" w14:textId="430AA212" w:rsidR="000C30A2" w:rsidRDefault="000C30A2" w:rsidP="000C30A2">
      <w:pPr>
        <w:pStyle w:val="ListBullet"/>
      </w:pPr>
      <w:r w:rsidRPr="0058234F">
        <w:rPr>
          <w:b/>
          <w:bCs/>
        </w:rPr>
        <w:t>Option B:</w:t>
      </w:r>
      <w:r>
        <w:t xml:space="preserve"> </w:t>
      </w:r>
      <w:r w:rsidR="00E37DA2">
        <w:t>s</w:t>
      </w:r>
      <w:r>
        <w:t>implify existing licensing arrangements and conditions</w:t>
      </w:r>
    </w:p>
    <w:p w14:paraId="2D20AEE7" w14:textId="1A961C3D" w:rsidR="000C30A2" w:rsidRDefault="000C30A2" w:rsidP="000C30A2">
      <w:pPr>
        <w:pStyle w:val="Bulletlevel1last"/>
      </w:pPr>
      <w:r w:rsidRPr="0058234F">
        <w:rPr>
          <w:b/>
          <w:bCs/>
        </w:rPr>
        <w:t>Option C:</w:t>
      </w:r>
      <w:r>
        <w:t xml:space="preserve"> </w:t>
      </w:r>
      <w:r w:rsidR="00E37DA2">
        <w:t>t</w:t>
      </w:r>
      <w:r>
        <w:t xml:space="preserve">ransition non-assigned outpost stations to class licensing arrangements, while retaining apparatus licensing </w:t>
      </w:r>
      <w:r w:rsidR="00E37DA2">
        <w:t xml:space="preserve">for </w:t>
      </w:r>
      <w:r>
        <w:t>assigned outpost stations.</w:t>
      </w:r>
    </w:p>
    <w:p w14:paraId="59E292B5" w14:textId="77777777" w:rsidR="000C30A2" w:rsidRPr="00634226" w:rsidRDefault="000C30A2" w:rsidP="000C30A2">
      <w:pPr>
        <w:rPr>
          <w:rFonts w:cs="Arial"/>
          <w:iCs/>
          <w:szCs w:val="20"/>
        </w:rPr>
      </w:pPr>
      <w:r>
        <w:rPr>
          <w:rFonts w:cs="Arial"/>
          <w:iCs/>
          <w:szCs w:val="20"/>
        </w:rPr>
        <w:t xml:space="preserve">Option C is the ACMA’s preferred approach. </w:t>
      </w:r>
    </w:p>
    <w:p w14:paraId="64230BD5" w14:textId="0BC61553" w:rsidR="000C30A2" w:rsidRDefault="000C30A2" w:rsidP="000C30A2">
      <w:pPr>
        <w:pStyle w:val="Heading2"/>
      </w:pPr>
      <w:bookmarkStart w:id="21" w:name="_Toc59453520"/>
      <w:bookmarkStart w:id="22" w:name="_Toc61944501"/>
      <w:r>
        <w:t xml:space="preserve">Option A: </w:t>
      </w:r>
      <w:r w:rsidR="00E75E14">
        <w:t>k</w:t>
      </w:r>
      <w:r>
        <w:t>eep existing</w:t>
      </w:r>
      <w:r w:rsidRPr="00F07FD4">
        <w:t xml:space="preserve"> apparatus licensing arrangements </w:t>
      </w:r>
      <w:r>
        <w:t>and</w:t>
      </w:r>
      <w:r w:rsidRPr="00F07FD4">
        <w:t xml:space="preserve"> conditions</w:t>
      </w:r>
      <w:bookmarkEnd w:id="21"/>
      <w:bookmarkEnd w:id="22"/>
    </w:p>
    <w:p w14:paraId="2F89E1AB" w14:textId="492CB75E" w:rsidR="000C30A2" w:rsidRDefault="000C30A2" w:rsidP="000C30A2">
      <w:pPr>
        <w:pStyle w:val="Paragraph"/>
      </w:pPr>
      <w:r>
        <w:t>This option maintains the status quo</w:t>
      </w:r>
      <w:r w:rsidR="00001896">
        <w:t xml:space="preserve"> – </w:t>
      </w:r>
      <w:r>
        <w:t>keeping the current apparatus licensing arrangements for all outpost stations without change to the content of the outpost LCD. Financial and administrative costs for licensees remain the same (subject to changes in applicable charges and taxes, such as the annual tax change for inflation).</w:t>
      </w:r>
    </w:p>
    <w:p w14:paraId="57A31730" w14:textId="53835D0D" w:rsidR="000C30A2" w:rsidRDefault="000C30A2" w:rsidP="000C30A2">
      <w:pPr>
        <w:pStyle w:val="Heading2"/>
      </w:pPr>
      <w:bookmarkStart w:id="23" w:name="_Toc59453521"/>
      <w:bookmarkStart w:id="24" w:name="_Toc61944502"/>
      <w:r>
        <w:t xml:space="preserve">Option B: </w:t>
      </w:r>
      <w:r w:rsidR="00E75E14">
        <w:t>s</w:t>
      </w:r>
      <w:r>
        <w:t xml:space="preserve">implify current apparatus </w:t>
      </w:r>
      <w:r w:rsidRPr="00F07FD4">
        <w:t>licensing arrangements and conditions</w:t>
      </w:r>
      <w:bookmarkEnd w:id="23"/>
      <w:bookmarkEnd w:id="24"/>
    </w:p>
    <w:p w14:paraId="26BD83E0" w14:textId="0F3A4610" w:rsidR="000C30A2" w:rsidRDefault="000C30A2" w:rsidP="000D1BCB">
      <w:pPr>
        <w:pStyle w:val="Paragraph"/>
      </w:pPr>
      <w:r>
        <w:t xml:space="preserve">This option keeps the current apparatus licensing arrangements for all outpost stations but </w:t>
      </w:r>
      <w:r w:rsidRPr="00E41F49">
        <w:rPr>
          <w:szCs w:val="20"/>
        </w:rPr>
        <w:t>remove</w:t>
      </w:r>
      <w:r w:rsidR="00E75E14">
        <w:rPr>
          <w:szCs w:val="20"/>
        </w:rPr>
        <w:t>s</w:t>
      </w:r>
      <w:r>
        <w:rPr>
          <w:szCs w:val="20"/>
        </w:rPr>
        <w:t xml:space="preserve"> conditions</w:t>
      </w:r>
      <w:r w:rsidR="00E75E14">
        <w:rPr>
          <w:szCs w:val="20"/>
        </w:rPr>
        <w:t xml:space="preserve"> from the Outpost LCD</w:t>
      </w:r>
      <w:r>
        <w:rPr>
          <w:szCs w:val="20"/>
        </w:rPr>
        <w:t xml:space="preserve"> that </w:t>
      </w:r>
      <w:r w:rsidR="00E75E14">
        <w:rPr>
          <w:szCs w:val="20"/>
        </w:rPr>
        <w:t>we</w:t>
      </w:r>
      <w:r>
        <w:rPr>
          <w:szCs w:val="20"/>
        </w:rPr>
        <w:t xml:space="preserve"> no longer </w:t>
      </w:r>
      <w:r w:rsidRPr="00E41F49">
        <w:rPr>
          <w:szCs w:val="20"/>
        </w:rPr>
        <w:t>consider</w:t>
      </w:r>
      <w:r w:rsidR="00001896">
        <w:rPr>
          <w:szCs w:val="20"/>
        </w:rPr>
        <w:t xml:space="preserve"> </w:t>
      </w:r>
      <w:r w:rsidRPr="00E41F49">
        <w:rPr>
          <w:szCs w:val="20"/>
        </w:rPr>
        <w:t xml:space="preserve">necessary to </w:t>
      </w:r>
      <w:r>
        <w:t xml:space="preserve">manage spectrum effectively. The readability of the outpost LCD would also be improved </w:t>
      </w:r>
      <w:r w:rsidR="00001896">
        <w:t xml:space="preserve">by </w:t>
      </w:r>
      <w:r>
        <w:t>simplif</w:t>
      </w:r>
      <w:r w:rsidR="00001896">
        <w:t xml:space="preserve">ying </w:t>
      </w:r>
      <w:r>
        <w:t xml:space="preserve">and streamlining remaining conditions. </w:t>
      </w:r>
    </w:p>
    <w:p w14:paraId="4F78F061" w14:textId="77777777" w:rsidR="000C30A2" w:rsidRDefault="000C30A2" w:rsidP="000C30A2">
      <w:pPr>
        <w:pStyle w:val="Paragraphbeforelist"/>
      </w:pPr>
      <w:r>
        <w:t>Under this option, there would be no change to call sign arrangements. Financial and administrative costs would also remain the same (again, subject to changes in applicable charges and taxes).</w:t>
      </w:r>
    </w:p>
    <w:p w14:paraId="6DAAA86E" w14:textId="499E8231" w:rsidR="000C30A2" w:rsidRDefault="000C30A2" w:rsidP="000C30A2">
      <w:pPr>
        <w:pStyle w:val="Heading2"/>
      </w:pPr>
      <w:bookmarkStart w:id="25" w:name="_Toc59453522"/>
      <w:bookmarkStart w:id="26" w:name="_Toc61944503"/>
      <w:r>
        <w:t xml:space="preserve">Option C: </w:t>
      </w:r>
      <w:r w:rsidR="00001896">
        <w:t>t</w:t>
      </w:r>
      <w:r w:rsidRPr="00F07FD4">
        <w:t>ransition non-assigned outpost stations from apparatus licensing to class licensing arrangements</w:t>
      </w:r>
      <w:bookmarkEnd w:id="25"/>
      <w:bookmarkEnd w:id="26"/>
      <w:r w:rsidRPr="00F07FD4">
        <w:t xml:space="preserve"> </w:t>
      </w:r>
    </w:p>
    <w:p w14:paraId="470C7314" w14:textId="60F57C59" w:rsidR="000C30A2" w:rsidRDefault="000C30A2" w:rsidP="000C30A2">
      <w:pPr>
        <w:pStyle w:val="Paragraph"/>
      </w:pPr>
      <w:r>
        <w:t xml:space="preserve">This option proposes authorising operation of outpost stations, other than those operated by RFDS, through a class licence rather than apparatus licences. Assigned outpost stations operated by the RFDS would continue to be authorised under apparatus licensing arrangements. </w:t>
      </w:r>
    </w:p>
    <w:p w14:paraId="43A7AE7E" w14:textId="77777777" w:rsidR="000C30A2" w:rsidRDefault="000C30A2" w:rsidP="00BD3EB4">
      <w:pPr>
        <w:pStyle w:val="Heading3"/>
      </w:pPr>
      <w:bookmarkStart w:id="27" w:name="_Toc61944504"/>
      <w:r>
        <w:t>Summary of changes</w:t>
      </w:r>
      <w:bookmarkEnd w:id="27"/>
    </w:p>
    <w:p w14:paraId="34475326" w14:textId="77777777" w:rsidR="00805109" w:rsidRDefault="000C30A2" w:rsidP="00805109">
      <w:pPr>
        <w:pStyle w:val="Bulletlevel1"/>
      </w:pPr>
      <w:r>
        <w:t>The ACMA would issue an outpost class licence</w:t>
      </w:r>
      <w:r>
        <w:rPr>
          <w:rStyle w:val="FootnoteReference"/>
        </w:rPr>
        <w:footnoteReference w:id="6"/>
      </w:r>
      <w:r>
        <w:t xml:space="preserve"> that authorises the operation of non-assigned outpost stations. The class licence would specify </w:t>
      </w:r>
      <w:r w:rsidR="00805109">
        <w:t xml:space="preserve">operating </w:t>
      </w:r>
      <w:r>
        <w:t>conditions</w:t>
      </w:r>
      <w:r w:rsidR="00805109">
        <w:t xml:space="preserve">, including: </w:t>
      </w:r>
    </w:p>
    <w:p w14:paraId="7E330098" w14:textId="39B06242" w:rsidR="00805109" w:rsidRDefault="000C30A2" w:rsidP="00BD3EB4">
      <w:pPr>
        <w:pStyle w:val="Bulletlevel2"/>
      </w:pPr>
      <w:r>
        <w:t>operating frequencies</w:t>
      </w:r>
    </w:p>
    <w:p w14:paraId="6B477318" w14:textId="3EB65305" w:rsidR="00805109" w:rsidRDefault="000C30A2" w:rsidP="00BD3EB4">
      <w:pPr>
        <w:pStyle w:val="Bulletlevel2"/>
      </w:pPr>
      <w:r>
        <w:t>identifying the station during operation</w:t>
      </w:r>
    </w:p>
    <w:p w14:paraId="12DDE4A7" w14:textId="3708E50A" w:rsidR="000C30A2" w:rsidRDefault="000C30A2" w:rsidP="00BD3EB4">
      <w:pPr>
        <w:pStyle w:val="Bulletlevel2"/>
      </w:pPr>
      <w:r>
        <w:lastRenderedPageBreak/>
        <w:t>the specific purposes and situations in which an outpost station can be operated.</w:t>
      </w:r>
    </w:p>
    <w:p w14:paraId="65999C14" w14:textId="5E872DC7" w:rsidR="000C30A2" w:rsidRDefault="000C30A2" w:rsidP="00BD3EB4">
      <w:pPr>
        <w:pStyle w:val="Bulletlevel1"/>
      </w:pPr>
      <w:r w:rsidRPr="002E58F4">
        <w:t xml:space="preserve">Simplify language and </w:t>
      </w:r>
      <w:r w:rsidR="00805109" w:rsidRPr="002E58F4">
        <w:t>streamlin</w:t>
      </w:r>
      <w:r w:rsidR="00805109">
        <w:t>ing</w:t>
      </w:r>
      <w:r w:rsidR="00805109" w:rsidRPr="002E58F4">
        <w:t xml:space="preserve"> </w:t>
      </w:r>
      <w:r w:rsidRPr="002E58F4">
        <w:t xml:space="preserve">conditions </w:t>
      </w:r>
      <w:r>
        <w:t xml:space="preserve">applying to the operation of outpost stations </w:t>
      </w:r>
      <w:r w:rsidRPr="002E58F4">
        <w:t>in the class licence</w:t>
      </w:r>
      <w:r>
        <w:t>.</w:t>
      </w:r>
    </w:p>
    <w:p w14:paraId="51059B0F" w14:textId="6A6C6D5E" w:rsidR="000C30A2" w:rsidRPr="002F2894" w:rsidRDefault="00805109" w:rsidP="00BD3EB4">
      <w:pPr>
        <w:pStyle w:val="Bulletlevel1"/>
      </w:pPr>
      <w:r>
        <w:t xml:space="preserve">Exclude </w:t>
      </w:r>
      <w:r w:rsidR="000C30A2" w:rsidRPr="002F2894">
        <w:t xml:space="preserve">the </w:t>
      </w:r>
      <w:r w:rsidR="000C30A2">
        <w:t xml:space="preserve">current </w:t>
      </w:r>
      <w:r w:rsidR="000C30A2" w:rsidRPr="002F2894">
        <w:t xml:space="preserve">condition </w:t>
      </w:r>
      <w:r w:rsidR="000C30A2">
        <w:t xml:space="preserve">in the outpost LCD </w:t>
      </w:r>
      <w:r w:rsidR="000C30A2" w:rsidRPr="002F2894">
        <w:t xml:space="preserve">that a </w:t>
      </w:r>
      <w:r w:rsidR="000C30A2">
        <w:t xml:space="preserve">person operating a </w:t>
      </w:r>
      <w:r w:rsidR="000C30A2" w:rsidRPr="002F2894">
        <w:t>non-assigned outpost station must ensure that the station operates only at a time when the RFDS station that the licensee can communicate with is open</w:t>
      </w:r>
      <w:r w:rsidR="000C30A2">
        <w:t>, and</w:t>
      </w:r>
      <w:r w:rsidR="000C30A2" w:rsidRPr="002F2894">
        <w:t xml:space="preserve"> only for a specific purpose.</w:t>
      </w:r>
    </w:p>
    <w:p w14:paraId="5F1A6896" w14:textId="77777777" w:rsidR="000C30A2" w:rsidRDefault="000C30A2" w:rsidP="00BD3EB4">
      <w:pPr>
        <w:pStyle w:val="Bulletlevel1"/>
      </w:pPr>
      <w:r>
        <w:t>Allow outpost stations operating under the class licence to identify the station or the person operating the station through any reasonable means, rather than just through call signs assigned by the ACMA.</w:t>
      </w:r>
    </w:p>
    <w:p w14:paraId="132B300A" w14:textId="77777777" w:rsidR="000C30A2" w:rsidRDefault="000C30A2" w:rsidP="00BD3EB4">
      <w:pPr>
        <w:pStyle w:val="Bulletlevel1last"/>
      </w:pPr>
      <w:r>
        <w:t>Repeal the outpost LCD and include special conditions for the operation of assigned outpost stations by the RFDS</w:t>
      </w:r>
      <w:r w:rsidRPr="006D557A">
        <w:t xml:space="preserve"> </w:t>
      </w:r>
      <w:r>
        <w:t>in individual apparatus licences.</w:t>
      </w:r>
    </w:p>
    <w:p w14:paraId="7ADEB889" w14:textId="00CDD932" w:rsidR="000C30A2" w:rsidRPr="0031383E" w:rsidRDefault="000C30A2" w:rsidP="000C30A2">
      <w:pPr>
        <w:pStyle w:val="Bulletlevel2last"/>
        <w:numPr>
          <w:ilvl w:val="0"/>
          <w:numId w:val="0"/>
        </w:numPr>
      </w:pPr>
      <w:r>
        <w:t xml:space="preserve">A draft class licence is </w:t>
      </w:r>
      <w:r w:rsidR="00F018BC">
        <w:t>available alongside this consultation</w:t>
      </w:r>
      <w:r>
        <w:t>.</w:t>
      </w:r>
    </w:p>
    <w:p w14:paraId="4D5A55DB" w14:textId="77777777" w:rsidR="000C30A2" w:rsidRDefault="000C30A2" w:rsidP="000C30A2">
      <w:pPr>
        <w:pStyle w:val="Heading3"/>
      </w:pPr>
      <w:bookmarkStart w:id="28" w:name="_Toc61944505"/>
      <w:r>
        <w:t>Impact of the Radiocommunications Legislation Amendment (Reform and Modernisation) Act 2020 (the Modernisation Act)</w:t>
      </w:r>
      <w:bookmarkEnd w:id="28"/>
    </w:p>
    <w:p w14:paraId="1D9C9697" w14:textId="3722274E" w:rsidR="000C30A2" w:rsidRDefault="000C30A2" w:rsidP="001170B7">
      <w:pPr>
        <w:pStyle w:val="Paragraph"/>
      </w:pPr>
      <w:r>
        <w:t xml:space="preserve">The Modernisation Act received Royal Assent on 17 December 2020. The Modernisation Act makes a series of amendments to the Act, including increasing the maximum length of apparatus licences from </w:t>
      </w:r>
      <w:r w:rsidR="00F018BC">
        <w:t xml:space="preserve">5 </w:t>
      </w:r>
      <w:r>
        <w:t>to 20 years. This change</w:t>
      </w:r>
      <w:r>
        <w:rPr>
          <w:rStyle w:val="FootnoteReference"/>
          <w:color w:val="000000" w:themeColor="text1"/>
          <w:szCs w:val="20"/>
        </w:rPr>
        <w:footnoteReference w:id="7"/>
      </w:r>
      <w:r>
        <w:t xml:space="preserve"> impacts the proposed </w:t>
      </w:r>
      <w:r w:rsidR="00F018BC">
        <w:t>o</w:t>
      </w:r>
      <w:r>
        <w:t>ptions A and B.</w:t>
      </w:r>
    </w:p>
    <w:p w14:paraId="1B49E524" w14:textId="70BE9AC9" w:rsidR="000C30A2" w:rsidRDefault="000C30A2" w:rsidP="000C30A2">
      <w:pPr>
        <w:rPr>
          <w:rFonts w:cs="Arial"/>
          <w:color w:val="000000" w:themeColor="text1"/>
        </w:rPr>
      </w:pPr>
      <w:r w:rsidRPr="0C8D92A8">
        <w:rPr>
          <w:rFonts w:cs="Arial"/>
          <w:color w:val="000000" w:themeColor="text1"/>
        </w:rPr>
        <w:t>While longer</w:t>
      </w:r>
      <w:r w:rsidR="00F018BC">
        <w:rPr>
          <w:rFonts w:cs="Arial"/>
          <w:color w:val="000000" w:themeColor="text1"/>
        </w:rPr>
        <w:t>-</w:t>
      </w:r>
      <w:r w:rsidRPr="0C8D92A8">
        <w:rPr>
          <w:rFonts w:cs="Arial"/>
          <w:color w:val="000000" w:themeColor="text1"/>
        </w:rPr>
        <w:t>duration outpost licences</w:t>
      </w:r>
      <w:r w:rsidR="00F018BC">
        <w:rPr>
          <w:rFonts w:cs="Arial"/>
          <w:color w:val="000000" w:themeColor="text1"/>
        </w:rPr>
        <w:t xml:space="preserve"> could be issued</w:t>
      </w:r>
      <w:r>
        <w:rPr>
          <w:rFonts w:cs="Arial"/>
          <w:color w:val="000000" w:themeColor="text1"/>
        </w:rPr>
        <w:t xml:space="preserve"> to relieve some of </w:t>
      </w:r>
      <w:r w:rsidRPr="0C8D92A8">
        <w:rPr>
          <w:rFonts w:cs="Arial"/>
          <w:color w:val="000000" w:themeColor="text1"/>
        </w:rPr>
        <w:t xml:space="preserve">the administrative burden on the ACMA and licensees, this would not significantly reduce financial costs. </w:t>
      </w:r>
    </w:p>
    <w:p w14:paraId="7CE85816" w14:textId="77777777" w:rsidR="000C30A2" w:rsidRDefault="000C30A2" w:rsidP="000C30A2">
      <w:pPr>
        <w:pStyle w:val="Heading2"/>
      </w:pPr>
      <w:bookmarkStart w:id="29" w:name="_Toc59453523"/>
      <w:bookmarkStart w:id="30" w:name="_Toc61944506"/>
      <w:r>
        <w:t>Relevant radiocommunications considerations</w:t>
      </w:r>
      <w:bookmarkEnd w:id="29"/>
      <w:bookmarkEnd w:id="30"/>
    </w:p>
    <w:p w14:paraId="7888452A" w14:textId="77777777" w:rsidR="000C30A2" w:rsidRPr="00667A84" w:rsidRDefault="000C30A2" w:rsidP="000C30A2">
      <w:pPr>
        <w:pStyle w:val="Tableheaderrow"/>
        <w:rPr>
          <w:b w:val="0"/>
          <w:bCs/>
          <w:iCs/>
        </w:rPr>
      </w:pPr>
      <w:r>
        <w:rPr>
          <w:bCs/>
          <w:iCs/>
        </w:rPr>
        <w:t>Call signs and station identification</w:t>
      </w:r>
    </w:p>
    <w:p w14:paraId="1ED26228" w14:textId="014B6522" w:rsidR="000C30A2" w:rsidRDefault="000C30A2" w:rsidP="000C30A2">
      <w:r>
        <w:t xml:space="preserve">A call sign is a series of letters and numbers that provides a unique designation for a transmitter station. </w:t>
      </w:r>
      <w:r w:rsidR="00F018BC">
        <w:t>It</w:t>
      </w:r>
      <w:r>
        <w:t xml:space="preserve"> identif</w:t>
      </w:r>
      <w:r w:rsidR="00F018BC">
        <w:t>ies</w:t>
      </w:r>
      <w:r>
        <w:t xml:space="preserve"> a station for establishing and maintaining communications. </w:t>
      </w:r>
    </w:p>
    <w:p w14:paraId="080C62CA" w14:textId="77777777" w:rsidR="000C30A2" w:rsidRDefault="000C30A2" w:rsidP="000C30A2">
      <w:r w:rsidRPr="001B32EC">
        <w:t>Article 19 (Identification of stations) of the</w:t>
      </w:r>
      <w:r>
        <w:t xml:space="preserve"> International Telecommunication Union (</w:t>
      </w:r>
      <w:r w:rsidRPr="001B32EC">
        <w:t>ITU</w:t>
      </w:r>
      <w:r>
        <w:t>)</w:t>
      </w:r>
      <w:r w:rsidRPr="001B32EC">
        <w:t xml:space="preserve"> Radio Regulations sets out the requirements for the identification of stations used for transmission of a range of services. These requirements include options for call sign structure, a table of allocations for each member country and a template.</w:t>
      </w:r>
      <w:r>
        <w:t xml:space="preserve"> </w:t>
      </w:r>
    </w:p>
    <w:p w14:paraId="5E369315" w14:textId="4EFB487D" w:rsidR="000C30A2" w:rsidRPr="00864E30" w:rsidRDefault="000C30A2" w:rsidP="001170B7">
      <w:pPr>
        <w:pStyle w:val="Paragraph"/>
      </w:pPr>
      <w:r w:rsidRPr="00864E30">
        <w:t>The ITU Radio Regulations provide for several permitted ways to identify a station</w:t>
      </w:r>
      <w:r w:rsidR="00F018BC">
        <w:t>.</w:t>
      </w:r>
      <w:r>
        <w:rPr>
          <w:rStyle w:val="FootnoteReference"/>
          <w:color w:val="000000" w:themeColor="text1"/>
        </w:rPr>
        <w:footnoteReference w:id="8"/>
      </w:r>
      <w:r w:rsidRPr="00864E30">
        <w:t xml:space="preserve"> For example, when operating a maritime station on 27 MHz and VHF maritime mobile band frequencies only, an operator must use a form of identification that clearly identifies the station. This could be the call sign assigned by the ACMA, but it could also be the name of the vessel</w:t>
      </w:r>
      <w:r w:rsidR="006C6CA8">
        <w:t>,</w:t>
      </w:r>
      <w:r w:rsidRPr="00864E30">
        <w:t xml:space="preserve"> the operator or organisation, or a Maritime Mobile </w:t>
      </w:r>
      <w:r w:rsidRPr="00864E30">
        <w:lastRenderedPageBreak/>
        <w:t xml:space="preserve">Service Identity. The citizen band radio service (CBRS) is not a service for which transmissions are required to carry identification signals; however, </w:t>
      </w:r>
      <w:r w:rsidR="006C6CA8">
        <w:t>we</w:t>
      </w:r>
      <w:r w:rsidRPr="00864E30">
        <w:t xml:space="preserve"> encourage CBRS operators to use an appropriate form of identification when making transmissions.</w:t>
      </w:r>
    </w:p>
    <w:p w14:paraId="6EB57334" w14:textId="1918CC9D" w:rsidR="000C30A2" w:rsidRPr="00864E30" w:rsidRDefault="000C30A2" w:rsidP="000C30A2">
      <w:pPr>
        <w:rPr>
          <w:rFonts w:cs="Arial"/>
          <w:color w:val="000000" w:themeColor="text1"/>
        </w:rPr>
      </w:pPr>
      <w:r w:rsidRPr="00864E30">
        <w:rPr>
          <w:rFonts w:cs="Arial"/>
          <w:color w:val="000000" w:themeColor="text1"/>
        </w:rPr>
        <w:t>An outpost licensee is currently assigned a call sign</w:t>
      </w:r>
      <w:r w:rsidR="006C6CA8">
        <w:rPr>
          <w:rFonts w:cs="Arial"/>
          <w:color w:val="000000" w:themeColor="text1"/>
        </w:rPr>
        <w:t xml:space="preserve"> </w:t>
      </w:r>
      <w:r w:rsidR="006C6CA8" w:rsidRPr="00864E30">
        <w:rPr>
          <w:rFonts w:cs="Arial"/>
          <w:color w:val="000000" w:themeColor="text1"/>
        </w:rPr>
        <w:t>by the ACMA</w:t>
      </w:r>
      <w:r w:rsidRPr="00864E30">
        <w:rPr>
          <w:rFonts w:cs="Arial"/>
          <w:color w:val="000000" w:themeColor="text1"/>
        </w:rPr>
        <w:t xml:space="preserve"> for use at the time that their outpost licence is issued. The outpost LCD requires outpost station operators to transmit their call signs at the start and end of each transmission, or series of transmissions. </w:t>
      </w:r>
    </w:p>
    <w:p w14:paraId="42118548" w14:textId="676E5768" w:rsidR="000C30A2" w:rsidRPr="00864E30" w:rsidRDefault="000C30A2" w:rsidP="000C30A2">
      <w:pPr>
        <w:rPr>
          <w:rFonts w:cs="Arial"/>
          <w:color w:val="000000" w:themeColor="text1"/>
        </w:rPr>
      </w:pPr>
      <w:r w:rsidRPr="00864E30">
        <w:rPr>
          <w:rFonts w:cs="Arial"/>
          <w:color w:val="000000" w:themeColor="text1"/>
        </w:rPr>
        <w:t xml:space="preserve">Under </w:t>
      </w:r>
      <w:r w:rsidR="006C6CA8">
        <w:rPr>
          <w:rFonts w:cs="Arial"/>
          <w:color w:val="000000" w:themeColor="text1"/>
        </w:rPr>
        <w:t>O</w:t>
      </w:r>
      <w:r w:rsidRPr="00864E30">
        <w:rPr>
          <w:rFonts w:cs="Arial"/>
          <w:color w:val="000000" w:themeColor="text1"/>
        </w:rPr>
        <w:t xml:space="preserve">ption C, an outpost </w:t>
      </w:r>
      <w:r>
        <w:rPr>
          <w:rFonts w:cs="Arial"/>
          <w:color w:val="000000" w:themeColor="text1"/>
        </w:rPr>
        <w:t xml:space="preserve">station </w:t>
      </w:r>
      <w:r w:rsidRPr="00864E30">
        <w:rPr>
          <w:rFonts w:cs="Arial"/>
          <w:color w:val="000000" w:themeColor="text1"/>
        </w:rPr>
        <w:t xml:space="preserve">user could choose to use alternative forms of station identification, rather than a call sign. Other forms of station identification that may be used to adequately identify the station could include the operator’s name, </w:t>
      </w:r>
      <w:proofErr w:type="spellStart"/>
      <w:r w:rsidRPr="00864E30">
        <w:rPr>
          <w:rFonts w:cs="Arial"/>
          <w:color w:val="000000" w:themeColor="text1"/>
        </w:rPr>
        <w:t>SelCall</w:t>
      </w:r>
      <w:proofErr w:type="spellEnd"/>
      <w:r w:rsidRPr="00864E30">
        <w:rPr>
          <w:rFonts w:cs="Arial"/>
          <w:color w:val="000000" w:themeColor="text1"/>
        </w:rPr>
        <w:t xml:space="preserve"> number</w:t>
      </w:r>
      <w:r>
        <w:rPr>
          <w:rStyle w:val="FootnoteReference"/>
          <w:rFonts w:cs="Arial"/>
          <w:color w:val="000000" w:themeColor="text1"/>
        </w:rPr>
        <w:footnoteReference w:id="9"/>
      </w:r>
      <w:r w:rsidRPr="00864E30">
        <w:rPr>
          <w:rFonts w:cs="Arial"/>
          <w:color w:val="000000" w:themeColor="text1"/>
        </w:rPr>
        <w:t xml:space="preserve">, vehicle registration number, or physical location. This arrangement would provide flexibility for the </w:t>
      </w:r>
      <w:r>
        <w:rPr>
          <w:rFonts w:cs="Arial"/>
          <w:color w:val="000000" w:themeColor="text1"/>
        </w:rPr>
        <w:t>user</w:t>
      </w:r>
      <w:r w:rsidRPr="00864E30">
        <w:rPr>
          <w:rFonts w:cs="Arial"/>
          <w:color w:val="000000" w:themeColor="text1"/>
        </w:rPr>
        <w:t xml:space="preserve"> while still meeting the requirement to identify transmissions from outpost stations.</w:t>
      </w:r>
    </w:p>
    <w:p w14:paraId="3532EA82" w14:textId="77777777" w:rsidR="000C30A2" w:rsidRPr="00864E30" w:rsidRDefault="000C30A2" w:rsidP="000C30A2">
      <w:pPr>
        <w:pStyle w:val="Tableheaderrow"/>
        <w:rPr>
          <w:bCs/>
          <w:iCs/>
        </w:rPr>
      </w:pPr>
      <w:r w:rsidRPr="00667A84">
        <w:rPr>
          <w:bCs/>
          <w:iCs/>
        </w:rPr>
        <w:t>Managing the risk of interference</w:t>
      </w:r>
    </w:p>
    <w:p w14:paraId="7D5B3E69" w14:textId="28780698" w:rsidR="000C30A2" w:rsidRPr="00864E30" w:rsidRDefault="000C30A2" w:rsidP="000C30A2">
      <w:pPr>
        <w:rPr>
          <w:rFonts w:cs="Arial"/>
          <w:color w:val="000000" w:themeColor="text1"/>
        </w:rPr>
      </w:pPr>
      <w:bookmarkStart w:id="31" w:name="_Hlk56540049"/>
      <w:r w:rsidRPr="00864E30">
        <w:rPr>
          <w:rFonts w:cs="Arial"/>
          <w:color w:val="000000" w:themeColor="text1"/>
        </w:rPr>
        <w:t xml:space="preserve">The main difference between apparatus licensing and class licensing is that apparatus licensing relies on individual licences being issued to </w:t>
      </w:r>
      <w:r w:rsidR="006C6CA8">
        <w:rPr>
          <w:rFonts w:cs="Arial"/>
          <w:color w:val="000000" w:themeColor="text1"/>
        </w:rPr>
        <w:t>people</w:t>
      </w:r>
      <w:r w:rsidR="006C6CA8" w:rsidRPr="00864E30">
        <w:rPr>
          <w:rFonts w:cs="Arial"/>
          <w:color w:val="000000" w:themeColor="text1"/>
        </w:rPr>
        <w:t xml:space="preserve"> </w:t>
      </w:r>
      <w:r w:rsidR="006C6CA8">
        <w:rPr>
          <w:rFonts w:cs="Arial"/>
          <w:color w:val="000000" w:themeColor="text1"/>
        </w:rPr>
        <w:t>before</w:t>
      </w:r>
      <w:r w:rsidRPr="00864E30">
        <w:rPr>
          <w:rFonts w:cs="Arial"/>
          <w:color w:val="000000" w:themeColor="text1"/>
        </w:rPr>
        <w:t xml:space="preserve"> operation, </w:t>
      </w:r>
      <w:r w:rsidR="006C6CA8">
        <w:rPr>
          <w:rFonts w:cs="Arial"/>
          <w:color w:val="000000" w:themeColor="text1"/>
        </w:rPr>
        <w:t>which</w:t>
      </w:r>
      <w:r w:rsidRPr="00864E30">
        <w:rPr>
          <w:rFonts w:cs="Arial"/>
          <w:color w:val="000000" w:themeColor="text1"/>
        </w:rPr>
        <w:t xml:space="preserve"> enables greater regulatory oversight of licensees where necessary (for example, to support the management of the risk of interference). We do not consider such oversight to be necessary for users of outpost licences, given the approach to managing the risk of interference will remain effectively unchanged.</w:t>
      </w:r>
    </w:p>
    <w:p w14:paraId="30764366" w14:textId="131A34B6" w:rsidR="000C30A2" w:rsidRPr="00864E30" w:rsidRDefault="000C30A2" w:rsidP="000C30A2">
      <w:pPr>
        <w:rPr>
          <w:rFonts w:cs="Arial"/>
          <w:color w:val="000000" w:themeColor="text1"/>
        </w:rPr>
      </w:pPr>
      <w:r w:rsidRPr="00864E30">
        <w:rPr>
          <w:rFonts w:cs="Arial"/>
          <w:color w:val="000000" w:themeColor="text1"/>
        </w:rPr>
        <w:t xml:space="preserve">All radiocommunications transmitters may pose the risk of interference to other devices and services. For safety-critical services such as those </w:t>
      </w:r>
      <w:r w:rsidR="006C6CA8">
        <w:rPr>
          <w:rFonts w:cs="Arial"/>
          <w:color w:val="000000" w:themeColor="text1"/>
        </w:rPr>
        <w:t>provided</w:t>
      </w:r>
      <w:r w:rsidR="006C6CA8" w:rsidRPr="00864E30">
        <w:rPr>
          <w:rFonts w:cs="Arial"/>
          <w:color w:val="000000" w:themeColor="text1"/>
        </w:rPr>
        <w:t xml:space="preserve"> </w:t>
      </w:r>
      <w:r w:rsidRPr="00864E30">
        <w:rPr>
          <w:rFonts w:cs="Arial"/>
          <w:color w:val="000000" w:themeColor="text1"/>
        </w:rPr>
        <w:t xml:space="preserve">by the RFDS, apparatus licensing arrangements </w:t>
      </w:r>
      <w:r w:rsidR="006C6CA8">
        <w:rPr>
          <w:rFonts w:cs="Arial"/>
          <w:color w:val="000000" w:themeColor="text1"/>
        </w:rPr>
        <w:t>enable</w:t>
      </w:r>
      <w:r w:rsidRPr="00864E30">
        <w:rPr>
          <w:rFonts w:cs="Arial"/>
          <w:color w:val="000000" w:themeColor="text1"/>
        </w:rPr>
        <w:t xml:space="preserve">, through frequency coordination and registration, a mechanism to manage the risk of interference that other spectrum users may pose to those services. </w:t>
      </w:r>
    </w:p>
    <w:p w14:paraId="44046045" w14:textId="77777777" w:rsidR="000C30A2" w:rsidRPr="00864E30" w:rsidRDefault="000C30A2" w:rsidP="000C30A2">
      <w:pPr>
        <w:rPr>
          <w:rFonts w:cs="Arial"/>
          <w:color w:val="000000" w:themeColor="text1"/>
        </w:rPr>
      </w:pPr>
      <w:r w:rsidRPr="00864E30">
        <w:rPr>
          <w:rFonts w:cs="Arial"/>
          <w:color w:val="000000" w:themeColor="text1"/>
        </w:rPr>
        <w:t xml:space="preserve">Outpost stations authorised under a class licence as proposed under Option C would see users manage the interference potential of outpost stations on a ‘no interference, no protection’ basis that is typically </w:t>
      </w:r>
      <w:r>
        <w:rPr>
          <w:rFonts w:cs="Arial"/>
          <w:color w:val="000000" w:themeColor="text1"/>
        </w:rPr>
        <w:t>appropriate for devices operated</w:t>
      </w:r>
      <w:r w:rsidRPr="00864E30">
        <w:rPr>
          <w:rFonts w:cs="Arial"/>
          <w:color w:val="000000" w:themeColor="text1"/>
        </w:rPr>
        <w:t xml:space="preserve"> under a class licence. This means that a person is authorised to operate an outpost station under the class licence on the condition that it does not cause interference to other devices and services, and will generally not be afforded any protection, should it experience interference. </w:t>
      </w:r>
    </w:p>
    <w:p w14:paraId="76EE0417" w14:textId="77777777" w:rsidR="000C30A2" w:rsidRPr="00864E30" w:rsidRDefault="000C30A2" w:rsidP="000C30A2">
      <w:pPr>
        <w:rPr>
          <w:rFonts w:cs="Arial"/>
          <w:color w:val="000000" w:themeColor="text1"/>
        </w:rPr>
      </w:pPr>
      <w:r w:rsidRPr="00864E30">
        <w:rPr>
          <w:rFonts w:cs="Arial"/>
          <w:color w:val="000000" w:themeColor="text1"/>
        </w:rPr>
        <w:t>Non-assigned outpost licensees currently operate on shared frequencies and are similarly afforded no protection from interference. Our view is that under Option C, management of the risk of interference will remain largely unchanged from the current arrangements.</w:t>
      </w:r>
    </w:p>
    <w:p w14:paraId="241FDC12" w14:textId="13F43FA8" w:rsidR="000C30A2" w:rsidRPr="00864E30" w:rsidRDefault="000C30A2" w:rsidP="000C30A2">
      <w:pPr>
        <w:rPr>
          <w:rFonts w:cs="Arial"/>
          <w:color w:val="000000" w:themeColor="text1"/>
        </w:rPr>
      </w:pPr>
      <w:r w:rsidRPr="00864E30">
        <w:rPr>
          <w:rFonts w:cs="Arial"/>
          <w:color w:val="000000" w:themeColor="text1"/>
        </w:rPr>
        <w:t>Some non-assigned outpost licences are held by police and emergency services</w:t>
      </w:r>
      <w:r w:rsidR="003F62B8">
        <w:rPr>
          <w:rFonts w:cs="Arial"/>
          <w:color w:val="000000" w:themeColor="text1"/>
        </w:rPr>
        <w:t>. They</w:t>
      </w:r>
      <w:r w:rsidR="003F62B8" w:rsidRPr="00864E30">
        <w:rPr>
          <w:rFonts w:cs="Arial"/>
          <w:color w:val="000000" w:themeColor="text1"/>
        </w:rPr>
        <w:t xml:space="preserve"> </w:t>
      </w:r>
      <w:r w:rsidRPr="00864E30">
        <w:rPr>
          <w:rFonts w:cs="Arial"/>
          <w:color w:val="000000" w:themeColor="text1"/>
        </w:rPr>
        <w:t xml:space="preserve">may consider protection from interference is necessary for their use of the outpost service. Although the ACMA currently only issues assigned outpost licences to the RFDS, </w:t>
      </w:r>
      <w:r w:rsidR="003F62B8">
        <w:rPr>
          <w:rFonts w:cs="Arial"/>
          <w:color w:val="000000" w:themeColor="text1"/>
        </w:rPr>
        <w:t>we could</w:t>
      </w:r>
      <w:r w:rsidRPr="00864E30">
        <w:rPr>
          <w:rFonts w:cs="Arial"/>
          <w:color w:val="000000" w:themeColor="text1"/>
        </w:rPr>
        <w:t xml:space="preserve"> issue assigned outpost licences to other applicants should additional protections be necessary.</w:t>
      </w:r>
    </w:p>
    <w:p w14:paraId="754A5FCC" w14:textId="77777777" w:rsidR="000C30A2" w:rsidRDefault="000C30A2" w:rsidP="00372F8E">
      <w:pPr>
        <w:pStyle w:val="Heading2"/>
        <w:keepLines/>
      </w:pPr>
      <w:bookmarkStart w:id="32" w:name="_Toc59453524"/>
      <w:bookmarkStart w:id="33" w:name="_Toc61944507"/>
      <w:bookmarkEnd w:id="31"/>
      <w:r>
        <w:lastRenderedPageBreak/>
        <w:t>Comparison of options</w:t>
      </w:r>
      <w:bookmarkEnd w:id="32"/>
      <w:bookmarkEnd w:id="33"/>
    </w:p>
    <w:p w14:paraId="414A1D54" w14:textId="77777777" w:rsidR="000C30A2" w:rsidRPr="00680BA6" w:rsidRDefault="000C30A2" w:rsidP="00372F8E">
      <w:pPr>
        <w:pStyle w:val="Paragraph"/>
        <w:keepNext/>
        <w:keepLines/>
      </w:pPr>
      <w:r w:rsidRPr="00680BA6">
        <w:t xml:space="preserve">Option C is the ACMA’s preferred approach. </w:t>
      </w:r>
    </w:p>
    <w:p w14:paraId="5354020C" w14:textId="7E509EA6" w:rsidR="000C30A2" w:rsidRDefault="000C30A2" w:rsidP="00372F8E">
      <w:pPr>
        <w:pStyle w:val="Paragraph"/>
        <w:keepNext/>
        <w:keepLines/>
      </w:pPr>
      <w:r>
        <w:t xml:space="preserve">The benefit and utility derived by outpost station operators is unaffected across all </w:t>
      </w:r>
      <w:r w:rsidR="003F62B8">
        <w:t xml:space="preserve">3 </w:t>
      </w:r>
      <w:r>
        <w:t xml:space="preserve">options. While </w:t>
      </w:r>
      <w:r w:rsidR="003B4DD1">
        <w:t>o</w:t>
      </w:r>
      <w:r>
        <w:t xml:space="preserve">ptions B and C reduce </w:t>
      </w:r>
      <w:r w:rsidR="003F62B8">
        <w:t xml:space="preserve">the </w:t>
      </w:r>
      <w:r>
        <w:t xml:space="preserve">regulatory burden to varying degrees, Option C provides a better regulatory outcome at a much lower cost for users and the ACMA. </w:t>
      </w:r>
    </w:p>
    <w:p w14:paraId="58DF5ABA" w14:textId="34BF222D" w:rsidR="000C30A2" w:rsidRDefault="000C30A2" w:rsidP="000C30A2">
      <w:pPr>
        <w:pStyle w:val="Paragraph"/>
      </w:pPr>
      <w:r>
        <w:t>Option C preserves the current operational utility for non-assigned outpost station operators, as the conditions in the draft class licence largely reflect those in the outpost LCD that currently apply to non-assigned outpost stations</w:t>
      </w:r>
      <w:r w:rsidR="003F62B8">
        <w:t xml:space="preserve">. It also </w:t>
      </w:r>
      <w:r>
        <w:t>remov</w:t>
      </w:r>
      <w:r w:rsidR="003F62B8">
        <w:t xml:space="preserve">es </w:t>
      </w:r>
      <w:r>
        <w:t xml:space="preserve">conditions that reflect established practices by the outpost community but are not relevant to </w:t>
      </w:r>
      <w:r w:rsidR="003F62B8">
        <w:t>our</w:t>
      </w:r>
      <w:r>
        <w:t xml:space="preserve"> spectrum management role, such as requiring the use of call signs. The language in the draft class licence is also simplified and streamlined, making it clearer when and how a class licensed outpost station may be operated.</w:t>
      </w:r>
    </w:p>
    <w:p w14:paraId="0BA87FA5" w14:textId="77777777" w:rsidR="000C30A2" w:rsidRDefault="000C30A2" w:rsidP="000C30A2">
      <w:pPr>
        <w:pStyle w:val="Paragraph"/>
      </w:pPr>
      <w:r>
        <w:t>Consistent with efficient spectrum management, Option C r</w:t>
      </w:r>
      <w:r w:rsidRPr="0043532F">
        <w:t>emov</w:t>
      </w:r>
      <w:r>
        <w:t>es</w:t>
      </w:r>
      <w:r w:rsidRPr="0043532F">
        <w:t xml:space="preserve"> the financial impost </w:t>
      </w:r>
      <w:r>
        <w:t xml:space="preserve">on licensees </w:t>
      </w:r>
      <w:r w:rsidRPr="0043532F">
        <w:t xml:space="preserve">and </w:t>
      </w:r>
      <w:r>
        <w:t xml:space="preserve">eliminates the administrative tasks and regulatory oversight for the ACMA </w:t>
      </w:r>
      <w:r w:rsidRPr="0043532F">
        <w:t>associated with apparatus licensing</w:t>
      </w:r>
      <w:r>
        <w:t xml:space="preserve">. Option C is compatible with the Australian Government’s Deregulation Agenda, which seeks to </w:t>
      </w:r>
      <w:r w:rsidRPr="00906413">
        <w:t>reduce costs on individuals, businesses and the wider community.</w:t>
      </w:r>
    </w:p>
    <w:p w14:paraId="5A3589E6" w14:textId="29D5B58E" w:rsidR="000C30A2" w:rsidRPr="00906413" w:rsidRDefault="000C30A2" w:rsidP="000C30A2">
      <w:pPr>
        <w:pStyle w:val="Paragraph"/>
      </w:pPr>
      <w:r>
        <w:t>Noting the significant reduction in regulatory action associated with the class licensing framework, we consider that under Option C</w:t>
      </w:r>
      <w:r w:rsidR="003F62B8">
        <w:t>,</w:t>
      </w:r>
      <w:r>
        <w:t xml:space="preserve"> it would no longer be necessary to specify common licence conditions </w:t>
      </w:r>
      <w:r w:rsidR="003F62B8">
        <w:t xml:space="preserve">that </w:t>
      </w:r>
      <w:r>
        <w:t>apply to apparatus licenced outpost stations (</w:t>
      </w:r>
      <w:r w:rsidR="003F62B8">
        <w:t>that is,</w:t>
      </w:r>
      <w:r>
        <w:t xml:space="preserve"> RFDS stations), so the outpost LCD can be repealed. As assigned outpost stations operated by the RFDS will continue to be authorised under apparatus licences, </w:t>
      </w:r>
      <w:r w:rsidR="003F62B8">
        <w:t xml:space="preserve">any </w:t>
      </w:r>
      <w:r>
        <w:t>special conditions will be specified in those apparatus licences directly in accordance with paragraph 107(1)(g) or section 111 of the Act.</w:t>
      </w:r>
    </w:p>
    <w:p w14:paraId="52F815CB" w14:textId="77777777" w:rsidR="000C30A2" w:rsidRPr="00FB6A7C" w:rsidRDefault="000C30A2" w:rsidP="000C30A2">
      <w:pPr>
        <w:pStyle w:val="Heading2"/>
      </w:pPr>
      <w:bookmarkStart w:id="34" w:name="_Toc59453525"/>
      <w:bookmarkStart w:id="35" w:name="_Toc61944508"/>
      <w:r>
        <w:t>Proposed instrument for comment</w:t>
      </w:r>
      <w:bookmarkEnd w:id="34"/>
      <w:bookmarkEnd w:id="35"/>
    </w:p>
    <w:p w14:paraId="1268F367" w14:textId="79B83B10" w:rsidR="000C30A2" w:rsidRDefault="000C30A2" w:rsidP="000C30A2">
      <w:pPr>
        <w:pStyle w:val="Paragraph"/>
      </w:pPr>
      <w:r>
        <w:t xml:space="preserve">To implement Option C, </w:t>
      </w:r>
      <w:r w:rsidR="00D0159A">
        <w:t>we</w:t>
      </w:r>
      <w:r>
        <w:t xml:space="preserve"> propose to make the </w:t>
      </w:r>
      <w:r w:rsidRPr="000E52CC">
        <w:t>Radiocommunications (Outpost Station) Class Licence 2021</w:t>
      </w:r>
      <w:r>
        <w:t xml:space="preserve"> to authorise the operation of outpost stations operated by non-assigned outpost licensees. </w:t>
      </w:r>
      <w:bookmarkStart w:id="36" w:name="_Hlk59025513"/>
      <w:r w:rsidR="003F62B8">
        <w:t>A</w:t>
      </w:r>
      <w:r>
        <w:t xml:space="preserve"> draft class licence </w:t>
      </w:r>
      <w:r w:rsidR="003F62B8">
        <w:t xml:space="preserve">is available alongside this consultation paper. </w:t>
      </w:r>
      <w:r>
        <w:t xml:space="preserve"> </w:t>
      </w:r>
      <w:bookmarkEnd w:id="36"/>
    </w:p>
    <w:p w14:paraId="5F4E640C" w14:textId="77777777" w:rsidR="000C30A2" w:rsidRDefault="000C30A2" w:rsidP="000C30A2">
      <w:bookmarkStart w:id="37" w:name="_Hlk59025209"/>
      <w:r>
        <w:t xml:space="preserve">Under the Modernisation Act, </w:t>
      </w:r>
      <w:bookmarkEnd w:id="37"/>
      <w:r>
        <w:t>future instruments</w:t>
      </w:r>
      <w:r w:rsidRPr="00A845CF">
        <w:t xml:space="preserve"> </w:t>
      </w:r>
      <w:r>
        <w:t>made by the ACMA, including class licences, would be made under the Act as amended. The date of proclamation</w:t>
      </w:r>
      <w:r>
        <w:rPr>
          <w:rStyle w:val="FootnoteReference"/>
        </w:rPr>
        <w:footnoteReference w:id="10"/>
      </w:r>
      <w:r>
        <w:t xml:space="preserve"> for the Modernisation Act may impact upon some of the issues mentioned in this paper.</w:t>
      </w:r>
    </w:p>
    <w:p w14:paraId="5D6111F3" w14:textId="37F87EC5" w:rsidR="000C30A2" w:rsidRDefault="000C30A2" w:rsidP="000C30A2">
      <w:pPr>
        <w:pStyle w:val="Paragraph"/>
      </w:pPr>
      <w:r>
        <w:t xml:space="preserve">As part of the implementation approach for Option C, </w:t>
      </w:r>
      <w:r w:rsidR="00D0159A">
        <w:t>we</w:t>
      </w:r>
      <w:r>
        <w:t xml:space="preserve"> also propose to repeal the outpost LCD, </w:t>
      </w:r>
      <w:bookmarkStart w:id="38" w:name="_Hlk57042923"/>
      <w:r>
        <w:t xml:space="preserve">with conditions specific to assigned outpost licences specified in individual outpost apparatus licences </w:t>
      </w:r>
      <w:bookmarkStart w:id="39" w:name="_Hlk63240139"/>
      <w:r>
        <w:t xml:space="preserve">pursuant to paragraph 107(1)(g) or section 111 of the Act instead.   </w:t>
      </w:r>
    </w:p>
    <w:bookmarkEnd w:id="39"/>
    <w:p w14:paraId="6FFA7F33" w14:textId="77777777" w:rsidR="000C30A2" w:rsidRDefault="000C30A2" w:rsidP="000C30A2">
      <w:pPr>
        <w:pStyle w:val="Paragraph"/>
      </w:pPr>
    </w:p>
    <w:p w14:paraId="77EEC541" w14:textId="77777777" w:rsidR="000C30A2" w:rsidRDefault="000C30A2" w:rsidP="000C30A2">
      <w:pPr>
        <w:pStyle w:val="Heading1"/>
      </w:pPr>
      <w:bookmarkStart w:id="40" w:name="_Toc59453526"/>
      <w:bookmarkStart w:id="41" w:name="_Toc61944509"/>
      <w:bookmarkEnd w:id="38"/>
      <w:r>
        <w:lastRenderedPageBreak/>
        <w:t>Invitation to comment</w:t>
      </w:r>
      <w:bookmarkEnd w:id="40"/>
      <w:bookmarkEnd w:id="41"/>
    </w:p>
    <w:p w14:paraId="1E124707" w14:textId="77777777" w:rsidR="000C30A2" w:rsidRDefault="000C30A2" w:rsidP="000C30A2">
      <w:pPr>
        <w:pStyle w:val="Heading2"/>
      </w:pPr>
      <w:bookmarkStart w:id="42" w:name="_Toc433122131"/>
      <w:bookmarkStart w:id="43" w:name="_Toc348105637"/>
      <w:bookmarkStart w:id="44" w:name="_Toc300909556"/>
      <w:bookmarkStart w:id="45" w:name="_Toc298924673"/>
      <w:bookmarkStart w:id="46" w:name="_Toc59453527"/>
      <w:bookmarkStart w:id="47" w:name="_Toc61944510"/>
      <w:bookmarkStart w:id="48" w:name="_Toc348105638"/>
      <w:bookmarkStart w:id="49" w:name="_Toc300909557"/>
      <w:bookmarkStart w:id="50" w:name="_Toc298924674"/>
      <w:bookmarkStart w:id="51" w:name="_Toc274296357"/>
      <w:r>
        <w:t>Making a submission</w:t>
      </w:r>
      <w:bookmarkEnd w:id="42"/>
      <w:bookmarkEnd w:id="43"/>
      <w:bookmarkEnd w:id="44"/>
      <w:bookmarkEnd w:id="45"/>
      <w:bookmarkEnd w:id="46"/>
      <w:bookmarkEnd w:id="47"/>
    </w:p>
    <w:p w14:paraId="3E3B871F" w14:textId="77777777" w:rsidR="000C30A2" w:rsidRDefault="000C30A2" w:rsidP="000C30A2">
      <w:r>
        <w:t xml:space="preserve">The ACMA invites comments on the issues set out in this consultation paper. </w:t>
      </w:r>
    </w:p>
    <w:p w14:paraId="0CBB9737" w14:textId="77777777" w:rsidR="000C30A2" w:rsidRDefault="00E8396F" w:rsidP="000C30A2">
      <w:pPr>
        <w:pStyle w:val="Bulletlevel1"/>
      </w:pPr>
      <w:hyperlink r:id="rId32" w:history="1">
        <w:r w:rsidR="000C30A2">
          <w:rPr>
            <w:rStyle w:val="Hyperlink"/>
          </w:rPr>
          <w:t>Online submissions</w:t>
        </w:r>
      </w:hyperlink>
      <w:r w:rsidR="000C30A2">
        <w:t xml:space="preserve"> can be made by </w:t>
      </w:r>
      <w:r w:rsidR="000C30A2" w:rsidRPr="0070133D">
        <w:t>uploading</w:t>
      </w:r>
      <w:r w:rsidR="000C30A2">
        <w:t xml:space="preserve"> a document. Submissions in PDF, Microsoft Word or Rich Text Format are preferred.</w:t>
      </w:r>
    </w:p>
    <w:p w14:paraId="13A4E27D" w14:textId="77777777" w:rsidR="000C30A2" w:rsidRDefault="000C30A2" w:rsidP="000C30A2">
      <w:pPr>
        <w:pStyle w:val="Bulletlevel1"/>
      </w:pPr>
      <w:r>
        <w:t xml:space="preserve">Submissions by post can be sent to: </w:t>
      </w:r>
    </w:p>
    <w:p w14:paraId="37919028" w14:textId="77777777" w:rsidR="000C30A2" w:rsidRPr="002F0F3A" w:rsidRDefault="000C30A2" w:rsidP="000C30A2">
      <w:pPr>
        <w:tabs>
          <w:tab w:val="num" w:pos="295"/>
        </w:tabs>
        <w:spacing w:after="0"/>
        <w:ind w:left="295"/>
        <w:rPr>
          <w:szCs w:val="20"/>
        </w:rPr>
      </w:pPr>
      <w:r w:rsidRPr="002F0F3A">
        <w:rPr>
          <w:szCs w:val="20"/>
        </w:rPr>
        <w:t>The Manager</w:t>
      </w:r>
    </w:p>
    <w:p w14:paraId="66541197" w14:textId="77777777" w:rsidR="000C30A2" w:rsidRPr="002F0F3A" w:rsidRDefault="000C30A2" w:rsidP="000C30A2">
      <w:pPr>
        <w:spacing w:after="0"/>
        <w:ind w:left="295"/>
        <w:rPr>
          <w:szCs w:val="20"/>
        </w:rPr>
      </w:pPr>
      <w:r w:rsidRPr="002F0F3A">
        <w:rPr>
          <w:szCs w:val="20"/>
        </w:rPr>
        <w:t>Spectrum Licensing Policy</w:t>
      </w:r>
    </w:p>
    <w:p w14:paraId="4233BD80" w14:textId="77777777" w:rsidR="000C30A2" w:rsidRPr="002F0F3A" w:rsidRDefault="000C30A2" w:rsidP="000C30A2">
      <w:pPr>
        <w:spacing w:after="0"/>
        <w:ind w:left="295"/>
        <w:rPr>
          <w:szCs w:val="20"/>
        </w:rPr>
      </w:pPr>
      <w:r w:rsidRPr="002F0F3A">
        <w:rPr>
          <w:szCs w:val="20"/>
        </w:rPr>
        <w:t>Australian Communications and Media Authority</w:t>
      </w:r>
    </w:p>
    <w:p w14:paraId="55F9A3B3" w14:textId="77777777" w:rsidR="000C30A2" w:rsidRPr="002F0F3A" w:rsidRDefault="000C30A2" w:rsidP="000C30A2">
      <w:pPr>
        <w:spacing w:after="0"/>
        <w:ind w:left="295"/>
        <w:rPr>
          <w:szCs w:val="20"/>
        </w:rPr>
      </w:pPr>
      <w:r w:rsidRPr="002F0F3A">
        <w:rPr>
          <w:szCs w:val="20"/>
        </w:rPr>
        <w:t>PO Box 78</w:t>
      </w:r>
    </w:p>
    <w:p w14:paraId="6509FFD0" w14:textId="77777777" w:rsidR="000C30A2" w:rsidRDefault="000C30A2" w:rsidP="000C30A2">
      <w:pPr>
        <w:ind w:left="295"/>
        <w:rPr>
          <w:szCs w:val="20"/>
        </w:rPr>
      </w:pPr>
      <w:r w:rsidRPr="002F0F3A">
        <w:rPr>
          <w:szCs w:val="20"/>
        </w:rPr>
        <w:t>Belconnen ACT 2616</w:t>
      </w:r>
    </w:p>
    <w:p w14:paraId="4BA7BD15" w14:textId="6F64D593" w:rsidR="000C30A2" w:rsidRDefault="000C30A2" w:rsidP="000C30A2">
      <w:r w:rsidRPr="00A82A7C">
        <w:t xml:space="preserve">The closing date for submissions is COB, </w:t>
      </w:r>
      <w:r w:rsidR="00862540">
        <w:t>2 April 2021</w:t>
      </w:r>
      <w:r w:rsidRPr="00A82A7C">
        <w:t>.</w:t>
      </w:r>
    </w:p>
    <w:p w14:paraId="7B1FAA2B" w14:textId="77777777" w:rsidR="00E8396F" w:rsidRDefault="000C30A2" w:rsidP="00E8396F">
      <w:pPr>
        <w:rPr>
          <w:szCs w:val="20"/>
        </w:rPr>
      </w:pPr>
      <w:r>
        <w:t xml:space="preserve">Consultation enquiries can be emailed </w:t>
      </w:r>
      <w:r>
        <w:rPr>
          <w:szCs w:val="20"/>
        </w:rPr>
        <w:t xml:space="preserve">to </w:t>
      </w:r>
      <w:bookmarkStart w:id="52" w:name="_Hlk63239955"/>
      <w:r w:rsidR="00972B5B">
        <w:fldChar w:fldCharType="begin"/>
      </w:r>
      <w:r w:rsidR="00972B5B">
        <w:instrText xml:space="preserve"> HYPERLINK "mailto:spectrumlicensingpolicy@acma.gov.au" </w:instrText>
      </w:r>
      <w:r w:rsidR="00972B5B">
        <w:fldChar w:fldCharType="separate"/>
      </w:r>
      <w:r w:rsidR="00972B5B" w:rsidRPr="00200D34">
        <w:rPr>
          <w:rStyle w:val="Hyperlink"/>
        </w:rPr>
        <w:t>spectrumlicensingpolicy@acma.gov.au</w:t>
      </w:r>
      <w:r w:rsidR="00972B5B">
        <w:rPr>
          <w:rStyle w:val="Hyperlink"/>
        </w:rPr>
        <w:fldChar w:fldCharType="end"/>
      </w:r>
      <w:bookmarkEnd w:id="52"/>
      <w:r w:rsidR="00972B5B">
        <w:t>.</w:t>
      </w:r>
      <w:bookmarkStart w:id="53" w:name="_Toc348105639"/>
      <w:bookmarkStart w:id="54" w:name="_Toc300909558"/>
      <w:bookmarkEnd w:id="48"/>
      <w:bookmarkEnd w:id="49"/>
    </w:p>
    <w:p w14:paraId="0F8EFA92" w14:textId="4E42FE39" w:rsidR="000C30A2" w:rsidRDefault="000C30A2" w:rsidP="00E8396F">
      <w:pPr>
        <w:pStyle w:val="Heading3"/>
      </w:pPr>
      <w:r>
        <w:t xml:space="preserve">Publication of </w:t>
      </w:r>
      <w:r w:rsidRPr="005B2F0D">
        <w:t>submissions</w:t>
      </w:r>
      <w:bookmarkEnd w:id="50"/>
      <w:bookmarkEnd w:id="51"/>
      <w:bookmarkEnd w:id="53"/>
      <w:bookmarkEnd w:id="54"/>
    </w:p>
    <w:p w14:paraId="7B2F75A6" w14:textId="77777777" w:rsidR="000C30A2" w:rsidRDefault="000C30A2" w:rsidP="000C30A2">
      <w:bookmarkStart w:id="55" w:name="_Toc348105640"/>
      <w:bookmarkStart w:id="56" w:name="_Toc300909559"/>
      <w:bookmarkStart w:id="57"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66C14D80" w14:textId="77777777" w:rsidR="000C30A2" w:rsidRDefault="000C30A2" w:rsidP="000C30A2">
      <w:r>
        <w:t>Confidential information will not be published or otherwise released unless required or authorised by law.</w:t>
      </w:r>
    </w:p>
    <w:p w14:paraId="20C70C6E" w14:textId="77777777" w:rsidR="000C30A2" w:rsidRDefault="000C30A2" w:rsidP="000C30A2">
      <w:pPr>
        <w:pStyle w:val="Heading4"/>
      </w:pPr>
      <w:r>
        <w:t>Privacy</w:t>
      </w:r>
    </w:p>
    <w:p w14:paraId="0F34A524" w14:textId="77777777" w:rsidR="000C30A2" w:rsidRDefault="000C30A2" w:rsidP="000C30A2">
      <w:pPr>
        <w:pStyle w:val="Paragraph"/>
      </w:pPr>
      <w:r>
        <w:t xml:space="preserve">View information about our policy on the </w:t>
      </w:r>
      <w:hyperlink r:id="rId33" w:history="1">
        <w:r>
          <w:rPr>
            <w:rStyle w:val="Hyperlink"/>
          </w:rPr>
          <w:t>p</w:t>
        </w:r>
        <w:r w:rsidRPr="00E21056">
          <w:rPr>
            <w:rStyle w:val="Hyperlink"/>
          </w:rPr>
          <w:t>ublication of submissions</w:t>
        </w:r>
      </w:hyperlink>
      <w:r>
        <w:t>, including collection of personal information during consultation and how we handle that information.</w:t>
      </w:r>
    </w:p>
    <w:bookmarkEnd w:id="55"/>
    <w:bookmarkEnd w:id="56"/>
    <w:bookmarkEnd w:id="57"/>
    <w:p w14:paraId="20A829BD" w14:textId="538EA34D" w:rsidR="00FF3C69" w:rsidRDefault="000C30A2" w:rsidP="00235389">
      <w:pPr>
        <w:pStyle w:val="Paragraph"/>
      </w:pPr>
      <w:r>
        <w:t xml:space="preserve">Information on the </w:t>
      </w:r>
      <w:r>
        <w:rPr>
          <w:i/>
        </w:rPr>
        <w:t xml:space="preserve">Privacy Act 1988, </w:t>
      </w:r>
      <w:r>
        <w:t xml:space="preserve">how to access or correct personal information, how to make a privacy complaint and how we will deal with the complaint, is available in our </w:t>
      </w:r>
      <w:hyperlink r:id="rId34" w:history="1">
        <w:r w:rsidRPr="00E21056">
          <w:rPr>
            <w:rStyle w:val="Hyperlink"/>
          </w:rPr>
          <w:t>privacy policy</w:t>
        </w:r>
      </w:hyperlink>
      <w:r>
        <w:t xml:space="preserve">. </w:t>
      </w:r>
      <w:bookmarkEnd w:id="5"/>
    </w:p>
    <w:sectPr w:rsidR="00FF3C69" w:rsidSect="00C77380">
      <w:headerReference w:type="even" r:id="rId35"/>
      <w:headerReference w:type="default" r:id="rId36"/>
      <w:footerReference w:type="even" r:id="rId37"/>
      <w:footerReference w:type="default" r:id="rId3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519C2" w14:textId="77777777" w:rsidR="00CE73D3" w:rsidRDefault="00CE73D3">
      <w:r>
        <w:separator/>
      </w:r>
    </w:p>
  </w:endnote>
  <w:endnote w:type="continuationSeparator" w:id="0">
    <w:p w14:paraId="21B2DC1E" w14:textId="77777777" w:rsidR="00CE73D3" w:rsidRDefault="00CE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EBE8" w14:textId="77777777" w:rsidR="00FE1370" w:rsidRDefault="00FE1370" w:rsidP="005E250B">
    <w:pPr>
      <w:pStyle w:val="Footer"/>
      <w:jc w:val="right"/>
    </w:pPr>
    <w:r w:rsidRPr="005E250B">
      <w:rPr>
        <w:noProof/>
        <w:vertAlign w:val="subscript"/>
      </w:rPr>
      <w:drawing>
        <wp:inline distT="0" distB="0" distL="0" distR="0" wp14:anchorId="072D2404" wp14:editId="69CB748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5F506" w14:textId="77777777" w:rsidR="00FE1370" w:rsidRDefault="00FE1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01134" w14:textId="77777777" w:rsidR="00FE1370" w:rsidRDefault="00FE13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FE58" w14:textId="77777777" w:rsidR="00FE1370" w:rsidRPr="00622A3B" w:rsidRDefault="00FE1370"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E8C48B0" w14:textId="77777777" w:rsidR="00FE1370" w:rsidRPr="00A5474E" w:rsidRDefault="00FE1370"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BDDC" w14:textId="77777777" w:rsidR="00FE1370" w:rsidRPr="00622A3B" w:rsidRDefault="00FE1370"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F929F41" w14:textId="77777777" w:rsidR="00FE1370" w:rsidRPr="00A5474E" w:rsidRDefault="00FE1370"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177A" w14:textId="77777777" w:rsidR="00FE1370" w:rsidRPr="00622A3B" w:rsidRDefault="00FE137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29645FF0" w14:textId="77777777" w:rsidR="00FE1370" w:rsidRPr="00A5474E" w:rsidRDefault="00FE1370"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1B4A" w14:textId="77777777" w:rsidR="00FE1370" w:rsidRPr="00622A3B" w:rsidRDefault="00FE137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00EE509" w14:textId="77777777" w:rsidR="00FE1370" w:rsidRPr="00A5474E" w:rsidRDefault="00FE1370"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878C" w14:textId="77777777" w:rsidR="00FE1370" w:rsidRPr="00622A3B" w:rsidRDefault="00FE137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674F115" w14:textId="77777777" w:rsidR="00FE1370" w:rsidRPr="00A5474E" w:rsidRDefault="00FE1370"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DEA12" w14:textId="77777777" w:rsidR="00CE73D3" w:rsidRDefault="00CE73D3" w:rsidP="00EA0969">
      <w:pPr>
        <w:spacing w:after="0"/>
      </w:pPr>
      <w:r>
        <w:separator/>
      </w:r>
    </w:p>
  </w:footnote>
  <w:footnote w:type="continuationSeparator" w:id="0">
    <w:p w14:paraId="3BCA9077" w14:textId="77777777" w:rsidR="00CE73D3" w:rsidRDefault="00CE73D3">
      <w:r>
        <w:continuationSeparator/>
      </w:r>
    </w:p>
  </w:footnote>
  <w:footnote w:id="1">
    <w:p w14:paraId="47B2EA56" w14:textId="77777777" w:rsidR="00FE1370" w:rsidRDefault="00FE1370" w:rsidP="000C30A2">
      <w:pPr>
        <w:pStyle w:val="FootnoteText"/>
      </w:pPr>
      <w:r>
        <w:rPr>
          <w:rStyle w:val="FootnoteReference"/>
        </w:rPr>
        <w:footnoteRef/>
      </w:r>
      <w:r>
        <w:t xml:space="preserve"> There are some exemptions from what </w:t>
      </w:r>
      <w:proofErr w:type="gramStart"/>
      <w:r>
        <w:t>would otherwise be unlawful operation of radiocommunications devices</w:t>
      </w:r>
      <w:proofErr w:type="gramEnd"/>
      <w:r>
        <w:t>. For example, section 27 of the Act sets out exemptions for defence, law enforcement and emergency personnel.</w:t>
      </w:r>
    </w:p>
  </w:footnote>
  <w:footnote w:id="2">
    <w:p w14:paraId="35D4C4B4" w14:textId="77777777" w:rsidR="00FE1370" w:rsidRPr="009111F8" w:rsidRDefault="00FE1370" w:rsidP="000C30A2">
      <w:pPr>
        <w:pStyle w:val="FootnoteText"/>
      </w:pPr>
      <w:r>
        <w:rPr>
          <w:rStyle w:val="FootnoteReference"/>
        </w:rPr>
        <w:footnoteRef/>
      </w:r>
      <w:r>
        <w:t xml:space="preserve"> T</w:t>
      </w:r>
      <w:r w:rsidRPr="009111F8">
        <w:t xml:space="preserve">he </w:t>
      </w:r>
      <w:r w:rsidRPr="009111F8">
        <w:rPr>
          <w:i/>
          <w:iCs/>
        </w:rPr>
        <w:t>Radiocommunications Legislation Amendment (Reform and Modernisation) Act 2020</w:t>
      </w:r>
      <w:r>
        <w:t xml:space="preserve"> will commence in the first half of 2021. On commencement, the ACMA will be able to issue an apparatus licence not of a type specified. Other impacts of commencement are discussed elsewhere in this paper.</w:t>
      </w:r>
    </w:p>
  </w:footnote>
  <w:footnote w:id="3">
    <w:p w14:paraId="3E8AF09A" w14:textId="77777777" w:rsidR="00FE1370" w:rsidRDefault="00FE1370" w:rsidP="000C30A2">
      <w:pPr>
        <w:pStyle w:val="FootnoteText"/>
      </w:pPr>
      <w:r>
        <w:rPr>
          <w:rStyle w:val="FootnoteReference"/>
        </w:rPr>
        <w:footnoteRef/>
      </w:r>
      <w:r>
        <w:t xml:space="preserve"> Licensees must comply with electromagnetic radiation (EMR) conditions specified in Part 3 of the </w:t>
      </w:r>
      <w:r w:rsidRPr="000E52CC">
        <w:t>Radiocommunications Licence Conditions (Apparatus Licence) Determination 2015</w:t>
      </w:r>
      <w:r w:rsidRPr="00AF4813">
        <w:t>.</w:t>
      </w:r>
    </w:p>
  </w:footnote>
  <w:footnote w:id="4">
    <w:p w14:paraId="733D1B29" w14:textId="77777777" w:rsidR="00FE1370" w:rsidRDefault="00FE1370" w:rsidP="000C30A2">
      <w:pPr>
        <w:pStyle w:val="FootnoteText"/>
      </w:pPr>
      <w:r>
        <w:rPr>
          <w:rStyle w:val="FootnoteReference"/>
        </w:rPr>
        <w:footnoteRef/>
      </w:r>
      <w:r>
        <w:t xml:space="preserve"> The ACMA maintains and publishes the Register of Radiocommunications Licences, which contains the details of radiocommunications licences in Australia.</w:t>
      </w:r>
    </w:p>
  </w:footnote>
  <w:footnote w:id="5">
    <w:p w14:paraId="0A47DE39" w14:textId="77777777" w:rsidR="00FE1370" w:rsidRPr="00506E83" w:rsidRDefault="00FE1370" w:rsidP="000C30A2">
      <w:pPr>
        <w:pStyle w:val="FootnoteText"/>
      </w:pPr>
      <w:r>
        <w:rPr>
          <w:rStyle w:val="FootnoteReference"/>
        </w:rPr>
        <w:footnoteRef/>
      </w:r>
      <w:r>
        <w:t xml:space="preserve"> Under the apparatus licence fee schedule, the RFDS is eligible for tax and charges concessions. Provision for tax concessions is made under the </w:t>
      </w:r>
      <w:hyperlink r:id="rId1" w:history="1">
        <w:r w:rsidRPr="000E52CC">
          <w:rPr>
            <w:rStyle w:val="Hyperlink"/>
          </w:rPr>
          <w:t>Radiocommunications (Transmitter Licence Tax) Determination 2015</w:t>
        </w:r>
      </w:hyperlink>
      <w:r>
        <w:t>.</w:t>
      </w:r>
    </w:p>
  </w:footnote>
  <w:footnote w:id="6">
    <w:p w14:paraId="0224DA99" w14:textId="77777777" w:rsidR="00FE1370" w:rsidRDefault="00FE1370" w:rsidP="000C30A2">
      <w:pPr>
        <w:pStyle w:val="FootnoteText"/>
      </w:pPr>
      <w:r>
        <w:rPr>
          <w:rStyle w:val="FootnoteReference"/>
        </w:rPr>
        <w:footnoteRef/>
      </w:r>
      <w:r>
        <w:t xml:space="preserve"> </w:t>
      </w:r>
      <w:r w:rsidRPr="00527144">
        <w:t xml:space="preserve">Under section 132 of the Act, the ACMA may issue a class licence that authorises any person to operate a radiocommunications device of a specified kind, or for a specified purpose, or of a specified kind for a specified purpose. Under section 133 of the Act, the ACMA </w:t>
      </w:r>
      <w:r>
        <w:t xml:space="preserve">may include such </w:t>
      </w:r>
      <w:r w:rsidRPr="00527144">
        <w:t xml:space="preserve">conditions </w:t>
      </w:r>
      <w:r>
        <w:t xml:space="preserve">in a class licence that it </w:t>
      </w:r>
      <w:r w:rsidRPr="00527144">
        <w:t>thinks fit, including a condition specifying the area within which operation of radiocommunications devices is authorised under the licence.</w:t>
      </w:r>
    </w:p>
  </w:footnote>
  <w:footnote w:id="7">
    <w:p w14:paraId="481E76C6" w14:textId="6EC60AEE" w:rsidR="00FE1370" w:rsidRDefault="00FE1370" w:rsidP="000C30A2">
      <w:pPr>
        <w:pStyle w:val="FootnoteText"/>
      </w:pPr>
      <w:r>
        <w:rPr>
          <w:rStyle w:val="FootnoteReference"/>
        </w:rPr>
        <w:footnoteRef/>
      </w:r>
      <w:r>
        <w:t xml:space="preserve"> T</w:t>
      </w:r>
      <w:r w:rsidRPr="00DA44F2">
        <w:t xml:space="preserve">hese amendments to the Act will take effect when the relevant provisions of the </w:t>
      </w:r>
      <w:r>
        <w:t>Modernisation</w:t>
      </w:r>
      <w:r w:rsidRPr="00DA44F2">
        <w:t xml:space="preserve"> Act commence</w:t>
      </w:r>
      <w:r>
        <w:t>.</w:t>
      </w:r>
      <w:r w:rsidRPr="00DA44F2">
        <w:t xml:space="preserve"> </w:t>
      </w:r>
      <w:r>
        <w:t>F</w:t>
      </w:r>
      <w:r w:rsidRPr="00DA44F2">
        <w:t>or the change relating to maximum licence duration</w:t>
      </w:r>
      <w:r>
        <w:t>, this</w:t>
      </w:r>
      <w:r w:rsidRPr="00DA44F2">
        <w:t xml:space="preserve"> will be a date to be fixed by proclamation or the day after the end of a 6-month period beginning on the date the </w:t>
      </w:r>
      <w:r>
        <w:t>Modernisation</w:t>
      </w:r>
      <w:r w:rsidRPr="00DA44F2">
        <w:t xml:space="preserve"> Act received Royal Assent.</w:t>
      </w:r>
    </w:p>
  </w:footnote>
  <w:footnote w:id="8">
    <w:p w14:paraId="70A84B22" w14:textId="78D76F7C" w:rsidR="00FE1370" w:rsidRDefault="00FE1370" w:rsidP="00235389">
      <w:pPr>
        <w:spacing w:after="0"/>
      </w:pPr>
      <w:r w:rsidRPr="003B35AE">
        <w:rPr>
          <w:rStyle w:val="FootnoteReference"/>
          <w:sz w:val="16"/>
          <w:szCs w:val="16"/>
        </w:rPr>
        <w:footnoteRef/>
      </w:r>
      <w:r w:rsidRPr="003B35AE">
        <w:rPr>
          <w:sz w:val="16"/>
          <w:szCs w:val="16"/>
        </w:rPr>
        <w:t xml:space="preserve"> The ITU Radio Regulations </w:t>
      </w:r>
      <w:r w:rsidRPr="003B35AE">
        <w:rPr>
          <w:sz w:val="16"/>
          <w:szCs w:val="16"/>
          <w:lang w:val="en-GB"/>
        </w:rPr>
        <w:t xml:space="preserve">provide that ‘in transmissions carrying identification signals a station shall be identified by a call sign, by a maritime mobile service identity or by other recognized means of identification which may be one or more of the following: name of station, location of station, operating agency, official registration mark, flight identification number, selective call number or signal, selective call identification number or signal, characteristic signal, characteristic of emission or other clearly distinguishing features readily recognized internationally.’ ITU Radio Regulations No. 19.16. </w:t>
      </w:r>
    </w:p>
  </w:footnote>
  <w:footnote w:id="9">
    <w:p w14:paraId="035740EE" w14:textId="77777777" w:rsidR="00FE1370" w:rsidRDefault="00FE1370" w:rsidP="000C30A2">
      <w:pPr>
        <w:pStyle w:val="FootnoteText"/>
      </w:pPr>
      <w:r>
        <w:rPr>
          <w:rStyle w:val="FootnoteReference"/>
        </w:rPr>
        <w:footnoteRef/>
      </w:r>
      <w:r>
        <w:t xml:space="preserve"> A </w:t>
      </w:r>
      <w:proofErr w:type="spellStart"/>
      <w:r>
        <w:t>SelCall</w:t>
      </w:r>
      <w:proofErr w:type="spellEnd"/>
      <w:r>
        <w:t xml:space="preserve"> number is a radio signalling protocol that is used to transmit a brief burst of sequential audio tones that, when received, causes a receiver to ring like a telephone.</w:t>
      </w:r>
    </w:p>
  </w:footnote>
  <w:footnote w:id="10">
    <w:p w14:paraId="45629B64" w14:textId="77777777" w:rsidR="00FE1370" w:rsidRDefault="00FE1370" w:rsidP="000C30A2">
      <w:pPr>
        <w:pStyle w:val="FootnoteText"/>
      </w:pPr>
      <w:r>
        <w:rPr>
          <w:rStyle w:val="FootnoteReference"/>
        </w:rPr>
        <w:footnoteRef/>
      </w:r>
      <w:r>
        <w:t xml:space="preserve"> The date will be </w:t>
      </w:r>
      <w:r w:rsidRPr="000A4A8B">
        <w:t xml:space="preserve">no later than 6 months from the date that the </w:t>
      </w:r>
      <w:r>
        <w:t>Modernisation</w:t>
      </w:r>
      <w:r w:rsidRPr="000A4A8B">
        <w:t xml:space="preserve"> Act received Royal Assent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1FED" w14:textId="77777777" w:rsidR="00FE1370" w:rsidRPr="00A5474E" w:rsidRDefault="00FE1370" w:rsidP="00A5474E">
    <w:pPr>
      <w:pStyle w:val="Header"/>
    </w:pPr>
    <w:r>
      <w:rPr>
        <w:noProof/>
      </w:rPr>
      <w:drawing>
        <wp:inline distT="0" distB="0" distL="0" distR="0" wp14:anchorId="46EB2123" wp14:editId="45632271">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F956" w14:textId="77777777" w:rsidR="00FE1370" w:rsidRPr="00A5474E" w:rsidRDefault="00FE1370"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5F8C" w14:textId="77777777" w:rsidR="00FE1370" w:rsidRDefault="00FE13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62EF" w14:textId="77777777" w:rsidR="00FE1370" w:rsidRDefault="00FE13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FE1370" w14:paraId="5AE16D4B" w14:textId="77777777" w:rsidTr="0085313C">
      <w:trPr>
        <w:trHeight w:hRule="exact" w:val="988"/>
      </w:trPr>
      <w:tc>
        <w:tcPr>
          <w:tcW w:w="7678" w:type="dxa"/>
          <w:shd w:val="clear" w:color="auto" w:fill="auto"/>
        </w:tcPr>
        <w:p w14:paraId="431D6CBD" w14:textId="77777777" w:rsidR="00FE1370" w:rsidRDefault="00FE1370" w:rsidP="00971914">
          <w:pPr>
            <w:pStyle w:val="Header"/>
          </w:pPr>
        </w:p>
      </w:tc>
    </w:tr>
    <w:tr w:rsidR="00FE1370" w14:paraId="24109261" w14:textId="77777777" w:rsidTr="0085313C">
      <w:tc>
        <w:tcPr>
          <w:tcW w:w="7678" w:type="dxa"/>
          <w:shd w:val="clear" w:color="auto" w:fill="auto"/>
        </w:tcPr>
        <w:p w14:paraId="152ABFE6" w14:textId="77777777" w:rsidR="00FE1370" w:rsidRDefault="00FE1370" w:rsidP="00971914">
          <w:pPr>
            <w:pStyle w:val="GridTable31"/>
          </w:pPr>
          <w:r>
            <w:t xml:space="preserve">Contents </w:t>
          </w:r>
          <w:r w:rsidRPr="00915B1C">
            <w:rPr>
              <w:b w:val="0"/>
              <w:spacing w:val="0"/>
              <w:sz w:val="28"/>
              <w:szCs w:val="28"/>
            </w:rPr>
            <w:t>(Continued)</w:t>
          </w:r>
        </w:p>
      </w:tc>
    </w:tr>
    <w:tr w:rsidR="00FE1370" w14:paraId="7B9BF6CF" w14:textId="77777777" w:rsidTr="0085313C">
      <w:trPr>
        <w:trHeight w:val="1220"/>
      </w:trPr>
      <w:tc>
        <w:tcPr>
          <w:tcW w:w="7678" w:type="dxa"/>
          <w:shd w:val="clear" w:color="auto" w:fill="auto"/>
        </w:tcPr>
        <w:p w14:paraId="2ACC5314" w14:textId="77777777" w:rsidR="00FE1370" w:rsidRDefault="00FE1370" w:rsidP="00971914"/>
      </w:tc>
    </w:tr>
  </w:tbl>
  <w:p w14:paraId="29586D85" w14:textId="77777777" w:rsidR="00FE1370" w:rsidRDefault="00FE1370"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FE1370" w14:paraId="0E3FC3C5" w14:textId="77777777" w:rsidTr="0085313C">
      <w:trPr>
        <w:trHeight w:hRule="exact" w:val="988"/>
      </w:trPr>
      <w:tc>
        <w:tcPr>
          <w:tcW w:w="7678" w:type="dxa"/>
          <w:shd w:val="clear" w:color="auto" w:fill="auto"/>
        </w:tcPr>
        <w:p w14:paraId="619E3AB9" w14:textId="77777777" w:rsidR="00FE1370" w:rsidRDefault="00FE1370" w:rsidP="00971914">
          <w:pPr>
            <w:pStyle w:val="Header"/>
          </w:pPr>
        </w:p>
      </w:tc>
    </w:tr>
    <w:tr w:rsidR="00FE1370" w14:paraId="7F609677" w14:textId="77777777" w:rsidTr="0085313C">
      <w:tc>
        <w:tcPr>
          <w:tcW w:w="7678" w:type="dxa"/>
          <w:shd w:val="clear" w:color="auto" w:fill="auto"/>
        </w:tcPr>
        <w:p w14:paraId="3F461A02" w14:textId="77777777" w:rsidR="00FE1370" w:rsidRDefault="00FE1370" w:rsidP="00971914">
          <w:pPr>
            <w:pStyle w:val="GridTable31"/>
          </w:pPr>
          <w:r>
            <w:t xml:space="preserve">Contents </w:t>
          </w:r>
          <w:r w:rsidRPr="00915B1C">
            <w:rPr>
              <w:b w:val="0"/>
              <w:spacing w:val="0"/>
              <w:sz w:val="28"/>
              <w:szCs w:val="28"/>
            </w:rPr>
            <w:t>(Continued)</w:t>
          </w:r>
        </w:p>
      </w:tc>
    </w:tr>
    <w:tr w:rsidR="00FE1370" w14:paraId="42CACEEF" w14:textId="77777777" w:rsidTr="0085313C">
      <w:trPr>
        <w:trHeight w:val="1220"/>
      </w:trPr>
      <w:tc>
        <w:tcPr>
          <w:tcW w:w="7678" w:type="dxa"/>
          <w:shd w:val="clear" w:color="auto" w:fill="auto"/>
        </w:tcPr>
        <w:p w14:paraId="377947F8" w14:textId="77777777" w:rsidR="00FE1370" w:rsidRDefault="00FE1370" w:rsidP="00971914"/>
      </w:tc>
    </w:tr>
  </w:tbl>
  <w:p w14:paraId="7971787E" w14:textId="77777777" w:rsidR="00FE1370" w:rsidRPr="00A5474E" w:rsidRDefault="00FE1370"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DCB6" w14:textId="77777777" w:rsidR="00FE1370" w:rsidRDefault="00FE13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DEB3" w14:textId="77777777" w:rsidR="00FE1370" w:rsidRDefault="00FE1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E31C4"/>
    <w:multiLevelType w:val="hybridMultilevel"/>
    <w:tmpl w:val="E52677B0"/>
    <w:lvl w:ilvl="0" w:tplc="0804E31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10"/>
  </w:num>
  <w:num w:numId="7">
    <w:abstractNumId w:val="8"/>
  </w:num>
  <w:num w:numId="8">
    <w:abstractNumId w:val="9"/>
  </w:num>
  <w:num w:numId="9">
    <w:abstractNumId w:val="11"/>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2"/>
    <w:lvlOverride w:ilvl="0">
      <w:startOverride w:val="1"/>
    </w:lvlOverride>
  </w:num>
  <w:num w:numId="18">
    <w:abstractNumId w:val="12"/>
  </w:num>
  <w:num w:numId="19">
    <w:abstractNumId w:val="3"/>
  </w:num>
  <w:num w:numId="20">
    <w:abstractNumId w:val="3"/>
  </w:num>
  <w:num w:numId="2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A2"/>
    <w:rsid w:val="00001896"/>
    <w:rsid w:val="00010667"/>
    <w:rsid w:val="000129D5"/>
    <w:rsid w:val="00015AE7"/>
    <w:rsid w:val="00016E21"/>
    <w:rsid w:val="0001719C"/>
    <w:rsid w:val="0002224E"/>
    <w:rsid w:val="00023A36"/>
    <w:rsid w:val="000245E5"/>
    <w:rsid w:val="00026F91"/>
    <w:rsid w:val="00032621"/>
    <w:rsid w:val="0004764C"/>
    <w:rsid w:val="0005011A"/>
    <w:rsid w:val="0005045A"/>
    <w:rsid w:val="00051405"/>
    <w:rsid w:val="00051C1E"/>
    <w:rsid w:val="000539F9"/>
    <w:rsid w:val="00054C27"/>
    <w:rsid w:val="00055EC3"/>
    <w:rsid w:val="000563CE"/>
    <w:rsid w:val="000659B6"/>
    <w:rsid w:val="0006686F"/>
    <w:rsid w:val="0006722A"/>
    <w:rsid w:val="000732CF"/>
    <w:rsid w:val="00075B96"/>
    <w:rsid w:val="0008196A"/>
    <w:rsid w:val="00082819"/>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30A2"/>
    <w:rsid w:val="000C6AB4"/>
    <w:rsid w:val="000D1BCB"/>
    <w:rsid w:val="000D71D9"/>
    <w:rsid w:val="000D76E0"/>
    <w:rsid w:val="000D7E8B"/>
    <w:rsid w:val="000E4449"/>
    <w:rsid w:val="000E52CC"/>
    <w:rsid w:val="000E6097"/>
    <w:rsid w:val="00103829"/>
    <w:rsid w:val="00111FCE"/>
    <w:rsid w:val="001170B7"/>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0719"/>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50F7"/>
    <w:rsid w:val="001F7558"/>
    <w:rsid w:val="00201EE2"/>
    <w:rsid w:val="00205B57"/>
    <w:rsid w:val="0021426C"/>
    <w:rsid w:val="002157E0"/>
    <w:rsid w:val="00216A57"/>
    <w:rsid w:val="00217448"/>
    <w:rsid w:val="0022334F"/>
    <w:rsid w:val="00226819"/>
    <w:rsid w:val="00233101"/>
    <w:rsid w:val="00233817"/>
    <w:rsid w:val="00235389"/>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0530"/>
    <w:rsid w:val="002C210F"/>
    <w:rsid w:val="002C745B"/>
    <w:rsid w:val="002D3600"/>
    <w:rsid w:val="002E4DDC"/>
    <w:rsid w:val="00302480"/>
    <w:rsid w:val="00302758"/>
    <w:rsid w:val="003165E6"/>
    <w:rsid w:val="003215B5"/>
    <w:rsid w:val="003221CF"/>
    <w:rsid w:val="003233ED"/>
    <w:rsid w:val="00324D9F"/>
    <w:rsid w:val="003253EE"/>
    <w:rsid w:val="00327948"/>
    <w:rsid w:val="0033000F"/>
    <w:rsid w:val="00332011"/>
    <w:rsid w:val="00332518"/>
    <w:rsid w:val="00332925"/>
    <w:rsid w:val="00332E3F"/>
    <w:rsid w:val="003332ED"/>
    <w:rsid w:val="00333C0C"/>
    <w:rsid w:val="003368DC"/>
    <w:rsid w:val="0034490B"/>
    <w:rsid w:val="00345927"/>
    <w:rsid w:val="00350584"/>
    <w:rsid w:val="00351857"/>
    <w:rsid w:val="003545E8"/>
    <w:rsid w:val="003610E1"/>
    <w:rsid w:val="003671BE"/>
    <w:rsid w:val="00372485"/>
    <w:rsid w:val="00372F8E"/>
    <w:rsid w:val="00373200"/>
    <w:rsid w:val="00375EF5"/>
    <w:rsid w:val="003767A5"/>
    <w:rsid w:val="00381D15"/>
    <w:rsid w:val="00385254"/>
    <w:rsid w:val="00390D91"/>
    <w:rsid w:val="003933E8"/>
    <w:rsid w:val="00394031"/>
    <w:rsid w:val="00396DC2"/>
    <w:rsid w:val="003A04DB"/>
    <w:rsid w:val="003A5F5B"/>
    <w:rsid w:val="003A789A"/>
    <w:rsid w:val="003B12EC"/>
    <w:rsid w:val="003B33ED"/>
    <w:rsid w:val="003B4DD1"/>
    <w:rsid w:val="003C03B8"/>
    <w:rsid w:val="003C77E0"/>
    <w:rsid w:val="003D17D7"/>
    <w:rsid w:val="003D2678"/>
    <w:rsid w:val="003D71A3"/>
    <w:rsid w:val="003E2B8A"/>
    <w:rsid w:val="003E7C14"/>
    <w:rsid w:val="003F10EE"/>
    <w:rsid w:val="003F16F6"/>
    <w:rsid w:val="003F2C88"/>
    <w:rsid w:val="003F4DC7"/>
    <w:rsid w:val="003F5235"/>
    <w:rsid w:val="003F62B8"/>
    <w:rsid w:val="004027E4"/>
    <w:rsid w:val="0041071D"/>
    <w:rsid w:val="00414AFC"/>
    <w:rsid w:val="004151A7"/>
    <w:rsid w:val="00415310"/>
    <w:rsid w:val="00421709"/>
    <w:rsid w:val="00423763"/>
    <w:rsid w:val="0042515D"/>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67707"/>
    <w:rsid w:val="004718CC"/>
    <w:rsid w:val="00481695"/>
    <w:rsid w:val="00495A96"/>
    <w:rsid w:val="00495BB3"/>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219E7"/>
    <w:rsid w:val="00531B9A"/>
    <w:rsid w:val="00531D15"/>
    <w:rsid w:val="00537604"/>
    <w:rsid w:val="00542377"/>
    <w:rsid w:val="005476EB"/>
    <w:rsid w:val="00551782"/>
    <w:rsid w:val="00555A39"/>
    <w:rsid w:val="00563EF1"/>
    <w:rsid w:val="00566AB4"/>
    <w:rsid w:val="00573812"/>
    <w:rsid w:val="00575AC5"/>
    <w:rsid w:val="0057605D"/>
    <w:rsid w:val="00581347"/>
    <w:rsid w:val="00581AC9"/>
    <w:rsid w:val="005849F8"/>
    <w:rsid w:val="005938DF"/>
    <w:rsid w:val="00594E9C"/>
    <w:rsid w:val="005A099B"/>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3ACD"/>
    <w:rsid w:val="005E7226"/>
    <w:rsid w:val="005E7A57"/>
    <w:rsid w:val="005F24B0"/>
    <w:rsid w:val="005F6B9B"/>
    <w:rsid w:val="00604315"/>
    <w:rsid w:val="00604E26"/>
    <w:rsid w:val="0060523F"/>
    <w:rsid w:val="006052CF"/>
    <w:rsid w:val="00607B8D"/>
    <w:rsid w:val="00611F5C"/>
    <w:rsid w:val="00616E09"/>
    <w:rsid w:val="00622A3B"/>
    <w:rsid w:val="00622EEA"/>
    <w:rsid w:val="0062396C"/>
    <w:rsid w:val="00623FF9"/>
    <w:rsid w:val="0062437D"/>
    <w:rsid w:val="00627D4E"/>
    <w:rsid w:val="00632B89"/>
    <w:rsid w:val="0063346D"/>
    <w:rsid w:val="00634478"/>
    <w:rsid w:val="0063798A"/>
    <w:rsid w:val="00644373"/>
    <w:rsid w:val="00645915"/>
    <w:rsid w:val="00646CC4"/>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3ECF"/>
    <w:rsid w:val="006A4AAD"/>
    <w:rsid w:val="006A4CCA"/>
    <w:rsid w:val="006A6DA2"/>
    <w:rsid w:val="006A7AB2"/>
    <w:rsid w:val="006B0765"/>
    <w:rsid w:val="006B52DE"/>
    <w:rsid w:val="006B5717"/>
    <w:rsid w:val="006B582F"/>
    <w:rsid w:val="006B5EB2"/>
    <w:rsid w:val="006C0CEB"/>
    <w:rsid w:val="006C1631"/>
    <w:rsid w:val="006C3B1E"/>
    <w:rsid w:val="006C47FD"/>
    <w:rsid w:val="006C5C19"/>
    <w:rsid w:val="006C5FD4"/>
    <w:rsid w:val="006C6CA8"/>
    <w:rsid w:val="006C70A0"/>
    <w:rsid w:val="006D27CB"/>
    <w:rsid w:val="006D2F08"/>
    <w:rsid w:val="006D576C"/>
    <w:rsid w:val="006D5865"/>
    <w:rsid w:val="006E4B1B"/>
    <w:rsid w:val="006E5445"/>
    <w:rsid w:val="006E7D93"/>
    <w:rsid w:val="0070133D"/>
    <w:rsid w:val="007029A3"/>
    <w:rsid w:val="00706E4E"/>
    <w:rsid w:val="0070791C"/>
    <w:rsid w:val="0071383C"/>
    <w:rsid w:val="007141A7"/>
    <w:rsid w:val="00715722"/>
    <w:rsid w:val="00715BAF"/>
    <w:rsid w:val="00721032"/>
    <w:rsid w:val="00721B55"/>
    <w:rsid w:val="00726CE4"/>
    <w:rsid w:val="00734143"/>
    <w:rsid w:val="00737E47"/>
    <w:rsid w:val="00740EAC"/>
    <w:rsid w:val="00744956"/>
    <w:rsid w:val="00745A5C"/>
    <w:rsid w:val="0074605F"/>
    <w:rsid w:val="00747E94"/>
    <w:rsid w:val="00754C83"/>
    <w:rsid w:val="00760193"/>
    <w:rsid w:val="007615F3"/>
    <w:rsid w:val="00761E5C"/>
    <w:rsid w:val="00765DF8"/>
    <w:rsid w:val="00766749"/>
    <w:rsid w:val="00767C1B"/>
    <w:rsid w:val="00770B3F"/>
    <w:rsid w:val="007714A9"/>
    <w:rsid w:val="00774F88"/>
    <w:rsid w:val="00774FDB"/>
    <w:rsid w:val="00777BA2"/>
    <w:rsid w:val="00781408"/>
    <w:rsid w:val="00784F7F"/>
    <w:rsid w:val="007878BD"/>
    <w:rsid w:val="00795C1F"/>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7683"/>
    <w:rsid w:val="007F49FA"/>
    <w:rsid w:val="007F54C4"/>
    <w:rsid w:val="007F6E9A"/>
    <w:rsid w:val="00800CCD"/>
    <w:rsid w:val="00801FEB"/>
    <w:rsid w:val="008044D4"/>
    <w:rsid w:val="00805109"/>
    <w:rsid w:val="00810AB4"/>
    <w:rsid w:val="00817B56"/>
    <w:rsid w:val="00821A88"/>
    <w:rsid w:val="0082322E"/>
    <w:rsid w:val="0082495D"/>
    <w:rsid w:val="00831AC3"/>
    <w:rsid w:val="00836FCE"/>
    <w:rsid w:val="008408FF"/>
    <w:rsid w:val="00851F3F"/>
    <w:rsid w:val="0085313C"/>
    <w:rsid w:val="00854CD4"/>
    <w:rsid w:val="00856EDC"/>
    <w:rsid w:val="008623B5"/>
    <w:rsid w:val="00862540"/>
    <w:rsid w:val="00870ABA"/>
    <w:rsid w:val="008710E1"/>
    <w:rsid w:val="008716E5"/>
    <w:rsid w:val="00881CA9"/>
    <w:rsid w:val="00883628"/>
    <w:rsid w:val="00885544"/>
    <w:rsid w:val="0088634E"/>
    <w:rsid w:val="008920F4"/>
    <w:rsid w:val="00893AB8"/>
    <w:rsid w:val="008A04C8"/>
    <w:rsid w:val="008A4066"/>
    <w:rsid w:val="008A6913"/>
    <w:rsid w:val="008B70F3"/>
    <w:rsid w:val="008B71C4"/>
    <w:rsid w:val="008B76DF"/>
    <w:rsid w:val="008C10F4"/>
    <w:rsid w:val="008C65F7"/>
    <w:rsid w:val="008E0428"/>
    <w:rsid w:val="008E4767"/>
    <w:rsid w:val="008E7A8C"/>
    <w:rsid w:val="0090203B"/>
    <w:rsid w:val="00903285"/>
    <w:rsid w:val="00906F40"/>
    <w:rsid w:val="0090731E"/>
    <w:rsid w:val="00915B1C"/>
    <w:rsid w:val="00917097"/>
    <w:rsid w:val="009174F3"/>
    <w:rsid w:val="0091797D"/>
    <w:rsid w:val="00923CBA"/>
    <w:rsid w:val="00926703"/>
    <w:rsid w:val="00927691"/>
    <w:rsid w:val="00927A5F"/>
    <w:rsid w:val="00930510"/>
    <w:rsid w:val="00935B63"/>
    <w:rsid w:val="00936E95"/>
    <w:rsid w:val="009377DB"/>
    <w:rsid w:val="0094078F"/>
    <w:rsid w:val="00940FA3"/>
    <w:rsid w:val="00941FB0"/>
    <w:rsid w:val="009426D4"/>
    <w:rsid w:val="00947F25"/>
    <w:rsid w:val="00950159"/>
    <w:rsid w:val="0095490B"/>
    <w:rsid w:val="00960A33"/>
    <w:rsid w:val="00971914"/>
    <w:rsid w:val="00972B5B"/>
    <w:rsid w:val="00974363"/>
    <w:rsid w:val="00981898"/>
    <w:rsid w:val="0099577C"/>
    <w:rsid w:val="009A021C"/>
    <w:rsid w:val="009A25CC"/>
    <w:rsid w:val="009B24A5"/>
    <w:rsid w:val="009B2601"/>
    <w:rsid w:val="009B4E9E"/>
    <w:rsid w:val="009C1690"/>
    <w:rsid w:val="009C1AE4"/>
    <w:rsid w:val="009C6881"/>
    <w:rsid w:val="009C7759"/>
    <w:rsid w:val="009D043D"/>
    <w:rsid w:val="009D07C8"/>
    <w:rsid w:val="009D4C85"/>
    <w:rsid w:val="009D6C71"/>
    <w:rsid w:val="009E0631"/>
    <w:rsid w:val="009E16D0"/>
    <w:rsid w:val="009E2051"/>
    <w:rsid w:val="009E38FD"/>
    <w:rsid w:val="009F13D6"/>
    <w:rsid w:val="009F4C6B"/>
    <w:rsid w:val="009F78A8"/>
    <w:rsid w:val="00A017E0"/>
    <w:rsid w:val="00A02AD6"/>
    <w:rsid w:val="00A0481E"/>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2661"/>
    <w:rsid w:val="00A90EE1"/>
    <w:rsid w:val="00A967FD"/>
    <w:rsid w:val="00AA2DE5"/>
    <w:rsid w:val="00AB156C"/>
    <w:rsid w:val="00AB6814"/>
    <w:rsid w:val="00AC04BA"/>
    <w:rsid w:val="00AC0E39"/>
    <w:rsid w:val="00AC36ED"/>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12EB"/>
    <w:rsid w:val="00B92812"/>
    <w:rsid w:val="00BB45A1"/>
    <w:rsid w:val="00BB6335"/>
    <w:rsid w:val="00BB7686"/>
    <w:rsid w:val="00BB7802"/>
    <w:rsid w:val="00BC23F9"/>
    <w:rsid w:val="00BC3421"/>
    <w:rsid w:val="00BC37F7"/>
    <w:rsid w:val="00BC732C"/>
    <w:rsid w:val="00BD3EB4"/>
    <w:rsid w:val="00BD4421"/>
    <w:rsid w:val="00BE2580"/>
    <w:rsid w:val="00BE266D"/>
    <w:rsid w:val="00BE3938"/>
    <w:rsid w:val="00BE4C11"/>
    <w:rsid w:val="00BE71C0"/>
    <w:rsid w:val="00BF610C"/>
    <w:rsid w:val="00C0060B"/>
    <w:rsid w:val="00C01A6C"/>
    <w:rsid w:val="00C0277D"/>
    <w:rsid w:val="00C02F26"/>
    <w:rsid w:val="00C053A1"/>
    <w:rsid w:val="00C16198"/>
    <w:rsid w:val="00C2083D"/>
    <w:rsid w:val="00C2152F"/>
    <w:rsid w:val="00C24A53"/>
    <w:rsid w:val="00C34A05"/>
    <w:rsid w:val="00C35CCE"/>
    <w:rsid w:val="00C4032F"/>
    <w:rsid w:val="00C41F21"/>
    <w:rsid w:val="00C44047"/>
    <w:rsid w:val="00C45155"/>
    <w:rsid w:val="00C5498F"/>
    <w:rsid w:val="00C55235"/>
    <w:rsid w:val="00C62F75"/>
    <w:rsid w:val="00C64CD0"/>
    <w:rsid w:val="00C65F61"/>
    <w:rsid w:val="00C6684F"/>
    <w:rsid w:val="00C70E70"/>
    <w:rsid w:val="00C75F8D"/>
    <w:rsid w:val="00C77380"/>
    <w:rsid w:val="00C87E8A"/>
    <w:rsid w:val="00C90714"/>
    <w:rsid w:val="00C913D6"/>
    <w:rsid w:val="00C97736"/>
    <w:rsid w:val="00CA345A"/>
    <w:rsid w:val="00CB1E82"/>
    <w:rsid w:val="00CB4BA8"/>
    <w:rsid w:val="00CB52D7"/>
    <w:rsid w:val="00CC6732"/>
    <w:rsid w:val="00CD6ACF"/>
    <w:rsid w:val="00CE3C96"/>
    <w:rsid w:val="00CE51A8"/>
    <w:rsid w:val="00CE73D3"/>
    <w:rsid w:val="00CF0BFE"/>
    <w:rsid w:val="00CF369B"/>
    <w:rsid w:val="00D00E28"/>
    <w:rsid w:val="00D0159A"/>
    <w:rsid w:val="00D0269E"/>
    <w:rsid w:val="00D05D6C"/>
    <w:rsid w:val="00D15810"/>
    <w:rsid w:val="00D16D4E"/>
    <w:rsid w:val="00D16FE3"/>
    <w:rsid w:val="00D27F41"/>
    <w:rsid w:val="00D36441"/>
    <w:rsid w:val="00D4064E"/>
    <w:rsid w:val="00D43B47"/>
    <w:rsid w:val="00D44E9B"/>
    <w:rsid w:val="00D4734E"/>
    <w:rsid w:val="00D47AEB"/>
    <w:rsid w:val="00D50DB9"/>
    <w:rsid w:val="00D51302"/>
    <w:rsid w:val="00D52C43"/>
    <w:rsid w:val="00D61243"/>
    <w:rsid w:val="00D6507F"/>
    <w:rsid w:val="00D730BC"/>
    <w:rsid w:val="00D73912"/>
    <w:rsid w:val="00D85226"/>
    <w:rsid w:val="00D87B94"/>
    <w:rsid w:val="00D92D49"/>
    <w:rsid w:val="00D92EC1"/>
    <w:rsid w:val="00D96DEA"/>
    <w:rsid w:val="00DA4E41"/>
    <w:rsid w:val="00DB117A"/>
    <w:rsid w:val="00DB5173"/>
    <w:rsid w:val="00DB7873"/>
    <w:rsid w:val="00DC187B"/>
    <w:rsid w:val="00DD1A43"/>
    <w:rsid w:val="00DD73C2"/>
    <w:rsid w:val="00DE319B"/>
    <w:rsid w:val="00DF34FE"/>
    <w:rsid w:val="00DF56AA"/>
    <w:rsid w:val="00DF56AF"/>
    <w:rsid w:val="00DF78E7"/>
    <w:rsid w:val="00E110E0"/>
    <w:rsid w:val="00E15371"/>
    <w:rsid w:val="00E21056"/>
    <w:rsid w:val="00E24104"/>
    <w:rsid w:val="00E302D0"/>
    <w:rsid w:val="00E35707"/>
    <w:rsid w:val="00E36AA1"/>
    <w:rsid w:val="00E37DA2"/>
    <w:rsid w:val="00E41ECB"/>
    <w:rsid w:val="00E42676"/>
    <w:rsid w:val="00E54FDB"/>
    <w:rsid w:val="00E5617D"/>
    <w:rsid w:val="00E563D7"/>
    <w:rsid w:val="00E663F4"/>
    <w:rsid w:val="00E666F2"/>
    <w:rsid w:val="00E66DD4"/>
    <w:rsid w:val="00E71872"/>
    <w:rsid w:val="00E748CC"/>
    <w:rsid w:val="00E74F15"/>
    <w:rsid w:val="00E75415"/>
    <w:rsid w:val="00E75E14"/>
    <w:rsid w:val="00E775B1"/>
    <w:rsid w:val="00E810A7"/>
    <w:rsid w:val="00E8152A"/>
    <w:rsid w:val="00E8396F"/>
    <w:rsid w:val="00E93629"/>
    <w:rsid w:val="00E93B5C"/>
    <w:rsid w:val="00E94CEC"/>
    <w:rsid w:val="00EA04EF"/>
    <w:rsid w:val="00EA0969"/>
    <w:rsid w:val="00EA0CAA"/>
    <w:rsid w:val="00EA6C79"/>
    <w:rsid w:val="00EA6F19"/>
    <w:rsid w:val="00EB7090"/>
    <w:rsid w:val="00EC1BBE"/>
    <w:rsid w:val="00EC2B68"/>
    <w:rsid w:val="00EC3AEF"/>
    <w:rsid w:val="00EC5CD7"/>
    <w:rsid w:val="00EE5FB3"/>
    <w:rsid w:val="00EE7F79"/>
    <w:rsid w:val="00EF715A"/>
    <w:rsid w:val="00F018BC"/>
    <w:rsid w:val="00F06E14"/>
    <w:rsid w:val="00F179D4"/>
    <w:rsid w:val="00F22A23"/>
    <w:rsid w:val="00F33C56"/>
    <w:rsid w:val="00F347C7"/>
    <w:rsid w:val="00F34848"/>
    <w:rsid w:val="00F361D7"/>
    <w:rsid w:val="00F42D46"/>
    <w:rsid w:val="00F4496C"/>
    <w:rsid w:val="00F44F3A"/>
    <w:rsid w:val="00F51F10"/>
    <w:rsid w:val="00F529A5"/>
    <w:rsid w:val="00F5310D"/>
    <w:rsid w:val="00F60F00"/>
    <w:rsid w:val="00F614C0"/>
    <w:rsid w:val="00F83848"/>
    <w:rsid w:val="00F975E9"/>
    <w:rsid w:val="00FA1B7D"/>
    <w:rsid w:val="00FC07B9"/>
    <w:rsid w:val="00FC4E21"/>
    <w:rsid w:val="00FC5F6D"/>
    <w:rsid w:val="00FD0107"/>
    <w:rsid w:val="00FD2C2F"/>
    <w:rsid w:val="00FD3B31"/>
    <w:rsid w:val="00FE1370"/>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00BA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uiPriority="2"/>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uiPriority w:val="99"/>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0C30A2"/>
    <w:rPr>
      <w:rFonts w:ascii="Arial" w:hAnsi="Arial"/>
      <w:sz w:val="16"/>
      <w:szCs w:val="16"/>
    </w:rPr>
  </w:style>
  <w:style w:type="character" w:customStyle="1" w:styleId="ListBulletChar">
    <w:name w:val="List Bullet Char"/>
    <w:aliases w:val="List Bullet 1 Char"/>
    <w:basedOn w:val="DefaultParagraphFont"/>
    <w:link w:val="ListBullet"/>
    <w:rsid w:val="000C30A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15L0143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acma.gov.au/privacy-polic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ministers.pmc.gov.au/morton/2020/morrison-governments-deregulation-agenda" TargetMode="External"/><Relationship Id="rId33" Type="http://schemas.openxmlformats.org/officeDocument/2006/relationships/hyperlink" Target="https://www.acma.gov.au/publication-submissions"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15L01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publications/2020-09/publication/five-year-spectrum-outlook-2020-24" TargetMode="External"/><Relationship Id="rId32" Type="http://schemas.openxmlformats.org/officeDocument/2006/relationships/hyperlink" Target="https://www.acma.gov.au/have-your-say"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19C00870"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ministers.pmc.gov.au/morton/2020/morrison-governments-deregulation-agen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20-09/publication/five-year-spectrum-outlook-2020-24" TargetMode="External"/><Relationship Id="rId30" Type="http://schemas.openxmlformats.org/officeDocument/2006/relationships/hyperlink" Target="https://web.acma.gov.au/rrl/register_search.main_page" TargetMode="Externa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0C01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4590</Words>
  <Characters>26165</Characters>
  <Application>Microsoft Office Word</Application>
  <DocSecurity>4</DocSecurity>
  <Lines>218</Lines>
  <Paragraphs>61</Paragraphs>
  <ScaleCrop>false</ScaleCrop>
  <Manager/>
  <Company/>
  <LinksUpToDate>false</LinksUpToDate>
  <CharactersWithSpaces>30694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2021-02-02T23:42:00Z</dcterms:created>
  <dcterms:modified xsi:type="dcterms:W3CDTF">2021-02-02T23:42:00Z</dcterms:modified>
  <cp:category/>
</cp:coreProperties>
</file>